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60" w:lineRule="exact"/>
        <w:ind w:firstLine="420"/>
        <w:jc w:val="center"/>
        <w:outlineLvl w:val="0"/>
        <w:rPr>
          <w:rFonts w:hint="eastAsia" w:ascii="宋体" w:hAnsi="宋体" w:eastAsia="宋体" w:cs="宋体"/>
          <w:b/>
          <w:bCs w:val="0"/>
          <w:sz w:val="44"/>
          <w:szCs w:val="44"/>
          <w:lang w:val="en-US" w:eastAsia="zh-CN"/>
        </w:rPr>
      </w:pPr>
      <w:r>
        <w:rPr>
          <w:rFonts w:hint="eastAsia" w:ascii="宋体" w:hAnsi="宋体" w:eastAsia="宋体" w:cs="宋体"/>
          <w:b/>
          <w:bCs w:val="0"/>
          <w:sz w:val="44"/>
          <w:szCs w:val="44"/>
          <w:lang w:val="en-US" w:eastAsia="zh-CN"/>
        </w:rPr>
        <w:t>2021年海南</w:t>
      </w:r>
      <w:r>
        <w:rPr>
          <w:rFonts w:hint="eastAsia" w:ascii="宋体" w:hAnsi="宋体" w:eastAsia="宋体" w:cs="宋体"/>
          <w:b/>
          <w:bCs w:val="0"/>
          <w:sz w:val="44"/>
          <w:szCs w:val="44"/>
        </w:rPr>
        <w:t>省职</w:t>
      </w:r>
      <w:r>
        <w:rPr>
          <w:rFonts w:hint="eastAsia" w:ascii="宋体" w:hAnsi="宋体" w:eastAsia="宋体" w:cs="宋体"/>
          <w:b/>
          <w:bCs w:val="0"/>
          <w:sz w:val="44"/>
          <w:szCs w:val="44"/>
          <w:lang w:val="en-US" w:eastAsia="zh-CN"/>
        </w:rPr>
        <w:t>业</w:t>
      </w:r>
      <w:r>
        <w:rPr>
          <w:rFonts w:hint="eastAsia" w:ascii="宋体" w:hAnsi="宋体" w:eastAsia="宋体" w:cs="宋体"/>
          <w:b/>
          <w:bCs w:val="0"/>
          <w:sz w:val="44"/>
          <w:szCs w:val="44"/>
        </w:rPr>
        <w:t>院校技能大赛</w:t>
      </w:r>
      <w:r>
        <w:rPr>
          <w:rFonts w:hint="eastAsia" w:ascii="宋体" w:hAnsi="宋体" w:eastAsia="宋体" w:cs="宋体"/>
          <w:b/>
          <w:bCs w:val="0"/>
          <w:sz w:val="44"/>
          <w:szCs w:val="44"/>
          <w:lang w:eastAsia="zh-CN"/>
        </w:rPr>
        <w:t>（</w:t>
      </w:r>
      <w:r>
        <w:rPr>
          <w:rFonts w:hint="eastAsia" w:ascii="宋体" w:hAnsi="宋体" w:eastAsia="宋体" w:cs="宋体"/>
          <w:b/>
          <w:bCs w:val="0"/>
          <w:sz w:val="44"/>
          <w:szCs w:val="44"/>
          <w:lang w:val="en-US" w:eastAsia="zh-CN"/>
        </w:rPr>
        <w:t>高职组）</w:t>
      </w:r>
    </w:p>
    <w:p>
      <w:pPr>
        <w:snapToGrid w:val="0"/>
        <w:spacing w:line="560" w:lineRule="exact"/>
        <w:ind w:firstLine="420"/>
        <w:jc w:val="center"/>
        <w:outlineLvl w:val="0"/>
        <w:rPr>
          <w:rFonts w:hint="eastAsia" w:ascii="宋体" w:hAnsi="宋体" w:eastAsia="宋体" w:cs="宋体"/>
          <w:b/>
          <w:bCs w:val="0"/>
          <w:color w:val="FF0000"/>
          <w:sz w:val="44"/>
          <w:szCs w:val="44"/>
        </w:rPr>
      </w:pPr>
      <w:r>
        <w:rPr>
          <w:rFonts w:hint="eastAsia" w:ascii="宋体" w:hAnsi="宋体" w:eastAsia="宋体" w:cs="宋体"/>
          <w:b/>
          <w:bCs w:val="0"/>
          <w:sz w:val="44"/>
          <w:szCs w:val="44"/>
        </w:rPr>
        <w:t>互联网+国际贸易综合技能赛项规程</w:t>
      </w:r>
    </w:p>
    <w:p>
      <w:pPr>
        <w:spacing w:line="560" w:lineRule="exact"/>
        <w:ind w:firstLine="200"/>
        <w:rPr>
          <w:rFonts w:ascii="仿宋" w:hAnsi="仿宋" w:eastAsia="仿宋"/>
          <w:b/>
          <w:sz w:val="30"/>
          <w:szCs w:val="30"/>
        </w:rPr>
      </w:pPr>
    </w:p>
    <w:p>
      <w:pPr>
        <w:keepNext w:val="0"/>
        <w:keepLines w:val="0"/>
        <w:pageBreakBefore w:val="0"/>
        <w:widowControl w:val="0"/>
        <w:kinsoku/>
        <w:wordWrap/>
        <w:overflowPunct/>
        <w:topLinePunct w:val="0"/>
        <w:autoSpaceDE/>
        <w:autoSpaceDN/>
        <w:bidi w:val="0"/>
        <w:adjustRightInd/>
        <w:snapToGrid/>
        <w:spacing w:line="600" w:lineRule="exact"/>
        <w:textAlignment w:val="auto"/>
        <w:outlineLvl w:val="0"/>
        <w:rPr>
          <w:rFonts w:hint="eastAsia" w:ascii="仿宋" w:hAnsi="仿宋" w:eastAsia="仿宋" w:cs="仿宋"/>
          <w:b/>
          <w:sz w:val="32"/>
          <w:szCs w:val="32"/>
        </w:rPr>
      </w:pPr>
      <w:bookmarkStart w:id="0" w:name="_Toc61004411"/>
      <w:r>
        <w:rPr>
          <w:rFonts w:hint="eastAsia" w:ascii="仿宋" w:hAnsi="仿宋" w:eastAsia="仿宋" w:cs="仿宋"/>
          <w:b/>
          <w:sz w:val="32"/>
          <w:szCs w:val="32"/>
        </w:rPr>
        <w:t>一、竞赛名称</w:t>
      </w:r>
      <w:bookmarkEnd w:id="0"/>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u w:val="single"/>
        </w:rPr>
      </w:pPr>
      <w:r>
        <w:rPr>
          <w:rFonts w:hint="eastAsia" w:ascii="仿宋" w:hAnsi="仿宋" w:eastAsia="仿宋" w:cs="仿宋"/>
          <w:sz w:val="32"/>
          <w:szCs w:val="32"/>
        </w:rPr>
        <w:t>赛项名称：互联网+国际贸易综合技能</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u w:val="single"/>
        </w:rPr>
      </w:pPr>
      <w:r>
        <w:rPr>
          <w:rFonts w:hint="eastAsia" w:ascii="仿宋" w:hAnsi="仿宋" w:eastAsia="仿宋" w:cs="仿宋"/>
          <w:sz w:val="32"/>
          <w:szCs w:val="32"/>
        </w:rPr>
        <w:t>英文名称：Internet Plus Integrated Skills in International Trade</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赛项组别：高职</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赛项归属产业：现代服务业</w:t>
      </w:r>
    </w:p>
    <w:p>
      <w:pPr>
        <w:keepNext w:val="0"/>
        <w:keepLines w:val="0"/>
        <w:pageBreakBefore w:val="0"/>
        <w:widowControl w:val="0"/>
        <w:kinsoku/>
        <w:wordWrap/>
        <w:overflowPunct/>
        <w:topLinePunct w:val="0"/>
        <w:autoSpaceDE/>
        <w:autoSpaceDN/>
        <w:bidi w:val="0"/>
        <w:adjustRightInd/>
        <w:snapToGrid/>
        <w:spacing w:line="600" w:lineRule="exact"/>
        <w:textAlignment w:val="auto"/>
        <w:outlineLvl w:val="0"/>
        <w:rPr>
          <w:rFonts w:hint="eastAsia" w:ascii="仿宋" w:hAnsi="仿宋" w:eastAsia="仿宋" w:cs="仿宋"/>
          <w:b/>
          <w:sz w:val="32"/>
          <w:szCs w:val="32"/>
        </w:rPr>
      </w:pPr>
      <w:bookmarkStart w:id="1" w:name="_Toc61004412"/>
      <w:r>
        <w:rPr>
          <w:rFonts w:hint="eastAsia" w:ascii="仿宋" w:hAnsi="仿宋" w:eastAsia="仿宋" w:cs="仿宋"/>
          <w:b/>
          <w:sz w:val="32"/>
          <w:szCs w:val="32"/>
        </w:rPr>
        <w:t>二、竞赛目的</w:t>
      </w:r>
      <w:bookmarkEnd w:id="1"/>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本赛项以服务“构建国内国际双循环相互促进的新发展格局”为目标，以助力“一带一路”建设为核心，以国际贸易最新业态发展为驱动，瞄准世界高水平的国际贸易行业技能，在检验教学成果的同时，搭建专业、课程、培养机制改革平台，促进专业建设、教学改革的深入进行，切实提高教学质量和人才培养水平。</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赛项设计充分发挥技能大赛对高校专业建设的促进和引领作用，以高难度的竞赛内容为要求，实现对学生的团队协同创新能力、沟通能力、尽责抗压能力及专业岗位能力的综合检验；以高水平的技能竞赛质量为杠杆，努力营造全社会崇尚技能的氛围；以高标准的竞赛模式为抓手，全面推行“教、学、做、练、赛”一体化教学模式，提高全国高校学生的参与度，为“互联网+”背景下国际贸易教育教学改革提供了新的思路与方向。以此为基础，探索建立适应国际贸易新形势下的世界高水平职业岗位标准，为院校教学课程设置及岗位职业能力培养提供有效依据,从而实现产教深度融合，在高校和行业中营造尊重技能、崇尚技能的浓厚氛围。</w:t>
      </w:r>
    </w:p>
    <w:p>
      <w:pPr>
        <w:keepNext w:val="0"/>
        <w:keepLines w:val="0"/>
        <w:pageBreakBefore w:val="0"/>
        <w:widowControl w:val="0"/>
        <w:kinsoku/>
        <w:wordWrap/>
        <w:overflowPunct/>
        <w:topLinePunct w:val="0"/>
        <w:autoSpaceDE/>
        <w:autoSpaceDN/>
        <w:bidi w:val="0"/>
        <w:adjustRightInd/>
        <w:snapToGrid/>
        <w:spacing w:line="600" w:lineRule="exact"/>
        <w:textAlignment w:val="auto"/>
        <w:outlineLvl w:val="0"/>
        <w:rPr>
          <w:rFonts w:hint="eastAsia" w:ascii="仿宋" w:hAnsi="仿宋" w:eastAsia="仿宋" w:cs="仿宋"/>
          <w:b/>
          <w:sz w:val="32"/>
          <w:szCs w:val="32"/>
        </w:rPr>
      </w:pPr>
      <w:bookmarkStart w:id="2" w:name="_Toc61004413"/>
      <w:r>
        <w:rPr>
          <w:rFonts w:hint="eastAsia" w:ascii="仿宋" w:hAnsi="仿宋" w:eastAsia="仿宋" w:cs="仿宋"/>
          <w:b/>
          <w:sz w:val="32"/>
          <w:szCs w:val="32"/>
        </w:rPr>
        <w:t>三、竞赛内容</w:t>
      </w:r>
      <w:bookmarkEnd w:id="2"/>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eastAsia" w:ascii="仿宋" w:hAnsi="仿宋" w:eastAsia="仿宋" w:cs="仿宋"/>
          <w:sz w:val="32"/>
          <w:szCs w:val="32"/>
        </w:rPr>
      </w:pPr>
      <w:r>
        <w:rPr>
          <w:rFonts w:hint="eastAsia" w:ascii="仿宋" w:hAnsi="仿宋" w:eastAsia="仿宋" w:cs="仿宋"/>
          <w:sz w:val="32"/>
          <w:szCs w:val="32"/>
        </w:rPr>
        <w:t>（一）竞赛内容</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本竞赛分为外贸B2B模块、外贸B2C模块两项内容。</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外贸B2B模块：各参赛院校选手通过外贸B2B平台推广公司和产品，带来业务机会，并与模拟其他国家（或地区）公司的选手磋商交易，业务操作至合同签订为止。选手需在规定时间内争取尽量多的业务机会，体现业务多样性，同时还必须做好每笔业务的成本核算，实现利润最大化。</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外贸B2C模块：各参赛院校选手通过外贸B2C数据运营推广公司和产品，以努力提升公司的投资回报率（ROI）为目标，以回合制竞争博弈为形式，对国际市场环境数据和公司运营结果数据进行挖掘与分析，完成外销产品开发、国内采购、产品上下架、国际市场定价、引流、国际物流配送、国际支付、财务管理等各个运营环节的决策实施，并且在逐次展开的回合中不断优化本公司的数据运营战略与决策。考察选手外贸B2C数据运营的需求意识、成本意识、风险意识、利润意识、竞争意识及数据挖掘分析能力和运营决策能力。</w:t>
      </w:r>
    </w:p>
    <w:p>
      <w:pPr>
        <w:keepNext w:val="0"/>
        <w:keepLines w:val="0"/>
        <w:pageBreakBefore w:val="0"/>
        <w:widowControl w:val="0"/>
        <w:kinsoku/>
        <w:wordWrap/>
        <w:overflowPunct/>
        <w:topLinePunct w:val="0"/>
        <w:autoSpaceDE/>
        <w:autoSpaceDN/>
        <w:bidi w:val="0"/>
        <w:adjustRightInd/>
        <w:snapToGrid/>
        <w:spacing w:line="600" w:lineRule="exact"/>
        <w:ind w:firstLine="3360" w:firstLineChars="1050"/>
        <w:textAlignment w:val="auto"/>
        <w:rPr>
          <w:rFonts w:hint="eastAsia" w:ascii="仿宋" w:hAnsi="仿宋" w:eastAsia="仿宋" w:cs="仿宋"/>
          <w:sz w:val="32"/>
          <w:szCs w:val="32"/>
        </w:rPr>
      </w:pPr>
      <w:r>
        <w:rPr>
          <w:rFonts w:hint="eastAsia" w:ascii="仿宋" w:hAnsi="仿宋" w:eastAsia="仿宋" w:cs="仿宋"/>
          <w:sz w:val="32"/>
          <w:szCs w:val="32"/>
        </w:rPr>
        <w:t>竞赛内容详见表1</w:t>
      </w:r>
    </w:p>
    <w:tbl>
      <w:tblPr>
        <w:tblStyle w:val="8"/>
        <w:tblW w:w="8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13"/>
        <w:gridCol w:w="974"/>
        <w:gridCol w:w="13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blHeader/>
          <w:jc w:val="center"/>
        </w:trPr>
        <w:tc>
          <w:tcPr>
            <w:tcW w:w="5813" w:type="dxa"/>
            <w:noWrap w:val="0"/>
            <w:vAlign w:val="center"/>
          </w:tcPr>
          <w:p>
            <w:pPr>
              <w:spacing w:line="560" w:lineRule="exact"/>
              <w:jc w:val="center"/>
              <w:rPr>
                <w:rFonts w:ascii="仿宋" w:hAnsi="仿宋" w:eastAsia="仿宋"/>
                <w:b/>
                <w:sz w:val="24"/>
              </w:rPr>
            </w:pPr>
            <w:r>
              <w:rPr>
                <w:rFonts w:hint="eastAsia" w:ascii="仿宋" w:hAnsi="仿宋" w:eastAsia="仿宋"/>
                <w:b/>
                <w:sz w:val="24"/>
              </w:rPr>
              <w:t>比赛内容</w:t>
            </w:r>
          </w:p>
        </w:tc>
        <w:tc>
          <w:tcPr>
            <w:tcW w:w="974" w:type="dxa"/>
            <w:noWrap w:val="0"/>
            <w:vAlign w:val="center"/>
          </w:tcPr>
          <w:p>
            <w:pPr>
              <w:spacing w:line="560" w:lineRule="exact"/>
              <w:jc w:val="center"/>
              <w:rPr>
                <w:rFonts w:ascii="仿宋" w:hAnsi="仿宋" w:eastAsia="仿宋"/>
                <w:b/>
                <w:sz w:val="24"/>
              </w:rPr>
            </w:pPr>
            <w:r>
              <w:rPr>
                <w:rFonts w:hint="eastAsia" w:ascii="仿宋" w:hAnsi="仿宋" w:eastAsia="仿宋"/>
                <w:b/>
                <w:sz w:val="24"/>
              </w:rPr>
              <w:t>比重</w:t>
            </w:r>
          </w:p>
        </w:tc>
        <w:tc>
          <w:tcPr>
            <w:tcW w:w="1393" w:type="dxa"/>
            <w:noWrap w:val="0"/>
            <w:vAlign w:val="center"/>
          </w:tcPr>
          <w:p>
            <w:pPr>
              <w:spacing w:line="560" w:lineRule="exact"/>
              <w:jc w:val="center"/>
              <w:rPr>
                <w:rFonts w:ascii="仿宋" w:hAnsi="仿宋" w:eastAsia="仿宋"/>
                <w:b/>
                <w:sz w:val="24"/>
              </w:rPr>
            </w:pPr>
            <w:r>
              <w:rPr>
                <w:rFonts w:hint="eastAsia" w:ascii="仿宋" w:hAnsi="仿宋" w:eastAsia="仿宋"/>
                <w:b/>
                <w:sz w:val="24"/>
              </w:rPr>
              <w:t>时长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blHeader/>
          <w:jc w:val="center"/>
        </w:trPr>
        <w:tc>
          <w:tcPr>
            <w:tcW w:w="5813" w:type="dxa"/>
            <w:noWrap w:val="0"/>
            <w:vAlign w:val="center"/>
          </w:tcPr>
          <w:p>
            <w:pPr>
              <w:rPr>
                <w:rFonts w:ascii="仿宋" w:hAnsi="仿宋" w:eastAsia="仿宋"/>
                <w:sz w:val="24"/>
              </w:rPr>
            </w:pPr>
            <w:r>
              <w:rPr>
                <w:rFonts w:hint="eastAsia" w:ascii="仿宋" w:hAnsi="仿宋" w:eastAsia="仿宋"/>
                <w:sz w:val="24"/>
              </w:rPr>
              <w:t>外贸B2B模块：基于B2B跨境平台的产品展示、营销推广、进出口价格核算、成本控制、贸易磋商和合同签订。</w:t>
            </w:r>
          </w:p>
        </w:tc>
        <w:tc>
          <w:tcPr>
            <w:tcW w:w="974" w:type="dxa"/>
            <w:noWrap w:val="0"/>
            <w:vAlign w:val="center"/>
          </w:tcPr>
          <w:p>
            <w:pPr>
              <w:spacing w:line="560" w:lineRule="exact"/>
              <w:jc w:val="center"/>
              <w:rPr>
                <w:rFonts w:ascii="仿宋" w:hAnsi="仿宋" w:eastAsia="仿宋"/>
                <w:sz w:val="24"/>
              </w:rPr>
            </w:pPr>
            <w:r>
              <w:rPr>
                <w:rFonts w:hint="eastAsia" w:ascii="仿宋" w:hAnsi="仿宋" w:eastAsia="仿宋"/>
                <w:sz w:val="24"/>
              </w:rPr>
              <w:t>50%</w:t>
            </w:r>
          </w:p>
        </w:tc>
        <w:tc>
          <w:tcPr>
            <w:tcW w:w="1393" w:type="dxa"/>
            <w:noWrap w:val="0"/>
            <w:vAlign w:val="center"/>
          </w:tcPr>
          <w:p>
            <w:pPr>
              <w:spacing w:line="560" w:lineRule="exact"/>
              <w:jc w:val="center"/>
              <w:rPr>
                <w:rFonts w:ascii="仿宋" w:hAnsi="仿宋" w:eastAsia="仿宋"/>
                <w:sz w:val="24"/>
              </w:rPr>
            </w:pPr>
            <w:r>
              <w:rPr>
                <w:rFonts w:hint="eastAsia" w:ascii="仿宋" w:hAnsi="仿宋" w:eastAsia="仿宋"/>
                <w:sz w:val="24"/>
              </w:rPr>
              <w:t>4小时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blHeader/>
          <w:jc w:val="center"/>
        </w:trPr>
        <w:tc>
          <w:tcPr>
            <w:tcW w:w="5813" w:type="dxa"/>
            <w:noWrap w:val="0"/>
            <w:vAlign w:val="center"/>
          </w:tcPr>
          <w:p>
            <w:pPr>
              <w:rPr>
                <w:rFonts w:ascii="仿宋" w:hAnsi="仿宋" w:eastAsia="仿宋"/>
                <w:sz w:val="24"/>
              </w:rPr>
            </w:pPr>
            <w:r>
              <w:rPr>
                <w:rFonts w:hint="eastAsia" w:ascii="仿宋" w:hAnsi="仿宋" w:eastAsia="仿宋"/>
                <w:sz w:val="24"/>
              </w:rPr>
              <w:t>外贸B2C模块：基于外贸B2C数据挖掘及分析，开展商品开发及采购、营销推广、价格核算、国际物流管理、财务管理等运营活动。</w:t>
            </w:r>
          </w:p>
        </w:tc>
        <w:tc>
          <w:tcPr>
            <w:tcW w:w="974" w:type="dxa"/>
            <w:noWrap w:val="0"/>
            <w:vAlign w:val="center"/>
          </w:tcPr>
          <w:p>
            <w:pPr>
              <w:spacing w:line="560" w:lineRule="exact"/>
              <w:jc w:val="center"/>
              <w:rPr>
                <w:rFonts w:ascii="仿宋" w:hAnsi="仿宋" w:eastAsia="仿宋"/>
                <w:sz w:val="24"/>
              </w:rPr>
            </w:pPr>
            <w:r>
              <w:rPr>
                <w:rFonts w:hint="eastAsia" w:ascii="仿宋" w:hAnsi="仿宋" w:eastAsia="仿宋"/>
                <w:sz w:val="24"/>
              </w:rPr>
              <w:t>50%</w:t>
            </w:r>
          </w:p>
        </w:tc>
        <w:tc>
          <w:tcPr>
            <w:tcW w:w="1393" w:type="dxa"/>
            <w:noWrap w:val="0"/>
            <w:vAlign w:val="center"/>
          </w:tcPr>
          <w:p>
            <w:pPr>
              <w:spacing w:line="560" w:lineRule="exact"/>
              <w:jc w:val="center"/>
              <w:rPr>
                <w:rFonts w:ascii="仿宋" w:hAnsi="仿宋" w:eastAsia="仿宋"/>
                <w:sz w:val="24"/>
              </w:rPr>
            </w:pPr>
            <w:r>
              <w:rPr>
                <w:rFonts w:hint="eastAsia" w:ascii="仿宋" w:hAnsi="仿宋" w:eastAsia="仿宋"/>
                <w:sz w:val="24"/>
              </w:rPr>
              <w:t>5小时</w:t>
            </w:r>
          </w:p>
        </w:tc>
      </w:tr>
    </w:tbl>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eastAsia" w:ascii="仿宋" w:hAnsi="仿宋" w:eastAsia="仿宋" w:cs="仿宋"/>
          <w:sz w:val="32"/>
          <w:szCs w:val="32"/>
        </w:rPr>
      </w:pPr>
      <w:r>
        <w:rPr>
          <w:rFonts w:hint="eastAsia" w:ascii="仿宋" w:hAnsi="仿宋" w:eastAsia="仿宋" w:cs="仿宋"/>
          <w:sz w:val="32"/>
          <w:szCs w:val="32"/>
        </w:rPr>
        <w:t>（二）竞赛方案</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eastAsia" w:ascii="仿宋" w:hAnsi="仿宋" w:eastAsia="仿宋" w:cs="仿宋"/>
          <w:sz w:val="32"/>
          <w:szCs w:val="32"/>
        </w:rPr>
      </w:pPr>
      <w:bookmarkStart w:id="3" w:name="_Toc61004414"/>
      <w:r>
        <w:rPr>
          <w:rFonts w:hint="eastAsia" w:ascii="仿宋" w:hAnsi="仿宋" w:eastAsia="仿宋" w:cs="仿宋"/>
          <w:sz w:val="32"/>
          <w:szCs w:val="32"/>
        </w:rPr>
        <w:t>1. 外贸B2B模块</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（1）竞赛方式为上机竞赛；</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（2）竞赛总时间为4小时；</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（3）竞赛形式为模拟不同国家间进行进出口贸易。每个参赛队的2组选手通过组内2名选手的团队合作，与其他参赛队伍开展进出口贸易；</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（4）选手需完成B2B跨境平台推广、进出口交易磋商、进出口业务成本核算、进出口合同的缮制与审核等贸易流程；</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（5）同一学校、同一参赛队、同一国家的选手无法进行交易；</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（6）各笔业务进行至合同签订确认即告完成，无需完成后续履约过程。业务盈亏情况以相应预算表中实际发生额数字为准；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（7）所有业务采用统一的保险条款及投保加成，海运方式下按照“协会货物(A)险条款（ICC Clause A）＋战争险（War Risks）＋罢工险（Strike）”进行投保，空运方式下按照“航空运输一切险（Air Transportation All Risks）＋战争险（War Risks）＋罢工险（Strike）”进行投保，且投保加成统一为110%；</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（8）单笔业务成交金额不能超过公司当前资金，且不允许贷款；</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（9）每组选手可完成的业务笔数不超过16笔。</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eastAsia" w:ascii="仿宋" w:hAnsi="仿宋" w:eastAsia="仿宋" w:cs="仿宋"/>
          <w:sz w:val="32"/>
          <w:szCs w:val="32"/>
        </w:rPr>
      </w:pPr>
      <w:r>
        <w:rPr>
          <w:rFonts w:hint="eastAsia" w:ascii="仿宋" w:hAnsi="仿宋" w:eastAsia="仿宋" w:cs="仿宋"/>
          <w:sz w:val="32"/>
          <w:szCs w:val="32"/>
        </w:rPr>
        <w:t>2. 外贸B2C模块</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（1）竞赛方式为上机竞赛；</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（2）竞赛共计8回合，竞赛总时间为5小时；</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（3）每个参赛队的2组选手通过组内2名选手的团队合作，开展外贸B2C数据运营，与其他参赛队模拟的同质企业在同一市场环境中展开竞争；</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每回合开始后，参赛队可根据当前市场快讯、汇率、税收政策、仓储物流及海外仓信息、外贸B2C平台政策、竞品信息等，结合企业运营产生的财务、订单、利润、库存等数据，进行数据挖掘与分析，制定企业运营战略及决策，并在系统中实施；</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（5）每回合每店铺发布新商品数量上限为50个，每回合每店铺在售商品数量上限为100个。</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（6）每回合结束后，系统将根据当前所有参赛队所做的决策，结合当前市场环境进行运算，给出各参赛队运营结果与成绩。参赛队可根据运营结果对运营战略及决策进行优化，并付诸实施，直至比赛结束；</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（7）参赛队如出现资金链断裂等情况，可导致经营的公司破产。参赛队在公司破产后可重新创建公司继续经营，直至比赛结束。</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outlineLvl w:val="0"/>
        <w:rPr>
          <w:rFonts w:hint="eastAsia" w:ascii="仿宋" w:hAnsi="仿宋" w:eastAsia="仿宋" w:cs="仿宋"/>
          <w:b/>
          <w:sz w:val="32"/>
          <w:szCs w:val="32"/>
        </w:rPr>
      </w:pPr>
      <w:r>
        <w:rPr>
          <w:rFonts w:hint="eastAsia" w:ascii="仿宋" w:hAnsi="仿宋" w:eastAsia="仿宋" w:cs="仿宋"/>
          <w:b/>
          <w:sz w:val="32"/>
          <w:szCs w:val="32"/>
        </w:rPr>
        <w:t>四、竞赛方式</w:t>
      </w:r>
      <w:bookmarkEnd w:id="3"/>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（一）本竞赛为团体赛，团体赛不得跨校组队，同一学校相同项目报名参赛队</w:t>
      </w:r>
      <w:r>
        <w:rPr>
          <w:rFonts w:hint="eastAsia" w:ascii="仿宋" w:hAnsi="仿宋" w:eastAsia="仿宋" w:cs="仿宋"/>
          <w:sz w:val="32"/>
          <w:szCs w:val="32"/>
          <w:lang w:val="en-US" w:eastAsia="zh-CN"/>
        </w:rPr>
        <w:t>2</w:t>
      </w:r>
      <w:r>
        <w:rPr>
          <w:rFonts w:hint="eastAsia" w:ascii="仿宋" w:hAnsi="仿宋" w:eastAsia="仿宋" w:cs="仿宋"/>
          <w:sz w:val="32"/>
          <w:szCs w:val="32"/>
        </w:rPr>
        <w:t>支。每队4名选手，不超过2名指导教师。1名领队老师可由指导老师兼任。每支队伍的4名学生以自由组合方式自行分为2组，分组一旦确定不可更改。</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（二）竞赛场地设</w:t>
      </w:r>
      <w:r>
        <w:rPr>
          <w:rFonts w:hint="eastAsia" w:ascii="仿宋" w:hAnsi="仿宋" w:eastAsia="仿宋" w:cs="仿宋"/>
          <w:color w:val="FF0000"/>
          <w:sz w:val="32"/>
          <w:szCs w:val="32"/>
          <w:lang w:val="en-US" w:eastAsia="zh-CN"/>
        </w:rPr>
        <w:t>在</w:t>
      </w:r>
      <w:r>
        <w:rPr>
          <w:rFonts w:hint="eastAsia" w:ascii="仿宋" w:hAnsi="仿宋" w:eastAsia="仿宋" w:cs="仿宋"/>
          <w:sz w:val="32"/>
          <w:szCs w:val="32"/>
        </w:rPr>
        <w:t>电脑机房，场地内设置满足参赛队伍数量的竞赛环境，场地将根据报名参赛队伍数量分隔成多个区域，每个区域内设置多个赛位。一个参赛队的每个小组的两名选手一个机位，每个机位两台电脑，其中一台电脑备用，桌椅备足。比赛连续进行，比赛过程中不同组选手不允许进行接触和交流。</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outlineLvl w:val="0"/>
        <w:rPr>
          <w:rFonts w:hint="eastAsia" w:ascii="仿宋" w:hAnsi="仿宋" w:eastAsia="仿宋" w:cs="仿宋"/>
          <w:b/>
          <w:sz w:val="32"/>
          <w:szCs w:val="32"/>
        </w:rPr>
      </w:pPr>
      <w:bookmarkStart w:id="4" w:name="_Toc61004415"/>
      <w:r>
        <w:rPr>
          <w:rFonts w:hint="eastAsia" w:ascii="仿宋" w:hAnsi="仿宋" w:eastAsia="仿宋" w:cs="仿宋"/>
          <w:b/>
          <w:sz w:val="32"/>
          <w:szCs w:val="32"/>
        </w:rPr>
        <w:t>五、竞赛流程</w:t>
      </w:r>
      <w:bookmarkEnd w:id="4"/>
    </w:p>
    <w:p>
      <w:pPr>
        <w:spacing w:line="560" w:lineRule="exact"/>
        <w:jc w:val="center"/>
        <w:rPr>
          <w:rFonts w:hint="eastAsia" w:ascii="仿宋" w:hAnsi="仿宋" w:eastAsia="仿宋" w:cs="宋体"/>
          <w:sz w:val="24"/>
          <w:szCs w:val="30"/>
        </w:rPr>
      </w:pPr>
      <w:r>
        <w:rPr>
          <w:rFonts w:hint="eastAsia" w:ascii="仿宋" w:hAnsi="仿宋" w:eastAsia="仿宋" w:cs="宋体"/>
          <w:sz w:val="24"/>
          <w:szCs w:val="30"/>
        </w:rPr>
        <w:t>表2 竞赛流程</w:t>
      </w:r>
    </w:p>
    <w:tbl>
      <w:tblPr>
        <w:tblStyle w:val="8"/>
        <w:tblW w:w="89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1588"/>
        <w:gridCol w:w="2000"/>
        <w:gridCol w:w="1800"/>
        <w:gridCol w:w="937"/>
        <w:gridCol w:w="19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39" w:type="dxa"/>
            <w:noWrap w:val="0"/>
            <w:vAlign w:val="center"/>
          </w:tcPr>
          <w:p>
            <w:pPr>
              <w:shd w:val="solid" w:color="FFFFFF" w:fill="auto"/>
              <w:autoSpaceDN w:val="0"/>
              <w:adjustRightInd w:val="0"/>
              <w:snapToGrid w:val="0"/>
              <w:jc w:val="center"/>
              <w:rPr>
                <w:rFonts w:ascii="仿宋" w:hAnsi="仿宋" w:eastAsia="仿宋"/>
                <w:b/>
                <w:sz w:val="24"/>
                <w:shd w:val="clear" w:color="auto" w:fill="FFFFFF"/>
              </w:rPr>
            </w:pPr>
            <w:bookmarkStart w:id="5" w:name="_Toc61004416"/>
            <w:r>
              <w:rPr>
                <w:rFonts w:hint="eastAsia" w:ascii="仿宋" w:hAnsi="仿宋" w:eastAsia="仿宋"/>
                <w:b/>
                <w:sz w:val="24"/>
                <w:shd w:val="clear" w:color="auto" w:fill="FFFFFF"/>
              </w:rPr>
              <w:t>日期</w:t>
            </w:r>
          </w:p>
        </w:tc>
        <w:tc>
          <w:tcPr>
            <w:tcW w:w="1588" w:type="dxa"/>
            <w:noWrap w:val="0"/>
            <w:vAlign w:val="center"/>
          </w:tcPr>
          <w:p>
            <w:pPr>
              <w:shd w:val="solid" w:color="FFFFFF" w:fill="auto"/>
              <w:autoSpaceDN w:val="0"/>
              <w:adjustRightInd w:val="0"/>
              <w:snapToGrid w:val="0"/>
              <w:jc w:val="center"/>
              <w:rPr>
                <w:rFonts w:ascii="仿宋" w:hAnsi="仿宋" w:eastAsia="仿宋"/>
                <w:b/>
                <w:sz w:val="24"/>
                <w:shd w:val="clear" w:color="auto" w:fill="FFFFFF"/>
              </w:rPr>
            </w:pPr>
            <w:r>
              <w:rPr>
                <w:rFonts w:hint="eastAsia" w:ascii="仿宋" w:hAnsi="仿宋" w:eastAsia="仿宋"/>
                <w:b/>
                <w:sz w:val="24"/>
                <w:shd w:val="clear" w:color="auto" w:fill="FFFFFF"/>
              </w:rPr>
              <w:t>时间</w:t>
            </w:r>
          </w:p>
        </w:tc>
        <w:tc>
          <w:tcPr>
            <w:tcW w:w="2000" w:type="dxa"/>
            <w:noWrap w:val="0"/>
            <w:vAlign w:val="center"/>
          </w:tcPr>
          <w:p>
            <w:pPr>
              <w:shd w:val="solid" w:color="FFFFFF" w:fill="auto"/>
              <w:autoSpaceDN w:val="0"/>
              <w:adjustRightInd w:val="0"/>
              <w:snapToGrid w:val="0"/>
              <w:jc w:val="center"/>
              <w:rPr>
                <w:rFonts w:ascii="仿宋" w:hAnsi="仿宋" w:eastAsia="仿宋"/>
                <w:b/>
                <w:sz w:val="24"/>
                <w:shd w:val="clear" w:color="auto" w:fill="FFFFFF"/>
              </w:rPr>
            </w:pPr>
            <w:r>
              <w:rPr>
                <w:rFonts w:hint="eastAsia" w:ascii="仿宋" w:hAnsi="仿宋" w:eastAsia="仿宋"/>
                <w:b/>
                <w:sz w:val="24"/>
                <w:shd w:val="clear" w:color="auto" w:fill="FFFFFF"/>
              </w:rPr>
              <w:t>事项</w:t>
            </w:r>
          </w:p>
        </w:tc>
        <w:tc>
          <w:tcPr>
            <w:tcW w:w="1800" w:type="dxa"/>
            <w:noWrap w:val="0"/>
            <w:vAlign w:val="center"/>
          </w:tcPr>
          <w:p>
            <w:pPr>
              <w:shd w:val="solid" w:color="FFFFFF" w:fill="auto"/>
              <w:autoSpaceDN w:val="0"/>
              <w:adjustRightInd w:val="0"/>
              <w:snapToGrid w:val="0"/>
              <w:jc w:val="center"/>
              <w:rPr>
                <w:rFonts w:ascii="仿宋" w:hAnsi="仿宋" w:eastAsia="仿宋"/>
                <w:b/>
                <w:sz w:val="24"/>
                <w:shd w:val="clear" w:color="auto" w:fill="FFFFFF"/>
              </w:rPr>
            </w:pPr>
            <w:r>
              <w:rPr>
                <w:rFonts w:hint="eastAsia" w:ascii="仿宋" w:hAnsi="仿宋" w:eastAsia="仿宋"/>
                <w:b/>
                <w:sz w:val="24"/>
                <w:shd w:val="clear" w:color="auto" w:fill="FFFFFF"/>
              </w:rPr>
              <w:t>参加人员</w:t>
            </w:r>
          </w:p>
        </w:tc>
        <w:tc>
          <w:tcPr>
            <w:tcW w:w="937" w:type="dxa"/>
            <w:noWrap w:val="0"/>
            <w:vAlign w:val="center"/>
          </w:tcPr>
          <w:p>
            <w:pPr>
              <w:shd w:val="solid" w:color="FFFFFF" w:fill="auto"/>
              <w:autoSpaceDN w:val="0"/>
              <w:adjustRightInd w:val="0"/>
              <w:snapToGrid w:val="0"/>
              <w:jc w:val="center"/>
              <w:rPr>
                <w:rFonts w:ascii="仿宋" w:hAnsi="仿宋" w:eastAsia="仿宋"/>
                <w:b/>
                <w:sz w:val="24"/>
                <w:shd w:val="clear" w:color="auto" w:fill="FFFFFF"/>
              </w:rPr>
            </w:pPr>
            <w:r>
              <w:rPr>
                <w:rFonts w:hint="eastAsia" w:ascii="仿宋" w:hAnsi="仿宋" w:eastAsia="仿宋"/>
                <w:b/>
                <w:sz w:val="24"/>
                <w:shd w:val="clear" w:color="auto" w:fill="FFFFFF"/>
              </w:rPr>
              <w:t>地点</w:t>
            </w:r>
          </w:p>
        </w:tc>
        <w:tc>
          <w:tcPr>
            <w:tcW w:w="1941" w:type="dxa"/>
            <w:noWrap w:val="0"/>
            <w:vAlign w:val="center"/>
          </w:tcPr>
          <w:p>
            <w:pPr>
              <w:shd w:val="solid" w:color="FFFFFF" w:fill="auto"/>
              <w:autoSpaceDN w:val="0"/>
              <w:adjustRightInd w:val="0"/>
              <w:snapToGrid w:val="0"/>
              <w:jc w:val="center"/>
              <w:rPr>
                <w:rFonts w:ascii="仿宋" w:hAnsi="仿宋" w:eastAsia="仿宋"/>
                <w:b/>
                <w:sz w:val="24"/>
                <w:shd w:val="clear" w:color="auto" w:fill="FFFFFF"/>
              </w:rPr>
            </w:pPr>
            <w:r>
              <w:rPr>
                <w:rFonts w:hint="eastAsia" w:ascii="仿宋" w:hAnsi="仿宋" w:eastAsia="仿宋"/>
                <w:b/>
                <w:sz w:val="24"/>
                <w:shd w:val="clear" w:color="auto" w:fill="FFFFFF"/>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9" w:type="dxa"/>
            <w:vMerge w:val="restart"/>
            <w:noWrap w:val="0"/>
            <w:vAlign w:val="center"/>
          </w:tcPr>
          <w:p>
            <w:pPr>
              <w:shd w:val="solid" w:color="FFFFFF" w:fill="auto"/>
              <w:autoSpaceDN w:val="0"/>
              <w:adjustRightInd w:val="0"/>
              <w:snapToGrid w:val="0"/>
              <w:jc w:val="center"/>
              <w:rPr>
                <w:rFonts w:hint="default" w:ascii="仿宋" w:hAnsi="仿宋" w:eastAsia="仿宋"/>
                <w:sz w:val="24"/>
                <w:shd w:val="clear" w:color="auto" w:fill="FFFFFF"/>
                <w:lang w:val="en-US" w:eastAsia="zh-CN"/>
              </w:rPr>
            </w:pPr>
            <w:r>
              <w:rPr>
                <w:rFonts w:hint="eastAsia" w:ascii="仿宋" w:hAnsi="仿宋" w:eastAsia="仿宋"/>
                <w:sz w:val="24"/>
                <w:shd w:val="clear" w:color="auto" w:fill="FFFFFF"/>
                <w:lang w:val="en-US" w:eastAsia="zh-CN"/>
              </w:rPr>
              <w:t>10月30日</w:t>
            </w:r>
          </w:p>
        </w:tc>
        <w:tc>
          <w:tcPr>
            <w:tcW w:w="1588"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1</w:t>
            </w:r>
            <w:r>
              <w:rPr>
                <w:rFonts w:hint="eastAsia" w:ascii="仿宋" w:hAnsi="仿宋" w:eastAsia="仿宋"/>
                <w:sz w:val="24"/>
                <w:shd w:val="clear" w:color="auto" w:fill="FFFFFF"/>
                <w:lang w:val="en-US" w:eastAsia="zh-CN"/>
              </w:rPr>
              <w:t>5</w:t>
            </w:r>
            <w:r>
              <w:rPr>
                <w:rFonts w:hint="eastAsia" w:ascii="仿宋" w:hAnsi="仿宋" w:eastAsia="仿宋"/>
                <w:sz w:val="24"/>
                <w:shd w:val="clear" w:color="auto" w:fill="FFFFFF"/>
              </w:rPr>
              <w:t>：00开始</w:t>
            </w:r>
          </w:p>
        </w:tc>
        <w:tc>
          <w:tcPr>
            <w:tcW w:w="2000" w:type="dxa"/>
            <w:noWrap w:val="0"/>
            <w:vAlign w:val="center"/>
          </w:tcPr>
          <w:p>
            <w:pPr>
              <w:shd w:val="solid" w:color="FFFFFF" w:fill="auto"/>
              <w:autoSpaceDN w:val="0"/>
              <w:adjustRightInd w:val="0"/>
              <w:snapToGrid w:val="0"/>
              <w:rPr>
                <w:rFonts w:ascii="仿宋" w:hAnsi="仿宋" w:eastAsia="仿宋"/>
                <w:sz w:val="24"/>
                <w:shd w:val="clear" w:color="auto" w:fill="FFFFFF"/>
              </w:rPr>
            </w:pPr>
            <w:r>
              <w:rPr>
                <w:rFonts w:hint="eastAsia" w:ascii="仿宋" w:hAnsi="仿宋" w:eastAsia="仿宋"/>
                <w:sz w:val="24"/>
                <w:shd w:val="clear" w:color="auto" w:fill="FFFFFF"/>
              </w:rPr>
              <w:t>参赛队报到，领取资料</w:t>
            </w:r>
          </w:p>
        </w:tc>
        <w:tc>
          <w:tcPr>
            <w:tcW w:w="1800" w:type="dxa"/>
            <w:noWrap w:val="0"/>
            <w:vAlign w:val="center"/>
          </w:tcPr>
          <w:p>
            <w:pPr>
              <w:shd w:val="solid" w:color="FFFFFF" w:fill="auto"/>
              <w:autoSpaceDN w:val="0"/>
              <w:adjustRightInd w:val="0"/>
              <w:snapToGrid w:val="0"/>
              <w:rPr>
                <w:rFonts w:ascii="仿宋" w:hAnsi="仿宋" w:eastAsia="仿宋"/>
                <w:sz w:val="24"/>
                <w:shd w:val="clear" w:color="auto" w:fill="FFFFFF"/>
              </w:rPr>
            </w:pPr>
            <w:r>
              <w:rPr>
                <w:rFonts w:hint="eastAsia" w:ascii="仿宋" w:hAnsi="仿宋" w:eastAsia="仿宋"/>
                <w:sz w:val="24"/>
                <w:shd w:val="clear" w:color="auto" w:fill="FFFFFF"/>
              </w:rPr>
              <w:t>工作人员、参赛队</w:t>
            </w:r>
          </w:p>
        </w:tc>
        <w:tc>
          <w:tcPr>
            <w:tcW w:w="937"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会议室</w:t>
            </w:r>
          </w:p>
        </w:tc>
        <w:tc>
          <w:tcPr>
            <w:tcW w:w="1941" w:type="dxa"/>
            <w:noWrap w:val="0"/>
            <w:vAlign w:val="center"/>
          </w:tcPr>
          <w:p>
            <w:pPr>
              <w:shd w:val="solid" w:color="FFFFFF" w:fill="auto"/>
              <w:autoSpaceDN w:val="0"/>
              <w:adjustRightInd w:val="0"/>
              <w:snapToGrid w:val="0"/>
              <w:jc w:val="center"/>
              <w:rPr>
                <w:rFonts w:hint="eastAsia" w:ascii="仿宋" w:hAnsi="仿宋" w:eastAsia="仿宋"/>
                <w:sz w:val="24"/>
                <w:shd w:val="clear" w:color="auto" w:fill="FFFFFF"/>
                <w:lang w:eastAsia="zh-CN"/>
              </w:rPr>
            </w:pPr>
            <w:r>
              <w:rPr>
                <w:rFonts w:hint="eastAsia" w:ascii="仿宋" w:hAnsi="仿宋" w:eastAsia="仿宋"/>
                <w:sz w:val="24"/>
                <w:shd w:val="clear" w:color="auto" w:fill="FFFFFF"/>
                <w:lang w:eastAsia="zh-CN"/>
              </w:rPr>
              <w:t>陈老师</w:t>
            </w:r>
          </w:p>
          <w:p>
            <w:pPr>
              <w:shd w:val="solid" w:color="FFFFFF" w:fill="auto"/>
              <w:autoSpaceDN w:val="0"/>
              <w:adjustRightInd w:val="0"/>
              <w:snapToGrid w:val="0"/>
              <w:jc w:val="center"/>
              <w:rPr>
                <w:rFonts w:hint="default" w:ascii="仿宋" w:hAnsi="仿宋" w:eastAsia="仿宋"/>
                <w:sz w:val="24"/>
                <w:shd w:val="clear" w:color="auto" w:fill="FFFFFF"/>
                <w:lang w:val="en-US" w:eastAsia="zh-CN"/>
              </w:rPr>
            </w:pPr>
            <w:r>
              <w:rPr>
                <w:rFonts w:hint="eastAsia" w:ascii="仿宋" w:hAnsi="仿宋" w:eastAsia="仿宋"/>
                <w:sz w:val="24"/>
                <w:shd w:val="clear" w:color="auto" w:fill="FFFFFF"/>
                <w:lang w:val="en-US" w:eastAsia="zh-CN"/>
              </w:rPr>
              <w:t>13976600695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9" w:type="dxa"/>
            <w:vMerge w:val="continue"/>
            <w:noWrap w:val="0"/>
            <w:vAlign w:val="center"/>
          </w:tcPr>
          <w:p>
            <w:pPr>
              <w:shd w:val="solid" w:color="FFFFFF" w:fill="auto"/>
              <w:autoSpaceDN w:val="0"/>
              <w:adjustRightInd w:val="0"/>
              <w:snapToGrid w:val="0"/>
              <w:jc w:val="center"/>
              <w:rPr>
                <w:rFonts w:ascii="仿宋" w:hAnsi="仿宋" w:eastAsia="仿宋"/>
                <w:sz w:val="24"/>
                <w:shd w:val="clear" w:color="auto" w:fill="FFFFFF"/>
              </w:rPr>
            </w:pPr>
          </w:p>
        </w:tc>
        <w:tc>
          <w:tcPr>
            <w:tcW w:w="1588"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1</w:t>
            </w:r>
            <w:r>
              <w:rPr>
                <w:rFonts w:hint="eastAsia" w:ascii="仿宋" w:hAnsi="仿宋" w:eastAsia="仿宋"/>
                <w:sz w:val="24"/>
                <w:shd w:val="clear" w:color="auto" w:fill="FFFFFF"/>
                <w:lang w:val="en-US" w:eastAsia="zh-CN"/>
              </w:rPr>
              <w:t>5</w:t>
            </w:r>
            <w:r>
              <w:rPr>
                <w:rFonts w:hint="eastAsia" w:ascii="仿宋" w:hAnsi="仿宋" w:eastAsia="仿宋"/>
                <w:sz w:val="24"/>
                <w:shd w:val="clear" w:color="auto" w:fill="FFFFFF"/>
              </w:rPr>
              <w:t>:30-1</w:t>
            </w:r>
            <w:r>
              <w:rPr>
                <w:rFonts w:hint="eastAsia" w:ascii="仿宋" w:hAnsi="仿宋" w:eastAsia="仿宋"/>
                <w:sz w:val="24"/>
                <w:shd w:val="clear" w:color="auto" w:fill="FFFFFF"/>
                <w:lang w:val="en-US" w:eastAsia="zh-CN"/>
              </w:rPr>
              <w:t>6</w:t>
            </w:r>
            <w:r>
              <w:rPr>
                <w:rFonts w:hint="eastAsia" w:ascii="仿宋" w:hAnsi="仿宋" w:eastAsia="仿宋"/>
                <w:sz w:val="24"/>
                <w:shd w:val="clear" w:color="auto" w:fill="FFFFFF"/>
              </w:rPr>
              <w:t>:00</w:t>
            </w:r>
          </w:p>
        </w:tc>
        <w:tc>
          <w:tcPr>
            <w:tcW w:w="2000" w:type="dxa"/>
            <w:noWrap w:val="0"/>
            <w:vAlign w:val="center"/>
          </w:tcPr>
          <w:p>
            <w:pPr>
              <w:shd w:val="solid" w:color="FFFFFF" w:fill="auto"/>
              <w:autoSpaceDN w:val="0"/>
              <w:adjustRightInd w:val="0"/>
              <w:snapToGrid w:val="0"/>
              <w:rPr>
                <w:rFonts w:ascii="仿宋" w:hAnsi="仿宋" w:eastAsia="仿宋"/>
                <w:sz w:val="24"/>
                <w:shd w:val="clear" w:color="auto" w:fill="FFFFFF"/>
              </w:rPr>
            </w:pPr>
            <w:r>
              <w:rPr>
                <w:rFonts w:hint="eastAsia" w:ascii="仿宋" w:hAnsi="仿宋" w:eastAsia="仿宋"/>
                <w:sz w:val="24"/>
                <w:shd w:val="clear" w:color="auto" w:fill="FFFFFF"/>
              </w:rPr>
              <w:t>领队会</w:t>
            </w:r>
          </w:p>
        </w:tc>
        <w:tc>
          <w:tcPr>
            <w:tcW w:w="1800" w:type="dxa"/>
            <w:noWrap w:val="0"/>
            <w:vAlign w:val="center"/>
          </w:tcPr>
          <w:p>
            <w:pPr>
              <w:shd w:val="solid" w:color="FFFFFF" w:fill="auto"/>
              <w:autoSpaceDN w:val="0"/>
              <w:adjustRightInd w:val="0"/>
              <w:snapToGrid w:val="0"/>
              <w:rPr>
                <w:rFonts w:ascii="仿宋" w:hAnsi="仿宋" w:eastAsia="仿宋"/>
                <w:sz w:val="24"/>
                <w:shd w:val="clear" w:color="auto" w:fill="FFFFFF"/>
              </w:rPr>
            </w:pPr>
            <w:r>
              <w:rPr>
                <w:rFonts w:hint="eastAsia" w:ascii="仿宋" w:hAnsi="仿宋" w:eastAsia="仿宋"/>
                <w:sz w:val="24"/>
                <w:shd w:val="clear" w:color="auto" w:fill="FFFFFF"/>
              </w:rPr>
              <w:t>各参赛队领队、裁判</w:t>
            </w:r>
          </w:p>
        </w:tc>
        <w:tc>
          <w:tcPr>
            <w:tcW w:w="937"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会议室</w:t>
            </w:r>
          </w:p>
        </w:tc>
        <w:tc>
          <w:tcPr>
            <w:tcW w:w="1941" w:type="dxa"/>
            <w:noWrap w:val="0"/>
            <w:vAlign w:val="center"/>
          </w:tcPr>
          <w:p>
            <w:pPr>
              <w:shd w:val="solid" w:color="FFFFFF" w:fill="auto"/>
              <w:autoSpaceDN w:val="0"/>
              <w:adjustRightInd w:val="0"/>
              <w:snapToGrid w:val="0"/>
              <w:rPr>
                <w:rFonts w:ascii="仿宋" w:hAnsi="仿宋" w:eastAsia="仿宋"/>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9" w:type="dxa"/>
            <w:vMerge w:val="continue"/>
            <w:noWrap w:val="0"/>
            <w:vAlign w:val="center"/>
          </w:tcPr>
          <w:p>
            <w:pPr>
              <w:shd w:val="solid" w:color="FFFFFF" w:fill="auto"/>
              <w:autoSpaceDN w:val="0"/>
              <w:adjustRightInd w:val="0"/>
              <w:snapToGrid w:val="0"/>
              <w:jc w:val="center"/>
              <w:rPr>
                <w:rFonts w:ascii="仿宋" w:hAnsi="仿宋" w:eastAsia="仿宋"/>
                <w:sz w:val="24"/>
                <w:shd w:val="clear" w:color="auto" w:fill="FFFFFF"/>
              </w:rPr>
            </w:pPr>
          </w:p>
        </w:tc>
        <w:tc>
          <w:tcPr>
            <w:tcW w:w="1588"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1</w:t>
            </w:r>
            <w:r>
              <w:rPr>
                <w:rFonts w:hint="eastAsia" w:ascii="仿宋" w:hAnsi="仿宋" w:eastAsia="仿宋"/>
                <w:sz w:val="24"/>
                <w:shd w:val="clear" w:color="auto" w:fill="FFFFFF"/>
                <w:lang w:val="en-US" w:eastAsia="zh-CN"/>
              </w:rPr>
              <w:t>6</w:t>
            </w:r>
            <w:r>
              <w:rPr>
                <w:rFonts w:hint="eastAsia" w:ascii="仿宋" w:hAnsi="仿宋" w:eastAsia="仿宋"/>
                <w:sz w:val="24"/>
                <w:shd w:val="clear" w:color="auto" w:fill="FFFFFF"/>
              </w:rPr>
              <w:t>:00-1</w:t>
            </w:r>
            <w:r>
              <w:rPr>
                <w:rFonts w:hint="eastAsia" w:ascii="仿宋" w:hAnsi="仿宋" w:eastAsia="仿宋"/>
                <w:sz w:val="24"/>
                <w:shd w:val="clear" w:color="auto" w:fill="FFFFFF"/>
                <w:lang w:val="en-US" w:eastAsia="zh-CN"/>
              </w:rPr>
              <w:t>6</w:t>
            </w:r>
            <w:r>
              <w:rPr>
                <w:rFonts w:hint="eastAsia" w:ascii="仿宋" w:hAnsi="仿宋" w:eastAsia="仿宋"/>
                <w:sz w:val="24"/>
                <w:shd w:val="clear" w:color="auto" w:fill="FFFFFF"/>
              </w:rPr>
              <w:t>:30</w:t>
            </w:r>
          </w:p>
        </w:tc>
        <w:tc>
          <w:tcPr>
            <w:tcW w:w="2000" w:type="dxa"/>
            <w:noWrap w:val="0"/>
            <w:vAlign w:val="center"/>
          </w:tcPr>
          <w:p>
            <w:pPr>
              <w:shd w:val="solid" w:color="FFFFFF" w:fill="auto"/>
              <w:autoSpaceDN w:val="0"/>
              <w:adjustRightInd w:val="0"/>
              <w:snapToGrid w:val="0"/>
              <w:rPr>
                <w:rFonts w:ascii="仿宋" w:hAnsi="仿宋" w:eastAsia="仿宋"/>
                <w:sz w:val="24"/>
                <w:shd w:val="clear" w:color="auto" w:fill="FFFFFF"/>
              </w:rPr>
            </w:pPr>
            <w:r>
              <w:rPr>
                <w:rFonts w:hint="eastAsia" w:ascii="仿宋" w:hAnsi="仿宋" w:eastAsia="仿宋"/>
                <w:sz w:val="24"/>
                <w:shd w:val="clear" w:color="auto" w:fill="FFFFFF"/>
              </w:rPr>
              <w:t>抽签赛位号，提交分组名单</w:t>
            </w:r>
          </w:p>
        </w:tc>
        <w:tc>
          <w:tcPr>
            <w:tcW w:w="1800" w:type="dxa"/>
            <w:noWrap w:val="0"/>
            <w:vAlign w:val="center"/>
          </w:tcPr>
          <w:p>
            <w:pPr>
              <w:shd w:val="solid" w:color="FFFFFF" w:fill="auto"/>
              <w:autoSpaceDN w:val="0"/>
              <w:adjustRightInd w:val="0"/>
              <w:snapToGrid w:val="0"/>
              <w:rPr>
                <w:rFonts w:ascii="仿宋" w:hAnsi="仿宋" w:eastAsia="仿宋"/>
                <w:sz w:val="24"/>
                <w:shd w:val="clear" w:color="auto" w:fill="FFFFFF"/>
              </w:rPr>
            </w:pPr>
            <w:r>
              <w:rPr>
                <w:rFonts w:hint="eastAsia" w:ascii="仿宋" w:hAnsi="仿宋" w:eastAsia="仿宋"/>
                <w:sz w:val="24"/>
                <w:shd w:val="clear" w:color="auto" w:fill="FFFFFF"/>
              </w:rPr>
              <w:t>参赛选手、抽签加密裁判</w:t>
            </w:r>
          </w:p>
        </w:tc>
        <w:tc>
          <w:tcPr>
            <w:tcW w:w="937"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会议室</w:t>
            </w:r>
          </w:p>
        </w:tc>
        <w:tc>
          <w:tcPr>
            <w:tcW w:w="1941" w:type="dxa"/>
            <w:noWrap w:val="0"/>
            <w:vAlign w:val="center"/>
          </w:tcPr>
          <w:p>
            <w:pPr>
              <w:shd w:val="solid" w:color="FFFFFF" w:fill="auto"/>
              <w:autoSpaceDN w:val="0"/>
              <w:adjustRightInd w:val="0"/>
              <w:snapToGrid w:val="0"/>
              <w:rPr>
                <w:rFonts w:ascii="仿宋" w:hAnsi="仿宋" w:eastAsia="仿宋"/>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9" w:type="dxa"/>
            <w:vMerge w:val="continue"/>
            <w:noWrap w:val="0"/>
            <w:vAlign w:val="center"/>
          </w:tcPr>
          <w:p>
            <w:pPr>
              <w:shd w:val="solid" w:color="FFFFFF" w:fill="auto"/>
              <w:autoSpaceDN w:val="0"/>
              <w:adjustRightInd w:val="0"/>
              <w:snapToGrid w:val="0"/>
              <w:jc w:val="center"/>
              <w:rPr>
                <w:rFonts w:ascii="仿宋" w:hAnsi="仿宋" w:eastAsia="仿宋"/>
                <w:sz w:val="24"/>
                <w:shd w:val="clear" w:color="auto" w:fill="FFFFFF"/>
              </w:rPr>
            </w:pPr>
          </w:p>
        </w:tc>
        <w:tc>
          <w:tcPr>
            <w:tcW w:w="1588"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1</w:t>
            </w:r>
            <w:r>
              <w:rPr>
                <w:rFonts w:hint="eastAsia" w:ascii="仿宋" w:hAnsi="仿宋" w:eastAsia="仿宋"/>
                <w:sz w:val="24"/>
                <w:shd w:val="clear" w:color="auto" w:fill="FFFFFF"/>
                <w:lang w:val="en-US" w:eastAsia="zh-CN"/>
              </w:rPr>
              <w:t>6</w:t>
            </w:r>
            <w:r>
              <w:rPr>
                <w:rFonts w:hint="eastAsia" w:ascii="仿宋" w:hAnsi="仿宋" w:eastAsia="仿宋"/>
                <w:sz w:val="24"/>
                <w:shd w:val="clear" w:color="auto" w:fill="FFFFFF"/>
              </w:rPr>
              <w:t>:30-1</w:t>
            </w:r>
            <w:r>
              <w:rPr>
                <w:rFonts w:hint="eastAsia" w:ascii="仿宋" w:hAnsi="仿宋" w:eastAsia="仿宋"/>
                <w:sz w:val="24"/>
                <w:shd w:val="clear" w:color="auto" w:fill="FFFFFF"/>
                <w:lang w:val="en-US" w:eastAsia="zh-CN"/>
              </w:rPr>
              <w:t>7</w:t>
            </w:r>
            <w:r>
              <w:rPr>
                <w:rFonts w:hint="eastAsia" w:ascii="仿宋" w:hAnsi="仿宋" w:eastAsia="仿宋"/>
                <w:sz w:val="24"/>
                <w:shd w:val="clear" w:color="auto" w:fill="FFFFFF"/>
              </w:rPr>
              <w:t>:00</w:t>
            </w:r>
          </w:p>
        </w:tc>
        <w:tc>
          <w:tcPr>
            <w:tcW w:w="2000" w:type="dxa"/>
            <w:noWrap w:val="0"/>
            <w:vAlign w:val="center"/>
          </w:tcPr>
          <w:p>
            <w:pPr>
              <w:shd w:val="solid" w:color="FFFFFF" w:fill="auto"/>
              <w:autoSpaceDN w:val="0"/>
              <w:adjustRightInd w:val="0"/>
              <w:snapToGrid w:val="0"/>
              <w:rPr>
                <w:rFonts w:ascii="仿宋" w:hAnsi="仿宋" w:eastAsia="仿宋"/>
                <w:sz w:val="24"/>
                <w:shd w:val="clear" w:color="auto" w:fill="FFFFFF"/>
              </w:rPr>
            </w:pPr>
            <w:r>
              <w:rPr>
                <w:rFonts w:hint="eastAsia" w:ascii="仿宋" w:hAnsi="仿宋" w:eastAsia="仿宋"/>
                <w:sz w:val="24"/>
                <w:shd w:val="clear" w:color="auto" w:fill="FFFFFF"/>
              </w:rPr>
              <w:t>熟悉场地</w:t>
            </w:r>
          </w:p>
        </w:tc>
        <w:tc>
          <w:tcPr>
            <w:tcW w:w="1800" w:type="dxa"/>
            <w:noWrap w:val="0"/>
            <w:vAlign w:val="center"/>
          </w:tcPr>
          <w:p>
            <w:pPr>
              <w:shd w:val="solid" w:color="FFFFFF" w:fill="auto"/>
              <w:autoSpaceDN w:val="0"/>
              <w:adjustRightInd w:val="0"/>
              <w:snapToGrid w:val="0"/>
              <w:rPr>
                <w:rFonts w:ascii="仿宋" w:hAnsi="仿宋" w:eastAsia="仿宋"/>
                <w:sz w:val="24"/>
                <w:shd w:val="clear" w:color="auto" w:fill="FFFFFF"/>
              </w:rPr>
            </w:pPr>
            <w:r>
              <w:rPr>
                <w:rFonts w:hint="eastAsia" w:ascii="仿宋" w:hAnsi="仿宋" w:eastAsia="仿宋"/>
                <w:sz w:val="24"/>
                <w:shd w:val="clear" w:color="auto" w:fill="FFFFFF"/>
              </w:rPr>
              <w:t>各参赛队</w:t>
            </w:r>
          </w:p>
        </w:tc>
        <w:tc>
          <w:tcPr>
            <w:tcW w:w="937"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竞赛场地</w:t>
            </w:r>
          </w:p>
        </w:tc>
        <w:tc>
          <w:tcPr>
            <w:tcW w:w="1941" w:type="dxa"/>
            <w:noWrap w:val="0"/>
            <w:vAlign w:val="center"/>
          </w:tcPr>
          <w:p>
            <w:pPr>
              <w:shd w:val="solid" w:color="FFFFFF" w:fill="auto"/>
              <w:autoSpaceDN w:val="0"/>
              <w:adjustRightInd w:val="0"/>
              <w:snapToGrid w:val="0"/>
              <w:rPr>
                <w:rFonts w:ascii="仿宋" w:hAnsi="仿宋" w:eastAsia="仿宋"/>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9" w:type="dxa"/>
            <w:vMerge w:val="continue"/>
            <w:noWrap w:val="0"/>
            <w:vAlign w:val="center"/>
          </w:tcPr>
          <w:p>
            <w:pPr>
              <w:shd w:val="solid" w:color="FFFFFF" w:fill="auto"/>
              <w:autoSpaceDN w:val="0"/>
              <w:adjustRightInd w:val="0"/>
              <w:snapToGrid w:val="0"/>
              <w:jc w:val="center"/>
              <w:rPr>
                <w:rFonts w:ascii="仿宋" w:hAnsi="仿宋" w:eastAsia="仿宋"/>
                <w:sz w:val="24"/>
                <w:shd w:val="clear" w:color="auto" w:fill="FFFFFF"/>
              </w:rPr>
            </w:pPr>
          </w:p>
        </w:tc>
        <w:tc>
          <w:tcPr>
            <w:tcW w:w="1588"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1</w:t>
            </w:r>
            <w:r>
              <w:rPr>
                <w:rFonts w:hint="eastAsia" w:ascii="仿宋" w:hAnsi="仿宋" w:eastAsia="仿宋"/>
                <w:sz w:val="24"/>
                <w:shd w:val="clear" w:color="auto" w:fill="FFFFFF"/>
                <w:lang w:val="en-US" w:eastAsia="zh-CN"/>
              </w:rPr>
              <w:t>7</w:t>
            </w:r>
            <w:r>
              <w:rPr>
                <w:rFonts w:hint="eastAsia" w:ascii="仿宋" w:hAnsi="仿宋" w:eastAsia="仿宋"/>
                <w:sz w:val="24"/>
                <w:shd w:val="clear" w:color="auto" w:fill="FFFFFF"/>
              </w:rPr>
              <w:t>:00以后</w:t>
            </w:r>
          </w:p>
        </w:tc>
        <w:tc>
          <w:tcPr>
            <w:tcW w:w="2000" w:type="dxa"/>
            <w:noWrap w:val="0"/>
            <w:vAlign w:val="center"/>
          </w:tcPr>
          <w:p>
            <w:pPr>
              <w:shd w:val="solid" w:color="FFFFFF" w:fill="auto"/>
              <w:autoSpaceDN w:val="0"/>
              <w:adjustRightInd w:val="0"/>
              <w:snapToGrid w:val="0"/>
              <w:rPr>
                <w:rFonts w:ascii="仿宋" w:hAnsi="仿宋" w:eastAsia="仿宋"/>
                <w:sz w:val="24"/>
                <w:shd w:val="clear" w:color="auto" w:fill="FFFFFF"/>
              </w:rPr>
            </w:pPr>
            <w:r>
              <w:rPr>
                <w:rFonts w:hint="eastAsia" w:ascii="仿宋" w:hAnsi="仿宋" w:eastAsia="仿宋"/>
                <w:sz w:val="24"/>
                <w:shd w:val="clear" w:color="auto" w:fill="FFFFFF"/>
              </w:rPr>
              <w:t>检查封闭赛场</w:t>
            </w:r>
          </w:p>
        </w:tc>
        <w:tc>
          <w:tcPr>
            <w:tcW w:w="1800" w:type="dxa"/>
            <w:noWrap w:val="0"/>
            <w:vAlign w:val="center"/>
          </w:tcPr>
          <w:p>
            <w:pPr>
              <w:shd w:val="solid" w:color="FFFFFF" w:fill="auto"/>
              <w:autoSpaceDN w:val="0"/>
              <w:adjustRightInd w:val="0"/>
              <w:snapToGrid w:val="0"/>
              <w:rPr>
                <w:rFonts w:ascii="仿宋" w:hAnsi="仿宋" w:eastAsia="仿宋"/>
                <w:sz w:val="24"/>
                <w:shd w:val="clear" w:color="auto" w:fill="FFFFFF"/>
              </w:rPr>
            </w:pPr>
            <w:r>
              <w:rPr>
                <w:rFonts w:hint="eastAsia" w:ascii="仿宋" w:hAnsi="仿宋" w:eastAsia="仿宋"/>
                <w:sz w:val="24"/>
                <w:shd w:val="clear" w:color="auto" w:fill="FFFFFF"/>
              </w:rPr>
              <w:t>监督组</w:t>
            </w:r>
          </w:p>
        </w:tc>
        <w:tc>
          <w:tcPr>
            <w:tcW w:w="937"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竞赛场地</w:t>
            </w:r>
          </w:p>
        </w:tc>
        <w:tc>
          <w:tcPr>
            <w:tcW w:w="1941" w:type="dxa"/>
            <w:noWrap w:val="0"/>
            <w:vAlign w:val="center"/>
          </w:tcPr>
          <w:p>
            <w:pPr>
              <w:shd w:val="solid" w:color="FFFFFF" w:fill="auto"/>
              <w:autoSpaceDN w:val="0"/>
              <w:adjustRightInd w:val="0"/>
              <w:snapToGrid w:val="0"/>
              <w:rPr>
                <w:rFonts w:ascii="仿宋" w:hAnsi="仿宋" w:eastAsia="仿宋"/>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9" w:type="dxa"/>
            <w:vMerge w:val="restart"/>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lang w:val="en-US" w:eastAsia="zh-CN"/>
              </w:rPr>
              <w:t>10月31</w:t>
            </w:r>
            <w:r>
              <w:rPr>
                <w:rFonts w:hint="eastAsia" w:ascii="仿宋" w:hAnsi="仿宋" w:eastAsia="仿宋"/>
                <w:sz w:val="24"/>
                <w:shd w:val="clear" w:color="auto" w:fill="FFFFFF"/>
              </w:rPr>
              <w:t>日</w:t>
            </w:r>
          </w:p>
        </w:tc>
        <w:tc>
          <w:tcPr>
            <w:tcW w:w="1588"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7:30</w:t>
            </w:r>
          </w:p>
        </w:tc>
        <w:tc>
          <w:tcPr>
            <w:tcW w:w="2000" w:type="dxa"/>
            <w:noWrap w:val="0"/>
            <w:vAlign w:val="center"/>
          </w:tcPr>
          <w:p>
            <w:pPr>
              <w:shd w:val="solid" w:color="FFFFFF" w:fill="auto"/>
              <w:autoSpaceDN w:val="0"/>
              <w:adjustRightInd w:val="0"/>
              <w:snapToGrid w:val="0"/>
              <w:rPr>
                <w:rFonts w:ascii="仿宋" w:hAnsi="仿宋" w:eastAsia="仿宋"/>
                <w:sz w:val="24"/>
                <w:shd w:val="clear" w:color="auto" w:fill="FFFFFF"/>
              </w:rPr>
            </w:pPr>
            <w:r>
              <w:rPr>
                <w:rFonts w:hint="eastAsia" w:ascii="仿宋" w:hAnsi="仿宋" w:eastAsia="仿宋"/>
                <w:sz w:val="24"/>
                <w:shd w:val="clear" w:color="auto" w:fill="FFFFFF"/>
              </w:rPr>
              <w:t>选手检录进场</w:t>
            </w:r>
          </w:p>
        </w:tc>
        <w:tc>
          <w:tcPr>
            <w:tcW w:w="1800" w:type="dxa"/>
            <w:noWrap w:val="0"/>
            <w:vAlign w:val="center"/>
          </w:tcPr>
          <w:p>
            <w:pPr>
              <w:shd w:val="solid" w:color="FFFFFF" w:fill="auto"/>
              <w:autoSpaceDN w:val="0"/>
              <w:adjustRightInd w:val="0"/>
              <w:snapToGrid w:val="0"/>
              <w:rPr>
                <w:rFonts w:ascii="仿宋" w:hAnsi="仿宋" w:eastAsia="仿宋"/>
                <w:sz w:val="24"/>
                <w:shd w:val="clear" w:color="auto" w:fill="FFFFFF"/>
              </w:rPr>
            </w:pPr>
            <w:r>
              <w:rPr>
                <w:rFonts w:hint="eastAsia" w:ascii="仿宋" w:hAnsi="仿宋" w:eastAsia="仿宋"/>
                <w:sz w:val="24"/>
                <w:shd w:val="clear" w:color="auto" w:fill="FFFFFF"/>
              </w:rPr>
              <w:t>各参赛队</w:t>
            </w:r>
          </w:p>
        </w:tc>
        <w:tc>
          <w:tcPr>
            <w:tcW w:w="937"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竞赛场地前</w:t>
            </w:r>
          </w:p>
        </w:tc>
        <w:tc>
          <w:tcPr>
            <w:tcW w:w="1941" w:type="dxa"/>
            <w:noWrap w:val="0"/>
            <w:vAlign w:val="center"/>
          </w:tcPr>
          <w:p>
            <w:pPr>
              <w:shd w:val="solid" w:color="FFFFFF" w:fill="auto"/>
              <w:autoSpaceDN w:val="0"/>
              <w:adjustRightInd w:val="0"/>
              <w:snapToGrid w:val="0"/>
              <w:rPr>
                <w:rFonts w:ascii="仿宋" w:hAnsi="仿宋" w:eastAsia="仿宋"/>
                <w:sz w:val="24"/>
                <w:shd w:val="clear" w:color="auto" w:fill="FFFFFF"/>
              </w:rPr>
            </w:pPr>
            <w:r>
              <w:rPr>
                <w:rFonts w:hint="eastAsia" w:ascii="仿宋" w:hAnsi="仿宋" w:eastAsia="仿宋"/>
                <w:sz w:val="24"/>
                <w:shd w:val="clear" w:color="auto" w:fill="FFFFFF"/>
              </w:rPr>
              <w:t>选手进入赛场按照赛位号就座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9" w:type="dxa"/>
            <w:vMerge w:val="continue"/>
            <w:noWrap w:val="0"/>
            <w:vAlign w:val="center"/>
          </w:tcPr>
          <w:p>
            <w:pPr>
              <w:adjustRightInd w:val="0"/>
              <w:snapToGrid w:val="0"/>
              <w:jc w:val="center"/>
              <w:rPr>
                <w:rFonts w:ascii="仿宋" w:hAnsi="仿宋" w:eastAsia="仿宋"/>
                <w:sz w:val="24"/>
              </w:rPr>
            </w:pPr>
          </w:p>
        </w:tc>
        <w:tc>
          <w:tcPr>
            <w:tcW w:w="1588"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7:50</w:t>
            </w:r>
          </w:p>
        </w:tc>
        <w:tc>
          <w:tcPr>
            <w:tcW w:w="2000" w:type="dxa"/>
            <w:noWrap w:val="0"/>
            <w:vAlign w:val="center"/>
          </w:tcPr>
          <w:p>
            <w:pPr>
              <w:shd w:val="solid" w:color="FFFFFF" w:fill="auto"/>
              <w:autoSpaceDN w:val="0"/>
              <w:adjustRightInd w:val="0"/>
              <w:snapToGrid w:val="0"/>
              <w:rPr>
                <w:rFonts w:ascii="仿宋" w:hAnsi="仿宋" w:eastAsia="仿宋"/>
                <w:sz w:val="24"/>
                <w:shd w:val="clear" w:color="auto" w:fill="FFFFFF"/>
              </w:rPr>
            </w:pPr>
            <w:r>
              <w:rPr>
                <w:rFonts w:hint="eastAsia" w:ascii="仿宋" w:hAnsi="仿宋" w:eastAsia="仿宋"/>
                <w:sz w:val="24"/>
                <w:shd w:val="clear" w:color="auto" w:fill="FFFFFF"/>
              </w:rPr>
              <w:t>领队、指导教师入场</w:t>
            </w:r>
          </w:p>
        </w:tc>
        <w:tc>
          <w:tcPr>
            <w:tcW w:w="1800" w:type="dxa"/>
            <w:noWrap w:val="0"/>
            <w:vAlign w:val="center"/>
          </w:tcPr>
          <w:p>
            <w:pPr>
              <w:shd w:val="solid" w:color="FFFFFF" w:fill="auto"/>
              <w:autoSpaceDN w:val="0"/>
              <w:adjustRightInd w:val="0"/>
              <w:snapToGrid w:val="0"/>
              <w:rPr>
                <w:rFonts w:ascii="仿宋" w:hAnsi="仿宋" w:eastAsia="仿宋"/>
                <w:sz w:val="24"/>
                <w:shd w:val="clear" w:color="auto" w:fill="FFFFFF"/>
              </w:rPr>
            </w:pPr>
            <w:r>
              <w:rPr>
                <w:rFonts w:hint="eastAsia" w:ascii="仿宋" w:hAnsi="仿宋" w:eastAsia="仿宋"/>
                <w:sz w:val="24"/>
                <w:shd w:val="clear" w:color="auto" w:fill="FFFFFF"/>
              </w:rPr>
              <w:t>各参赛队、工作人员</w:t>
            </w:r>
          </w:p>
        </w:tc>
        <w:tc>
          <w:tcPr>
            <w:tcW w:w="937"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观摩休息区</w:t>
            </w:r>
          </w:p>
        </w:tc>
        <w:tc>
          <w:tcPr>
            <w:tcW w:w="1941" w:type="dxa"/>
            <w:noWrap w:val="0"/>
            <w:vAlign w:val="center"/>
          </w:tcPr>
          <w:p>
            <w:pPr>
              <w:shd w:val="solid" w:color="FFFFFF" w:fill="auto"/>
              <w:autoSpaceDN w:val="0"/>
              <w:adjustRightInd w:val="0"/>
              <w:snapToGrid w:val="0"/>
              <w:rPr>
                <w:rFonts w:ascii="仿宋" w:hAnsi="仿宋" w:eastAsia="仿宋"/>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9" w:type="dxa"/>
            <w:vMerge w:val="continue"/>
            <w:noWrap w:val="0"/>
            <w:vAlign w:val="center"/>
          </w:tcPr>
          <w:p>
            <w:pPr>
              <w:adjustRightInd w:val="0"/>
              <w:snapToGrid w:val="0"/>
              <w:jc w:val="center"/>
              <w:rPr>
                <w:rFonts w:ascii="仿宋" w:hAnsi="仿宋" w:eastAsia="仿宋"/>
                <w:sz w:val="24"/>
              </w:rPr>
            </w:pPr>
          </w:p>
        </w:tc>
        <w:tc>
          <w:tcPr>
            <w:tcW w:w="1588" w:type="dxa"/>
            <w:noWrap w:val="0"/>
            <w:vAlign w:val="center"/>
          </w:tcPr>
          <w:p>
            <w:pPr>
              <w:shd w:val="solid" w:color="FFFFFF" w:fill="auto"/>
              <w:autoSpaceDN w:val="0"/>
              <w:adjustRightInd w:val="0"/>
              <w:snapToGrid w:val="0"/>
              <w:jc w:val="center"/>
              <w:rPr>
                <w:rFonts w:ascii="仿宋" w:hAnsi="仿宋" w:eastAsia="仿宋_GB2312"/>
                <w:sz w:val="24"/>
                <w:shd w:val="clear" w:color="auto" w:fill="FFFFFF"/>
              </w:rPr>
            </w:pPr>
            <w:r>
              <w:rPr>
                <w:rFonts w:ascii="仿宋_GB2312" w:hAnsi="仿宋" w:eastAsia="仿宋_GB2312"/>
                <w:sz w:val="24"/>
                <w:shd w:val="clear" w:color="auto" w:fill="FFFFFF"/>
              </w:rPr>
              <w:t>8</w:t>
            </w:r>
            <w:r>
              <w:rPr>
                <w:rFonts w:hint="eastAsia" w:ascii="仿宋_GB2312" w:hAnsi="仿宋" w:eastAsia="仿宋_GB2312"/>
                <w:sz w:val="24"/>
                <w:shd w:val="clear" w:color="auto" w:fill="FFFFFF"/>
              </w:rPr>
              <w:t>:</w:t>
            </w:r>
            <w:r>
              <w:rPr>
                <w:rFonts w:ascii="仿宋_GB2312" w:hAnsi="仿宋" w:eastAsia="仿宋_GB2312"/>
                <w:sz w:val="24"/>
                <w:shd w:val="clear" w:color="auto" w:fill="FFFFFF"/>
              </w:rPr>
              <w:t>0</w:t>
            </w:r>
            <w:r>
              <w:rPr>
                <w:rFonts w:hint="eastAsia" w:ascii="仿宋_GB2312" w:hAnsi="仿宋" w:eastAsia="仿宋_GB2312"/>
                <w:sz w:val="24"/>
                <w:shd w:val="clear" w:color="auto" w:fill="FFFFFF"/>
              </w:rPr>
              <w:t>0-12:00</w:t>
            </w:r>
          </w:p>
        </w:tc>
        <w:tc>
          <w:tcPr>
            <w:tcW w:w="2000" w:type="dxa"/>
            <w:noWrap w:val="0"/>
            <w:vAlign w:val="center"/>
          </w:tcPr>
          <w:p>
            <w:pPr>
              <w:shd w:val="solid" w:color="FFFFFF" w:fill="auto"/>
              <w:autoSpaceDN w:val="0"/>
              <w:adjustRightInd w:val="0"/>
              <w:snapToGrid w:val="0"/>
              <w:rPr>
                <w:rFonts w:ascii="仿宋" w:hAnsi="仿宋" w:eastAsia="仿宋"/>
                <w:sz w:val="24"/>
                <w:shd w:val="clear" w:color="auto" w:fill="FFFFFF"/>
              </w:rPr>
            </w:pPr>
            <w:r>
              <w:rPr>
                <w:rFonts w:hint="eastAsia" w:ascii="仿宋" w:hAnsi="仿宋" w:eastAsia="仿宋"/>
                <w:sz w:val="24"/>
                <w:shd w:val="clear" w:color="auto" w:fill="FFFFFF"/>
              </w:rPr>
              <w:t>外贸B2B模块</w:t>
            </w:r>
          </w:p>
        </w:tc>
        <w:tc>
          <w:tcPr>
            <w:tcW w:w="1800" w:type="dxa"/>
            <w:noWrap w:val="0"/>
            <w:vAlign w:val="center"/>
          </w:tcPr>
          <w:p>
            <w:pPr>
              <w:shd w:val="solid" w:color="FFFFFF" w:fill="auto"/>
              <w:autoSpaceDN w:val="0"/>
              <w:adjustRightInd w:val="0"/>
              <w:snapToGrid w:val="0"/>
              <w:rPr>
                <w:rFonts w:ascii="仿宋" w:hAnsi="仿宋" w:eastAsia="仿宋"/>
                <w:sz w:val="24"/>
                <w:shd w:val="clear" w:color="auto" w:fill="FFFFFF"/>
              </w:rPr>
            </w:pPr>
            <w:r>
              <w:rPr>
                <w:rFonts w:hint="eastAsia" w:ascii="仿宋" w:hAnsi="仿宋" w:eastAsia="仿宋"/>
                <w:sz w:val="24"/>
                <w:shd w:val="clear" w:color="auto" w:fill="FFFFFF"/>
              </w:rPr>
              <w:t>参赛选手、裁判</w:t>
            </w:r>
          </w:p>
        </w:tc>
        <w:tc>
          <w:tcPr>
            <w:tcW w:w="937"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竞赛场地</w:t>
            </w:r>
          </w:p>
        </w:tc>
        <w:tc>
          <w:tcPr>
            <w:tcW w:w="1941" w:type="dxa"/>
            <w:noWrap w:val="0"/>
            <w:vAlign w:val="center"/>
          </w:tcPr>
          <w:p>
            <w:pPr>
              <w:shd w:val="solid" w:color="FFFFFF" w:fill="auto"/>
              <w:autoSpaceDN w:val="0"/>
              <w:adjustRightInd w:val="0"/>
              <w:snapToGrid w:val="0"/>
              <w:rPr>
                <w:rFonts w:ascii="仿宋" w:hAnsi="仿宋" w:eastAsia="仿宋"/>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9" w:type="dxa"/>
            <w:vMerge w:val="continue"/>
            <w:noWrap w:val="0"/>
            <w:vAlign w:val="center"/>
          </w:tcPr>
          <w:p>
            <w:pPr>
              <w:adjustRightInd w:val="0"/>
              <w:snapToGrid w:val="0"/>
              <w:jc w:val="center"/>
              <w:rPr>
                <w:rFonts w:ascii="仿宋" w:hAnsi="仿宋" w:eastAsia="仿宋"/>
                <w:sz w:val="24"/>
              </w:rPr>
            </w:pPr>
          </w:p>
        </w:tc>
        <w:tc>
          <w:tcPr>
            <w:tcW w:w="1588"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_GB2312" w:hAnsi="仿宋" w:eastAsia="仿宋_GB2312"/>
                <w:sz w:val="24"/>
                <w:shd w:val="clear" w:color="auto" w:fill="FFFFFF"/>
              </w:rPr>
              <w:t>12:00-13:00</w:t>
            </w:r>
          </w:p>
        </w:tc>
        <w:tc>
          <w:tcPr>
            <w:tcW w:w="2000"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午餐</w:t>
            </w:r>
          </w:p>
        </w:tc>
        <w:tc>
          <w:tcPr>
            <w:tcW w:w="1800"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参赛选手、裁判</w:t>
            </w:r>
          </w:p>
        </w:tc>
        <w:tc>
          <w:tcPr>
            <w:tcW w:w="937"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竞赛场地</w:t>
            </w:r>
          </w:p>
        </w:tc>
        <w:tc>
          <w:tcPr>
            <w:tcW w:w="1941"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选手不允许离开竞赛场地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9" w:type="dxa"/>
            <w:vMerge w:val="continue"/>
            <w:noWrap w:val="0"/>
            <w:vAlign w:val="center"/>
          </w:tcPr>
          <w:p>
            <w:pPr>
              <w:adjustRightInd w:val="0"/>
              <w:snapToGrid w:val="0"/>
              <w:jc w:val="center"/>
              <w:rPr>
                <w:rFonts w:ascii="仿宋" w:hAnsi="仿宋" w:eastAsia="仿宋"/>
                <w:sz w:val="24"/>
              </w:rPr>
            </w:pPr>
          </w:p>
        </w:tc>
        <w:tc>
          <w:tcPr>
            <w:tcW w:w="1588" w:type="dxa"/>
            <w:noWrap w:val="0"/>
            <w:vAlign w:val="center"/>
          </w:tcPr>
          <w:p>
            <w:pPr>
              <w:shd w:val="solid" w:color="FFFFFF" w:fill="auto"/>
              <w:autoSpaceDN w:val="0"/>
              <w:adjustRightInd w:val="0"/>
              <w:snapToGrid w:val="0"/>
              <w:jc w:val="center"/>
              <w:rPr>
                <w:rFonts w:ascii="仿宋_GB2312" w:hAnsi="仿宋" w:eastAsia="仿宋_GB2312"/>
                <w:sz w:val="24"/>
                <w:shd w:val="clear" w:color="auto" w:fill="FFFFFF"/>
              </w:rPr>
            </w:pPr>
            <w:r>
              <w:rPr>
                <w:rFonts w:hint="eastAsia" w:ascii="仿宋_GB2312" w:hAnsi="仿宋" w:eastAsia="仿宋_GB2312"/>
                <w:sz w:val="24"/>
                <w:shd w:val="clear" w:color="auto" w:fill="FFFFFF"/>
              </w:rPr>
              <w:t>13:10-13:50</w:t>
            </w:r>
          </w:p>
        </w:tc>
        <w:tc>
          <w:tcPr>
            <w:tcW w:w="2000" w:type="dxa"/>
            <w:noWrap w:val="0"/>
            <w:vAlign w:val="center"/>
          </w:tcPr>
          <w:p>
            <w:pPr>
              <w:shd w:val="solid" w:color="FFFFFF" w:fill="auto"/>
              <w:autoSpaceDN w:val="0"/>
              <w:adjustRightInd w:val="0"/>
              <w:snapToGrid w:val="0"/>
              <w:rPr>
                <w:rFonts w:ascii="仿宋" w:hAnsi="仿宋" w:eastAsia="仿宋"/>
                <w:sz w:val="24"/>
                <w:shd w:val="clear" w:color="auto" w:fill="FFFFFF"/>
              </w:rPr>
            </w:pPr>
            <w:r>
              <w:rPr>
                <w:rFonts w:hint="eastAsia" w:ascii="仿宋" w:hAnsi="仿宋" w:eastAsia="仿宋"/>
                <w:sz w:val="24"/>
                <w:shd w:val="clear" w:color="auto" w:fill="FFFFFF"/>
              </w:rPr>
              <w:t>外贸B2C模块（R1）</w:t>
            </w:r>
          </w:p>
        </w:tc>
        <w:tc>
          <w:tcPr>
            <w:tcW w:w="1800" w:type="dxa"/>
            <w:noWrap w:val="0"/>
            <w:vAlign w:val="center"/>
          </w:tcPr>
          <w:p>
            <w:pPr>
              <w:shd w:val="solid" w:color="FFFFFF" w:fill="auto"/>
              <w:autoSpaceDN w:val="0"/>
              <w:adjustRightInd w:val="0"/>
              <w:snapToGrid w:val="0"/>
              <w:rPr>
                <w:rFonts w:ascii="仿宋" w:hAnsi="仿宋" w:eastAsia="仿宋"/>
                <w:sz w:val="24"/>
                <w:shd w:val="clear" w:color="auto" w:fill="FFFFFF"/>
              </w:rPr>
            </w:pPr>
            <w:r>
              <w:rPr>
                <w:rFonts w:hint="eastAsia" w:ascii="仿宋" w:hAnsi="仿宋" w:eastAsia="仿宋"/>
                <w:sz w:val="24"/>
                <w:shd w:val="clear" w:color="auto" w:fill="FFFFFF"/>
              </w:rPr>
              <w:t>参赛选手、裁判</w:t>
            </w:r>
          </w:p>
        </w:tc>
        <w:tc>
          <w:tcPr>
            <w:tcW w:w="937"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竞赛场地</w:t>
            </w:r>
          </w:p>
        </w:tc>
        <w:tc>
          <w:tcPr>
            <w:tcW w:w="1941"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第一回合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9" w:type="dxa"/>
            <w:vMerge w:val="continue"/>
            <w:noWrap w:val="0"/>
            <w:vAlign w:val="center"/>
          </w:tcPr>
          <w:p>
            <w:pPr>
              <w:adjustRightInd w:val="0"/>
              <w:snapToGrid w:val="0"/>
              <w:jc w:val="center"/>
              <w:rPr>
                <w:rFonts w:ascii="仿宋" w:hAnsi="仿宋" w:eastAsia="仿宋"/>
                <w:sz w:val="24"/>
              </w:rPr>
            </w:pPr>
          </w:p>
        </w:tc>
        <w:tc>
          <w:tcPr>
            <w:tcW w:w="1588" w:type="dxa"/>
            <w:noWrap w:val="0"/>
            <w:vAlign w:val="center"/>
          </w:tcPr>
          <w:p>
            <w:pPr>
              <w:shd w:val="solid" w:color="FFFFFF" w:fill="auto"/>
              <w:autoSpaceDN w:val="0"/>
              <w:adjustRightInd w:val="0"/>
              <w:snapToGrid w:val="0"/>
              <w:jc w:val="center"/>
              <w:rPr>
                <w:rFonts w:ascii="仿宋_GB2312" w:hAnsi="仿宋" w:eastAsia="仿宋_GB2312"/>
                <w:sz w:val="24"/>
                <w:shd w:val="clear" w:color="auto" w:fill="FFFFFF"/>
              </w:rPr>
            </w:pPr>
            <w:r>
              <w:rPr>
                <w:rFonts w:hint="eastAsia" w:ascii="仿宋_GB2312" w:hAnsi="仿宋" w:eastAsia="仿宋_GB2312"/>
                <w:sz w:val="24"/>
                <w:shd w:val="clear" w:color="auto" w:fill="FFFFFF"/>
              </w:rPr>
              <w:t>13:50-14:30</w:t>
            </w:r>
          </w:p>
        </w:tc>
        <w:tc>
          <w:tcPr>
            <w:tcW w:w="2000" w:type="dxa"/>
            <w:noWrap w:val="0"/>
            <w:vAlign w:val="center"/>
          </w:tcPr>
          <w:p>
            <w:pPr>
              <w:shd w:val="solid" w:color="FFFFFF" w:fill="auto"/>
              <w:autoSpaceDN w:val="0"/>
              <w:adjustRightInd w:val="0"/>
              <w:snapToGrid w:val="0"/>
              <w:rPr>
                <w:rFonts w:ascii="仿宋" w:hAnsi="仿宋" w:eastAsia="仿宋"/>
                <w:sz w:val="24"/>
                <w:shd w:val="clear" w:color="auto" w:fill="FFFFFF"/>
              </w:rPr>
            </w:pPr>
            <w:r>
              <w:rPr>
                <w:rFonts w:hint="eastAsia" w:ascii="仿宋" w:hAnsi="仿宋" w:eastAsia="仿宋"/>
                <w:sz w:val="24"/>
                <w:shd w:val="clear" w:color="auto" w:fill="FFFFFF"/>
              </w:rPr>
              <w:t>外贸B2C模块（R2）</w:t>
            </w:r>
          </w:p>
        </w:tc>
        <w:tc>
          <w:tcPr>
            <w:tcW w:w="1800" w:type="dxa"/>
            <w:noWrap w:val="0"/>
            <w:vAlign w:val="center"/>
          </w:tcPr>
          <w:p>
            <w:pPr>
              <w:shd w:val="solid" w:color="FFFFFF" w:fill="auto"/>
              <w:autoSpaceDN w:val="0"/>
              <w:adjustRightInd w:val="0"/>
              <w:snapToGrid w:val="0"/>
              <w:rPr>
                <w:rFonts w:ascii="仿宋" w:hAnsi="仿宋" w:eastAsia="仿宋"/>
                <w:sz w:val="24"/>
                <w:shd w:val="clear" w:color="auto" w:fill="FFFFFF"/>
              </w:rPr>
            </w:pPr>
            <w:r>
              <w:rPr>
                <w:rFonts w:hint="eastAsia" w:ascii="仿宋" w:hAnsi="仿宋" w:eastAsia="仿宋"/>
                <w:sz w:val="24"/>
                <w:shd w:val="clear" w:color="auto" w:fill="FFFFFF"/>
              </w:rPr>
              <w:t>参赛选手、裁判</w:t>
            </w:r>
          </w:p>
        </w:tc>
        <w:tc>
          <w:tcPr>
            <w:tcW w:w="937"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竞赛场地</w:t>
            </w:r>
          </w:p>
        </w:tc>
        <w:tc>
          <w:tcPr>
            <w:tcW w:w="1941"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第二回合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9" w:type="dxa"/>
            <w:vMerge w:val="continue"/>
            <w:noWrap w:val="0"/>
            <w:vAlign w:val="center"/>
          </w:tcPr>
          <w:p>
            <w:pPr>
              <w:adjustRightInd w:val="0"/>
              <w:snapToGrid w:val="0"/>
              <w:jc w:val="center"/>
              <w:rPr>
                <w:rFonts w:ascii="仿宋" w:hAnsi="仿宋" w:eastAsia="仿宋"/>
                <w:sz w:val="24"/>
              </w:rPr>
            </w:pPr>
          </w:p>
        </w:tc>
        <w:tc>
          <w:tcPr>
            <w:tcW w:w="1588" w:type="dxa"/>
            <w:noWrap w:val="0"/>
            <w:vAlign w:val="center"/>
          </w:tcPr>
          <w:p>
            <w:pPr>
              <w:shd w:val="solid" w:color="FFFFFF" w:fill="auto"/>
              <w:autoSpaceDN w:val="0"/>
              <w:adjustRightInd w:val="0"/>
              <w:snapToGrid w:val="0"/>
              <w:jc w:val="center"/>
              <w:rPr>
                <w:rFonts w:ascii="仿宋_GB2312" w:hAnsi="仿宋" w:eastAsia="仿宋_GB2312"/>
                <w:sz w:val="24"/>
                <w:shd w:val="clear" w:color="auto" w:fill="FFFFFF"/>
              </w:rPr>
            </w:pPr>
            <w:r>
              <w:rPr>
                <w:rFonts w:hint="eastAsia" w:ascii="仿宋_GB2312" w:hAnsi="仿宋" w:eastAsia="仿宋_GB2312"/>
                <w:sz w:val="24"/>
                <w:shd w:val="clear" w:color="auto" w:fill="FFFFFF"/>
              </w:rPr>
              <w:t>14:30-15:10</w:t>
            </w:r>
          </w:p>
        </w:tc>
        <w:tc>
          <w:tcPr>
            <w:tcW w:w="2000" w:type="dxa"/>
            <w:noWrap w:val="0"/>
            <w:vAlign w:val="center"/>
          </w:tcPr>
          <w:p>
            <w:pPr>
              <w:shd w:val="solid" w:color="FFFFFF" w:fill="auto"/>
              <w:autoSpaceDN w:val="0"/>
              <w:adjustRightInd w:val="0"/>
              <w:snapToGrid w:val="0"/>
              <w:rPr>
                <w:rFonts w:ascii="仿宋" w:hAnsi="仿宋" w:eastAsia="仿宋"/>
                <w:sz w:val="24"/>
                <w:shd w:val="clear" w:color="auto" w:fill="FFFFFF"/>
              </w:rPr>
            </w:pPr>
            <w:r>
              <w:rPr>
                <w:rFonts w:hint="eastAsia" w:ascii="仿宋" w:hAnsi="仿宋" w:eastAsia="仿宋"/>
                <w:sz w:val="24"/>
                <w:shd w:val="clear" w:color="auto" w:fill="FFFFFF"/>
              </w:rPr>
              <w:t>外贸B2C模块（R3）</w:t>
            </w:r>
          </w:p>
        </w:tc>
        <w:tc>
          <w:tcPr>
            <w:tcW w:w="1800" w:type="dxa"/>
            <w:noWrap w:val="0"/>
            <w:vAlign w:val="center"/>
          </w:tcPr>
          <w:p>
            <w:pPr>
              <w:shd w:val="solid" w:color="FFFFFF" w:fill="auto"/>
              <w:autoSpaceDN w:val="0"/>
              <w:adjustRightInd w:val="0"/>
              <w:snapToGrid w:val="0"/>
              <w:rPr>
                <w:rFonts w:ascii="仿宋" w:hAnsi="仿宋" w:eastAsia="仿宋"/>
                <w:sz w:val="24"/>
                <w:shd w:val="clear" w:color="auto" w:fill="FFFFFF"/>
              </w:rPr>
            </w:pPr>
            <w:r>
              <w:rPr>
                <w:rFonts w:hint="eastAsia" w:ascii="仿宋" w:hAnsi="仿宋" w:eastAsia="仿宋"/>
                <w:sz w:val="24"/>
                <w:shd w:val="clear" w:color="auto" w:fill="FFFFFF"/>
              </w:rPr>
              <w:t>参赛选手、裁判</w:t>
            </w:r>
          </w:p>
        </w:tc>
        <w:tc>
          <w:tcPr>
            <w:tcW w:w="937"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竞赛场地</w:t>
            </w:r>
          </w:p>
        </w:tc>
        <w:tc>
          <w:tcPr>
            <w:tcW w:w="1941"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第三回合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9" w:type="dxa"/>
            <w:vMerge w:val="continue"/>
            <w:noWrap w:val="0"/>
            <w:vAlign w:val="center"/>
          </w:tcPr>
          <w:p>
            <w:pPr>
              <w:adjustRightInd w:val="0"/>
              <w:snapToGrid w:val="0"/>
              <w:jc w:val="center"/>
              <w:rPr>
                <w:rFonts w:ascii="仿宋" w:hAnsi="仿宋" w:eastAsia="仿宋"/>
                <w:sz w:val="24"/>
              </w:rPr>
            </w:pPr>
          </w:p>
        </w:tc>
        <w:tc>
          <w:tcPr>
            <w:tcW w:w="1588" w:type="dxa"/>
            <w:noWrap w:val="0"/>
            <w:vAlign w:val="center"/>
          </w:tcPr>
          <w:p>
            <w:pPr>
              <w:shd w:val="solid" w:color="FFFFFF" w:fill="auto"/>
              <w:autoSpaceDN w:val="0"/>
              <w:adjustRightInd w:val="0"/>
              <w:snapToGrid w:val="0"/>
              <w:jc w:val="center"/>
              <w:rPr>
                <w:rFonts w:ascii="仿宋_GB2312" w:hAnsi="仿宋" w:eastAsia="仿宋_GB2312"/>
                <w:sz w:val="24"/>
                <w:shd w:val="clear" w:color="auto" w:fill="FFFFFF"/>
              </w:rPr>
            </w:pPr>
            <w:r>
              <w:rPr>
                <w:rFonts w:hint="eastAsia" w:ascii="仿宋_GB2312" w:hAnsi="仿宋" w:eastAsia="仿宋_GB2312"/>
                <w:sz w:val="24"/>
                <w:shd w:val="clear" w:color="auto" w:fill="FFFFFF"/>
              </w:rPr>
              <w:t>15:10-15:50</w:t>
            </w:r>
          </w:p>
        </w:tc>
        <w:tc>
          <w:tcPr>
            <w:tcW w:w="2000" w:type="dxa"/>
            <w:noWrap w:val="0"/>
            <w:vAlign w:val="center"/>
          </w:tcPr>
          <w:p>
            <w:pPr>
              <w:shd w:val="solid" w:color="FFFFFF" w:fill="auto"/>
              <w:autoSpaceDN w:val="0"/>
              <w:adjustRightInd w:val="0"/>
              <w:snapToGrid w:val="0"/>
              <w:rPr>
                <w:rFonts w:ascii="仿宋" w:hAnsi="仿宋" w:eastAsia="仿宋"/>
                <w:sz w:val="24"/>
                <w:shd w:val="clear" w:color="auto" w:fill="FFFFFF"/>
              </w:rPr>
            </w:pPr>
            <w:r>
              <w:rPr>
                <w:rFonts w:hint="eastAsia" w:ascii="仿宋" w:hAnsi="仿宋" w:eastAsia="仿宋"/>
                <w:sz w:val="24"/>
                <w:shd w:val="clear" w:color="auto" w:fill="FFFFFF"/>
              </w:rPr>
              <w:t>外贸B2C模块（R4）</w:t>
            </w:r>
          </w:p>
        </w:tc>
        <w:tc>
          <w:tcPr>
            <w:tcW w:w="1800" w:type="dxa"/>
            <w:noWrap w:val="0"/>
            <w:vAlign w:val="center"/>
          </w:tcPr>
          <w:p>
            <w:pPr>
              <w:shd w:val="solid" w:color="FFFFFF" w:fill="auto"/>
              <w:autoSpaceDN w:val="0"/>
              <w:adjustRightInd w:val="0"/>
              <w:snapToGrid w:val="0"/>
              <w:rPr>
                <w:rFonts w:ascii="仿宋" w:hAnsi="仿宋" w:eastAsia="仿宋"/>
                <w:sz w:val="24"/>
                <w:shd w:val="clear" w:color="auto" w:fill="FFFFFF"/>
              </w:rPr>
            </w:pPr>
            <w:r>
              <w:rPr>
                <w:rFonts w:hint="eastAsia" w:ascii="仿宋" w:hAnsi="仿宋" w:eastAsia="仿宋"/>
                <w:sz w:val="24"/>
                <w:shd w:val="clear" w:color="auto" w:fill="FFFFFF"/>
              </w:rPr>
              <w:t>参赛选手、裁判</w:t>
            </w:r>
          </w:p>
        </w:tc>
        <w:tc>
          <w:tcPr>
            <w:tcW w:w="937"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竞赛场地</w:t>
            </w:r>
          </w:p>
        </w:tc>
        <w:tc>
          <w:tcPr>
            <w:tcW w:w="1941"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第四回合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9" w:type="dxa"/>
            <w:vMerge w:val="continue"/>
            <w:noWrap w:val="0"/>
            <w:vAlign w:val="center"/>
          </w:tcPr>
          <w:p>
            <w:pPr>
              <w:adjustRightInd w:val="0"/>
              <w:snapToGrid w:val="0"/>
              <w:jc w:val="center"/>
              <w:rPr>
                <w:rFonts w:ascii="仿宋" w:hAnsi="仿宋" w:eastAsia="仿宋"/>
                <w:sz w:val="24"/>
              </w:rPr>
            </w:pPr>
          </w:p>
        </w:tc>
        <w:tc>
          <w:tcPr>
            <w:tcW w:w="1588" w:type="dxa"/>
            <w:noWrap w:val="0"/>
            <w:vAlign w:val="center"/>
          </w:tcPr>
          <w:p>
            <w:pPr>
              <w:shd w:val="solid" w:color="FFFFFF" w:fill="auto"/>
              <w:autoSpaceDN w:val="0"/>
              <w:adjustRightInd w:val="0"/>
              <w:snapToGrid w:val="0"/>
              <w:jc w:val="center"/>
              <w:rPr>
                <w:rFonts w:ascii="仿宋_GB2312" w:hAnsi="仿宋" w:eastAsia="仿宋_GB2312"/>
                <w:sz w:val="24"/>
                <w:shd w:val="clear" w:color="auto" w:fill="FFFFFF"/>
              </w:rPr>
            </w:pPr>
            <w:r>
              <w:rPr>
                <w:rFonts w:hint="eastAsia" w:ascii="仿宋_GB2312" w:hAnsi="仿宋" w:eastAsia="仿宋_GB2312"/>
                <w:sz w:val="24"/>
                <w:shd w:val="clear" w:color="auto" w:fill="FFFFFF"/>
              </w:rPr>
              <w:t>15:50-16:30</w:t>
            </w:r>
          </w:p>
        </w:tc>
        <w:tc>
          <w:tcPr>
            <w:tcW w:w="2000" w:type="dxa"/>
            <w:noWrap w:val="0"/>
            <w:vAlign w:val="center"/>
          </w:tcPr>
          <w:p>
            <w:pPr>
              <w:shd w:val="solid" w:color="FFFFFF" w:fill="auto"/>
              <w:autoSpaceDN w:val="0"/>
              <w:adjustRightInd w:val="0"/>
              <w:snapToGrid w:val="0"/>
              <w:rPr>
                <w:rFonts w:ascii="仿宋" w:hAnsi="仿宋" w:eastAsia="仿宋"/>
                <w:sz w:val="24"/>
                <w:shd w:val="clear" w:color="auto" w:fill="FFFFFF"/>
              </w:rPr>
            </w:pPr>
            <w:r>
              <w:rPr>
                <w:rFonts w:hint="eastAsia" w:ascii="仿宋" w:hAnsi="仿宋" w:eastAsia="仿宋"/>
                <w:sz w:val="24"/>
                <w:shd w:val="clear" w:color="auto" w:fill="FFFFFF"/>
              </w:rPr>
              <w:t>外贸B2C模块（R5）</w:t>
            </w:r>
          </w:p>
        </w:tc>
        <w:tc>
          <w:tcPr>
            <w:tcW w:w="1800" w:type="dxa"/>
            <w:noWrap w:val="0"/>
            <w:vAlign w:val="center"/>
          </w:tcPr>
          <w:p>
            <w:pPr>
              <w:shd w:val="solid" w:color="FFFFFF" w:fill="auto"/>
              <w:autoSpaceDN w:val="0"/>
              <w:adjustRightInd w:val="0"/>
              <w:snapToGrid w:val="0"/>
              <w:rPr>
                <w:rFonts w:ascii="仿宋" w:hAnsi="仿宋" w:eastAsia="仿宋"/>
                <w:sz w:val="24"/>
                <w:shd w:val="clear" w:color="auto" w:fill="FFFFFF"/>
              </w:rPr>
            </w:pPr>
            <w:r>
              <w:rPr>
                <w:rFonts w:hint="eastAsia" w:ascii="仿宋" w:hAnsi="仿宋" w:eastAsia="仿宋"/>
                <w:sz w:val="24"/>
                <w:shd w:val="clear" w:color="auto" w:fill="FFFFFF"/>
              </w:rPr>
              <w:t>参赛选手、裁判</w:t>
            </w:r>
          </w:p>
        </w:tc>
        <w:tc>
          <w:tcPr>
            <w:tcW w:w="937"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竞赛场地</w:t>
            </w:r>
          </w:p>
        </w:tc>
        <w:tc>
          <w:tcPr>
            <w:tcW w:w="1941"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第五回合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9" w:type="dxa"/>
            <w:vMerge w:val="continue"/>
            <w:noWrap w:val="0"/>
            <w:vAlign w:val="center"/>
          </w:tcPr>
          <w:p>
            <w:pPr>
              <w:adjustRightInd w:val="0"/>
              <w:snapToGrid w:val="0"/>
              <w:jc w:val="center"/>
              <w:rPr>
                <w:rFonts w:ascii="仿宋" w:hAnsi="仿宋" w:eastAsia="仿宋"/>
                <w:sz w:val="24"/>
              </w:rPr>
            </w:pPr>
          </w:p>
        </w:tc>
        <w:tc>
          <w:tcPr>
            <w:tcW w:w="1588"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16:30-17:10</w:t>
            </w:r>
          </w:p>
        </w:tc>
        <w:tc>
          <w:tcPr>
            <w:tcW w:w="2000" w:type="dxa"/>
            <w:noWrap w:val="0"/>
            <w:vAlign w:val="center"/>
          </w:tcPr>
          <w:p>
            <w:pPr>
              <w:shd w:val="solid" w:color="FFFFFF" w:fill="auto"/>
              <w:autoSpaceDN w:val="0"/>
              <w:adjustRightInd w:val="0"/>
              <w:snapToGrid w:val="0"/>
              <w:rPr>
                <w:rFonts w:ascii="仿宋" w:hAnsi="仿宋" w:eastAsia="仿宋"/>
                <w:sz w:val="24"/>
                <w:shd w:val="clear" w:color="auto" w:fill="FFFFFF"/>
              </w:rPr>
            </w:pPr>
            <w:r>
              <w:rPr>
                <w:rFonts w:hint="eastAsia" w:ascii="仿宋" w:hAnsi="仿宋" w:eastAsia="仿宋"/>
                <w:sz w:val="24"/>
                <w:shd w:val="clear" w:color="auto" w:fill="FFFFFF"/>
              </w:rPr>
              <w:t>外贸B2C模块（R6）</w:t>
            </w:r>
          </w:p>
        </w:tc>
        <w:tc>
          <w:tcPr>
            <w:tcW w:w="1800" w:type="dxa"/>
            <w:noWrap w:val="0"/>
            <w:vAlign w:val="center"/>
          </w:tcPr>
          <w:p>
            <w:pPr>
              <w:shd w:val="solid" w:color="FFFFFF" w:fill="auto"/>
              <w:autoSpaceDN w:val="0"/>
              <w:adjustRightInd w:val="0"/>
              <w:snapToGrid w:val="0"/>
              <w:rPr>
                <w:rFonts w:ascii="仿宋" w:hAnsi="仿宋" w:eastAsia="仿宋"/>
                <w:sz w:val="24"/>
                <w:shd w:val="clear" w:color="auto" w:fill="FFFFFF"/>
              </w:rPr>
            </w:pPr>
            <w:r>
              <w:rPr>
                <w:rFonts w:hint="eastAsia" w:ascii="仿宋" w:hAnsi="仿宋" w:eastAsia="仿宋"/>
                <w:sz w:val="24"/>
                <w:shd w:val="clear" w:color="auto" w:fill="FFFFFF"/>
              </w:rPr>
              <w:t>参赛选手、裁判</w:t>
            </w:r>
          </w:p>
        </w:tc>
        <w:tc>
          <w:tcPr>
            <w:tcW w:w="937"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竞赛场地</w:t>
            </w:r>
          </w:p>
        </w:tc>
        <w:tc>
          <w:tcPr>
            <w:tcW w:w="1941"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第六回合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9" w:type="dxa"/>
            <w:vMerge w:val="continue"/>
            <w:noWrap w:val="0"/>
            <w:vAlign w:val="center"/>
          </w:tcPr>
          <w:p>
            <w:pPr>
              <w:adjustRightInd w:val="0"/>
              <w:snapToGrid w:val="0"/>
              <w:jc w:val="center"/>
              <w:rPr>
                <w:rFonts w:ascii="仿宋" w:hAnsi="仿宋" w:eastAsia="仿宋"/>
                <w:sz w:val="24"/>
              </w:rPr>
            </w:pPr>
          </w:p>
        </w:tc>
        <w:tc>
          <w:tcPr>
            <w:tcW w:w="1588"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17:10-17:50</w:t>
            </w:r>
          </w:p>
        </w:tc>
        <w:tc>
          <w:tcPr>
            <w:tcW w:w="2000" w:type="dxa"/>
            <w:noWrap w:val="0"/>
            <w:vAlign w:val="center"/>
          </w:tcPr>
          <w:p>
            <w:pPr>
              <w:shd w:val="solid" w:color="FFFFFF" w:fill="auto"/>
              <w:autoSpaceDN w:val="0"/>
              <w:adjustRightInd w:val="0"/>
              <w:snapToGrid w:val="0"/>
              <w:rPr>
                <w:rFonts w:ascii="仿宋" w:hAnsi="仿宋" w:eastAsia="仿宋"/>
                <w:sz w:val="24"/>
                <w:shd w:val="clear" w:color="auto" w:fill="FFFFFF"/>
              </w:rPr>
            </w:pPr>
            <w:r>
              <w:rPr>
                <w:rFonts w:hint="eastAsia" w:ascii="仿宋" w:hAnsi="仿宋" w:eastAsia="仿宋"/>
                <w:sz w:val="24"/>
                <w:shd w:val="clear" w:color="auto" w:fill="FFFFFF"/>
              </w:rPr>
              <w:t>外贸B2C模块（R7）</w:t>
            </w:r>
          </w:p>
        </w:tc>
        <w:tc>
          <w:tcPr>
            <w:tcW w:w="1800" w:type="dxa"/>
            <w:noWrap w:val="0"/>
            <w:vAlign w:val="center"/>
          </w:tcPr>
          <w:p>
            <w:pPr>
              <w:shd w:val="solid" w:color="FFFFFF" w:fill="auto"/>
              <w:autoSpaceDN w:val="0"/>
              <w:adjustRightInd w:val="0"/>
              <w:snapToGrid w:val="0"/>
              <w:rPr>
                <w:rFonts w:ascii="仿宋" w:hAnsi="仿宋" w:eastAsia="仿宋"/>
                <w:sz w:val="24"/>
                <w:shd w:val="clear" w:color="auto" w:fill="FFFFFF"/>
              </w:rPr>
            </w:pPr>
            <w:r>
              <w:rPr>
                <w:rFonts w:hint="eastAsia" w:ascii="仿宋" w:hAnsi="仿宋" w:eastAsia="仿宋"/>
                <w:sz w:val="24"/>
                <w:shd w:val="clear" w:color="auto" w:fill="FFFFFF"/>
              </w:rPr>
              <w:t>参赛选手、裁判</w:t>
            </w:r>
          </w:p>
        </w:tc>
        <w:tc>
          <w:tcPr>
            <w:tcW w:w="937"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竞赛场地</w:t>
            </w:r>
          </w:p>
        </w:tc>
        <w:tc>
          <w:tcPr>
            <w:tcW w:w="1941"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第七回合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9" w:type="dxa"/>
            <w:vMerge w:val="continue"/>
            <w:noWrap w:val="0"/>
            <w:vAlign w:val="center"/>
          </w:tcPr>
          <w:p>
            <w:pPr>
              <w:adjustRightInd w:val="0"/>
              <w:snapToGrid w:val="0"/>
              <w:jc w:val="center"/>
              <w:rPr>
                <w:rFonts w:ascii="仿宋" w:hAnsi="仿宋" w:eastAsia="仿宋"/>
                <w:sz w:val="24"/>
              </w:rPr>
            </w:pPr>
          </w:p>
        </w:tc>
        <w:tc>
          <w:tcPr>
            <w:tcW w:w="1588"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17:50-18:10</w:t>
            </w:r>
          </w:p>
        </w:tc>
        <w:tc>
          <w:tcPr>
            <w:tcW w:w="2000" w:type="dxa"/>
            <w:noWrap w:val="0"/>
            <w:vAlign w:val="center"/>
          </w:tcPr>
          <w:p>
            <w:pPr>
              <w:shd w:val="solid" w:color="FFFFFF" w:fill="auto"/>
              <w:autoSpaceDN w:val="0"/>
              <w:adjustRightInd w:val="0"/>
              <w:snapToGrid w:val="0"/>
              <w:rPr>
                <w:rFonts w:ascii="仿宋" w:hAnsi="仿宋" w:eastAsia="仿宋"/>
                <w:sz w:val="24"/>
                <w:shd w:val="clear" w:color="auto" w:fill="FFFFFF"/>
              </w:rPr>
            </w:pPr>
            <w:r>
              <w:rPr>
                <w:rFonts w:hint="eastAsia" w:ascii="仿宋" w:hAnsi="仿宋" w:eastAsia="仿宋"/>
                <w:sz w:val="24"/>
                <w:shd w:val="clear" w:color="auto" w:fill="FFFFFF"/>
              </w:rPr>
              <w:t>外贸B2C模块（R8）</w:t>
            </w:r>
          </w:p>
        </w:tc>
        <w:tc>
          <w:tcPr>
            <w:tcW w:w="1800" w:type="dxa"/>
            <w:noWrap w:val="0"/>
            <w:vAlign w:val="center"/>
          </w:tcPr>
          <w:p>
            <w:pPr>
              <w:shd w:val="solid" w:color="FFFFFF" w:fill="auto"/>
              <w:autoSpaceDN w:val="0"/>
              <w:adjustRightInd w:val="0"/>
              <w:snapToGrid w:val="0"/>
              <w:rPr>
                <w:rFonts w:ascii="仿宋" w:hAnsi="仿宋" w:eastAsia="仿宋"/>
                <w:sz w:val="24"/>
                <w:shd w:val="clear" w:color="auto" w:fill="FFFFFF"/>
              </w:rPr>
            </w:pPr>
            <w:r>
              <w:rPr>
                <w:rFonts w:hint="eastAsia" w:ascii="仿宋" w:hAnsi="仿宋" w:eastAsia="仿宋"/>
                <w:sz w:val="24"/>
                <w:shd w:val="clear" w:color="auto" w:fill="FFFFFF"/>
              </w:rPr>
              <w:t>参赛选手、现场裁判</w:t>
            </w:r>
          </w:p>
        </w:tc>
        <w:tc>
          <w:tcPr>
            <w:tcW w:w="937"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竞赛场地</w:t>
            </w:r>
          </w:p>
        </w:tc>
        <w:tc>
          <w:tcPr>
            <w:tcW w:w="1941"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第八回合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39" w:type="dxa"/>
            <w:vMerge w:val="continue"/>
            <w:noWrap w:val="0"/>
            <w:vAlign w:val="center"/>
          </w:tcPr>
          <w:p>
            <w:pPr>
              <w:adjustRightInd w:val="0"/>
              <w:snapToGrid w:val="0"/>
              <w:jc w:val="center"/>
              <w:rPr>
                <w:rFonts w:ascii="仿宋" w:hAnsi="仿宋" w:eastAsia="仿宋"/>
                <w:sz w:val="24"/>
              </w:rPr>
            </w:pPr>
          </w:p>
        </w:tc>
        <w:tc>
          <w:tcPr>
            <w:tcW w:w="1588"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18:20</w:t>
            </w:r>
          </w:p>
        </w:tc>
        <w:tc>
          <w:tcPr>
            <w:tcW w:w="2000" w:type="dxa"/>
            <w:noWrap w:val="0"/>
            <w:vAlign w:val="center"/>
          </w:tcPr>
          <w:p>
            <w:pPr>
              <w:shd w:val="solid" w:color="FFFFFF" w:fill="auto"/>
              <w:autoSpaceDN w:val="0"/>
              <w:adjustRightInd w:val="0"/>
              <w:snapToGrid w:val="0"/>
              <w:rPr>
                <w:rFonts w:ascii="仿宋" w:hAnsi="仿宋" w:eastAsia="仿宋"/>
                <w:sz w:val="24"/>
                <w:shd w:val="clear" w:color="auto" w:fill="FFFFFF"/>
              </w:rPr>
            </w:pPr>
            <w:r>
              <w:rPr>
                <w:rFonts w:hint="eastAsia" w:ascii="仿宋" w:hAnsi="仿宋" w:eastAsia="仿宋"/>
                <w:sz w:val="24"/>
                <w:shd w:val="clear" w:color="auto" w:fill="FFFFFF"/>
              </w:rPr>
              <w:t>封闭赛场</w:t>
            </w:r>
          </w:p>
        </w:tc>
        <w:tc>
          <w:tcPr>
            <w:tcW w:w="1800" w:type="dxa"/>
            <w:noWrap w:val="0"/>
            <w:vAlign w:val="center"/>
          </w:tcPr>
          <w:p>
            <w:pPr>
              <w:shd w:val="solid" w:color="FFFFFF" w:fill="auto"/>
              <w:autoSpaceDN w:val="0"/>
              <w:adjustRightInd w:val="0"/>
              <w:snapToGrid w:val="0"/>
              <w:rPr>
                <w:rFonts w:ascii="仿宋" w:hAnsi="仿宋" w:eastAsia="仿宋"/>
                <w:sz w:val="24"/>
                <w:shd w:val="clear" w:color="auto" w:fill="FFFFFF"/>
              </w:rPr>
            </w:pPr>
            <w:r>
              <w:rPr>
                <w:rFonts w:hint="eastAsia" w:ascii="仿宋" w:hAnsi="仿宋" w:eastAsia="仿宋"/>
                <w:sz w:val="24"/>
                <w:shd w:val="clear" w:color="auto" w:fill="FFFFFF"/>
              </w:rPr>
              <w:t>裁判</w:t>
            </w:r>
          </w:p>
        </w:tc>
        <w:tc>
          <w:tcPr>
            <w:tcW w:w="937"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竞赛场地</w:t>
            </w:r>
          </w:p>
        </w:tc>
        <w:tc>
          <w:tcPr>
            <w:tcW w:w="1941" w:type="dxa"/>
            <w:noWrap w:val="0"/>
            <w:vAlign w:val="center"/>
          </w:tcPr>
          <w:p>
            <w:pPr>
              <w:shd w:val="solid" w:color="FFFFFF" w:fill="auto"/>
              <w:autoSpaceDN w:val="0"/>
              <w:adjustRightInd w:val="0"/>
              <w:snapToGrid w:val="0"/>
              <w:rPr>
                <w:rFonts w:ascii="仿宋" w:hAnsi="仿宋" w:eastAsia="仿宋"/>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639" w:type="dxa"/>
            <w:vMerge w:val="continue"/>
            <w:noWrap w:val="0"/>
            <w:vAlign w:val="center"/>
          </w:tcPr>
          <w:p>
            <w:pPr>
              <w:adjustRightInd w:val="0"/>
              <w:snapToGrid w:val="0"/>
              <w:jc w:val="center"/>
              <w:rPr>
                <w:rFonts w:ascii="仿宋" w:hAnsi="仿宋" w:eastAsia="仿宋"/>
                <w:sz w:val="24"/>
              </w:rPr>
            </w:pPr>
          </w:p>
        </w:tc>
        <w:tc>
          <w:tcPr>
            <w:tcW w:w="1588"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19:30</w:t>
            </w:r>
          </w:p>
        </w:tc>
        <w:tc>
          <w:tcPr>
            <w:tcW w:w="2000" w:type="dxa"/>
            <w:noWrap w:val="0"/>
            <w:vAlign w:val="center"/>
          </w:tcPr>
          <w:p>
            <w:pPr>
              <w:shd w:val="solid" w:color="FFFFFF" w:fill="auto"/>
              <w:autoSpaceDN w:val="0"/>
              <w:adjustRightInd w:val="0"/>
              <w:snapToGrid w:val="0"/>
              <w:rPr>
                <w:rFonts w:ascii="仿宋" w:hAnsi="仿宋" w:eastAsia="仿宋"/>
                <w:sz w:val="24"/>
                <w:shd w:val="clear" w:color="auto" w:fill="FFFFFF"/>
              </w:rPr>
            </w:pPr>
            <w:r>
              <w:rPr>
                <w:rFonts w:hint="eastAsia" w:ascii="仿宋" w:hAnsi="仿宋" w:eastAsia="仿宋"/>
                <w:sz w:val="24"/>
                <w:shd w:val="clear" w:color="auto" w:fill="FFFFFF"/>
              </w:rPr>
              <w:t>公布成绩</w:t>
            </w:r>
          </w:p>
        </w:tc>
        <w:tc>
          <w:tcPr>
            <w:tcW w:w="1800" w:type="dxa"/>
            <w:noWrap w:val="0"/>
            <w:vAlign w:val="center"/>
          </w:tcPr>
          <w:p>
            <w:pPr>
              <w:shd w:val="solid" w:color="FFFFFF" w:fill="auto"/>
              <w:autoSpaceDN w:val="0"/>
              <w:adjustRightInd w:val="0"/>
              <w:snapToGrid w:val="0"/>
              <w:rPr>
                <w:rFonts w:ascii="仿宋" w:hAnsi="仿宋" w:eastAsia="仿宋"/>
                <w:sz w:val="24"/>
                <w:shd w:val="clear" w:color="auto" w:fill="FFFFFF"/>
              </w:rPr>
            </w:pPr>
            <w:r>
              <w:rPr>
                <w:rFonts w:hint="eastAsia" w:ascii="仿宋" w:hAnsi="仿宋" w:eastAsia="仿宋"/>
                <w:sz w:val="24"/>
                <w:shd w:val="clear" w:color="auto" w:fill="FFFFFF"/>
              </w:rPr>
              <w:t>参赛选手、领队</w:t>
            </w:r>
          </w:p>
        </w:tc>
        <w:tc>
          <w:tcPr>
            <w:tcW w:w="937" w:type="dxa"/>
            <w:noWrap w:val="0"/>
            <w:vAlign w:val="center"/>
          </w:tcPr>
          <w:p>
            <w:pPr>
              <w:shd w:val="solid" w:color="FFFFFF" w:fill="auto"/>
              <w:autoSpaceDN w:val="0"/>
              <w:adjustRightInd w:val="0"/>
              <w:snapToGrid w:val="0"/>
              <w:jc w:val="center"/>
              <w:rPr>
                <w:rFonts w:ascii="仿宋" w:hAnsi="仿宋" w:eastAsia="仿宋"/>
                <w:sz w:val="24"/>
                <w:shd w:val="clear" w:color="auto" w:fill="FFFFFF"/>
              </w:rPr>
            </w:pPr>
            <w:r>
              <w:rPr>
                <w:rFonts w:hint="eastAsia" w:ascii="仿宋" w:hAnsi="仿宋" w:eastAsia="仿宋"/>
                <w:sz w:val="24"/>
                <w:shd w:val="clear" w:color="auto" w:fill="FFFFFF"/>
              </w:rPr>
              <w:t>竞赛场地</w:t>
            </w:r>
          </w:p>
        </w:tc>
        <w:tc>
          <w:tcPr>
            <w:tcW w:w="1941" w:type="dxa"/>
            <w:noWrap w:val="0"/>
            <w:vAlign w:val="center"/>
          </w:tcPr>
          <w:p>
            <w:pPr>
              <w:shd w:val="solid" w:color="FFFFFF" w:fill="auto"/>
              <w:autoSpaceDN w:val="0"/>
              <w:adjustRightInd w:val="0"/>
              <w:snapToGrid w:val="0"/>
              <w:rPr>
                <w:rFonts w:ascii="仿宋" w:hAnsi="仿宋" w:eastAsia="仿宋"/>
                <w:sz w:val="24"/>
                <w:shd w:val="clear" w:color="auto" w:fill="FFFFFF"/>
              </w:rPr>
            </w:pPr>
          </w:p>
        </w:tc>
      </w:tr>
    </w:tbl>
    <w:p>
      <w:pPr>
        <w:outlineLvl w:val="0"/>
        <w:rPr>
          <w:rFonts w:hint="eastAsia" w:ascii="仿宋" w:hAnsi="仿宋" w:eastAsia="仿宋" w:cs="宋体"/>
          <w:b/>
          <w:sz w:val="28"/>
          <w:szCs w:val="28"/>
        </w:rPr>
      </w:pP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outlineLvl w:val="0"/>
        <w:rPr>
          <w:rFonts w:hint="eastAsia" w:ascii="仿宋" w:hAnsi="仿宋" w:eastAsia="仿宋" w:cs="仿宋"/>
          <w:b/>
          <w:sz w:val="32"/>
          <w:szCs w:val="32"/>
        </w:rPr>
      </w:pPr>
      <w:r>
        <w:rPr>
          <w:rFonts w:hint="eastAsia" w:ascii="仿宋" w:hAnsi="仿宋" w:eastAsia="仿宋" w:cs="仿宋"/>
          <w:b/>
          <w:sz w:val="32"/>
          <w:szCs w:val="32"/>
        </w:rPr>
        <w:t>六、竞赛规则</w:t>
      </w:r>
      <w:bookmarkEnd w:id="5"/>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（一）报名资格</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参赛选手须为高等职业院校全日制在籍学生；五年制高职学生报名参赛的，四、五年级学生参加高职组比赛。</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（二）报名要求</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参赛选手和指导教师报名获得确认后不得随意更换。如备赛过程中参赛选手和指导教师因故无法参赛，须由学校行政部门于开赛</w:t>
      </w:r>
      <w:r>
        <w:rPr>
          <w:rFonts w:hint="eastAsia" w:ascii="仿宋" w:hAnsi="仿宋" w:eastAsia="仿宋" w:cs="仿宋"/>
          <w:sz w:val="32"/>
          <w:szCs w:val="32"/>
          <w:lang w:val="en-US" w:eastAsia="zh-CN"/>
        </w:rPr>
        <w:t>5</w:t>
      </w:r>
      <w:r>
        <w:rPr>
          <w:rFonts w:hint="eastAsia" w:ascii="仿宋" w:hAnsi="仿宋" w:eastAsia="仿宋" w:cs="仿宋"/>
          <w:sz w:val="32"/>
          <w:szCs w:val="32"/>
        </w:rPr>
        <w:t>个工作日之前出具书面说明，经竞赛组委会办公室核实后予以更换。竞赛开始后，参赛队不得更换参赛队员。</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（三）赛前准备</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1.熟悉场地：比赛日前一天下午开放赛场，熟悉场地。</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2</w:t>
      </w:r>
      <w:r>
        <w:rPr>
          <w:rFonts w:hint="eastAsia" w:ascii="仿宋" w:hAnsi="仿宋" w:eastAsia="仿宋" w:cs="仿宋"/>
          <w:sz w:val="32"/>
          <w:szCs w:val="32"/>
        </w:rPr>
        <w:t>.抽签仪式：比赛前一小时内举行抽签仪式，由各参赛队自行确定一名选手抽签，通过抽签确定各参赛队伍的赛场座次。</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参赛队员入场：参赛选手应提前15分钟到达赛场，凭参赛证、身份证检录，经体温检测后，按要求入场，不得迟到早退。现场裁判负责核对参赛队员信息；严禁参赛选手携带任何电子设备、通讯设备及其他相关资料与用品入场。整个竞赛过程中，请全程佩戴口罩。</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（四）比赛期间</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1.各参赛队伍打开电脑，根据对应的账号密码进入竞赛平台，由裁判长宣布比赛开始，各参赛队伍开始竞赛。</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竞赛过程中，如有疑问，参赛选手应持“咨询”示意牌示意，项目裁判长应按照有关要求及时予以答疑。如遇设备或软件等故障，参赛选手应持“故障”示意牌示意。项目裁判长、技术人员等应及时予以解决。确因计算机软件或硬件故障，致使操作无法继续的，经项目裁判长确认，予以启用备用计算机。如遇身体不适，参赛选手应持“医务”示意牌示意，现场医务人员按应急预案救治。</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3.竞赛过程中不得在任何地方出现与参赛者身份信息相关的内容，一经发现，以作弊论处，取消比赛成绩并通报。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（五）成绩公布</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1.竞赛结束后，经公示程序后，裁判公布竞赛结果，并将成绩登录在竞赛成绩单上。</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2.必要的裁判等相关人员签字后，裁判长签字。赛场裁判将数据进行备份和保存，成绩单提交给竞赛组委会备案。</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3．参赛代表队若对赛事有异议，可由领队按规程提出书面申诉。</w:t>
      </w:r>
    </w:p>
    <w:p>
      <w:pPr>
        <w:keepNext w:val="0"/>
        <w:keepLines w:val="0"/>
        <w:pageBreakBefore w:val="0"/>
        <w:widowControl w:val="0"/>
        <w:kinsoku/>
        <w:wordWrap/>
        <w:overflowPunct/>
        <w:topLinePunct w:val="0"/>
        <w:autoSpaceDE/>
        <w:autoSpaceDN/>
        <w:bidi w:val="0"/>
        <w:adjustRightInd/>
        <w:snapToGrid/>
        <w:spacing w:line="600" w:lineRule="exact"/>
        <w:textAlignment w:val="auto"/>
        <w:outlineLvl w:val="0"/>
        <w:rPr>
          <w:rFonts w:hint="eastAsia" w:ascii="仿宋" w:hAnsi="仿宋" w:eastAsia="仿宋" w:cs="仿宋"/>
          <w:b/>
          <w:sz w:val="32"/>
          <w:szCs w:val="32"/>
        </w:rPr>
      </w:pPr>
      <w:bookmarkStart w:id="6" w:name="_Toc61004417"/>
      <w:r>
        <w:rPr>
          <w:rFonts w:hint="eastAsia" w:ascii="仿宋" w:hAnsi="仿宋" w:eastAsia="仿宋" w:cs="仿宋"/>
          <w:b/>
          <w:sz w:val="32"/>
          <w:szCs w:val="32"/>
        </w:rPr>
        <w:t>七、竞赛环境</w:t>
      </w:r>
      <w:bookmarkEnd w:id="6"/>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一）竞赛场地设在电脑机房，场地内设置满足参赛团队数量的竞赛环境，分隔成A、B两个区域，每个区域内设置相应数量的赛位。一个参赛队的每个小组的两名选手一个机位，每个机位两台电脑，其中一台电脑备用，桌椅备足。</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（二）竞赛场地内设置宣传横幅，营造竞赛氛围；</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三</w:t>
      </w:r>
      <w:r>
        <w:rPr>
          <w:rFonts w:hint="eastAsia" w:ascii="仿宋" w:hAnsi="仿宋" w:eastAsia="仿宋" w:cs="仿宋"/>
          <w:sz w:val="32"/>
          <w:szCs w:val="32"/>
        </w:rPr>
        <w:t>）局域网络。采用星形网络拓扑结构，安装千兆交换机。网线与电源线隐蔽铺设。采用独立网络环境，不连接INTERNET，禁止外部电脑接入。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四</w:t>
      </w:r>
      <w:r>
        <w:rPr>
          <w:rFonts w:hint="eastAsia" w:ascii="仿宋" w:hAnsi="仿宋" w:eastAsia="仿宋" w:cs="仿宋"/>
          <w:sz w:val="32"/>
          <w:szCs w:val="32"/>
        </w:rPr>
        <w:t>）安全保障。采用统一的杀毒软件对服务器进行防毒保护。屏蔽竞赛现场使用的电脑USB接口。部署具有网络管理、账号管理和日志管理功能的综合监控系统。</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五</w:t>
      </w:r>
      <w:r>
        <w:rPr>
          <w:rFonts w:hint="eastAsia" w:ascii="仿宋" w:hAnsi="仿宋" w:eastAsia="仿宋" w:cs="仿宋"/>
          <w:sz w:val="32"/>
          <w:szCs w:val="32"/>
        </w:rPr>
        <w:t>）采用双路供电；利用UPS防止现场因突然断电导致的系统数据丢失，额定功率：3KVA，后备时间：2小时，电池类型：输出电压：230V±5%V。</w:t>
      </w:r>
    </w:p>
    <w:p>
      <w:pPr>
        <w:keepNext w:val="0"/>
        <w:keepLines w:val="0"/>
        <w:pageBreakBefore w:val="0"/>
        <w:widowControl w:val="0"/>
        <w:kinsoku/>
        <w:wordWrap/>
        <w:overflowPunct/>
        <w:topLinePunct w:val="0"/>
        <w:autoSpaceDE/>
        <w:autoSpaceDN/>
        <w:bidi w:val="0"/>
        <w:adjustRightInd/>
        <w:snapToGrid/>
        <w:spacing w:line="600" w:lineRule="exact"/>
        <w:textAlignment w:val="auto"/>
        <w:outlineLvl w:val="0"/>
        <w:rPr>
          <w:rFonts w:hint="eastAsia" w:ascii="仿宋" w:hAnsi="仿宋" w:eastAsia="仿宋" w:cs="仿宋"/>
          <w:sz w:val="32"/>
          <w:szCs w:val="32"/>
        </w:rPr>
      </w:pPr>
      <w:bookmarkStart w:id="7" w:name="_Toc61004418"/>
      <w:r>
        <w:rPr>
          <w:rFonts w:hint="eastAsia" w:ascii="仿宋" w:hAnsi="仿宋" w:eastAsia="仿宋" w:cs="仿宋"/>
          <w:b/>
          <w:sz w:val="32"/>
          <w:szCs w:val="32"/>
        </w:rPr>
        <w:t>八、技术规范</w:t>
      </w:r>
      <w:bookmarkEnd w:id="7"/>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（一）依据国际规范：</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《联合国国际货物销售合同公约》</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（the United Nations Convention on Contracts for the International Sale of Goods，CISG）</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国际商会《跟单信用证统一惯例（UCP600）》</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（Uniform Customs and Practice for Documentary Credits）</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《2020国际贸易术语解释通则》</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（Incoterms International Rules for the Interpretation of Trade Terms）</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国际商会《托收统一规则（URC522）》</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（Uniform RulesforCollections,ICCPublicationNo.522）</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（二）依据国家标准：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GB∕T 38652-2020 电子商务业务术语</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（三）依据职业教育国家教学资源库：</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《职业教育国际贸易专业国家教学资源库》</w:t>
      </w:r>
    </w:p>
    <w:p>
      <w:pPr>
        <w:keepNext w:val="0"/>
        <w:keepLines w:val="0"/>
        <w:pageBreakBefore w:val="0"/>
        <w:widowControl w:val="0"/>
        <w:kinsoku/>
        <w:wordWrap/>
        <w:overflowPunct/>
        <w:topLinePunct w:val="0"/>
        <w:autoSpaceDE/>
        <w:autoSpaceDN/>
        <w:bidi w:val="0"/>
        <w:adjustRightInd/>
        <w:snapToGrid/>
        <w:spacing w:line="600" w:lineRule="exact"/>
        <w:textAlignment w:val="auto"/>
        <w:outlineLvl w:val="0"/>
        <w:rPr>
          <w:rFonts w:hint="eastAsia" w:ascii="仿宋" w:hAnsi="仿宋" w:eastAsia="仿宋" w:cs="仿宋"/>
          <w:b/>
          <w:sz w:val="32"/>
          <w:szCs w:val="32"/>
        </w:rPr>
      </w:pPr>
      <w:bookmarkStart w:id="8" w:name="_Toc61004419"/>
      <w:r>
        <w:rPr>
          <w:rFonts w:hint="eastAsia" w:ascii="仿宋" w:hAnsi="仿宋" w:eastAsia="仿宋" w:cs="仿宋"/>
          <w:b/>
          <w:sz w:val="32"/>
          <w:szCs w:val="32"/>
        </w:rPr>
        <w:t>九、技术平台</w:t>
      </w:r>
      <w:bookmarkEnd w:id="8"/>
    </w:p>
    <w:p>
      <w:pPr>
        <w:spacing w:line="560" w:lineRule="exact"/>
        <w:jc w:val="center"/>
        <w:rPr>
          <w:rFonts w:ascii="仿宋" w:hAnsi="仿宋" w:eastAsia="仿宋" w:cs="宋体"/>
          <w:sz w:val="24"/>
          <w:szCs w:val="30"/>
        </w:rPr>
      </w:pPr>
      <w:r>
        <w:rPr>
          <w:rFonts w:hint="eastAsia" w:ascii="仿宋" w:hAnsi="仿宋" w:eastAsia="仿宋" w:cs="宋体"/>
          <w:sz w:val="24"/>
          <w:szCs w:val="30"/>
        </w:rPr>
        <w:t>表3 竞赛场地设备规格要求</w:t>
      </w:r>
    </w:p>
    <w:tbl>
      <w:tblPr>
        <w:tblStyle w:val="8"/>
        <w:tblW w:w="818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296"/>
        <w:gridCol w:w="588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50" w:hRule="atLeast"/>
          <w:jc w:val="center"/>
        </w:trPr>
        <w:tc>
          <w:tcPr>
            <w:tcW w:w="2296" w:type="dxa"/>
            <w:vAlign w:val="center"/>
          </w:tcPr>
          <w:p>
            <w:pPr>
              <w:pStyle w:val="7"/>
              <w:adjustRightInd w:val="0"/>
              <w:snapToGrid w:val="0"/>
              <w:spacing w:beforeAutospacing="0" w:afterAutospacing="0"/>
              <w:jc w:val="center"/>
              <w:rPr>
                <w:rFonts w:ascii="仿宋" w:hAnsi="仿宋" w:eastAsia="仿宋"/>
                <w:b/>
                <w:color w:val="0D0D0D"/>
                <w:kern w:val="2"/>
              </w:rPr>
            </w:pPr>
            <w:r>
              <w:rPr>
                <w:rFonts w:hint="eastAsia" w:ascii="仿宋" w:hAnsi="仿宋" w:eastAsia="仿宋"/>
                <w:b/>
                <w:color w:val="0D0D0D"/>
                <w:kern w:val="2"/>
              </w:rPr>
              <w:t>品名</w:t>
            </w:r>
          </w:p>
        </w:tc>
        <w:tc>
          <w:tcPr>
            <w:tcW w:w="5886" w:type="dxa"/>
            <w:vAlign w:val="center"/>
          </w:tcPr>
          <w:p>
            <w:pPr>
              <w:pStyle w:val="7"/>
              <w:adjustRightInd w:val="0"/>
              <w:snapToGrid w:val="0"/>
              <w:spacing w:beforeAutospacing="0" w:afterAutospacing="0"/>
              <w:jc w:val="center"/>
              <w:rPr>
                <w:rFonts w:ascii="仿宋" w:hAnsi="仿宋" w:eastAsia="仿宋"/>
                <w:b/>
                <w:color w:val="0D0D0D"/>
                <w:kern w:val="2"/>
              </w:rPr>
            </w:pPr>
            <w:r>
              <w:rPr>
                <w:rFonts w:hint="eastAsia" w:ascii="仿宋" w:hAnsi="仿宋" w:eastAsia="仿宋"/>
                <w:b/>
                <w:color w:val="0D0D0D"/>
                <w:kern w:val="2"/>
              </w:rPr>
              <w:t>规格要求说明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1" w:hRule="atLeast"/>
          <w:jc w:val="center"/>
        </w:trPr>
        <w:tc>
          <w:tcPr>
            <w:tcW w:w="2296" w:type="dxa"/>
            <w:vAlign w:val="center"/>
          </w:tcPr>
          <w:p>
            <w:pPr>
              <w:pStyle w:val="7"/>
              <w:adjustRightInd w:val="0"/>
              <w:snapToGrid w:val="0"/>
              <w:spacing w:beforeAutospacing="0" w:afterAutospacing="0"/>
              <w:jc w:val="both"/>
              <w:rPr>
                <w:rFonts w:ascii="仿宋" w:hAnsi="仿宋" w:eastAsia="仿宋"/>
                <w:color w:val="0D0D0D"/>
                <w:kern w:val="2"/>
              </w:rPr>
            </w:pPr>
            <w:r>
              <w:rPr>
                <w:rFonts w:hint="eastAsia" w:ascii="仿宋" w:hAnsi="仿宋" w:eastAsia="仿宋"/>
                <w:color w:val="0D0D0D"/>
                <w:kern w:val="2"/>
              </w:rPr>
              <w:t>参赛选手计算机</w:t>
            </w:r>
          </w:p>
        </w:tc>
        <w:tc>
          <w:tcPr>
            <w:tcW w:w="5886" w:type="dxa"/>
          </w:tcPr>
          <w:p>
            <w:pPr>
              <w:pStyle w:val="7"/>
              <w:adjustRightInd w:val="0"/>
              <w:snapToGrid w:val="0"/>
              <w:spacing w:beforeAutospacing="0" w:afterAutospacing="0"/>
              <w:jc w:val="both"/>
              <w:rPr>
                <w:rFonts w:ascii="仿宋" w:hAnsi="仿宋" w:eastAsia="仿宋"/>
                <w:color w:val="0D0D0D"/>
                <w:kern w:val="2"/>
              </w:rPr>
            </w:pPr>
            <w:r>
              <w:rPr>
                <w:rFonts w:hint="eastAsia" w:ascii="仿宋" w:hAnsi="仿宋" w:eastAsia="仿宋" w:cs="仿宋"/>
              </w:rPr>
              <w:t>满足支持竞赛软件的硬件及软件要求。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3" w:hRule="atLeast"/>
          <w:jc w:val="center"/>
        </w:trPr>
        <w:tc>
          <w:tcPr>
            <w:tcW w:w="2296" w:type="dxa"/>
            <w:vAlign w:val="center"/>
          </w:tcPr>
          <w:p>
            <w:pPr>
              <w:pStyle w:val="7"/>
              <w:adjustRightInd w:val="0"/>
              <w:snapToGrid w:val="0"/>
              <w:spacing w:beforeAutospacing="0" w:afterAutospacing="0"/>
              <w:jc w:val="both"/>
              <w:rPr>
                <w:rFonts w:ascii="仿宋" w:hAnsi="仿宋" w:eastAsia="仿宋"/>
                <w:color w:val="0D0D0D"/>
                <w:kern w:val="2"/>
              </w:rPr>
            </w:pPr>
            <w:r>
              <w:rPr>
                <w:rFonts w:hint="eastAsia" w:ascii="仿宋" w:hAnsi="仿宋" w:eastAsia="仿宋"/>
                <w:color w:val="0D0D0D"/>
                <w:kern w:val="2"/>
              </w:rPr>
              <w:t>网络连接设备</w:t>
            </w:r>
          </w:p>
        </w:tc>
        <w:tc>
          <w:tcPr>
            <w:tcW w:w="5886" w:type="dxa"/>
            <w:vAlign w:val="center"/>
          </w:tcPr>
          <w:p>
            <w:pPr>
              <w:pStyle w:val="7"/>
              <w:adjustRightInd w:val="0"/>
              <w:snapToGrid w:val="0"/>
              <w:spacing w:beforeAutospacing="0" w:afterAutospacing="0"/>
              <w:jc w:val="both"/>
              <w:rPr>
                <w:rFonts w:ascii="仿宋" w:hAnsi="仿宋" w:eastAsia="仿宋"/>
                <w:color w:val="0D0D0D"/>
                <w:kern w:val="2"/>
              </w:rPr>
            </w:pPr>
            <w:r>
              <w:rPr>
                <w:rFonts w:hint="eastAsia" w:ascii="仿宋" w:hAnsi="仿宋" w:eastAsia="仿宋" w:cs="仿宋"/>
              </w:rPr>
              <w:t>提供网络布线、交换机。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3" w:hRule="atLeast"/>
          <w:jc w:val="center"/>
        </w:trPr>
        <w:tc>
          <w:tcPr>
            <w:tcW w:w="2296" w:type="dxa"/>
            <w:vAlign w:val="center"/>
          </w:tcPr>
          <w:p>
            <w:pPr>
              <w:pStyle w:val="7"/>
              <w:adjustRightInd w:val="0"/>
              <w:snapToGrid w:val="0"/>
              <w:spacing w:before="0" w:beforeAutospacing="0" w:after="0" w:afterAutospacing="0"/>
              <w:jc w:val="both"/>
              <w:rPr>
                <w:rFonts w:ascii="仿宋" w:hAnsi="仿宋" w:eastAsia="仿宋"/>
                <w:color w:val="0D0D0D"/>
                <w:kern w:val="2"/>
              </w:rPr>
            </w:pPr>
            <w:r>
              <w:rPr>
                <w:rFonts w:hint="eastAsia" w:ascii="仿宋" w:hAnsi="仿宋" w:eastAsia="仿宋"/>
                <w:color w:val="0D0D0D"/>
                <w:kern w:val="2"/>
              </w:rPr>
              <w:t>竞赛服务器</w:t>
            </w:r>
          </w:p>
        </w:tc>
        <w:tc>
          <w:tcPr>
            <w:tcW w:w="5886" w:type="dxa"/>
            <w:vAlign w:val="center"/>
          </w:tcPr>
          <w:p>
            <w:pPr>
              <w:pStyle w:val="7"/>
              <w:adjustRightInd w:val="0"/>
              <w:snapToGrid w:val="0"/>
              <w:spacing w:before="0" w:beforeAutospacing="0" w:after="0" w:afterAutospacing="0"/>
              <w:jc w:val="both"/>
              <w:rPr>
                <w:rFonts w:ascii="仿宋" w:hAnsi="仿宋" w:eastAsia="仿宋"/>
                <w:color w:val="0D0D0D"/>
                <w:kern w:val="2"/>
              </w:rPr>
            </w:pPr>
            <w:r>
              <w:rPr>
                <w:rFonts w:hint="eastAsia" w:ascii="仿宋" w:hAnsi="仿宋" w:eastAsia="仿宋"/>
                <w:color w:val="0D0D0D"/>
                <w:kern w:val="2"/>
              </w:rPr>
              <w:t>CPU：Xeon 2.0G（双核）以上；内存：16GB（含）以上；硬盘：2T（含）以上，有C盘，D盘两个以上硬盘分区；网卡：千兆网卡；操作系统： Windows Server 2008 R2 SP1（或Windows Server 2008 Service Pack 2、Windows Server 2012、Windows Server 2012 R2），安装IIS 7.0以上；数据库： Microsoft SQL Server 2008 R2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27" w:hRule="atLeast"/>
          <w:jc w:val="center"/>
        </w:trPr>
        <w:tc>
          <w:tcPr>
            <w:tcW w:w="2296" w:type="dxa"/>
            <w:vAlign w:val="center"/>
          </w:tcPr>
          <w:p>
            <w:pPr>
              <w:pStyle w:val="7"/>
              <w:adjustRightInd w:val="0"/>
              <w:snapToGrid w:val="0"/>
              <w:spacing w:beforeAutospacing="0" w:afterAutospacing="0"/>
              <w:jc w:val="both"/>
              <w:rPr>
                <w:rFonts w:ascii="仿宋" w:hAnsi="仿宋" w:eastAsia="仿宋"/>
                <w:kern w:val="2"/>
              </w:rPr>
            </w:pPr>
            <w:r>
              <w:rPr>
                <w:rFonts w:hint="eastAsia" w:ascii="仿宋" w:hAnsi="仿宋" w:eastAsia="仿宋"/>
                <w:kern w:val="2"/>
              </w:rPr>
              <w:t>竞赛平台</w:t>
            </w:r>
          </w:p>
        </w:tc>
        <w:tc>
          <w:tcPr>
            <w:tcW w:w="5886" w:type="dxa"/>
            <w:vAlign w:val="center"/>
          </w:tcPr>
          <w:p>
            <w:pPr>
              <w:pStyle w:val="7"/>
              <w:adjustRightInd w:val="0"/>
              <w:snapToGrid w:val="0"/>
              <w:spacing w:beforeAutospacing="0" w:afterAutospacing="0"/>
              <w:jc w:val="both"/>
              <w:rPr>
                <w:rFonts w:ascii="仿宋" w:hAnsi="仿宋" w:eastAsia="仿宋"/>
                <w:kern w:val="2"/>
                <w:szCs w:val="21"/>
              </w:rPr>
            </w:pPr>
            <w:r>
              <w:rPr>
                <w:rFonts w:hint="eastAsia" w:ascii="仿宋" w:hAnsi="仿宋" w:eastAsia="仿宋"/>
                <w:kern w:val="2"/>
                <w:szCs w:val="21"/>
              </w:rPr>
              <w:t>世格数字国际贸易综合技能实训平台软件</w:t>
            </w:r>
          </w:p>
        </w:tc>
      </w:tr>
    </w:tbl>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outlineLvl w:val="0"/>
        <w:rPr>
          <w:rFonts w:ascii="仿宋" w:hAnsi="仿宋" w:eastAsia="仿宋"/>
          <w:sz w:val="32"/>
          <w:szCs w:val="32"/>
        </w:rPr>
      </w:pPr>
      <w:bookmarkStart w:id="9" w:name="_Toc61004420"/>
      <w:r>
        <w:rPr>
          <w:rFonts w:hint="eastAsia" w:ascii="仿宋" w:hAnsi="仿宋" w:eastAsia="仿宋" w:cs="宋体"/>
          <w:b/>
          <w:sz w:val="32"/>
          <w:szCs w:val="32"/>
        </w:rPr>
        <w:t>十、成绩评定</w:t>
      </w:r>
      <w:bookmarkEnd w:id="9"/>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仿宋" w:hAnsi="仿宋" w:eastAsia="仿宋"/>
          <w:b w:val="0"/>
          <w:bCs w:val="0"/>
          <w:sz w:val="32"/>
          <w:szCs w:val="32"/>
        </w:rPr>
      </w:pPr>
      <w:bookmarkStart w:id="10" w:name="_Toc414002613"/>
      <w:r>
        <w:rPr>
          <w:rFonts w:hint="eastAsia" w:ascii="仿宋" w:hAnsi="仿宋" w:eastAsia="仿宋"/>
          <w:b w:val="0"/>
          <w:bCs w:val="0"/>
          <w:sz w:val="32"/>
          <w:szCs w:val="32"/>
        </w:rPr>
        <w:t>（一）评分方法</w:t>
      </w:r>
      <w:bookmarkEnd w:id="10"/>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仿宋" w:hAnsi="仿宋" w:eastAsia="仿宋"/>
          <w:sz w:val="32"/>
          <w:szCs w:val="32"/>
        </w:rPr>
      </w:pPr>
      <w:r>
        <w:rPr>
          <w:rFonts w:hint="eastAsia" w:ascii="仿宋" w:hAnsi="仿宋" w:eastAsia="仿宋" w:cs="Arial"/>
          <w:sz w:val="32"/>
          <w:szCs w:val="32"/>
        </w:rPr>
        <w:t>外贸</w:t>
      </w:r>
      <w:r>
        <w:rPr>
          <w:rFonts w:hint="eastAsia" w:ascii="仿宋" w:hAnsi="仿宋" w:eastAsia="仿宋"/>
          <w:sz w:val="32"/>
          <w:szCs w:val="32"/>
        </w:rPr>
        <w:t>B2B模块、</w:t>
      </w:r>
      <w:r>
        <w:rPr>
          <w:rFonts w:hint="eastAsia" w:ascii="仿宋" w:hAnsi="仿宋" w:eastAsia="仿宋" w:cs="Arial"/>
          <w:sz w:val="32"/>
          <w:szCs w:val="32"/>
        </w:rPr>
        <w:t>外贸</w:t>
      </w:r>
      <w:r>
        <w:rPr>
          <w:rFonts w:hint="eastAsia" w:ascii="仿宋" w:hAnsi="仿宋" w:eastAsia="仿宋"/>
          <w:sz w:val="32"/>
          <w:szCs w:val="32"/>
        </w:rPr>
        <w:t>B2C模块竞赛均为机考评分。记分员负责在监督人员监督下完成统分工作，统分表需由记分员、监督员、裁判长共同签字确认。统分后，记分员负责在监督人员监督下完成汇总计分工作，汇总计分表。成绩汇总结束后，由加密裁判对汇总成绩进行还原，形成竞赛队最终成绩单。在正式公布比赛成绩之前，任何人员不得随意泄露评分结果。</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仿宋" w:hAnsi="仿宋" w:eastAsia="仿宋"/>
          <w:sz w:val="32"/>
          <w:szCs w:val="32"/>
        </w:rPr>
      </w:pPr>
      <w:r>
        <w:rPr>
          <w:rFonts w:hint="eastAsia" w:ascii="仿宋" w:hAnsi="仿宋" w:eastAsia="仿宋"/>
          <w:sz w:val="32"/>
          <w:szCs w:val="32"/>
          <w:lang w:val="en-US" w:eastAsia="zh-CN"/>
        </w:rPr>
        <w:t>1.</w:t>
      </w:r>
      <w:r>
        <w:rPr>
          <w:rFonts w:hint="eastAsia" w:ascii="仿宋" w:hAnsi="仿宋" w:eastAsia="仿宋"/>
          <w:sz w:val="32"/>
          <w:szCs w:val="32"/>
        </w:rPr>
        <w:t>参赛队竞赛总分计算公式：</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仿宋" w:hAnsi="仿宋" w:eastAsia="仿宋"/>
          <w:sz w:val="32"/>
          <w:szCs w:val="32"/>
        </w:rPr>
      </w:pPr>
      <w:r>
        <w:rPr>
          <w:rFonts w:hint="eastAsia" w:ascii="仿宋" w:hAnsi="仿宋" w:eastAsia="仿宋"/>
          <w:sz w:val="32"/>
          <w:szCs w:val="32"/>
        </w:rPr>
        <w:t>参赛队的竞赛总分=</w:t>
      </w:r>
      <w:r>
        <w:rPr>
          <w:rFonts w:hint="eastAsia" w:ascii="仿宋" w:hAnsi="仿宋" w:eastAsia="仿宋" w:cs="Arial"/>
          <w:sz w:val="32"/>
          <w:szCs w:val="32"/>
        </w:rPr>
        <w:t>外贸</w:t>
      </w:r>
      <w:r>
        <w:rPr>
          <w:rFonts w:hint="eastAsia" w:ascii="仿宋" w:hAnsi="仿宋" w:eastAsia="仿宋"/>
          <w:sz w:val="32"/>
          <w:szCs w:val="32"/>
        </w:rPr>
        <w:t>B2B模块得分×50%+</w:t>
      </w:r>
      <w:r>
        <w:rPr>
          <w:rFonts w:hint="eastAsia" w:ascii="仿宋" w:hAnsi="仿宋" w:eastAsia="仿宋" w:cs="Arial"/>
          <w:sz w:val="32"/>
          <w:szCs w:val="32"/>
        </w:rPr>
        <w:t>外贸</w:t>
      </w:r>
      <w:r>
        <w:rPr>
          <w:rFonts w:hint="eastAsia" w:ascii="仿宋" w:hAnsi="仿宋" w:eastAsia="仿宋"/>
          <w:sz w:val="32"/>
          <w:szCs w:val="32"/>
        </w:rPr>
        <w:t>B2C模块得分×50%</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仿宋" w:hAnsi="仿宋" w:eastAsia="仿宋"/>
          <w:sz w:val="32"/>
          <w:szCs w:val="32"/>
        </w:rPr>
      </w:pPr>
      <w:r>
        <w:rPr>
          <w:rFonts w:hint="eastAsia" w:ascii="仿宋" w:hAnsi="仿宋" w:eastAsia="仿宋"/>
          <w:sz w:val="32"/>
          <w:szCs w:val="32"/>
        </w:rPr>
        <w:t>注：参赛队的竞赛总分四舍五入保留两位小数。</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仿宋" w:hAnsi="仿宋" w:eastAsia="仿宋"/>
          <w:sz w:val="32"/>
          <w:szCs w:val="32"/>
        </w:rPr>
      </w:pPr>
      <w:r>
        <w:rPr>
          <w:rFonts w:hint="eastAsia" w:ascii="仿宋" w:hAnsi="仿宋" w:eastAsia="仿宋"/>
          <w:sz w:val="32"/>
          <w:szCs w:val="32"/>
          <w:lang w:val="en-US" w:eastAsia="zh-CN"/>
        </w:rPr>
        <w:t>2.</w:t>
      </w:r>
      <w:r>
        <w:rPr>
          <w:rFonts w:hint="eastAsia" w:ascii="仿宋" w:hAnsi="仿宋" w:eastAsia="仿宋"/>
          <w:sz w:val="32"/>
          <w:szCs w:val="32"/>
        </w:rPr>
        <w:t>参赛队各模块得分公式如下：</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仿宋" w:hAnsi="仿宋" w:eastAsia="仿宋"/>
          <w:sz w:val="32"/>
          <w:szCs w:val="32"/>
        </w:rPr>
      </w:pPr>
      <w:r>
        <w:rPr>
          <w:rFonts w:hint="eastAsia" w:ascii="仿宋" w:hAnsi="仿宋" w:eastAsia="仿宋" w:cs="Arial"/>
          <w:sz w:val="32"/>
          <w:szCs w:val="32"/>
        </w:rPr>
        <w:t>外贸</w:t>
      </w:r>
      <w:r>
        <w:rPr>
          <w:rFonts w:hint="eastAsia" w:ascii="仿宋" w:hAnsi="仿宋" w:eastAsia="仿宋"/>
          <w:sz w:val="32"/>
          <w:szCs w:val="32"/>
        </w:rPr>
        <w:t>B2B模块得分=参赛队2组选手得分的平均分（四舍五入保留两位小数）</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仿宋" w:hAnsi="仿宋" w:eastAsia="仿宋"/>
          <w:sz w:val="32"/>
          <w:szCs w:val="32"/>
        </w:rPr>
      </w:pPr>
      <w:r>
        <w:rPr>
          <w:rFonts w:hint="eastAsia" w:ascii="仿宋" w:hAnsi="仿宋" w:eastAsia="仿宋" w:cs="Arial"/>
          <w:sz w:val="32"/>
          <w:szCs w:val="32"/>
        </w:rPr>
        <w:t>外贸</w:t>
      </w:r>
      <w:r>
        <w:rPr>
          <w:rFonts w:hint="eastAsia" w:ascii="仿宋" w:hAnsi="仿宋" w:eastAsia="仿宋"/>
          <w:sz w:val="32"/>
          <w:szCs w:val="32"/>
        </w:rPr>
        <w:t>B2C模块得分=参赛队2组选手得分的平均分（四舍五入保留两位小数）</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3.成绩复核：成绩复核：为保障成绩评判的准确性，监督组将对</w:t>
      </w:r>
      <w:r>
        <w:rPr>
          <w:rFonts w:hint="eastAsia" w:ascii="仿宋" w:hAnsi="仿宋" w:eastAsia="仿宋"/>
          <w:sz w:val="32"/>
          <w:szCs w:val="32"/>
          <w:lang w:val="en-US" w:eastAsia="zh-CN"/>
        </w:rPr>
        <w:t>所有</w:t>
      </w:r>
      <w:r>
        <w:rPr>
          <w:rFonts w:hint="eastAsia" w:ascii="仿宋" w:hAnsi="仿宋" w:eastAsia="仿宋"/>
          <w:sz w:val="32"/>
          <w:szCs w:val="32"/>
        </w:rPr>
        <w:t>成绩进行复核</w:t>
      </w:r>
      <w:r>
        <w:rPr>
          <w:rFonts w:hint="eastAsia" w:ascii="仿宋" w:hAnsi="仿宋" w:eastAsia="仿宋"/>
          <w:sz w:val="32"/>
          <w:szCs w:val="32"/>
          <w:lang w:eastAsia="zh-CN"/>
        </w:rPr>
        <w:t>，</w:t>
      </w:r>
      <w:r>
        <w:rPr>
          <w:rFonts w:hint="eastAsia" w:ascii="仿宋" w:hAnsi="仿宋" w:eastAsia="仿宋"/>
          <w:sz w:val="32"/>
          <w:szCs w:val="32"/>
        </w:rPr>
        <w:t>如发现成绩错误以书面方式及时告知裁判长，由裁判长更正成绩并签字确认。</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4.赛项最终得分按100分制计分。赛项最终成绩复核后经裁判长、监督组签字后进行公示。公示时间为</w:t>
      </w:r>
      <w:r>
        <w:rPr>
          <w:rFonts w:hint="eastAsia" w:ascii="仿宋" w:hAnsi="仿宋" w:eastAsia="仿宋"/>
          <w:sz w:val="32"/>
          <w:szCs w:val="32"/>
          <w:lang w:val="en-US" w:eastAsia="zh-CN"/>
        </w:rPr>
        <w:t>1小时</w:t>
      </w:r>
      <w:bookmarkStart w:id="17" w:name="_GoBack"/>
      <w:bookmarkEnd w:id="17"/>
      <w:r>
        <w:rPr>
          <w:rFonts w:hint="eastAsia" w:ascii="仿宋" w:hAnsi="仿宋" w:eastAsia="仿宋"/>
          <w:sz w:val="32"/>
          <w:szCs w:val="32"/>
          <w:lang w:eastAsia="zh-CN"/>
        </w:rPr>
        <w:t>，</w:t>
      </w:r>
      <w:r>
        <w:rPr>
          <w:rFonts w:hint="eastAsia" w:ascii="仿宋" w:hAnsi="仿宋" w:eastAsia="仿宋"/>
          <w:sz w:val="32"/>
          <w:szCs w:val="32"/>
        </w:rPr>
        <w:t>成绩公示无异议后，由仲裁长和监督组长在成绩单上签字，并公布竞赛成绩。</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sz w:val="32"/>
          <w:szCs w:val="32"/>
          <w:lang w:eastAsia="zh-CN"/>
        </w:rPr>
      </w:pPr>
      <w:r>
        <w:rPr>
          <w:rFonts w:hint="eastAsia" w:ascii="仿宋" w:hAnsi="仿宋" w:eastAsia="仿宋"/>
          <w:sz w:val="32"/>
          <w:szCs w:val="32"/>
        </w:rPr>
        <w:t>5、如有申述，参赛选手可在比赛结束后一个小时内，向裁判组提交书面申诉材料</w:t>
      </w:r>
      <w:r>
        <w:rPr>
          <w:rFonts w:hint="eastAsia" w:ascii="仿宋" w:hAnsi="仿宋" w:eastAsia="仿宋"/>
          <w:sz w:val="32"/>
          <w:szCs w:val="32"/>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宋体" w:hAnsi="宋体"/>
          <w:b w:val="0"/>
          <w:bCs w:val="0"/>
          <w:color w:val="000000"/>
          <w:sz w:val="32"/>
          <w:szCs w:val="32"/>
        </w:rPr>
      </w:pPr>
      <w:bookmarkStart w:id="11" w:name="_Toc414002614"/>
      <w:r>
        <w:rPr>
          <w:rFonts w:hint="eastAsia" w:ascii="宋体" w:hAnsi="宋体"/>
          <w:b w:val="0"/>
          <w:bCs w:val="0"/>
          <w:color w:val="000000"/>
          <w:sz w:val="32"/>
          <w:szCs w:val="32"/>
        </w:rPr>
        <w:t>（二）评分细则</w:t>
      </w:r>
      <w:bookmarkEnd w:id="11"/>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竞赛各模块评分标准如下：</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ascii="仿宋" w:hAnsi="仿宋" w:eastAsia="仿宋"/>
          <w:sz w:val="32"/>
          <w:szCs w:val="32"/>
        </w:rPr>
      </w:pPr>
      <w:r>
        <w:rPr>
          <w:rFonts w:hint="eastAsia" w:ascii="仿宋" w:hAnsi="仿宋" w:eastAsia="仿宋"/>
          <w:sz w:val="32"/>
          <w:szCs w:val="32"/>
        </w:rPr>
        <w:t>1.</w:t>
      </w:r>
      <w:r>
        <w:rPr>
          <w:rFonts w:hint="eastAsia" w:ascii="仿宋" w:hAnsi="仿宋" w:eastAsia="仿宋" w:cs="Arial"/>
          <w:sz w:val="32"/>
          <w:szCs w:val="32"/>
        </w:rPr>
        <w:t>外贸</w:t>
      </w:r>
      <w:r>
        <w:rPr>
          <w:rFonts w:hint="eastAsia" w:ascii="仿宋" w:hAnsi="仿宋" w:eastAsia="仿宋"/>
          <w:sz w:val="32"/>
          <w:szCs w:val="32"/>
        </w:rPr>
        <w:t>B2B模块</w:t>
      </w:r>
    </w:p>
    <w:p>
      <w:pPr>
        <w:spacing w:line="560" w:lineRule="exact"/>
        <w:jc w:val="center"/>
        <w:rPr>
          <w:rFonts w:hint="eastAsia" w:ascii="仿宋" w:hAnsi="仿宋" w:eastAsia="仿宋" w:cs="宋体"/>
          <w:sz w:val="24"/>
        </w:rPr>
      </w:pPr>
      <w:r>
        <w:rPr>
          <w:rFonts w:hint="eastAsia" w:ascii="仿宋" w:hAnsi="仿宋" w:eastAsia="仿宋" w:cs="宋体"/>
          <w:sz w:val="24"/>
        </w:rPr>
        <w:t>表</w:t>
      </w:r>
      <w:r>
        <w:rPr>
          <w:rFonts w:hint="eastAsia" w:ascii="仿宋" w:hAnsi="仿宋" w:eastAsia="仿宋" w:cs="宋体"/>
          <w:sz w:val="24"/>
          <w:lang w:val="en-US" w:eastAsia="zh-CN"/>
        </w:rPr>
        <w:t>4</w:t>
      </w:r>
      <w:r>
        <w:rPr>
          <w:rFonts w:hint="eastAsia" w:ascii="仿宋" w:hAnsi="仿宋" w:eastAsia="仿宋" w:cs="宋体"/>
          <w:sz w:val="24"/>
        </w:rPr>
        <w:t xml:space="preserve"> 外贸B2B模块评分细则</w:t>
      </w:r>
    </w:p>
    <w:tbl>
      <w:tblPr>
        <w:tblStyle w:val="8"/>
        <w:tblW w:w="81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8"/>
        <w:gridCol w:w="1658"/>
        <w:gridCol w:w="4497"/>
        <w:gridCol w:w="6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358" w:type="dxa"/>
            <w:noWrap w:val="0"/>
            <w:vAlign w:val="center"/>
          </w:tcPr>
          <w:p>
            <w:pPr>
              <w:widowControl/>
              <w:jc w:val="center"/>
              <w:rPr>
                <w:rFonts w:ascii="仿宋" w:hAnsi="仿宋" w:eastAsia="仿宋" w:cs="宋体"/>
                <w:b/>
                <w:kern w:val="0"/>
                <w:sz w:val="24"/>
              </w:rPr>
            </w:pPr>
            <w:r>
              <w:rPr>
                <w:rFonts w:hint="eastAsia" w:ascii="仿宋" w:hAnsi="仿宋" w:eastAsia="仿宋" w:cs="宋体"/>
                <w:b/>
                <w:kern w:val="0"/>
                <w:sz w:val="24"/>
              </w:rPr>
              <w:t>项目</w:t>
            </w:r>
          </w:p>
        </w:tc>
        <w:tc>
          <w:tcPr>
            <w:tcW w:w="1658" w:type="dxa"/>
            <w:noWrap w:val="0"/>
            <w:vAlign w:val="center"/>
          </w:tcPr>
          <w:p>
            <w:pPr>
              <w:widowControl/>
              <w:jc w:val="center"/>
              <w:rPr>
                <w:rFonts w:ascii="仿宋" w:hAnsi="仿宋" w:eastAsia="仿宋" w:cs="宋体"/>
                <w:b/>
                <w:kern w:val="0"/>
                <w:sz w:val="24"/>
              </w:rPr>
            </w:pPr>
            <w:r>
              <w:rPr>
                <w:rFonts w:hint="eastAsia" w:ascii="仿宋" w:hAnsi="仿宋" w:eastAsia="仿宋" w:cs="宋体"/>
                <w:b/>
                <w:kern w:val="0"/>
                <w:sz w:val="24"/>
              </w:rPr>
              <w:t>要素</w:t>
            </w:r>
          </w:p>
        </w:tc>
        <w:tc>
          <w:tcPr>
            <w:tcW w:w="4497" w:type="dxa"/>
            <w:noWrap w:val="0"/>
            <w:vAlign w:val="center"/>
          </w:tcPr>
          <w:p>
            <w:pPr>
              <w:widowControl/>
              <w:jc w:val="center"/>
              <w:rPr>
                <w:rFonts w:ascii="仿宋" w:hAnsi="仿宋" w:eastAsia="仿宋" w:cs="宋体"/>
                <w:b/>
                <w:kern w:val="0"/>
                <w:sz w:val="24"/>
              </w:rPr>
            </w:pPr>
            <w:r>
              <w:rPr>
                <w:rFonts w:hint="eastAsia" w:ascii="仿宋" w:hAnsi="仿宋" w:eastAsia="仿宋" w:cs="宋体"/>
                <w:b/>
                <w:kern w:val="0"/>
                <w:sz w:val="24"/>
              </w:rPr>
              <w:t>评分细则</w:t>
            </w:r>
          </w:p>
        </w:tc>
        <w:tc>
          <w:tcPr>
            <w:tcW w:w="669" w:type="dxa"/>
            <w:noWrap w:val="0"/>
            <w:vAlign w:val="center"/>
          </w:tcPr>
          <w:p>
            <w:pPr>
              <w:widowControl/>
              <w:jc w:val="center"/>
              <w:rPr>
                <w:rFonts w:ascii="仿宋" w:hAnsi="仿宋" w:eastAsia="仿宋" w:cs="宋体"/>
                <w:b/>
                <w:kern w:val="0"/>
                <w:sz w:val="24"/>
              </w:rPr>
            </w:pPr>
            <w:r>
              <w:rPr>
                <w:rFonts w:hint="eastAsia" w:ascii="仿宋" w:hAnsi="仿宋" w:eastAsia="仿宋" w:cs="宋体"/>
                <w:b/>
                <w:kern w:val="0"/>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restart"/>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业务推广</w:t>
            </w:r>
          </w:p>
          <w:p>
            <w:pPr>
              <w:widowControl/>
              <w:jc w:val="center"/>
              <w:rPr>
                <w:rFonts w:ascii="仿宋" w:hAnsi="仿宋" w:eastAsia="仿宋" w:cs="宋体"/>
                <w:kern w:val="0"/>
                <w:sz w:val="24"/>
              </w:rPr>
            </w:pPr>
            <w:r>
              <w:rPr>
                <w:rFonts w:hint="eastAsia" w:ascii="仿宋" w:hAnsi="仿宋" w:eastAsia="仿宋" w:cs="宋体"/>
                <w:kern w:val="0"/>
                <w:sz w:val="24"/>
              </w:rPr>
              <w:t>（共5分）</w:t>
            </w:r>
          </w:p>
        </w:tc>
        <w:tc>
          <w:tcPr>
            <w:tcW w:w="1658" w:type="dxa"/>
            <w:vMerge w:val="restart"/>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建站管理</w:t>
            </w:r>
          </w:p>
        </w:tc>
        <w:tc>
          <w:tcPr>
            <w:tcW w:w="4497" w:type="dxa"/>
            <w:noWrap w:val="0"/>
            <w:vAlign w:val="center"/>
          </w:tcPr>
          <w:p>
            <w:pPr>
              <w:widowControl/>
              <w:rPr>
                <w:rFonts w:ascii="仿宋" w:hAnsi="仿宋" w:eastAsia="仿宋" w:cs="宋体"/>
                <w:kern w:val="0"/>
                <w:sz w:val="24"/>
              </w:rPr>
            </w:pPr>
            <w:r>
              <w:rPr>
                <w:rFonts w:hint="eastAsia" w:ascii="仿宋" w:hAnsi="仿宋" w:eastAsia="仿宋" w:cs="宋体"/>
                <w:kern w:val="0"/>
                <w:sz w:val="24"/>
              </w:rPr>
              <w:t>管理公司信息：</w:t>
            </w:r>
          </w:p>
          <w:p>
            <w:pPr>
              <w:widowControl/>
              <w:rPr>
                <w:rFonts w:ascii="仿宋" w:hAnsi="仿宋" w:eastAsia="仿宋" w:cs="宋体"/>
                <w:kern w:val="0"/>
                <w:sz w:val="24"/>
              </w:rPr>
            </w:pPr>
            <w:r>
              <w:rPr>
                <w:rFonts w:hint="eastAsia" w:ascii="仿宋" w:hAnsi="仿宋" w:eastAsia="仿宋" w:cs="宋体"/>
                <w:kern w:val="0"/>
                <w:sz w:val="24"/>
              </w:rPr>
              <w:t>须完善公司信息，全部填写完整则得满分0.4分，具体包括5个主营业务(每个0.02分）、10个更多经营产品（每个0.008分）、设置公司标志（0.044分）、设置3个公司形象展示图（每个0.044分）及公司详细信息的填写（0.044分）。</w:t>
            </w:r>
          </w:p>
        </w:tc>
        <w:tc>
          <w:tcPr>
            <w:tcW w:w="669" w:type="dxa"/>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noWrap w:val="0"/>
            <w:vAlign w:val="center"/>
          </w:tcPr>
          <w:p>
            <w:pPr>
              <w:widowControl/>
              <w:jc w:val="center"/>
              <w:rPr>
                <w:rFonts w:ascii="仿宋" w:hAnsi="仿宋" w:eastAsia="仿宋" w:cs="宋体"/>
                <w:kern w:val="0"/>
                <w:sz w:val="24"/>
              </w:rPr>
            </w:pPr>
          </w:p>
        </w:tc>
        <w:tc>
          <w:tcPr>
            <w:tcW w:w="1658" w:type="dxa"/>
            <w:vMerge w:val="continue"/>
            <w:noWrap w:val="0"/>
            <w:vAlign w:val="center"/>
          </w:tcPr>
          <w:p>
            <w:pPr>
              <w:widowControl/>
              <w:jc w:val="center"/>
              <w:rPr>
                <w:rFonts w:ascii="仿宋" w:hAnsi="仿宋" w:eastAsia="仿宋" w:cs="宋体"/>
                <w:kern w:val="0"/>
                <w:sz w:val="24"/>
              </w:rPr>
            </w:pPr>
          </w:p>
        </w:tc>
        <w:tc>
          <w:tcPr>
            <w:tcW w:w="4497" w:type="dxa"/>
            <w:noWrap w:val="0"/>
            <w:vAlign w:val="center"/>
          </w:tcPr>
          <w:p>
            <w:pPr>
              <w:widowControl/>
              <w:rPr>
                <w:rFonts w:ascii="仿宋" w:hAnsi="仿宋" w:eastAsia="仿宋" w:cs="宋体"/>
                <w:kern w:val="0"/>
                <w:sz w:val="24"/>
              </w:rPr>
            </w:pPr>
            <w:r>
              <w:rPr>
                <w:rFonts w:hint="eastAsia" w:ascii="仿宋" w:hAnsi="仿宋" w:eastAsia="仿宋" w:cs="宋体"/>
                <w:kern w:val="0"/>
                <w:sz w:val="24"/>
              </w:rPr>
              <w:t>完成A&amp;V认证得0.1分。</w:t>
            </w:r>
          </w:p>
        </w:tc>
        <w:tc>
          <w:tcPr>
            <w:tcW w:w="669" w:type="dxa"/>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noWrap w:val="0"/>
            <w:vAlign w:val="center"/>
          </w:tcPr>
          <w:p>
            <w:pPr>
              <w:widowControl/>
              <w:jc w:val="center"/>
              <w:rPr>
                <w:rFonts w:ascii="仿宋" w:hAnsi="仿宋" w:eastAsia="仿宋" w:cs="宋体"/>
                <w:kern w:val="0"/>
                <w:sz w:val="24"/>
              </w:rPr>
            </w:pPr>
          </w:p>
        </w:tc>
        <w:tc>
          <w:tcPr>
            <w:tcW w:w="1658" w:type="dxa"/>
            <w:vMerge w:val="continue"/>
            <w:noWrap w:val="0"/>
            <w:vAlign w:val="center"/>
          </w:tcPr>
          <w:p>
            <w:pPr>
              <w:widowControl/>
              <w:jc w:val="center"/>
              <w:rPr>
                <w:rFonts w:ascii="仿宋" w:hAnsi="仿宋" w:eastAsia="仿宋" w:cs="宋体"/>
                <w:kern w:val="0"/>
                <w:sz w:val="24"/>
              </w:rPr>
            </w:pPr>
          </w:p>
        </w:tc>
        <w:tc>
          <w:tcPr>
            <w:tcW w:w="4497" w:type="dxa"/>
            <w:noWrap w:val="0"/>
            <w:vAlign w:val="center"/>
          </w:tcPr>
          <w:p>
            <w:pPr>
              <w:widowControl/>
              <w:rPr>
                <w:rFonts w:ascii="仿宋" w:hAnsi="仿宋" w:eastAsia="仿宋" w:cs="宋体"/>
                <w:kern w:val="0"/>
                <w:sz w:val="24"/>
              </w:rPr>
            </w:pPr>
            <w:r>
              <w:rPr>
                <w:rFonts w:hint="eastAsia" w:ascii="仿宋" w:hAnsi="仿宋" w:eastAsia="仿宋" w:cs="宋体"/>
                <w:kern w:val="0"/>
                <w:sz w:val="24"/>
              </w:rPr>
              <w:t>加入金品诚企并完成管理能力评估得0.1分。</w:t>
            </w:r>
          </w:p>
        </w:tc>
        <w:tc>
          <w:tcPr>
            <w:tcW w:w="669" w:type="dxa"/>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noWrap w:val="0"/>
            <w:vAlign w:val="center"/>
          </w:tcPr>
          <w:p>
            <w:pPr>
              <w:widowControl/>
              <w:jc w:val="center"/>
              <w:rPr>
                <w:rFonts w:ascii="仿宋" w:hAnsi="仿宋" w:eastAsia="仿宋" w:cs="宋体"/>
                <w:kern w:val="0"/>
                <w:sz w:val="24"/>
              </w:rPr>
            </w:pPr>
          </w:p>
        </w:tc>
        <w:tc>
          <w:tcPr>
            <w:tcW w:w="1658" w:type="dxa"/>
            <w:vMerge w:val="continue"/>
            <w:noWrap w:val="0"/>
            <w:vAlign w:val="center"/>
          </w:tcPr>
          <w:p>
            <w:pPr>
              <w:widowControl/>
              <w:jc w:val="center"/>
              <w:rPr>
                <w:rFonts w:ascii="仿宋" w:hAnsi="仿宋" w:eastAsia="仿宋" w:cs="宋体"/>
                <w:kern w:val="0"/>
                <w:sz w:val="24"/>
              </w:rPr>
            </w:pPr>
          </w:p>
        </w:tc>
        <w:tc>
          <w:tcPr>
            <w:tcW w:w="4497" w:type="dxa"/>
            <w:noWrap w:val="0"/>
            <w:vAlign w:val="center"/>
          </w:tcPr>
          <w:p>
            <w:pPr>
              <w:widowControl/>
              <w:rPr>
                <w:rFonts w:ascii="仿宋" w:hAnsi="仿宋" w:eastAsia="仿宋" w:cs="宋体"/>
                <w:kern w:val="0"/>
                <w:sz w:val="24"/>
              </w:rPr>
            </w:pPr>
            <w:r>
              <w:rPr>
                <w:rFonts w:hint="eastAsia" w:ascii="仿宋" w:hAnsi="仿宋" w:eastAsia="仿宋" w:cs="宋体"/>
                <w:kern w:val="0"/>
                <w:sz w:val="24"/>
              </w:rPr>
              <w:t>完成店铺装修，包括更换主题和Banner，各0.1分。</w:t>
            </w:r>
          </w:p>
        </w:tc>
        <w:tc>
          <w:tcPr>
            <w:tcW w:w="669" w:type="dxa"/>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noWrap w:val="0"/>
            <w:vAlign w:val="center"/>
          </w:tcPr>
          <w:p>
            <w:pPr>
              <w:widowControl/>
              <w:jc w:val="center"/>
              <w:rPr>
                <w:rFonts w:ascii="仿宋" w:hAnsi="仿宋" w:eastAsia="仿宋" w:cs="宋体"/>
                <w:kern w:val="0"/>
                <w:sz w:val="24"/>
              </w:rPr>
            </w:pPr>
          </w:p>
        </w:tc>
        <w:tc>
          <w:tcPr>
            <w:tcW w:w="1658" w:type="dxa"/>
            <w:vMerge w:val="restart"/>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产品管理</w:t>
            </w:r>
          </w:p>
        </w:tc>
        <w:tc>
          <w:tcPr>
            <w:tcW w:w="4497" w:type="dxa"/>
            <w:noWrap w:val="0"/>
            <w:vAlign w:val="center"/>
          </w:tcPr>
          <w:p>
            <w:pPr>
              <w:widowControl/>
              <w:rPr>
                <w:rFonts w:ascii="仿宋" w:hAnsi="仿宋" w:eastAsia="仿宋" w:cs="宋体"/>
                <w:kern w:val="0"/>
                <w:sz w:val="24"/>
              </w:rPr>
            </w:pPr>
            <w:r>
              <w:rPr>
                <w:rFonts w:hint="eastAsia" w:ascii="仿宋" w:hAnsi="仿宋" w:eastAsia="仿宋" w:cs="宋体"/>
                <w:kern w:val="0"/>
                <w:sz w:val="24"/>
              </w:rPr>
              <w:t>发布产品的数量，发布1个产品得0.2分，5个满分。</w:t>
            </w:r>
          </w:p>
        </w:tc>
        <w:tc>
          <w:tcPr>
            <w:tcW w:w="669" w:type="dxa"/>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noWrap w:val="0"/>
            <w:vAlign w:val="center"/>
          </w:tcPr>
          <w:p>
            <w:pPr>
              <w:widowControl/>
              <w:jc w:val="center"/>
              <w:rPr>
                <w:rFonts w:ascii="仿宋" w:hAnsi="仿宋" w:eastAsia="仿宋" w:cs="宋体"/>
                <w:kern w:val="0"/>
                <w:sz w:val="24"/>
              </w:rPr>
            </w:pPr>
          </w:p>
        </w:tc>
        <w:tc>
          <w:tcPr>
            <w:tcW w:w="1658" w:type="dxa"/>
            <w:vMerge w:val="continue"/>
            <w:noWrap w:val="0"/>
            <w:vAlign w:val="center"/>
          </w:tcPr>
          <w:p>
            <w:pPr>
              <w:widowControl/>
              <w:jc w:val="center"/>
              <w:rPr>
                <w:rFonts w:ascii="仿宋" w:hAnsi="仿宋" w:eastAsia="仿宋" w:cs="宋体"/>
                <w:kern w:val="0"/>
                <w:sz w:val="24"/>
              </w:rPr>
            </w:pPr>
          </w:p>
        </w:tc>
        <w:tc>
          <w:tcPr>
            <w:tcW w:w="4497" w:type="dxa"/>
            <w:noWrap w:val="0"/>
            <w:vAlign w:val="center"/>
          </w:tcPr>
          <w:p>
            <w:pPr>
              <w:widowControl/>
              <w:rPr>
                <w:rFonts w:ascii="仿宋" w:hAnsi="仿宋" w:eastAsia="仿宋" w:cs="宋体"/>
                <w:kern w:val="0"/>
                <w:sz w:val="24"/>
              </w:rPr>
            </w:pPr>
            <w:r>
              <w:rPr>
                <w:rFonts w:hint="eastAsia" w:ascii="仿宋" w:hAnsi="仿宋" w:eastAsia="仿宋" w:cs="宋体"/>
                <w:kern w:val="0"/>
                <w:sz w:val="24"/>
              </w:rPr>
              <w:t>发布产品的质量，包括产品标题、关键词、产品图片、原产地等产品属性、物流信息（包括发货期、港口等）、产品详情等，此项得分取所有产品页面的平均分。</w:t>
            </w:r>
          </w:p>
        </w:tc>
        <w:tc>
          <w:tcPr>
            <w:tcW w:w="669" w:type="dxa"/>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noWrap w:val="0"/>
            <w:vAlign w:val="center"/>
          </w:tcPr>
          <w:p>
            <w:pPr>
              <w:widowControl/>
              <w:jc w:val="center"/>
              <w:rPr>
                <w:rFonts w:ascii="仿宋" w:hAnsi="仿宋" w:eastAsia="仿宋" w:cs="宋体"/>
                <w:kern w:val="0"/>
                <w:sz w:val="24"/>
              </w:rPr>
            </w:pPr>
          </w:p>
        </w:tc>
        <w:tc>
          <w:tcPr>
            <w:tcW w:w="1658" w:type="dxa"/>
            <w:vMerge w:val="continue"/>
            <w:noWrap w:val="0"/>
            <w:vAlign w:val="center"/>
          </w:tcPr>
          <w:p>
            <w:pPr>
              <w:widowControl/>
              <w:jc w:val="center"/>
              <w:rPr>
                <w:rFonts w:ascii="仿宋" w:hAnsi="仿宋" w:eastAsia="仿宋" w:cs="宋体"/>
                <w:kern w:val="0"/>
                <w:sz w:val="24"/>
              </w:rPr>
            </w:pPr>
          </w:p>
        </w:tc>
        <w:tc>
          <w:tcPr>
            <w:tcW w:w="4497" w:type="dxa"/>
            <w:noWrap w:val="0"/>
            <w:vAlign w:val="center"/>
          </w:tcPr>
          <w:p>
            <w:pPr>
              <w:widowControl/>
              <w:rPr>
                <w:rFonts w:ascii="仿宋" w:hAnsi="仿宋" w:eastAsia="仿宋" w:cs="宋体"/>
                <w:kern w:val="0"/>
                <w:sz w:val="24"/>
              </w:rPr>
            </w:pPr>
            <w:r>
              <w:rPr>
                <w:rFonts w:hint="eastAsia" w:ascii="仿宋" w:hAnsi="仿宋" w:eastAsia="仿宋" w:cs="宋体"/>
                <w:kern w:val="0"/>
                <w:sz w:val="24"/>
              </w:rPr>
              <w:t>认证商品个数，每个0.04分，5个得满分。</w:t>
            </w:r>
          </w:p>
        </w:tc>
        <w:tc>
          <w:tcPr>
            <w:tcW w:w="669" w:type="dxa"/>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noWrap w:val="0"/>
            <w:vAlign w:val="center"/>
          </w:tcPr>
          <w:p>
            <w:pPr>
              <w:widowControl/>
              <w:jc w:val="center"/>
              <w:rPr>
                <w:rFonts w:ascii="仿宋" w:hAnsi="仿宋" w:eastAsia="仿宋" w:cs="宋体"/>
                <w:kern w:val="0"/>
                <w:sz w:val="24"/>
              </w:rPr>
            </w:pPr>
          </w:p>
        </w:tc>
        <w:tc>
          <w:tcPr>
            <w:tcW w:w="1658" w:type="dxa"/>
            <w:vMerge w:val="continue"/>
            <w:noWrap w:val="0"/>
            <w:vAlign w:val="center"/>
          </w:tcPr>
          <w:p>
            <w:pPr>
              <w:widowControl/>
              <w:jc w:val="center"/>
              <w:rPr>
                <w:rFonts w:ascii="仿宋" w:hAnsi="仿宋" w:eastAsia="仿宋" w:cs="宋体"/>
                <w:kern w:val="0"/>
                <w:sz w:val="24"/>
              </w:rPr>
            </w:pPr>
          </w:p>
        </w:tc>
        <w:tc>
          <w:tcPr>
            <w:tcW w:w="4497" w:type="dxa"/>
            <w:noWrap w:val="0"/>
            <w:vAlign w:val="center"/>
          </w:tcPr>
          <w:p>
            <w:pPr>
              <w:widowControl/>
              <w:rPr>
                <w:rFonts w:ascii="仿宋" w:hAnsi="仿宋" w:eastAsia="仿宋" w:cs="宋体"/>
                <w:kern w:val="0"/>
                <w:sz w:val="24"/>
              </w:rPr>
            </w:pPr>
            <w:r>
              <w:rPr>
                <w:rFonts w:hint="eastAsia" w:ascii="仿宋" w:hAnsi="仿宋" w:eastAsia="仿宋" w:cs="宋体"/>
                <w:kern w:val="0"/>
                <w:sz w:val="24"/>
              </w:rPr>
              <w:t>橱窗产品个数，每个0.04分，5个得满分。</w:t>
            </w:r>
          </w:p>
        </w:tc>
        <w:tc>
          <w:tcPr>
            <w:tcW w:w="669" w:type="dxa"/>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noWrap w:val="0"/>
            <w:vAlign w:val="center"/>
          </w:tcPr>
          <w:p>
            <w:pPr>
              <w:widowControl/>
              <w:jc w:val="center"/>
              <w:rPr>
                <w:rFonts w:ascii="仿宋" w:hAnsi="仿宋" w:eastAsia="仿宋" w:cs="宋体"/>
                <w:kern w:val="0"/>
                <w:sz w:val="24"/>
              </w:rPr>
            </w:pPr>
          </w:p>
        </w:tc>
        <w:tc>
          <w:tcPr>
            <w:tcW w:w="1658" w:type="dxa"/>
            <w:vMerge w:val="continue"/>
            <w:noWrap w:val="0"/>
            <w:vAlign w:val="center"/>
          </w:tcPr>
          <w:p>
            <w:pPr>
              <w:widowControl/>
              <w:jc w:val="center"/>
              <w:rPr>
                <w:rFonts w:ascii="仿宋" w:hAnsi="仿宋" w:eastAsia="仿宋" w:cs="宋体"/>
                <w:kern w:val="0"/>
                <w:sz w:val="24"/>
              </w:rPr>
            </w:pPr>
          </w:p>
        </w:tc>
        <w:tc>
          <w:tcPr>
            <w:tcW w:w="4497" w:type="dxa"/>
            <w:noWrap w:val="0"/>
            <w:vAlign w:val="center"/>
          </w:tcPr>
          <w:p>
            <w:pPr>
              <w:widowControl/>
              <w:rPr>
                <w:rFonts w:ascii="仿宋" w:hAnsi="仿宋" w:eastAsia="仿宋" w:cs="宋体"/>
                <w:kern w:val="0"/>
                <w:sz w:val="24"/>
              </w:rPr>
            </w:pPr>
            <w:r>
              <w:rPr>
                <w:rFonts w:hint="eastAsia" w:ascii="仿宋" w:hAnsi="仿宋" w:eastAsia="仿宋" w:cs="宋体"/>
                <w:kern w:val="0"/>
                <w:sz w:val="24"/>
              </w:rPr>
              <w:t>创建产品分组的个数，每创建一个一级分组得0.04分，5个得满分。</w:t>
            </w:r>
          </w:p>
        </w:tc>
        <w:tc>
          <w:tcPr>
            <w:tcW w:w="669" w:type="dxa"/>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noWrap w:val="0"/>
            <w:vAlign w:val="center"/>
          </w:tcPr>
          <w:p>
            <w:pPr>
              <w:widowControl/>
              <w:jc w:val="center"/>
              <w:rPr>
                <w:rFonts w:ascii="仿宋" w:hAnsi="仿宋" w:eastAsia="仿宋" w:cs="宋体"/>
                <w:kern w:val="0"/>
                <w:sz w:val="24"/>
              </w:rPr>
            </w:pPr>
          </w:p>
        </w:tc>
        <w:tc>
          <w:tcPr>
            <w:tcW w:w="1658" w:type="dxa"/>
            <w:vMerge w:val="restart"/>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采购直达</w:t>
            </w:r>
          </w:p>
        </w:tc>
        <w:tc>
          <w:tcPr>
            <w:tcW w:w="4497" w:type="dxa"/>
            <w:noWrap w:val="0"/>
            <w:vAlign w:val="center"/>
          </w:tcPr>
          <w:p>
            <w:pPr>
              <w:widowControl/>
              <w:rPr>
                <w:rFonts w:ascii="仿宋" w:hAnsi="仿宋" w:eastAsia="仿宋" w:cs="宋体"/>
                <w:kern w:val="0"/>
                <w:sz w:val="24"/>
              </w:rPr>
            </w:pPr>
            <w:r>
              <w:rPr>
                <w:rFonts w:hint="eastAsia" w:ascii="仿宋" w:hAnsi="仿宋" w:eastAsia="仿宋" w:cs="宋体"/>
                <w:kern w:val="0"/>
                <w:sz w:val="24"/>
              </w:rPr>
              <w:t>发布采购需求数量，每个0.04分，5个满分。</w:t>
            </w:r>
          </w:p>
        </w:tc>
        <w:tc>
          <w:tcPr>
            <w:tcW w:w="669" w:type="dxa"/>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noWrap w:val="0"/>
            <w:vAlign w:val="center"/>
          </w:tcPr>
          <w:p>
            <w:pPr>
              <w:widowControl/>
              <w:jc w:val="center"/>
              <w:rPr>
                <w:rFonts w:ascii="仿宋" w:hAnsi="仿宋" w:eastAsia="仿宋" w:cs="宋体"/>
                <w:kern w:val="0"/>
                <w:sz w:val="24"/>
              </w:rPr>
            </w:pPr>
          </w:p>
        </w:tc>
        <w:tc>
          <w:tcPr>
            <w:tcW w:w="1658" w:type="dxa"/>
            <w:vMerge w:val="continue"/>
            <w:noWrap w:val="0"/>
            <w:vAlign w:val="center"/>
          </w:tcPr>
          <w:p>
            <w:pPr>
              <w:widowControl/>
              <w:jc w:val="center"/>
              <w:rPr>
                <w:rFonts w:ascii="仿宋" w:hAnsi="仿宋" w:eastAsia="仿宋" w:cs="宋体"/>
                <w:kern w:val="0"/>
                <w:sz w:val="24"/>
              </w:rPr>
            </w:pPr>
          </w:p>
        </w:tc>
        <w:tc>
          <w:tcPr>
            <w:tcW w:w="4497" w:type="dxa"/>
            <w:noWrap w:val="0"/>
            <w:vAlign w:val="center"/>
          </w:tcPr>
          <w:p>
            <w:pPr>
              <w:widowControl/>
              <w:rPr>
                <w:rFonts w:ascii="仿宋" w:hAnsi="仿宋" w:eastAsia="仿宋" w:cs="宋体"/>
                <w:kern w:val="0"/>
                <w:sz w:val="24"/>
              </w:rPr>
            </w:pPr>
            <w:r>
              <w:rPr>
                <w:rFonts w:hint="eastAsia" w:ascii="仿宋" w:hAnsi="仿宋" w:eastAsia="仿宋" w:cs="宋体"/>
                <w:kern w:val="0"/>
                <w:sz w:val="24"/>
              </w:rPr>
              <w:t>采购需求的内容，主要考察填写的完整性和正确性，此项得分取所有采购需求的平均分。</w:t>
            </w:r>
          </w:p>
        </w:tc>
        <w:tc>
          <w:tcPr>
            <w:tcW w:w="669" w:type="dxa"/>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jc w:val="center"/>
        </w:trPr>
        <w:tc>
          <w:tcPr>
            <w:tcW w:w="1358" w:type="dxa"/>
            <w:vMerge w:val="continue"/>
            <w:noWrap w:val="0"/>
            <w:vAlign w:val="center"/>
          </w:tcPr>
          <w:p>
            <w:pPr>
              <w:widowControl/>
              <w:jc w:val="center"/>
              <w:rPr>
                <w:rFonts w:ascii="仿宋" w:hAnsi="仿宋" w:eastAsia="仿宋" w:cs="宋体"/>
                <w:kern w:val="0"/>
                <w:sz w:val="24"/>
              </w:rPr>
            </w:pPr>
          </w:p>
        </w:tc>
        <w:tc>
          <w:tcPr>
            <w:tcW w:w="1658" w:type="dxa"/>
            <w:vMerge w:val="restart"/>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公司广告推广</w:t>
            </w:r>
          </w:p>
        </w:tc>
        <w:tc>
          <w:tcPr>
            <w:tcW w:w="4497" w:type="dxa"/>
            <w:noWrap w:val="0"/>
            <w:vAlign w:val="center"/>
          </w:tcPr>
          <w:p>
            <w:pPr>
              <w:widowControl/>
              <w:rPr>
                <w:rFonts w:ascii="仿宋" w:hAnsi="仿宋" w:eastAsia="仿宋" w:cs="宋体"/>
                <w:kern w:val="0"/>
                <w:sz w:val="24"/>
              </w:rPr>
            </w:pPr>
            <w:r>
              <w:rPr>
                <w:rFonts w:hint="eastAsia" w:ascii="仿宋" w:hAnsi="仿宋" w:eastAsia="仿宋" w:cs="宋体"/>
                <w:kern w:val="0"/>
                <w:sz w:val="24"/>
              </w:rPr>
              <w:t>发布公司广告的数量，每条0.1分，3条满分。</w:t>
            </w:r>
          </w:p>
        </w:tc>
        <w:tc>
          <w:tcPr>
            <w:tcW w:w="669" w:type="dxa"/>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noWrap w:val="0"/>
            <w:vAlign w:val="center"/>
          </w:tcPr>
          <w:p>
            <w:pPr>
              <w:widowControl/>
              <w:jc w:val="center"/>
              <w:rPr>
                <w:rFonts w:ascii="仿宋" w:hAnsi="仿宋" w:eastAsia="仿宋" w:cs="宋体"/>
                <w:kern w:val="0"/>
                <w:sz w:val="24"/>
              </w:rPr>
            </w:pPr>
          </w:p>
        </w:tc>
        <w:tc>
          <w:tcPr>
            <w:tcW w:w="1658" w:type="dxa"/>
            <w:vMerge w:val="continue"/>
            <w:noWrap w:val="0"/>
            <w:vAlign w:val="center"/>
          </w:tcPr>
          <w:p>
            <w:pPr>
              <w:widowControl/>
              <w:jc w:val="center"/>
              <w:rPr>
                <w:rFonts w:ascii="仿宋" w:hAnsi="仿宋" w:eastAsia="仿宋" w:cs="宋体"/>
                <w:kern w:val="0"/>
                <w:sz w:val="24"/>
              </w:rPr>
            </w:pPr>
          </w:p>
        </w:tc>
        <w:tc>
          <w:tcPr>
            <w:tcW w:w="4497" w:type="dxa"/>
            <w:noWrap w:val="0"/>
            <w:vAlign w:val="center"/>
          </w:tcPr>
          <w:p>
            <w:pPr>
              <w:widowControl/>
              <w:rPr>
                <w:rFonts w:ascii="仿宋" w:hAnsi="仿宋" w:eastAsia="仿宋" w:cs="宋体"/>
                <w:kern w:val="0"/>
                <w:sz w:val="24"/>
              </w:rPr>
            </w:pPr>
            <w:r>
              <w:rPr>
                <w:rFonts w:hint="eastAsia" w:ascii="仿宋" w:hAnsi="仿宋" w:eastAsia="仿宋" w:cs="宋体"/>
                <w:kern w:val="0"/>
                <w:sz w:val="24"/>
              </w:rPr>
              <w:t>发布公司广告的质量，标题和内容要求均为英文，能较好地展示公司，突出公司的主营产品等。此项得分取所有公司广告的平均分。</w:t>
            </w:r>
          </w:p>
        </w:tc>
        <w:tc>
          <w:tcPr>
            <w:tcW w:w="669" w:type="dxa"/>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寻找客户</w:t>
            </w:r>
          </w:p>
          <w:p>
            <w:pPr>
              <w:widowControl/>
              <w:jc w:val="center"/>
              <w:rPr>
                <w:rFonts w:ascii="仿宋" w:hAnsi="仿宋" w:eastAsia="仿宋" w:cs="宋体"/>
                <w:kern w:val="0"/>
                <w:sz w:val="24"/>
              </w:rPr>
            </w:pPr>
            <w:r>
              <w:rPr>
                <w:rFonts w:hint="eastAsia" w:ascii="仿宋" w:hAnsi="仿宋" w:eastAsia="仿宋" w:cs="宋体"/>
                <w:kern w:val="0"/>
                <w:sz w:val="24"/>
              </w:rPr>
              <w:t>（共16分）</w:t>
            </w:r>
          </w:p>
        </w:tc>
        <w:tc>
          <w:tcPr>
            <w:tcW w:w="1658" w:type="dxa"/>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客户群的多样化</w:t>
            </w:r>
          </w:p>
        </w:tc>
        <w:tc>
          <w:tcPr>
            <w:tcW w:w="4497" w:type="dxa"/>
            <w:noWrap w:val="0"/>
            <w:vAlign w:val="center"/>
          </w:tcPr>
          <w:p>
            <w:pPr>
              <w:widowControl/>
              <w:rPr>
                <w:rFonts w:ascii="仿宋" w:hAnsi="仿宋" w:eastAsia="仿宋" w:cs="宋体"/>
                <w:kern w:val="0"/>
                <w:sz w:val="24"/>
              </w:rPr>
            </w:pPr>
            <w:r>
              <w:rPr>
                <w:rFonts w:hint="eastAsia" w:ascii="仿宋" w:hAnsi="仿宋" w:eastAsia="仿宋" w:cs="宋体"/>
                <w:kern w:val="0"/>
                <w:sz w:val="24"/>
              </w:rPr>
              <w:t>考核“历史业务”中交易的客户数，每个客户1分，16个不同的客户得满分。</w:t>
            </w:r>
          </w:p>
        </w:tc>
        <w:tc>
          <w:tcPr>
            <w:tcW w:w="669" w:type="dxa"/>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restart"/>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业务磋商</w:t>
            </w:r>
          </w:p>
          <w:p>
            <w:pPr>
              <w:widowControl/>
              <w:jc w:val="center"/>
              <w:rPr>
                <w:rFonts w:ascii="仿宋" w:hAnsi="仿宋" w:eastAsia="仿宋" w:cs="宋体"/>
                <w:kern w:val="0"/>
                <w:sz w:val="24"/>
              </w:rPr>
            </w:pPr>
            <w:r>
              <w:rPr>
                <w:rFonts w:hint="eastAsia" w:ascii="仿宋" w:hAnsi="仿宋" w:eastAsia="仿宋" w:cs="宋体"/>
                <w:kern w:val="0"/>
                <w:sz w:val="24"/>
              </w:rPr>
              <w:t>（共6分）</w:t>
            </w:r>
          </w:p>
        </w:tc>
        <w:tc>
          <w:tcPr>
            <w:tcW w:w="1658" w:type="dxa"/>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出口业务磋商</w:t>
            </w:r>
          </w:p>
        </w:tc>
        <w:tc>
          <w:tcPr>
            <w:tcW w:w="4497" w:type="dxa"/>
            <w:noWrap w:val="0"/>
            <w:vAlign w:val="center"/>
          </w:tcPr>
          <w:p>
            <w:pPr>
              <w:widowControl/>
              <w:rPr>
                <w:rFonts w:ascii="仿宋" w:hAnsi="仿宋" w:eastAsia="仿宋" w:cs="宋体"/>
                <w:kern w:val="0"/>
                <w:sz w:val="24"/>
              </w:rPr>
            </w:pPr>
            <w:r>
              <w:rPr>
                <w:rFonts w:hint="eastAsia" w:ascii="仿宋" w:hAnsi="仿宋" w:eastAsia="仿宋" w:cs="宋体"/>
                <w:kern w:val="0"/>
                <w:sz w:val="24"/>
              </w:rPr>
              <w:t>此项得分为“历史业务”中的每笔出口业务的“出口业务磋商”得分的平均分。具体每笔业务的评分如下：</w:t>
            </w:r>
          </w:p>
          <w:p>
            <w:pPr>
              <w:widowControl/>
              <w:rPr>
                <w:rFonts w:ascii="仿宋" w:hAnsi="仿宋" w:eastAsia="仿宋" w:cs="宋体"/>
                <w:kern w:val="0"/>
                <w:sz w:val="24"/>
              </w:rPr>
            </w:pPr>
            <w:r>
              <w:rPr>
                <w:rFonts w:hint="eastAsia" w:ascii="仿宋" w:hAnsi="仿宋" w:eastAsia="仿宋" w:cs="宋体"/>
                <w:kern w:val="0"/>
                <w:sz w:val="24"/>
              </w:rPr>
              <w:t>1.发出的函电中须有类型为“发盘”的函电，有则得0.5分，否则不得分；</w:t>
            </w:r>
          </w:p>
          <w:p>
            <w:pPr>
              <w:widowControl/>
              <w:rPr>
                <w:rFonts w:ascii="仿宋" w:hAnsi="仿宋" w:eastAsia="仿宋" w:cs="宋体"/>
                <w:kern w:val="0"/>
                <w:sz w:val="24"/>
              </w:rPr>
            </w:pPr>
            <w:r>
              <w:rPr>
                <w:rFonts w:hint="eastAsia" w:ascii="仿宋" w:hAnsi="仿宋" w:eastAsia="仿宋" w:cs="宋体"/>
                <w:kern w:val="0"/>
                <w:sz w:val="24"/>
              </w:rPr>
              <w:t>2.发出的“发盘”函电的正文中须包含以下要素：产品编号、产品名称、数量、单价（完整的表达）、总金额、结算方式、运输方式、装运港、目的港、保险条款（每个要素0.15分，共1.5分），错写或漏写则该要素不得分；</w:t>
            </w:r>
          </w:p>
          <w:p>
            <w:pPr>
              <w:widowControl/>
              <w:rPr>
                <w:rFonts w:ascii="仿宋" w:hAnsi="仿宋" w:eastAsia="仿宋" w:cs="宋体"/>
                <w:kern w:val="0"/>
                <w:sz w:val="24"/>
              </w:rPr>
            </w:pPr>
            <w:r>
              <w:rPr>
                <w:rFonts w:hint="eastAsia" w:ascii="仿宋" w:hAnsi="仿宋" w:eastAsia="仿宋" w:cs="宋体"/>
                <w:kern w:val="0"/>
                <w:sz w:val="24"/>
              </w:rPr>
              <w:t>注意：</w:t>
            </w:r>
          </w:p>
          <w:p>
            <w:pPr>
              <w:widowControl/>
              <w:rPr>
                <w:rFonts w:ascii="仿宋" w:hAnsi="仿宋" w:eastAsia="仿宋" w:cs="宋体"/>
                <w:kern w:val="0"/>
                <w:sz w:val="24"/>
              </w:rPr>
            </w:pPr>
            <w:r>
              <w:rPr>
                <w:rFonts w:hint="eastAsia" w:ascii="仿宋" w:hAnsi="仿宋" w:eastAsia="仿宋" w:cs="宋体"/>
                <w:kern w:val="0"/>
                <w:sz w:val="24"/>
              </w:rPr>
              <w:t>（1）发盘要素的标题必须与范例（详见“竞赛试题”）完全一致，否则不得分；</w:t>
            </w:r>
          </w:p>
          <w:p>
            <w:pPr>
              <w:widowControl/>
              <w:rPr>
                <w:rFonts w:ascii="仿宋" w:hAnsi="仿宋" w:eastAsia="仿宋" w:cs="宋体"/>
                <w:kern w:val="0"/>
                <w:sz w:val="24"/>
              </w:rPr>
            </w:pPr>
            <w:r>
              <w:rPr>
                <w:rFonts w:hint="eastAsia" w:ascii="仿宋" w:hAnsi="仿宋" w:eastAsia="仿宋" w:cs="宋体"/>
                <w:kern w:val="0"/>
                <w:sz w:val="24"/>
              </w:rPr>
              <w:t>（2）如有多次“发盘”，无须每封函电都写全所有要素，这些要素可分布在不同的函电中；</w:t>
            </w:r>
          </w:p>
          <w:p>
            <w:pPr>
              <w:widowControl/>
              <w:rPr>
                <w:rFonts w:ascii="仿宋" w:hAnsi="仿宋" w:eastAsia="仿宋" w:cs="宋体"/>
                <w:kern w:val="0"/>
                <w:sz w:val="24"/>
              </w:rPr>
            </w:pPr>
            <w:r>
              <w:rPr>
                <w:rFonts w:hint="eastAsia" w:ascii="仿宋" w:hAnsi="仿宋" w:eastAsia="仿宋" w:cs="宋体"/>
                <w:kern w:val="0"/>
                <w:sz w:val="24"/>
              </w:rPr>
              <w:t>3.所有函电的标题和正文必须为英文，符合要求得0.5分，否则不得分。</w:t>
            </w:r>
          </w:p>
          <w:p>
            <w:pPr>
              <w:widowControl/>
              <w:rPr>
                <w:rFonts w:ascii="仿宋" w:hAnsi="仿宋" w:eastAsia="仿宋" w:cs="宋体"/>
                <w:kern w:val="0"/>
                <w:sz w:val="24"/>
              </w:rPr>
            </w:pPr>
            <w:r>
              <w:rPr>
                <w:rFonts w:hint="eastAsia" w:ascii="仿宋" w:hAnsi="仿宋" w:eastAsia="仿宋" w:cs="宋体"/>
                <w:kern w:val="0"/>
                <w:sz w:val="24"/>
              </w:rPr>
              <w:t>4.所有发出的函电正文平均字数（包括标点）达到400个字符则得0.5分，不达标不得分。</w:t>
            </w:r>
          </w:p>
        </w:tc>
        <w:tc>
          <w:tcPr>
            <w:tcW w:w="669" w:type="dxa"/>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noWrap w:val="0"/>
            <w:vAlign w:val="center"/>
          </w:tcPr>
          <w:p>
            <w:pPr>
              <w:widowControl/>
              <w:jc w:val="center"/>
              <w:rPr>
                <w:rFonts w:ascii="仿宋" w:hAnsi="仿宋" w:eastAsia="仿宋" w:cs="宋体"/>
                <w:kern w:val="0"/>
                <w:sz w:val="24"/>
              </w:rPr>
            </w:pPr>
          </w:p>
        </w:tc>
        <w:tc>
          <w:tcPr>
            <w:tcW w:w="1658" w:type="dxa"/>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进口业务磋商</w:t>
            </w:r>
          </w:p>
        </w:tc>
        <w:tc>
          <w:tcPr>
            <w:tcW w:w="4497" w:type="dxa"/>
            <w:noWrap w:val="0"/>
            <w:vAlign w:val="center"/>
          </w:tcPr>
          <w:p>
            <w:pPr>
              <w:widowControl/>
              <w:rPr>
                <w:rFonts w:ascii="仿宋" w:hAnsi="仿宋" w:eastAsia="仿宋" w:cs="宋体"/>
                <w:kern w:val="0"/>
                <w:sz w:val="24"/>
              </w:rPr>
            </w:pPr>
            <w:r>
              <w:rPr>
                <w:rFonts w:hint="eastAsia" w:ascii="仿宋" w:hAnsi="仿宋" w:eastAsia="仿宋" w:cs="宋体"/>
                <w:kern w:val="0"/>
                <w:sz w:val="24"/>
              </w:rPr>
              <w:t>此项得分为“历史业务”中的每笔进口业务的“进口业务磋商”得分的平均分。具体每笔业务的评分如下：</w:t>
            </w:r>
          </w:p>
          <w:p>
            <w:pPr>
              <w:widowControl/>
              <w:rPr>
                <w:rFonts w:ascii="仿宋" w:hAnsi="仿宋" w:eastAsia="仿宋" w:cs="宋体"/>
                <w:kern w:val="0"/>
                <w:sz w:val="24"/>
              </w:rPr>
            </w:pPr>
            <w:r>
              <w:rPr>
                <w:rFonts w:hint="eastAsia" w:ascii="仿宋" w:hAnsi="仿宋" w:eastAsia="仿宋" w:cs="宋体"/>
                <w:kern w:val="0"/>
                <w:sz w:val="24"/>
              </w:rPr>
              <w:t>1.发出的函电中须有“询盘”和“接受”两种类型的函电，每个类型各0.5分，有则得分，否则不得分，共1分；</w:t>
            </w:r>
          </w:p>
          <w:p>
            <w:pPr>
              <w:widowControl/>
              <w:rPr>
                <w:rFonts w:ascii="仿宋" w:hAnsi="仿宋" w:eastAsia="仿宋" w:cs="宋体"/>
                <w:kern w:val="0"/>
                <w:sz w:val="24"/>
              </w:rPr>
            </w:pPr>
            <w:r>
              <w:rPr>
                <w:rFonts w:hint="eastAsia" w:ascii="仿宋" w:hAnsi="仿宋" w:eastAsia="仿宋" w:cs="宋体"/>
                <w:kern w:val="0"/>
                <w:sz w:val="24"/>
              </w:rPr>
              <w:t>2.发出的“询盘”函电的正文中包含产品名称则得0.5分，否则不得分；</w:t>
            </w:r>
          </w:p>
          <w:p>
            <w:pPr>
              <w:widowControl/>
              <w:rPr>
                <w:rFonts w:ascii="仿宋" w:hAnsi="仿宋" w:eastAsia="仿宋" w:cs="宋体"/>
                <w:kern w:val="0"/>
                <w:sz w:val="24"/>
              </w:rPr>
            </w:pPr>
            <w:r>
              <w:rPr>
                <w:rFonts w:hint="eastAsia" w:ascii="仿宋" w:hAnsi="仿宋" w:eastAsia="仿宋" w:cs="宋体"/>
                <w:kern w:val="0"/>
                <w:sz w:val="24"/>
              </w:rPr>
              <w:t>3.发出的“接受”函电的正文中包含关键词“accept”或“accepted”，包含2个关键词中的任意1个则得0.5分，否则不得分；</w:t>
            </w:r>
          </w:p>
          <w:p>
            <w:pPr>
              <w:widowControl/>
              <w:rPr>
                <w:rFonts w:ascii="仿宋" w:hAnsi="仿宋" w:eastAsia="仿宋" w:cs="宋体"/>
                <w:kern w:val="0"/>
                <w:sz w:val="24"/>
              </w:rPr>
            </w:pPr>
            <w:r>
              <w:rPr>
                <w:rFonts w:hint="eastAsia" w:ascii="仿宋" w:hAnsi="仿宋" w:eastAsia="仿宋" w:cs="宋体"/>
                <w:kern w:val="0"/>
                <w:sz w:val="24"/>
              </w:rPr>
              <w:t>4.所有函电的标题和正文必须为英文，符合要求得0.5分，否则不得分。</w:t>
            </w:r>
          </w:p>
          <w:p>
            <w:pPr>
              <w:widowControl/>
              <w:rPr>
                <w:rFonts w:ascii="仿宋" w:hAnsi="仿宋" w:eastAsia="仿宋" w:cs="宋体"/>
                <w:kern w:val="0"/>
                <w:sz w:val="24"/>
              </w:rPr>
            </w:pPr>
            <w:r>
              <w:rPr>
                <w:rFonts w:hint="eastAsia" w:ascii="仿宋" w:hAnsi="仿宋" w:eastAsia="仿宋" w:cs="宋体"/>
                <w:kern w:val="0"/>
                <w:sz w:val="24"/>
              </w:rPr>
              <w:t>5.所有发出的函电正文平均字数（包括标点）达到400个字符则得0.5分，不达标不得分。</w:t>
            </w:r>
          </w:p>
        </w:tc>
        <w:tc>
          <w:tcPr>
            <w:tcW w:w="669" w:type="dxa"/>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restart"/>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进出口价格核算</w:t>
            </w:r>
          </w:p>
          <w:p>
            <w:pPr>
              <w:widowControl/>
              <w:jc w:val="center"/>
              <w:rPr>
                <w:rFonts w:ascii="仿宋" w:hAnsi="仿宋" w:eastAsia="仿宋" w:cs="宋体"/>
                <w:kern w:val="0"/>
                <w:sz w:val="24"/>
              </w:rPr>
            </w:pPr>
            <w:r>
              <w:rPr>
                <w:rFonts w:hint="eastAsia" w:ascii="仿宋" w:hAnsi="仿宋" w:eastAsia="仿宋" w:cs="宋体"/>
                <w:kern w:val="0"/>
                <w:sz w:val="24"/>
              </w:rPr>
              <w:t>（共15分）</w:t>
            </w:r>
          </w:p>
        </w:tc>
        <w:tc>
          <w:tcPr>
            <w:tcW w:w="1658" w:type="dxa"/>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出口成本预算</w:t>
            </w:r>
          </w:p>
        </w:tc>
        <w:tc>
          <w:tcPr>
            <w:tcW w:w="4497" w:type="dxa"/>
            <w:noWrap w:val="0"/>
            <w:vAlign w:val="center"/>
          </w:tcPr>
          <w:p>
            <w:pPr>
              <w:widowControl/>
              <w:rPr>
                <w:rFonts w:ascii="仿宋" w:hAnsi="仿宋" w:eastAsia="仿宋" w:cs="宋体"/>
                <w:kern w:val="0"/>
                <w:sz w:val="24"/>
              </w:rPr>
            </w:pPr>
            <w:r>
              <w:rPr>
                <w:rFonts w:hint="eastAsia" w:ascii="仿宋" w:hAnsi="仿宋" w:eastAsia="仿宋" w:cs="宋体"/>
                <w:kern w:val="0"/>
                <w:sz w:val="24"/>
              </w:rPr>
              <w:t>此项得分为：“历史业务”中出口成本预算表的平均得分×7.5%。</w:t>
            </w:r>
          </w:p>
        </w:tc>
        <w:tc>
          <w:tcPr>
            <w:tcW w:w="669" w:type="dxa"/>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noWrap w:val="0"/>
            <w:vAlign w:val="center"/>
          </w:tcPr>
          <w:p>
            <w:pPr>
              <w:widowControl/>
              <w:jc w:val="center"/>
              <w:rPr>
                <w:rFonts w:ascii="仿宋" w:hAnsi="仿宋" w:eastAsia="仿宋" w:cs="宋体"/>
                <w:kern w:val="0"/>
                <w:sz w:val="24"/>
              </w:rPr>
            </w:pPr>
          </w:p>
        </w:tc>
        <w:tc>
          <w:tcPr>
            <w:tcW w:w="1658" w:type="dxa"/>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进口成本预算</w:t>
            </w:r>
          </w:p>
        </w:tc>
        <w:tc>
          <w:tcPr>
            <w:tcW w:w="4497" w:type="dxa"/>
            <w:noWrap w:val="0"/>
            <w:vAlign w:val="center"/>
          </w:tcPr>
          <w:p>
            <w:pPr>
              <w:widowControl/>
              <w:rPr>
                <w:rFonts w:ascii="仿宋" w:hAnsi="仿宋" w:eastAsia="仿宋" w:cs="宋体"/>
                <w:kern w:val="0"/>
                <w:sz w:val="24"/>
              </w:rPr>
            </w:pPr>
            <w:r>
              <w:rPr>
                <w:rFonts w:hint="eastAsia" w:ascii="仿宋" w:hAnsi="仿宋" w:eastAsia="仿宋" w:cs="宋体"/>
                <w:kern w:val="0"/>
                <w:sz w:val="24"/>
              </w:rPr>
              <w:t>此项得分为：“历史业务”中进口成本预算表的平均得分×7.5%。</w:t>
            </w:r>
          </w:p>
        </w:tc>
        <w:tc>
          <w:tcPr>
            <w:tcW w:w="669" w:type="dxa"/>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签订合同</w:t>
            </w:r>
          </w:p>
          <w:p>
            <w:pPr>
              <w:widowControl/>
              <w:jc w:val="center"/>
              <w:rPr>
                <w:rFonts w:ascii="仿宋" w:hAnsi="仿宋" w:eastAsia="仿宋" w:cs="宋体"/>
                <w:kern w:val="0"/>
                <w:sz w:val="24"/>
              </w:rPr>
            </w:pPr>
            <w:r>
              <w:rPr>
                <w:rFonts w:hint="eastAsia" w:ascii="仿宋" w:hAnsi="仿宋" w:eastAsia="仿宋" w:cs="宋体"/>
                <w:kern w:val="0"/>
                <w:sz w:val="24"/>
              </w:rPr>
              <w:t>（共3.5分）</w:t>
            </w:r>
          </w:p>
        </w:tc>
        <w:tc>
          <w:tcPr>
            <w:tcW w:w="1658" w:type="dxa"/>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进出口合同订立</w:t>
            </w:r>
          </w:p>
        </w:tc>
        <w:tc>
          <w:tcPr>
            <w:tcW w:w="4497" w:type="dxa"/>
            <w:noWrap w:val="0"/>
            <w:vAlign w:val="center"/>
          </w:tcPr>
          <w:p>
            <w:pPr>
              <w:widowControl/>
              <w:rPr>
                <w:rFonts w:ascii="仿宋" w:hAnsi="仿宋" w:eastAsia="仿宋" w:cs="宋体"/>
                <w:kern w:val="0"/>
                <w:sz w:val="24"/>
              </w:rPr>
            </w:pPr>
            <w:r>
              <w:rPr>
                <w:rFonts w:hint="eastAsia" w:ascii="仿宋" w:hAnsi="仿宋" w:eastAsia="仿宋" w:cs="宋体"/>
                <w:kern w:val="0"/>
                <w:sz w:val="24"/>
              </w:rPr>
              <w:t>“历史业务”中每笔进出口业务得0.25分，14笔满分。</w:t>
            </w:r>
          </w:p>
        </w:tc>
        <w:tc>
          <w:tcPr>
            <w:tcW w:w="669" w:type="dxa"/>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restart"/>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业务多样性</w:t>
            </w:r>
          </w:p>
          <w:p>
            <w:pPr>
              <w:widowControl/>
              <w:jc w:val="center"/>
              <w:rPr>
                <w:rFonts w:ascii="仿宋" w:hAnsi="仿宋" w:eastAsia="仿宋" w:cs="宋体"/>
                <w:kern w:val="0"/>
                <w:sz w:val="24"/>
              </w:rPr>
            </w:pPr>
            <w:r>
              <w:rPr>
                <w:rFonts w:hint="eastAsia" w:ascii="仿宋" w:hAnsi="仿宋" w:eastAsia="仿宋" w:cs="宋体"/>
                <w:kern w:val="0"/>
                <w:sz w:val="24"/>
              </w:rPr>
              <w:t>（共34.5分）</w:t>
            </w:r>
          </w:p>
        </w:tc>
        <w:tc>
          <w:tcPr>
            <w:tcW w:w="1658" w:type="dxa"/>
            <w:vMerge w:val="restart"/>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成交产品数</w:t>
            </w:r>
          </w:p>
        </w:tc>
        <w:tc>
          <w:tcPr>
            <w:tcW w:w="4497" w:type="dxa"/>
            <w:noWrap w:val="0"/>
            <w:vAlign w:val="center"/>
          </w:tcPr>
          <w:p>
            <w:pPr>
              <w:widowControl/>
              <w:rPr>
                <w:rFonts w:ascii="仿宋" w:hAnsi="仿宋" w:eastAsia="仿宋" w:cs="宋体"/>
                <w:kern w:val="0"/>
                <w:sz w:val="24"/>
              </w:rPr>
            </w:pPr>
            <w:r>
              <w:rPr>
                <w:rFonts w:hint="eastAsia" w:ascii="仿宋" w:hAnsi="仿宋" w:eastAsia="仿宋" w:cs="宋体"/>
                <w:kern w:val="0"/>
                <w:sz w:val="24"/>
              </w:rPr>
              <w:t>“历史业务”中出口产品应多样化，每个不同的产品（按产品编号）得1分，8个满分。</w:t>
            </w:r>
          </w:p>
        </w:tc>
        <w:tc>
          <w:tcPr>
            <w:tcW w:w="669" w:type="dxa"/>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noWrap w:val="0"/>
            <w:vAlign w:val="center"/>
          </w:tcPr>
          <w:p>
            <w:pPr>
              <w:widowControl/>
              <w:jc w:val="center"/>
              <w:rPr>
                <w:rFonts w:ascii="仿宋" w:hAnsi="仿宋" w:eastAsia="仿宋" w:cs="宋体"/>
                <w:kern w:val="0"/>
                <w:sz w:val="24"/>
              </w:rPr>
            </w:pPr>
          </w:p>
        </w:tc>
        <w:tc>
          <w:tcPr>
            <w:tcW w:w="1658" w:type="dxa"/>
            <w:vMerge w:val="continue"/>
            <w:noWrap w:val="0"/>
            <w:vAlign w:val="center"/>
          </w:tcPr>
          <w:p>
            <w:pPr>
              <w:widowControl/>
              <w:jc w:val="center"/>
              <w:rPr>
                <w:rFonts w:ascii="仿宋" w:hAnsi="仿宋" w:eastAsia="仿宋" w:cs="宋体"/>
                <w:kern w:val="0"/>
                <w:sz w:val="24"/>
              </w:rPr>
            </w:pPr>
          </w:p>
        </w:tc>
        <w:tc>
          <w:tcPr>
            <w:tcW w:w="4497" w:type="dxa"/>
            <w:noWrap w:val="0"/>
            <w:vAlign w:val="center"/>
          </w:tcPr>
          <w:p>
            <w:pPr>
              <w:widowControl/>
              <w:rPr>
                <w:rFonts w:ascii="仿宋" w:hAnsi="仿宋" w:eastAsia="仿宋" w:cs="宋体"/>
                <w:kern w:val="0"/>
                <w:sz w:val="24"/>
              </w:rPr>
            </w:pPr>
            <w:r>
              <w:rPr>
                <w:rFonts w:hint="eastAsia" w:ascii="仿宋" w:hAnsi="仿宋" w:eastAsia="仿宋" w:cs="宋体"/>
                <w:kern w:val="0"/>
                <w:sz w:val="24"/>
              </w:rPr>
              <w:t>“历史业务”中进口产品应多样化，每个不同的产品（按产品编号）得1分，8个满分。</w:t>
            </w:r>
          </w:p>
        </w:tc>
        <w:tc>
          <w:tcPr>
            <w:tcW w:w="669" w:type="dxa"/>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noWrap w:val="0"/>
            <w:vAlign w:val="center"/>
          </w:tcPr>
          <w:p>
            <w:pPr>
              <w:widowControl/>
              <w:jc w:val="center"/>
              <w:rPr>
                <w:rFonts w:ascii="仿宋" w:hAnsi="仿宋" w:eastAsia="仿宋" w:cs="宋体"/>
                <w:kern w:val="0"/>
                <w:sz w:val="24"/>
              </w:rPr>
            </w:pPr>
          </w:p>
        </w:tc>
        <w:tc>
          <w:tcPr>
            <w:tcW w:w="1658" w:type="dxa"/>
            <w:vMerge w:val="restart"/>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主要贸易术语的掌握和运用</w:t>
            </w:r>
          </w:p>
        </w:tc>
        <w:tc>
          <w:tcPr>
            <w:tcW w:w="4497" w:type="dxa"/>
            <w:noWrap w:val="0"/>
            <w:vAlign w:val="center"/>
          </w:tcPr>
          <w:p>
            <w:pPr>
              <w:widowControl/>
              <w:rPr>
                <w:rFonts w:ascii="仿宋" w:hAnsi="仿宋" w:eastAsia="仿宋" w:cs="宋体"/>
                <w:kern w:val="0"/>
                <w:sz w:val="24"/>
              </w:rPr>
            </w:pPr>
            <w:r>
              <w:rPr>
                <w:rFonts w:hint="eastAsia" w:ascii="仿宋" w:hAnsi="仿宋" w:eastAsia="仿宋" w:cs="宋体"/>
                <w:kern w:val="0"/>
                <w:sz w:val="24"/>
              </w:rPr>
              <w:t>“历史业务”中出口业务贸易术语使用种类数量，使用一种得0.5分，6种得满分。</w:t>
            </w:r>
          </w:p>
        </w:tc>
        <w:tc>
          <w:tcPr>
            <w:tcW w:w="669" w:type="dxa"/>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noWrap w:val="0"/>
            <w:vAlign w:val="center"/>
          </w:tcPr>
          <w:p>
            <w:pPr>
              <w:widowControl/>
              <w:jc w:val="center"/>
              <w:rPr>
                <w:rFonts w:ascii="仿宋" w:hAnsi="仿宋" w:eastAsia="仿宋" w:cs="宋体"/>
                <w:kern w:val="0"/>
                <w:sz w:val="24"/>
              </w:rPr>
            </w:pPr>
          </w:p>
        </w:tc>
        <w:tc>
          <w:tcPr>
            <w:tcW w:w="1658" w:type="dxa"/>
            <w:vMerge w:val="continue"/>
            <w:noWrap w:val="0"/>
            <w:vAlign w:val="center"/>
          </w:tcPr>
          <w:p>
            <w:pPr>
              <w:widowControl/>
              <w:jc w:val="center"/>
              <w:rPr>
                <w:rFonts w:ascii="仿宋" w:hAnsi="仿宋" w:eastAsia="仿宋" w:cs="宋体"/>
                <w:kern w:val="0"/>
                <w:sz w:val="24"/>
              </w:rPr>
            </w:pPr>
          </w:p>
        </w:tc>
        <w:tc>
          <w:tcPr>
            <w:tcW w:w="4497" w:type="dxa"/>
            <w:noWrap w:val="0"/>
            <w:vAlign w:val="center"/>
          </w:tcPr>
          <w:p>
            <w:pPr>
              <w:widowControl/>
              <w:rPr>
                <w:rFonts w:ascii="仿宋" w:hAnsi="仿宋" w:eastAsia="仿宋" w:cs="宋体"/>
                <w:kern w:val="0"/>
                <w:sz w:val="24"/>
              </w:rPr>
            </w:pPr>
            <w:r>
              <w:rPr>
                <w:rFonts w:hint="eastAsia" w:ascii="仿宋" w:hAnsi="仿宋" w:eastAsia="仿宋" w:cs="宋体"/>
                <w:kern w:val="0"/>
                <w:sz w:val="24"/>
              </w:rPr>
              <w:t>“历史业务”中进口业务贸易术语使用种类数量，使用一种得0.5分，6种得满分。</w:t>
            </w:r>
          </w:p>
        </w:tc>
        <w:tc>
          <w:tcPr>
            <w:tcW w:w="669" w:type="dxa"/>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noWrap w:val="0"/>
            <w:vAlign w:val="center"/>
          </w:tcPr>
          <w:p>
            <w:pPr>
              <w:widowControl/>
              <w:jc w:val="center"/>
              <w:rPr>
                <w:rFonts w:ascii="仿宋" w:hAnsi="仿宋" w:eastAsia="仿宋" w:cs="宋体"/>
                <w:kern w:val="0"/>
                <w:sz w:val="24"/>
              </w:rPr>
            </w:pPr>
          </w:p>
        </w:tc>
        <w:tc>
          <w:tcPr>
            <w:tcW w:w="1658" w:type="dxa"/>
            <w:vMerge w:val="restart"/>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主要结算方式的掌握和运用</w:t>
            </w:r>
          </w:p>
        </w:tc>
        <w:tc>
          <w:tcPr>
            <w:tcW w:w="4497" w:type="dxa"/>
            <w:noWrap w:val="0"/>
            <w:vAlign w:val="center"/>
          </w:tcPr>
          <w:p>
            <w:pPr>
              <w:widowControl/>
              <w:rPr>
                <w:rFonts w:ascii="仿宋" w:hAnsi="仿宋" w:eastAsia="仿宋" w:cs="宋体"/>
                <w:kern w:val="0"/>
                <w:sz w:val="24"/>
              </w:rPr>
            </w:pPr>
            <w:r>
              <w:rPr>
                <w:rFonts w:hint="eastAsia" w:ascii="仿宋" w:hAnsi="仿宋" w:eastAsia="仿宋" w:cs="宋体"/>
                <w:kern w:val="0"/>
                <w:sz w:val="24"/>
              </w:rPr>
              <w:t>“历史业务”中出口业务结算方式使用种类数量，使用一种得0.5分，5种得满分。</w:t>
            </w:r>
          </w:p>
        </w:tc>
        <w:tc>
          <w:tcPr>
            <w:tcW w:w="669" w:type="dxa"/>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noWrap w:val="0"/>
            <w:vAlign w:val="center"/>
          </w:tcPr>
          <w:p>
            <w:pPr>
              <w:widowControl/>
              <w:jc w:val="center"/>
              <w:rPr>
                <w:rFonts w:ascii="仿宋" w:hAnsi="仿宋" w:eastAsia="仿宋" w:cs="宋体"/>
                <w:kern w:val="0"/>
                <w:sz w:val="24"/>
              </w:rPr>
            </w:pPr>
          </w:p>
        </w:tc>
        <w:tc>
          <w:tcPr>
            <w:tcW w:w="1658" w:type="dxa"/>
            <w:vMerge w:val="continue"/>
            <w:noWrap w:val="0"/>
            <w:vAlign w:val="center"/>
          </w:tcPr>
          <w:p>
            <w:pPr>
              <w:widowControl/>
              <w:jc w:val="center"/>
              <w:rPr>
                <w:rFonts w:ascii="仿宋" w:hAnsi="仿宋" w:eastAsia="仿宋" w:cs="宋体"/>
                <w:kern w:val="0"/>
                <w:sz w:val="24"/>
              </w:rPr>
            </w:pPr>
          </w:p>
        </w:tc>
        <w:tc>
          <w:tcPr>
            <w:tcW w:w="4497" w:type="dxa"/>
            <w:noWrap w:val="0"/>
            <w:vAlign w:val="center"/>
          </w:tcPr>
          <w:p>
            <w:pPr>
              <w:widowControl/>
              <w:rPr>
                <w:rFonts w:ascii="仿宋" w:hAnsi="仿宋" w:eastAsia="仿宋" w:cs="宋体"/>
                <w:kern w:val="0"/>
                <w:sz w:val="24"/>
              </w:rPr>
            </w:pPr>
            <w:r>
              <w:rPr>
                <w:rFonts w:hint="eastAsia" w:ascii="仿宋" w:hAnsi="仿宋" w:eastAsia="仿宋" w:cs="宋体"/>
                <w:kern w:val="0"/>
                <w:sz w:val="24"/>
              </w:rPr>
              <w:t>“历史业务”中进口业务结算方式使用种类数量，使用一种得0.5分，5种得满分。</w:t>
            </w:r>
          </w:p>
        </w:tc>
        <w:tc>
          <w:tcPr>
            <w:tcW w:w="669" w:type="dxa"/>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noWrap w:val="0"/>
            <w:vAlign w:val="center"/>
          </w:tcPr>
          <w:p>
            <w:pPr>
              <w:widowControl/>
              <w:jc w:val="center"/>
              <w:rPr>
                <w:rFonts w:ascii="仿宋" w:hAnsi="仿宋" w:eastAsia="仿宋" w:cs="宋体"/>
                <w:kern w:val="0"/>
                <w:sz w:val="24"/>
              </w:rPr>
            </w:pPr>
          </w:p>
        </w:tc>
        <w:tc>
          <w:tcPr>
            <w:tcW w:w="1658" w:type="dxa"/>
            <w:vMerge w:val="restart"/>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海运、空运两种运输方式的合理运用</w:t>
            </w:r>
          </w:p>
        </w:tc>
        <w:tc>
          <w:tcPr>
            <w:tcW w:w="4497" w:type="dxa"/>
            <w:noWrap w:val="0"/>
            <w:vAlign w:val="center"/>
          </w:tcPr>
          <w:p>
            <w:pPr>
              <w:widowControl/>
              <w:rPr>
                <w:rFonts w:ascii="仿宋" w:hAnsi="仿宋" w:eastAsia="仿宋" w:cs="宋体"/>
                <w:kern w:val="0"/>
                <w:sz w:val="24"/>
              </w:rPr>
            </w:pPr>
            <w:r>
              <w:rPr>
                <w:rFonts w:hint="eastAsia" w:ascii="仿宋" w:hAnsi="仿宋" w:eastAsia="仿宋" w:cs="宋体"/>
                <w:kern w:val="0"/>
                <w:sz w:val="24"/>
              </w:rPr>
              <w:t>“历史业务”中海运业务的数量，每笔0.5分，9笔满分。</w:t>
            </w:r>
          </w:p>
        </w:tc>
        <w:tc>
          <w:tcPr>
            <w:tcW w:w="669" w:type="dxa"/>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noWrap w:val="0"/>
            <w:vAlign w:val="center"/>
          </w:tcPr>
          <w:p>
            <w:pPr>
              <w:widowControl/>
              <w:jc w:val="center"/>
              <w:rPr>
                <w:rFonts w:ascii="仿宋" w:hAnsi="仿宋" w:eastAsia="仿宋" w:cs="宋体"/>
                <w:kern w:val="0"/>
                <w:sz w:val="24"/>
              </w:rPr>
            </w:pPr>
          </w:p>
        </w:tc>
        <w:tc>
          <w:tcPr>
            <w:tcW w:w="1658" w:type="dxa"/>
            <w:vMerge w:val="continue"/>
            <w:noWrap w:val="0"/>
            <w:vAlign w:val="center"/>
          </w:tcPr>
          <w:p>
            <w:pPr>
              <w:widowControl/>
              <w:jc w:val="center"/>
              <w:rPr>
                <w:rFonts w:ascii="仿宋" w:hAnsi="仿宋" w:eastAsia="仿宋" w:cs="宋体"/>
                <w:kern w:val="0"/>
                <w:sz w:val="24"/>
              </w:rPr>
            </w:pPr>
          </w:p>
        </w:tc>
        <w:tc>
          <w:tcPr>
            <w:tcW w:w="4497" w:type="dxa"/>
            <w:noWrap w:val="0"/>
            <w:vAlign w:val="center"/>
          </w:tcPr>
          <w:p>
            <w:pPr>
              <w:widowControl/>
              <w:rPr>
                <w:rFonts w:ascii="仿宋" w:hAnsi="仿宋" w:eastAsia="仿宋" w:cs="宋体"/>
                <w:kern w:val="0"/>
                <w:sz w:val="24"/>
              </w:rPr>
            </w:pPr>
            <w:r>
              <w:rPr>
                <w:rFonts w:hint="eastAsia" w:ascii="仿宋" w:hAnsi="仿宋" w:eastAsia="仿宋" w:cs="宋体"/>
                <w:kern w:val="0"/>
                <w:sz w:val="24"/>
              </w:rPr>
              <w:t>“历史业务”中空运业务的数量，每笔0.6分，5笔满分。</w:t>
            </w:r>
          </w:p>
        </w:tc>
        <w:tc>
          <w:tcPr>
            <w:tcW w:w="669" w:type="dxa"/>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restart"/>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盈利能力</w:t>
            </w:r>
          </w:p>
          <w:p>
            <w:pPr>
              <w:widowControl/>
              <w:jc w:val="center"/>
              <w:rPr>
                <w:rFonts w:ascii="仿宋" w:hAnsi="仿宋" w:eastAsia="仿宋" w:cs="宋体"/>
                <w:kern w:val="0"/>
                <w:sz w:val="24"/>
              </w:rPr>
            </w:pPr>
            <w:r>
              <w:rPr>
                <w:rFonts w:hint="eastAsia" w:ascii="仿宋" w:hAnsi="仿宋" w:eastAsia="仿宋" w:cs="宋体"/>
                <w:kern w:val="0"/>
                <w:sz w:val="24"/>
              </w:rPr>
              <w:t>（共20分）</w:t>
            </w:r>
          </w:p>
        </w:tc>
        <w:tc>
          <w:tcPr>
            <w:tcW w:w="1658" w:type="dxa"/>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公司盈利能力</w:t>
            </w:r>
          </w:p>
        </w:tc>
        <w:tc>
          <w:tcPr>
            <w:tcW w:w="4497" w:type="dxa"/>
            <w:noWrap w:val="0"/>
            <w:vAlign w:val="center"/>
          </w:tcPr>
          <w:p>
            <w:pPr>
              <w:widowControl/>
              <w:rPr>
                <w:rFonts w:ascii="仿宋" w:hAnsi="仿宋" w:eastAsia="仿宋" w:cs="宋体"/>
                <w:kern w:val="0"/>
                <w:sz w:val="24"/>
              </w:rPr>
            </w:pPr>
            <w:r>
              <w:rPr>
                <w:rFonts w:hint="eastAsia" w:ascii="仿宋" w:hAnsi="仿宋" w:eastAsia="仿宋" w:cs="宋体"/>
                <w:kern w:val="0"/>
                <w:sz w:val="24"/>
              </w:rPr>
              <w:t>公司盈利率=（当前资金-初始资金）/初始资金=每笔业务盈亏额之和/初始资金</w:t>
            </w:r>
          </w:p>
          <w:p>
            <w:pPr>
              <w:widowControl/>
              <w:rPr>
                <w:rFonts w:ascii="仿宋" w:hAnsi="仿宋" w:eastAsia="仿宋" w:cs="宋体"/>
                <w:kern w:val="0"/>
                <w:sz w:val="24"/>
              </w:rPr>
            </w:pPr>
            <w:r>
              <w:rPr>
                <w:rFonts w:hint="eastAsia" w:ascii="仿宋" w:hAnsi="仿宋" w:eastAsia="仿宋" w:cs="宋体"/>
                <w:kern w:val="0"/>
                <w:sz w:val="24"/>
              </w:rPr>
              <w:t>每笔业务盈亏额为“历史业务”中预算表实际发生额一栏的“预期盈亏额”。</w:t>
            </w:r>
          </w:p>
          <w:p>
            <w:pPr>
              <w:widowControl/>
              <w:rPr>
                <w:rFonts w:ascii="仿宋" w:hAnsi="仿宋" w:eastAsia="仿宋" w:cs="宋体"/>
                <w:kern w:val="0"/>
                <w:sz w:val="24"/>
              </w:rPr>
            </w:pPr>
            <w:r>
              <w:rPr>
                <w:rFonts w:hint="eastAsia" w:ascii="仿宋" w:hAnsi="仿宋" w:eastAsia="仿宋" w:cs="宋体"/>
                <w:kern w:val="0"/>
                <w:sz w:val="24"/>
              </w:rPr>
              <w:t>公司盈利率小于等于0则此项得分为0；公司盈利率越高，此项得分越高，达到450%得满分。</w:t>
            </w:r>
          </w:p>
          <w:p>
            <w:pPr>
              <w:widowControl/>
              <w:rPr>
                <w:rFonts w:ascii="仿宋" w:hAnsi="仿宋" w:eastAsia="仿宋" w:cs="宋体"/>
                <w:kern w:val="0"/>
                <w:sz w:val="24"/>
              </w:rPr>
            </w:pPr>
          </w:p>
          <w:p>
            <w:pPr>
              <w:widowControl/>
              <w:rPr>
                <w:rFonts w:ascii="仿宋" w:hAnsi="仿宋" w:eastAsia="仿宋" w:cs="宋体"/>
                <w:kern w:val="0"/>
                <w:sz w:val="24"/>
              </w:rPr>
            </w:pPr>
            <w:r>
              <w:rPr>
                <w:rFonts w:hint="eastAsia" w:ascii="仿宋" w:hAnsi="仿宋" w:eastAsia="仿宋" w:cs="宋体"/>
                <w:kern w:val="0"/>
                <w:sz w:val="24"/>
              </w:rPr>
              <w:t>评分结果举例：</w:t>
            </w:r>
          </w:p>
          <w:p>
            <w:pPr>
              <w:widowControl/>
              <w:rPr>
                <w:rFonts w:ascii="仿宋" w:hAnsi="仿宋" w:eastAsia="仿宋" w:cs="宋体"/>
                <w:kern w:val="0"/>
                <w:sz w:val="24"/>
              </w:rPr>
            </w:pPr>
            <w:r>
              <w:rPr>
                <w:rFonts w:hint="eastAsia" w:ascii="仿宋" w:hAnsi="仿宋" w:eastAsia="仿宋" w:cs="宋体"/>
                <w:kern w:val="0"/>
                <w:sz w:val="24"/>
              </w:rPr>
              <w:t>公司盈利率为50%，得1.11分</w:t>
            </w:r>
          </w:p>
          <w:p>
            <w:pPr>
              <w:widowControl/>
              <w:rPr>
                <w:rFonts w:ascii="仿宋" w:hAnsi="仿宋" w:eastAsia="仿宋" w:cs="宋体"/>
                <w:kern w:val="0"/>
                <w:sz w:val="24"/>
              </w:rPr>
            </w:pPr>
            <w:r>
              <w:rPr>
                <w:rFonts w:hint="eastAsia" w:ascii="仿宋" w:hAnsi="仿宋" w:eastAsia="仿宋" w:cs="宋体"/>
                <w:kern w:val="0"/>
                <w:sz w:val="24"/>
              </w:rPr>
              <w:t>公司盈利率为100%，得2.07分</w:t>
            </w:r>
          </w:p>
          <w:p>
            <w:pPr>
              <w:widowControl/>
              <w:rPr>
                <w:rFonts w:ascii="仿宋" w:hAnsi="仿宋" w:eastAsia="仿宋" w:cs="宋体"/>
                <w:kern w:val="0"/>
                <w:sz w:val="24"/>
              </w:rPr>
            </w:pPr>
            <w:r>
              <w:rPr>
                <w:rFonts w:hint="eastAsia" w:ascii="仿宋" w:hAnsi="仿宋" w:eastAsia="仿宋" w:cs="宋体"/>
                <w:kern w:val="0"/>
                <w:sz w:val="24"/>
              </w:rPr>
              <w:t>公司盈利率为150%，得2.98分</w:t>
            </w:r>
          </w:p>
          <w:p>
            <w:pPr>
              <w:widowControl/>
              <w:rPr>
                <w:rFonts w:ascii="仿宋" w:hAnsi="仿宋" w:eastAsia="仿宋" w:cs="宋体"/>
                <w:kern w:val="0"/>
                <w:sz w:val="24"/>
              </w:rPr>
            </w:pPr>
            <w:r>
              <w:rPr>
                <w:rFonts w:hint="eastAsia" w:ascii="仿宋" w:hAnsi="仿宋" w:eastAsia="仿宋" w:cs="宋体"/>
                <w:kern w:val="0"/>
                <w:sz w:val="24"/>
              </w:rPr>
              <w:t>公司盈利率为200%，得3.86分</w:t>
            </w:r>
          </w:p>
          <w:p>
            <w:pPr>
              <w:widowControl/>
              <w:rPr>
                <w:rFonts w:ascii="仿宋" w:hAnsi="仿宋" w:eastAsia="仿宋" w:cs="宋体"/>
                <w:kern w:val="0"/>
                <w:sz w:val="24"/>
              </w:rPr>
            </w:pPr>
            <w:r>
              <w:rPr>
                <w:rFonts w:hint="eastAsia" w:ascii="仿宋" w:hAnsi="仿宋" w:eastAsia="仿宋" w:cs="宋体"/>
                <w:kern w:val="0"/>
                <w:sz w:val="24"/>
              </w:rPr>
              <w:t>公司盈利率为300%，得5.55分</w:t>
            </w:r>
          </w:p>
          <w:p>
            <w:pPr>
              <w:widowControl/>
              <w:rPr>
                <w:rFonts w:ascii="仿宋" w:hAnsi="仿宋" w:eastAsia="仿宋" w:cs="宋体"/>
                <w:kern w:val="0"/>
                <w:sz w:val="24"/>
              </w:rPr>
            </w:pPr>
            <w:r>
              <w:rPr>
                <w:rFonts w:hint="eastAsia" w:ascii="仿宋" w:hAnsi="仿宋" w:eastAsia="仿宋" w:cs="宋体"/>
                <w:kern w:val="0"/>
                <w:sz w:val="24"/>
              </w:rPr>
              <w:t>公司盈利率为350%，得6.38分</w:t>
            </w:r>
          </w:p>
          <w:p>
            <w:pPr>
              <w:widowControl/>
              <w:rPr>
                <w:rFonts w:ascii="仿宋" w:hAnsi="仿宋" w:eastAsia="仿宋" w:cs="宋体"/>
                <w:kern w:val="0"/>
                <w:sz w:val="24"/>
              </w:rPr>
            </w:pPr>
            <w:r>
              <w:rPr>
                <w:rFonts w:hint="eastAsia" w:ascii="仿宋" w:hAnsi="仿宋" w:eastAsia="仿宋" w:cs="宋体"/>
                <w:kern w:val="0"/>
                <w:sz w:val="24"/>
              </w:rPr>
              <w:t>公司盈利率为400%，得7.20分</w:t>
            </w:r>
          </w:p>
          <w:p>
            <w:pPr>
              <w:widowControl/>
              <w:rPr>
                <w:rFonts w:ascii="仿宋" w:hAnsi="仿宋" w:eastAsia="仿宋" w:cs="宋体"/>
                <w:kern w:val="0"/>
                <w:sz w:val="24"/>
              </w:rPr>
            </w:pPr>
            <w:r>
              <w:rPr>
                <w:rFonts w:hint="eastAsia" w:ascii="仿宋" w:hAnsi="仿宋" w:eastAsia="仿宋" w:cs="宋体"/>
                <w:kern w:val="0"/>
                <w:sz w:val="24"/>
              </w:rPr>
              <w:t>公司盈利率为450%，得8分</w:t>
            </w:r>
          </w:p>
        </w:tc>
        <w:tc>
          <w:tcPr>
            <w:tcW w:w="669" w:type="dxa"/>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8" w:type="dxa"/>
            <w:vMerge w:val="continue"/>
            <w:noWrap w:val="0"/>
            <w:vAlign w:val="center"/>
          </w:tcPr>
          <w:p>
            <w:pPr>
              <w:widowControl/>
              <w:jc w:val="center"/>
              <w:rPr>
                <w:rFonts w:ascii="仿宋" w:hAnsi="仿宋" w:eastAsia="仿宋" w:cs="宋体"/>
                <w:kern w:val="0"/>
                <w:sz w:val="24"/>
              </w:rPr>
            </w:pPr>
          </w:p>
        </w:tc>
        <w:tc>
          <w:tcPr>
            <w:tcW w:w="1658" w:type="dxa"/>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业务利润率</w:t>
            </w:r>
          </w:p>
        </w:tc>
        <w:tc>
          <w:tcPr>
            <w:tcW w:w="4497" w:type="dxa"/>
            <w:noWrap w:val="0"/>
            <w:vAlign w:val="center"/>
          </w:tcPr>
          <w:p>
            <w:pPr>
              <w:widowControl/>
              <w:rPr>
                <w:rFonts w:ascii="仿宋" w:hAnsi="仿宋" w:eastAsia="仿宋" w:cs="宋体"/>
                <w:kern w:val="0"/>
                <w:sz w:val="24"/>
              </w:rPr>
            </w:pPr>
            <w:r>
              <w:rPr>
                <w:rFonts w:hint="eastAsia" w:ascii="仿宋" w:hAnsi="仿宋" w:eastAsia="仿宋" w:cs="宋体"/>
                <w:kern w:val="0"/>
                <w:sz w:val="24"/>
              </w:rPr>
              <w:t>此项得分为“历史业务”中的每笔进出口业务的“业务利润率”得分的平均分。</w:t>
            </w:r>
          </w:p>
          <w:p>
            <w:pPr>
              <w:widowControl/>
              <w:rPr>
                <w:rFonts w:ascii="仿宋" w:hAnsi="仿宋" w:eastAsia="仿宋" w:cs="宋体"/>
                <w:kern w:val="0"/>
                <w:sz w:val="24"/>
              </w:rPr>
            </w:pPr>
            <w:r>
              <w:rPr>
                <w:rFonts w:hint="eastAsia" w:ascii="仿宋" w:hAnsi="仿宋" w:eastAsia="仿宋" w:cs="宋体"/>
                <w:kern w:val="0"/>
                <w:sz w:val="24"/>
              </w:rPr>
              <w:t>每笔业务的“业务利润率”得分根据该业务预算表实际发生额一栏中“预期盈亏率”来评分，数值越大则分数越高，达到40%得满分。</w:t>
            </w:r>
          </w:p>
          <w:p>
            <w:pPr>
              <w:widowControl/>
              <w:rPr>
                <w:rFonts w:ascii="仿宋" w:hAnsi="仿宋" w:eastAsia="仿宋" w:cs="宋体"/>
                <w:kern w:val="0"/>
                <w:sz w:val="24"/>
              </w:rPr>
            </w:pPr>
          </w:p>
          <w:p>
            <w:pPr>
              <w:widowControl/>
              <w:rPr>
                <w:rFonts w:ascii="仿宋" w:hAnsi="仿宋" w:eastAsia="仿宋" w:cs="宋体"/>
                <w:kern w:val="0"/>
                <w:sz w:val="24"/>
              </w:rPr>
            </w:pPr>
            <w:r>
              <w:rPr>
                <w:rFonts w:hint="eastAsia" w:ascii="仿宋" w:hAnsi="仿宋" w:eastAsia="仿宋" w:cs="宋体"/>
                <w:kern w:val="0"/>
                <w:sz w:val="24"/>
              </w:rPr>
              <w:t>每笔业务的评分结果举例：</w:t>
            </w:r>
          </w:p>
          <w:p>
            <w:pPr>
              <w:widowControl/>
              <w:rPr>
                <w:rFonts w:ascii="仿宋" w:hAnsi="仿宋" w:eastAsia="仿宋" w:cs="宋体"/>
                <w:kern w:val="0"/>
                <w:sz w:val="24"/>
              </w:rPr>
            </w:pPr>
            <w:r>
              <w:rPr>
                <w:rFonts w:hint="eastAsia" w:ascii="仿宋" w:hAnsi="仿宋" w:eastAsia="仿宋" w:cs="宋体"/>
                <w:kern w:val="0"/>
                <w:sz w:val="24"/>
              </w:rPr>
              <w:t>业务利润率为5%，得1.85分</w:t>
            </w:r>
          </w:p>
          <w:p>
            <w:pPr>
              <w:widowControl/>
              <w:rPr>
                <w:rFonts w:ascii="仿宋" w:hAnsi="仿宋" w:eastAsia="仿宋" w:cs="宋体"/>
                <w:kern w:val="0"/>
                <w:sz w:val="24"/>
              </w:rPr>
            </w:pPr>
            <w:r>
              <w:rPr>
                <w:rFonts w:hint="eastAsia" w:ascii="仿宋" w:hAnsi="仿宋" w:eastAsia="仿宋" w:cs="宋体"/>
                <w:kern w:val="0"/>
                <w:sz w:val="24"/>
              </w:rPr>
              <w:t>业务利润率为10%，得3.45分</w:t>
            </w:r>
          </w:p>
          <w:p>
            <w:pPr>
              <w:widowControl/>
              <w:rPr>
                <w:rFonts w:ascii="仿宋" w:hAnsi="仿宋" w:eastAsia="仿宋" w:cs="宋体"/>
                <w:kern w:val="0"/>
                <w:sz w:val="24"/>
              </w:rPr>
            </w:pPr>
            <w:r>
              <w:rPr>
                <w:rFonts w:hint="eastAsia" w:ascii="仿宋" w:hAnsi="仿宋" w:eastAsia="仿宋" w:cs="宋体"/>
                <w:kern w:val="0"/>
                <w:sz w:val="24"/>
              </w:rPr>
              <w:t>业务利润率为15%，得4.96分</w:t>
            </w:r>
          </w:p>
          <w:p>
            <w:pPr>
              <w:widowControl/>
              <w:rPr>
                <w:rFonts w:ascii="仿宋" w:hAnsi="仿宋" w:eastAsia="仿宋" w:cs="宋体"/>
                <w:kern w:val="0"/>
                <w:sz w:val="24"/>
              </w:rPr>
            </w:pPr>
            <w:r>
              <w:rPr>
                <w:rFonts w:hint="eastAsia" w:ascii="仿宋" w:hAnsi="仿宋" w:eastAsia="仿宋" w:cs="宋体"/>
                <w:kern w:val="0"/>
                <w:sz w:val="24"/>
              </w:rPr>
              <w:t>业务利润率为20%，得6.43分</w:t>
            </w:r>
          </w:p>
          <w:p>
            <w:pPr>
              <w:widowControl/>
              <w:rPr>
                <w:rFonts w:ascii="仿宋" w:hAnsi="仿宋" w:eastAsia="仿宋" w:cs="宋体"/>
                <w:kern w:val="0"/>
                <w:sz w:val="24"/>
              </w:rPr>
            </w:pPr>
            <w:r>
              <w:rPr>
                <w:rFonts w:hint="eastAsia" w:ascii="仿宋" w:hAnsi="仿宋" w:eastAsia="仿宋" w:cs="宋体"/>
                <w:kern w:val="0"/>
                <w:sz w:val="24"/>
              </w:rPr>
              <w:t>业务利润率为25%，得7.86分</w:t>
            </w:r>
          </w:p>
          <w:p>
            <w:pPr>
              <w:widowControl/>
              <w:rPr>
                <w:rFonts w:ascii="仿宋" w:hAnsi="仿宋" w:eastAsia="仿宋" w:cs="宋体"/>
                <w:kern w:val="0"/>
                <w:sz w:val="24"/>
              </w:rPr>
            </w:pPr>
            <w:r>
              <w:rPr>
                <w:rFonts w:hint="eastAsia" w:ascii="仿宋" w:hAnsi="仿宋" w:eastAsia="仿宋" w:cs="宋体"/>
                <w:kern w:val="0"/>
                <w:sz w:val="24"/>
              </w:rPr>
              <w:t>业务利润率为30%，得9.26分</w:t>
            </w:r>
          </w:p>
          <w:p>
            <w:pPr>
              <w:widowControl/>
              <w:rPr>
                <w:rFonts w:ascii="仿宋" w:hAnsi="仿宋" w:eastAsia="仿宋" w:cs="宋体"/>
                <w:kern w:val="0"/>
                <w:sz w:val="24"/>
              </w:rPr>
            </w:pPr>
            <w:r>
              <w:rPr>
                <w:rFonts w:hint="eastAsia" w:ascii="仿宋" w:hAnsi="仿宋" w:eastAsia="仿宋" w:cs="宋体"/>
                <w:kern w:val="0"/>
                <w:sz w:val="24"/>
              </w:rPr>
              <w:t>业务利润率为35%，得10.64分</w:t>
            </w:r>
          </w:p>
          <w:p>
            <w:pPr>
              <w:widowControl/>
              <w:rPr>
                <w:rFonts w:ascii="仿宋" w:hAnsi="仿宋" w:eastAsia="仿宋" w:cs="宋体"/>
                <w:kern w:val="0"/>
                <w:sz w:val="24"/>
              </w:rPr>
            </w:pPr>
            <w:r>
              <w:rPr>
                <w:rFonts w:hint="eastAsia" w:ascii="仿宋" w:hAnsi="仿宋" w:eastAsia="仿宋" w:cs="宋体"/>
                <w:kern w:val="0"/>
                <w:sz w:val="24"/>
              </w:rPr>
              <w:t>业务利润率为40%，得12分</w:t>
            </w:r>
          </w:p>
          <w:p>
            <w:pPr>
              <w:widowControl/>
              <w:rPr>
                <w:rFonts w:ascii="仿宋" w:hAnsi="仿宋" w:eastAsia="仿宋" w:cs="宋体"/>
                <w:kern w:val="0"/>
                <w:sz w:val="24"/>
              </w:rPr>
            </w:pPr>
          </w:p>
          <w:p>
            <w:pPr>
              <w:widowControl/>
              <w:rPr>
                <w:rFonts w:ascii="仿宋" w:hAnsi="仿宋" w:eastAsia="仿宋" w:cs="宋体"/>
                <w:kern w:val="0"/>
                <w:sz w:val="24"/>
              </w:rPr>
            </w:pPr>
            <w:r>
              <w:rPr>
                <w:rFonts w:hint="eastAsia" w:ascii="仿宋" w:hAnsi="仿宋" w:eastAsia="仿宋" w:cs="宋体"/>
                <w:kern w:val="0"/>
                <w:sz w:val="24"/>
              </w:rPr>
              <w:t>例如：某同学一共完成3笔业务，业务一盈亏率为15%，业务二盈亏率为20%，业务三盈亏率为30%，则：</w:t>
            </w:r>
          </w:p>
          <w:p>
            <w:pPr>
              <w:widowControl/>
              <w:rPr>
                <w:rFonts w:ascii="仿宋" w:hAnsi="仿宋" w:eastAsia="仿宋" w:cs="宋体"/>
                <w:kern w:val="0"/>
                <w:sz w:val="24"/>
              </w:rPr>
            </w:pPr>
            <w:r>
              <w:rPr>
                <w:rFonts w:hint="eastAsia" w:ascii="仿宋" w:hAnsi="仿宋" w:eastAsia="仿宋" w:cs="宋体"/>
                <w:kern w:val="0"/>
                <w:sz w:val="24"/>
              </w:rPr>
              <w:t>业务利润率得分=（4.96+6.43+9.26）/3=6.88分</w:t>
            </w:r>
          </w:p>
        </w:tc>
        <w:tc>
          <w:tcPr>
            <w:tcW w:w="669" w:type="dxa"/>
            <w:noWrap w:val="0"/>
            <w:vAlign w:val="center"/>
          </w:tcPr>
          <w:p>
            <w:pPr>
              <w:widowControl/>
              <w:jc w:val="center"/>
              <w:rPr>
                <w:rFonts w:ascii="仿宋" w:hAnsi="仿宋" w:eastAsia="仿宋" w:cs="宋体"/>
                <w:kern w:val="0"/>
                <w:sz w:val="24"/>
              </w:rPr>
            </w:pPr>
            <w:r>
              <w:rPr>
                <w:rFonts w:hint="eastAsia" w:ascii="仿宋" w:hAnsi="仿宋" w:eastAsia="仿宋" w:cs="宋体"/>
                <w:kern w:val="0"/>
                <w:sz w:val="24"/>
              </w:rPr>
              <w:t>12</w:t>
            </w:r>
          </w:p>
        </w:tc>
      </w:tr>
    </w:tbl>
    <w:p>
      <w:pPr>
        <w:tabs>
          <w:tab w:val="right" w:pos="8306"/>
        </w:tabs>
        <w:snapToGrid w:val="0"/>
        <w:spacing w:line="560" w:lineRule="exact"/>
        <w:ind w:firstLine="600" w:firstLineChars="200"/>
        <w:rPr>
          <w:rFonts w:ascii="仿宋" w:hAnsi="仿宋" w:eastAsia="仿宋" w:cs="Arial"/>
          <w:kern w:val="0"/>
          <w:sz w:val="30"/>
          <w:szCs w:val="30"/>
        </w:rPr>
      </w:pPr>
      <w:r>
        <w:rPr>
          <w:rFonts w:hint="eastAsia" w:ascii="仿宋" w:hAnsi="仿宋" w:eastAsia="仿宋" w:cs="Arial"/>
          <w:kern w:val="0"/>
          <w:sz w:val="30"/>
          <w:szCs w:val="30"/>
        </w:rPr>
        <w:t>6种贸易术语为：CIF、FOB、CFR、CIP、FCA、CPT</w:t>
      </w:r>
    </w:p>
    <w:p>
      <w:pPr>
        <w:snapToGrid w:val="0"/>
        <w:spacing w:line="360" w:lineRule="auto"/>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5种结算方式为：100%T/T、T/T（定金+尾款）、L/C、D/P、D/A</w:t>
      </w:r>
    </w:p>
    <w:p>
      <w:pPr>
        <w:spacing w:line="360" w:lineRule="auto"/>
        <w:ind w:firstLine="570"/>
        <w:outlineLvl w:val="0"/>
        <w:rPr>
          <w:rFonts w:hint="eastAsia" w:ascii="仿宋" w:hAnsi="仿宋" w:eastAsia="仿宋" w:cs="仿宋"/>
          <w:sz w:val="32"/>
          <w:szCs w:val="32"/>
        </w:rPr>
      </w:pPr>
      <w:r>
        <w:rPr>
          <w:rFonts w:hint="eastAsia" w:ascii="仿宋" w:hAnsi="仿宋" w:eastAsia="仿宋" w:cs="仿宋"/>
          <w:sz w:val="32"/>
          <w:szCs w:val="32"/>
        </w:rPr>
        <w:t>2.外贸B2C模块</w:t>
      </w:r>
    </w:p>
    <w:p>
      <w:pPr>
        <w:spacing w:line="360" w:lineRule="auto"/>
        <w:ind w:firstLine="640" w:firstLineChars="200"/>
        <w:rPr>
          <w:rFonts w:hint="eastAsia" w:ascii="仿宋" w:hAnsi="仿宋" w:eastAsia="仿宋" w:cs="仿宋"/>
          <w:sz w:val="32"/>
          <w:szCs w:val="32"/>
        </w:rPr>
      </w:pPr>
      <w:r>
        <w:rPr>
          <w:rFonts w:hint="eastAsia" w:ascii="仿宋" w:hAnsi="仿宋" w:eastAsia="仿宋" w:cs="仿宋"/>
          <w:sz w:val="32"/>
          <w:szCs w:val="32"/>
        </w:rPr>
        <w:t>外贸B2C模块成绩由参赛队在系统中运营的公司分数构成。如果团队经营过多家公司（如破产后重建新公司），则取这些公司分数的最高值。具体计算方法如下：</w:t>
      </w:r>
    </w:p>
    <w:p>
      <w:pPr>
        <w:spacing w:line="360" w:lineRule="auto"/>
        <w:ind w:firstLine="640" w:firstLineChars="200"/>
        <w:rPr>
          <w:rFonts w:hint="eastAsia" w:ascii="仿宋" w:hAnsi="仿宋" w:eastAsia="仿宋" w:cs="仿宋"/>
          <w:sz w:val="32"/>
          <w:szCs w:val="32"/>
        </w:rPr>
      </w:pPr>
      <w:r>
        <w:rPr>
          <w:rFonts w:hint="eastAsia" w:ascii="仿宋" w:hAnsi="仿宋" w:eastAsia="仿宋" w:cs="仿宋"/>
          <w:sz w:val="32"/>
          <w:szCs w:val="32"/>
        </w:rPr>
        <w:t>（1）公司分数</w:t>
      </w:r>
    </w:p>
    <w:p>
      <w:pPr>
        <w:spacing w:line="360" w:lineRule="auto"/>
        <w:ind w:firstLine="640" w:firstLineChars="200"/>
        <w:rPr>
          <w:rFonts w:hint="eastAsia" w:ascii="仿宋" w:hAnsi="仿宋" w:eastAsia="仿宋" w:cs="仿宋"/>
          <w:sz w:val="32"/>
          <w:szCs w:val="32"/>
        </w:rPr>
      </w:pPr>
      <w:r>
        <w:rPr>
          <w:rFonts w:hint="eastAsia" w:ascii="仿宋" w:hAnsi="仿宋" w:eastAsia="仿宋" w:cs="仿宋"/>
          <w:sz w:val="32"/>
          <w:szCs w:val="32"/>
        </w:rPr>
        <w:t>公司分数受多种因素影响，这些因素包括“投资回报率分数”和“破产影响系数” 。</w:t>
      </w:r>
    </w:p>
    <w:p>
      <w:pPr>
        <w:spacing w:line="360" w:lineRule="auto"/>
        <w:ind w:firstLine="640" w:firstLineChars="200"/>
        <w:rPr>
          <w:rFonts w:hint="eastAsia" w:ascii="仿宋" w:hAnsi="仿宋" w:eastAsia="仿宋" w:cs="仿宋"/>
          <w:sz w:val="32"/>
          <w:szCs w:val="32"/>
        </w:rPr>
      </w:pPr>
      <w:r>
        <w:rPr>
          <w:rFonts w:hint="eastAsia" w:ascii="仿宋" w:hAnsi="仿宋" w:eastAsia="仿宋" w:cs="仿宋"/>
          <w:sz w:val="32"/>
          <w:szCs w:val="32"/>
        </w:rPr>
        <w:t>公司分数计算公式：</w:t>
      </w:r>
    </w:p>
    <w:p>
      <w:pPr>
        <w:spacing w:line="360" w:lineRule="auto"/>
        <w:ind w:firstLine="1280" w:firstLineChars="400"/>
        <w:rPr>
          <w:rFonts w:hint="eastAsia" w:ascii="仿宋" w:hAnsi="仿宋" w:eastAsia="仿宋" w:cs="仿宋"/>
          <w:sz w:val="32"/>
          <w:szCs w:val="32"/>
        </w:rPr>
      </w:pPr>
      <w:r>
        <w:rPr>
          <w:rFonts w:hint="eastAsia" w:ascii="仿宋" w:hAnsi="仿宋" w:eastAsia="仿宋" w:cs="仿宋"/>
          <w:position w:val="-36"/>
          <w:sz w:val="32"/>
          <w:szCs w:val="32"/>
        </w:rPr>
        <w:object>
          <v:shape id="_x0000_i1025" o:spt="75" type="#_x0000_t75" style="height:42.75pt;width:147pt;" o:ole="t" filled="f" o:preferrelative="t" stroked="f" coordsize="21600,21600">
            <v:path/>
            <v:fill on="f" focussize="0,0"/>
            <v:stroke on="f"/>
            <v:imagedata r:id="rId5" o:title=""/>
            <o:lock v:ext="edit" aspectratio="t"/>
            <w10:wrap type="none"/>
            <w10:anchorlock/>
          </v:shape>
          <o:OLEObject Type="Embed" ProgID="Equations" ShapeID="_x0000_i1025" DrawAspect="Content" ObjectID="_1468075725" r:id="rId4">
            <o:LockedField>false</o:LockedField>
          </o:OLEObject>
        </w:objec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其中：</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 xml:space="preserve">    </w:t>
      </w:r>
      <w:r>
        <w:rPr>
          <w:rFonts w:hint="eastAsia" w:ascii="仿宋" w:hAnsi="仿宋" w:eastAsia="仿宋" w:cs="仿宋"/>
          <w:position w:val="-64"/>
          <w:sz w:val="32"/>
          <w:szCs w:val="32"/>
        </w:rPr>
        <w:object>
          <v:shape id="_x0000_i1026" o:spt="75" type="#_x0000_t75" style="height:72pt;width:129pt;" o:ole="t" filled="f" o:preferrelative="t" stroked="f" coordsize="21600,21600">
            <v:path/>
            <v:fill on="f" focussize="0,0"/>
            <v:stroke on="f"/>
            <v:imagedata r:id="rId7" o:title=""/>
            <o:lock v:ext="edit" aspectratio="t"/>
            <w10:wrap type="none"/>
            <w10:anchorlock/>
          </v:shape>
          <o:OLEObject Type="Embed" ProgID="Equations" ShapeID="_x0000_i1026" DrawAspect="Content" ObjectID="_1468075726" r:id="rId6">
            <o:LockedField>false</o:LockedField>
          </o:OLEObject>
        </w:objec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设置：</w:t>
      </w:r>
    </w:p>
    <w:p>
      <w:pPr>
        <w:ind w:firstLine="1280" w:firstLineChars="400"/>
        <w:rPr>
          <w:rFonts w:hint="eastAsia" w:ascii="仿宋" w:hAnsi="仿宋" w:eastAsia="仿宋" w:cs="仿宋"/>
          <w:sz w:val="32"/>
          <w:szCs w:val="32"/>
        </w:rPr>
      </w:pPr>
      <w:r>
        <w:rPr>
          <w:rFonts w:hint="eastAsia" w:ascii="仿宋" w:hAnsi="仿宋" w:eastAsia="仿宋" w:cs="仿宋"/>
          <w:position w:val="-12"/>
          <w:sz w:val="32"/>
          <w:szCs w:val="32"/>
        </w:rPr>
        <w:object>
          <v:shape id="_x0000_i1027" o:spt="75" type="#_x0000_t75" style="height:18.75pt;width:51pt;" o:ole="t" filled="f" o:preferrelative="t" stroked="f" coordsize="21600,21600">
            <v:path/>
            <v:fill on="f" focussize="0,0"/>
            <v:stroke on="f"/>
            <v:imagedata r:id="rId9" o:title=""/>
            <o:lock v:ext="edit" aspectratio="t"/>
            <w10:wrap type="none"/>
            <w10:anchorlock/>
          </v:shape>
          <o:OLEObject Type="Embed" ProgID="Equations" ShapeID="_x0000_i1027" DrawAspect="Content" ObjectID="_1468075727" r:id="rId8">
            <o:LockedField>false</o:LockedField>
          </o:OLEObject>
        </w:object>
      </w:r>
    </w:p>
    <w:p>
      <w:pPr>
        <w:spacing w:line="360" w:lineRule="auto"/>
        <w:ind w:firstLine="640" w:firstLineChars="200"/>
        <w:rPr>
          <w:rFonts w:hint="eastAsia" w:ascii="仿宋" w:hAnsi="仿宋" w:eastAsia="仿宋" w:cs="仿宋"/>
          <w:sz w:val="32"/>
          <w:szCs w:val="32"/>
        </w:rPr>
      </w:pPr>
      <w:r>
        <w:rPr>
          <w:rFonts w:hint="eastAsia" w:ascii="仿宋" w:hAnsi="仿宋" w:eastAsia="仿宋" w:cs="仿宋"/>
          <w:sz w:val="32"/>
          <w:szCs w:val="32"/>
        </w:rPr>
        <w:t>（2）投资回报率分数</w:t>
      </w:r>
    </w:p>
    <w:p>
      <w:pPr>
        <w:spacing w:line="360" w:lineRule="auto"/>
        <w:ind w:firstLine="640" w:firstLineChars="200"/>
        <w:rPr>
          <w:rFonts w:hint="eastAsia" w:ascii="仿宋" w:hAnsi="仿宋" w:eastAsia="仿宋" w:cs="仿宋"/>
          <w:sz w:val="32"/>
          <w:szCs w:val="32"/>
        </w:rPr>
      </w:pPr>
      <w:r>
        <w:rPr>
          <w:rFonts w:hint="eastAsia" w:ascii="仿宋" w:hAnsi="仿宋" w:eastAsia="仿宋" w:cs="仿宋"/>
          <w:sz w:val="32"/>
          <w:szCs w:val="32"/>
        </w:rPr>
        <w:t>投资回报率分数受多种因素影响，这些因素包括“投资回报率数值分数”和“投资回报率排名分数”。</w:t>
      </w:r>
    </w:p>
    <w:p>
      <w:pPr>
        <w:spacing w:line="360" w:lineRule="auto"/>
        <w:ind w:firstLine="640" w:firstLineChars="200"/>
        <w:rPr>
          <w:rFonts w:hint="eastAsia" w:ascii="仿宋" w:hAnsi="仿宋" w:eastAsia="仿宋" w:cs="仿宋"/>
          <w:sz w:val="32"/>
          <w:szCs w:val="32"/>
        </w:rPr>
      </w:pPr>
      <w:r>
        <w:rPr>
          <w:rFonts w:hint="eastAsia" w:ascii="仿宋" w:hAnsi="仿宋" w:eastAsia="仿宋" w:cs="仿宋"/>
          <w:sz w:val="32"/>
          <w:szCs w:val="32"/>
        </w:rPr>
        <w:t>投资回报率分数计算公式：</w:t>
      </w:r>
    </w:p>
    <w:p>
      <w:pPr>
        <w:spacing w:line="360" w:lineRule="auto"/>
        <w:ind w:firstLine="640" w:firstLineChars="200"/>
        <w:rPr>
          <w:rFonts w:hint="eastAsia" w:ascii="仿宋" w:hAnsi="仿宋" w:eastAsia="仿宋" w:cs="仿宋"/>
          <w:sz w:val="32"/>
          <w:szCs w:val="32"/>
        </w:rPr>
      </w:pPr>
      <w:r>
        <w:rPr>
          <w:rFonts w:hint="eastAsia" w:ascii="仿宋" w:hAnsi="仿宋" w:eastAsia="仿宋" w:cs="仿宋"/>
          <w:sz w:val="32"/>
          <w:szCs w:val="32"/>
        </w:rPr>
        <w:t xml:space="preserve">    </w:t>
      </w:r>
      <w:r>
        <w:rPr>
          <w:rFonts w:hint="eastAsia" w:ascii="仿宋" w:hAnsi="仿宋" w:eastAsia="仿宋" w:cs="仿宋"/>
          <w:position w:val="-34"/>
          <w:sz w:val="32"/>
          <w:szCs w:val="32"/>
        </w:rPr>
        <w:object>
          <v:shape id="_x0000_i1028" o:spt="75" type="#_x0000_t75" style="height:39pt;width:150.8pt;" o:ole="t" filled="f" o:preferrelative="t" stroked="f" coordsize="21600,21600">
            <v:path/>
            <v:fill on="f" focussize="0,0"/>
            <v:stroke on="f"/>
            <v:imagedata r:id="rId11" o:title=""/>
            <o:lock v:ext="edit" aspectratio="t"/>
            <w10:wrap type="none"/>
            <w10:anchorlock/>
          </v:shape>
          <o:OLEObject Type="Embed" ProgID="Equations" ShapeID="_x0000_i1028" DrawAspect="Content" ObjectID="_1468075728" r:id="rId10">
            <o:LockedField>false</o:LockedField>
          </o:OLEObject>
        </w:object>
      </w:r>
    </w:p>
    <w:p>
      <w:pPr>
        <w:ind w:firstLine="640" w:firstLineChars="200"/>
        <w:rPr>
          <w:rFonts w:hint="eastAsia" w:ascii="仿宋" w:hAnsi="仿宋" w:eastAsia="仿宋" w:cs="仿宋"/>
          <w:sz w:val="32"/>
          <w:szCs w:val="32"/>
        </w:rPr>
      </w:pPr>
    </w:p>
    <w:p>
      <w:pPr>
        <w:ind w:firstLine="640" w:firstLineChars="200"/>
        <w:rPr>
          <w:rFonts w:hint="eastAsia" w:ascii="仿宋" w:hAnsi="仿宋" w:eastAsia="仿宋" w:cs="仿宋"/>
          <w:sz w:val="32"/>
          <w:szCs w:val="32"/>
        </w:rPr>
      </w:pPr>
    </w:p>
    <w:p>
      <w:pPr>
        <w:ind w:firstLine="640" w:firstLineChars="200"/>
        <w:rPr>
          <w:rFonts w:hint="eastAsia" w:ascii="仿宋" w:hAnsi="仿宋" w:eastAsia="仿宋" w:cs="仿宋"/>
          <w:sz w:val="32"/>
          <w:szCs w:val="32"/>
        </w:rPr>
      </w:pPr>
      <w:r>
        <w:rPr>
          <w:rFonts w:hint="eastAsia" w:ascii="仿宋" w:hAnsi="仿宋" w:eastAsia="仿宋" w:cs="仿宋"/>
          <w:sz w:val="32"/>
          <w:szCs w:val="32"/>
        </w:rPr>
        <w:t>其中：</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 xml:space="preserve">    </w:t>
      </w:r>
      <w:r>
        <w:rPr>
          <w:rFonts w:hint="eastAsia" w:ascii="仿宋" w:hAnsi="仿宋" w:eastAsia="仿宋" w:cs="仿宋"/>
          <w:position w:val="-40"/>
          <w:sz w:val="32"/>
          <w:szCs w:val="32"/>
        </w:rPr>
        <w:object>
          <v:shape id="_x0000_i1029" o:spt="75" type="#_x0000_t75" style="height:47.25pt;width:161.95pt;" o:ole="t" filled="f" o:preferrelative="t" stroked="f" coordsize="21600,21600">
            <v:path/>
            <v:fill on="f" focussize="0,0"/>
            <v:stroke on="f"/>
            <v:imagedata r:id="rId13" o:title=""/>
            <o:lock v:ext="edit" aspectratio="t"/>
            <w10:wrap type="none"/>
            <w10:anchorlock/>
          </v:shape>
          <o:OLEObject Type="Embed" ProgID="Equations" ShapeID="_x0000_i1029" DrawAspect="Content" ObjectID="_1468075729" r:id="rId12">
            <o:LockedField>false</o:LockedField>
          </o:OLEObject>
        </w:objec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 xml:space="preserve">    </w:t>
      </w:r>
      <w:r>
        <w:rPr>
          <w:rFonts w:hint="eastAsia" w:ascii="仿宋" w:hAnsi="仿宋" w:eastAsia="仿宋" w:cs="仿宋"/>
          <w:position w:val="-66"/>
          <w:sz w:val="32"/>
          <w:szCs w:val="32"/>
        </w:rPr>
        <w:object>
          <v:shape id="_x0000_i1030" o:spt="75" type="#_x0000_t75" style="height:72.8pt;width:183.75pt;" o:ole="t" filled="f" o:preferrelative="t" stroked="f" coordsize="21600,21600">
            <v:path/>
            <v:fill on="f" focussize="0,0"/>
            <v:stroke on="f"/>
            <v:imagedata r:id="rId15" o:title=""/>
            <o:lock v:ext="edit" aspectratio="t"/>
            <w10:wrap type="none"/>
            <w10:anchorlock/>
          </v:shape>
          <o:OLEObject Type="Embed" ProgID="Equations" ShapeID="_x0000_i1030" DrawAspect="Content" ObjectID="_1468075730" r:id="rId14">
            <o:LockedField>false</o:LockedField>
          </o:OLEObject>
        </w:objec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设置：</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 xml:space="preserve">    </w:t>
      </w:r>
      <w:r>
        <w:rPr>
          <w:rFonts w:hint="eastAsia" w:ascii="仿宋" w:hAnsi="仿宋" w:eastAsia="仿宋" w:cs="仿宋"/>
          <w:position w:val="-38"/>
          <w:sz w:val="32"/>
          <w:szCs w:val="32"/>
        </w:rPr>
        <w:object>
          <v:shape id="_x0000_i1031" o:spt="75" type="#_x0000_t75" style="height:45pt;width:51pt;" o:ole="t" filled="f" o:preferrelative="t" stroked="f" coordsize="21600,21600">
            <v:path/>
            <v:fill on="f" focussize="0,0"/>
            <v:stroke on="f"/>
            <v:imagedata r:id="rId17" o:title=""/>
            <o:lock v:ext="edit" aspectratio="t"/>
            <w10:wrap type="none"/>
            <w10:anchorlock/>
          </v:shape>
          <o:OLEObject Type="Embed" ProgID="Equations" ShapeID="_x0000_i1031" DrawAspect="Content" ObjectID="_1468075731" r:id="rId16">
            <o:LockedField>false</o:LockedField>
          </o:OLEObject>
        </w:object>
      </w:r>
    </w:p>
    <w:p>
      <w:pPr>
        <w:spacing w:line="360" w:lineRule="auto"/>
        <w:ind w:firstLine="640" w:firstLineChars="200"/>
        <w:rPr>
          <w:rFonts w:hint="eastAsia" w:ascii="仿宋" w:hAnsi="仿宋" w:eastAsia="仿宋" w:cs="仿宋"/>
          <w:sz w:val="32"/>
          <w:szCs w:val="32"/>
        </w:rPr>
      </w:pPr>
      <w:r>
        <w:rPr>
          <w:rFonts w:hint="eastAsia" w:ascii="仿宋" w:hAnsi="仿宋" w:eastAsia="仿宋" w:cs="仿宋"/>
          <w:sz w:val="32"/>
          <w:szCs w:val="32"/>
        </w:rPr>
        <w:t>①投资回报率数值分数</w:t>
      </w:r>
    </w:p>
    <w:p>
      <w:pPr>
        <w:spacing w:line="360" w:lineRule="auto"/>
        <w:ind w:firstLine="640" w:firstLineChars="200"/>
        <w:rPr>
          <w:rFonts w:hint="eastAsia" w:ascii="仿宋" w:hAnsi="仿宋" w:eastAsia="仿宋" w:cs="仿宋"/>
          <w:sz w:val="32"/>
          <w:szCs w:val="32"/>
        </w:rPr>
      </w:pPr>
      <w:r>
        <w:rPr>
          <w:rFonts w:hint="eastAsia" w:ascii="仿宋" w:hAnsi="仿宋" w:eastAsia="仿宋" w:cs="仿宋"/>
          <w:sz w:val="32"/>
          <w:szCs w:val="32"/>
        </w:rPr>
        <w:t>只有当投资回报率大于等于预先设定的阈值时才会应用下列公式计算此项分数，小于该阈值时则此项分数直接赋为预设的投资回报率数值分数最小值。</w:t>
      </w:r>
    </w:p>
    <w:p>
      <w:pPr>
        <w:spacing w:line="360" w:lineRule="auto"/>
        <w:ind w:firstLine="640" w:firstLineChars="200"/>
        <w:rPr>
          <w:rFonts w:hint="eastAsia" w:ascii="仿宋" w:hAnsi="仿宋" w:eastAsia="仿宋" w:cs="仿宋"/>
          <w:sz w:val="32"/>
          <w:szCs w:val="32"/>
        </w:rPr>
      </w:pPr>
      <w:r>
        <w:rPr>
          <w:rFonts w:hint="eastAsia" w:ascii="仿宋" w:hAnsi="仿宋" w:eastAsia="仿宋" w:cs="仿宋"/>
          <w:sz w:val="32"/>
          <w:szCs w:val="32"/>
        </w:rPr>
        <w:t>投资回报率数值分数计算公式：</w:t>
      </w:r>
    </w:p>
    <w:p>
      <w:pPr>
        <w:spacing w:line="360" w:lineRule="auto"/>
        <w:ind w:firstLine="1280" w:firstLineChars="400"/>
        <w:rPr>
          <w:rFonts w:hint="eastAsia" w:ascii="仿宋" w:hAnsi="仿宋" w:eastAsia="仿宋" w:cs="仿宋"/>
          <w:sz w:val="32"/>
          <w:szCs w:val="32"/>
        </w:rPr>
      </w:pPr>
      <w:r>
        <w:rPr>
          <w:rFonts w:hint="eastAsia" w:ascii="仿宋" w:hAnsi="仿宋" w:eastAsia="仿宋" w:cs="仿宋"/>
          <w:position w:val="-56"/>
          <w:sz w:val="32"/>
          <w:szCs w:val="32"/>
        </w:rPr>
        <w:object>
          <v:shape id="_x0000_i1032" o:spt="75" type="#_x0000_t75" style="height:63pt;width:322.35pt;" o:ole="t" filled="f" o:preferrelative="t" stroked="f" coordsize="21600,21600">
            <v:path/>
            <v:fill on="f" focussize="0,0"/>
            <v:stroke on="f"/>
            <v:imagedata r:id="rId19" o:title=""/>
            <o:lock v:ext="edit" aspectratio="t"/>
            <w10:wrap type="none"/>
            <w10:anchorlock/>
          </v:shape>
          <o:OLEObject Type="Embed" ProgID="Equations" ShapeID="_x0000_i1032" DrawAspect="Content" ObjectID="_1468075732" r:id="rId18">
            <o:LockedField>false</o:LockedField>
          </o:OLEObject>
        </w:objec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其中：</w:t>
      </w:r>
    </w:p>
    <w:p>
      <w:pPr>
        <w:ind w:firstLine="1209" w:firstLineChars="378"/>
        <w:rPr>
          <w:rFonts w:hint="eastAsia" w:ascii="仿宋" w:hAnsi="仿宋" w:eastAsia="仿宋" w:cs="仿宋"/>
          <w:color w:val="000000"/>
          <w:kern w:val="24"/>
          <w:sz w:val="32"/>
          <w:szCs w:val="32"/>
        </w:rPr>
      </w:pPr>
      <w:r>
        <w:rPr>
          <w:rFonts w:hint="eastAsia" w:ascii="仿宋" w:hAnsi="仿宋" w:eastAsia="仿宋" w:cs="仿宋"/>
          <w:position w:val="-154"/>
          <w:sz w:val="32"/>
          <w:szCs w:val="32"/>
        </w:rPr>
        <w:object>
          <v:shape id="_x0000_i1033" o:spt="75" type="#_x0000_t75" style="height:161.95pt;width:397.3pt;" o:ole="t" filled="f" o:preferrelative="t" stroked="f" coordsize="21600,21600">
            <v:path/>
            <v:fill on="f" focussize="0,0"/>
            <v:stroke on="f"/>
            <v:imagedata r:id="rId21" o:title=""/>
            <o:lock v:ext="edit" aspectratio="t"/>
            <w10:wrap type="none"/>
            <w10:anchorlock/>
          </v:shape>
          <o:OLEObject Type="Embed" ProgID="Equations" ShapeID="_x0000_i1033" DrawAspect="Content" ObjectID="_1468075733" r:id="rId20">
            <o:LockedField>false</o:LockedField>
          </o:OLEObject>
        </w:object>
      </w:r>
      <w:r>
        <w:rPr>
          <w:rFonts w:hint="eastAsia" w:ascii="仿宋" w:hAnsi="仿宋" w:eastAsia="仿宋" w:cs="仿宋"/>
          <w:sz w:val="32"/>
          <w:szCs w:val="32"/>
        </w:rPr>
        <w:t xml:space="preserve">    </w:t>
      </w:r>
      <w:r>
        <w:rPr>
          <w:rFonts w:hint="eastAsia" w:ascii="仿宋" w:hAnsi="仿宋" w:eastAsia="仿宋" w:cs="仿宋"/>
          <w:color w:val="000000"/>
          <w:kern w:val="24"/>
          <w:sz w:val="32"/>
          <w:szCs w:val="32"/>
        </w:rPr>
        <w:t>设置：</w:t>
      </w:r>
    </w:p>
    <w:p>
      <w:pPr>
        <w:ind w:firstLine="1280" w:firstLineChars="400"/>
        <w:rPr>
          <w:rFonts w:hint="eastAsia" w:ascii="仿宋" w:hAnsi="仿宋" w:eastAsia="仿宋" w:cs="仿宋"/>
          <w:color w:val="000000"/>
          <w:kern w:val="24"/>
          <w:sz w:val="32"/>
          <w:szCs w:val="32"/>
        </w:rPr>
      </w:pPr>
      <w:r>
        <w:rPr>
          <w:rFonts w:hint="eastAsia" w:ascii="仿宋" w:hAnsi="仿宋" w:eastAsia="仿宋" w:cs="仿宋"/>
          <w:color w:val="000000"/>
          <w:kern w:val="24"/>
          <w:position w:val="-64"/>
          <w:sz w:val="32"/>
          <w:szCs w:val="32"/>
        </w:rPr>
        <w:object>
          <v:shape id="_x0000_i1034" o:spt="75" type="#_x0000_t75" style="height:78.7pt;width:63.75pt;" o:ole="t" filled="f" o:preferrelative="t" stroked="f" coordsize="21600,21600">
            <v:path/>
            <v:fill on="f" focussize="0,0"/>
            <v:stroke on="f"/>
            <v:imagedata r:id="rId23" o:title=""/>
            <o:lock v:ext="edit" aspectratio="t"/>
            <w10:wrap type="none"/>
            <w10:anchorlock/>
          </v:shape>
          <o:OLEObject Type="Embed" ProgID="Equations" ShapeID="_x0000_i1034" DrawAspect="Content" ObjectID="_1468075734" r:id="rId22">
            <o:LockedField>false</o:LockedField>
          </o:OLEObject>
        </w:object>
      </w:r>
    </w:p>
    <w:p>
      <w:pPr>
        <w:spacing w:line="360" w:lineRule="auto"/>
        <w:ind w:firstLine="640" w:firstLineChars="200"/>
        <w:rPr>
          <w:rFonts w:hint="eastAsia" w:ascii="仿宋" w:hAnsi="仿宋" w:eastAsia="仿宋" w:cs="仿宋"/>
          <w:sz w:val="32"/>
          <w:szCs w:val="32"/>
        </w:rPr>
      </w:pPr>
      <w:r>
        <w:rPr>
          <w:rFonts w:hint="eastAsia" w:ascii="仿宋" w:hAnsi="仿宋" w:eastAsia="仿宋" w:cs="仿宋"/>
          <w:sz w:val="32"/>
          <w:szCs w:val="32"/>
        </w:rPr>
        <w:t>②投资回报率排名分数</w:t>
      </w:r>
    </w:p>
    <w:p>
      <w:pPr>
        <w:spacing w:line="360" w:lineRule="auto"/>
        <w:ind w:firstLine="640" w:firstLineChars="200"/>
        <w:rPr>
          <w:rFonts w:hint="eastAsia" w:ascii="仿宋" w:hAnsi="仿宋" w:eastAsia="仿宋" w:cs="仿宋"/>
          <w:sz w:val="32"/>
          <w:szCs w:val="32"/>
        </w:rPr>
      </w:pPr>
      <w:r>
        <w:rPr>
          <w:rFonts w:hint="eastAsia" w:ascii="仿宋" w:hAnsi="仿宋" w:eastAsia="仿宋" w:cs="仿宋"/>
          <w:sz w:val="32"/>
          <w:szCs w:val="32"/>
        </w:rPr>
        <w:t>将投资回报率按照从高到低的顺序进行排名（最高的排名为 1），然后根据排名将其划归到不同档次，不同档次对应不同的分数。</w:t>
      </w:r>
    </w:p>
    <w:p>
      <w:pPr>
        <w:spacing w:line="360" w:lineRule="auto"/>
        <w:ind w:firstLine="640" w:firstLineChars="200"/>
        <w:rPr>
          <w:rFonts w:hint="eastAsia" w:ascii="仿宋" w:hAnsi="仿宋" w:eastAsia="仿宋" w:cs="仿宋"/>
          <w:sz w:val="32"/>
          <w:szCs w:val="32"/>
        </w:rPr>
      </w:pPr>
      <w:r>
        <w:rPr>
          <w:rFonts w:hint="eastAsia" w:ascii="仿宋" w:hAnsi="仿宋" w:eastAsia="仿宋" w:cs="仿宋"/>
          <w:sz w:val="32"/>
          <w:szCs w:val="32"/>
        </w:rPr>
        <w:t>投资回报率排名分数计算公式：</w:t>
      </w:r>
    </w:p>
    <w:p>
      <w:pPr>
        <w:spacing w:line="360" w:lineRule="auto"/>
        <w:ind w:firstLine="1280" w:firstLineChars="400"/>
        <w:rPr>
          <w:rFonts w:hint="eastAsia" w:ascii="仿宋" w:hAnsi="仿宋" w:eastAsia="仿宋" w:cs="仿宋"/>
          <w:sz w:val="32"/>
          <w:szCs w:val="32"/>
        </w:rPr>
      </w:pPr>
      <w:r>
        <w:rPr>
          <w:rFonts w:hint="eastAsia" w:ascii="仿宋" w:hAnsi="仿宋" w:eastAsia="仿宋" w:cs="仿宋"/>
          <w:sz w:val="32"/>
          <w:szCs w:val="32"/>
        </w:rPr>
        <w:drawing>
          <wp:inline distT="0" distB="0" distL="114300" distR="114300">
            <wp:extent cx="2631440" cy="1107440"/>
            <wp:effectExtent l="0" t="0" r="5080" b="5080"/>
            <wp:docPr id="1" name="图片 23" descr="00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3" descr="00001.png"/>
                    <pic:cNvPicPr>
                      <a:picLocks noChangeAspect="1"/>
                    </pic:cNvPicPr>
                  </pic:nvPicPr>
                  <pic:blipFill>
                    <a:blip r:embed="rId24"/>
                    <a:stretch>
                      <a:fillRect/>
                    </a:stretch>
                  </pic:blipFill>
                  <pic:spPr>
                    <a:xfrm>
                      <a:off x="0" y="0"/>
                      <a:ext cx="2631440" cy="1107440"/>
                    </a:xfrm>
                    <a:prstGeom prst="rect">
                      <a:avLst/>
                    </a:prstGeom>
                    <a:noFill/>
                    <a:ln>
                      <a:noFill/>
                    </a:ln>
                  </pic:spPr>
                </pic:pic>
              </a:graphicData>
            </a:graphic>
          </wp:inline>
        </w:drawing>
      </w:r>
    </w:p>
    <w:p>
      <w:pPr>
        <w:ind w:firstLine="640" w:firstLineChars="200"/>
        <w:rPr>
          <w:rFonts w:hint="eastAsia" w:ascii="仿宋" w:hAnsi="仿宋" w:eastAsia="仿宋" w:cs="仿宋"/>
          <w:sz w:val="32"/>
          <w:szCs w:val="32"/>
        </w:rPr>
      </w:pPr>
      <w:r>
        <w:rPr>
          <w:rFonts w:hint="eastAsia" w:ascii="仿宋" w:hAnsi="仿宋" w:eastAsia="仿宋" w:cs="仿宋"/>
          <w:sz w:val="32"/>
          <w:szCs w:val="32"/>
        </w:rPr>
        <w:t>其中：</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 xml:space="preserve">    </w:t>
      </w:r>
      <w:r>
        <w:rPr>
          <w:rFonts w:hint="eastAsia" w:ascii="仿宋" w:hAnsi="仿宋" w:eastAsia="仿宋" w:cs="仿宋"/>
          <w:position w:val="-150"/>
          <w:sz w:val="32"/>
          <w:szCs w:val="32"/>
        </w:rPr>
        <w:object>
          <v:shape id="_x0000_i1035" o:spt="75" type="#_x0000_t75" style="height:156.7pt;width:206.25pt;" o:ole="t" filled="f" o:preferrelative="t" stroked="f" coordsize="21600,21600">
            <v:path/>
            <v:fill on="f" focussize="0,0"/>
            <v:stroke on="f"/>
            <v:imagedata r:id="rId26" o:title=""/>
            <o:lock v:ext="edit" aspectratio="t"/>
            <w10:wrap type="none"/>
            <w10:anchorlock/>
          </v:shape>
          <o:OLEObject Type="Embed" ProgID="Equations" ShapeID="_x0000_i1035" DrawAspect="Content" ObjectID="_1468075735" r:id="rId25">
            <o:LockedField>false</o:LockedField>
          </o:OLEObject>
        </w:object>
      </w:r>
    </w:p>
    <w:p>
      <w:pPr>
        <w:spacing w:line="360" w:lineRule="auto"/>
        <w:ind w:firstLine="640" w:firstLineChars="200"/>
        <w:rPr>
          <w:rFonts w:hint="eastAsia" w:ascii="仿宋" w:hAnsi="仿宋" w:eastAsia="仿宋" w:cs="仿宋"/>
          <w:sz w:val="32"/>
          <w:szCs w:val="32"/>
        </w:rPr>
      </w:pPr>
      <w:r>
        <w:rPr>
          <w:rFonts w:hint="eastAsia" w:ascii="仿宋" w:hAnsi="仿宋" w:eastAsia="仿宋" w:cs="仿宋"/>
          <w:sz w:val="32"/>
          <w:szCs w:val="32"/>
        </w:rPr>
        <w:t>设置：</w:t>
      </w:r>
    </w:p>
    <w:p>
      <w:pPr>
        <w:ind w:firstLine="640" w:firstLineChars="200"/>
        <w:rPr>
          <w:rFonts w:hint="eastAsia" w:ascii="仿宋" w:hAnsi="仿宋" w:eastAsia="仿宋" w:cs="仿宋"/>
          <w:kern w:val="0"/>
          <w:sz w:val="32"/>
          <w:szCs w:val="32"/>
        </w:rPr>
      </w:pPr>
      <w:r>
        <w:rPr>
          <w:rFonts w:hint="eastAsia" w:ascii="仿宋" w:hAnsi="仿宋" w:eastAsia="仿宋" w:cs="仿宋"/>
          <w:sz w:val="32"/>
          <w:szCs w:val="32"/>
        </w:rPr>
        <w:t xml:space="preserve">    </w:t>
      </w:r>
      <w:r>
        <w:rPr>
          <w:rFonts w:hint="eastAsia" w:ascii="仿宋" w:hAnsi="仿宋" w:eastAsia="仿宋" w:cs="仿宋"/>
          <w:position w:val="-62"/>
          <w:sz w:val="32"/>
          <w:szCs w:val="32"/>
        </w:rPr>
        <w:object>
          <v:shape id="_x0000_i1036" o:spt="75" type="#_x0000_t75" style="height:78pt;width:63.75pt;" o:ole="t" filled="f" o:preferrelative="t" stroked="f" coordsize="21600,21600">
            <v:path/>
            <v:fill on="f" focussize="0,0"/>
            <v:stroke on="f"/>
            <v:imagedata r:id="rId28" o:title=""/>
            <o:lock v:ext="edit" aspectratio="t"/>
            <w10:wrap type="none"/>
            <w10:anchorlock/>
          </v:shape>
          <o:OLEObject Type="Embed" ProgID="Equations" ShapeID="_x0000_i1036" DrawAspect="Content" ObjectID="_1468075736" r:id="rId27">
            <o:LockedField>false</o:LockedField>
          </o:OLEObject>
        </w:object>
      </w:r>
    </w:p>
    <w:p>
      <w:pPr>
        <w:spacing w:line="360" w:lineRule="auto"/>
        <w:ind w:firstLine="602" w:firstLineChars="200"/>
        <w:outlineLvl w:val="1"/>
        <w:rPr>
          <w:rFonts w:hint="eastAsia" w:ascii="仿宋" w:hAnsi="仿宋" w:eastAsia="仿宋"/>
          <w:b/>
          <w:sz w:val="30"/>
          <w:szCs w:val="30"/>
        </w:rPr>
      </w:pPr>
      <w:bookmarkStart w:id="12" w:name="_Toc414002615"/>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outlineLvl w:val="1"/>
        <w:rPr>
          <w:rFonts w:hint="eastAsia" w:ascii="仿宋" w:hAnsi="仿宋" w:eastAsia="仿宋" w:cs="仿宋"/>
          <w:b/>
          <w:sz w:val="32"/>
          <w:szCs w:val="32"/>
          <w:lang w:val="en-US" w:eastAsia="zh-CN"/>
        </w:rPr>
      </w:pPr>
      <w:r>
        <w:rPr>
          <w:rFonts w:hint="eastAsia" w:ascii="仿宋" w:hAnsi="仿宋" w:eastAsia="仿宋" w:cs="仿宋"/>
          <w:b/>
          <w:sz w:val="32"/>
          <w:szCs w:val="32"/>
        </w:rPr>
        <w:t>（三）</w:t>
      </w:r>
      <w:bookmarkEnd w:id="12"/>
      <w:r>
        <w:rPr>
          <w:rFonts w:hint="eastAsia" w:ascii="仿宋" w:hAnsi="仿宋" w:eastAsia="仿宋" w:cs="仿宋"/>
          <w:b/>
          <w:sz w:val="32"/>
          <w:szCs w:val="32"/>
        </w:rPr>
        <w:t>奖项设置</w:t>
      </w:r>
      <w:r>
        <w:rPr>
          <w:rFonts w:hint="eastAsia" w:ascii="仿宋" w:hAnsi="仿宋" w:eastAsia="仿宋" w:cs="仿宋"/>
          <w:b/>
          <w:sz w:val="32"/>
          <w:szCs w:val="32"/>
          <w:lang w:val="en-US" w:eastAsia="zh-CN"/>
        </w:rPr>
        <w:t>与表彰</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150"/>
        <w:textAlignment w:val="auto"/>
        <w:rPr>
          <w:rFonts w:hint="eastAsia" w:ascii="仿宋" w:hAnsi="仿宋" w:eastAsia="仿宋" w:cs="仿宋"/>
          <w:sz w:val="32"/>
          <w:szCs w:val="32"/>
        </w:rPr>
      </w:pPr>
      <w:bookmarkStart w:id="13" w:name="_Toc61004422"/>
      <w:r>
        <w:rPr>
          <w:rFonts w:hint="eastAsia" w:ascii="仿宋" w:hAnsi="仿宋" w:eastAsia="仿宋" w:cs="仿宋"/>
          <w:sz w:val="32"/>
          <w:szCs w:val="32"/>
        </w:rPr>
        <w:t>1.参赛选手奖</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rPr>
        <w:t>本赛项奖项设团体奖。以赛项实际参赛队总数为基数，一、二、三等奖获奖比例分别为10%、20%、30%（小数点后四舍五入）。</w:t>
      </w:r>
      <w:r>
        <w:rPr>
          <w:rFonts w:hint="eastAsia" w:ascii="仿宋" w:hAnsi="仿宋" w:eastAsia="仿宋" w:cs="仿宋"/>
          <w:sz w:val="32"/>
          <w:szCs w:val="32"/>
          <w:lang w:val="en-US" w:eastAsia="zh-CN"/>
        </w:rPr>
        <w:t>当选手成绩排名在获奖比例内，但比赛分数低于本赛项最高分数60%的不能获奖。</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textAlignment w:val="auto"/>
        <w:rPr>
          <w:rFonts w:hint="eastAsia" w:ascii="仿宋" w:hAnsi="仿宋" w:eastAsia="仿宋" w:cs="仿宋"/>
          <w:sz w:val="32"/>
          <w:szCs w:val="32"/>
        </w:rPr>
      </w:pPr>
      <w:r>
        <w:rPr>
          <w:rFonts w:hint="eastAsia" w:ascii="仿宋" w:hAnsi="仿宋" w:eastAsia="仿宋" w:cs="仿宋"/>
          <w:sz w:val="32"/>
          <w:szCs w:val="32"/>
        </w:rPr>
        <w:t>获奖选手及指导老师由组委会颁发荣誉证书。</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outlineLvl w:val="0"/>
        <w:rPr>
          <w:rFonts w:hint="eastAsia" w:ascii="仿宋" w:hAnsi="仿宋" w:eastAsia="仿宋" w:cs="仿宋"/>
          <w:b/>
          <w:sz w:val="32"/>
          <w:szCs w:val="32"/>
        </w:rPr>
      </w:pPr>
      <w:r>
        <w:rPr>
          <w:rFonts w:hint="eastAsia" w:ascii="仿宋" w:hAnsi="仿宋" w:eastAsia="仿宋" w:cs="仿宋"/>
          <w:b/>
          <w:sz w:val="32"/>
          <w:szCs w:val="32"/>
        </w:rPr>
        <w:t>十</w:t>
      </w:r>
      <w:r>
        <w:rPr>
          <w:rFonts w:hint="eastAsia" w:ascii="仿宋" w:hAnsi="仿宋" w:eastAsia="仿宋" w:cs="仿宋"/>
          <w:b/>
          <w:sz w:val="32"/>
          <w:szCs w:val="32"/>
          <w:lang w:val="en-US" w:eastAsia="zh-CN"/>
        </w:rPr>
        <w:t>一</w:t>
      </w:r>
      <w:r>
        <w:rPr>
          <w:rFonts w:hint="eastAsia" w:ascii="仿宋" w:hAnsi="仿宋" w:eastAsia="仿宋" w:cs="仿宋"/>
          <w:b/>
          <w:sz w:val="32"/>
          <w:szCs w:val="32"/>
        </w:rPr>
        <w:t>、赛场预案</w:t>
      </w:r>
      <w:bookmarkEnd w:id="13"/>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针对竞赛过程中可能出现的不可控因素，制定以下预案。如竞赛场地电脑出现故障，遵循以下处理办法和程序。</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参赛选手举手示意裁判员，经裁判员/技术人员确认非人为因素造成故障，予以启用备用电脑（如需将原电脑中的文件转移至备用电脑上，需由裁判员/技术人员负责处理，如果文件不能恢复，视为不可抗力因素），继续完成答题，裁判员应安抚学生情绪并做好情况记录工作。</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outlineLvl w:val="0"/>
        <w:rPr>
          <w:rFonts w:hint="eastAsia" w:ascii="仿宋" w:hAnsi="仿宋" w:eastAsia="仿宋" w:cs="仿宋"/>
          <w:b/>
          <w:sz w:val="32"/>
          <w:szCs w:val="32"/>
        </w:rPr>
      </w:pPr>
      <w:bookmarkStart w:id="14" w:name="_Toc61004423"/>
      <w:r>
        <w:rPr>
          <w:rFonts w:hint="eastAsia" w:ascii="仿宋" w:hAnsi="仿宋" w:eastAsia="仿宋" w:cs="仿宋"/>
          <w:b/>
          <w:sz w:val="32"/>
          <w:szCs w:val="32"/>
        </w:rPr>
        <w:t>十</w:t>
      </w:r>
      <w:r>
        <w:rPr>
          <w:rFonts w:hint="eastAsia" w:ascii="仿宋" w:hAnsi="仿宋" w:eastAsia="仿宋" w:cs="仿宋"/>
          <w:b/>
          <w:sz w:val="32"/>
          <w:szCs w:val="32"/>
          <w:lang w:val="en-US" w:eastAsia="zh-CN"/>
        </w:rPr>
        <w:t>二</w:t>
      </w:r>
      <w:r>
        <w:rPr>
          <w:rFonts w:hint="eastAsia" w:ascii="仿宋" w:hAnsi="仿宋" w:eastAsia="仿宋" w:cs="仿宋"/>
          <w:b/>
          <w:sz w:val="32"/>
          <w:szCs w:val="32"/>
        </w:rPr>
        <w:t>、赛项安全</w:t>
      </w:r>
      <w:bookmarkEnd w:id="14"/>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赛事安全是技能竞赛一切工作顺利开展的先决条件，是赛事筹备和运行工作必须考虑的核心问题。赛项组委会采取切实有效措施保证大赛期间参赛选手、指导教师、工作人员及观众的人身安全。</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（一）比赛环境</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1.赛场的布置，赛场内的器材、设备，应符合国家防疫要求及有关安全规定。如有必要，也可进行赛场仿真模拟测试，以发现可能出现的问题。承办单位赛前须按照组委会要求排除安全隐患。</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2.赛场周围要设立警戒线，防止无关人员进入发生意外事件。</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3.承办单位应提供保证应急预案实施的条件。对于比赛内容涉及高空作业、可能有坠物、大用电量、易发生火灾等情况的赛项，必须明确制度和预案，并配备急救人员与设施。</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4.大赛期间，承办单位须在赛场管理的关键岗位，增加力量，建立安全管理日志。</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5</w:t>
      </w:r>
      <w:r>
        <w:rPr>
          <w:rFonts w:hint="eastAsia" w:ascii="仿宋" w:hAnsi="仿宋" w:eastAsia="仿宋" w:cs="仿宋"/>
          <w:sz w:val="32"/>
          <w:szCs w:val="32"/>
        </w:rPr>
        <w:t>.参赛选手进入赛位，赛事裁判及工作人员进入竞赛场所，严禁携带通讯、照相摄录设备，禁止携带记录用具。如确有需要，由赛场统一配置、统一管理。赛项可根据需要配置安检设备对进入赛场重要部位的人员进行安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二</w:t>
      </w:r>
      <w:r>
        <w:rPr>
          <w:rFonts w:hint="eastAsia" w:ascii="仿宋" w:hAnsi="仿宋" w:eastAsia="仿宋" w:cs="仿宋"/>
          <w:sz w:val="32"/>
          <w:szCs w:val="32"/>
        </w:rPr>
        <w:t>）组队责任</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1.各学校组织代表队时，须安排为参赛选手购买大赛期间的人身意外伤害保险。</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2.各学校代表队组成后，须制定相关管理制度，并对所有选手、指导教师进行安全教育。</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3.各参赛队伍须加强对参与比赛人员的安全管理，实现与赛场安全管理的对接。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三</w:t>
      </w:r>
      <w:r>
        <w:rPr>
          <w:rFonts w:hint="eastAsia" w:ascii="仿宋" w:hAnsi="仿宋" w:eastAsia="仿宋" w:cs="仿宋"/>
          <w:sz w:val="32"/>
          <w:szCs w:val="32"/>
        </w:rPr>
        <w:t>）应急处理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比赛期间发生意外事故，发现者应第一时间报告赛项组委会，同时采取措施避免事态扩大。赛项组委会应立即启动预案予以解决并上报上级主管机构。赛项出现重大安全问题可以停赛，是否停赛由赛项组委会决定。事后，赛项组委会应向上级主管机构报告详细情况。</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四</w:t>
      </w:r>
      <w:r>
        <w:rPr>
          <w:rFonts w:hint="eastAsia" w:ascii="仿宋" w:hAnsi="仿宋" w:eastAsia="仿宋" w:cs="仿宋"/>
          <w:sz w:val="32"/>
          <w:szCs w:val="32"/>
        </w:rPr>
        <w:t>）处罚措施</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1.因参赛队伍原因造成重大安全事故的，取消其获奖资格。</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2.参赛队伍有发生重大安全事故隐患，经赛场工作人员提示、警告无效的，可取消其继续比赛的资格。</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3.赛事工作人员违规的，按照相应的制度追究责任。情节恶劣并造成重大安全事故的，由司法机关追究相应法律责任。</w:t>
      </w:r>
    </w:p>
    <w:p>
      <w:pPr>
        <w:keepNext w:val="0"/>
        <w:keepLines w:val="0"/>
        <w:pageBreakBefore w:val="0"/>
        <w:widowControl w:val="0"/>
        <w:kinsoku/>
        <w:wordWrap/>
        <w:overflowPunct/>
        <w:topLinePunct w:val="0"/>
        <w:autoSpaceDE/>
        <w:autoSpaceDN/>
        <w:bidi w:val="0"/>
        <w:adjustRightInd/>
        <w:snapToGrid/>
        <w:spacing w:line="600" w:lineRule="exact"/>
        <w:textAlignment w:val="auto"/>
        <w:outlineLvl w:val="0"/>
        <w:rPr>
          <w:rFonts w:hint="eastAsia" w:ascii="仿宋" w:hAnsi="仿宋" w:eastAsia="仿宋" w:cs="仿宋"/>
          <w:b/>
          <w:sz w:val="32"/>
          <w:szCs w:val="32"/>
        </w:rPr>
      </w:pPr>
      <w:bookmarkStart w:id="15" w:name="_Toc61004424"/>
      <w:r>
        <w:rPr>
          <w:rFonts w:hint="eastAsia" w:ascii="仿宋" w:hAnsi="仿宋" w:eastAsia="仿宋" w:cs="仿宋"/>
          <w:b/>
          <w:sz w:val="32"/>
          <w:szCs w:val="32"/>
        </w:rPr>
        <w:t>十</w:t>
      </w:r>
      <w:r>
        <w:rPr>
          <w:rFonts w:hint="eastAsia" w:ascii="仿宋" w:hAnsi="仿宋" w:eastAsia="仿宋" w:cs="仿宋"/>
          <w:b/>
          <w:sz w:val="32"/>
          <w:szCs w:val="32"/>
          <w:lang w:val="en-US" w:eastAsia="zh-CN"/>
        </w:rPr>
        <w:t>三</w:t>
      </w:r>
      <w:r>
        <w:rPr>
          <w:rFonts w:hint="eastAsia" w:ascii="仿宋" w:hAnsi="仿宋" w:eastAsia="仿宋" w:cs="仿宋"/>
          <w:b/>
          <w:sz w:val="32"/>
          <w:szCs w:val="32"/>
        </w:rPr>
        <w:t>、竞赛须知</w:t>
      </w:r>
      <w:bookmarkEnd w:id="15"/>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（一）参赛队须知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1.参赛队名称统一使用学校名称；不接受跨校组队报名。</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2.参赛队员在报名获得审核确认后，原则上不再更换，如筹备过程中，队员因故不能参赛，须由学校行政部门于相应赛项开赛</w:t>
      </w:r>
      <w:r>
        <w:rPr>
          <w:rFonts w:hint="eastAsia" w:ascii="仿宋" w:hAnsi="仿宋" w:eastAsia="仿宋" w:cs="仿宋"/>
          <w:sz w:val="32"/>
          <w:szCs w:val="32"/>
          <w:lang w:val="en-US" w:eastAsia="zh-CN"/>
        </w:rPr>
        <w:t>2</w:t>
      </w:r>
      <w:r>
        <w:rPr>
          <w:rFonts w:hint="eastAsia" w:ascii="仿宋" w:hAnsi="仿宋" w:eastAsia="仿宋" w:cs="仿宋"/>
          <w:sz w:val="32"/>
          <w:szCs w:val="32"/>
        </w:rPr>
        <w:t>个工作日之前出具书面说明，经大赛组委会办公室核实后予以更换；竞赛开始后，参赛队不得更换参赛队员，允许队员缺席比赛。</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3.参赛队按照大赛赛程安排，凭大赛组委会颁发的参赛证和有效身份证件参加比赛及相关活动。</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（二）指导教师须知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1.各参赛代表队要发扬良好道德风尚，听从指挥，服从裁判，不弄虚作假。如发现弄虚作假者，取消参赛资格，名次无效。</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2.各代表队领队要坚决执行竞赛的各项规定，加强对参赛人员的管理，做好赛前准备工作，督促选手带好证件等竞赛相关材料。</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3.竞赛过程中，除参加当场次竞赛的选手、执行裁判员、现场工作人员和经批准的人员外，领队、指导教师及其他人员一律不得进入竞赛场地。</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4.参赛代表队若对竞赛过程有异议，在规定的时间内由领队向赛项仲裁工作组提出书面报告。</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5.对申诉的仲裁结果，领队要带头服从和执行，并做好选手工作。参赛选手不得因申诉或对处理意见不服而停止竞赛，否则以弃权处理。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6.指导老师应及时查看有关赛项的通知和内容，认真研究和掌握本赛项竞赛的规程、技术规范和赛场要求，指导选手做好赛前的一切技术准备和竞赛准备。</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（三）参赛选手须知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1.参赛选手应按有关要求如实填报个人信息，否则取消竞赛资格。</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2.参赛选手凭统一印制的参赛证和有效身份证件参加竞赛。</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3.参赛选手应认真学习领会本次竞赛相关文件，自觉遵守大赛纪律，服从指挥，听从安排，文明参赛。</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4.参赛选手请勿携带与竞赛无关的电子设备、通讯设备及其他资料与用品。</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5．参赛选手应提前15分钟抵达赛场，凭参赛证、身份证件检录，按要求入场，不得迟到早退。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6.参赛选手应按抽签结果在指定位置就座。</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7.参赛选手须在确认竞赛内容和现场设备等无误后开始竞赛。在竞赛过程中，如有疑问，参赛选手应持“咨询”示意牌示意，项目裁判长应按照有关要求及时予以答疑。如遇设备或软件等故障，参赛选手应持“故障”示意牌示意。项目裁判长、技术人员等应及时予以解决。确因计算机软件或硬件故障，致使操作无法继续的，经项目裁判长确认，予以启用备用计算机。如遇身体不适，参赛选手应持“医务”示意牌示意，现场医务人员按应急预案救治。</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8.各参赛选手必须按规范要求操作竞赛设备。一旦出现较严重的安全事故，经裁判长批准后将立即取消其参赛资格。</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9.竞赛时间终了，选手应全体起立，结束操作。</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10.在竞赛期间，未经执委会的批准，参赛选手不得接受其他单位和个人进行的与竞赛内容相关的采访。参赛选手不得将竞赛的相关信息私自公布。</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（四）工作人员须知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1.工作人员必须统一佩戴由大赛组委会签发的相应证件，着装整齐。</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2.工作人员不得影响参赛选手比赛，不允许有影响比赛公平的行为。</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3.服从领导，听从指挥，以高度负责的精神、严肃认真的态度做好各项工作。</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4.熟悉比赛规程，认真遵守各项比赛规则和工作要求。</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5.坚守岗位，如有急事需要离开岗位时，应经领导同意，并做好工作衔接。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6．严格遵守比赛纪律，如发现其他人员有违反比赛纪律的行为，应予以制止。情节严重的，应向竞赛组委会反映。</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7.发扬无私奉献和团结协作的精神，提供热情、优质服务。</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outlineLvl w:val="0"/>
        <w:rPr>
          <w:rFonts w:hint="eastAsia" w:ascii="仿宋" w:hAnsi="仿宋" w:eastAsia="仿宋" w:cs="仿宋"/>
          <w:b/>
          <w:sz w:val="32"/>
          <w:szCs w:val="32"/>
        </w:rPr>
      </w:pPr>
      <w:bookmarkStart w:id="16" w:name="_Toc61004425"/>
      <w:r>
        <w:rPr>
          <w:rFonts w:hint="eastAsia" w:ascii="仿宋" w:hAnsi="仿宋" w:eastAsia="仿宋" w:cs="仿宋"/>
          <w:b/>
          <w:sz w:val="32"/>
          <w:szCs w:val="32"/>
        </w:rPr>
        <w:t>十</w:t>
      </w:r>
      <w:r>
        <w:rPr>
          <w:rFonts w:hint="eastAsia" w:ascii="仿宋" w:hAnsi="仿宋" w:eastAsia="仿宋" w:cs="仿宋"/>
          <w:b/>
          <w:sz w:val="32"/>
          <w:szCs w:val="32"/>
          <w:lang w:val="en-US" w:eastAsia="zh-CN"/>
        </w:rPr>
        <w:t>四</w:t>
      </w:r>
      <w:r>
        <w:rPr>
          <w:rFonts w:hint="eastAsia" w:ascii="仿宋" w:hAnsi="仿宋" w:eastAsia="仿宋" w:cs="仿宋"/>
          <w:b/>
          <w:sz w:val="32"/>
          <w:szCs w:val="32"/>
        </w:rPr>
        <w:t>、申诉与仲裁</w:t>
      </w:r>
      <w:bookmarkEnd w:id="16"/>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本赛项在比赛过程中若出现有失公正或有关人员违规等现象，代表队领队可在比赛结束后1小时之内向仲裁组提出书面申诉。赛项仲裁工作组在接到申诉后的2小时内组织复议，并及时反馈复议结果。赛项仲裁工作组的仲裁结果为最终结果。</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b/>
          <w:sz w:val="32"/>
          <w:szCs w:val="32"/>
          <w:lang w:val="en-US" w:eastAsia="zh-CN"/>
        </w:rPr>
      </w:pPr>
      <w:r>
        <w:rPr>
          <w:rFonts w:hint="eastAsia" w:ascii="仿宋" w:hAnsi="仿宋" w:eastAsia="仿宋" w:cs="仿宋"/>
          <w:b/>
          <w:bCs/>
          <w:sz w:val="32"/>
          <w:szCs w:val="32"/>
          <w:lang w:eastAsia="zh-CN"/>
        </w:rPr>
        <w:t>十五、</w:t>
      </w:r>
      <w:r>
        <w:rPr>
          <w:rFonts w:hint="eastAsia" w:ascii="仿宋" w:hAnsi="仿宋" w:eastAsia="仿宋" w:cs="仿宋"/>
          <w:b/>
          <w:bCs/>
          <w:sz w:val="32"/>
          <w:szCs w:val="32"/>
          <w:lang w:val="en-US" w:eastAsia="zh-CN"/>
        </w:rPr>
        <w:t>竞</w:t>
      </w:r>
      <w:r>
        <w:rPr>
          <w:rFonts w:hint="eastAsia" w:ascii="仿宋" w:hAnsi="仿宋" w:eastAsia="仿宋" w:cs="仿宋"/>
          <w:b/>
          <w:sz w:val="32"/>
          <w:szCs w:val="32"/>
          <w:lang w:val="en-US" w:eastAsia="zh-CN"/>
        </w:rPr>
        <w:t>赛项目组织与管理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lang w:val="en-US"/>
        </w:rPr>
      </w:pPr>
      <w:r>
        <w:rPr>
          <w:rFonts w:hint="eastAsia" w:ascii="仿宋" w:hAnsi="仿宋" w:eastAsia="仿宋" w:cs="仿宋"/>
          <w:sz w:val="32"/>
          <w:szCs w:val="32"/>
          <w:lang w:val="en-US" w:eastAsia="zh-CN"/>
        </w:rPr>
        <w:t>本赛项由海南省教育厅、海南省人力资源和社会保障厅联合主办，海南经贸职业技术学院承办。</w:t>
      </w:r>
    </w:p>
    <w:p>
      <w:pPr>
        <w:ind w:firstLine="640" w:firstLineChars="200"/>
        <w:rPr>
          <w:rFonts w:hint="eastAsia" w:ascii="仿宋" w:hAnsi="仿宋" w:eastAsia="仿宋" w:cs="仿宋"/>
          <w:sz w:val="32"/>
          <w:szCs w:val="32"/>
        </w:rPr>
      </w:pPr>
    </w:p>
    <w:p>
      <w:pPr>
        <w:ind w:firstLine="640" w:firstLineChars="200"/>
        <w:rPr>
          <w:rFonts w:hint="eastAsia" w:ascii="仿宋" w:hAnsi="仿宋" w:eastAsia="仿宋" w:cs="仿宋"/>
          <w:sz w:val="32"/>
          <w:szCs w:val="32"/>
        </w:rPr>
      </w:pPr>
    </w:p>
    <w:p>
      <w:pPr>
        <w:rPr>
          <w:rFonts w:hint="eastAsia" w:ascii="仿宋" w:hAnsi="仿宋" w:eastAsia="仿宋" w:cs="仿宋"/>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BED777"/>
    <w:multiLevelType w:val="singleLevel"/>
    <w:tmpl w:val="13BED777"/>
    <w:lvl w:ilvl="0" w:tentative="0">
      <w:start w:val="2"/>
      <w:numFmt w:val="decimal"/>
      <w:suff w:val="nothing"/>
      <w:lvlText w:val="%1．"/>
      <w:lvlJc w:val="left"/>
      <w:pPr>
        <w:ind w:left="36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636B"/>
    <w:rsid w:val="00004DDA"/>
    <w:rsid w:val="000B654B"/>
    <w:rsid w:val="00193E78"/>
    <w:rsid w:val="001973C2"/>
    <w:rsid w:val="00230789"/>
    <w:rsid w:val="00270E5C"/>
    <w:rsid w:val="002A483C"/>
    <w:rsid w:val="00327EB0"/>
    <w:rsid w:val="003513CA"/>
    <w:rsid w:val="005156E1"/>
    <w:rsid w:val="0054694B"/>
    <w:rsid w:val="005472C0"/>
    <w:rsid w:val="0057636B"/>
    <w:rsid w:val="00663395"/>
    <w:rsid w:val="006F0122"/>
    <w:rsid w:val="00752A7E"/>
    <w:rsid w:val="007D1745"/>
    <w:rsid w:val="00843B33"/>
    <w:rsid w:val="00860A83"/>
    <w:rsid w:val="0087577A"/>
    <w:rsid w:val="008D233E"/>
    <w:rsid w:val="0096508A"/>
    <w:rsid w:val="009B377A"/>
    <w:rsid w:val="009D72BE"/>
    <w:rsid w:val="00A22203"/>
    <w:rsid w:val="00AC78DD"/>
    <w:rsid w:val="00C107B3"/>
    <w:rsid w:val="00C574F0"/>
    <w:rsid w:val="00CE581C"/>
    <w:rsid w:val="00D02BAD"/>
    <w:rsid w:val="00D264E6"/>
    <w:rsid w:val="00D56812"/>
    <w:rsid w:val="00D661DE"/>
    <w:rsid w:val="00DB42F7"/>
    <w:rsid w:val="00E545B3"/>
    <w:rsid w:val="00E6499F"/>
    <w:rsid w:val="00F03717"/>
    <w:rsid w:val="00FA2714"/>
    <w:rsid w:val="0A232418"/>
    <w:rsid w:val="0A8955D8"/>
    <w:rsid w:val="0CD52981"/>
    <w:rsid w:val="1AE029AA"/>
    <w:rsid w:val="1E056EFC"/>
    <w:rsid w:val="2B213AFC"/>
    <w:rsid w:val="2C3C0807"/>
    <w:rsid w:val="2DB50F1A"/>
    <w:rsid w:val="35603DA7"/>
    <w:rsid w:val="3A780CA6"/>
    <w:rsid w:val="3D2B1B55"/>
    <w:rsid w:val="3D942B71"/>
    <w:rsid w:val="40E70146"/>
    <w:rsid w:val="44DE410F"/>
    <w:rsid w:val="454F10E2"/>
    <w:rsid w:val="4E960C1E"/>
    <w:rsid w:val="52602DB5"/>
    <w:rsid w:val="55CA49C1"/>
    <w:rsid w:val="579C6781"/>
    <w:rsid w:val="703B3485"/>
    <w:rsid w:val="758D2413"/>
    <w:rsid w:val="76A9540A"/>
    <w:rsid w:val="78CA07FE"/>
    <w:rsid w:val="794D45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11"/>
    <w:qFormat/>
    <w:uiPriority w:val="9"/>
    <w:pPr>
      <w:keepNext/>
      <w:keepLines/>
      <w:spacing w:before="340" w:after="330" w:line="480" w:lineRule="auto"/>
      <w:outlineLvl w:val="0"/>
    </w:pPr>
    <w:rPr>
      <w:rFonts w:eastAsia="仿宋"/>
      <w:b/>
      <w:bCs/>
      <w:kern w:val="44"/>
      <w:sz w:val="28"/>
      <w:szCs w:val="44"/>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Document Map"/>
    <w:basedOn w:val="1"/>
    <w:link w:val="15"/>
    <w:semiHidden/>
    <w:unhideWhenUsed/>
    <w:qFormat/>
    <w:uiPriority w:val="99"/>
    <w:rPr>
      <w:rFonts w:ascii="宋体"/>
      <w:sz w:val="18"/>
      <w:szCs w:val="18"/>
    </w:rPr>
  </w:style>
  <w:style w:type="paragraph" w:styleId="4">
    <w:name w:val="Balloon Text"/>
    <w:basedOn w:val="1"/>
    <w:link w:val="14"/>
    <w:semiHidden/>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99"/>
    <w:pPr>
      <w:widowControl/>
      <w:spacing w:before="100" w:beforeAutospacing="1" w:after="100" w:afterAutospacing="1"/>
      <w:jc w:val="left"/>
    </w:pPr>
    <w:rPr>
      <w:rFonts w:ascii="宋体" w:hAnsi="宋体" w:cs="宋体"/>
      <w:kern w:val="0"/>
      <w:sz w:val="24"/>
    </w:rPr>
  </w:style>
  <w:style w:type="table" w:styleId="9">
    <w:name w:val="Table Grid"/>
    <w:basedOn w:val="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标题 1 Char"/>
    <w:basedOn w:val="10"/>
    <w:link w:val="2"/>
    <w:qFormat/>
    <w:uiPriority w:val="9"/>
    <w:rPr>
      <w:rFonts w:ascii="Calibri" w:hAnsi="Calibri" w:eastAsia="仿宋" w:cs="Times New Roman"/>
      <w:b/>
      <w:bCs/>
      <w:kern w:val="44"/>
      <w:sz w:val="28"/>
      <w:szCs w:val="44"/>
    </w:rPr>
  </w:style>
  <w:style w:type="character" w:customStyle="1" w:styleId="12">
    <w:name w:val="页脚 Char"/>
    <w:basedOn w:val="10"/>
    <w:link w:val="5"/>
    <w:qFormat/>
    <w:uiPriority w:val="99"/>
    <w:rPr>
      <w:rFonts w:ascii="Calibri" w:hAnsi="Calibri" w:eastAsia="宋体" w:cs="Times New Roman"/>
      <w:sz w:val="18"/>
      <w:szCs w:val="18"/>
    </w:rPr>
  </w:style>
  <w:style w:type="character" w:customStyle="1" w:styleId="13">
    <w:name w:val="页眉 Char"/>
    <w:basedOn w:val="10"/>
    <w:link w:val="6"/>
    <w:qFormat/>
    <w:uiPriority w:val="99"/>
    <w:rPr>
      <w:rFonts w:ascii="Calibri" w:hAnsi="Calibri" w:eastAsia="宋体" w:cs="Times New Roman"/>
      <w:sz w:val="18"/>
      <w:szCs w:val="18"/>
    </w:rPr>
  </w:style>
  <w:style w:type="character" w:customStyle="1" w:styleId="14">
    <w:name w:val="批注框文本 Char"/>
    <w:basedOn w:val="10"/>
    <w:link w:val="4"/>
    <w:semiHidden/>
    <w:qFormat/>
    <w:uiPriority w:val="99"/>
    <w:rPr>
      <w:rFonts w:ascii="Calibri" w:hAnsi="Calibri" w:eastAsia="宋体" w:cs="Times New Roman"/>
      <w:sz w:val="18"/>
      <w:szCs w:val="18"/>
    </w:rPr>
  </w:style>
  <w:style w:type="character" w:customStyle="1" w:styleId="15">
    <w:name w:val="文档结构图 Char"/>
    <w:basedOn w:val="10"/>
    <w:link w:val="3"/>
    <w:semiHidden/>
    <w:qFormat/>
    <w:uiPriority w:val="99"/>
    <w:rPr>
      <w:rFonts w:ascii="宋体" w:hAnsi="Calibri"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3.wmf"/><Relationship Id="rId8" Type="http://schemas.openxmlformats.org/officeDocument/2006/relationships/oleObject" Target="embeddings/oleObject3.bin"/><Relationship Id="rId7" Type="http://schemas.openxmlformats.org/officeDocument/2006/relationships/image" Target="media/image2.wmf"/><Relationship Id="rId6" Type="http://schemas.openxmlformats.org/officeDocument/2006/relationships/oleObject" Target="embeddings/oleObject2.bin"/><Relationship Id="rId5" Type="http://schemas.openxmlformats.org/officeDocument/2006/relationships/image" Target="media/image1.wmf"/><Relationship Id="rId4" Type="http://schemas.openxmlformats.org/officeDocument/2006/relationships/oleObject" Target="embeddings/oleObject1.bin"/><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theme" Target="theme/theme1.xml"/><Relationship Id="rId29" Type="http://schemas.openxmlformats.org/officeDocument/2006/relationships/customXml" Target="../customXml/item1.xml"/><Relationship Id="rId28" Type="http://schemas.openxmlformats.org/officeDocument/2006/relationships/image" Target="media/image13.wmf"/><Relationship Id="rId27" Type="http://schemas.openxmlformats.org/officeDocument/2006/relationships/oleObject" Target="embeddings/oleObject12.bin"/><Relationship Id="rId26" Type="http://schemas.openxmlformats.org/officeDocument/2006/relationships/image" Target="media/image12.wmf"/><Relationship Id="rId25" Type="http://schemas.openxmlformats.org/officeDocument/2006/relationships/oleObject" Target="embeddings/oleObject11.bin"/><Relationship Id="rId24" Type="http://schemas.openxmlformats.org/officeDocument/2006/relationships/image" Target="media/image11.png"/><Relationship Id="rId23" Type="http://schemas.openxmlformats.org/officeDocument/2006/relationships/image" Target="media/image10.wmf"/><Relationship Id="rId22" Type="http://schemas.openxmlformats.org/officeDocument/2006/relationships/oleObject" Target="embeddings/oleObject10.bin"/><Relationship Id="rId21" Type="http://schemas.openxmlformats.org/officeDocument/2006/relationships/image" Target="media/image9.wmf"/><Relationship Id="rId20" Type="http://schemas.openxmlformats.org/officeDocument/2006/relationships/oleObject" Target="embeddings/oleObject9.bin"/><Relationship Id="rId2" Type="http://schemas.openxmlformats.org/officeDocument/2006/relationships/settings" Target="settings.xml"/><Relationship Id="rId19" Type="http://schemas.openxmlformats.org/officeDocument/2006/relationships/image" Target="media/image8.wmf"/><Relationship Id="rId18" Type="http://schemas.openxmlformats.org/officeDocument/2006/relationships/oleObject" Target="embeddings/oleObject8.bin"/><Relationship Id="rId17" Type="http://schemas.openxmlformats.org/officeDocument/2006/relationships/image" Target="media/image7.wmf"/><Relationship Id="rId16" Type="http://schemas.openxmlformats.org/officeDocument/2006/relationships/oleObject" Target="embeddings/oleObject7.bin"/><Relationship Id="rId15" Type="http://schemas.openxmlformats.org/officeDocument/2006/relationships/image" Target="media/image6.wmf"/><Relationship Id="rId14" Type="http://schemas.openxmlformats.org/officeDocument/2006/relationships/oleObject" Target="embeddings/oleObject6.bin"/><Relationship Id="rId13" Type="http://schemas.openxmlformats.org/officeDocument/2006/relationships/image" Target="media/image5.wmf"/><Relationship Id="rId12" Type="http://schemas.openxmlformats.org/officeDocument/2006/relationships/oleObject" Target="embeddings/oleObject5.bin"/><Relationship Id="rId11" Type="http://schemas.openxmlformats.org/officeDocument/2006/relationships/image" Target="media/image4.wmf"/><Relationship Id="rId10" Type="http://schemas.openxmlformats.org/officeDocument/2006/relationships/oleObject" Target="embeddings/oleObject4.bin"/><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27</Pages>
  <Words>10261</Words>
  <Characters>10958</Characters>
  <Lines>92</Lines>
  <Paragraphs>25</Paragraphs>
  <TotalTime>11</TotalTime>
  <ScaleCrop>false</ScaleCrop>
  <LinksUpToDate>false</LinksUpToDate>
  <CharactersWithSpaces>11053</CharactersWithSpaces>
  <Application>WPS Office_11.1.0.10577_F1E327BC-269C-435d-A152-05C5408002CA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2021-04-26T04:40:00Z</dcterms:created>
  <dc:creator>admin</dc:creator>
  <cp:lastModifiedBy>琼中绿橙</cp:lastModifiedBy>
  <dcterms:modified xsi:type="dcterms:W3CDTF">2021-06-30T03:14:43Z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2052-11.1.0.10577</vt:lpwstr>
  </property>
  <property fmtid="{D5CDD505-2E9C-101B-9397-08002B2CF9AE}" pid="3" name="ICV">
    <vt:lpwstr>3774B1EA848D4C65A2A9A00D79331815</vt:lpwstr>
  </property>
</Properties>
</file>