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ascii="仿宋" w:hAnsi="仿宋" w:eastAsia="仿宋"/>
          <w:b/>
          <w:sz w:val="36"/>
          <w:szCs w:val="36"/>
        </w:rPr>
      </w:pPr>
      <w:r>
        <w:rPr>
          <w:rFonts w:hint="eastAsia" w:ascii="仿宋" w:hAnsi="仿宋" w:eastAsia="仿宋" w:cs="宋体"/>
          <w:b/>
          <w:color w:val="auto"/>
          <w:sz w:val="36"/>
          <w:szCs w:val="36"/>
        </w:rPr>
        <w:t>20</w:t>
      </w:r>
      <w:r>
        <w:rPr>
          <w:rFonts w:hint="eastAsia" w:ascii="仿宋" w:hAnsi="仿宋" w:eastAsia="仿宋" w:cs="宋体"/>
          <w:b/>
          <w:color w:val="auto"/>
          <w:sz w:val="36"/>
          <w:szCs w:val="36"/>
          <w:lang w:val="en-US" w:eastAsia="zh-CN"/>
        </w:rPr>
        <w:t>21</w:t>
      </w:r>
      <w:r>
        <w:rPr>
          <w:rFonts w:hint="eastAsia" w:ascii="仿宋" w:hAnsi="仿宋" w:eastAsia="仿宋" w:cs="宋体"/>
          <w:b/>
          <w:sz w:val="36"/>
          <w:szCs w:val="36"/>
        </w:rPr>
        <w:t>年海南省职业院校技能大赛高职组</w:t>
      </w:r>
    </w:p>
    <w:p>
      <w:pPr>
        <w:snapToGrid w:val="0"/>
        <w:spacing w:line="540" w:lineRule="exact"/>
        <w:jc w:val="center"/>
        <w:rPr>
          <w:rFonts w:ascii="仿宋" w:hAnsi="仿宋" w:eastAsia="仿宋" w:cs="宋体"/>
          <w:b/>
          <w:sz w:val="36"/>
          <w:szCs w:val="36"/>
        </w:rPr>
      </w:pPr>
      <w:r>
        <w:rPr>
          <w:rFonts w:hint="eastAsia" w:ascii="仿宋" w:hAnsi="仿宋" w:eastAsia="仿宋" w:cs="宋体"/>
          <w:b/>
          <w:sz w:val="36"/>
          <w:szCs w:val="36"/>
        </w:rPr>
        <w:t>“电子产品芯片级检测维修与数据恢复”赛项规程</w:t>
      </w:r>
    </w:p>
    <w:p>
      <w:pPr>
        <w:pStyle w:val="2"/>
        <w:keepNext w:val="0"/>
        <w:keepLines w:val="0"/>
        <w:adjustRightInd w:val="0"/>
        <w:snapToGrid w:val="0"/>
        <w:spacing w:before="0" w:after="0" w:line="560" w:lineRule="exact"/>
        <w:rPr>
          <w:rFonts w:ascii="仿宋" w:hAnsi="仿宋" w:eastAsia="仿宋" w:cs="宋体"/>
          <w:bCs w:val="0"/>
          <w:color w:val="000000"/>
          <w:kern w:val="0"/>
          <w:sz w:val="28"/>
          <w:szCs w:val="28"/>
        </w:rPr>
      </w:pP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一、赛项名称</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赛项名称：电子产品芯片级检测维修与数据恢复</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英语翻译：Electronic Products Chip-Level Diagnostics, Reparation, and Data Recovery</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赛项组别：高职组</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赛项归属产业：电子信息</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二、竞赛目的</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本赛项以我国电子信息产业发展的人才需求为依托，以电子产品主板芯片级检测维修及硬盘数据恢复技术为载体，将这两方面的前沿技术及技能融入比赛内容，主要检验选手在真实的工作场景下对电子产品芯片级检测维修及数据恢复的技能运用及综合职业素养表现，全面展现职业教育改进与改革的最新成果及参赛选手良好的精神风貌，引导高职教育关注在“电子产品芯片级维修与数据恢复”教育方面的发展趋势，为行业、企业培养紧缺人才，提高电子信息类高素质、高技能应用型人才的培养质量。</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三、竞赛内容</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（一）竞赛时间</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竞赛时间为120分钟</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（二）竞赛任务</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1.电路板检测与维修（赛项比重30%）</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在规定的时间内，依据赛项执委会提供的技术文件（包括原理图及元器件资料等），完成指定电路板的故障检测及维修。</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2.存储介质维修及数据恢复（赛项比重50%）</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对赛项执委会现场提供的存储介质进行检测维修，将介质中存储的指定文件资料恢复出来。</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3.填写竞赛报告单（赛项比重15%）</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完成竞赛报告单的填写。</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4.职业素养（赛项比重5%）</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根据选手操作、规范、安全等方面综合评定。</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（三）相关技能</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1.电工与电子技术基础</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2.电子产品维修工艺与流程</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3.计算机应用技能</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4.电子产品的故障检测与维修</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5.数据恢复技能</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四、竞赛方式</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1.竞赛以团队方式进行，不计选手个人成绩，统计参赛队的总成绩并进行排序。</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2.每支参赛队由2名参赛选手组成，2名选手须为同校在籍学生，其中队长1名，性别和年级不限。</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3.每支参赛队可配指导教师2名，指导教师须为本校专兼职教师。竞赛期间不允许指导教师进入赛场进行现场指导。</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4.本赛项暂不邀请国际队参赛，欢迎国内外团队及选手到场观赛。</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五、竞赛流程</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（一）竞技过程</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1.竞赛开始60分钟前，参赛队选手到赛场指定地点抽取赛位号，接受检录，进入指定赛位，但不可进行任何操作。赛位号由加密裁判经两次加密处理后封存保管于指定场所。</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在裁判长发布“赛前30分钟准备”的指令后，选手方可拆封赛位上的赛题及物料箱，并依照竞赛物料清单核对竞赛板卡、硬盘及相应配件是否符合需求，同时检查仪器设备及工具的功能是否正常，并对出现的异常及时申请更换，完成后填写相关表格并签字确认。</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3.在裁判长发布“竞赛开始”的指令后，选手可自行决定工作程序，使用现场配套的设备及工具，开始竞赛操作，完成规定的工作任务。</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4.竞赛开始后，裁判长将随机生成数据恢复指定文件，并打印下发给参赛选手。</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5.在裁判长发布“竞赛结束”的指令后，选手必须停止一切竞赛操作。</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6.竞赛结束后，根据现场裁判的指示进行电路板卡维修结果上传及电子版竞赛报告单上传，完成竞赛结果提交及确认。</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7.竞赛结果提交完成后，按照现场裁判的安排有序离开比赛现场。 </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（二）日程安排</w:t>
      </w:r>
    </w:p>
    <w:tbl>
      <w:tblPr>
        <w:tblStyle w:val="10"/>
        <w:tblW w:w="7949" w:type="dxa"/>
        <w:jc w:val="center"/>
        <w:tblLayout w:type="fixed"/>
        <w:tblCellMar>
          <w:top w:w="0" w:type="dxa"/>
          <w:left w:w="108" w:type="dxa"/>
          <w:bottom w:w="0" w:type="dxa"/>
          <w:right w:w="108" w:type="dxa"/>
        </w:tblCellMar>
      </w:tblPr>
      <w:tblGrid>
        <w:gridCol w:w="1277"/>
        <w:gridCol w:w="4916"/>
        <w:gridCol w:w="1756"/>
      </w:tblGrid>
      <w:tr>
        <w:tblPrEx>
          <w:tblCellMar>
            <w:top w:w="0" w:type="dxa"/>
            <w:left w:w="108" w:type="dxa"/>
            <w:bottom w:w="0" w:type="dxa"/>
            <w:right w:w="108" w:type="dxa"/>
          </w:tblCellMar>
        </w:tblPrEx>
        <w:trPr>
          <w:trHeight w:val="20"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日期</w:t>
            </w:r>
          </w:p>
        </w:tc>
        <w:tc>
          <w:tcPr>
            <w:tcW w:w="4916" w:type="dxa"/>
            <w:tcBorders>
              <w:top w:val="single" w:color="auto" w:sz="4" w:space="0"/>
              <w:left w:val="nil"/>
              <w:bottom w:val="single" w:color="auto" w:sz="4" w:space="0"/>
              <w:right w:val="single" w:color="auto" w:sz="4" w:space="0"/>
            </w:tcBorders>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事项安排</w:t>
            </w:r>
          </w:p>
        </w:tc>
        <w:tc>
          <w:tcPr>
            <w:tcW w:w="1756" w:type="dxa"/>
            <w:tcBorders>
              <w:top w:val="single" w:color="auto" w:sz="4" w:space="0"/>
              <w:left w:val="nil"/>
              <w:bottom w:val="single" w:color="auto" w:sz="4" w:space="0"/>
              <w:right w:val="single" w:color="auto" w:sz="4" w:space="0"/>
            </w:tcBorders>
          </w:tcPr>
          <w:p>
            <w:pPr>
              <w:jc w:val="center"/>
              <w:rPr>
                <w:rFonts w:ascii="仿宋" w:hAnsi="仿宋" w:eastAsia="仿宋" w:cs="仿宋"/>
                <w:b/>
                <w:bCs/>
                <w:color w:val="000000"/>
                <w:sz w:val="24"/>
              </w:rPr>
            </w:pPr>
            <w:r>
              <w:rPr>
                <w:rFonts w:hint="eastAsia" w:ascii="仿宋" w:hAnsi="仿宋" w:eastAsia="仿宋" w:cs="仿宋"/>
                <w:b/>
                <w:bCs/>
                <w:color w:val="000000"/>
                <w:sz w:val="24"/>
              </w:rPr>
              <w:t>时间</w:t>
            </w:r>
          </w:p>
        </w:tc>
      </w:tr>
      <w:tr>
        <w:tblPrEx>
          <w:tblCellMar>
            <w:top w:w="0" w:type="dxa"/>
            <w:left w:w="108" w:type="dxa"/>
            <w:bottom w:w="0" w:type="dxa"/>
            <w:right w:w="108" w:type="dxa"/>
          </w:tblCellMar>
        </w:tblPrEx>
        <w:trPr>
          <w:trHeight w:val="20" w:hRule="atLeast"/>
          <w:jc w:val="center"/>
        </w:trPr>
        <w:tc>
          <w:tcPr>
            <w:tcW w:w="1277" w:type="dxa"/>
            <w:vMerge w:val="restart"/>
            <w:tcBorders>
              <w:top w:val="single" w:color="auto" w:sz="4" w:space="0"/>
              <w:left w:val="single" w:color="auto" w:sz="4" w:space="0"/>
              <w:right w:val="single" w:color="auto" w:sz="4" w:space="0"/>
            </w:tcBorders>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第一天</w:t>
            </w: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bCs/>
                <w:color w:val="000000"/>
                <w:sz w:val="24"/>
              </w:rPr>
            </w:pPr>
            <w:r>
              <w:rPr>
                <w:rFonts w:hint="eastAsia" w:ascii="仿宋" w:hAnsi="仿宋" w:eastAsia="仿宋" w:cs="仿宋"/>
                <w:bCs/>
                <w:color w:val="000000"/>
                <w:sz w:val="24"/>
              </w:rPr>
              <w:t>参赛队报到注册</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bCs/>
                <w:color w:val="000000"/>
                <w:sz w:val="24"/>
              </w:rPr>
            </w:pPr>
            <w:r>
              <w:rPr>
                <w:rFonts w:ascii="仿宋" w:hAnsi="仿宋" w:eastAsia="仿宋" w:cs="仿宋"/>
                <w:bCs/>
                <w:color w:val="000000"/>
                <w:sz w:val="24"/>
              </w:rPr>
              <w:t>15:00-16:00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bottom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熟悉赛场</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16:00-16:30</w:t>
            </w:r>
          </w:p>
        </w:tc>
      </w:tr>
      <w:tr>
        <w:tblPrEx>
          <w:tblCellMar>
            <w:top w:w="0" w:type="dxa"/>
            <w:left w:w="108" w:type="dxa"/>
            <w:bottom w:w="0" w:type="dxa"/>
            <w:right w:w="108" w:type="dxa"/>
          </w:tblCellMar>
        </w:tblPrEx>
        <w:trPr>
          <w:trHeight w:val="20" w:hRule="atLeast"/>
          <w:jc w:val="center"/>
        </w:trPr>
        <w:tc>
          <w:tcPr>
            <w:tcW w:w="1277" w:type="dxa"/>
            <w:vMerge w:val="restart"/>
            <w:tcBorders>
              <w:top w:val="nil"/>
              <w:left w:val="single" w:color="auto" w:sz="4" w:space="0"/>
              <w:right w:val="single" w:color="auto" w:sz="4" w:space="0"/>
            </w:tcBorders>
            <w:vAlign w:val="center"/>
          </w:tcPr>
          <w:p>
            <w:pPr>
              <w:jc w:val="center"/>
              <w:rPr>
                <w:rFonts w:ascii="仿宋" w:hAnsi="仿宋" w:eastAsia="仿宋" w:cs="仿宋"/>
                <w:color w:val="000000"/>
                <w:sz w:val="24"/>
              </w:rPr>
            </w:pPr>
            <w:r>
              <w:rPr>
                <w:rFonts w:hint="eastAsia" w:ascii="仿宋" w:hAnsi="仿宋" w:eastAsia="仿宋" w:cs="仿宋"/>
                <w:color w:val="000000"/>
                <w:sz w:val="24"/>
              </w:rPr>
              <w:t>第二天</w:t>
            </w: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选手到场</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7:30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检录、两次加密及入场</w:t>
            </w:r>
          </w:p>
        </w:tc>
        <w:tc>
          <w:tcPr>
            <w:tcW w:w="1756" w:type="dxa"/>
            <w:tcBorders>
              <w:top w:val="nil"/>
              <w:left w:val="nil"/>
              <w:bottom w:val="single" w:color="auto" w:sz="4" w:space="0"/>
              <w:right w:val="single" w:color="auto" w:sz="4" w:space="0"/>
            </w:tcBorders>
          </w:tcPr>
          <w:p>
            <w:pPr>
              <w:rPr>
                <w:rFonts w:hint="default" w:ascii="仿宋" w:hAnsi="仿宋" w:eastAsia="仿宋" w:cs="仿宋"/>
                <w:color w:val="000000"/>
                <w:sz w:val="24"/>
                <w:lang w:val="en-US" w:eastAsia="zh-CN"/>
              </w:rPr>
            </w:pPr>
            <w:r>
              <w:rPr>
                <w:rFonts w:ascii="仿宋" w:hAnsi="仿宋" w:eastAsia="仿宋" w:cs="仿宋"/>
                <w:color w:val="000000"/>
                <w:sz w:val="24"/>
              </w:rPr>
              <w:t>7:30-8:</w:t>
            </w:r>
            <w:r>
              <w:rPr>
                <w:rFonts w:hint="eastAsia" w:ascii="仿宋" w:hAnsi="仿宋" w:eastAsia="仿宋" w:cs="仿宋"/>
                <w:color w:val="000000"/>
                <w:sz w:val="24"/>
                <w:lang w:val="en-US" w:eastAsia="zh-CN"/>
              </w:rPr>
              <w:t>00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赛前</w:t>
            </w:r>
            <w:r>
              <w:rPr>
                <w:rFonts w:ascii="仿宋" w:hAnsi="仿宋" w:eastAsia="仿宋" w:cs="仿宋"/>
                <w:color w:val="000000"/>
                <w:sz w:val="24"/>
              </w:rPr>
              <w:t>30</w:t>
            </w:r>
            <w:r>
              <w:rPr>
                <w:rFonts w:hint="eastAsia" w:ascii="仿宋" w:hAnsi="仿宋" w:eastAsia="仿宋" w:cs="仿宋"/>
                <w:color w:val="000000"/>
                <w:sz w:val="24"/>
              </w:rPr>
              <w:t>分钟准备</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8:</w:t>
            </w:r>
            <w:r>
              <w:rPr>
                <w:rFonts w:hint="eastAsia" w:ascii="仿宋" w:hAnsi="仿宋" w:eastAsia="仿宋" w:cs="仿宋"/>
                <w:color w:val="000000"/>
                <w:sz w:val="24"/>
                <w:lang w:val="en-US" w:eastAsia="zh-CN"/>
              </w:rPr>
              <w:t>0</w:t>
            </w:r>
            <w:r>
              <w:rPr>
                <w:rFonts w:ascii="仿宋" w:hAnsi="仿宋" w:eastAsia="仿宋" w:cs="仿宋"/>
                <w:color w:val="000000"/>
                <w:sz w:val="24"/>
              </w:rPr>
              <w:t>0-</w:t>
            </w:r>
            <w:r>
              <w:rPr>
                <w:rFonts w:hint="eastAsia" w:ascii="仿宋" w:hAnsi="仿宋" w:eastAsia="仿宋" w:cs="仿宋"/>
                <w:color w:val="000000"/>
                <w:sz w:val="24"/>
                <w:lang w:val="en-US" w:eastAsia="zh-CN"/>
              </w:rPr>
              <w:t>8</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比赛时间</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hint="eastAsia" w:ascii="仿宋" w:hAnsi="仿宋" w:eastAsia="仿宋" w:cs="仿宋"/>
                <w:color w:val="000000"/>
                <w:sz w:val="24"/>
                <w:lang w:val="en-US" w:eastAsia="zh-CN"/>
              </w:rPr>
              <w:t>8</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0-1</w:t>
            </w:r>
            <w:r>
              <w:rPr>
                <w:rFonts w:hint="eastAsia" w:ascii="仿宋" w:hAnsi="仿宋" w:eastAsia="仿宋" w:cs="仿宋"/>
                <w:color w:val="000000"/>
                <w:sz w:val="24"/>
                <w:lang w:val="en-US" w:eastAsia="zh-CN"/>
              </w:rPr>
              <w:t>0</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提交竞赛结果并离场</w:t>
            </w:r>
          </w:p>
        </w:tc>
        <w:tc>
          <w:tcPr>
            <w:tcW w:w="1756" w:type="dxa"/>
            <w:tcBorders>
              <w:top w:val="nil"/>
              <w:left w:val="nil"/>
              <w:bottom w:val="single" w:color="auto" w:sz="4" w:space="0"/>
              <w:right w:val="single" w:color="auto" w:sz="4" w:space="0"/>
            </w:tcBorders>
          </w:tcPr>
          <w:p>
            <w:pPr>
              <w:rPr>
                <w:rFonts w:hint="default" w:ascii="仿宋" w:hAnsi="仿宋" w:eastAsia="仿宋" w:cs="仿宋"/>
                <w:color w:val="000000"/>
                <w:sz w:val="24"/>
                <w:lang w:val="en-US" w:eastAsia="zh-CN"/>
              </w:rPr>
            </w:pPr>
            <w:r>
              <w:rPr>
                <w:rFonts w:ascii="仿宋" w:hAnsi="仿宋" w:eastAsia="仿宋" w:cs="仿宋"/>
                <w:color w:val="000000"/>
                <w:sz w:val="24"/>
              </w:rPr>
              <w:t>1</w:t>
            </w:r>
            <w:r>
              <w:rPr>
                <w:rFonts w:hint="eastAsia" w:ascii="仿宋" w:hAnsi="仿宋" w:eastAsia="仿宋" w:cs="仿宋"/>
                <w:color w:val="000000"/>
                <w:sz w:val="24"/>
                <w:lang w:val="en-US" w:eastAsia="zh-CN"/>
              </w:rPr>
              <w:t>0</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hint="eastAsia" w:ascii="仿宋" w:hAnsi="仿宋" w:eastAsia="仿宋" w:cs="仿宋"/>
                <w:color w:val="000000"/>
                <w:sz w:val="24"/>
              </w:rPr>
              <w:t>0-</w:t>
            </w:r>
            <w:r>
              <w:rPr>
                <w:rFonts w:ascii="仿宋" w:hAnsi="仿宋" w:eastAsia="仿宋" w:cs="仿宋"/>
                <w:color w:val="000000"/>
                <w:sz w:val="24"/>
              </w:rPr>
              <w:t xml:space="preserve"> </w:t>
            </w:r>
            <w:r>
              <w:rPr>
                <w:rFonts w:hint="eastAsia" w:ascii="仿宋" w:hAnsi="仿宋" w:eastAsia="仿宋" w:cs="仿宋"/>
                <w:color w:val="000000"/>
                <w:sz w:val="24"/>
                <w:lang w:val="en-US" w:eastAsia="zh-CN"/>
              </w:rPr>
              <w:t>11:00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赛项申诉与仲裁</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1</w:t>
            </w:r>
            <w:r>
              <w:rPr>
                <w:rFonts w:ascii="仿宋" w:hAnsi="仿宋" w:eastAsia="仿宋" w:cs="仿宋"/>
                <w:color w:val="000000"/>
                <w:sz w:val="24"/>
              </w:rPr>
              <w:t>:</w:t>
            </w:r>
            <w:r>
              <w:rPr>
                <w:rFonts w:hint="eastAsia" w:ascii="仿宋" w:hAnsi="仿宋" w:eastAsia="仿宋" w:cs="仿宋"/>
                <w:color w:val="000000"/>
                <w:sz w:val="24"/>
                <w:lang w:val="en-US" w:eastAsia="zh-CN"/>
              </w:rPr>
              <w:t>0</w:t>
            </w:r>
            <w:r>
              <w:rPr>
                <w:rFonts w:ascii="仿宋" w:hAnsi="仿宋" w:eastAsia="仿宋" w:cs="仿宋"/>
                <w:color w:val="000000"/>
                <w:sz w:val="24"/>
              </w:rPr>
              <w:t>0-1</w:t>
            </w:r>
            <w:r>
              <w:rPr>
                <w:rFonts w:hint="eastAsia" w:ascii="仿宋" w:hAnsi="仿宋" w:eastAsia="仿宋" w:cs="仿宋"/>
                <w:color w:val="000000"/>
                <w:sz w:val="24"/>
              </w:rPr>
              <w:t>3</w:t>
            </w:r>
            <w:r>
              <w:rPr>
                <w:rFonts w:ascii="仿宋" w:hAnsi="仿宋" w:eastAsia="仿宋" w:cs="仿宋"/>
                <w:color w:val="000000"/>
                <w:sz w:val="24"/>
              </w:rPr>
              <w:t>:</w:t>
            </w:r>
            <w:r>
              <w:rPr>
                <w:rFonts w:hint="eastAsia" w:ascii="仿宋" w:hAnsi="仿宋" w:eastAsia="仿宋" w:cs="仿宋"/>
                <w:color w:val="000000"/>
                <w:sz w:val="24"/>
                <w:lang w:val="en-US" w:eastAsia="zh-CN"/>
              </w:rPr>
              <w:t>0</w:t>
            </w:r>
            <w:r>
              <w:rPr>
                <w:rFonts w:ascii="仿宋" w:hAnsi="仿宋" w:eastAsia="仿宋" w:cs="仿宋"/>
                <w:color w:val="000000"/>
                <w:sz w:val="24"/>
              </w:rPr>
              <w:t>0</w:t>
            </w:r>
          </w:p>
        </w:tc>
      </w:tr>
      <w:tr>
        <w:tblPrEx>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裁判评分，成绩复核确认，解密并录入上报</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3</w:t>
            </w:r>
            <w:r>
              <w:rPr>
                <w:rFonts w:ascii="仿宋" w:hAnsi="仿宋" w:eastAsia="仿宋" w:cs="仿宋"/>
                <w:color w:val="000000"/>
                <w:sz w:val="24"/>
              </w:rPr>
              <w:t>:</w:t>
            </w:r>
            <w:r>
              <w:rPr>
                <w:rFonts w:hint="eastAsia" w:ascii="仿宋" w:hAnsi="仿宋" w:eastAsia="仿宋" w:cs="仿宋"/>
                <w:color w:val="000000"/>
                <w:sz w:val="24"/>
                <w:lang w:val="en-US" w:eastAsia="zh-CN"/>
              </w:rPr>
              <w:t>1</w:t>
            </w:r>
            <w:r>
              <w:rPr>
                <w:rFonts w:ascii="仿宋" w:hAnsi="仿宋" w:eastAsia="仿宋" w:cs="仿宋"/>
                <w:color w:val="000000"/>
                <w:sz w:val="24"/>
              </w:rPr>
              <w:t>0-</w:t>
            </w:r>
          </w:p>
        </w:tc>
      </w:tr>
      <w:tr>
        <w:tblPrEx>
          <w:tblCellMar>
            <w:top w:w="0" w:type="dxa"/>
            <w:left w:w="108" w:type="dxa"/>
            <w:bottom w:w="0" w:type="dxa"/>
            <w:right w:w="108" w:type="dxa"/>
          </w:tblCellMar>
        </w:tblPrEx>
        <w:trPr>
          <w:trHeight w:val="20"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成绩公布</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w:t>
            </w:r>
          </w:p>
        </w:tc>
      </w:tr>
    </w:tbl>
    <w:p>
      <w:pPr>
        <w:spacing w:line="560" w:lineRule="exact"/>
        <w:ind w:firstLine="562" w:firstLineChars="200"/>
        <w:rPr>
          <w:rFonts w:ascii="仿宋" w:hAnsi="仿宋" w:eastAsia="仿宋"/>
          <w:b/>
          <w:color w:val="000000"/>
          <w:sz w:val="28"/>
          <w:szCs w:val="28"/>
        </w:rPr>
      </w:pPr>
    </w:p>
    <w:p>
      <w:pPr>
        <w:spacing w:line="560" w:lineRule="exact"/>
        <w:ind w:firstLine="562" w:firstLineChars="200"/>
        <w:rPr>
          <w:rFonts w:ascii="仿宋" w:hAnsi="仿宋" w:eastAsia="仿宋"/>
          <w:b/>
          <w:color w:val="000000"/>
          <w:sz w:val="28"/>
          <w:szCs w:val="28"/>
        </w:rPr>
      </w:pPr>
    </w:p>
    <w:p>
      <w:pPr>
        <w:spacing w:line="560" w:lineRule="exact"/>
        <w:ind w:firstLine="562" w:firstLineChars="200"/>
        <w:rPr>
          <w:rFonts w:ascii="仿宋" w:hAnsi="仿宋" w:eastAsia="仿宋"/>
          <w:b/>
          <w:color w:val="000000"/>
          <w:sz w:val="28"/>
          <w:szCs w:val="28"/>
        </w:rPr>
      </w:pPr>
    </w:p>
    <w:p>
      <w:pPr>
        <w:spacing w:line="5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（三）竞赛流程图</w:t>
      </w:r>
    </w:p>
    <w:p>
      <w:pPr>
        <w:jc w:val="center"/>
        <w:rPr>
          <w:rFonts w:ascii="仿宋" w:hAnsi="仿宋" w:eastAsia="仿宋"/>
        </w:rPr>
      </w:pPr>
      <w:r>
        <w:rPr>
          <w:rFonts w:ascii="仿宋" w:hAnsi="仿宋" w:eastAsia="仿宋"/>
          <w:kern w:val="0"/>
        </w:rPr>
        <mc:AlternateContent>
          <mc:Choice Requires="wpg">
            <w:drawing>
              <wp:inline distT="0" distB="0" distL="0" distR="0">
                <wp:extent cx="5274310" cy="6477000"/>
                <wp:effectExtent l="0" t="0" r="2540" b="9525"/>
                <wp:docPr id="1" name="组合 1"/>
                <wp:cNvGraphicFramePr/>
                <a:graphic xmlns:a="http://schemas.openxmlformats.org/drawingml/2006/main">
                  <a:graphicData uri="http://schemas.microsoft.com/office/word/2010/wordprocessingGroup">
                    <wpg:wgp>
                      <wpg:cNvGrpSpPr/>
                      <wpg:grpSpPr>
                        <a:xfrm>
                          <a:off x="0" y="0"/>
                          <a:ext cx="5274310" cy="6477000"/>
                          <a:chOff x="2360" y="2417"/>
                          <a:chExt cx="7200" cy="7608"/>
                        </a:xfrm>
                      </wpg:grpSpPr>
                      <wps:wsp>
                        <wps:cNvPr id="2" name="Picture 7"/>
                        <wps:cNvSpPr>
                          <a:spLocks noChangeAspect="1" noChangeArrowheads="1"/>
                        </wps:cNvSpPr>
                        <wps:spPr bwMode="auto">
                          <a:xfrm>
                            <a:off x="2360" y="2417"/>
                            <a:ext cx="7200" cy="7608"/>
                          </a:xfrm>
                          <a:prstGeom prst="rect">
                            <a:avLst/>
                          </a:prstGeom>
                          <a:noFill/>
                          <a:ln>
                            <a:noFill/>
                          </a:ln>
                        </wps:spPr>
                        <wps:bodyPr rot="0" vert="horz" wrap="square" lIns="91440" tIns="45720" rIns="91440" bIns="45720" anchor="t" anchorCtr="0" upright="1">
                          <a:noAutofit/>
                        </wps:bodyPr>
                      </wps:wsp>
                      <wps:wsp>
                        <wps:cNvPr id="3" name="Flowchart: Alternate Process 8"/>
                        <wps:cNvSpPr>
                          <a:spLocks noChangeArrowheads="1"/>
                        </wps:cNvSpPr>
                        <wps:spPr bwMode="auto">
                          <a:xfrm>
                            <a:off x="3072" y="2678"/>
                            <a:ext cx="1484" cy="57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参赛队注册</w:t>
                              </w:r>
                            </w:p>
                          </w:txbxContent>
                        </wps:txbx>
                        <wps:bodyPr rot="0" vert="horz" wrap="square" lIns="91440" tIns="45720" rIns="91440" bIns="45720" anchor="t" anchorCtr="0" upright="1">
                          <a:noAutofit/>
                        </wps:bodyPr>
                      </wps:wsp>
                      <wps:wsp>
                        <wps:cNvPr id="4" name="Flowchart: Alternate Process 9"/>
                        <wps:cNvSpPr>
                          <a:spLocks noChangeArrowheads="1"/>
                        </wps:cNvSpPr>
                        <wps:spPr bwMode="auto">
                          <a:xfrm>
                            <a:off x="5265" y="2678"/>
                            <a:ext cx="1454"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赛前说明会</w:t>
                              </w:r>
                            </w:p>
                          </w:txbxContent>
                        </wps:txbx>
                        <wps:bodyPr rot="0" vert="horz" wrap="square" lIns="91440" tIns="45720" rIns="91440" bIns="45720" anchor="t" anchorCtr="0" upright="1">
                          <a:noAutofit/>
                        </wps:bodyPr>
                      </wps:wsp>
                      <wps:wsp>
                        <wps:cNvPr id="5" name="Flowchart: Alternate Process 10"/>
                        <wps:cNvSpPr>
                          <a:spLocks noChangeArrowheads="1"/>
                        </wps:cNvSpPr>
                        <wps:spPr bwMode="auto">
                          <a:xfrm>
                            <a:off x="7295" y="2678"/>
                            <a:ext cx="1453"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熟悉赛场</w:t>
                              </w:r>
                            </w:p>
                          </w:txbxContent>
                        </wps:txbx>
                        <wps:bodyPr rot="0" vert="horz" wrap="square" lIns="91440" tIns="45720" rIns="91440" bIns="45720" anchor="t" anchorCtr="0" upright="1">
                          <a:noAutofit/>
                        </wps:bodyPr>
                      </wps:wsp>
                      <wps:wsp>
                        <wps:cNvPr id="6" name="Flowchart: Alternate Process 11"/>
                        <wps:cNvSpPr>
                          <a:spLocks noChangeArrowheads="1"/>
                        </wps:cNvSpPr>
                        <wps:spPr bwMode="auto">
                          <a:xfrm>
                            <a:off x="7295" y="3840"/>
                            <a:ext cx="1453" cy="651"/>
                          </a:xfrm>
                          <a:prstGeom prst="flowChartAlternateProcess">
                            <a:avLst/>
                          </a:prstGeom>
                          <a:solidFill>
                            <a:srgbClr val="FFFFFF"/>
                          </a:solidFill>
                          <a:ln w="9525">
                            <a:solidFill>
                              <a:srgbClr val="000000"/>
                            </a:solidFill>
                            <a:miter lim="200000"/>
                          </a:ln>
                        </wps:spPr>
                        <wps:txbx>
                          <w:txbxContent>
                            <w:p>
                              <w:pPr>
                                <w:rPr>
                                  <w:rFonts w:ascii="仿宋_GB2312" w:eastAsia="仿宋_GB2312"/>
                                  <w:szCs w:val="21"/>
                                </w:rPr>
                              </w:pPr>
                              <w:r>
                                <w:rPr>
                                  <w:rFonts w:hint="eastAsia" w:ascii="仿宋" w:hAnsi="仿宋" w:eastAsia="仿宋" w:cs="仿宋"/>
                                  <w:color w:val="000000"/>
                                  <w:sz w:val="24"/>
                                </w:rPr>
                                <w:t xml:space="preserve">检录、两次加密及入场 </w:t>
                              </w:r>
                              <w:r>
                                <w:rPr>
                                  <w:rFonts w:hint="eastAsia" w:ascii="仿宋_GB2312" w:eastAsia="仿宋_GB2312"/>
                                  <w:szCs w:val="21"/>
                                </w:rPr>
                                <w:t xml:space="preserve"> </w:t>
                              </w:r>
                            </w:p>
                          </w:txbxContent>
                        </wps:txbx>
                        <wps:bodyPr rot="0" vert="horz" wrap="square" lIns="91440" tIns="45720" rIns="91440" bIns="45720" anchor="t" anchorCtr="0" upright="1">
                          <a:noAutofit/>
                        </wps:bodyPr>
                      </wps:wsp>
                      <wps:wsp>
                        <wps:cNvPr id="7" name="Flowchart: Alternate Process 12"/>
                        <wps:cNvSpPr>
                          <a:spLocks noChangeArrowheads="1"/>
                        </wps:cNvSpPr>
                        <wps:spPr bwMode="auto">
                          <a:xfrm>
                            <a:off x="5199" y="3840"/>
                            <a:ext cx="1669" cy="651"/>
                          </a:xfrm>
                          <a:prstGeom prst="flowChartAlternateProcess">
                            <a:avLst/>
                          </a:prstGeom>
                          <a:solidFill>
                            <a:srgbClr val="FFFFFF"/>
                          </a:solidFill>
                          <a:ln w="9525">
                            <a:solidFill>
                              <a:srgbClr val="000000"/>
                            </a:solidFill>
                            <a:miter lim="200000"/>
                          </a:ln>
                        </wps:spPr>
                        <wps:txbx>
                          <w:txbxContent>
                            <w:p>
                              <w:pPr>
                                <w:spacing w:line="400" w:lineRule="exact"/>
                                <w:jc w:val="center"/>
                                <w:rPr>
                                  <w:rFonts w:ascii="仿宋" w:hAnsi="仿宋" w:eastAsia="仿宋" w:cs="仿宋"/>
                                  <w:color w:val="000000"/>
                                  <w:sz w:val="24"/>
                                </w:rPr>
                              </w:pPr>
                              <w:r>
                                <w:rPr>
                                  <w:rFonts w:hint="eastAsia" w:ascii="仿宋" w:hAnsi="仿宋" w:eastAsia="仿宋" w:cs="仿宋"/>
                                  <w:color w:val="000000"/>
                                  <w:sz w:val="24"/>
                                </w:rPr>
                                <w:t>30分钟准备</w:t>
                              </w:r>
                            </w:p>
                            <w:p>
                              <w:pPr>
                                <w:rPr>
                                  <w:szCs w:val="21"/>
                                </w:rPr>
                              </w:pPr>
                            </w:p>
                          </w:txbxContent>
                        </wps:txbx>
                        <wps:bodyPr rot="0" vert="horz" wrap="square" lIns="91440" tIns="45720" rIns="91440" bIns="45720" anchor="t" anchorCtr="0" upright="1">
                          <a:noAutofit/>
                        </wps:bodyPr>
                      </wps:wsp>
                      <wps:wsp>
                        <wps:cNvPr id="8" name="Flowchart: Alternate Process 13"/>
                        <wps:cNvSpPr>
                          <a:spLocks noChangeArrowheads="1"/>
                        </wps:cNvSpPr>
                        <wps:spPr bwMode="auto">
                          <a:xfrm>
                            <a:off x="2958" y="3840"/>
                            <a:ext cx="1677"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宣布比赛开始</w:t>
                              </w:r>
                            </w:p>
                          </w:txbxContent>
                        </wps:txbx>
                        <wps:bodyPr rot="0" vert="horz" wrap="square" lIns="91440" tIns="45720" rIns="91440" bIns="45720" anchor="t" anchorCtr="0" upright="1">
                          <a:noAutofit/>
                        </wps:bodyPr>
                      </wps:wsp>
                      <wps:wsp>
                        <wps:cNvPr id="9" name="Flowchart: Alternate Process 10"/>
                        <wps:cNvSpPr>
                          <a:spLocks noChangeArrowheads="1"/>
                        </wps:cNvSpPr>
                        <wps:spPr bwMode="auto">
                          <a:xfrm>
                            <a:off x="2958" y="4988"/>
                            <a:ext cx="1677"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比赛操作</w:t>
                              </w:r>
                            </w:p>
                          </w:txbxContent>
                        </wps:txbx>
                        <wps:bodyPr rot="0" vert="horz" wrap="square" lIns="91440" tIns="45720" rIns="91440" bIns="45720" anchor="t" anchorCtr="0" upright="1">
                          <a:noAutofit/>
                        </wps:bodyPr>
                      </wps:wsp>
                      <wps:wsp>
                        <wps:cNvPr id="10" name="Flowchart: Alternate Process 15"/>
                        <wps:cNvSpPr>
                          <a:spLocks noChangeArrowheads="1"/>
                        </wps:cNvSpPr>
                        <wps:spPr bwMode="auto">
                          <a:xfrm>
                            <a:off x="5265" y="4914"/>
                            <a:ext cx="1871" cy="724"/>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宣布比赛结束</w:t>
                              </w:r>
                            </w:p>
                            <w:p>
                              <w:pPr>
                                <w:rPr>
                                  <w:rFonts w:ascii="仿宋" w:hAnsi="仿宋" w:eastAsia="仿宋" w:cs="仿宋"/>
                                  <w:color w:val="000000"/>
                                  <w:sz w:val="24"/>
                                </w:rPr>
                              </w:pPr>
                              <w:r>
                                <w:rPr>
                                  <w:rFonts w:hint="eastAsia" w:ascii="仿宋" w:hAnsi="仿宋" w:eastAsia="仿宋" w:cs="仿宋"/>
                                  <w:color w:val="000000"/>
                                  <w:sz w:val="24"/>
                                </w:rPr>
                                <w:t>，并提交结果</w:t>
                              </w:r>
                            </w:p>
                          </w:txbxContent>
                        </wps:txbx>
                        <wps:bodyPr rot="0" vert="horz" wrap="square" lIns="91440" tIns="45720" rIns="91440" bIns="45720" anchor="t" anchorCtr="0" upright="1">
                          <a:noAutofit/>
                        </wps:bodyPr>
                      </wps:wsp>
                      <wps:wsp>
                        <wps:cNvPr id="11" name="Flowchart: Alternate Process 16"/>
                        <wps:cNvSpPr>
                          <a:spLocks noChangeArrowheads="1"/>
                        </wps:cNvSpPr>
                        <wps:spPr bwMode="auto">
                          <a:xfrm>
                            <a:off x="3342" y="6360"/>
                            <a:ext cx="1139"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评分</w:t>
                              </w:r>
                            </w:p>
                          </w:txbxContent>
                        </wps:txbx>
                        <wps:bodyPr rot="0" vert="horz" wrap="square" lIns="91440" tIns="45720" rIns="91440" bIns="45720" anchor="t" anchorCtr="0" upright="1">
                          <a:noAutofit/>
                        </wps:bodyPr>
                      </wps:wsp>
                      <wps:wsp>
                        <wps:cNvPr id="12" name="Flowchart: Alternate Process 17"/>
                        <wps:cNvSpPr>
                          <a:spLocks noChangeArrowheads="1"/>
                        </wps:cNvSpPr>
                        <wps:spPr bwMode="auto">
                          <a:xfrm>
                            <a:off x="3071" y="7336"/>
                            <a:ext cx="1737"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成绩复核确认</w:t>
                              </w:r>
                            </w:p>
                          </w:txbxContent>
                        </wps:txbx>
                        <wps:bodyPr rot="0" vert="horz" wrap="square" lIns="91440" tIns="45720" rIns="91440" bIns="45720" anchor="t" anchorCtr="0" upright="1">
                          <a:noAutofit/>
                        </wps:bodyPr>
                      </wps:wsp>
                      <wps:wsp>
                        <wps:cNvPr id="13" name="Flowchart: Alternate Process 18"/>
                        <wps:cNvSpPr>
                          <a:spLocks noChangeArrowheads="1"/>
                        </wps:cNvSpPr>
                        <wps:spPr bwMode="auto">
                          <a:xfrm>
                            <a:off x="3072" y="8386"/>
                            <a:ext cx="1736"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解密并录入上报</w:t>
                              </w:r>
                            </w:p>
                          </w:txbxContent>
                        </wps:txbx>
                        <wps:bodyPr rot="0" vert="horz" wrap="square" lIns="91440" tIns="45720" rIns="91440" bIns="45720" anchor="t" anchorCtr="0" upright="1">
                          <a:noAutofit/>
                        </wps:bodyPr>
                      </wps:wsp>
                      <wps:wsp>
                        <wps:cNvPr id="14" name="Flowchart: Alternate Process 19"/>
                        <wps:cNvSpPr>
                          <a:spLocks noChangeArrowheads="1"/>
                        </wps:cNvSpPr>
                        <wps:spPr bwMode="auto">
                          <a:xfrm>
                            <a:off x="3072" y="9374"/>
                            <a:ext cx="1801"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闭赛式公布成绩</w:t>
                              </w:r>
                            </w:p>
                          </w:txbxContent>
                        </wps:txbx>
                        <wps:bodyPr rot="0" vert="horz" wrap="square" lIns="91440" tIns="45720" rIns="91440" bIns="45720" anchor="t" anchorCtr="0" upright="1">
                          <a:noAutofit/>
                        </wps:bodyPr>
                      </wps:wsp>
                      <wps:wsp>
                        <wps:cNvPr id="15" name="Flowchart: Alternate Process 20"/>
                        <wps:cNvSpPr>
                          <a:spLocks noChangeArrowheads="1"/>
                        </wps:cNvSpPr>
                        <wps:spPr bwMode="auto">
                          <a:xfrm>
                            <a:off x="6796" y="6359"/>
                            <a:ext cx="1310"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仲裁申请</w:t>
                              </w:r>
                            </w:p>
                          </w:txbxContent>
                        </wps:txbx>
                        <wps:bodyPr rot="0" vert="horz" wrap="square" lIns="91440" tIns="45720" rIns="91440" bIns="45720" anchor="t" anchorCtr="0" upright="1">
                          <a:noAutofit/>
                        </wps:bodyPr>
                      </wps:wsp>
                      <wps:wsp>
                        <wps:cNvPr id="16" name="Flowchart: Alternate Process 21"/>
                        <wps:cNvSpPr>
                          <a:spLocks noChangeArrowheads="1"/>
                        </wps:cNvSpPr>
                        <wps:spPr bwMode="auto">
                          <a:xfrm>
                            <a:off x="6447" y="7336"/>
                            <a:ext cx="2214"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赛项仲裁委复议回复</w:t>
                              </w:r>
                            </w:p>
                          </w:txbxContent>
                        </wps:txbx>
                        <wps:bodyPr rot="0" vert="horz" wrap="square" lIns="91440" tIns="45720" rIns="91440" bIns="45720" anchor="t" anchorCtr="0" upright="1">
                          <a:noAutofit/>
                        </wps:bodyPr>
                      </wps:wsp>
                      <wps:wsp>
                        <wps:cNvPr id="17" name="Right Arrow 24"/>
                        <wps:cNvSpPr>
                          <a:spLocks noChangeArrowheads="1"/>
                        </wps:cNvSpPr>
                        <wps:spPr bwMode="auto">
                          <a:xfrm>
                            <a:off x="4701" y="293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18" name="Right Arrow 25"/>
                        <wps:cNvSpPr>
                          <a:spLocks noChangeArrowheads="1"/>
                        </wps:cNvSpPr>
                        <wps:spPr bwMode="auto">
                          <a:xfrm>
                            <a:off x="6731" y="293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19" name="Right Arrow 27"/>
                        <wps:cNvSpPr>
                          <a:spLocks noChangeArrowheads="1"/>
                        </wps:cNvSpPr>
                        <wps:spPr bwMode="auto">
                          <a:xfrm rot="10800000">
                            <a:off x="6895" y="4091"/>
                            <a:ext cx="400"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0" name="Right Arrow 28"/>
                        <wps:cNvSpPr>
                          <a:spLocks noChangeArrowheads="1"/>
                        </wps:cNvSpPr>
                        <wps:spPr bwMode="auto">
                          <a:xfrm rot="10800000">
                            <a:off x="4635" y="409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1" name="Right Arrow 24"/>
                        <wps:cNvSpPr>
                          <a:spLocks noChangeArrowheads="1"/>
                        </wps:cNvSpPr>
                        <wps:spPr bwMode="auto">
                          <a:xfrm>
                            <a:off x="4701" y="524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2" name="Down Arrow 30"/>
                        <wps:cNvSpPr>
                          <a:spLocks noChangeArrowheads="1"/>
                        </wps:cNvSpPr>
                        <wps:spPr bwMode="auto">
                          <a:xfrm>
                            <a:off x="7935" y="3408"/>
                            <a:ext cx="171" cy="432"/>
                          </a:xfrm>
                          <a:prstGeom prst="downArrow">
                            <a:avLst>
                              <a:gd name="adj1" fmla="val 50000"/>
                              <a:gd name="adj2" fmla="val 63158"/>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3" name="Down Arrow 31"/>
                        <wps:cNvSpPr>
                          <a:spLocks noChangeArrowheads="1"/>
                        </wps:cNvSpPr>
                        <wps:spPr bwMode="auto">
                          <a:xfrm>
                            <a:off x="3782" y="4556"/>
                            <a:ext cx="172" cy="432"/>
                          </a:xfrm>
                          <a:prstGeom prst="downArrow">
                            <a:avLst>
                              <a:gd name="adj1" fmla="val 50000"/>
                              <a:gd name="adj2" fmla="val 62791"/>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4" name="Straight Connector 32"/>
                        <wps:cNvCnPr>
                          <a:cxnSpLocks noChangeShapeType="1"/>
                        </wps:cNvCnPr>
                        <wps:spPr bwMode="auto">
                          <a:xfrm>
                            <a:off x="3954" y="6076"/>
                            <a:ext cx="3479" cy="1"/>
                          </a:xfrm>
                          <a:prstGeom prst="straightConnector1">
                            <a:avLst/>
                          </a:prstGeom>
                          <a:noFill/>
                          <a:ln w="9525">
                            <a:solidFill>
                              <a:srgbClr val="000000"/>
                            </a:solidFill>
                            <a:round/>
                          </a:ln>
                        </wps:spPr>
                        <wps:bodyPr/>
                      </wps:wsp>
                      <wps:wsp>
                        <wps:cNvPr id="25" name="Down Arrow 33"/>
                        <wps:cNvSpPr>
                          <a:spLocks noChangeArrowheads="1"/>
                        </wps:cNvSpPr>
                        <wps:spPr bwMode="auto">
                          <a:xfrm>
                            <a:off x="6099" y="5707"/>
                            <a:ext cx="142" cy="369"/>
                          </a:xfrm>
                          <a:prstGeom prst="downArrow">
                            <a:avLst>
                              <a:gd name="adj1" fmla="val 50000"/>
                              <a:gd name="adj2" fmla="val 64965"/>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6" name="Down Arrow 34"/>
                        <wps:cNvSpPr>
                          <a:spLocks noChangeArrowheads="1"/>
                        </wps:cNvSpPr>
                        <wps:spPr bwMode="auto">
                          <a:xfrm>
                            <a:off x="3898" y="6077"/>
                            <a:ext cx="123" cy="283"/>
                          </a:xfrm>
                          <a:prstGeom prst="downArrow">
                            <a:avLst>
                              <a:gd name="adj1" fmla="val 50000"/>
                              <a:gd name="adj2" fmla="val 57520"/>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7" name="Down Arrow 35"/>
                        <wps:cNvSpPr>
                          <a:spLocks noChangeArrowheads="1"/>
                        </wps:cNvSpPr>
                        <wps:spPr bwMode="auto">
                          <a:xfrm>
                            <a:off x="7365" y="6077"/>
                            <a:ext cx="123" cy="283"/>
                          </a:xfrm>
                          <a:prstGeom prst="downArrow">
                            <a:avLst>
                              <a:gd name="adj1" fmla="val 50000"/>
                              <a:gd name="adj2" fmla="val 57520"/>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8" name="Down Arrow 36"/>
                        <wps:cNvSpPr>
                          <a:spLocks noChangeArrowheads="1"/>
                        </wps:cNvSpPr>
                        <wps:spPr bwMode="auto">
                          <a:xfrm>
                            <a:off x="3898" y="7010"/>
                            <a:ext cx="123" cy="325"/>
                          </a:xfrm>
                          <a:prstGeom prst="downArrow">
                            <a:avLst>
                              <a:gd name="adj1" fmla="val 50000"/>
                              <a:gd name="adj2" fmla="val 66057"/>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9" name="Down Arrow 37"/>
                        <wps:cNvSpPr>
                          <a:spLocks noChangeArrowheads="1"/>
                        </wps:cNvSpPr>
                        <wps:spPr bwMode="auto">
                          <a:xfrm>
                            <a:off x="3898" y="7986"/>
                            <a:ext cx="123" cy="400"/>
                          </a:xfrm>
                          <a:prstGeom prst="downArrow">
                            <a:avLst>
                              <a:gd name="adj1" fmla="val 50000"/>
                              <a:gd name="adj2" fmla="val 81301"/>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30" name="Down Arrow 38"/>
                        <wps:cNvSpPr>
                          <a:spLocks noChangeArrowheads="1"/>
                        </wps:cNvSpPr>
                        <wps:spPr bwMode="auto">
                          <a:xfrm>
                            <a:off x="3898" y="9036"/>
                            <a:ext cx="124" cy="338"/>
                          </a:xfrm>
                          <a:prstGeom prst="downArrow">
                            <a:avLst>
                              <a:gd name="adj1" fmla="val 50000"/>
                              <a:gd name="adj2" fmla="val 68145"/>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31" name="Down Arrow 39"/>
                        <wps:cNvSpPr>
                          <a:spLocks noChangeArrowheads="1"/>
                        </wps:cNvSpPr>
                        <wps:spPr bwMode="auto">
                          <a:xfrm>
                            <a:off x="7365" y="7010"/>
                            <a:ext cx="124" cy="325"/>
                          </a:xfrm>
                          <a:prstGeom prst="downArrow">
                            <a:avLst>
                              <a:gd name="adj1" fmla="val 50000"/>
                              <a:gd name="adj2" fmla="val 65524"/>
                            </a:avLst>
                          </a:prstGeom>
                          <a:solidFill>
                            <a:srgbClr val="FFFFFF"/>
                          </a:solidFill>
                          <a:ln w="9525">
                            <a:solidFill>
                              <a:srgbClr val="000000"/>
                            </a:solidFill>
                            <a:miter lim="200000"/>
                          </a:ln>
                        </wps:spPr>
                        <wps:bodyPr rot="0" vert="eaVert" wrap="square" lIns="91440" tIns="45720" rIns="91440" bIns="45720" anchor="t" anchorCtr="0" upright="1">
                          <a:noAutofit/>
                        </wps:bodyPr>
                      </wps:wsp>
                    </wpg:wgp>
                  </a:graphicData>
                </a:graphic>
              </wp:inline>
            </w:drawing>
          </mc:Choice>
          <mc:Fallback>
            <w:pict>
              <v:group id="_x0000_s1026" o:spid="_x0000_s1026" o:spt="203" style="height:510pt;width:415.3pt;" coordorigin="2360,2417" coordsize="7200,7608" o:gfxdata="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">
                <o:lock v:ext="edit" aspectratio="f"/>
                <v:rect id="Picture 7" o:spid="_x0000_s1026" o:spt="1" style="position:absolute;left:2360;top:2417;height:7608;width:7200;"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aspectratio="t"/>
                </v:rect>
                <v:shape id="Flowchart: Alternate Process 8" o:spid="_x0000_s1026" o:spt="176" type="#_x0000_t176" style="position:absolute;left:3072;top:2678;height:571;width:1484;" fillcolor="#FFFFFF" filled="t" stroked="t" coordsize="21600,21600" o:gfxdata="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Makw7sAAADa&#10;AAAADwAAAAAAAAABACAAAAAiAAAAZHJzL2Rvd25yZXYueG1sUEsBAhQAFAAAAAgAh07iQDMvBZ47&#10;AAAAOQAAABAAAAAAAAAAAQAgAAAACgEAAGRycy9zaGFwZXhtbC54bWxQSwUGAAAAAAYABgBbAQAA&#10;tA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参赛队注册</w:t>
                        </w:r>
                      </w:p>
                    </w:txbxContent>
                  </v:textbox>
                </v:shape>
                <v:shape id="Flowchart: Alternate Process 9" o:spid="_x0000_s1026" o:spt="176" type="#_x0000_t176" style="position:absolute;left:5265;top:2678;height:650;width:1454;" fillcolor="#FFFFFF" filled="t" stroked="t" coordsize="21600,21600" o:gfxdata="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y88t7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赛前说明会</w:t>
                        </w:r>
                      </w:p>
                    </w:txbxContent>
                  </v:textbox>
                </v:shape>
                <v:shape id="Flowchart: Alternate Process 10" o:spid="_x0000_s1026" o:spt="176" type="#_x0000_t176" style="position:absolute;left:7295;top:2678;height:650;width:1453;" fillcolor="#FFFFFF" filled="t" stroked="t" coordsize="21600,21600" o:gfxdata="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Y5ksvQAA&#10;ANo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熟悉赛场</w:t>
                        </w:r>
                      </w:p>
                    </w:txbxContent>
                  </v:textbox>
                </v:shape>
                <v:shape id="Flowchart: Alternate Process 11" o:spid="_x0000_s1026" o:spt="176" type="#_x0000_t176" style="position:absolute;left:7295;top:3840;height:651;width:1453;" fillcolor="#FFFFFF" filled="t" stroked="t" coordsize="21600,21600" o:gfxdata="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EHW7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_GB2312" w:eastAsia="仿宋_GB2312"/>
                            <w:szCs w:val="21"/>
                          </w:rPr>
                        </w:pPr>
                        <w:r>
                          <w:rPr>
                            <w:rFonts w:hint="eastAsia" w:ascii="仿宋" w:hAnsi="仿宋" w:eastAsia="仿宋" w:cs="仿宋"/>
                            <w:color w:val="000000"/>
                            <w:sz w:val="24"/>
                          </w:rPr>
                          <w:t xml:space="preserve">检录、两次加密及入场 </w:t>
                        </w:r>
                        <w:r>
                          <w:rPr>
                            <w:rFonts w:hint="eastAsia" w:ascii="仿宋_GB2312" w:eastAsia="仿宋_GB2312"/>
                            <w:szCs w:val="21"/>
                          </w:rPr>
                          <w:t xml:space="preserve"> </w:t>
                        </w:r>
                      </w:p>
                    </w:txbxContent>
                  </v:textbox>
                </v:shape>
                <v:shape id="Flowchart: Alternate Process 12" o:spid="_x0000_s1026" o:spt="176" type="#_x0000_t176" style="position:absolute;left:5199;top:3840;height:651;width:1669;" fillcolor="#FFFFFF" filled="t" stroked="t" coordsize="21600,21600" o:gfxdata="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2iwL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spacing w:line="400" w:lineRule="exact"/>
                          <w:jc w:val="center"/>
                          <w:rPr>
                            <w:rFonts w:ascii="仿宋" w:hAnsi="仿宋" w:eastAsia="仿宋" w:cs="仿宋"/>
                            <w:color w:val="000000"/>
                            <w:sz w:val="24"/>
                          </w:rPr>
                        </w:pPr>
                        <w:r>
                          <w:rPr>
                            <w:rFonts w:hint="eastAsia" w:ascii="仿宋" w:hAnsi="仿宋" w:eastAsia="仿宋" w:cs="仿宋"/>
                            <w:color w:val="000000"/>
                            <w:sz w:val="24"/>
                          </w:rPr>
                          <w:t>30分钟准备</w:t>
                        </w:r>
                      </w:p>
                      <w:p>
                        <w:pPr>
                          <w:rPr>
                            <w:szCs w:val="21"/>
                          </w:rPr>
                        </w:pPr>
                      </w:p>
                    </w:txbxContent>
                  </v:textbox>
                </v:shape>
                <v:shape id="Flowchart: Alternate Process 13" o:spid="_x0000_s1026" o:spt="176" type="#_x0000_t176" style="position:absolute;left:2958;top:3840;height:651;width:1677;" fillcolor="#FFFFFF" filled="t" stroked="t" coordsize="21600,21600" o:gfxdata="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6YjayugAAANoA&#10;AAAPAAAAAAAAAAEAIAAAACIAAABkcnMvZG93bnJldi54bWxQSwECFAAUAAAACACHTuJAMy8FnjsA&#10;AAA5AAAAEAAAAAAAAAABACAAAAAJAQAAZHJzL3NoYXBleG1sLnhtbFBLBQYAAAAABgAGAFsBAACz&#10;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宣布比赛开始</w:t>
                        </w:r>
                      </w:p>
                    </w:txbxContent>
                  </v:textbox>
                </v:shape>
                <v:shape id="Flowchart: Alternate Process 10" o:spid="_x0000_s1026" o:spt="176" type="#_x0000_t176" style="position:absolute;left:2958;top:4988;height:651;width:1677;" fillcolor="#FFFFFF" filled="t" stroked="t" coordsize="21600,21600" o:gfxdata="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S6TKb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比赛操作</w:t>
                        </w:r>
                      </w:p>
                    </w:txbxContent>
                  </v:textbox>
                </v:shape>
                <v:shape id="Flowchart: Alternate Process 15" o:spid="_x0000_s1026" o:spt="176" type="#_x0000_t176" style="position:absolute;left:5265;top:4914;height:724;width:1871;" fillcolor="#FFFFFF" filled="t" stroked="t" coordsize="21600,21600" o:gfxdata="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30Qw74A&#10;AADb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宣布比赛结束</w:t>
                        </w:r>
                      </w:p>
                      <w:p>
                        <w:pPr>
                          <w:rPr>
                            <w:rFonts w:ascii="仿宋" w:hAnsi="仿宋" w:eastAsia="仿宋" w:cs="仿宋"/>
                            <w:color w:val="000000"/>
                            <w:sz w:val="24"/>
                          </w:rPr>
                        </w:pPr>
                        <w:r>
                          <w:rPr>
                            <w:rFonts w:hint="eastAsia" w:ascii="仿宋" w:hAnsi="仿宋" w:eastAsia="仿宋" w:cs="仿宋"/>
                            <w:color w:val="000000"/>
                            <w:sz w:val="24"/>
                          </w:rPr>
                          <w:t>，并提交结果</w:t>
                        </w:r>
                      </w:p>
                    </w:txbxContent>
                  </v:textbox>
                </v:shape>
                <v:shape id="Flowchart: Alternate Process 16" o:spid="_x0000_s1026" o:spt="176" type="#_x0000_t176" style="position:absolute;left:3342;top:6360;height:651;width:1139;" fillcolor="#FFFFFF" filled="t" stroked="t" coordsize="21600,21600" o:gfxdata="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xtVi/&#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评分</w:t>
                        </w:r>
                      </w:p>
                    </w:txbxContent>
                  </v:textbox>
                </v:shape>
                <v:shape id="Flowchart: Alternate Process 17" o:spid="_x0000_s1026" o:spt="176" type="#_x0000_t176" style="position:absolute;left:3071;top:7336;height:650;width:1737;" fillcolor="#FFFFFF" filled="t" stroked="t" coordsize="21600,21600" o:gfxdata="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4ysvvQAA&#10;ANs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成绩复核确认</w:t>
                        </w:r>
                      </w:p>
                    </w:txbxContent>
                  </v:textbox>
                </v:shape>
                <v:shape id="Flowchart: Alternate Process 18" o:spid="_x0000_s1026" o:spt="176" type="#_x0000_t176" style="position:absolute;left:3072;top:8386;height:650;width:1736;" fillcolor="#FFFFFF" filled="t" stroked="t" coordsize="21600,21600" o:gfxdata="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r460vQAA&#10;ANs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解密并录入上报</w:t>
                        </w:r>
                      </w:p>
                    </w:txbxContent>
                  </v:textbox>
                </v:shape>
                <v:shape id="Flowchart: Alternate Process 19" o:spid="_x0000_s1026" o:spt="176" type="#_x0000_t176" style="position:absolute;left:3072;top:9374;height:651;width:1801;" fillcolor="#FFFFFF" filled="t" stroked="t" coordsize="21600,21600" o:gfxdata="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RGFsC/&#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闭赛式公布成绩</w:t>
                        </w:r>
                      </w:p>
                    </w:txbxContent>
                  </v:textbox>
                </v:shape>
                <v:shape id="Flowchart: Alternate Process 20" o:spid="_x0000_s1026" o:spt="176" type="#_x0000_t176" style="position:absolute;left:6796;top:6359;height:651;width:1310;" fillcolor="#FFFFFF" filled="t" stroked="t" coordsize="21600,21600" o:gfxdata="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Ks1u/&#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仲裁申请</w:t>
                        </w:r>
                      </w:p>
                    </w:txbxContent>
                  </v:textbox>
                </v:shape>
                <v:shape id="Flowchart: Alternate Process 21" o:spid="_x0000_s1026" o:spt="176" type="#_x0000_t176" style="position:absolute;left:6447;top:7336;height:650;width:2214;" fillcolor="#FFFFFF" filled="t" stroked="t" coordsize="21600,21600" o:gfxdata="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vYLSy/&#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赛项仲裁委复议回复</w:t>
                        </w:r>
                      </w:p>
                    </w:txbxContent>
                  </v:textbox>
                </v:shape>
                <v:shape id="Right Arrow 24" o:spid="_x0000_s1026" o:spt="13" type="#_x0000_t13" style="position:absolute;left:4701;top:2931;height:141;width:564;" fillcolor="#FFFFFF" filled="t" stroked="t" coordsize="21600,21600" o:gfxdata="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n+IZvQAA&#10;ANsAAAAPAAAAAAAAAAEAIAAAACIAAABkcnMvZG93bnJldi54bWxQSwECFAAUAAAACACHTuJAMy8F&#10;njsAAAA5AAAAEAAAAAAAAAABACAAAAAMAQAAZHJzL3NoYXBleG1sLnhtbFBLBQYAAAAABgAGAFsB&#10;AAC2AwAAAAA=&#10;" adj="16200,5400">
                  <v:fill on="t" focussize="0,0"/>
                  <v:stroke color="#000000" miterlimit="2" joinstyle="miter"/>
                  <v:imagedata o:title=""/>
                  <o:lock v:ext="edit" aspectratio="f"/>
                </v:shape>
                <v:shape id="Right Arrow 25" o:spid="_x0000_s1026" o:spt="13" type="#_x0000_t13" style="position:absolute;left:6731;top:2931;height:141;width:564;" fillcolor="#FFFFFF" filled="t" stroked="t" coordsize="21600,21600" o:gfxdata="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QB2a74A&#10;AADbAAAADwAAAAAAAAABACAAAAAiAAAAZHJzL2Rvd25yZXYueG1sUEsBAhQAFAAAAAgAh07iQDMv&#10;BZ47AAAAOQAAABAAAAAAAAAAAQAgAAAADQEAAGRycy9zaGFwZXhtbC54bWxQSwUGAAAAAAYABgBb&#10;AQAAtwMAAAAA&#10;" adj="16200,5400">
                  <v:fill on="t" focussize="0,0"/>
                  <v:stroke color="#000000" miterlimit="2" joinstyle="miter"/>
                  <v:imagedata o:title=""/>
                  <o:lock v:ext="edit" aspectratio="f"/>
                </v:shape>
                <v:shape id="Right Arrow 27" o:spid="_x0000_s1026" o:spt="13" type="#_x0000_t13" style="position:absolute;left:6895;top:4091;height:141;width:400;rotation:11796480f;" fillcolor="#FFFFFF" filled="t" stroked="t" coordsize="21600,21600" o:gfxdata="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J9oFLgAAADbAAAA&#10;DwAAAAAAAAABACAAAAAiAAAAZHJzL2Rvd25yZXYueG1sUEsBAhQAFAAAAAgAh07iQDMvBZ47AAAA&#10;OQAAABAAAAAAAAAAAQAgAAAABwEAAGRycy9zaGFwZXhtbC54bWxQSwUGAAAAAAYABgBbAQAAsQMA&#10;AAAA&#10;" adj="13986,5400">
                  <v:fill on="t" focussize="0,0"/>
                  <v:stroke color="#000000" miterlimit="2" joinstyle="miter"/>
                  <v:imagedata o:title=""/>
                  <o:lock v:ext="edit" aspectratio="f"/>
                </v:shape>
                <v:shape id="Right Arrow 28" o:spid="_x0000_s1026" o:spt="13" type="#_x0000_t13" style="position:absolute;left:4635;top:4091;height:141;width:564;rotation:11796480f;" fillcolor="#FFFFFF" filled="t" stroked="t" coordsize="21600,21600" o:gfxdata="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aIzYq5AAAA2wAA&#10;AA8AAAAAAAAAAQAgAAAAIgAAAGRycy9kb3ducmV2LnhtbFBLAQIUABQAAAAIAIdO4kAzLwWeOwAA&#10;ADkAAAAQAAAAAAAAAAEAIAAAAAgBAABkcnMvc2hhcGV4bWwueG1sUEsFBgAAAAAGAAYAWwEAALID&#10;AAAAAA==&#10;" adj="16200,5400">
                  <v:fill on="t" focussize="0,0"/>
                  <v:stroke color="#000000" miterlimit="2" joinstyle="miter"/>
                  <v:imagedata o:title=""/>
                  <o:lock v:ext="edit" aspectratio="f"/>
                </v:shape>
                <v:shape id="Right Arrow 24" o:spid="_x0000_s1026" o:spt="13" type="#_x0000_t13" style="position:absolute;left:4701;top:5241;height:141;width:564;" fillcolor="#FFFFFF" filled="t" stroked="t" coordsize="21600,21600" o:gfxdata="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5WFUu/&#10;AAAA2wAAAA8AAAAAAAAAAQAgAAAAIgAAAGRycy9kb3ducmV2LnhtbFBLAQIUABQAAAAIAIdO4kAz&#10;LwWeOwAAADkAAAAQAAAAAAAAAAEAIAAAAA4BAABkcnMvc2hhcGV4bWwueG1sUEsFBgAAAAAGAAYA&#10;WwEAALgDAAAAAA==&#10;" adj="16200,5400">
                  <v:fill on="t" focussize="0,0"/>
                  <v:stroke color="#000000" miterlimit="2" joinstyle="miter"/>
                  <v:imagedata o:title=""/>
                  <o:lock v:ext="edit" aspectratio="f"/>
                </v:shape>
                <v:shape id="Down Arrow 30" o:spid="_x0000_s1026" o:spt="67" type="#_x0000_t67" style="position:absolute;left:7935;top:3408;height:432;width:171;" fillcolor="#FFFFFF" filled="t" stroked="t" coordsize="21600,21600" o:gfxdata="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9Q1RT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1" o:spid="_x0000_s1026" o:spt="67" type="#_x0000_t67" style="position:absolute;left:3782;top:4556;height:432;width:172;" fillcolor="#FFFFFF" filled="t" stroked="t" coordsize="21600,21600" o:gfxdata="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SD/HI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Straight Connector 32" o:spid="_x0000_s1026" o:spt="32" type="#_x0000_t32" style="position:absolute;left:3954;top:6076;height:1;width:3479;" filled="f" stroked="t" coordsize="21600,21600" o:gfxdata="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Hxre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Down Arrow 33" o:spid="_x0000_s1026" o:spt="67" type="#_x0000_t67" style="position:absolute;left:6099;top:5707;height:369;width:142;" fillcolor="#FFFFFF" filled="t" stroked="t" coordsize="21600,21600" o:gfxdata="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yqswn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4" o:spid="_x0000_s1026" o:spt="67" type="#_x0000_t67" style="position:absolute;left:3898;top:6077;height:283;width:123;" fillcolor="#FFFFFF" filled="t" stroked="t" coordsize="21600,21600" o:gfxdata="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GhJJLgAAADbAAAA&#10;DwAAAAAAAAABACAAAAAiAAAAZHJzL2Rvd25yZXYueG1sUEsBAhQAFAAAAAgAh07iQDMvBZ47AAAA&#10;OQAAABAAAAAAAAAAAQAgAAAABwEAAGRycy9zaGFwZXhtbC54bWxQSwUGAAAAAAYABgBbAQAAsQMA&#10;AAAA&#10;" adj="16201,5400">
                  <v:fill on="t" focussize="0,0"/>
                  <v:stroke color="#000000" miterlimit="2" joinstyle="miter"/>
                  <v:imagedata o:title=""/>
                  <o:lock v:ext="edit" aspectratio="f"/>
                  <v:textbox style="layout-flow:vertical-ideographic;"/>
                </v:shape>
                <v:shape id="Down Arrow 35" o:spid="_x0000_s1026" o:spt="67" type="#_x0000_t67" style="position:absolute;left:7365;top:6077;height:283;width:123;" fillcolor="#FFFFFF" filled="t" stroked="t" coordsize="21600,21600" o:gfxdata="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HJOy/ugAAANsA&#10;AAAPAAAAAAAAAAEAIAAAACIAAABkcnMvZG93bnJldi54bWxQSwECFAAUAAAACACHTuJAMy8FnjsA&#10;AAA5AAAAEAAAAAAAAAABACAAAAAJAQAAZHJzL3NoYXBleG1sLnhtbFBLBQYAAAAABgAGAFsBAACz&#10;AwAAAAA=&#10;" adj="16201,5400">
                  <v:fill on="t" focussize="0,0"/>
                  <v:stroke color="#000000" miterlimit="2" joinstyle="miter"/>
                  <v:imagedata o:title=""/>
                  <o:lock v:ext="edit" aspectratio="f"/>
                  <v:textbox style="layout-flow:vertical-ideographic;"/>
                </v:shape>
                <v:shape id="Down Arrow 36" o:spid="_x0000_s1026" o:spt="67" type="#_x0000_t67" style="position:absolute;left:3898;top:7010;height:325;width:123;" fillcolor="#FFFFFF" filled="t" stroked="t" coordsize="21600,21600" o:gfxdata="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cq2O5tAAAANsAAAAPAAAA&#10;AAAAAAEAIAAAACIAAABkcnMvZG93bnJldi54bWxQSwECFAAUAAAACACHTuJAMy8FnjsAAAA5AAAA&#10;EAAAAAAAAAABACAAAAADAQAAZHJzL3NoYXBleG1sLnhtbFBLBQYAAAAABgAGAFsBAACtAwAAAAA=&#10;" adj="16200,5400">
                  <v:fill on="t" focussize="0,0"/>
                  <v:stroke color="#000000" miterlimit="2" joinstyle="miter"/>
                  <v:imagedata o:title=""/>
                  <o:lock v:ext="edit" aspectratio="f"/>
                  <v:textbox style="layout-flow:vertical-ideographic;"/>
                </v:shape>
                <v:shape id="Down Arrow 37" o:spid="_x0000_s1026" o:spt="67" type="#_x0000_t67" style="position:absolute;left:3898;top:7986;height:400;width:123;" fillcolor="#FFFFFF" filled="t" stroked="t" coordsize="21600,21600" o:gfxdata="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z58Yi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8" o:spid="_x0000_s1026" o:spt="67" type="#_x0000_t67" style="position:absolute;left:3898;top:9036;height:338;width:124;" fillcolor="#FFFFFF" filled="t" stroked="t" coordsize="21600,21600" o:gfxdata="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E0U4hazAAAA2wAAAA8AAAAA&#10;AAAAAQAgAAAAIgAAAGRycy9kb3ducmV2LnhtbFBLAQIUABQAAAAIAIdO4kAzLwWeOwAAADkAAAAQ&#10;AAAAAAAAAAEAIAAAAAIBAABkcnMvc2hhcGV4bWwueG1sUEsFBgAAAAAGAAYAWwEAAKwDAAAAAA==&#10;" adj="16201,5400">
                  <v:fill on="t" focussize="0,0"/>
                  <v:stroke color="#000000" miterlimit="2" joinstyle="miter"/>
                  <v:imagedata o:title=""/>
                  <o:lock v:ext="edit" aspectratio="f"/>
                  <v:textbox style="layout-flow:vertical-ideographic;"/>
                </v:shape>
                <v:shape id="Down Arrow 39" o:spid="_x0000_s1026" o:spt="67" type="#_x0000_t67" style="position:absolute;left:7365;top:7010;height:325;width:124;" fillcolor="#FFFFFF" filled="t" stroked="t" coordsize="21600,21600" o:gfxdata="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WEeNugAAANsA&#10;AAAPAAAAAAAAAAEAIAAAACIAAABkcnMvZG93bnJldi54bWxQSwECFAAUAAAACACHTuJAMy8FnjsA&#10;AAA5AAAAEAAAAAAAAAABACAAAAAJAQAAZHJzL3NoYXBleG1sLnhtbFBLBQYAAAAABgAGAFsBAACz&#10;AwAAAAA=&#10;" adj="16201,5400">
                  <v:fill on="t" focussize="0,0"/>
                  <v:stroke color="#000000" miterlimit="2" joinstyle="miter"/>
                  <v:imagedata o:title=""/>
                  <o:lock v:ext="edit" aspectratio="f"/>
                  <v:textbox style="layout-flow:vertical-ideographic;"/>
                </v:shape>
                <w10:wrap type="none"/>
                <w10:anchorlock/>
              </v:group>
            </w:pict>
          </mc:Fallback>
        </mc:AlternateContent>
      </w:r>
    </w:p>
    <w:p>
      <w:pPr>
        <w:spacing w:line="560" w:lineRule="exact"/>
        <w:rPr>
          <w:rFonts w:ascii="仿宋" w:hAnsi="仿宋" w:eastAsia="仿宋" w:cs="OEEEEV+FZHTJW--GB1-0"/>
          <w:color w:val="000000"/>
          <w:sz w:val="28"/>
          <w:szCs w:val="28"/>
        </w:rPr>
      </w:pPr>
    </w:p>
    <w:p>
      <w:pPr>
        <w:jc w:val="center"/>
        <w:rPr>
          <w:rFonts w:ascii="仿宋" w:hAnsi="仿宋" w:eastAsia="仿宋"/>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六、竞赛试题</w:t>
      </w:r>
    </w:p>
    <w:p>
      <w:pPr>
        <w:adjustRightInd w:val="0"/>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本赛项在正式比赛前公开竞赛试题。公开内容：赛题纸质文档电子版及竞赛辅助技术资料电子版。</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七、竞赛规则</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（一）报名资格</w:t>
      </w:r>
    </w:p>
    <w:p>
      <w:pPr>
        <w:adjustRightInd w:val="0"/>
        <w:snapToGrid w:val="0"/>
        <w:spacing w:line="560" w:lineRule="exact"/>
        <w:ind w:firstLine="560" w:firstLineChars="200"/>
        <w:rPr>
          <w:rFonts w:hint="eastAsia" w:ascii="仿宋" w:hAnsi="仿宋" w:eastAsia="仿宋" w:cs="仿宋_GB2312"/>
          <w:color w:val="000000"/>
          <w:sz w:val="28"/>
          <w:szCs w:val="28"/>
        </w:rPr>
      </w:pPr>
      <w:r>
        <w:rPr>
          <w:rFonts w:hint="eastAsia" w:ascii="仿宋" w:hAnsi="仿宋" w:eastAsia="仿宋" w:cs="仿宋_GB2312"/>
          <w:color w:val="000000"/>
          <w:sz w:val="28"/>
          <w:szCs w:val="28"/>
        </w:rPr>
        <w:t>1.参赛选手须为2名高职院校全日制在籍学生</w:t>
      </w:r>
      <w:r>
        <w:rPr>
          <w:rFonts w:hint="eastAsia" w:ascii="仿宋" w:hAnsi="仿宋" w:eastAsia="仿宋" w:cs="仿宋_GB2312"/>
          <w:color w:val="000000"/>
          <w:sz w:val="28"/>
          <w:szCs w:val="28"/>
          <w:lang w:eastAsia="zh-CN"/>
        </w:rPr>
        <w:t>，</w:t>
      </w:r>
      <w:r>
        <w:rPr>
          <w:rFonts w:hint="eastAsia" w:ascii="仿宋" w:hAnsi="仿宋" w:eastAsia="仿宋" w:cs="仿宋_GB2312"/>
          <w:color w:val="000000"/>
          <w:sz w:val="28"/>
          <w:szCs w:val="28"/>
        </w:rPr>
        <w:t>本科院校中高职类全日制在籍学生；五年制高职四、五年级学生可报名参加高职组比赛。高职组参赛选手年龄须不超过25周岁（当年），年龄计算的截止时间以</w:t>
      </w:r>
      <w:bookmarkStart w:id="5" w:name="_GoBack"/>
      <w:r>
        <w:rPr>
          <w:rFonts w:hint="eastAsia" w:ascii="仿宋" w:hAnsi="仿宋" w:eastAsia="仿宋" w:cs="仿宋_GB2312"/>
          <w:color w:val="auto"/>
          <w:sz w:val="28"/>
          <w:szCs w:val="28"/>
          <w:lang w:eastAsia="zh-CN"/>
        </w:rPr>
        <w:t>20</w:t>
      </w:r>
      <w:r>
        <w:rPr>
          <w:rFonts w:hint="eastAsia" w:ascii="仿宋" w:hAnsi="仿宋" w:eastAsia="仿宋" w:cs="仿宋_GB2312"/>
          <w:color w:val="auto"/>
          <w:sz w:val="28"/>
          <w:szCs w:val="28"/>
          <w:lang w:val="en-US" w:eastAsia="zh-CN"/>
        </w:rPr>
        <w:t>21</w:t>
      </w:r>
      <w:r>
        <w:rPr>
          <w:rFonts w:hint="eastAsia" w:ascii="仿宋" w:hAnsi="仿宋" w:eastAsia="仿宋" w:cs="仿宋_GB2312"/>
          <w:color w:val="auto"/>
          <w:sz w:val="28"/>
          <w:szCs w:val="28"/>
        </w:rPr>
        <w:t>年</w:t>
      </w:r>
      <w:r>
        <w:rPr>
          <w:rFonts w:hint="eastAsia" w:ascii="仿宋" w:hAnsi="仿宋" w:eastAsia="仿宋" w:cs="仿宋_GB2312"/>
          <w:color w:val="auto"/>
          <w:sz w:val="28"/>
          <w:szCs w:val="28"/>
          <w:lang w:val="en-US" w:eastAsia="zh-CN"/>
        </w:rPr>
        <w:t>10</w:t>
      </w:r>
      <w:r>
        <w:rPr>
          <w:rFonts w:hint="eastAsia" w:ascii="仿宋" w:hAnsi="仿宋" w:eastAsia="仿宋" w:cs="仿宋_GB2312"/>
          <w:color w:val="auto"/>
          <w:sz w:val="28"/>
          <w:szCs w:val="28"/>
        </w:rPr>
        <w:t>月</w:t>
      </w:r>
      <w:r>
        <w:rPr>
          <w:rFonts w:hint="eastAsia" w:ascii="仿宋" w:hAnsi="仿宋" w:eastAsia="仿宋" w:cs="仿宋_GB2312"/>
          <w:color w:val="auto"/>
          <w:sz w:val="28"/>
          <w:szCs w:val="28"/>
          <w:lang w:val="en-US" w:eastAsia="zh-CN"/>
        </w:rPr>
        <w:t>30</w:t>
      </w:r>
      <w:r>
        <w:rPr>
          <w:rFonts w:hint="eastAsia" w:ascii="仿宋" w:hAnsi="仿宋" w:eastAsia="仿宋" w:cs="仿宋_GB2312"/>
          <w:color w:val="auto"/>
          <w:sz w:val="28"/>
          <w:szCs w:val="28"/>
        </w:rPr>
        <w:t>日</w:t>
      </w:r>
      <w:bookmarkEnd w:id="5"/>
      <w:r>
        <w:rPr>
          <w:rFonts w:hint="eastAsia" w:ascii="仿宋" w:hAnsi="仿宋" w:eastAsia="仿宋" w:cs="仿宋_GB2312"/>
          <w:color w:val="000000"/>
          <w:sz w:val="28"/>
          <w:szCs w:val="28"/>
          <w:lang w:eastAsia="zh-CN"/>
        </w:rPr>
        <w:t>前</w:t>
      </w:r>
      <w:r>
        <w:rPr>
          <w:rFonts w:hint="eastAsia" w:ascii="仿宋" w:hAnsi="仿宋" w:eastAsia="仿宋" w:cs="仿宋_GB2312"/>
          <w:color w:val="000000"/>
          <w:sz w:val="28"/>
          <w:szCs w:val="28"/>
        </w:rPr>
        <w:t>为准。</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2.每参赛队限报2名指导教师，指导教师须为本校专兼职教师。</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3.每个学校</w:t>
      </w:r>
      <w:r>
        <w:rPr>
          <w:rFonts w:hint="eastAsia" w:ascii="仿宋" w:hAnsi="仿宋" w:eastAsia="仿宋" w:cs="仿宋_GB2312"/>
          <w:color w:val="000000"/>
          <w:sz w:val="28"/>
          <w:szCs w:val="28"/>
          <w:lang w:eastAsia="zh-CN"/>
        </w:rPr>
        <w:t>限</w:t>
      </w:r>
      <w:r>
        <w:rPr>
          <w:rFonts w:hint="eastAsia" w:ascii="仿宋" w:hAnsi="仿宋" w:eastAsia="仿宋" w:cs="仿宋_GB2312"/>
          <w:color w:val="000000"/>
          <w:sz w:val="28"/>
          <w:szCs w:val="28"/>
        </w:rPr>
        <w:t>报名</w:t>
      </w:r>
      <w:r>
        <w:rPr>
          <w:rFonts w:hint="eastAsia" w:ascii="仿宋" w:hAnsi="仿宋" w:eastAsia="仿宋" w:cs="仿宋_GB2312"/>
          <w:color w:val="000000"/>
          <w:sz w:val="28"/>
          <w:szCs w:val="28"/>
          <w:lang w:eastAsia="zh-CN"/>
        </w:rPr>
        <w:t>两</w:t>
      </w:r>
      <w:r>
        <w:rPr>
          <w:rFonts w:hint="eastAsia" w:ascii="仿宋" w:hAnsi="仿宋" w:eastAsia="仿宋" w:cs="仿宋_GB2312"/>
          <w:color w:val="000000"/>
          <w:sz w:val="28"/>
          <w:szCs w:val="28"/>
        </w:rPr>
        <w:t>支参赛队伍。</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（二）熟悉场地</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1.正式比赛前1天，统一安排各参赛队有序地熟悉场地，熟悉场地限定在观摩区活动，不允许进入比赛区。</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2.熟悉场地时严禁与现场工作人员进行交流，不发表没有根据以及有损大赛整体形象的言论。</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3.熟悉场地期间严禁拥挤，喧哗，以免发生意外事故。</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（三）赛场要求</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1.参赛队选手在比赛开始前60分钟到赛场指定地点报到，接受工作人员对选手身份、资格和有关证件的检查。</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2.参赛队赛位由两次加密确定，确定的赛位不得擅自变更、调整。</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3.参赛队选手进入指定赛位后，在裁判长发布“赛前30分钟准备”指令之前，不得进行包括设备检查和调试在内的任何操作。竞赛计时开始后，参赛队选手未到的，视为自动放弃。</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4.比赛期间赛项执委会适时提供饮水，参赛队选手不得离开指定的场地，且休息、饮水、上洗手间等，不安排专门用时，统一计在竞赛时间内。</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5.竞赛所需的电脑、配套硬件、软件、检测维修所用的工具仪器统一提供，参赛队选手可以根据竞赛需要自行选择使用（不得自带）。</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6.严禁参赛队选手私自携带通信、存储、照相、摄录等设备进入赛场。</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7.所有人员在赛场内不得喧哗，不得有影响其他选手完成竞赛任务的行为。</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8.竞赛操作结束时，参赛队选手应按照指定路线有序离开赛场。</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（四）成绩评定及公布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1.竞赛结束后，由各裁判组对参赛选手提交的竞赛结果逐项评分，并进行成绩汇总和复核，汇总复核后的成绩经裁判长、监督人员核准签字后上交执委会，经执委会核准确认后，在赛项闭赛式上公布。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2.竞赛结果的评分方法及标准见本规程的“十一成绩评定”项。</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八、竞赛环境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赛场总面积不小于1</w:t>
      </w:r>
      <w:r>
        <w:rPr>
          <w:rFonts w:hint="eastAsia" w:ascii="仿宋" w:hAnsi="仿宋" w:eastAsia="仿宋" w:cs="仿宋_GB2312"/>
          <w:color w:val="000000"/>
          <w:sz w:val="28"/>
          <w:szCs w:val="28"/>
          <w:lang w:val="en-US" w:eastAsia="zh-CN"/>
        </w:rPr>
        <w:t>00</w:t>
      </w:r>
      <w:r>
        <w:rPr>
          <w:rFonts w:hint="eastAsia" w:ascii="仿宋" w:hAnsi="仿宋" w:eastAsia="仿宋" w:cs="仿宋_GB2312"/>
          <w:color w:val="000000"/>
          <w:sz w:val="28"/>
          <w:szCs w:val="28"/>
        </w:rPr>
        <w:t>㎡，依参赛名额确定比赛工作区，每个赛位面积在10㎡左右且标明编号，赛位之间的通道间隔不小于1.5米，工位间加装隔离挡板和隔离线。另外，设置医务、监考/裁判会议室兼休息室1间和加密隔离室2间，设备、材料、工具、耗材等储藏室1间。</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环境标准要求保证赛场采光(大于500lux)、照明和通风良好；提供稳定的水、电，并提供应急的备用电源。在竞赛不被干扰的前提下赛场全面开放，欢迎各界人员沿指定路线、在指定区域内到现场观赛。具备两个以上安全疏散通道，并设有应急疏散图，配备必要的灭火器材。</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颁奖场地、参赛队选手及指导教师休息场地另计。</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九、技术规范</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（一）职业素养</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1.敬业爱岗，忠于职守，严于律已，刻苦钻研；</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2.勤于学习，善于思考，勇于探索，敏于创新；</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3.认真负责，吃苦耐劳，团结协作，精益求精；</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4.遵守操作规程，安全、文明生产；</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5.着装规范整洁，爱护设备，保持工作环境清洁有序。</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（二）相关知识与技能</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1.电工与电子技术基础</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2.电子产品装接工艺与流程</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3.计算机应用技能</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4.电子产品的故障检测与维修</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5.硬盘维修与数据恢复技术</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（三）相关职业标准</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1.家用电子产品维修工国家职业标准（职业编码4-07-10-01）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2.计算机操作员国家职业标准（职业编码3-01-02-05）</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3.计算机（微机）维修工国家职业标准（职业编码6-08-05-01）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4.计算机硬件技术人员国家职业标准（职业编码2-02-13-01）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5.电子计算机装配调试员国家职业标准（职业编码6-08-04-07）</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6.电子设备装接工国家职业标准（职业编码6-08-04-02）</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7.IPC/EIA J-STD-001C Requirements for Soldered Electrical &amp; Electronic Assemblies</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8.IPC-A-610C Acceptability of Electronic Assemblies</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 xml:space="preserve">9.SMC-WP-003 Chip Mounting Technology </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10.IPC-MC-790 Guidelines for Multichip Module Technology Utilization</w:t>
      </w:r>
    </w:p>
    <w:p>
      <w:pPr>
        <w:snapToGrid w:val="0"/>
        <w:spacing w:line="560" w:lineRule="exact"/>
        <w:ind w:firstLine="560" w:firstLineChars="200"/>
        <w:contextualSpacing/>
        <w:rPr>
          <w:rFonts w:ascii="仿宋" w:hAnsi="仿宋" w:eastAsia="仿宋" w:cs="仿宋_GB2312"/>
          <w:sz w:val="28"/>
          <w:szCs w:val="28"/>
        </w:rPr>
      </w:pPr>
      <w:r>
        <w:rPr>
          <w:rFonts w:hint="eastAsia" w:ascii="仿宋" w:hAnsi="仿宋" w:eastAsia="仿宋" w:cs="仿宋_GB2312"/>
          <w:sz w:val="28"/>
          <w:szCs w:val="28"/>
        </w:rPr>
        <w:t>11.IPC-9502 PWB Assembly Soldering Process Guideline for Electronic Components</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十、技术平台</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（一）比赛器材及具体要求说明</w:t>
      </w:r>
    </w:p>
    <w:tbl>
      <w:tblPr>
        <w:tblStyle w:val="10"/>
        <w:tblW w:w="8799" w:type="dxa"/>
        <w:tblInd w:w="0" w:type="dxa"/>
        <w:tblLayout w:type="fixed"/>
        <w:tblCellMar>
          <w:top w:w="0" w:type="dxa"/>
          <w:left w:w="108" w:type="dxa"/>
          <w:bottom w:w="0" w:type="dxa"/>
          <w:right w:w="108" w:type="dxa"/>
        </w:tblCellMar>
      </w:tblPr>
      <w:tblGrid>
        <w:gridCol w:w="789"/>
        <w:gridCol w:w="2249"/>
        <w:gridCol w:w="4060"/>
        <w:gridCol w:w="1701"/>
      </w:tblGrid>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序号</w:t>
            </w:r>
          </w:p>
        </w:tc>
        <w:tc>
          <w:tcPr>
            <w:tcW w:w="2249"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仪器设备</w:t>
            </w:r>
          </w:p>
        </w:tc>
        <w:tc>
          <w:tcPr>
            <w:tcW w:w="4060"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规格说明</w:t>
            </w:r>
          </w:p>
        </w:tc>
        <w:tc>
          <w:tcPr>
            <w:tcW w:w="1701"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品牌</w:t>
            </w:r>
          </w:p>
        </w:tc>
      </w:tr>
      <w:tr>
        <w:tblPrEx>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维修工作台</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防静电维修工作台</w:t>
            </w:r>
          </w:p>
        </w:tc>
        <w:tc>
          <w:tcPr>
            <w:tcW w:w="1701"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2</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数字万用表</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交流电压</w:t>
            </w:r>
            <w:r>
              <w:rPr>
                <w:rFonts w:ascii="仿宋" w:hAnsi="仿宋" w:eastAsia="仿宋"/>
                <w:color w:val="000000"/>
                <w:sz w:val="24"/>
              </w:rPr>
              <w:t>1000V</w:t>
            </w:r>
            <w:r>
              <w:rPr>
                <w:rFonts w:hint="eastAsia" w:ascii="仿宋" w:hAnsi="仿宋" w:eastAsia="仿宋"/>
                <w:color w:val="000000"/>
                <w:sz w:val="24"/>
              </w:rPr>
              <w:t>±</w:t>
            </w:r>
            <w:r>
              <w:rPr>
                <w:rFonts w:ascii="仿宋" w:hAnsi="仿宋" w:eastAsia="仿宋"/>
                <w:color w:val="000000"/>
                <w:sz w:val="24"/>
              </w:rPr>
              <w:t>(0.8%+3)</w:t>
            </w:r>
            <w:r>
              <w:rPr>
                <w:rFonts w:hint="eastAsia" w:ascii="仿宋" w:hAnsi="仿宋" w:eastAsia="仿宋"/>
                <w:color w:val="000000"/>
                <w:sz w:val="24"/>
              </w:rPr>
              <w:t>，直流电流</w:t>
            </w:r>
            <w:r>
              <w:rPr>
                <w:rFonts w:ascii="仿宋" w:hAnsi="仿宋" w:eastAsia="仿宋"/>
                <w:color w:val="000000"/>
                <w:sz w:val="24"/>
              </w:rPr>
              <w:t>20A</w:t>
            </w:r>
            <w:r>
              <w:rPr>
                <w:rFonts w:hint="eastAsia" w:ascii="仿宋" w:hAnsi="仿宋" w:eastAsia="仿宋"/>
                <w:color w:val="000000"/>
                <w:sz w:val="24"/>
              </w:rPr>
              <w:t>±</w:t>
            </w:r>
            <w:r>
              <w:rPr>
                <w:rFonts w:ascii="仿宋" w:hAnsi="仿宋" w:eastAsia="仿宋"/>
                <w:color w:val="000000"/>
                <w:sz w:val="24"/>
              </w:rPr>
              <w:t>(0.8%+1)</w:t>
            </w:r>
            <w:r>
              <w:rPr>
                <w:rFonts w:hint="eastAsia" w:ascii="仿宋" w:hAnsi="仿宋" w:eastAsia="仿宋"/>
                <w:color w:val="000000"/>
                <w:sz w:val="24"/>
              </w:rPr>
              <w:t>，直流电压</w:t>
            </w:r>
            <w:r>
              <w:rPr>
                <w:rFonts w:ascii="仿宋" w:hAnsi="仿宋" w:eastAsia="仿宋"/>
                <w:color w:val="000000"/>
                <w:sz w:val="24"/>
              </w:rPr>
              <w:t>1000V</w:t>
            </w:r>
            <w:r>
              <w:rPr>
                <w:rFonts w:hint="eastAsia" w:ascii="仿宋" w:hAnsi="仿宋" w:eastAsia="仿宋"/>
                <w:color w:val="000000"/>
                <w:sz w:val="24"/>
              </w:rPr>
              <w:t>±</w:t>
            </w:r>
            <w:r>
              <w:rPr>
                <w:rFonts w:ascii="仿宋" w:hAnsi="仿宋" w:eastAsia="仿宋"/>
                <w:color w:val="000000"/>
                <w:sz w:val="24"/>
              </w:rPr>
              <w:t>(0.5%+1)</w:t>
            </w:r>
            <w:r>
              <w:rPr>
                <w:rFonts w:hint="eastAsia" w:ascii="仿宋" w:hAnsi="仿宋" w:eastAsia="仿宋"/>
                <w:color w:val="000000"/>
                <w:sz w:val="24"/>
              </w:rPr>
              <w:t>，交流电流</w:t>
            </w:r>
            <w:r>
              <w:rPr>
                <w:rFonts w:ascii="仿宋" w:hAnsi="仿宋" w:eastAsia="仿宋"/>
                <w:color w:val="000000"/>
                <w:sz w:val="24"/>
              </w:rPr>
              <w:t>20A</w:t>
            </w:r>
            <w:r>
              <w:rPr>
                <w:rFonts w:hint="eastAsia" w:ascii="仿宋" w:hAnsi="仿宋" w:eastAsia="仿宋"/>
                <w:color w:val="000000"/>
                <w:sz w:val="24"/>
              </w:rPr>
              <w:t>±</w:t>
            </w:r>
            <w:r>
              <w:rPr>
                <w:rFonts w:ascii="仿宋" w:hAnsi="仿宋" w:eastAsia="仿宋"/>
                <w:color w:val="000000"/>
                <w:sz w:val="24"/>
              </w:rPr>
              <w:t>(1%+3)</w:t>
            </w:r>
            <w:r>
              <w:rPr>
                <w:rFonts w:hint="eastAsia" w:ascii="仿宋" w:hAnsi="仿宋" w:eastAsia="仿宋"/>
                <w:color w:val="000000"/>
                <w:sz w:val="24"/>
              </w:rPr>
              <w:t>，电阻</w:t>
            </w:r>
            <w:r>
              <w:rPr>
                <w:rFonts w:ascii="仿宋" w:hAnsi="仿宋" w:eastAsia="仿宋"/>
                <w:color w:val="000000"/>
                <w:sz w:val="24"/>
              </w:rPr>
              <w:t>200MW</w:t>
            </w:r>
            <w:r>
              <w:rPr>
                <w:rFonts w:hint="eastAsia" w:ascii="仿宋" w:hAnsi="仿宋" w:eastAsia="仿宋"/>
                <w:color w:val="000000"/>
                <w:sz w:val="24"/>
              </w:rPr>
              <w:t>±</w:t>
            </w:r>
            <w:r>
              <w:rPr>
                <w:rFonts w:ascii="仿宋" w:hAnsi="仿宋" w:eastAsia="仿宋"/>
                <w:color w:val="000000"/>
                <w:sz w:val="24"/>
              </w:rPr>
              <w:t>(0.8%+1)</w:t>
            </w:r>
            <w:r>
              <w:rPr>
                <w:rFonts w:hint="eastAsia" w:ascii="仿宋" w:hAnsi="仿宋" w:eastAsia="仿宋"/>
                <w:color w:val="000000"/>
                <w:sz w:val="24"/>
              </w:rPr>
              <w:t>，电容</w:t>
            </w:r>
            <w:r>
              <w:rPr>
                <w:rFonts w:ascii="仿宋" w:hAnsi="仿宋" w:eastAsia="仿宋"/>
                <w:color w:val="000000"/>
                <w:sz w:val="24"/>
              </w:rPr>
              <w:t>100mF</w:t>
            </w:r>
            <w:r>
              <w:rPr>
                <w:rFonts w:hint="eastAsia" w:ascii="仿宋" w:hAnsi="仿宋" w:eastAsia="仿宋"/>
                <w:color w:val="000000"/>
                <w:sz w:val="24"/>
              </w:rPr>
              <w:t>±</w:t>
            </w:r>
            <w:r>
              <w:rPr>
                <w:rFonts w:ascii="仿宋" w:hAnsi="仿宋" w:eastAsia="仿宋"/>
                <w:color w:val="000000"/>
                <w:sz w:val="24"/>
              </w:rPr>
              <w:t>(4%+3)</w:t>
            </w:r>
          </w:p>
        </w:tc>
        <w:tc>
          <w:tcPr>
            <w:tcW w:w="1701"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3</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数字示波器</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100MHz</w:t>
            </w:r>
            <w:r>
              <w:rPr>
                <w:rFonts w:hint="eastAsia" w:ascii="仿宋" w:hAnsi="仿宋" w:eastAsia="仿宋"/>
                <w:color w:val="000000"/>
                <w:sz w:val="24"/>
              </w:rPr>
              <w:t>以上双通道示波器</w:t>
            </w:r>
          </w:p>
        </w:tc>
        <w:tc>
          <w:tcPr>
            <w:tcW w:w="1701" w:type="dxa"/>
            <w:tcBorders>
              <w:top w:val="nil"/>
              <w:left w:val="nil"/>
              <w:bottom w:val="single" w:color="auto" w:sz="4" w:space="0"/>
              <w:right w:val="single" w:color="auto" w:sz="4" w:space="0"/>
            </w:tcBorders>
          </w:tcPr>
          <w:p>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4</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恒温烙铁</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温度调节范围</w:t>
            </w:r>
            <w:r>
              <w:rPr>
                <w:rFonts w:ascii="仿宋" w:hAnsi="仿宋" w:eastAsia="仿宋"/>
                <w:color w:val="000000"/>
                <w:sz w:val="24"/>
              </w:rPr>
              <w:t xml:space="preserve"> 150-450</w:t>
            </w:r>
            <w:r>
              <w:rPr>
                <w:rFonts w:hint="eastAsia" w:ascii="仿宋" w:hAnsi="仿宋" w:eastAsia="仿宋"/>
                <w:color w:val="000000"/>
                <w:sz w:val="24"/>
              </w:rPr>
              <w:t>（℃）</w:t>
            </w:r>
          </w:p>
        </w:tc>
        <w:tc>
          <w:tcPr>
            <w:tcW w:w="1701" w:type="dxa"/>
            <w:tcBorders>
              <w:top w:val="nil"/>
              <w:left w:val="nil"/>
              <w:bottom w:val="single" w:color="auto" w:sz="4" w:space="0"/>
              <w:right w:val="single" w:color="auto" w:sz="4" w:space="0"/>
            </w:tcBorders>
          </w:tcPr>
          <w:p>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5</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热风焊台</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温度调节范围：</w:t>
            </w:r>
            <w:r>
              <w:rPr>
                <w:rFonts w:ascii="仿宋" w:hAnsi="仿宋" w:eastAsia="仿宋"/>
                <w:color w:val="000000"/>
                <w:sz w:val="24"/>
              </w:rPr>
              <w:t>100</w:t>
            </w:r>
            <w:r>
              <w:rPr>
                <w:rFonts w:hint="eastAsia" w:ascii="仿宋" w:hAnsi="仿宋" w:eastAsia="仿宋"/>
                <w:color w:val="000000"/>
                <w:sz w:val="24"/>
              </w:rPr>
              <w:t>～</w:t>
            </w:r>
            <w:r>
              <w:rPr>
                <w:rFonts w:ascii="仿宋" w:hAnsi="仿宋" w:eastAsia="仿宋"/>
                <w:color w:val="000000"/>
                <w:sz w:val="24"/>
              </w:rPr>
              <w:t>480</w:t>
            </w:r>
            <w:r>
              <w:rPr>
                <w:rFonts w:hint="eastAsia" w:ascii="仿宋" w:hAnsi="仿宋" w:eastAsia="仿宋"/>
                <w:color w:val="000000"/>
                <w:sz w:val="24"/>
              </w:rPr>
              <w:t>℃</w:t>
            </w:r>
          </w:p>
        </w:tc>
        <w:tc>
          <w:tcPr>
            <w:tcW w:w="1701" w:type="dxa"/>
            <w:tcBorders>
              <w:top w:val="single" w:color="auto" w:sz="4" w:space="0"/>
              <w:left w:val="nil"/>
              <w:bottom w:val="single" w:color="auto" w:sz="4" w:space="0"/>
              <w:right w:val="single" w:color="auto" w:sz="4" w:space="0"/>
            </w:tcBorders>
          </w:tcPr>
          <w:p>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6</w:t>
            </w:r>
          </w:p>
        </w:tc>
        <w:tc>
          <w:tcPr>
            <w:tcW w:w="224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直流稳压电源</w:t>
            </w:r>
          </w:p>
        </w:tc>
        <w:tc>
          <w:tcPr>
            <w:tcW w:w="406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I</w:t>
            </w:r>
            <w:r>
              <w:rPr>
                <w:rFonts w:hint="eastAsia" w:ascii="仿宋" w:hAnsi="仿宋" w:eastAsia="仿宋"/>
                <w:color w:val="000000"/>
                <w:sz w:val="24"/>
              </w:rPr>
              <w:t>路以上</w:t>
            </w:r>
            <w:r>
              <w:rPr>
                <w:rFonts w:ascii="仿宋" w:hAnsi="仿宋" w:eastAsia="仿宋"/>
                <w:color w:val="000000"/>
                <w:sz w:val="24"/>
              </w:rPr>
              <w:t>0-30 V</w:t>
            </w:r>
            <w:r>
              <w:rPr>
                <w:rFonts w:hint="eastAsia" w:ascii="仿宋" w:hAnsi="仿宋" w:eastAsia="仿宋"/>
                <w:color w:val="000000"/>
                <w:sz w:val="24"/>
              </w:rPr>
              <w:t>可变电压输出</w:t>
            </w:r>
          </w:p>
        </w:tc>
        <w:tc>
          <w:tcPr>
            <w:tcW w:w="1701" w:type="dxa"/>
            <w:tcBorders>
              <w:top w:val="single" w:color="auto" w:sz="4" w:space="0"/>
              <w:left w:val="single" w:color="auto" w:sz="4" w:space="0"/>
              <w:bottom w:val="single" w:color="auto" w:sz="4" w:space="0"/>
              <w:right w:val="single" w:color="auto" w:sz="4" w:space="0"/>
            </w:tcBorders>
          </w:tcPr>
          <w:p>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7</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放大镜台灯</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高强照明、五倍放大功能</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8</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工具箱（含工具）</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内含螺丝刀套件、芯片盒、细毛刷、含银硅脂、洗板水壶、吸锡枪、助焊膏、尖嘴钳、偏口钳、焊锡丝、吸锡带、飞线、刀片、粗毛刷、防静电镊子</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9</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电脑主机</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主频</w:t>
            </w:r>
            <w:r>
              <w:rPr>
                <w:rFonts w:ascii="仿宋" w:hAnsi="仿宋" w:eastAsia="仿宋"/>
                <w:color w:val="000000"/>
                <w:sz w:val="24"/>
              </w:rPr>
              <w:t>1GHz</w:t>
            </w:r>
            <w:r>
              <w:rPr>
                <w:rFonts w:hint="eastAsia" w:ascii="仿宋" w:hAnsi="仿宋" w:eastAsia="仿宋"/>
                <w:color w:val="000000"/>
                <w:sz w:val="24"/>
              </w:rPr>
              <w:t>或以上</w:t>
            </w:r>
            <w:r>
              <w:rPr>
                <w:rFonts w:ascii="仿宋" w:hAnsi="仿宋" w:eastAsia="仿宋"/>
                <w:color w:val="000000"/>
                <w:sz w:val="24"/>
              </w:rPr>
              <w:t>CPU</w:t>
            </w:r>
            <w:r>
              <w:rPr>
                <w:rFonts w:hint="eastAsia" w:ascii="仿宋" w:hAnsi="仿宋" w:eastAsia="仿宋"/>
                <w:color w:val="000000"/>
                <w:sz w:val="24"/>
              </w:rPr>
              <w:t>，</w:t>
            </w:r>
            <w:r>
              <w:rPr>
                <w:rFonts w:ascii="仿宋" w:hAnsi="仿宋" w:eastAsia="仿宋"/>
                <w:color w:val="000000"/>
                <w:sz w:val="24"/>
              </w:rPr>
              <w:t>1GB</w:t>
            </w:r>
            <w:r>
              <w:rPr>
                <w:rFonts w:hint="eastAsia" w:ascii="仿宋" w:hAnsi="仿宋" w:eastAsia="仿宋"/>
                <w:color w:val="000000"/>
                <w:sz w:val="24"/>
              </w:rPr>
              <w:t>或以上内存，安装</w:t>
            </w:r>
            <w:r>
              <w:rPr>
                <w:rFonts w:ascii="仿宋" w:hAnsi="仿宋" w:eastAsia="仿宋"/>
                <w:color w:val="000000"/>
                <w:sz w:val="24"/>
              </w:rPr>
              <w:t>Windows</w:t>
            </w:r>
            <w:r>
              <w:rPr>
                <w:rFonts w:hint="eastAsia" w:ascii="仿宋" w:hAnsi="仿宋" w:eastAsia="仿宋"/>
                <w:color w:val="000000"/>
                <w:sz w:val="24"/>
              </w:rPr>
              <w:t>操作系统。</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10</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电脑配件</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CPU</w:t>
            </w:r>
            <w:r>
              <w:rPr>
                <w:rFonts w:hint="eastAsia" w:ascii="仿宋" w:hAnsi="仿宋" w:eastAsia="仿宋"/>
                <w:color w:val="000000"/>
                <w:sz w:val="24"/>
              </w:rPr>
              <w:t>、内存、</w:t>
            </w:r>
            <w:r>
              <w:rPr>
                <w:rFonts w:ascii="仿宋" w:hAnsi="仿宋" w:eastAsia="仿宋"/>
                <w:color w:val="000000"/>
                <w:sz w:val="24"/>
              </w:rPr>
              <w:t>ATX</w:t>
            </w:r>
            <w:r>
              <w:rPr>
                <w:rFonts w:hint="eastAsia" w:ascii="仿宋" w:hAnsi="仿宋" w:eastAsia="仿宋"/>
                <w:color w:val="000000"/>
                <w:sz w:val="24"/>
              </w:rPr>
              <w:t>电源等</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11</w:t>
            </w:r>
          </w:p>
        </w:tc>
        <w:tc>
          <w:tcPr>
            <w:tcW w:w="2249" w:type="dxa"/>
            <w:tcBorders>
              <w:top w:val="single" w:color="auto" w:sz="4" w:space="0"/>
              <w:left w:val="nil"/>
              <w:bottom w:val="single" w:color="auto" w:sz="4" w:space="0"/>
              <w:right w:val="single" w:color="auto" w:sz="4" w:space="0"/>
            </w:tcBorders>
            <w:vAlign w:val="center"/>
          </w:tcPr>
          <w:p>
            <w:pPr>
              <w:snapToGrid w:val="0"/>
              <w:jc w:val="center"/>
              <w:rPr>
                <w:rFonts w:ascii="仿宋" w:hAnsi="仿宋" w:eastAsia="仿宋" w:cs="Arial"/>
                <w:color w:val="000000"/>
                <w:sz w:val="24"/>
              </w:rPr>
            </w:pPr>
            <w:r>
              <w:rPr>
                <w:rFonts w:hint="eastAsia" w:ascii="仿宋" w:hAnsi="仿宋" w:eastAsia="仿宋" w:cs="Arial"/>
                <w:bCs/>
                <w:color w:val="000000"/>
                <w:sz w:val="24"/>
              </w:rPr>
              <w:t>数据恢复平台</w:t>
            </w:r>
          </w:p>
        </w:tc>
        <w:tc>
          <w:tcPr>
            <w:tcW w:w="4060" w:type="dxa"/>
            <w:tcBorders>
              <w:top w:val="single" w:color="auto" w:sz="4" w:space="0"/>
              <w:left w:val="nil"/>
              <w:bottom w:val="single" w:color="auto" w:sz="4" w:space="0"/>
              <w:right w:val="single" w:color="auto" w:sz="4" w:space="0"/>
            </w:tcBorders>
            <w:vAlign w:val="center"/>
          </w:tcPr>
          <w:p>
            <w:pPr>
              <w:snapToGrid w:val="0"/>
              <w:jc w:val="center"/>
              <w:rPr>
                <w:rFonts w:ascii="仿宋" w:hAnsi="仿宋" w:eastAsia="仿宋" w:cs="Arial"/>
                <w:color w:val="000000"/>
                <w:sz w:val="24"/>
              </w:rPr>
            </w:pPr>
            <w:r>
              <w:rPr>
                <w:rFonts w:hint="eastAsia" w:ascii="仿宋" w:hAnsi="仿宋" w:eastAsia="仿宋" w:cs="Arial"/>
                <w:color w:val="000000"/>
                <w:sz w:val="24"/>
              </w:rPr>
              <w:t>能够进行硬盘维修及数据恢复操作</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s="Arial"/>
                <w:bCs/>
                <w:color w:val="000000"/>
                <w:sz w:val="24"/>
              </w:rPr>
              <w:t>中盈创信</w:t>
            </w:r>
            <w:r>
              <w:rPr>
                <w:rFonts w:ascii="仿宋" w:hAnsi="仿宋" w:eastAsia="仿宋" w:cs="Arial"/>
                <w:color w:val="000000"/>
                <w:sz w:val="24"/>
              </w:rPr>
              <w:t>SOL-DRFIX-802</w:t>
            </w:r>
          </w:p>
        </w:tc>
      </w:tr>
    </w:tbl>
    <w:p>
      <w:pPr>
        <w:spacing w:line="560" w:lineRule="exact"/>
        <w:ind w:firstLine="420" w:firstLineChars="150"/>
        <w:rPr>
          <w:rFonts w:ascii="仿宋" w:hAnsi="仿宋" w:eastAsia="仿宋"/>
          <w:color w:val="000000"/>
          <w:sz w:val="28"/>
          <w:szCs w:val="28"/>
        </w:rPr>
      </w:pPr>
      <w:r>
        <w:rPr>
          <w:rFonts w:hint="eastAsia" w:ascii="仿宋" w:hAnsi="仿宋" w:eastAsia="仿宋"/>
          <w:color w:val="000000"/>
          <w:sz w:val="28"/>
          <w:szCs w:val="28"/>
        </w:rPr>
        <w:t>（二）技术平台标准</w:t>
      </w:r>
    </w:p>
    <w:tbl>
      <w:tblPr>
        <w:tblStyle w:val="10"/>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3463"/>
        <w:gridCol w:w="4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193"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序号</w:t>
            </w:r>
          </w:p>
        </w:tc>
        <w:tc>
          <w:tcPr>
            <w:tcW w:w="3463"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产品名称</w:t>
            </w:r>
          </w:p>
        </w:tc>
        <w:tc>
          <w:tcPr>
            <w:tcW w:w="4177"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规格说明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1</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智能检测平台中心管理系统</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SOL-MANAGER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2</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智能检测软件</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SOL-SOFT-X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3</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智能检测平台</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SOL-MONITOR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4</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电脑内置操作系统软件</w:t>
            </w:r>
          </w:p>
        </w:tc>
        <w:tc>
          <w:tcPr>
            <w:tcW w:w="4177" w:type="dxa"/>
            <w:vAlign w:val="center"/>
          </w:tcPr>
          <w:p>
            <w:pPr>
              <w:jc w:val="center"/>
              <w:rPr>
                <w:rFonts w:ascii="仿宋" w:hAnsi="仿宋" w:eastAsia="仿宋"/>
                <w:color w:val="000000"/>
                <w:sz w:val="24"/>
              </w:rPr>
            </w:pPr>
            <w:r>
              <w:rPr>
                <w:rFonts w:ascii="仿宋" w:hAnsi="仿宋" w:eastAsia="仿宋"/>
                <w:color w:val="000000"/>
                <w:sz w:val="24"/>
              </w:rPr>
              <w:t>Windows 7</w:t>
            </w:r>
            <w:r>
              <w:rPr>
                <w:rFonts w:hint="eastAsia" w:ascii="仿宋" w:hAnsi="仿宋" w:eastAsia="仿宋"/>
                <w:color w:val="000000"/>
                <w:sz w:val="24"/>
              </w:rPr>
              <w:t>家庭板或旗舰板</w:t>
            </w:r>
          </w:p>
        </w:tc>
      </w:tr>
    </w:tbl>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十一、成绩评定</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本赛项评分本着公平、公正、公开的原则。评分标准在注重对参赛选手综合能力考察的同时,也能客观反映参赛选手的技能水平及职业素养。</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（一）评分方法及裁判分工</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本赛项评分包括机评分、客观结果性评分及主观结果性评分三种。共设立3个评分小组，其中客观性评分小组1个，主观性评分小组2个，评分裁判总数为12人（不包含裁判长1人、加密裁判2人及现场裁判5人）。</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1.机评分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裁判长与客观评分小组直接从平台服务器中调取。对于竞赛任务1的维修结果，现场采用专用的智能检测平台及软件进行自动评分并记录成绩，选手在竞赛结束后，根据裁判的口令，通过智能检测平台提交结果即可。</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2.客观结果性评分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客观性评分小组由2名裁判组成，负责任务二的评分。评分方法：将选手对存储介质维修及数据恢复的结果与标准答案进行对照，即可确定选手得分。</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3.主观结果性评分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由2个主观性评分小组分别负责，每组2人。对于竞赛任务中参赛队选手填写的维修报告，由2名评分裁判依照给定的参考答案，对填写的内容分别进行打分，取平均分作为参赛队本项得分。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4.职业素养评分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由现场裁判逐个对参赛选手评分。</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5.评分结果若出现分值相同情况</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依据任务模块得分进行排名，先比较数据恢复部分得分，再比较板卡维修部分得分，最后比较竞赛工作报告部分得分。</w:t>
      </w:r>
    </w:p>
    <w:p>
      <w:pPr>
        <w:numPr>
          <w:ilvl w:val="0"/>
          <w:numId w:val="1"/>
        </w:numPr>
        <w:spacing w:line="560" w:lineRule="exact"/>
        <w:ind w:firstLine="420" w:firstLineChars="150"/>
        <w:rPr>
          <w:rFonts w:hint="eastAsia" w:ascii="仿宋" w:hAnsi="仿宋" w:eastAsia="仿宋" w:cs="仿宋_GB2312"/>
          <w:color w:val="000000"/>
          <w:sz w:val="28"/>
          <w:szCs w:val="28"/>
        </w:rPr>
      </w:pPr>
      <w:r>
        <w:rPr>
          <w:rFonts w:hint="eastAsia" w:ascii="仿宋" w:hAnsi="仿宋" w:eastAsia="仿宋" w:cs="仿宋_GB2312"/>
          <w:color w:val="000000"/>
          <w:sz w:val="28"/>
          <w:szCs w:val="28"/>
        </w:rPr>
        <w:t>评分标准</w:t>
      </w:r>
    </w:p>
    <w:p>
      <w:pPr>
        <w:numPr>
          <w:ilvl w:val="0"/>
          <w:numId w:val="0"/>
        </w:numPr>
        <w:spacing w:line="560" w:lineRule="exact"/>
        <w:rPr>
          <w:rFonts w:hint="eastAsia" w:ascii="仿宋" w:hAnsi="仿宋" w:eastAsia="仿宋" w:cs="仿宋_GB2312"/>
          <w:color w:val="000000"/>
          <w:sz w:val="28"/>
          <w:szCs w:val="28"/>
        </w:rPr>
      </w:pPr>
    </w:p>
    <w:tbl>
      <w:tblPr>
        <w:tblStyle w:val="10"/>
        <w:tblW w:w="82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6"/>
        <w:gridCol w:w="851"/>
        <w:gridCol w:w="3436"/>
        <w:gridCol w:w="1116"/>
        <w:gridCol w:w="15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一级指标</w:t>
            </w:r>
          </w:p>
        </w:tc>
        <w:tc>
          <w:tcPr>
            <w:tcW w:w="851"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比例</w:t>
            </w:r>
          </w:p>
        </w:tc>
        <w:tc>
          <w:tcPr>
            <w:tcW w:w="343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二级指标</w:t>
            </w:r>
          </w:p>
        </w:tc>
        <w:tc>
          <w:tcPr>
            <w:tcW w:w="111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比例</w:t>
            </w:r>
          </w:p>
        </w:tc>
        <w:tc>
          <w:tcPr>
            <w:tcW w:w="159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电路板检测与维修</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3</w:t>
            </w:r>
            <w:r>
              <w:rPr>
                <w:rFonts w:ascii="仿宋" w:hAnsi="仿宋" w:eastAsia="仿宋"/>
                <w:color w:val="000000"/>
                <w:sz w:val="24"/>
              </w:rPr>
              <w:t>0%</w:t>
            </w: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板卡一的检测与维修</w:t>
            </w:r>
          </w:p>
        </w:tc>
        <w:tc>
          <w:tcPr>
            <w:tcW w:w="1116" w:type="dxa"/>
            <w:vAlign w:val="center"/>
          </w:tcPr>
          <w:p>
            <w:pPr>
              <w:jc w:val="center"/>
              <w:rPr>
                <w:rFonts w:ascii="仿宋" w:hAnsi="仿宋" w:eastAsia="仿宋"/>
              </w:rPr>
            </w:pPr>
            <w:r>
              <w:rPr>
                <w:rFonts w:hint="eastAsia" w:ascii="仿宋" w:hAnsi="仿宋" w:eastAsia="仿宋"/>
                <w:color w:val="000000"/>
                <w:sz w:val="24"/>
              </w:rPr>
              <w:t>7%</w:t>
            </w:r>
          </w:p>
        </w:tc>
        <w:tc>
          <w:tcPr>
            <w:tcW w:w="1596"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机评分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板卡二的检测与维修</w:t>
            </w:r>
          </w:p>
        </w:tc>
        <w:tc>
          <w:tcPr>
            <w:tcW w:w="1116" w:type="dxa"/>
            <w:vAlign w:val="center"/>
          </w:tcPr>
          <w:p>
            <w:pPr>
              <w:jc w:val="center"/>
              <w:rPr>
                <w:rFonts w:ascii="仿宋" w:hAnsi="仿宋" w:eastAsia="仿宋"/>
              </w:rPr>
            </w:pPr>
            <w:r>
              <w:rPr>
                <w:rFonts w:hint="eastAsia" w:ascii="仿宋" w:hAnsi="仿宋" w:eastAsia="仿宋"/>
                <w:color w:val="000000"/>
                <w:sz w:val="24"/>
              </w:rPr>
              <w:t>7%</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板卡三的检测与维修</w:t>
            </w:r>
          </w:p>
        </w:tc>
        <w:tc>
          <w:tcPr>
            <w:tcW w:w="1116" w:type="dxa"/>
            <w:vAlign w:val="center"/>
          </w:tcPr>
          <w:p>
            <w:pPr>
              <w:jc w:val="center"/>
              <w:rPr>
                <w:rFonts w:ascii="仿宋" w:hAnsi="仿宋" w:eastAsia="仿宋"/>
              </w:rPr>
            </w:pPr>
            <w:r>
              <w:rPr>
                <w:rFonts w:hint="eastAsia" w:ascii="仿宋" w:hAnsi="仿宋" w:eastAsia="仿宋"/>
                <w:color w:val="000000"/>
                <w:sz w:val="24"/>
              </w:rPr>
              <w:t>8%</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板卡四的检测与维修</w:t>
            </w:r>
          </w:p>
        </w:tc>
        <w:tc>
          <w:tcPr>
            <w:tcW w:w="1116" w:type="dxa"/>
            <w:vAlign w:val="center"/>
          </w:tcPr>
          <w:p>
            <w:pPr>
              <w:jc w:val="center"/>
              <w:rPr>
                <w:rFonts w:ascii="仿宋" w:hAnsi="仿宋" w:eastAsia="仿宋"/>
              </w:rPr>
            </w:pPr>
            <w:r>
              <w:rPr>
                <w:rFonts w:ascii="仿宋" w:hAnsi="仿宋" w:eastAsia="仿宋"/>
                <w:color w:val="000000"/>
                <w:sz w:val="24"/>
              </w:rPr>
              <w:t>8</w:t>
            </w:r>
            <w:r>
              <w:rPr>
                <w:rFonts w:hint="eastAsia" w:ascii="仿宋" w:hAnsi="仿宋" w:eastAsia="仿宋"/>
                <w:color w:val="000000"/>
                <w:sz w:val="24"/>
              </w:rPr>
              <w:t>%</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存储介质维修及数据恢复</w:t>
            </w:r>
          </w:p>
        </w:tc>
        <w:tc>
          <w:tcPr>
            <w:tcW w:w="851" w:type="dxa"/>
            <w:vMerge w:val="restart"/>
            <w:vAlign w:val="center"/>
          </w:tcPr>
          <w:p>
            <w:pPr>
              <w:jc w:val="center"/>
              <w:rPr>
                <w:rFonts w:ascii="仿宋" w:hAnsi="仿宋" w:eastAsia="仿宋"/>
                <w:color w:val="000000"/>
                <w:sz w:val="24"/>
              </w:rPr>
            </w:pPr>
            <w:r>
              <w:rPr>
                <w:rFonts w:ascii="仿宋" w:hAnsi="仿宋" w:eastAsia="仿宋"/>
                <w:color w:val="000000"/>
                <w:sz w:val="24"/>
              </w:rPr>
              <w:t>50%</w:t>
            </w:r>
          </w:p>
        </w:tc>
        <w:tc>
          <w:tcPr>
            <w:tcW w:w="3436" w:type="dxa"/>
            <w:vAlign w:val="center"/>
          </w:tcPr>
          <w:p>
            <w:pPr>
              <w:rPr>
                <w:rFonts w:ascii="仿宋" w:hAnsi="仿宋" w:eastAsia="仿宋"/>
                <w:color w:val="000000"/>
                <w:sz w:val="24"/>
              </w:rPr>
            </w:pPr>
            <w:r>
              <w:rPr>
                <w:rFonts w:hint="eastAsia" w:ascii="仿宋" w:hAnsi="仿宋" w:eastAsia="仿宋"/>
                <w:color w:val="000000"/>
                <w:sz w:val="24"/>
              </w:rPr>
              <w:t>台式机硬盘数据恢复</w:t>
            </w:r>
          </w:p>
        </w:tc>
        <w:tc>
          <w:tcPr>
            <w:tcW w:w="1116" w:type="dxa"/>
            <w:vAlign w:val="center"/>
          </w:tcPr>
          <w:p>
            <w:pPr>
              <w:jc w:val="center"/>
              <w:rPr>
                <w:rFonts w:ascii="仿宋" w:hAnsi="仿宋" w:eastAsia="仿宋"/>
              </w:rPr>
            </w:pPr>
            <w:r>
              <w:rPr>
                <w:rFonts w:hint="eastAsia" w:ascii="仿宋" w:hAnsi="仿宋" w:eastAsia="仿宋"/>
                <w:color w:val="000000"/>
                <w:sz w:val="24"/>
                <w:lang w:val="en-US" w:eastAsia="zh-CN"/>
              </w:rPr>
              <w:t>20</w:t>
            </w:r>
            <w:r>
              <w:rPr>
                <w:rFonts w:hint="eastAsia" w:ascii="仿宋" w:hAnsi="仿宋" w:eastAsia="仿宋"/>
                <w:color w:val="000000"/>
                <w:sz w:val="24"/>
              </w:rPr>
              <w:t>%</w:t>
            </w:r>
          </w:p>
        </w:tc>
        <w:tc>
          <w:tcPr>
            <w:tcW w:w="1596"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客观性评分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笔记本硬盘数据恢复</w:t>
            </w:r>
          </w:p>
        </w:tc>
        <w:tc>
          <w:tcPr>
            <w:tcW w:w="1116" w:type="dxa"/>
            <w:vAlign w:val="center"/>
          </w:tcPr>
          <w:p>
            <w:pPr>
              <w:jc w:val="center"/>
              <w:rPr>
                <w:rFonts w:ascii="仿宋" w:hAnsi="仿宋" w:eastAsia="仿宋"/>
              </w:rPr>
            </w:pPr>
            <w:r>
              <w:rPr>
                <w:rFonts w:hint="eastAsia" w:ascii="仿宋" w:hAnsi="仿宋" w:eastAsia="仿宋"/>
                <w:color w:val="000000"/>
                <w:sz w:val="24"/>
                <w:lang w:val="en-US" w:eastAsia="zh-CN"/>
              </w:rPr>
              <w:t>20</w:t>
            </w:r>
            <w:r>
              <w:rPr>
                <w:rFonts w:hint="eastAsia" w:ascii="仿宋" w:hAnsi="仿宋" w:eastAsia="仿宋"/>
                <w:color w:val="000000"/>
                <w:sz w:val="24"/>
              </w:rPr>
              <w:t>%</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U盘数据恢复</w:t>
            </w:r>
          </w:p>
        </w:tc>
        <w:tc>
          <w:tcPr>
            <w:tcW w:w="1116" w:type="dxa"/>
            <w:vAlign w:val="center"/>
          </w:tcPr>
          <w:p>
            <w:pPr>
              <w:jc w:val="center"/>
              <w:rPr>
                <w:rFonts w:ascii="仿宋" w:hAnsi="仿宋" w:eastAsia="仿宋"/>
                <w:color w:val="000000"/>
                <w:sz w:val="24"/>
              </w:rPr>
            </w:pPr>
            <w:r>
              <w:rPr>
                <w:rFonts w:hint="eastAsia" w:ascii="仿宋" w:hAnsi="仿宋" w:eastAsia="仿宋"/>
                <w:color w:val="000000"/>
                <w:sz w:val="24"/>
              </w:rPr>
              <w:t>10%</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填写竞赛报告单</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15%</w:t>
            </w:r>
          </w:p>
        </w:tc>
        <w:tc>
          <w:tcPr>
            <w:tcW w:w="3436" w:type="dxa"/>
            <w:vAlign w:val="center"/>
          </w:tcPr>
          <w:p>
            <w:pPr>
              <w:rPr>
                <w:rFonts w:ascii="仿宋" w:hAnsi="仿宋" w:eastAsia="仿宋"/>
                <w:color w:val="000000"/>
                <w:sz w:val="24"/>
              </w:rPr>
            </w:pPr>
            <w:r>
              <w:rPr>
                <w:rFonts w:hint="eastAsia" w:ascii="仿宋" w:hAnsi="仿宋" w:eastAsia="仿宋"/>
                <w:color w:val="000000"/>
                <w:sz w:val="24"/>
              </w:rPr>
              <w:t>故障点编号标识</w:t>
            </w:r>
          </w:p>
        </w:tc>
        <w:tc>
          <w:tcPr>
            <w:tcW w:w="1116" w:type="dxa"/>
            <w:vAlign w:val="center"/>
          </w:tcPr>
          <w:p>
            <w:pPr>
              <w:jc w:val="center"/>
              <w:rPr>
                <w:rFonts w:ascii="仿宋" w:hAnsi="仿宋" w:eastAsia="仿宋"/>
                <w:color w:val="000000"/>
                <w:sz w:val="24"/>
              </w:rPr>
            </w:pPr>
            <w:r>
              <w:rPr>
                <w:rFonts w:hint="eastAsia" w:ascii="仿宋" w:hAnsi="仿宋" w:eastAsia="仿宋"/>
                <w:color w:val="000000"/>
                <w:sz w:val="24"/>
              </w:rPr>
              <w:t>5%</w:t>
            </w:r>
          </w:p>
        </w:tc>
        <w:tc>
          <w:tcPr>
            <w:tcW w:w="1596" w:type="dxa"/>
            <w:vAlign w:val="center"/>
          </w:tcPr>
          <w:p>
            <w:pPr>
              <w:jc w:val="center"/>
              <w:rPr>
                <w:rFonts w:ascii="仿宋" w:hAnsi="仿宋" w:eastAsia="仿宋"/>
                <w:color w:val="000000"/>
                <w:sz w:val="24"/>
              </w:rPr>
            </w:pPr>
            <w:r>
              <w:rPr>
                <w:rFonts w:hint="eastAsia" w:ascii="仿宋" w:hAnsi="仿宋" w:eastAsia="仿宋"/>
                <w:color w:val="000000"/>
                <w:sz w:val="24"/>
              </w:rPr>
              <w:t>客观性评分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故障维修过程描述</w:t>
            </w:r>
          </w:p>
        </w:tc>
        <w:tc>
          <w:tcPr>
            <w:tcW w:w="1116" w:type="dxa"/>
            <w:vAlign w:val="center"/>
          </w:tcPr>
          <w:p>
            <w:pPr>
              <w:jc w:val="center"/>
              <w:rPr>
                <w:rFonts w:ascii="仿宋" w:hAnsi="仿宋" w:eastAsia="仿宋"/>
                <w:color w:val="000000"/>
                <w:sz w:val="24"/>
              </w:rPr>
            </w:pPr>
            <w:r>
              <w:rPr>
                <w:rFonts w:hint="eastAsia" w:ascii="仿宋" w:hAnsi="仿宋" w:eastAsia="仿宋"/>
                <w:color w:val="000000"/>
                <w:sz w:val="24"/>
              </w:rPr>
              <w:t>10%</w:t>
            </w:r>
          </w:p>
        </w:tc>
        <w:tc>
          <w:tcPr>
            <w:tcW w:w="1596" w:type="dxa"/>
            <w:vAlign w:val="center"/>
          </w:tcPr>
          <w:p>
            <w:pPr>
              <w:jc w:val="center"/>
              <w:rPr>
                <w:rFonts w:ascii="仿宋" w:hAnsi="仿宋" w:eastAsia="仿宋"/>
                <w:color w:val="000000"/>
                <w:sz w:val="24"/>
              </w:rPr>
            </w:pPr>
            <w:r>
              <w:rPr>
                <w:rFonts w:hint="eastAsia" w:ascii="仿宋" w:hAnsi="仿宋" w:eastAsia="仿宋"/>
                <w:color w:val="000000"/>
                <w:sz w:val="24"/>
              </w:rPr>
              <w:t>主观性评分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职业素养</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5%</w:t>
            </w:r>
          </w:p>
        </w:tc>
        <w:tc>
          <w:tcPr>
            <w:tcW w:w="3436" w:type="dxa"/>
            <w:vAlign w:val="center"/>
          </w:tcPr>
          <w:p>
            <w:pPr>
              <w:rPr>
                <w:rFonts w:ascii="仿宋" w:hAnsi="仿宋" w:eastAsia="仿宋"/>
                <w:color w:val="000000"/>
                <w:sz w:val="24"/>
              </w:rPr>
            </w:pPr>
            <w:r>
              <w:rPr>
                <w:rFonts w:hint="eastAsia" w:ascii="仿宋" w:hAnsi="仿宋" w:eastAsia="仿宋" w:cs="仿宋"/>
                <w:bCs/>
                <w:color w:val="000000"/>
                <w:sz w:val="24"/>
              </w:rPr>
              <w:t>操作规范</w:t>
            </w:r>
          </w:p>
        </w:tc>
        <w:tc>
          <w:tcPr>
            <w:tcW w:w="1116" w:type="dxa"/>
            <w:vAlign w:val="center"/>
          </w:tcPr>
          <w:p>
            <w:pPr>
              <w:jc w:val="center"/>
              <w:rPr>
                <w:rFonts w:ascii="仿宋" w:hAnsi="仿宋" w:eastAsia="仿宋"/>
                <w:color w:val="000000"/>
                <w:sz w:val="24"/>
              </w:rPr>
            </w:pPr>
            <w:r>
              <w:rPr>
                <w:rFonts w:hint="eastAsia" w:ascii="仿宋" w:hAnsi="仿宋" w:eastAsia="仿宋" w:cs="仿宋"/>
                <w:bCs/>
                <w:color w:val="000000"/>
                <w:sz w:val="24"/>
              </w:rPr>
              <w:t>3%</w:t>
            </w:r>
          </w:p>
        </w:tc>
        <w:tc>
          <w:tcPr>
            <w:tcW w:w="1596" w:type="dxa"/>
            <w:vAlign w:val="center"/>
          </w:tcPr>
          <w:p>
            <w:pPr>
              <w:jc w:val="center"/>
              <w:rPr>
                <w:rFonts w:ascii="仿宋" w:hAnsi="仿宋" w:eastAsia="仿宋"/>
                <w:color w:val="000000"/>
                <w:sz w:val="24"/>
              </w:rPr>
            </w:pPr>
            <w:r>
              <w:rPr>
                <w:rFonts w:hint="eastAsia" w:ascii="仿宋" w:hAnsi="仿宋" w:eastAsia="仿宋" w:cs="仿宋"/>
                <w:bCs/>
                <w:color w:val="000000"/>
                <w:sz w:val="24"/>
              </w:rPr>
              <w:t>主观性评分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s="仿宋"/>
                <w:bCs/>
                <w:color w:val="000000"/>
                <w:sz w:val="24"/>
              </w:rPr>
              <w:t>工位整洁</w:t>
            </w:r>
          </w:p>
        </w:tc>
        <w:tc>
          <w:tcPr>
            <w:tcW w:w="1116" w:type="dxa"/>
            <w:vAlign w:val="center"/>
          </w:tcPr>
          <w:p>
            <w:pPr>
              <w:jc w:val="center"/>
              <w:rPr>
                <w:rFonts w:ascii="仿宋" w:hAnsi="仿宋" w:eastAsia="仿宋"/>
                <w:color w:val="000000"/>
                <w:sz w:val="24"/>
              </w:rPr>
            </w:pPr>
            <w:r>
              <w:rPr>
                <w:rFonts w:hint="eastAsia" w:ascii="仿宋" w:hAnsi="仿宋" w:eastAsia="仿宋" w:cs="仿宋"/>
                <w:bCs/>
                <w:color w:val="000000"/>
                <w:sz w:val="24"/>
              </w:rPr>
              <w:t>2%</w:t>
            </w:r>
          </w:p>
        </w:tc>
        <w:tc>
          <w:tcPr>
            <w:tcW w:w="1596" w:type="dxa"/>
            <w:vAlign w:val="center"/>
          </w:tcPr>
          <w:p>
            <w:pPr>
              <w:jc w:val="center"/>
              <w:rPr>
                <w:rFonts w:ascii="仿宋" w:hAnsi="仿宋" w:eastAsia="仿宋"/>
                <w:color w:val="000000"/>
                <w:sz w:val="24"/>
              </w:rPr>
            </w:pPr>
            <w:r>
              <w:rPr>
                <w:rFonts w:hint="eastAsia" w:ascii="仿宋" w:hAnsi="仿宋" w:eastAsia="仿宋" w:cs="仿宋"/>
                <w:bCs/>
                <w:color w:val="000000"/>
                <w:sz w:val="24"/>
              </w:rPr>
              <w:t>主观性评分</w:t>
            </w:r>
          </w:p>
        </w:tc>
      </w:tr>
    </w:tbl>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（三）成绩复核与公布</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2．竞赛成绩经复核无误后，由项目裁判长、总裁判长、监督人员审核签字后确定。竞赛成绩通过赛场显示屏和网络直播等方式进行实时公布。若有异议，经过规定程序仲裁后，按照仲裁结果公布比赛成绩。</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十二、奖项设定</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本赛项依照实际参赛选手数量确定奖项：一等奖占参赛队总数的10%，二等奖占参赛队总数的20%，三等奖占参赛队总数的30%，小数点后四舍五入。</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获得一等奖参赛队的指导教师，由大赛组委会颁发优秀指导教师证书。</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十三、赛项安全</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赛事安全是技能竞赛一切工作顺利开展的先决条件，是赛事筹备和运行工作必须考虑的核心问题。赛项执委会采取切实有效措施保证大赛期间参赛选手、指导教师、裁判员、工作人员及观众的人身安全。</w:t>
      </w:r>
    </w:p>
    <w:p>
      <w:pPr>
        <w:spacing w:line="560" w:lineRule="exact"/>
        <w:ind w:firstLine="420" w:firstLineChars="150"/>
        <w:rPr>
          <w:rFonts w:ascii="仿宋" w:hAnsi="仿宋" w:eastAsia="仿宋" w:cs="仿宋_GB2312"/>
          <w:color w:val="000000"/>
          <w:sz w:val="28"/>
          <w:szCs w:val="28"/>
        </w:rPr>
      </w:pPr>
      <w:bookmarkStart w:id="0" w:name="_Toc361563584"/>
      <w:r>
        <w:rPr>
          <w:rFonts w:hint="eastAsia" w:ascii="仿宋" w:hAnsi="仿宋" w:eastAsia="仿宋" w:cs="仿宋_GB2312"/>
          <w:color w:val="000000"/>
          <w:sz w:val="28"/>
          <w:szCs w:val="28"/>
        </w:rPr>
        <w:t>（一）比赛环境</w:t>
      </w:r>
      <w:bookmarkEnd w:id="0"/>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赛场周围要设立警戒线，防止无关人员进入发生意外事件。比赛现场内应参照相关职业岗位的要求为选手提供必要的劳动保护。在具有危险性的操作环节，裁判员要严防选手出现错误操作。</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承办单位应提供保证应急预案实施的条件。对于比赛内容涉及高空作业、可能有坠物、大用电量、易发生火灾等情况的赛项，必须明确制度和预案，并配备急救人员与设施。</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承办单位制定开放赛场和体验区的人员疏导方案。赛场环境中存在人员密集、车流人流交错的区域，除了设置齐全的指示标志外，须增加引导人员，并开辟备用通道。</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大赛期间，承办单位须在赛场管理的关键岗位，增加力量，建立安全管理日志。</w:t>
      </w:r>
    </w:p>
    <w:p>
      <w:pPr>
        <w:pStyle w:val="18"/>
        <w:numPr>
          <w:ilvl w:val="0"/>
          <w:numId w:val="2"/>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spacing w:line="560" w:lineRule="exact"/>
        <w:ind w:firstLine="420" w:firstLineChars="150"/>
        <w:rPr>
          <w:rFonts w:ascii="仿宋" w:hAnsi="仿宋" w:eastAsia="仿宋" w:cs="仿宋_GB2312"/>
          <w:color w:val="000000"/>
          <w:sz w:val="28"/>
          <w:szCs w:val="28"/>
        </w:rPr>
      </w:pPr>
      <w:bookmarkStart w:id="1" w:name="_Toc361563585"/>
      <w:r>
        <w:rPr>
          <w:rFonts w:hint="eastAsia" w:ascii="仿宋" w:hAnsi="仿宋" w:eastAsia="仿宋" w:cs="仿宋_GB2312"/>
          <w:color w:val="000000"/>
          <w:sz w:val="28"/>
          <w:szCs w:val="28"/>
        </w:rPr>
        <w:t>（二）生活条件</w:t>
      </w:r>
      <w:bookmarkEnd w:id="1"/>
    </w:p>
    <w:p>
      <w:pPr>
        <w:pStyle w:val="18"/>
        <w:numPr>
          <w:ilvl w:val="0"/>
          <w:numId w:val="3"/>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比赛期间，参赛选手和指导教师食宿</w:t>
      </w:r>
      <w:r>
        <w:rPr>
          <w:rFonts w:hint="eastAsia" w:ascii="仿宋" w:hAnsi="仿宋" w:eastAsia="仿宋" w:cs="仿宋_GB2312"/>
          <w:color w:val="000000"/>
          <w:szCs w:val="28"/>
          <w:lang w:eastAsia="zh-CN"/>
        </w:rPr>
        <w:t>由参赛单位自行安排</w:t>
      </w:r>
      <w:r>
        <w:rPr>
          <w:rFonts w:hint="eastAsia" w:ascii="仿宋" w:hAnsi="仿宋" w:eastAsia="仿宋" w:cs="仿宋_GB2312"/>
          <w:color w:val="000000"/>
          <w:szCs w:val="28"/>
        </w:rPr>
        <w:t>。承办单位须尊重少数民族的信仰及文化，根据国家相关的民族政策，安排好少数民族选手和教师的饮食起居。</w:t>
      </w:r>
    </w:p>
    <w:p>
      <w:pPr>
        <w:pStyle w:val="18"/>
        <w:numPr>
          <w:ilvl w:val="0"/>
          <w:numId w:val="3"/>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比赛期间安排的住宿地应具有宾馆/住宿经营许可资质。大赛期间有组织的参观和观摩活动的交通安全由执委会负责。承办单位须保证比赛期间选手、指导教师和裁判员、工作人员的交通安全。</w:t>
      </w:r>
    </w:p>
    <w:p>
      <w:pPr>
        <w:pStyle w:val="18"/>
        <w:numPr>
          <w:ilvl w:val="0"/>
          <w:numId w:val="3"/>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各赛项的安全管理，除了可以采取必要的安全隔离措施外，应严格遵守国家相关法律法规，保护个人隐私和人身自由。</w:t>
      </w:r>
    </w:p>
    <w:p>
      <w:pPr>
        <w:spacing w:line="560" w:lineRule="exact"/>
        <w:ind w:firstLine="420" w:firstLineChars="150"/>
        <w:rPr>
          <w:rFonts w:ascii="仿宋" w:hAnsi="仿宋" w:eastAsia="仿宋" w:cs="仿宋_GB2312"/>
          <w:color w:val="000000"/>
          <w:sz w:val="28"/>
          <w:szCs w:val="28"/>
        </w:rPr>
      </w:pPr>
      <w:bookmarkStart w:id="2" w:name="_Toc361563586"/>
      <w:r>
        <w:rPr>
          <w:rFonts w:hint="eastAsia" w:ascii="仿宋" w:hAnsi="仿宋" w:eastAsia="仿宋" w:cs="仿宋_GB2312"/>
          <w:color w:val="000000"/>
          <w:sz w:val="28"/>
          <w:szCs w:val="28"/>
        </w:rPr>
        <w:t>（三）组队责任</w:t>
      </w:r>
      <w:bookmarkEnd w:id="2"/>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1.各学校组织代表队时，须安排为参赛选手购买大赛期间的人身意外伤害保险。</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2.各学校代表队组成后，须制定相关管理制度，并对所有选手、指导教师进行安全教育。</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3.各参赛队伍须加强对参与比赛人员的安全管理，实现与赛场安全管理的对接。</w:t>
      </w:r>
    </w:p>
    <w:p>
      <w:pPr>
        <w:spacing w:line="560" w:lineRule="exact"/>
        <w:ind w:firstLine="420" w:firstLineChars="150"/>
        <w:rPr>
          <w:rFonts w:ascii="仿宋" w:hAnsi="仿宋" w:eastAsia="仿宋" w:cs="仿宋_GB2312"/>
          <w:color w:val="000000"/>
          <w:sz w:val="28"/>
          <w:szCs w:val="28"/>
        </w:rPr>
      </w:pPr>
      <w:bookmarkStart w:id="3" w:name="_Toc361563587"/>
      <w:r>
        <w:rPr>
          <w:rFonts w:hint="eastAsia" w:ascii="仿宋" w:hAnsi="仿宋" w:eastAsia="仿宋" w:cs="仿宋_GB2312"/>
          <w:color w:val="000000"/>
          <w:sz w:val="28"/>
          <w:szCs w:val="28"/>
        </w:rPr>
        <w:t>（四）应急处理</w:t>
      </w:r>
      <w:bookmarkEnd w:id="3"/>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比赛期间发生意外事故，发现者应第一时间报告赛项执委会，同时采取措施避免事态扩大。赛项执委会应立即启动预案予以解决并报告赛区执委会。赛项出现重大安全问题可以停赛，是否停赛由赛区组委会决定。事后，赛区执委会应向大赛执委会报告详细情况。</w:t>
      </w:r>
    </w:p>
    <w:p>
      <w:pPr>
        <w:spacing w:line="560" w:lineRule="exact"/>
        <w:ind w:firstLine="420" w:firstLineChars="150"/>
        <w:rPr>
          <w:rFonts w:ascii="仿宋" w:hAnsi="仿宋" w:eastAsia="仿宋" w:cs="仿宋_GB2312"/>
          <w:color w:val="000000"/>
          <w:sz w:val="28"/>
          <w:szCs w:val="28"/>
        </w:rPr>
      </w:pPr>
      <w:bookmarkStart w:id="4" w:name="_Toc361563588"/>
      <w:r>
        <w:rPr>
          <w:rFonts w:hint="eastAsia" w:ascii="仿宋" w:hAnsi="仿宋" w:eastAsia="仿宋" w:cs="仿宋_GB2312"/>
          <w:color w:val="000000"/>
          <w:sz w:val="28"/>
          <w:szCs w:val="28"/>
        </w:rPr>
        <w:t>（五）处罚措施</w:t>
      </w:r>
      <w:bookmarkEnd w:id="4"/>
    </w:p>
    <w:p>
      <w:pPr>
        <w:pStyle w:val="18"/>
        <w:adjustRightInd w:val="0"/>
        <w:snapToGrid w:val="0"/>
        <w:spacing w:beforeLines="0" w:afterLines="0" w:line="560" w:lineRule="exact"/>
        <w:ind w:left="560" w:firstLine="0" w:firstLineChars="0"/>
        <w:rPr>
          <w:rFonts w:ascii="仿宋" w:hAnsi="仿宋" w:eastAsia="仿宋" w:cs="仿宋_GB2312"/>
          <w:color w:val="000000"/>
          <w:szCs w:val="28"/>
        </w:rPr>
      </w:pPr>
      <w:r>
        <w:rPr>
          <w:rFonts w:hint="eastAsia" w:ascii="仿宋" w:hAnsi="仿宋" w:eastAsia="仿宋" w:cs="仿宋_GB2312"/>
          <w:color w:val="000000"/>
          <w:szCs w:val="28"/>
        </w:rPr>
        <w:t>1.因参赛队伍原因造成重大安全事故的，取消其获奖资格。</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2.参赛队伍有发生重大安全事故隐患，经赛场工作人员提示、警告无效的，可取消其继续比赛的资格。</w:t>
      </w:r>
    </w:p>
    <w:p>
      <w:pPr>
        <w:pStyle w:val="18"/>
        <w:adjustRightInd w:val="0"/>
        <w:snapToGrid w:val="0"/>
        <w:spacing w:beforeLines="0" w:afterLines="0" w:line="560" w:lineRule="exact"/>
        <w:ind w:firstLine="560"/>
        <w:rPr>
          <w:rFonts w:ascii="仿宋" w:hAnsi="仿宋" w:eastAsia="仿宋" w:cs="仿宋_GB2312"/>
          <w:szCs w:val="28"/>
        </w:rPr>
      </w:pPr>
      <w:r>
        <w:rPr>
          <w:rFonts w:hint="eastAsia" w:ascii="仿宋" w:hAnsi="仿宋" w:eastAsia="仿宋" w:cs="仿宋_GB2312"/>
          <w:color w:val="000000"/>
          <w:szCs w:val="28"/>
        </w:rPr>
        <w:t>3.赛事工作人员违规的，按照相应的制度追究责任。情节恶劣并造成重大安全事故的，由司法机关追究相应法律责任。</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十四、竞赛须知</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（一）参赛队须知</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1.参赛队名称：统一使用规定的地区代表队名称，不使用学校或其他组织、团体的名称。</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参赛队选手和指导教师报名获得确认后不得随意更换。如备赛过程中参赛队选手和指导教师因故无法参赛，须由省级教育行政部门于相应赛项开赛10个工作日之前出具书面说明，经大赛执委会办公室核实后予以更换。</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3.符合下列情形之一的参赛选手，经裁判组裁定后中止其竞赛:</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（1）不服从裁判员/监考员管理、扰乱赛场秩序、干扰其他参赛队选手比赛，裁判员应提出警告，二次警告后无效，或情节特别严重，造成竞赛中止的，经裁判长确认，终止比赛，并取消比赛资格和竞赛成绩。</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（2）竞赛过程中，由于选手技能不熟练或疏忽大意造成计算机、仪器设备及工具等严重损坏，由裁判组裁定其竞赛结束，保留竞赛资格，累计其有效竞赛成绩。</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（3）竞赛过程中，产生重大安全事故、或有产生重大安全事故隐患，经裁判员提示没有采取措施的，裁判员可暂停其竞赛，由裁判组裁定其竞赛结束，保留竞赛资格和有效竞赛成绩。</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（二）指导教师须知</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1.各参赛代表队要发扬良好道德风尚，听从指挥，服从裁判，不弄虚作假。如发现弄虚作假者，取消参赛资格，名次无效。</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2.各代表队领队要坚决执行竞赛的各项规定，加强对参赛人员的管理，做好赛前准备工作，督促选手带好证件等竞赛相关材料。</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3.竞赛过程中，除参加当场次竞赛的选手、执行裁判员、现场工作人员和经批准的人员外，领队、指导教师及其他人员一律不得进入竞赛现场。</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4.参赛代表队若对竞赛过程有异议，在规定的时间内由领队向赛项仲裁工作组提出书面报告。</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5.对申诉的仲裁结果，领队要带头服从和执行，并做好选手工作。</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6.指导老师应及时查看大赛专用网页有关赛项的通知和内容，认真研究和掌握本赛项竞赛的规程、技术规范和赛场要求，指导选手做好赛前的一切技术准备和竞赛准备。</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（三）参赛队选手须知</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1.参赛队选手严格遵守赛场规章、操作规程和工艺准则，保证人身及设备安全，接受裁判员的监督和警示，文明竞赛。</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w:t>
      </w:r>
      <w:r>
        <w:rPr>
          <w:rFonts w:hint="eastAsia" w:ascii="仿宋" w:hAnsi="仿宋" w:eastAsia="仿宋" w:cs="仿宋_GB2312"/>
          <w:sz w:val="28"/>
          <w:szCs w:val="28"/>
        </w:rPr>
        <w:t xml:space="preserve"> </w:t>
      </w:r>
      <w:r>
        <w:rPr>
          <w:rFonts w:hint="eastAsia" w:ascii="仿宋" w:hAnsi="仿宋" w:eastAsia="仿宋" w:cs="仿宋_GB2312"/>
          <w:color w:val="000000"/>
          <w:sz w:val="28"/>
          <w:szCs w:val="28"/>
        </w:rPr>
        <w:t>参赛选手需同时携带身份证、学生证、参赛证入场，进行检录，抽取顺序号后，须将所有证件交给指导教师，不得带入赛场。3.参赛选手进入赛场，不许携带任何书籍和其他纸质资料（相关技术资料的电子文档由赛项执委会提供），不许携带通信工具和存储介质（如U盘），不许携带任何检测设备和工具。</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4.参赛队选手应在规定的时间段进入赛场熟悉环境，入场后，赛场工作人员与参赛选手共同确认操作条件及设备状况。</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5.竞赛时，在收到开赛信号前不得启动操作，参赛队选手按竞赛要求自行决定工作程序和时间安排，在指定赛位上完成竞赛项目，严禁作弊行为。</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6.竞赛过程中，因严重操作失误或安全事故不能进行比赛的（例如因操作原因发生短路导致赛场断电的、造成设备不能正常工作的），现场裁判员有权终止该队比赛。</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7.竞赛期间，参赛队选手连续工作，饮水由赛场统一提供，且休息、饮水和如厕时间均计算在比赛时间内。</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8.凡在竞赛期间内提前离开的参赛队选手，不得返回赛场。参赛队选手进出赛场不得携带任何与竞赛有关的物品。</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9.在参赛期间，选手应注意保持工作环境及设备摆放符合生产操作规程。</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10.在竞赛中如遇非人为因素造成的设备故障，经裁判确认后，可向裁判长申请补足排除故障的时间。</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11.结束比赛后，选手不得再进行任何与比赛有关的操作。须根据现场裁判的指示进行板卡维修结果以及竞赛报告单的提交，在与现场裁判一起签字确认后方可离开赛位。</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12.因保密要求，各参赛队选手需按照大赛要求和赛题要求提交竞赛成果，且提交的任何文件中不得出现单位名称、参赛者姓名、与竞赛无关的记号等违规信息，否则按照作弊处理。</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（四）工作人员须知</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1.赛场工作人员由赛项执委会统一聘用并进行工作分工。</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2.赛场工作人员需服从赛项执委会的管理，严格执行赛项执委会制订的各项比赛规则，执行赛项执委会的工作安排，为赛场提供有序的服务。</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3.赛场工作人员要积极维护好赛场秩序，以利于参赛选手正常发挥水平。</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4.赛场工作人员要坚守岗位，不得擅离职守。</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5.赛场工作人员在比赛中不回答选手提出的任何有关比赛技术问题，如遇争议问题，需上报执委会。</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6.工作人员要着赛项执委会统一提供的服装并佩戴胸卡。</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十五、申诉与仲裁</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本赛项在比赛过程中若出现有失公正或有关人员违规等现象，参赛队领队可在比赛结束后2小时之内向仲裁组提出书面申诉。</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书面申诉应对申诉事件的现象、发生时间、涉及人员、申诉依据等进行充分、实事求是的叙述，并由领队亲笔签名。非书面申诉不予受理。 </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赛项仲裁工作组在接到申诉报告后的2小时内组织复议，并及时将复议结果以书面形式告知申诉方。申诉方对复议结果仍有异议，可由</w:t>
      </w:r>
      <w:r>
        <w:rPr>
          <w:rFonts w:hint="eastAsia" w:ascii="仿宋" w:hAnsi="仿宋" w:eastAsia="仿宋" w:cs="仿宋_GB2312"/>
          <w:color w:val="000000"/>
          <w:sz w:val="28"/>
          <w:szCs w:val="28"/>
          <w:lang w:eastAsia="zh-CN"/>
        </w:rPr>
        <w:t>院校领队及指导教师</w:t>
      </w:r>
      <w:r>
        <w:rPr>
          <w:rFonts w:hint="eastAsia" w:ascii="仿宋" w:hAnsi="仿宋" w:eastAsia="仿宋" w:cs="仿宋_GB2312"/>
          <w:color w:val="000000"/>
          <w:sz w:val="28"/>
          <w:szCs w:val="28"/>
        </w:rPr>
        <w:t>向</w:t>
      </w:r>
      <w:r>
        <w:rPr>
          <w:rFonts w:hint="eastAsia" w:ascii="仿宋" w:hAnsi="仿宋" w:eastAsia="仿宋" w:cs="仿宋_GB2312"/>
          <w:color w:val="000000"/>
          <w:sz w:val="28"/>
          <w:szCs w:val="28"/>
          <w:lang w:eastAsia="zh-CN"/>
        </w:rPr>
        <w:t>大赛主管部门</w:t>
      </w:r>
      <w:r>
        <w:rPr>
          <w:rFonts w:hint="eastAsia" w:ascii="仿宋" w:hAnsi="仿宋" w:eastAsia="仿宋" w:cs="仿宋_GB2312"/>
          <w:color w:val="000000"/>
          <w:sz w:val="28"/>
          <w:szCs w:val="28"/>
        </w:rPr>
        <w:t>提出申诉。赛区仲裁委员会的仲裁结果为最终结果。</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十六、竞赛观摩</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竞赛期间设置相关技术展示角，展示职业教育教学改革成果；</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（一）观摩对象</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与赛项相关的企业、单位、学院、行业协会等专家、技术人员、指导教师等。</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（二）观摩方法</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观摩人员可在规定时间，以小组为单位，在赛场引导员的引导下，有序进入赛场观摩。</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（三）观摩纪律</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1</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观摩人员必须佩带观摩证。</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2</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观摩时不得议论、交谈，并严禁与选手进行交流。</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3</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观摩时不得在赛位前停留，以免影响考生比赛。</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4</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观摩时不准向场内裁判及工作人员提问。</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5</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观摩时禁止拍照。</w:t>
      </w:r>
    </w:p>
    <w:p>
      <w:pPr>
        <w:snapToGrid w:val="0"/>
        <w:spacing w:line="560" w:lineRule="exact"/>
        <w:ind w:firstLine="700" w:firstLineChars="250"/>
        <w:rPr>
          <w:rFonts w:ascii="仿宋" w:hAnsi="仿宋" w:eastAsia="仿宋" w:cs="仿宋_GB2312"/>
          <w:sz w:val="28"/>
          <w:szCs w:val="28"/>
        </w:rPr>
      </w:pPr>
      <w:r>
        <w:rPr>
          <w:rFonts w:hint="eastAsia" w:ascii="仿宋" w:hAnsi="仿宋" w:eastAsia="仿宋" w:cs="仿宋_GB2312"/>
          <w:color w:val="000000"/>
          <w:sz w:val="28"/>
          <w:szCs w:val="28"/>
          <w:lang w:val="zh-CN"/>
        </w:rPr>
        <w:t>6.凡违反以上规定者，立即取消观摩资格。</w:t>
      </w:r>
    </w:p>
    <w:p>
      <w:pPr>
        <w:pStyle w:val="2"/>
        <w:keepNext w:val="0"/>
        <w:keepLines w:val="0"/>
        <w:adjustRightInd w:val="0"/>
        <w:snapToGrid w:val="0"/>
        <w:spacing w:before="0" w:after="0" w:line="560" w:lineRule="exact"/>
        <w:rPr>
          <w:rFonts w:hint="eastAsia" w:ascii="仿宋" w:hAnsi="仿宋" w:eastAsia="仿宋" w:cs="仿宋_GB2312"/>
          <w:color w:val="000000"/>
          <w:sz w:val="28"/>
          <w:szCs w:val="28"/>
          <w:lang w:eastAsia="zh-CN"/>
        </w:rPr>
      </w:pPr>
      <w:r>
        <w:rPr>
          <w:rFonts w:hint="eastAsia" w:ascii="仿宋" w:hAnsi="仿宋" w:eastAsia="仿宋" w:cs="仿宋_GB2312"/>
          <w:bCs w:val="0"/>
          <w:color w:val="000000"/>
          <w:kern w:val="0"/>
          <w:sz w:val="28"/>
          <w:szCs w:val="28"/>
        </w:rPr>
        <w:t xml:space="preserve">    </w:t>
      </w:r>
      <w:r>
        <w:rPr>
          <w:rFonts w:hint="eastAsia" w:ascii="仿宋" w:hAnsi="仿宋" w:eastAsia="仿宋" w:cs="仿宋_GB2312"/>
          <w:bCs w:val="0"/>
          <w:color w:val="000000"/>
          <w:kern w:val="0"/>
          <w:sz w:val="28"/>
          <w:szCs w:val="28"/>
          <w:lang w:eastAsia="zh-CN"/>
        </w:rPr>
        <w:t>重要提醒：因疫情发展情况未知，入校参加比赛应严格按照举办校疫情防控办公室的疫情防控要求执行。</w:t>
      </w:r>
    </w:p>
    <w:p>
      <w:pPr>
        <w:pStyle w:val="2"/>
        <w:keepNext w:val="0"/>
        <w:keepLines w:val="0"/>
        <w:adjustRightInd w:val="0"/>
        <w:snapToGrid w:val="0"/>
        <w:spacing w:before="0" w:after="0" w:line="560" w:lineRule="exact"/>
        <w:rPr>
          <w:rFonts w:ascii="仿宋" w:hAnsi="仿宋" w:eastAsia="仿宋" w:cs="仿宋_GB2312"/>
          <w:color w:val="000000"/>
          <w:sz w:val="28"/>
          <w:szCs w:val="28"/>
        </w:rPr>
      </w:pPr>
      <w:r>
        <w:rPr>
          <w:rFonts w:hint="eastAsia" w:ascii="仿宋" w:hAnsi="仿宋" w:eastAsia="仿宋" w:cs="仿宋_GB2312"/>
          <w:bCs w:val="0"/>
          <w:color w:val="000000"/>
          <w:kern w:val="0"/>
          <w:sz w:val="28"/>
          <w:szCs w:val="28"/>
        </w:rPr>
        <w:t xml:space="preserve">  </w:t>
      </w:r>
    </w:p>
    <w:sectPr>
      <w:footerReference r:id="rId3" w:type="default"/>
      <w:pgSz w:w="11906" w:h="16838"/>
      <w:pgMar w:top="1440" w:right="1230" w:bottom="1440" w:left="123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OEEEEV+FZHTJW--GB1-0">
    <w:altName w:val="宋体"/>
    <w:panose1 w:val="00000000000000000000"/>
    <w:charset w:val="86"/>
    <w:family w:val="swiss"/>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CA3A77"/>
    <w:multiLevelType w:val="singleLevel"/>
    <w:tmpl w:val="C4CA3A77"/>
    <w:lvl w:ilvl="0" w:tentative="0">
      <w:start w:val="2"/>
      <w:numFmt w:val="chineseCounting"/>
      <w:suff w:val="nothing"/>
      <w:lvlText w:val="（%1）"/>
      <w:lvlJc w:val="left"/>
      <w:rPr>
        <w:rFonts w:hint="eastAsia"/>
      </w:rPr>
    </w:lvl>
  </w:abstractNum>
  <w:abstractNum w:abstractNumId="1">
    <w:nsid w:val="37C833D5"/>
    <w:multiLevelType w:val="multilevel"/>
    <w:tmpl w:val="37C833D5"/>
    <w:lvl w:ilvl="0" w:tentative="0">
      <w:start w:val="1"/>
      <w:numFmt w:val="decimal"/>
      <w:lvlText w:val="%1."/>
      <w:lvlJc w:val="left"/>
      <w:pPr>
        <w:ind w:left="840" w:hanging="420"/>
      </w:pPr>
      <w:rPr>
        <w:rFonts w:hint="eastAsia" w:cs="Times New Roman"/>
        <w:sz w:val="28"/>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abstractNum w:abstractNumId="2">
    <w:nsid w:val="3C9610AF"/>
    <w:multiLevelType w:val="multilevel"/>
    <w:tmpl w:val="3C9610AF"/>
    <w:lvl w:ilvl="0" w:tentative="0">
      <w:start w:val="1"/>
      <w:numFmt w:val="decimal"/>
      <w:lvlText w:val="%1."/>
      <w:lvlJc w:val="left"/>
      <w:pPr>
        <w:ind w:left="840" w:hanging="420"/>
      </w:pPr>
      <w:rPr>
        <w:rFonts w:hint="eastAsia" w:cs="Times New Roman"/>
        <w:sz w:val="28"/>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679"/>
    <w:rsid w:val="00000D08"/>
    <w:rsid w:val="00022228"/>
    <w:rsid w:val="00053990"/>
    <w:rsid w:val="00061656"/>
    <w:rsid w:val="0006313C"/>
    <w:rsid w:val="00075A15"/>
    <w:rsid w:val="000A4A57"/>
    <w:rsid w:val="00162C30"/>
    <w:rsid w:val="00183865"/>
    <w:rsid w:val="00217060"/>
    <w:rsid w:val="002368C1"/>
    <w:rsid w:val="00237E55"/>
    <w:rsid w:val="00263B07"/>
    <w:rsid w:val="002A3FE9"/>
    <w:rsid w:val="002C1106"/>
    <w:rsid w:val="002C39B2"/>
    <w:rsid w:val="002C756C"/>
    <w:rsid w:val="00311D86"/>
    <w:rsid w:val="00351498"/>
    <w:rsid w:val="00372284"/>
    <w:rsid w:val="003805DE"/>
    <w:rsid w:val="003A68BC"/>
    <w:rsid w:val="003B5C6C"/>
    <w:rsid w:val="003D12D0"/>
    <w:rsid w:val="003D4BD0"/>
    <w:rsid w:val="003E4879"/>
    <w:rsid w:val="003E6B66"/>
    <w:rsid w:val="00415DCB"/>
    <w:rsid w:val="00420718"/>
    <w:rsid w:val="00423FCC"/>
    <w:rsid w:val="00425C7D"/>
    <w:rsid w:val="00430980"/>
    <w:rsid w:val="00437297"/>
    <w:rsid w:val="00444279"/>
    <w:rsid w:val="00450313"/>
    <w:rsid w:val="004605A8"/>
    <w:rsid w:val="00472EA0"/>
    <w:rsid w:val="004D15E0"/>
    <w:rsid w:val="004E7C86"/>
    <w:rsid w:val="004F4522"/>
    <w:rsid w:val="00544C42"/>
    <w:rsid w:val="00561FF7"/>
    <w:rsid w:val="0056680F"/>
    <w:rsid w:val="00592BED"/>
    <w:rsid w:val="005C7212"/>
    <w:rsid w:val="005D070B"/>
    <w:rsid w:val="005E7679"/>
    <w:rsid w:val="005F58C0"/>
    <w:rsid w:val="00634597"/>
    <w:rsid w:val="00652E74"/>
    <w:rsid w:val="00681EFC"/>
    <w:rsid w:val="006C608D"/>
    <w:rsid w:val="006D7822"/>
    <w:rsid w:val="006E0BDD"/>
    <w:rsid w:val="00712354"/>
    <w:rsid w:val="00725ACF"/>
    <w:rsid w:val="0074236B"/>
    <w:rsid w:val="00746625"/>
    <w:rsid w:val="00761C6E"/>
    <w:rsid w:val="007670AE"/>
    <w:rsid w:val="00785D01"/>
    <w:rsid w:val="00790759"/>
    <w:rsid w:val="007A33BD"/>
    <w:rsid w:val="007E0A2B"/>
    <w:rsid w:val="007E75B9"/>
    <w:rsid w:val="00811A3C"/>
    <w:rsid w:val="00813492"/>
    <w:rsid w:val="008560BB"/>
    <w:rsid w:val="00877006"/>
    <w:rsid w:val="00886B74"/>
    <w:rsid w:val="008B3EA8"/>
    <w:rsid w:val="008C6C55"/>
    <w:rsid w:val="008C6F2E"/>
    <w:rsid w:val="008E2FE9"/>
    <w:rsid w:val="0091422E"/>
    <w:rsid w:val="00920FDB"/>
    <w:rsid w:val="00925F08"/>
    <w:rsid w:val="00926E24"/>
    <w:rsid w:val="00934564"/>
    <w:rsid w:val="00957171"/>
    <w:rsid w:val="00965579"/>
    <w:rsid w:val="00972B05"/>
    <w:rsid w:val="009933F5"/>
    <w:rsid w:val="00A24349"/>
    <w:rsid w:val="00A50D00"/>
    <w:rsid w:val="00A52C41"/>
    <w:rsid w:val="00A6037B"/>
    <w:rsid w:val="00A812D0"/>
    <w:rsid w:val="00AA54D1"/>
    <w:rsid w:val="00AB329A"/>
    <w:rsid w:val="00AB4B48"/>
    <w:rsid w:val="00AC61D2"/>
    <w:rsid w:val="00AF7A2B"/>
    <w:rsid w:val="00B40B1A"/>
    <w:rsid w:val="00B52DA4"/>
    <w:rsid w:val="00B533D7"/>
    <w:rsid w:val="00B749AA"/>
    <w:rsid w:val="00BA12D9"/>
    <w:rsid w:val="00BB657E"/>
    <w:rsid w:val="00BF0EE3"/>
    <w:rsid w:val="00C00052"/>
    <w:rsid w:val="00C07691"/>
    <w:rsid w:val="00C41CCD"/>
    <w:rsid w:val="00C5373D"/>
    <w:rsid w:val="00C60820"/>
    <w:rsid w:val="00C74C09"/>
    <w:rsid w:val="00C80DE8"/>
    <w:rsid w:val="00CB07EA"/>
    <w:rsid w:val="00CF0FC9"/>
    <w:rsid w:val="00CF4B55"/>
    <w:rsid w:val="00CF5FA7"/>
    <w:rsid w:val="00D00317"/>
    <w:rsid w:val="00D31844"/>
    <w:rsid w:val="00D37044"/>
    <w:rsid w:val="00D73FF2"/>
    <w:rsid w:val="00D8154F"/>
    <w:rsid w:val="00DB335C"/>
    <w:rsid w:val="00DC4924"/>
    <w:rsid w:val="00DD41AD"/>
    <w:rsid w:val="00E139CF"/>
    <w:rsid w:val="00E5664F"/>
    <w:rsid w:val="00E56B6A"/>
    <w:rsid w:val="00E57E3A"/>
    <w:rsid w:val="00E61F2C"/>
    <w:rsid w:val="00E636F3"/>
    <w:rsid w:val="00E91373"/>
    <w:rsid w:val="00EB3895"/>
    <w:rsid w:val="00EE4E8C"/>
    <w:rsid w:val="00F00F5D"/>
    <w:rsid w:val="00F24D6C"/>
    <w:rsid w:val="00F35CC4"/>
    <w:rsid w:val="00F555CC"/>
    <w:rsid w:val="00F8578C"/>
    <w:rsid w:val="00FA2E05"/>
    <w:rsid w:val="00FB5FC1"/>
    <w:rsid w:val="00FD522C"/>
    <w:rsid w:val="0852056B"/>
    <w:rsid w:val="10F376C9"/>
    <w:rsid w:val="15376EF9"/>
    <w:rsid w:val="297C5FBC"/>
    <w:rsid w:val="35EA7587"/>
    <w:rsid w:val="3A490AAE"/>
    <w:rsid w:val="3C5623F5"/>
    <w:rsid w:val="419B2FEA"/>
    <w:rsid w:val="46776662"/>
    <w:rsid w:val="65055627"/>
    <w:rsid w:val="6F823B8D"/>
    <w:rsid w:val="72962B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iPriority="39"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15"/>
    <w:qFormat/>
    <w:uiPriority w:val="9"/>
    <w:pPr>
      <w:keepNext/>
      <w:keepLines/>
      <w:spacing w:before="260" w:after="260" w:line="413"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2"/>
    <w:unhideWhenUsed/>
    <w:qFormat/>
    <w:uiPriority w:val="99"/>
    <w:pPr>
      <w:jc w:val="left"/>
    </w:pPr>
  </w:style>
  <w:style w:type="paragraph" w:styleId="4">
    <w:name w:val="toc 3"/>
    <w:basedOn w:val="1"/>
    <w:next w:val="1"/>
    <w:qFormat/>
    <w:uiPriority w:val="39"/>
    <w:pPr>
      <w:ind w:left="840" w:leftChars="400"/>
    </w:pPr>
    <w:rPr>
      <w:rFonts w:ascii="Calibri" w:hAnsi="Calibri"/>
      <w:szCs w:val="22"/>
    </w:rPr>
  </w:style>
  <w:style w:type="paragraph" w:styleId="5">
    <w:name w:val="Balloon Text"/>
    <w:basedOn w:val="1"/>
    <w:link w:val="21"/>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iPriority w:val="39"/>
    <w:rPr>
      <w:rFonts w:ascii="Calibri" w:hAnsi="Calibri"/>
      <w:szCs w:val="22"/>
    </w:rPr>
  </w:style>
  <w:style w:type="paragraph" w:styleId="9">
    <w:name w:val="annotation subject"/>
    <w:basedOn w:val="3"/>
    <w:next w:val="3"/>
    <w:link w:val="23"/>
    <w:unhideWhenUsed/>
    <w:qFormat/>
    <w:uiPriority w:val="99"/>
    <w:rPr>
      <w:b/>
      <w:bCs/>
    </w:rPr>
  </w:style>
  <w:style w:type="character" w:styleId="12">
    <w:name w:val="Hyperlink"/>
    <w:unhideWhenUsed/>
    <w:uiPriority w:val="99"/>
    <w:rPr>
      <w:color w:val="0000FF"/>
      <w:u w:val="single"/>
    </w:rPr>
  </w:style>
  <w:style w:type="character" w:styleId="13">
    <w:name w:val="annotation reference"/>
    <w:basedOn w:val="11"/>
    <w:unhideWhenUsed/>
    <w:qFormat/>
    <w:uiPriority w:val="99"/>
    <w:rPr>
      <w:sz w:val="21"/>
      <w:szCs w:val="21"/>
    </w:rPr>
  </w:style>
  <w:style w:type="character" w:customStyle="1" w:styleId="14">
    <w:name w:val="标题 3 字符"/>
    <w:basedOn w:val="11"/>
    <w:semiHidden/>
    <w:uiPriority w:val="9"/>
    <w:rPr>
      <w:rFonts w:ascii="Times New Roman" w:hAnsi="Times New Roman" w:eastAsia="宋体" w:cs="Times New Roman"/>
      <w:b/>
      <w:bCs/>
      <w:sz w:val="32"/>
      <w:szCs w:val="32"/>
    </w:rPr>
  </w:style>
  <w:style w:type="character" w:customStyle="1" w:styleId="15">
    <w:name w:val="标题 3 Char"/>
    <w:link w:val="2"/>
    <w:qFormat/>
    <w:uiPriority w:val="9"/>
    <w:rPr>
      <w:rFonts w:ascii="Times New Roman" w:hAnsi="Times New Roman" w:eastAsia="宋体" w:cs="Times New Roman"/>
      <w:b/>
      <w:bCs/>
      <w:sz w:val="32"/>
      <w:szCs w:val="32"/>
    </w:rPr>
  </w:style>
  <w:style w:type="character" w:customStyle="1" w:styleId="16">
    <w:name w:val="页眉 Char"/>
    <w:basedOn w:val="11"/>
    <w:link w:val="7"/>
    <w:qFormat/>
    <w:uiPriority w:val="99"/>
    <w:rPr>
      <w:rFonts w:ascii="Times New Roman" w:hAnsi="Times New Roman" w:eastAsia="宋体" w:cs="Times New Roman"/>
      <w:sz w:val="18"/>
      <w:szCs w:val="18"/>
    </w:rPr>
  </w:style>
  <w:style w:type="character" w:customStyle="1" w:styleId="17">
    <w:name w:val="页脚 Char"/>
    <w:basedOn w:val="11"/>
    <w:link w:val="6"/>
    <w:qFormat/>
    <w:uiPriority w:val="99"/>
    <w:rPr>
      <w:rFonts w:ascii="Times New Roman" w:hAnsi="Times New Roman" w:eastAsia="宋体" w:cs="Times New Roman"/>
      <w:sz w:val="18"/>
      <w:szCs w:val="18"/>
    </w:rPr>
  </w:style>
  <w:style w:type="paragraph" w:customStyle="1" w:styleId="18">
    <w:name w:val="5-内文"/>
    <w:basedOn w:val="1"/>
    <w:link w:val="19"/>
    <w:qFormat/>
    <w:uiPriority w:val="99"/>
    <w:pPr>
      <w:spacing w:beforeLines="25" w:afterLines="25" w:line="300" w:lineRule="auto"/>
      <w:ind w:firstLine="200" w:firstLineChars="200"/>
    </w:pPr>
    <w:rPr>
      <w:rFonts w:ascii="Calibri" w:hAnsi="Calibri" w:eastAsia="仿宋_GB2312"/>
      <w:kern w:val="0"/>
      <w:sz w:val="28"/>
      <w:szCs w:val="20"/>
    </w:rPr>
  </w:style>
  <w:style w:type="character" w:customStyle="1" w:styleId="19">
    <w:name w:val="5-内文 Char"/>
    <w:link w:val="18"/>
    <w:qFormat/>
    <w:locked/>
    <w:uiPriority w:val="99"/>
    <w:rPr>
      <w:rFonts w:ascii="Calibri" w:hAnsi="Calibri" w:eastAsia="仿宋_GB2312" w:cs="Times New Roman"/>
      <w:kern w:val="0"/>
      <w:sz w:val="28"/>
      <w:szCs w:val="20"/>
    </w:rPr>
  </w:style>
  <w:style w:type="paragraph" w:customStyle="1" w:styleId="20">
    <w:name w:val="列出段落1"/>
    <w:basedOn w:val="1"/>
    <w:qFormat/>
    <w:uiPriority w:val="34"/>
    <w:pPr>
      <w:ind w:firstLine="420" w:firstLineChars="200"/>
    </w:pPr>
    <w:rPr>
      <w:rFonts w:ascii="Calibri" w:hAnsi="Calibri"/>
      <w:szCs w:val="22"/>
    </w:rPr>
  </w:style>
  <w:style w:type="character" w:customStyle="1" w:styleId="21">
    <w:name w:val="批注框文本 Char"/>
    <w:basedOn w:val="11"/>
    <w:link w:val="5"/>
    <w:semiHidden/>
    <w:uiPriority w:val="99"/>
    <w:rPr>
      <w:rFonts w:ascii="Times New Roman" w:hAnsi="Times New Roman" w:eastAsia="宋体" w:cs="Times New Roman"/>
      <w:sz w:val="18"/>
      <w:szCs w:val="18"/>
    </w:rPr>
  </w:style>
  <w:style w:type="character" w:customStyle="1" w:styleId="22">
    <w:name w:val="批注文字 Char"/>
    <w:basedOn w:val="11"/>
    <w:link w:val="3"/>
    <w:semiHidden/>
    <w:uiPriority w:val="99"/>
    <w:rPr>
      <w:rFonts w:ascii="Times New Roman" w:hAnsi="Times New Roman" w:eastAsia="宋体" w:cs="Times New Roman"/>
      <w:szCs w:val="24"/>
    </w:rPr>
  </w:style>
  <w:style w:type="character" w:customStyle="1" w:styleId="23">
    <w:name w:val="批注主题 Char"/>
    <w:basedOn w:val="22"/>
    <w:link w:val="9"/>
    <w:semiHidden/>
    <w:qFormat/>
    <w:uiPriority w:val="99"/>
    <w:rPr>
      <w:rFonts w:ascii="Times New Roman" w:hAnsi="Times New Roman" w:eastAsia="宋体" w:cs="Times New Roman"/>
      <w:b/>
      <w:bCs/>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1325</Words>
  <Characters>7553</Characters>
  <Lines>62</Lines>
  <Paragraphs>17</Paragraphs>
  <TotalTime>62</TotalTime>
  <ScaleCrop>false</ScaleCrop>
  <LinksUpToDate>false</LinksUpToDate>
  <CharactersWithSpaces>8861</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2017-12-13T14:21:00Z</dcterms:created>
  <dc:creator>王岳</dc:creator>
  <cp:lastModifiedBy>lenovox64</cp:lastModifiedBy>
  <dcterms:modified xsi:type="dcterms:W3CDTF">2021-07-02T07:59:03Z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