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11" w:lineRule="exact"/>
        <w:ind w:left="187"/>
        <w:jc w:val="center"/>
        <w:rPr>
          <w:rFonts w:asciiTheme="minorEastAsia" w:hAnsiTheme="minorEastAsia" w:eastAsiaTheme="minorEastAsia" w:cstheme="minorEastAsia"/>
          <w:color w:val="000000"/>
          <w:spacing w:val="-22"/>
          <w:sz w:val="56"/>
        </w:rPr>
      </w:pPr>
    </w:p>
    <w:p>
      <w:pPr>
        <w:spacing w:line="711" w:lineRule="exact"/>
        <w:ind w:left="187"/>
        <w:jc w:val="center"/>
        <w:rPr>
          <w:rFonts w:asciiTheme="minorEastAsia" w:hAnsiTheme="minorEastAsia" w:eastAsiaTheme="minorEastAsia" w:cstheme="minorEastAsia"/>
          <w:color w:val="000000"/>
          <w:spacing w:val="-22"/>
          <w:sz w:val="56"/>
        </w:rPr>
      </w:pPr>
    </w:p>
    <w:p>
      <w:pPr>
        <w:spacing w:line="711" w:lineRule="exact"/>
        <w:ind w:left="187"/>
        <w:jc w:val="center"/>
        <w:rPr>
          <w:rFonts w:asciiTheme="minorEastAsia" w:hAnsiTheme="minorEastAsia" w:eastAsiaTheme="minorEastAsia" w:cstheme="minorEastAsia"/>
          <w:b/>
          <w:color w:val="000000"/>
          <w:sz w:val="56"/>
        </w:rPr>
      </w:pPr>
      <w:r>
        <w:rPr>
          <w:rFonts w:hint="eastAsia" w:asciiTheme="minorEastAsia" w:hAnsiTheme="minorEastAsia" w:eastAsiaTheme="minorEastAsia" w:cstheme="minorEastAsia"/>
          <w:b/>
          <w:color w:val="000000"/>
          <w:spacing w:val="-22"/>
          <w:sz w:val="56"/>
        </w:rPr>
        <w:t>2021</w:t>
      </w:r>
      <w:r>
        <w:rPr>
          <w:rFonts w:hint="eastAsia" w:asciiTheme="minorEastAsia" w:hAnsiTheme="minorEastAsia" w:eastAsiaTheme="minorEastAsia" w:cstheme="minorEastAsia"/>
          <w:b/>
          <w:color w:val="000000"/>
          <w:spacing w:val="-46"/>
          <w:sz w:val="56"/>
        </w:rPr>
        <w:t>年海南省职业院校技能大赛</w:t>
      </w:r>
    </w:p>
    <w:p>
      <w:pPr>
        <w:spacing w:before="507" w:line="449" w:lineRule="exact"/>
        <w:jc w:val="center"/>
        <w:rPr>
          <w:rFonts w:asciiTheme="minorEastAsia" w:hAnsiTheme="minorEastAsia" w:eastAsiaTheme="minorEastAsia" w:cstheme="minorEastAsia"/>
          <w:b/>
          <w:color w:val="000000"/>
          <w:sz w:val="44"/>
        </w:rPr>
      </w:pPr>
      <w:r>
        <w:rPr>
          <w:rFonts w:hint="eastAsia" w:asciiTheme="minorEastAsia" w:hAnsiTheme="minorEastAsia" w:eastAsiaTheme="minorEastAsia" w:cstheme="minorEastAsia"/>
          <w:b/>
          <w:color w:val="000000"/>
          <w:sz w:val="44"/>
        </w:rPr>
        <w:t>高职组（健康与社会照护）</w:t>
      </w:r>
    </w:p>
    <w:p>
      <w:pPr>
        <w:spacing w:before="2068" w:line="1011" w:lineRule="exact"/>
        <w:jc w:val="center"/>
        <w:rPr>
          <w:rFonts w:asciiTheme="minorEastAsia" w:hAnsiTheme="minorEastAsia" w:eastAsiaTheme="minorEastAsia" w:cstheme="minorEastAsia"/>
          <w:b/>
          <w:color w:val="000000"/>
          <w:sz w:val="100"/>
        </w:rPr>
      </w:pPr>
      <w:r>
        <w:rPr>
          <w:rFonts w:hint="eastAsia" w:asciiTheme="minorEastAsia" w:hAnsiTheme="minorEastAsia" w:eastAsiaTheme="minorEastAsia" w:cstheme="minorEastAsia"/>
          <w:b/>
          <w:color w:val="000000"/>
          <w:spacing w:val="4"/>
          <w:sz w:val="100"/>
        </w:rPr>
        <w:t>赛项指南</w:t>
      </w:r>
    </w:p>
    <w:p>
      <w:pPr>
        <w:spacing w:before="2068" w:line="1011" w:lineRule="exact"/>
        <w:ind w:firstLine="1446" w:firstLineChars="400"/>
        <w:rPr>
          <w:rFonts w:asciiTheme="minorEastAsia" w:hAnsiTheme="minorEastAsia" w:eastAsiaTheme="minorEastAsia" w:cstheme="minorEastAsia"/>
          <w:b/>
          <w:color w:val="000000"/>
          <w:sz w:val="36"/>
          <w:szCs w:val="36"/>
        </w:rPr>
      </w:pPr>
      <w:r>
        <w:rPr>
          <w:rFonts w:hint="eastAsia" w:asciiTheme="minorEastAsia" w:hAnsiTheme="minorEastAsia" w:eastAsiaTheme="minorEastAsia" w:cstheme="minorEastAsia"/>
          <w:b/>
          <w:color w:val="000000"/>
          <w:sz w:val="36"/>
          <w:szCs w:val="36"/>
        </w:rPr>
        <w:t>主办单位：</w:t>
      </w:r>
    </w:p>
    <w:p>
      <w:pPr>
        <w:spacing w:before="173" w:line="449" w:lineRule="exact"/>
        <w:ind w:firstLine="1446" w:firstLineChars="400"/>
        <w:rPr>
          <w:rFonts w:asciiTheme="minorEastAsia" w:hAnsiTheme="minorEastAsia" w:eastAsiaTheme="minorEastAsia" w:cstheme="minorEastAsia"/>
          <w:b/>
          <w:color w:val="000000"/>
          <w:sz w:val="36"/>
          <w:szCs w:val="36"/>
        </w:rPr>
      </w:pPr>
      <w:r>
        <w:rPr>
          <w:rFonts w:hint="eastAsia" w:asciiTheme="minorEastAsia" w:hAnsiTheme="minorEastAsia" w:eastAsiaTheme="minorEastAsia" w:cstheme="minorEastAsia"/>
          <w:b/>
          <w:color w:val="000000"/>
          <w:sz w:val="36"/>
          <w:szCs w:val="36"/>
        </w:rPr>
        <w:t>海南省教育厅、海南省人力资源和社会保障厅</w:t>
      </w:r>
    </w:p>
    <w:p>
      <w:pPr>
        <w:spacing w:before="789" w:line="449" w:lineRule="exact"/>
        <w:ind w:firstLine="1446" w:firstLineChars="400"/>
        <w:rPr>
          <w:rFonts w:asciiTheme="minorEastAsia" w:hAnsiTheme="minorEastAsia" w:eastAsiaTheme="minorEastAsia" w:cstheme="minorEastAsia"/>
          <w:b/>
          <w:color w:val="000000"/>
          <w:sz w:val="36"/>
          <w:szCs w:val="36"/>
        </w:rPr>
      </w:pPr>
      <w:r>
        <w:rPr>
          <w:rFonts w:hint="eastAsia" w:asciiTheme="minorEastAsia" w:hAnsiTheme="minorEastAsia" w:eastAsiaTheme="minorEastAsia" w:cstheme="minorEastAsia"/>
          <w:b/>
          <w:color w:val="000000"/>
          <w:sz w:val="36"/>
          <w:szCs w:val="36"/>
        </w:rPr>
        <w:t>承办单位：</w:t>
      </w:r>
    </w:p>
    <w:p>
      <w:pPr>
        <w:spacing w:before="173" w:line="449" w:lineRule="exact"/>
        <w:ind w:firstLine="1446" w:firstLineChars="400"/>
        <w:rPr>
          <w:rFonts w:asciiTheme="minorEastAsia" w:hAnsiTheme="minorEastAsia" w:eastAsiaTheme="minorEastAsia" w:cstheme="minorEastAsia"/>
          <w:b/>
          <w:color w:val="000000"/>
          <w:sz w:val="36"/>
          <w:szCs w:val="36"/>
        </w:rPr>
      </w:pPr>
      <w:r>
        <w:rPr>
          <w:rFonts w:hint="eastAsia" w:asciiTheme="minorEastAsia" w:hAnsiTheme="minorEastAsia" w:eastAsiaTheme="minorEastAsia" w:cstheme="minorEastAsia"/>
          <w:b/>
          <w:color w:val="000000"/>
          <w:sz w:val="36"/>
          <w:szCs w:val="36"/>
        </w:rPr>
        <w:t>海南卫生健康职业学院</w:t>
      </w:r>
    </w:p>
    <w:p>
      <w:pPr>
        <w:spacing w:before="173" w:line="449" w:lineRule="exact"/>
        <w:ind w:left="880" w:leftChars="400" w:firstLine="663" w:firstLineChars="150"/>
        <w:rPr>
          <w:rFonts w:asciiTheme="minorEastAsia" w:hAnsiTheme="minorEastAsia" w:eastAsiaTheme="minorEastAsia" w:cstheme="minorEastAsia"/>
          <w:b/>
          <w:color w:val="000000"/>
          <w:sz w:val="44"/>
        </w:rPr>
      </w:pPr>
    </w:p>
    <w:p>
      <w:pPr>
        <w:spacing w:before="173" w:line="449" w:lineRule="exact"/>
        <w:jc w:val="center"/>
        <w:rPr>
          <w:rFonts w:asciiTheme="minorEastAsia" w:hAnsiTheme="minorEastAsia" w:eastAsiaTheme="minorEastAsia" w:cstheme="minorEastAsia"/>
          <w:color w:val="000000"/>
          <w:spacing w:val="-22"/>
          <w:sz w:val="32"/>
        </w:rPr>
      </w:pPr>
      <w:r>
        <w:rPr>
          <w:rFonts w:hint="eastAsia" w:asciiTheme="minorEastAsia" w:hAnsiTheme="minorEastAsia" w:eastAsiaTheme="minorEastAsia" w:cstheme="minorEastAsia"/>
          <w:color w:val="000000"/>
          <w:spacing w:val="-10"/>
          <w:sz w:val="32"/>
        </w:rPr>
        <w:t>2021年海南</w:t>
      </w:r>
      <w:r>
        <w:rPr>
          <w:rFonts w:hint="eastAsia" w:asciiTheme="minorEastAsia" w:hAnsiTheme="minorEastAsia" w:eastAsiaTheme="minorEastAsia" w:cstheme="minorEastAsia"/>
          <w:color w:val="000000"/>
          <w:spacing w:val="-22"/>
          <w:sz w:val="32"/>
        </w:rPr>
        <w:t>省职业院校技能大赛海南卫生健康职业学院执行委员会</w:t>
      </w:r>
    </w:p>
    <w:p>
      <w:pPr>
        <w:spacing w:before="173" w:line="449" w:lineRule="exact"/>
        <w:jc w:val="center"/>
        <w:rPr>
          <w:rFonts w:asciiTheme="minorEastAsia" w:hAnsiTheme="minorEastAsia" w:eastAsiaTheme="minorEastAsia" w:cstheme="minorEastAsia"/>
          <w:color w:val="000000"/>
          <w:sz w:val="36"/>
        </w:rPr>
      </w:pPr>
      <w:r>
        <w:rPr>
          <w:rFonts w:hint="eastAsia" w:asciiTheme="minorEastAsia" w:hAnsiTheme="minorEastAsia" w:eastAsiaTheme="minorEastAsia" w:cstheme="minorEastAsia"/>
          <w:color w:val="000000"/>
          <w:spacing w:val="-10"/>
          <w:sz w:val="36"/>
        </w:rPr>
        <w:t xml:space="preserve">2021 </w:t>
      </w:r>
      <w:r>
        <w:rPr>
          <w:rFonts w:hint="eastAsia" w:asciiTheme="minorEastAsia" w:hAnsiTheme="minorEastAsia" w:eastAsiaTheme="minorEastAsia" w:cstheme="minorEastAsia"/>
          <w:color w:val="000000"/>
          <w:sz w:val="36"/>
        </w:rPr>
        <w:t>年</w:t>
      </w:r>
      <w:r>
        <w:rPr>
          <w:rFonts w:asciiTheme="minorEastAsia" w:hAnsiTheme="minorEastAsia" w:eastAsiaTheme="minorEastAsia" w:cstheme="minorEastAsia"/>
          <w:color w:val="000000"/>
          <w:sz w:val="36"/>
        </w:rPr>
        <w:t>9</w:t>
      </w:r>
      <w:r>
        <w:rPr>
          <w:rFonts w:hint="eastAsia" w:asciiTheme="minorEastAsia" w:hAnsiTheme="minorEastAsia" w:eastAsiaTheme="minorEastAsia" w:cstheme="minorEastAsia"/>
          <w:color w:val="000000"/>
          <w:sz w:val="36"/>
        </w:rPr>
        <w:t>月</w:t>
      </w:r>
    </w:p>
    <w:p>
      <w:pPr>
        <w:spacing w:before="173" w:line="449" w:lineRule="exact"/>
        <w:jc w:val="center"/>
        <w:rPr>
          <w:rFonts w:asciiTheme="minorEastAsia" w:hAnsiTheme="minorEastAsia" w:eastAsiaTheme="minorEastAsia" w:cstheme="minorEastAsia"/>
          <w:color w:val="000000"/>
          <w:sz w:val="56"/>
        </w:rPr>
        <w:sectPr>
          <w:footerReference r:id="rId4" w:type="default"/>
          <w:pgSz w:w="11906" w:h="16838"/>
          <w:pgMar w:top="720" w:right="720" w:bottom="720" w:left="720" w:header="708" w:footer="708" w:gutter="0"/>
          <w:cols w:space="708" w:num="1"/>
          <w:docGrid w:type="lines" w:linePitch="360" w:charSpace="0"/>
        </w:sectPr>
      </w:pPr>
    </w:p>
    <w:p>
      <w:pPr>
        <w:spacing w:before="173" w:line="449" w:lineRule="exact"/>
        <w:jc w:val="center"/>
        <w:rPr>
          <w:rFonts w:asciiTheme="minorEastAsia" w:hAnsiTheme="minorEastAsia" w:eastAsiaTheme="minorEastAsia" w:cstheme="minorEastAsia"/>
          <w:color w:val="000000"/>
          <w:sz w:val="56"/>
        </w:rPr>
      </w:pPr>
    </w:p>
    <w:p>
      <w:pPr>
        <w:spacing w:before="173" w:line="449" w:lineRule="exact"/>
        <w:jc w:val="center"/>
        <w:rPr>
          <w:rFonts w:asciiTheme="minorEastAsia" w:hAnsiTheme="minorEastAsia" w:eastAsiaTheme="minorEastAsia" w:cstheme="minorEastAsia"/>
          <w:color w:val="000000"/>
          <w:sz w:val="56"/>
        </w:rPr>
      </w:pPr>
    </w:p>
    <w:p>
      <w:pPr>
        <w:spacing w:before="173" w:line="780" w:lineRule="exact"/>
        <w:jc w:val="center"/>
        <w:rPr>
          <w:rFonts w:asciiTheme="minorEastAsia" w:hAnsiTheme="minorEastAsia" w:eastAsiaTheme="minorEastAsia" w:cstheme="minorEastAsia"/>
          <w:b/>
          <w:color w:val="000000"/>
          <w:sz w:val="72"/>
        </w:rPr>
      </w:pPr>
      <w:r>
        <w:rPr>
          <w:rFonts w:hint="eastAsia" w:asciiTheme="minorEastAsia" w:hAnsiTheme="minorEastAsia" w:eastAsiaTheme="minorEastAsia" w:cstheme="minorEastAsia"/>
          <w:b/>
          <w:color w:val="000000"/>
          <w:sz w:val="72"/>
        </w:rPr>
        <w:t>目录</w:t>
      </w:r>
    </w:p>
    <w:p>
      <w:pPr>
        <w:spacing w:before="173" w:line="780" w:lineRule="exact"/>
        <w:jc w:val="center"/>
        <w:rPr>
          <w:rFonts w:asciiTheme="minorEastAsia" w:hAnsiTheme="minorEastAsia" w:eastAsiaTheme="minorEastAsia" w:cstheme="minorEastAsia"/>
          <w:b/>
          <w:color w:val="000000"/>
          <w:sz w:val="56"/>
        </w:rPr>
      </w:pP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一、赛项名称</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二、竞赛目的</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三、竞赛内容</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四、竞赛方式</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五、竞赛流程</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六、竞赛赛卷</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七、竞赛规则</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八、竞赛环境与赛场导图</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九、技术平台</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十、成绩评定</w:t>
      </w:r>
    </w:p>
    <w:p>
      <w:pPr>
        <w:spacing w:before="173" w:line="449" w:lineRule="exact"/>
        <w:ind w:left="2640" w:leftChars="1200"/>
        <w:rPr>
          <w:rFonts w:asciiTheme="minorEastAsia" w:hAnsiTheme="minorEastAsia" w:eastAsiaTheme="minorEastAsia" w:cstheme="minorEastAsia"/>
          <w:b/>
          <w:sz w:val="40"/>
        </w:rPr>
      </w:pPr>
      <w:r>
        <w:rPr>
          <w:rFonts w:hint="eastAsia" w:asciiTheme="minorEastAsia" w:hAnsiTheme="minorEastAsia" w:eastAsiaTheme="minorEastAsia" w:cstheme="minorEastAsia"/>
          <w:b/>
          <w:sz w:val="40"/>
        </w:rPr>
        <w:t>十一、奖项设置</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themeColor="text1"/>
          <w:sz w:val="40"/>
        </w:rPr>
        <w:t>十二、竞</w:t>
      </w:r>
      <w:r>
        <w:rPr>
          <w:rFonts w:hint="eastAsia" w:asciiTheme="minorEastAsia" w:hAnsiTheme="minorEastAsia" w:eastAsiaTheme="minorEastAsia" w:cstheme="minorEastAsia"/>
          <w:b/>
          <w:color w:val="000000"/>
          <w:sz w:val="40"/>
        </w:rPr>
        <w:t>赛须知</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十三、安保须知</w:t>
      </w:r>
    </w:p>
    <w:p>
      <w:pPr>
        <w:spacing w:before="173" w:line="449" w:lineRule="exact"/>
        <w:ind w:left="2640" w:leftChars="1200"/>
        <w:rPr>
          <w:rFonts w:asciiTheme="minorEastAsia" w:hAnsiTheme="minorEastAsia" w:eastAsiaTheme="minorEastAsia" w:cstheme="minorEastAsia"/>
          <w:b/>
          <w:color w:val="000000"/>
          <w:sz w:val="40"/>
        </w:rPr>
      </w:pPr>
      <w:r>
        <w:rPr>
          <w:rFonts w:hint="eastAsia" w:asciiTheme="minorEastAsia" w:hAnsiTheme="minorEastAsia" w:eastAsiaTheme="minorEastAsia" w:cstheme="minorEastAsia"/>
          <w:b/>
          <w:color w:val="000000"/>
          <w:sz w:val="40"/>
        </w:rPr>
        <w:t>十四、申诉与仲裁</w:t>
      </w:r>
    </w:p>
    <w:p>
      <w:pPr>
        <w:spacing w:before="173" w:line="449" w:lineRule="exact"/>
        <w:ind w:left="2640" w:leftChars="1200"/>
        <w:rPr>
          <w:rFonts w:asciiTheme="minorEastAsia" w:hAnsiTheme="minorEastAsia" w:eastAsiaTheme="minorEastAsia" w:cstheme="minorEastAsia"/>
          <w:b/>
          <w:color w:val="000000"/>
          <w:sz w:val="40"/>
        </w:rPr>
      </w:pPr>
    </w:p>
    <w:p>
      <w:pPr>
        <w:spacing w:before="173" w:line="449" w:lineRule="exact"/>
        <w:ind w:left="2640" w:leftChars="1200"/>
        <w:rPr>
          <w:rFonts w:asciiTheme="minorEastAsia" w:hAnsiTheme="minorEastAsia" w:eastAsiaTheme="minorEastAsia" w:cstheme="minorEastAsia"/>
          <w:b/>
          <w:color w:val="000000"/>
          <w:sz w:val="40"/>
        </w:rPr>
      </w:pPr>
    </w:p>
    <w:p>
      <w:pPr>
        <w:spacing w:before="173" w:line="449" w:lineRule="exact"/>
        <w:ind w:firstLine="562" w:firstLineChars="200"/>
        <w:jc w:val="center"/>
        <w:rPr>
          <w:rFonts w:asciiTheme="minorEastAsia" w:hAnsiTheme="minorEastAsia" w:eastAsiaTheme="minorEastAsia" w:cstheme="minorEastAsia"/>
          <w:b/>
          <w:color w:val="000000"/>
          <w:sz w:val="28"/>
          <w:szCs w:val="28"/>
        </w:rPr>
        <w:sectPr>
          <w:footerReference r:id="rId5" w:type="default"/>
          <w:pgSz w:w="11906" w:h="16838"/>
          <w:pgMar w:top="720" w:right="720" w:bottom="720" w:left="720" w:header="708" w:footer="708" w:gutter="0"/>
          <w:pgNumType w:start="1"/>
          <w:cols w:space="708" w:num="1"/>
          <w:docGrid w:type="lines" w:linePitch="360" w:charSpace="0"/>
        </w:sectPr>
      </w:pP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一、赛项名称</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赛项名称：健康与社会照护</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英文名称：Health and Social Care</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赛项组别：高职组</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赛项归属产业：健康产业</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二、竞赛目的</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本次技能大赛以扎实推动职业教育改革，发挥大赛对职业教育的 “树旗、导航、定标、催化”作用，推进大赛科学化、制度化、规范化建设为目的，对接国际、行业等标准，遵循安全、质量、公平、廉洁的原则，“以赛促教、以赛促改、赛教融合、赛训融合”，在建设高质量教学体系，促进职业教育高质量发展方面起到示范、引领作用。</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（一）检验高等职业院校教学成果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以“人”为中心实现整体照护服务，以此理念检验高等职业院校相关专业教育教学成果与其服务人群及相关职业的契合度，检验供给侧与行业、产业需求的融合度，检验深化产教融合、校企合作、现代学徒制等建设成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（二）深化专业融合发展，促进教学改革</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健康与社会照护赛项与医护行业相关度高，通过大赛引领职业院校适应大健康产业的发展趋势，加快相关专业人才培养模式改革，以需求为导向，深化与行业及产业深度融合，提升学生创新思维、创造能力、实践能力、解决问题等综合能力和应变能力，加快服务社会需求的步伐，为健康中国贡献力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（三）瞄准世界高水平，提升职业者综合能力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世界技能大赛健康与社会照护赛项是以“人”为中心的整体照护，使从业者在各种环境中工作，能够给服务对象提供健康管理和对其成长与发展、照护和康复的支持。本次大赛吸纳世界技能大赛健康与社会照护相关技术标准，结合我国实际，突出世界技能大赛的核心知识点、考核点和组织形式。对参赛选手知识技能、责任、体力、精力、耐力进行综合考验。在贴近真实照护环境下，参赛选手利用有限的时间，突出以“服务对象”为中心，既要动手操作，更要注重过程沟通交流；既要高质量完成任务，又要确保安全照护；既要注意完成某项任务的点，更要注重整体照护的面。</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（四）营造崇尚技能的社会氛围</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通过大赛让更多人了解职业技能的专业性和实际贡献，营造尊重劳动、崇尚技能的浓厚氛围，让更多青年走技能成才之路。</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三、竞赛内容</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健康与社会照护赛项是指参赛选手在不同场合，包括医院、长期照护中心、日间照护中心以及家庭，直接为需要的人群提供专业支持，通过评估、计划、实施和评价等，确保促进他们的生理和心理健康、疾病康复，并改善其生活质量，使其整体照护需求得到满足。参赛选手通过理论学习和实践，掌握健康与社会照护所需要的知识和技能。参赛选手不仅需要提升组织管理能力、沟通和人际交往能力、解决问题等能力，还需要具备灵活性、创新性，以及用同理心去理解和激励他人的能力。为此，本赛项参赛选手应具备六个方面能力，并能在不同场景下完成对服务对象的整体照护。</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（一）选手应具备的六个方面能力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1.工作中的组织与管理能力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•遵循健康、安全、卫生标准、规则、法规</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•采取适当的卫生措施预防感染</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•识别和使用适当的制服和个人防护服（包括安全鞋）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•正确选择、有效使用并安全储存材料</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•根据条例安全储存药物</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•根据需要计划、安排工作及重新分配优先顺序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•确保工作实践安全且符合工效学</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•以环保的方式处理废弃物</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•高效与他人协作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•及时了解新的实践和规则（如运动安全、健康与安全）</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2.沟通和人际交往能力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•对服务对象保持专业而敏锐的观察能力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•真诚、谨慎地与服务对象合作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•保持良好的职业行为，包括仪容仪表</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w:t>
      </w:r>
      <w:bookmarkStart w:id="0" w:name="br1_3"/>
      <w:bookmarkEnd w:id="0"/>
      <w:r>
        <w:rPr>
          <w:rFonts w:hint="eastAsia" w:asciiTheme="minorEastAsia" w:hAnsiTheme="minorEastAsia" w:eastAsiaTheme="minorEastAsia" w:cstheme="minorEastAsia"/>
          <w:color w:val="000000"/>
          <w:sz w:val="28"/>
          <w:szCs w:val="28"/>
        </w:rPr>
        <w:t>在合适的情境下，与服务对象进行开放式或闭合式交流，建立和谐关系</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•尊重服务对象有接受和拒绝照护的自主性和权力，始终对服务对象诚实</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•尊重服务对象的文化和宗教信仰</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•照护过程中采用治疗性沟通方式，包括：主动倾听、提问技巧、解读非语言信号、以及采用合适的教育方法</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•指导服务对象学会新的“生活技能”</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•以专业的方法与有沟通或理解障碍的服务对象沟通</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•以适当的方式与服务对象家属进行专业有效的沟通，确保以服务对象需求为中心</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•与同事、医务人员、服务对象及其家属讨论以寻求最合适的照护类型和水平，同时满足服务对象的自主性和需求</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•与同事保持一贯有效的口头和书面沟通</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•用正确的格式记录服务对象信息（如沟通簿和记录单），以专业方式讨论和描述服务对象的案例。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3.解决问题、创新和创造能力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•重视服务对象，愿意深入了解其性格特征</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•取得服务对象信任，使其愿意讨论他们的问题</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•迅速认识问题并自主解决问题</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•通过仔细的结构化的讨论、询问和观察，找出服务对象问题的根本原因</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w:t>
      </w:r>
      <w:bookmarkStart w:id="1" w:name="br1_5"/>
      <w:bookmarkEnd w:id="1"/>
      <w:r>
        <w:rPr>
          <w:rFonts w:hint="eastAsia" w:asciiTheme="minorEastAsia" w:hAnsiTheme="minorEastAsia" w:eastAsiaTheme="minorEastAsia" w:cstheme="minorEastAsia"/>
          <w:color w:val="000000"/>
          <w:sz w:val="28"/>
          <w:szCs w:val="28"/>
        </w:rPr>
        <w:t>根据具体情况的要求，主动地变更服务对象问题的优先顺序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•在解决服务对象问题过程中，认清自己的专业能力和权力的限制，适当参考同事和其他专业人士的意见</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•创新、发展、讨论出新的安全的工作方式以改善服务对象的生活质量和幸福程度（如利用辅助工具来改善服务对象活动性）</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•识别机会并主动提出改进服务对象照护的想法，例如，通过一种新的方式有效地利用服务对象的环境，通过在适当的时间与服务对象交谈</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4.评估需求和规划服务对象照护能力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•仔细评估服务对象的环境和情况，确定其照护需求，并认清职业界限</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•评估服务对象及其家属的能力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•确定服务对象的营养状况和需求</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•计划如何实施以服务对象为中心的照护</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•备齐所需物品以便实施照护计划</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•计划如何促进服务对象康复</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•实施前征求服务对象同意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•视情况向医疗护理等专业人员咨询</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5.管理和提供服务对象照护的能力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•促进和帮助服务对象的身心健康，照护和支持其在疾病过程中康复、自我成长和不断发展</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•在照护过程中，尊重服务对象以及道德、法律和伦理要求</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w:t>
      </w:r>
      <w:bookmarkStart w:id="2" w:name="br1_7"/>
      <w:bookmarkEnd w:id="2"/>
      <w:r>
        <w:rPr>
          <w:rFonts w:hint="eastAsia" w:asciiTheme="minorEastAsia" w:hAnsiTheme="minorEastAsia" w:eastAsiaTheme="minorEastAsia" w:cstheme="minorEastAsia"/>
          <w:color w:val="000000"/>
          <w:sz w:val="28"/>
          <w:szCs w:val="28"/>
        </w:rPr>
        <w:t>为服务对象构建积极的、促进健康的环境，提供安全的照护</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•根据需要协助卫生需求，并尊重服务对象的亲密需求</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•在提供照护中要考虑服务对象的能力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•在执业范围内，执行相关的医疗任务，如急救、伤口护理、呼吸训练等</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•监测各种健康相关参数，如血压、脉搏、体温、血糖、疼痛、体重，并告知服务对象相关信息</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•对常见危险因素采取预防措施（如褥疮、肺炎等）</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•持续观察服务对象，迅速识别需要关注和转诊的新问题，如压力性损伤等</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•准确判断何时需要紧急医疗帮助，必要时采取急救措施</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•实施能促进服务对象独立的措施</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•教育服务对象健康的生活方式（如经常锻炼、戒烟等）</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•在实践范畴和法规允许下，给予服务对象营养建议，并采取合适措施改善其营养状况</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•在实践范畴和法规允许下，指导服务对象正确使用常用药物并观察疗效和预防副作用，如抗高血压药物、镇痛药物等</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•在实践范畴和法规允许下，指导服务对象正确管理和存储药物</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•合理安排时间，使每位服务对象都获得他们需要的时间</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•组织健康指导和康复锻炼活动，满足不同年龄组（成年）服务对象的需求</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w:t>
      </w:r>
      <w:bookmarkStart w:id="3" w:name="br1_9"/>
      <w:bookmarkEnd w:id="3"/>
      <w:r>
        <w:rPr>
          <w:rFonts w:hint="eastAsia" w:asciiTheme="minorEastAsia" w:hAnsiTheme="minorEastAsia" w:eastAsiaTheme="minorEastAsia" w:cstheme="minorEastAsia"/>
          <w:color w:val="000000"/>
          <w:sz w:val="28"/>
          <w:szCs w:val="28"/>
        </w:rPr>
        <w:t>结合服务对象自身资源，促进活动；尊重服务对象的需求，提供充分而恰当的移动技术</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•有效且高效地利用资源</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•提高生活质量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6.评估服务对象照护结果的能力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•通过与服务对象的认真仔细讨论，了解其对照护的满意程度</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•从服务对象家属、同事和相关专业人员那里获得信息</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•了解服务对象的喜好以及他们对“健康”的理解</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•认真倾听并积极回应任何问题，努力寻求解决方案</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•评价照护计划给予服务对象帮助程度</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•与服务对象及其家属、同事、相关专业人士商讨照护计划的任何调整，就照护计划的修改达成共识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•记录评估结果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•制定计划时考虑可利用的资源</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•向相关各方报告并记录任何值得关注的情况</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•反思反馈并评价自己的工作实践</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（二）竞赛模块</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竞赛分为四个模块，分别考核医院、长期照护中心、日间照护中心及家庭场景内的健康与社会照护技能。本赛项重点考核参赛选手的文字表达能力、实践操作能力、沟通交流能力。文字表达能力通过书写计划、制作健康教育海报或撰写反思报告来考核；实践操作和沟通交流能力融合在具体的案例中。为了更好体现技能大赛对于人文综合能力的要求，如沟通和人际交流能力、解决问题能力、现场应变和创新能力等非技术技能操作考核。</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 医院模块案例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该模块设置场景在医院内，主要选择的案例为医院场景下常见疾病或病情危重的照护特色。重点考核选手的评估能力、医疗仪器设备的使用能力，以及对虚弱患者的照护能力。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 长期照护中心模块案例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该模块设置场景在养老机构内，主要选择的案例为老年人在长期照护中的照护特色。重点考核选手的评估、疾病照护、营养改善及心理社会支持等能力。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 日间照护中心模块案例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该模块设置在日间照护中心内，主要选择的案例为慢性疾病、日常居家照护，遇到特殊医疗需求，在日间照护中心得到满足为特征。重点考核选手对于日常情况下的照护能力。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 家庭模块案例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该模块设置在家庭内，主要选择的案例为慢性疾病案例，需要长期照护服务对象的居家照护为特征。重点考核选手的日常评估、健康教育和沟通能力。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本赛项使用标准化病人（Standard Patient，SP）或是统一标准化培训的人员配合案例展现。</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（三）竞赛形式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本赛项采用单人竞赛模式。每名选手均参加医院、长期照护中心、日间照护中心及家庭四个模块的竞赛</w:t>
      </w:r>
      <w:r>
        <w:rPr>
          <w:rFonts w:hint="eastAsia" w:asciiTheme="minorEastAsia" w:hAnsiTheme="minorEastAsia" w:eastAsiaTheme="minorEastAsia" w:cstheme="minorEastAsia"/>
          <w:sz w:val="28"/>
          <w:szCs w:val="28"/>
        </w:rPr>
        <w:t>（竞赛模块数量为预估，具体数量由裁判根据实际报到人数决定）。四个模块将标注为</w:t>
      </w:r>
      <w:r>
        <w:rPr>
          <w:rFonts w:hint="eastAsia" w:asciiTheme="minorEastAsia" w:hAnsiTheme="minorEastAsia" w:eastAsiaTheme="minorEastAsia" w:cstheme="minorEastAsia"/>
          <w:color w:val="000000"/>
          <w:sz w:val="28"/>
          <w:szCs w:val="28"/>
        </w:rPr>
        <w:t xml:space="preserve"> A、B、C、D模块。每个模块为 1 个案例，由 3 部分组成。每个模块程序相同，竞赛时间相同。裁判在旁观察及评分，不予提问和干扰。选手不需要向裁判做任何解释和交流。每个竞赛区独立计时。</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（四）竞赛时长</w:t>
      </w:r>
    </w:p>
    <w:p>
      <w:pPr>
        <w:spacing w:before="173" w:line="449" w:lineRule="exact"/>
        <w:ind w:firstLine="560" w:firstLineChars="200"/>
        <w:jc w:val="both"/>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每个模块竞赛时间为 75 分钟。每位参赛选手完成四个模块的所有任务。选手竞赛总时长 5 小时（300 分钟）。</w:t>
      </w:r>
    </w:p>
    <w:p>
      <w:pPr>
        <w:spacing w:before="173" w:line="300" w:lineRule="exact"/>
        <w:jc w:val="both"/>
        <w:rPr>
          <w:rFonts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pict>
          <v:rect id="_x0000_i1025" o:spt="1" style="height:1.5pt;width:0pt;" fillcolor="#A0A0A0" filled="t" stroked="f" coordsize="21600,21600" o:hr="t" o:hrstd="t" o:hralign="center">
            <v:path/>
            <v:fill on="t" focussize="0,0"/>
            <v:stroke on="f"/>
            <v:imagedata o:title=""/>
            <o:lock v:ext="edit"/>
            <w10:wrap type="none"/>
            <w10:anchorlock/>
          </v:rect>
        </w:pict>
      </w:r>
    </w:p>
    <w:p>
      <w:pPr>
        <w:spacing w:before="173" w:line="300" w:lineRule="exact"/>
        <w:ind w:firstLine="560" w:firstLineChars="200"/>
        <w:jc w:val="both"/>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单模块的三部分                                   竞赛时长 Min</w:t>
      </w:r>
    </w:p>
    <w:p>
      <w:pPr>
        <w:spacing w:before="173" w:line="300" w:lineRule="exact"/>
        <w:jc w:val="both"/>
        <w:rPr>
          <w:rFonts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pict>
          <v:rect id="_x0000_i1026" o:spt="1" style="height:1.5pt;width:0pt;" fillcolor="#A0A0A0" filled="t" stroked="f" coordsize="21600,21600" o:hr="t" o:hrstd="t" o:hralign="center">
            <v:path/>
            <v:fill on="t" focussize="0,0"/>
            <v:stroke on="f"/>
            <v:imagedata o:title=""/>
            <o:lock v:ext="edit"/>
            <w10:wrap type="none"/>
            <w10:anchorlock/>
          </v:rect>
        </w:pict>
      </w:r>
    </w:p>
    <w:p>
      <w:pPr>
        <w:spacing w:before="173" w:line="300" w:lineRule="exact"/>
        <w:ind w:firstLine="560" w:firstLineChars="200"/>
        <w:jc w:val="both"/>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**照护计划                                          20</w:t>
      </w:r>
    </w:p>
    <w:p>
      <w:pPr>
        <w:spacing w:before="173" w:line="300" w:lineRule="exact"/>
        <w:jc w:val="both"/>
        <w:rPr>
          <w:rFonts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pict>
          <v:rect id="_x0000_i1027" o:spt="1" style="height:1.5pt;width:0pt;" fillcolor="#A0A0A0" filled="t" stroked="f" coordsize="21600,21600" o:hr="t" o:hrstd="t" o:hralign="center">
            <v:path/>
            <v:fill on="t" focussize="0,0"/>
            <v:stroke on="f"/>
            <v:imagedata o:title=""/>
            <o:lock v:ext="edit"/>
            <w10:wrap type="none"/>
            <w10:anchorlock/>
          </v:rect>
        </w:pict>
      </w:r>
    </w:p>
    <w:p>
      <w:pPr>
        <w:spacing w:before="173" w:line="300" w:lineRule="exact"/>
        <w:ind w:firstLine="560" w:firstLineChars="200"/>
        <w:jc w:val="both"/>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**沟通与实际照护 （简称实际照护）                   25</w:t>
      </w:r>
    </w:p>
    <w:p>
      <w:pPr>
        <w:spacing w:before="173" w:line="300" w:lineRule="exact"/>
        <w:jc w:val="both"/>
        <w:rPr>
          <w:rFonts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pict>
          <v:rect id="_x0000_i1028" o:spt="1" style="height:1.5pt;width:0pt;" fillcolor="#A0A0A0" filled="t" stroked="f" coordsize="21600,21600" o:hr="t" o:hrstd="t" o:hralign="center">
            <v:path/>
            <v:fill on="t" focussize="0,0"/>
            <v:stroke on="f"/>
            <v:imagedata o:title=""/>
            <o:lock v:ext="edit"/>
            <w10:wrap type="none"/>
            <w10:anchorlock/>
          </v:rect>
        </w:pict>
      </w:r>
    </w:p>
    <w:p>
      <w:pPr>
        <w:spacing w:before="173" w:line="300" w:lineRule="exact"/>
        <w:ind w:firstLine="560" w:firstLineChars="200"/>
        <w:jc w:val="both"/>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**健康教育海报或反思报告                            30</w:t>
      </w:r>
    </w:p>
    <w:p>
      <w:pPr>
        <w:spacing w:before="173" w:line="300" w:lineRule="exact"/>
        <w:jc w:val="both"/>
        <w:rPr>
          <w:rFonts w:asciiTheme="minorEastAsia" w:hAnsiTheme="minorEastAsia" w:eastAsiaTheme="minorEastAsia" w:cstheme="minorEastAsia"/>
          <w:color w:val="000000"/>
          <w:sz w:val="28"/>
          <w:szCs w:val="28"/>
        </w:rPr>
      </w:pPr>
      <w:r>
        <w:rPr>
          <w:rFonts w:asciiTheme="minorEastAsia" w:hAnsiTheme="minorEastAsia" w:eastAsiaTheme="minorEastAsia" w:cstheme="minorEastAsia"/>
          <w:color w:val="000000"/>
          <w:sz w:val="28"/>
          <w:szCs w:val="28"/>
        </w:rPr>
        <w:pict>
          <v:rect id="_x0000_i1029" o:spt="1" style="height:1.5pt;width:0pt;" fillcolor="#A0A0A0" filled="t" stroked="f" coordsize="21600,21600" o:hr="t" o:hrstd="t" o:hralign="center">
            <v:path/>
            <v:fill on="t" focussize="0,0"/>
            <v:stroke on="f"/>
            <v:imagedata o:title=""/>
            <o:lock v:ext="edit"/>
            <w10:wrap type="none"/>
            <w10:anchorlock/>
          </v:rect>
        </w:pic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（五）成绩比例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竞赛成绩采用每个模块百分制、分步计分，最后总和。现场打分，每个模块 100 分，满分为 400 分。成绩汇总时，将每个模块 100分换算成 25 分，400 分换算成 100 分。</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四、竞赛方式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（一）比赛形式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本赛项为个人赛。比赛选手需独立完成 4 个模块的所有竞赛项</w:t>
      </w:r>
      <w:bookmarkStart w:id="4" w:name="br1_14"/>
      <w:bookmarkEnd w:id="4"/>
      <w:r>
        <w:rPr>
          <w:rFonts w:hint="eastAsia" w:asciiTheme="minorEastAsia" w:hAnsiTheme="minorEastAsia" w:eastAsiaTheme="minorEastAsia" w:cstheme="minorEastAsia"/>
          <w:color w:val="000000"/>
          <w:sz w:val="28"/>
          <w:szCs w:val="28"/>
        </w:rPr>
        <w:t>目。</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（二）组队方式</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本赛项为个人赛，每支代表队选派 4名选手参赛，每名选手限 1 名指导教师。</w:t>
      </w:r>
    </w:p>
    <w:p>
      <w:pPr>
        <w:spacing w:before="173" w:line="449" w:lineRule="exact"/>
        <w:ind w:firstLine="560" w:firstLineChars="200"/>
        <w:rPr>
          <w:rFonts w:asciiTheme="minorEastAsia" w:hAnsiTheme="minorEastAsia" w:eastAsiaTheme="minorEastAsia" w:cstheme="minorEastAsia"/>
          <w:b/>
          <w:color w:val="000000"/>
          <w:spacing w:val="1"/>
          <w:sz w:val="30"/>
        </w:rPr>
      </w:pPr>
      <w:r>
        <w:rPr>
          <w:rFonts w:hint="eastAsia" w:asciiTheme="minorEastAsia" w:hAnsiTheme="minorEastAsia" w:eastAsiaTheme="minorEastAsia" w:cstheme="minorEastAsia"/>
          <w:color w:val="000000"/>
          <w:sz w:val="28"/>
          <w:szCs w:val="28"/>
        </w:rPr>
        <w:t>参赛选手和指导教师报名获得确认后不得随意更换。如比赛前参赛选手和指导教师因故无法参赛，须由海南省教育厅于本赛项开赛 10 个工作日之前出具书面说明，经大赛执委会办公室核实后予以更换。如未经报备，发现实际参赛选手与报名信息不符的情况，均不得入场比赛。</w:t>
      </w:r>
    </w:p>
    <w:p>
      <w:pPr>
        <w:spacing w:before="324" w:line="310" w:lineRule="exact"/>
        <w:ind w:left="600"/>
        <w:jc w:val="center"/>
        <w:rPr>
          <w:rFonts w:asciiTheme="minorEastAsia" w:hAnsiTheme="minorEastAsia" w:eastAsiaTheme="minorEastAsia" w:cstheme="minorEastAsia"/>
          <w:b/>
          <w:color w:val="000000"/>
          <w:sz w:val="30"/>
        </w:rPr>
      </w:pPr>
      <w:r>
        <w:rPr>
          <w:rFonts w:hint="eastAsia" w:asciiTheme="minorEastAsia" w:hAnsiTheme="minorEastAsia" w:eastAsiaTheme="minorEastAsia" w:cstheme="minorEastAsia"/>
          <w:b/>
          <w:color w:val="000000"/>
          <w:spacing w:val="1"/>
          <w:sz w:val="30"/>
        </w:rPr>
        <w:t>五、竞赛流程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（一）竞赛模块流程（见图 1）</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drawing>
          <wp:anchor distT="0" distB="0" distL="114300" distR="114300" simplePos="0" relativeHeight="251659264" behindDoc="0" locked="0" layoutInCell="1" allowOverlap="1">
            <wp:simplePos x="0" y="0"/>
            <wp:positionH relativeFrom="column">
              <wp:posOffset>200025</wp:posOffset>
            </wp:positionH>
            <wp:positionV relativeFrom="paragraph">
              <wp:posOffset>64135</wp:posOffset>
            </wp:positionV>
            <wp:extent cx="5686425" cy="2819400"/>
            <wp:effectExtent l="0" t="0" r="9525" b="0"/>
            <wp:wrapNone/>
            <wp:docPr id="39" name="图片 39" descr="C:\Users\ADMINI~1\AppData\Local\Temp\WeChat Files\e3bb986f77097fe2c5d85a8c9a8e5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C:\Users\ADMINI~1\AppData\Local\Temp\WeChat Files\e3bb986f77097fe2c5d85a8c9a8e50d.jpg"/>
                    <pic:cNvPicPr>
                      <a:picLocks noChangeAspect="1" noChangeArrowheads="1"/>
                    </pic:cNvPicPr>
                  </pic:nvPicPr>
                  <pic:blipFill>
                    <a:blip r:embed="rId8" cstate="print"/>
                    <a:srcRect/>
                    <a:stretch>
                      <a:fillRect/>
                    </a:stretch>
                  </pic:blipFill>
                  <pic:spPr>
                    <a:xfrm>
                      <a:off x="0" y="0"/>
                      <a:ext cx="5686146" cy="2819400"/>
                    </a:xfrm>
                    <a:prstGeom prst="rect">
                      <a:avLst/>
                    </a:prstGeom>
                    <a:noFill/>
                    <a:ln w="9525">
                      <a:noFill/>
                      <a:miter lim="800000"/>
                      <a:headEnd/>
                      <a:tailEnd/>
                    </a:ln>
                  </pic:spPr>
                </pic:pic>
              </a:graphicData>
            </a:graphic>
          </wp:anchor>
        </w:drawing>
      </w: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jc w:val="cente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图 1 健康与社会照护赛项竞赛模块流程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drawing>
          <wp:anchor distT="0" distB="0" distL="114300" distR="114300" simplePos="0" relativeHeight="251660288" behindDoc="0" locked="0" layoutInCell="1" allowOverlap="1">
            <wp:simplePos x="0" y="0"/>
            <wp:positionH relativeFrom="column">
              <wp:posOffset>370840</wp:posOffset>
            </wp:positionH>
            <wp:positionV relativeFrom="paragraph">
              <wp:posOffset>307340</wp:posOffset>
            </wp:positionV>
            <wp:extent cx="5531485" cy="3354070"/>
            <wp:effectExtent l="0" t="0" r="12065" b="17780"/>
            <wp:wrapNone/>
            <wp:docPr id="40" name="图片 40" descr="C:\Users\ADMINI~1\AppData\Local\Temp\WeChat Files\cfe5814bb325ce42d41a4b2761ead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ADMINI~1\AppData\Local\Temp\WeChat Files\cfe5814bb325ce42d41a4b2761eadee.jpg"/>
                    <pic:cNvPicPr>
                      <a:picLocks noChangeAspect="1" noChangeArrowheads="1"/>
                    </pic:cNvPicPr>
                  </pic:nvPicPr>
                  <pic:blipFill>
                    <a:blip r:embed="rId9" cstate="print"/>
                    <a:srcRect/>
                    <a:stretch>
                      <a:fillRect/>
                    </a:stretch>
                  </pic:blipFill>
                  <pic:spPr>
                    <a:xfrm>
                      <a:off x="0" y="0"/>
                      <a:ext cx="5531485" cy="3354070"/>
                    </a:xfrm>
                    <a:prstGeom prst="rect">
                      <a:avLst/>
                    </a:prstGeom>
                    <a:noFill/>
                    <a:ln w="9525">
                      <a:noFill/>
                      <a:miter lim="800000"/>
                      <a:headEnd/>
                      <a:tailEnd/>
                    </a:ln>
                  </pic:spPr>
                </pic:pic>
              </a:graphicData>
            </a:graphic>
          </wp:anchor>
        </w:drawing>
      </w:r>
      <w:r>
        <w:rPr>
          <w:rFonts w:hint="eastAsia" w:asciiTheme="minorEastAsia" w:hAnsiTheme="minorEastAsia" w:eastAsiaTheme="minorEastAsia" w:cstheme="minorEastAsia"/>
          <w:color w:val="000000"/>
          <w:sz w:val="28"/>
          <w:szCs w:val="28"/>
        </w:rPr>
        <w:t>（二）参赛选手竞赛流程（图2）</w:t>
      </w: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line="291" w:lineRule="exact"/>
        <w:ind w:left="890"/>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图2 参赛选手一天的竞赛流程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br w:type="page"/>
      </w:r>
      <w:r>
        <w:rPr>
          <w:rFonts w:hint="eastAsia" w:asciiTheme="minorEastAsia" w:hAnsiTheme="minorEastAsia" w:eastAsiaTheme="minorEastAsia" w:cstheme="minorEastAsia"/>
          <w:color w:val="000000"/>
          <w:sz w:val="28"/>
          <w:szCs w:val="28"/>
        </w:rPr>
        <w:t>2. 单模块竞赛流程说明</w:t>
      </w:r>
    </w:p>
    <w:tbl>
      <w:tblPr>
        <w:tblStyle w:val="7"/>
        <w:tblW w:w="0" w:type="auto"/>
        <w:tblInd w:w="89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061"/>
        <w:gridCol w:w="7371"/>
        <w:gridCol w:w="136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616" w:hRule="atLeast"/>
        </w:trPr>
        <w:tc>
          <w:tcPr>
            <w:tcW w:w="1061"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流程</w:t>
            </w:r>
          </w:p>
        </w:tc>
        <w:tc>
          <w:tcPr>
            <w:tcW w:w="7371"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内容</w:t>
            </w:r>
          </w:p>
        </w:tc>
        <w:tc>
          <w:tcPr>
            <w:tcW w:w="1360"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时间</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61"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1</w:t>
            </w:r>
          </w:p>
        </w:tc>
        <w:tc>
          <w:tcPr>
            <w:tcW w:w="7371" w:type="dxa"/>
          </w:tcPr>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照护计划竞赛区说明：</w:t>
            </w:r>
          </w:p>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各参赛选手按抽取的赛位号依次进入相应竞赛模块，首先进入该模块的“照护计划竞赛区”，本模块的案例会放在桌上（此案例单可以一直携带）。</w:t>
            </w:r>
          </w:p>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当计时开始时，请认真阅读案例单。阅读后，以书面形式写出该案例照护计划，包括所有任务、有逻辑顺序的时间计划、拟完成的目标等。</w:t>
            </w:r>
          </w:p>
          <w:p>
            <w:pPr>
              <w:spacing w:after="0" w:line="291" w:lineRule="exact"/>
              <w:rPr>
                <w:rFonts w:asciiTheme="minorEastAsia" w:hAnsiTheme="minorEastAsia" w:eastAsiaTheme="minorEastAsia" w:cstheme="minorEastAsia"/>
                <w:color w:val="000000"/>
                <w:sz w:val="28"/>
              </w:rPr>
            </w:pPr>
          </w:p>
        </w:tc>
        <w:tc>
          <w:tcPr>
            <w:tcW w:w="1360"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20min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61"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2</w:t>
            </w:r>
          </w:p>
        </w:tc>
        <w:tc>
          <w:tcPr>
            <w:tcW w:w="7371" w:type="dxa"/>
          </w:tcPr>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实际照护竞赛区说明：</w:t>
            </w:r>
          </w:p>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各参赛选手完成照护计划后，在引导员引导下进入“实际照护竞赛区”，将案例单放在门口桌上。进入竞赛区内即比赛计时开始。按照任务要求，利用现有资源，自取用物，实现对 SP的自主和独立的健康与社会照护。</w:t>
            </w:r>
          </w:p>
          <w:p>
            <w:pPr>
              <w:spacing w:after="0" w:line="291" w:lineRule="exact"/>
              <w:rPr>
                <w:rFonts w:asciiTheme="minorEastAsia" w:hAnsiTheme="minorEastAsia" w:eastAsiaTheme="minorEastAsia" w:cstheme="minorEastAsia"/>
                <w:color w:val="000000"/>
                <w:sz w:val="28"/>
              </w:rPr>
            </w:pPr>
          </w:p>
        </w:tc>
        <w:tc>
          <w:tcPr>
            <w:tcW w:w="1360"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25min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061"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3</w:t>
            </w:r>
          </w:p>
        </w:tc>
        <w:tc>
          <w:tcPr>
            <w:tcW w:w="7371" w:type="dxa"/>
          </w:tcPr>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健康教育海报或反思报告说明：</w:t>
            </w:r>
          </w:p>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参赛选手完成实际照护竞赛区的任务后，携带案例单，在引导下进入“健康教育海报或反思报告竞赛区”，按照任务要求，完成海报或反思报告。</w:t>
            </w:r>
          </w:p>
          <w:p>
            <w:pPr>
              <w:spacing w:before="173" w:line="449" w:lineRule="exact"/>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完成所有任务后，将案例单放在桌上，离开竞赛区。</w:t>
            </w:r>
          </w:p>
          <w:p>
            <w:pPr>
              <w:spacing w:after="0" w:line="291" w:lineRule="exact"/>
              <w:rPr>
                <w:rFonts w:asciiTheme="minorEastAsia" w:hAnsiTheme="minorEastAsia" w:eastAsiaTheme="minorEastAsia" w:cstheme="minorEastAsia"/>
                <w:color w:val="000000"/>
                <w:sz w:val="28"/>
              </w:rPr>
            </w:pPr>
          </w:p>
        </w:tc>
        <w:tc>
          <w:tcPr>
            <w:tcW w:w="1360" w:type="dxa"/>
          </w:tcPr>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p>
          <w:p>
            <w:pPr>
              <w:spacing w:after="0" w:line="291" w:lineRule="exact"/>
              <w:jc w:val="center"/>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z w:val="28"/>
              </w:rPr>
              <w:t>30min</w:t>
            </w:r>
          </w:p>
        </w:tc>
      </w:tr>
    </w:tbl>
    <w:p>
      <w:pPr>
        <w:spacing w:line="291" w:lineRule="exact"/>
        <w:ind w:left="890"/>
        <w:rPr>
          <w:rFonts w:asciiTheme="minorEastAsia" w:hAnsiTheme="minorEastAsia" w:eastAsiaTheme="minorEastAsia" w:cstheme="minorEastAsia"/>
          <w:color w:val="000000"/>
          <w:sz w:val="28"/>
          <w:lang w:eastAsia="en-US"/>
        </w:rPr>
      </w:pP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（三）检录抽签流程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1.检录。由检录工作人员依照检录表进行点名核对，并检查确定无误后向裁判长递交检录单。</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2.抽签。裁判组织参赛选手进行抽签，确定赛位号。</w:t>
      </w: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 引导。参赛选手凭赛位号进入赛场，不得携带其他显示个人身份信息和违规的物品。引导员负责引导参赛选手至赛位前等待竞赛指令。比赛开始前，在没有裁判允许的情况下，严禁随意触碰竞赛设施和阅读案例单内容。比赛中途不得离开赛场。</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六、竞赛赛卷</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本赛项赛题库与2021年全国职业院校技能大赛健康与社会照护赛项赛题库一致。正式赛卷于比赛前由裁判长指定相关人员抽取正式赛卷与备用赛卷，由专家组根据情况修改不超过 30%内容。</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七、竞赛规则</w:t>
      </w:r>
    </w:p>
    <w:p>
      <w:pPr>
        <w:spacing w:before="173" w:line="449"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（一）参赛选手报名</w:t>
      </w:r>
    </w:p>
    <w:p>
      <w:pPr>
        <w:spacing w:before="173" w:line="449"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参赛资格：参赛选手须为高等学校在籍高职高专类学生，年龄不超过25周岁(即1997年5月1日及以后出生)。五年制高职学校第四、五年级的在籍学生。凡在往届全国职业院校技能大赛此赛项中获一等奖的选手，不能再参加比赛。</w:t>
      </w:r>
    </w:p>
    <w:p>
      <w:pPr>
        <w:spacing w:before="173" w:line="449"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2.报名时间：2021年9月3日-18日</w:t>
      </w:r>
    </w:p>
    <w:p>
      <w:pPr>
        <w:spacing w:before="173" w:line="449"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报名方式：大赛实行网上报名，以学校用户名登高职院校技能大赛报名网站(http://comp.turbosnail.cc)进行网上报名，填写参赛选手报名表，不在籍学生不能报名参赛。网上报名时请务必完整、规范填写表格内容。电子照片要求大小不超过1MB，宽100像素，高125像素。个人项目每人限报1名指导老师。</w:t>
      </w:r>
    </w:p>
    <w:p>
      <w:pPr>
        <w:spacing w:before="173" w:line="449"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（二）竞赛日程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w:t>
      </w:r>
      <w:r>
        <w:rPr>
          <w:rFonts w:hint="eastAsia" w:asciiTheme="minorEastAsia" w:hAnsiTheme="minorEastAsia" w:eastAsiaTheme="minorEastAsia" w:cstheme="minorEastAsia"/>
          <w:color w:val="000000"/>
          <w:sz w:val="28"/>
          <w:szCs w:val="28"/>
          <w:lang w:val="en-US" w:eastAsia="zh-CN"/>
        </w:rPr>
        <w:t xml:space="preserve"> </w:t>
      </w:r>
      <w:r>
        <w:rPr>
          <w:rFonts w:hint="eastAsia" w:asciiTheme="minorEastAsia" w:hAnsiTheme="minorEastAsia" w:eastAsiaTheme="minorEastAsia" w:cstheme="minorEastAsia"/>
          <w:color w:val="000000"/>
          <w:sz w:val="28"/>
          <w:szCs w:val="28"/>
        </w:rPr>
        <w:t>10月25日上午8时报到参加赛事说明会。</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 10月28日下午，安排参赛选手和指导教师熟悉比赛各场地、设备、物品等，不得携带任何通讯、摄录设备进入比赛场地。</w:t>
      </w:r>
    </w:p>
    <w:p>
      <w:pPr>
        <w:spacing w:before="173" w:line="449"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z w:val="28"/>
          <w:szCs w:val="28"/>
        </w:rPr>
        <w:t>3.</w:t>
      </w:r>
      <w:r>
        <w:rPr>
          <w:rFonts w:hint="eastAsia" w:asciiTheme="minorEastAsia" w:hAnsiTheme="minorEastAsia" w:eastAsiaTheme="minorEastAsia" w:cstheme="minorEastAsia"/>
          <w:color w:val="000000"/>
          <w:sz w:val="28"/>
          <w:szCs w:val="28"/>
          <w:lang w:val="en-US" w:eastAsia="zh-CN"/>
        </w:rPr>
        <w:t xml:space="preserve"> </w:t>
      </w:r>
      <w:r>
        <w:rPr>
          <w:rFonts w:hint="eastAsia" w:asciiTheme="minorEastAsia" w:hAnsiTheme="minorEastAsia" w:eastAsiaTheme="minorEastAsia" w:cstheme="minorEastAsia"/>
          <w:color w:val="000000"/>
          <w:sz w:val="28"/>
          <w:szCs w:val="28"/>
        </w:rPr>
        <w:t>10月29日竞赛日，参赛选手在比赛前 30 分钟到赛场指定地点接受检录。</w:t>
      </w:r>
    </w:p>
    <w:p>
      <w:pPr>
        <w:spacing w:before="173" w:line="449" w:lineRule="exact"/>
        <w:ind w:firstLine="560" w:firstLineChars="200"/>
        <w:rPr>
          <w:rFonts w:asciiTheme="minorEastAsia" w:hAnsiTheme="minorEastAsia" w:eastAsiaTheme="minorEastAsia" w:cstheme="minorEastAsia"/>
          <w:sz w:val="28"/>
          <w:szCs w:val="28"/>
        </w:rPr>
      </w:pPr>
    </w:p>
    <w:p>
      <w:pPr>
        <w:spacing w:before="173" w:line="449" w:lineRule="exact"/>
        <w:ind w:firstLine="560" w:firstLineChars="200"/>
        <w:rPr>
          <w:rFonts w:asciiTheme="minorEastAsia" w:hAnsiTheme="minorEastAsia" w:eastAsiaTheme="minorEastAsia" w:cstheme="minorEastAsia"/>
          <w:sz w:val="28"/>
          <w:szCs w:val="28"/>
        </w:rPr>
      </w:pPr>
    </w:p>
    <w:p>
      <w:pPr>
        <w:spacing w:before="173" w:line="449" w:lineRule="exact"/>
        <w:ind w:firstLine="560" w:firstLineChars="200"/>
        <w:rPr>
          <w:rFonts w:asciiTheme="minorEastAsia" w:hAnsiTheme="minorEastAsia" w:eastAsiaTheme="minorEastAsia" w:cstheme="minorEastAsia"/>
          <w:sz w:val="28"/>
          <w:szCs w:val="28"/>
        </w:rPr>
      </w:pPr>
    </w:p>
    <w:p>
      <w:pPr>
        <w:spacing w:before="173" w:line="449" w:lineRule="exact"/>
        <w:ind w:firstLine="560" w:firstLineChars="200"/>
        <w:rPr>
          <w:rFonts w:asciiTheme="minorEastAsia" w:hAnsiTheme="minorEastAsia" w:eastAsiaTheme="minorEastAsia" w:cstheme="minorEastAsia"/>
          <w:sz w:val="28"/>
          <w:szCs w:val="28"/>
        </w:rPr>
      </w:pPr>
    </w:p>
    <w:tbl>
      <w:tblPr>
        <w:tblStyle w:val="6"/>
        <w:tblpPr w:leftFromText="180" w:rightFromText="180" w:vertAnchor="text" w:horzAnchor="page" w:tblpXSpec="center" w:tblpY="87"/>
        <w:tblOverlap w:val="never"/>
        <w:tblW w:w="89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1544"/>
        <w:gridCol w:w="2573"/>
        <w:gridCol w:w="2645"/>
        <w:gridCol w:w="1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b/>
                <w:bCs/>
                <w:kern w:val="2"/>
                <w:sz w:val="24"/>
              </w:rPr>
            </w:pPr>
            <w:r>
              <w:rPr>
                <w:rFonts w:hint="eastAsia" w:ascii="仿宋_GB2312" w:hAnsi="仿宋_GB2312" w:eastAsia="仿宋_GB2312" w:cs="仿宋_GB2312"/>
                <w:b/>
                <w:bCs/>
                <w:sz w:val="24"/>
              </w:rPr>
              <w:t>日期</w:t>
            </w:r>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b/>
                <w:bCs/>
                <w:kern w:val="2"/>
                <w:sz w:val="24"/>
              </w:rPr>
            </w:pPr>
            <w:r>
              <w:rPr>
                <w:rFonts w:hint="eastAsia" w:ascii="仿宋_GB2312" w:hAnsi="仿宋_GB2312" w:eastAsia="仿宋_GB2312" w:cs="仿宋_GB2312"/>
                <w:b/>
                <w:bCs/>
                <w:sz w:val="24"/>
              </w:rPr>
              <w:t>时间</w:t>
            </w:r>
          </w:p>
        </w:tc>
        <w:tc>
          <w:tcPr>
            <w:tcW w:w="2573"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b/>
                <w:bCs/>
                <w:kern w:val="2"/>
                <w:sz w:val="24"/>
              </w:rPr>
            </w:pPr>
            <w:r>
              <w:rPr>
                <w:rFonts w:hint="eastAsia" w:ascii="仿宋_GB2312" w:hAnsi="仿宋_GB2312" w:eastAsia="仿宋_GB2312" w:cs="仿宋_GB2312"/>
                <w:b/>
                <w:bCs/>
                <w:sz w:val="24"/>
              </w:rPr>
              <w:t>活动内容</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b/>
                <w:bCs/>
                <w:kern w:val="2"/>
                <w:sz w:val="24"/>
              </w:rPr>
            </w:pPr>
            <w:r>
              <w:rPr>
                <w:rFonts w:hint="eastAsia" w:ascii="仿宋_GB2312" w:hAnsi="仿宋_GB2312" w:eastAsia="仿宋_GB2312" w:cs="仿宋_GB2312"/>
                <w:b/>
                <w:bCs/>
                <w:sz w:val="24"/>
              </w:rPr>
              <w:t>地点</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b/>
                <w:bCs/>
                <w:kern w:val="2"/>
                <w:sz w:val="24"/>
              </w:rPr>
            </w:pPr>
            <w:r>
              <w:rPr>
                <w:rFonts w:hint="eastAsia" w:ascii="仿宋_GB2312" w:hAnsi="仿宋_GB2312" w:eastAsia="仿宋_GB2312" w:cs="仿宋_GB2312"/>
                <w:b/>
                <w:bCs/>
                <w:sz w:val="24"/>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9" w:hRule="atLeast"/>
        </w:trPr>
        <w:tc>
          <w:tcPr>
            <w:tcW w:w="58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10月</w:t>
            </w:r>
          </w:p>
          <w:p>
            <w:pPr>
              <w:jc w:val="center"/>
              <w:rPr>
                <w:rFonts w:ascii="仿宋_GB2312" w:hAnsi="仿宋_GB2312" w:eastAsia="仿宋_GB2312" w:cs="仿宋_GB2312"/>
                <w:sz w:val="24"/>
              </w:rPr>
            </w:pPr>
            <w:r>
              <w:rPr>
                <w:rFonts w:hint="eastAsia" w:ascii="仿宋_GB2312" w:hAnsi="仿宋_GB2312" w:eastAsia="仿宋_GB2312" w:cs="仿宋_GB2312"/>
                <w:sz w:val="24"/>
              </w:rPr>
              <w:t>25</w:t>
            </w:r>
          </w:p>
          <w:p>
            <w:pPr>
              <w:jc w:val="center"/>
              <w:rPr>
                <w:rFonts w:ascii="仿宋_GB2312" w:hAnsi="仿宋_GB2312" w:eastAsia="仿宋_GB2312" w:cs="仿宋_GB2312"/>
                <w:sz w:val="24"/>
              </w:rPr>
            </w:pPr>
            <w:r>
              <w:rPr>
                <w:rFonts w:hint="eastAsia" w:ascii="仿宋_GB2312" w:hAnsi="仿宋_GB2312" w:eastAsia="仿宋_GB2312" w:cs="仿宋_GB2312"/>
                <w:sz w:val="24"/>
              </w:rPr>
              <w:t>日</w:t>
            </w:r>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8:00-9:00</w:t>
            </w:r>
          </w:p>
        </w:tc>
        <w:tc>
          <w:tcPr>
            <w:tcW w:w="2573"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各参赛队报到</w:t>
            </w:r>
          </w:p>
        </w:tc>
        <w:tc>
          <w:tcPr>
            <w:tcW w:w="264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护理实训楼一楼大厅</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吴碧珍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trPr>
        <w:tc>
          <w:tcPr>
            <w:tcW w:w="587" w:type="dxa"/>
            <w:vMerge w:val="continue"/>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kern w:val="2"/>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9:00-9:30</w:t>
            </w:r>
          </w:p>
        </w:tc>
        <w:tc>
          <w:tcPr>
            <w:tcW w:w="2573"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赛事说明会</w:t>
            </w:r>
          </w:p>
        </w:tc>
        <w:tc>
          <w:tcPr>
            <w:tcW w:w="2645"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护理实训楼一楼报告厅</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hint="eastAsia" w:ascii="仿宋_GB2312" w:hAnsi="仿宋_GB2312" w:eastAsia="仿宋_GB2312" w:cs="仿宋_GB2312"/>
                <w:kern w:val="2"/>
                <w:sz w:val="24"/>
                <w:lang w:eastAsia="zh-CN"/>
              </w:rPr>
            </w:pPr>
            <w:r>
              <w:rPr>
                <w:rFonts w:hint="eastAsia" w:ascii="仿宋_GB2312" w:hAnsi="仿宋_GB2312" w:eastAsia="仿宋_GB2312" w:cs="仿宋_GB2312"/>
                <w:kern w:val="2"/>
                <w:sz w:val="24"/>
                <w:lang w:eastAsia="zh-CN"/>
              </w:rPr>
              <w:t>朱文冰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trPr>
        <w:tc>
          <w:tcPr>
            <w:tcW w:w="587" w:type="dxa"/>
            <w:vMerge w:val="restart"/>
            <w:tcBorders>
              <w:top w:val="single" w:color="auto" w:sz="4" w:space="0"/>
              <w:left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10月</w:t>
            </w:r>
          </w:p>
          <w:p>
            <w:pPr>
              <w:jc w:val="center"/>
              <w:rPr>
                <w:rFonts w:ascii="仿宋_GB2312" w:hAnsi="仿宋_GB2312" w:eastAsia="仿宋_GB2312" w:cs="仿宋_GB2312"/>
                <w:sz w:val="24"/>
              </w:rPr>
            </w:pPr>
            <w:r>
              <w:rPr>
                <w:rFonts w:hint="eastAsia" w:ascii="仿宋_GB2312" w:hAnsi="仿宋_GB2312" w:eastAsia="仿宋_GB2312" w:cs="仿宋_GB2312"/>
                <w:sz w:val="24"/>
              </w:rPr>
              <w:t>28</w:t>
            </w:r>
          </w:p>
          <w:p>
            <w:pPr>
              <w:widowControl w:val="0"/>
              <w:jc w:val="both"/>
              <w:rPr>
                <w:rFonts w:ascii="仿宋_GB2312" w:hAnsi="仿宋_GB2312" w:eastAsia="仿宋_GB2312" w:cs="仿宋_GB2312"/>
                <w:kern w:val="2"/>
                <w:sz w:val="24"/>
              </w:rPr>
            </w:pPr>
            <w:r>
              <w:rPr>
                <w:rFonts w:hint="eastAsia" w:ascii="仿宋_GB2312" w:hAnsi="仿宋_GB2312" w:eastAsia="仿宋_GB2312" w:cs="仿宋_GB2312"/>
                <w:sz w:val="24"/>
              </w:rPr>
              <w:t>日</w:t>
            </w:r>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15:30-16:30</w:t>
            </w:r>
          </w:p>
        </w:tc>
        <w:tc>
          <w:tcPr>
            <w:tcW w:w="2573"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选手熟悉场地用物</w:t>
            </w:r>
          </w:p>
        </w:tc>
        <w:tc>
          <w:tcPr>
            <w:tcW w:w="264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护理实训楼三楼</w:t>
            </w:r>
          </w:p>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竞赛现场</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ascii="仿宋_GB2312" w:hAnsi="仿宋_GB2312" w:eastAsia="仿宋_GB2312" w:cs="仿宋_GB2312"/>
                <w:kern w:val="2"/>
                <w:sz w:val="24"/>
              </w:rPr>
              <w:t>吴梦雅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587" w:type="dxa"/>
            <w:vMerge w:val="continue"/>
            <w:tcBorders>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16:40-17:30</w:t>
            </w:r>
          </w:p>
        </w:tc>
        <w:tc>
          <w:tcPr>
            <w:tcW w:w="2573"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场地设备准备</w:t>
            </w:r>
          </w:p>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封闭赛场</w:t>
            </w:r>
          </w:p>
        </w:tc>
        <w:tc>
          <w:tcPr>
            <w:tcW w:w="264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护理实训楼三楼</w:t>
            </w:r>
          </w:p>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竞赛现场</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ascii="仿宋_GB2312" w:hAnsi="仿宋_GB2312" w:eastAsia="仿宋_GB2312" w:cs="仿宋_GB2312"/>
                <w:kern w:val="2"/>
                <w:sz w:val="24"/>
              </w:rPr>
              <w:t>吴梦雅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87"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10月</w:t>
            </w:r>
          </w:p>
          <w:p>
            <w:pPr>
              <w:widowControl w:val="0"/>
              <w:jc w:val="both"/>
              <w:rPr>
                <w:rFonts w:ascii="仿宋_GB2312" w:hAnsi="仿宋_GB2312" w:eastAsia="仿宋_GB2312" w:cs="仿宋_GB2312"/>
                <w:kern w:val="2"/>
                <w:sz w:val="24"/>
              </w:rPr>
            </w:pPr>
            <w:r>
              <w:rPr>
                <w:rFonts w:hint="eastAsia" w:ascii="仿宋_GB2312" w:hAnsi="仿宋_GB2312" w:eastAsia="仿宋_GB2312" w:cs="仿宋_GB2312"/>
                <w:sz w:val="24"/>
              </w:rPr>
              <w:t>29日</w:t>
            </w:r>
            <w:bookmarkStart w:id="5" w:name="_GoBack"/>
            <w:bookmarkEnd w:id="5"/>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8:00-17:30</w:t>
            </w:r>
          </w:p>
        </w:tc>
        <w:tc>
          <w:tcPr>
            <w:tcW w:w="2573"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健康与社会照护操作竞赛</w:t>
            </w:r>
          </w:p>
        </w:tc>
        <w:tc>
          <w:tcPr>
            <w:tcW w:w="264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护理实训楼三楼</w:t>
            </w:r>
          </w:p>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竞赛现场</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朱文冰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87" w:type="dxa"/>
            <w:vMerge w:val="continue"/>
            <w:tcBorders>
              <w:top w:val="single" w:color="auto" w:sz="4" w:space="0"/>
              <w:left w:val="single" w:color="auto" w:sz="4" w:space="0"/>
              <w:bottom w:val="single" w:color="auto" w:sz="4" w:space="0"/>
              <w:right w:val="single" w:color="auto" w:sz="4" w:space="0"/>
            </w:tcBorders>
            <w:vAlign w:val="center"/>
          </w:tcPr>
          <w:p>
            <w:pPr>
              <w:rPr>
                <w:rFonts w:ascii="仿宋_GB2312" w:hAnsi="仿宋_GB2312" w:eastAsia="仿宋_GB2312" w:cs="仿宋_GB2312"/>
                <w:kern w:val="2"/>
                <w:sz w:val="24"/>
              </w:rPr>
            </w:pPr>
          </w:p>
        </w:tc>
        <w:tc>
          <w:tcPr>
            <w:tcW w:w="1544"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17:30-18:00</w:t>
            </w:r>
          </w:p>
        </w:tc>
        <w:tc>
          <w:tcPr>
            <w:tcW w:w="2573"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赛后评委点评</w:t>
            </w:r>
          </w:p>
        </w:tc>
        <w:tc>
          <w:tcPr>
            <w:tcW w:w="264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护理实训楼二楼</w:t>
            </w:r>
          </w:p>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一体化教室</w:t>
            </w:r>
          </w:p>
        </w:tc>
        <w:tc>
          <w:tcPr>
            <w:tcW w:w="1576" w:type="dxa"/>
            <w:tcBorders>
              <w:top w:val="single" w:color="auto" w:sz="4" w:space="0"/>
              <w:left w:val="single" w:color="auto" w:sz="4" w:space="0"/>
              <w:bottom w:val="single" w:color="auto" w:sz="4" w:space="0"/>
              <w:right w:val="single" w:color="auto" w:sz="4" w:space="0"/>
            </w:tcBorders>
            <w:vAlign w:val="center"/>
          </w:tcPr>
          <w:p>
            <w:pPr>
              <w:widowControl w:val="0"/>
              <w:jc w:val="center"/>
              <w:rPr>
                <w:rFonts w:ascii="仿宋_GB2312" w:hAnsi="仿宋_GB2312" w:eastAsia="仿宋_GB2312" w:cs="仿宋_GB2312"/>
                <w:kern w:val="2"/>
                <w:sz w:val="24"/>
              </w:rPr>
            </w:pPr>
            <w:r>
              <w:rPr>
                <w:rFonts w:hint="eastAsia" w:ascii="仿宋_GB2312" w:hAnsi="仿宋_GB2312" w:eastAsia="仿宋_GB2312" w:cs="仿宋_GB2312"/>
                <w:sz w:val="24"/>
              </w:rPr>
              <w:t>朱文冰</w:t>
            </w:r>
          </w:p>
        </w:tc>
      </w:tr>
    </w:tbl>
    <w:p>
      <w:pPr>
        <w:spacing w:before="173" w:line="449" w:lineRule="exact"/>
        <w:ind w:firstLine="560" w:firstLineChars="200"/>
        <w:rPr>
          <w:rFonts w:asciiTheme="minorEastAsia" w:hAnsiTheme="minorEastAsia" w:eastAsiaTheme="minorEastAsia" w:cstheme="minorEastAsia"/>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（三）正式比赛赛场规则</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1.参赛选手应在引导员指引下提前进入竞赛模块场地，并依照规定进行比赛。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2.参赛选手进入赛场必须听从现场裁判人员的统一布置和安排，比赛期间必须严格遵守安全操作规程，确保人身安全。</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3.参赛选手应认真</w:t>
      </w:r>
      <w:r>
        <w:rPr>
          <w:rFonts w:hint="eastAsia" w:asciiTheme="minorEastAsia" w:hAnsiTheme="minorEastAsia" w:eastAsiaTheme="minorEastAsia" w:cstheme="minorEastAsia"/>
          <w:color w:val="000000" w:themeColor="text1"/>
          <w:sz w:val="28"/>
          <w:szCs w:val="28"/>
        </w:rPr>
        <w:t>阅读竞赛须知，</w:t>
      </w:r>
      <w:r>
        <w:rPr>
          <w:rFonts w:hint="eastAsia" w:asciiTheme="minorEastAsia" w:hAnsiTheme="minorEastAsia" w:eastAsiaTheme="minorEastAsia" w:cstheme="minorEastAsia"/>
          <w:color w:val="000000"/>
          <w:sz w:val="28"/>
          <w:szCs w:val="28"/>
        </w:rPr>
        <w:t>自觉遵守赛场纪律，按竞赛规则、竞赛模块与赛场要求进行竞赛，不得携带任何通讯设备、纸质材料等物品进入赛场。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4.参赛选手竞赛开始、终止时间由计时裁判记录在案；比赛结束前 5 分钟给予不干扰提醒。比赛时间到，结束比赛，参赛选手停止撰写或实操，按照要求离开竞赛区域。参赛选手提前结束竞赛并示意后，不得再进行任何操作。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5.严格按照竞赛流程有序开展竞赛工作，以保证竞赛按时完成。裁判长总体把控竞赛总进程，裁判组长把控本竞赛模块进程。</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6.参赛选手进入赛场不得以任何方式公开参赛队及个人信息。</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（四）成绩结果公布</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本赛项由海南省教育厅公布成绩。</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八、竞赛环境与赛场导图</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 竞赛环境：竞赛场地要求通风、宽敞明亮，配备双线路供电系统和漏电保护装置，配备实况监控视频转播系统。在规定赛场内，模拟医院、长期照护中心、日间照护中心及家庭场景。设置直播观摩室。</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2.赛场导图：</w:t>
      </w:r>
    </w:p>
    <w:p>
      <w:pPr>
        <w:spacing w:before="173" w:line="449" w:lineRule="exact"/>
        <w:ind w:firstLine="482" w:firstLineChars="200"/>
        <w:jc w:val="center"/>
        <w:rPr>
          <w:rFonts w:ascii="宋体"/>
          <w:b/>
          <w:bCs/>
          <w:sz w:val="21"/>
        </w:rPr>
      </w:pPr>
      <w:r>
        <w:rPr>
          <w:rFonts w:hint="eastAsia" w:asciiTheme="minorEastAsia" w:hAnsiTheme="minorEastAsia" w:eastAsiaTheme="minorEastAsia" w:cstheme="minorEastAsia"/>
          <w:b/>
          <w:color w:val="000000"/>
          <w:sz w:val="24"/>
          <w:szCs w:val="28"/>
        </w:rPr>
        <w:t>赛场设置平面图</w:t>
      </w:r>
    </w:p>
    <w:p>
      <w:pPr>
        <w:tabs>
          <w:tab w:val="left" w:pos="2835"/>
          <w:tab w:val="left" w:pos="2977"/>
        </w:tabs>
        <w:rPr>
          <w:rFonts w:ascii="宋体"/>
          <w:b/>
          <w:bCs/>
        </w:rPr>
      </w:pPr>
      <w:r>
        <w:rPr>
          <w:rFonts w:ascii="宋体"/>
          <w:b/>
          <w:bCs/>
        </w:rPr>
        <w:drawing>
          <wp:anchor distT="0" distB="0" distL="114300" distR="114300" simplePos="0" relativeHeight="251661312" behindDoc="1" locked="0" layoutInCell="1" allowOverlap="1">
            <wp:simplePos x="0" y="0"/>
            <wp:positionH relativeFrom="column">
              <wp:posOffset>-628650</wp:posOffset>
            </wp:positionH>
            <wp:positionV relativeFrom="paragraph">
              <wp:posOffset>89535</wp:posOffset>
            </wp:positionV>
            <wp:extent cx="7667625" cy="3286125"/>
            <wp:effectExtent l="19050" t="0" r="9525" b="0"/>
            <wp:wrapNone/>
            <wp:docPr id="1" name="图片 1" descr="竞赛场地平面图_843-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竞赛场地平面图_843-Model.jpg"/>
                    <pic:cNvPicPr>
                      <a:picLocks noChangeAspect="1" noChangeArrowheads="1"/>
                    </pic:cNvPicPr>
                  </pic:nvPicPr>
                  <pic:blipFill>
                    <a:blip r:embed="rId10" cstate="print"/>
                    <a:srcRect t="49500"/>
                    <a:stretch>
                      <a:fillRect/>
                    </a:stretch>
                  </pic:blipFill>
                  <pic:spPr>
                    <a:xfrm>
                      <a:off x="0" y="0"/>
                      <a:ext cx="7667625" cy="3286125"/>
                    </a:xfrm>
                    <a:prstGeom prst="rect">
                      <a:avLst/>
                    </a:prstGeom>
                    <a:noFill/>
                    <a:ln>
                      <a:noFill/>
                    </a:ln>
                  </pic:spPr>
                </pic:pic>
              </a:graphicData>
            </a:graphic>
          </wp:anchor>
        </w:drawing>
      </w:r>
    </w:p>
    <w:p>
      <w:pPr>
        <w:tabs>
          <w:tab w:val="left" w:pos="2835"/>
          <w:tab w:val="left" w:pos="2977"/>
        </w:tabs>
        <w:rPr>
          <w:rFonts w:ascii="宋体"/>
          <w:b/>
          <w:bCs/>
        </w:rPr>
      </w:pPr>
    </w:p>
    <w:p>
      <w:pPr>
        <w:rPr>
          <w:rFonts w:asciiTheme="minorEastAsia" w:hAnsiTheme="minorEastAsia" w:eastAsiaTheme="minorEastAsia"/>
          <w:b/>
          <w:bCs/>
        </w:rPr>
      </w:pPr>
    </w:p>
    <w:p>
      <w:pPr>
        <w:spacing w:after="0" w:line="260" w:lineRule="exact"/>
        <w:ind w:firstLine="1838" w:firstLineChars="1017"/>
        <w:rPr>
          <w:rFonts w:cs="宋体" w:asciiTheme="minorEastAsia" w:hAnsiTheme="minorEastAsia" w:eastAsiaTheme="minorEastAsia"/>
          <w:b/>
          <w:bCs/>
          <w:sz w:val="20"/>
        </w:rPr>
      </w:pPr>
      <w:r>
        <w:rPr>
          <w:rFonts w:hint="eastAsia" w:cs="宋体" w:asciiTheme="minorEastAsia" w:hAnsiTheme="minorEastAsia" w:eastAsiaTheme="minorEastAsia"/>
          <w:b/>
          <w:bCs/>
          <w:sz w:val="18"/>
        </w:rPr>
        <w:t xml:space="preserve">实际照护竞赛区二  实际照护竞赛区一       </w:t>
      </w:r>
      <w:r>
        <w:rPr>
          <w:rFonts w:hint="eastAsia" w:cs="宋体" w:asciiTheme="minorEastAsia" w:hAnsiTheme="minorEastAsia" w:eastAsiaTheme="minorEastAsia"/>
          <w:b/>
          <w:bCs/>
          <w:sz w:val="20"/>
        </w:rPr>
        <w:t>照护计划竞赛区             检录抽签</w:t>
      </w:r>
    </w:p>
    <w:p>
      <w:pPr>
        <w:spacing w:after="0" w:line="260" w:lineRule="exact"/>
        <w:ind w:left="8224" w:leftChars="3738" w:firstLine="197" w:firstLineChars="98"/>
        <w:rPr>
          <w:rFonts w:cs="宋体" w:asciiTheme="minorEastAsia" w:hAnsiTheme="minorEastAsia" w:eastAsiaTheme="minorEastAsia"/>
          <w:b/>
          <w:bCs/>
          <w:sz w:val="20"/>
        </w:rPr>
      </w:pPr>
      <w:r>
        <w:rPr>
          <w:rFonts w:hint="eastAsia" w:cs="宋体" w:asciiTheme="minorEastAsia" w:hAnsiTheme="minorEastAsia" w:eastAsiaTheme="minorEastAsia"/>
          <w:b/>
          <w:bCs/>
          <w:sz w:val="20"/>
        </w:rPr>
        <w:t>候赛区</w:t>
      </w:r>
    </w:p>
    <w:p>
      <w:pPr>
        <w:spacing w:after="0" w:line="240" w:lineRule="exact"/>
        <w:rPr>
          <w:rFonts w:asciiTheme="minorEastAsia" w:hAnsiTheme="minorEastAsia" w:eastAsiaTheme="minorEastAsia"/>
          <w:b/>
          <w:bCs/>
          <w:sz w:val="20"/>
        </w:rPr>
      </w:pPr>
    </w:p>
    <w:p>
      <w:pPr>
        <w:spacing w:after="0" w:line="240" w:lineRule="exact"/>
        <w:rPr>
          <w:rFonts w:asciiTheme="minorEastAsia" w:hAnsiTheme="minorEastAsia" w:eastAsiaTheme="minorEastAsia"/>
          <w:b/>
          <w:bCs/>
          <w:sz w:val="20"/>
        </w:rPr>
      </w:pPr>
    </w:p>
    <w:p>
      <w:pPr>
        <w:spacing w:after="0" w:line="240" w:lineRule="exact"/>
        <w:rPr>
          <w:rFonts w:asciiTheme="minorEastAsia" w:hAnsiTheme="minorEastAsia" w:eastAsiaTheme="minorEastAsia"/>
          <w:b/>
          <w:bCs/>
          <w:sz w:val="20"/>
        </w:rPr>
      </w:pPr>
    </w:p>
    <w:p>
      <w:pPr>
        <w:spacing w:after="0" w:line="240" w:lineRule="exact"/>
        <w:ind w:firstLine="1869" w:firstLineChars="931"/>
        <w:rPr>
          <w:rFonts w:cs="宋体" w:asciiTheme="minorEastAsia" w:hAnsiTheme="minorEastAsia" w:eastAsiaTheme="minorEastAsia"/>
          <w:b/>
          <w:bCs/>
          <w:sz w:val="20"/>
        </w:rPr>
      </w:pPr>
    </w:p>
    <w:p>
      <w:pPr>
        <w:spacing w:after="0" w:line="240" w:lineRule="exact"/>
        <w:ind w:firstLine="2160" w:firstLineChars="1076"/>
        <w:rPr>
          <w:rFonts w:cs="宋体" w:asciiTheme="minorEastAsia" w:hAnsiTheme="minorEastAsia" w:eastAsiaTheme="minorEastAsia"/>
          <w:b/>
          <w:bCs/>
          <w:sz w:val="20"/>
        </w:rPr>
      </w:pPr>
      <w:r>
        <w:rPr>
          <w:rFonts w:hint="eastAsia" w:cs="宋体" w:asciiTheme="minorEastAsia" w:hAnsiTheme="minorEastAsia" w:eastAsiaTheme="minorEastAsia"/>
          <w:b/>
          <w:bCs/>
          <w:sz w:val="20"/>
        </w:rPr>
        <w:t>画海报、       画海报、</w:t>
      </w:r>
    </w:p>
    <w:p>
      <w:pPr>
        <w:spacing w:after="0" w:line="240" w:lineRule="exact"/>
        <w:ind w:firstLine="2160" w:firstLineChars="1076"/>
        <w:rPr>
          <w:rFonts w:cs="宋体" w:asciiTheme="minorEastAsia" w:hAnsiTheme="minorEastAsia" w:eastAsiaTheme="minorEastAsia"/>
          <w:b/>
          <w:bCs/>
          <w:sz w:val="20"/>
        </w:rPr>
      </w:pPr>
      <w:r>
        <w:rPr>
          <w:rFonts w:hint="eastAsia" w:cs="宋体" w:asciiTheme="minorEastAsia" w:hAnsiTheme="minorEastAsia" w:eastAsiaTheme="minorEastAsia"/>
          <w:b/>
          <w:bCs/>
          <w:sz w:val="20"/>
        </w:rPr>
        <w:t>反思报告         反思报告</w:t>
      </w:r>
    </w:p>
    <w:p>
      <w:pPr>
        <w:spacing w:after="0" w:line="240" w:lineRule="exact"/>
        <w:ind w:firstLine="2160" w:firstLineChars="1076"/>
        <w:rPr>
          <w:rFonts w:cs="宋体" w:asciiTheme="minorEastAsia" w:hAnsiTheme="minorEastAsia" w:eastAsiaTheme="minorEastAsia"/>
          <w:b/>
          <w:bCs/>
          <w:sz w:val="20"/>
        </w:rPr>
      </w:pPr>
      <w:r>
        <w:rPr>
          <w:rFonts w:hint="eastAsia" w:cs="宋体" w:asciiTheme="minorEastAsia" w:hAnsiTheme="minorEastAsia" w:eastAsiaTheme="minorEastAsia"/>
          <w:b/>
          <w:bCs/>
          <w:sz w:val="20"/>
        </w:rPr>
        <w:t xml:space="preserve">竞赛区二       竞赛区一      </w:t>
      </w:r>
    </w:p>
    <w:p>
      <w:pPr>
        <w:spacing w:after="0" w:line="240" w:lineRule="exact"/>
        <w:ind w:firstLine="3899" w:firstLineChars="1942"/>
        <w:rPr>
          <w:rFonts w:cs="宋体" w:asciiTheme="minorEastAsia" w:hAnsiTheme="minorEastAsia" w:eastAsiaTheme="minorEastAsia"/>
          <w:b/>
          <w:bCs/>
          <w:sz w:val="20"/>
        </w:rPr>
      </w:pPr>
    </w:p>
    <w:p>
      <w:pPr>
        <w:spacing w:after="0" w:line="240" w:lineRule="exact"/>
        <w:ind w:firstLine="8437" w:firstLineChars="4202"/>
        <w:rPr>
          <w:rFonts w:cs="宋体" w:asciiTheme="minorEastAsia" w:hAnsiTheme="minorEastAsia" w:eastAsiaTheme="minorEastAsia"/>
          <w:b/>
          <w:bCs/>
          <w:sz w:val="20"/>
        </w:rPr>
      </w:pPr>
      <w:r>
        <w:rPr>
          <w:rFonts w:hint="eastAsia" w:cs="宋体" w:asciiTheme="minorEastAsia" w:hAnsiTheme="minorEastAsia" w:eastAsiaTheme="minorEastAsia"/>
          <w:b/>
          <w:bCs/>
          <w:sz w:val="20"/>
        </w:rPr>
        <w:t>评委</w:t>
      </w:r>
    </w:p>
    <w:p>
      <w:pPr>
        <w:spacing w:after="0" w:line="240" w:lineRule="exact"/>
        <w:ind w:firstLine="8365" w:firstLineChars="4166"/>
        <w:rPr>
          <w:rFonts w:cs="宋体" w:asciiTheme="minorEastAsia" w:hAnsiTheme="minorEastAsia" w:eastAsiaTheme="minorEastAsia"/>
          <w:b/>
          <w:bCs/>
          <w:sz w:val="20"/>
        </w:rPr>
      </w:pPr>
      <w:r>
        <w:rPr>
          <w:rFonts w:hint="eastAsia" w:cs="宋体" w:asciiTheme="minorEastAsia" w:hAnsiTheme="minorEastAsia" w:eastAsiaTheme="minorEastAsia"/>
          <w:b/>
          <w:bCs/>
          <w:sz w:val="20"/>
        </w:rPr>
        <w:t>会议室</w:t>
      </w:r>
    </w:p>
    <w:p>
      <w:pPr>
        <w:spacing w:line="240" w:lineRule="exact"/>
        <w:ind w:firstLine="7068" w:firstLineChars="3200"/>
        <w:rPr>
          <w:rFonts w:cs="宋体" w:asciiTheme="minorEastAsia" w:hAnsiTheme="minorEastAsia" w:eastAsiaTheme="minorEastAsia"/>
          <w:b/>
          <w:bCs/>
        </w:rPr>
      </w:pPr>
    </w:p>
    <w:p>
      <w:pPr>
        <w:spacing w:line="240" w:lineRule="exact"/>
        <w:ind w:firstLine="7068" w:firstLineChars="3200"/>
        <w:rPr>
          <w:rFonts w:cs="宋体" w:asciiTheme="minorEastAsia" w:hAnsiTheme="minorEastAsia" w:eastAsiaTheme="minorEastAsia"/>
          <w:b/>
          <w:bCs/>
        </w:rPr>
      </w:pPr>
    </w:p>
    <w:p>
      <w:pPr>
        <w:spacing w:line="240" w:lineRule="exact"/>
        <w:ind w:firstLine="7068" w:firstLineChars="3200"/>
        <w:rPr>
          <w:rFonts w:cs="宋体" w:asciiTheme="minorEastAsia" w:hAnsiTheme="minorEastAsia" w:eastAsiaTheme="minorEastAsia"/>
          <w:b/>
          <w:bCs/>
        </w:rPr>
      </w:pPr>
      <w:r>
        <w:rPr>
          <w:rFonts w:cs="宋体" w:asciiTheme="minorEastAsia" w:hAnsiTheme="minorEastAsia" w:eastAsiaTheme="minorEastAsia"/>
          <w:b/>
          <w:bCs/>
        </w:rPr>
        <w:drawing>
          <wp:anchor distT="0" distB="0" distL="114300" distR="114300" simplePos="0" relativeHeight="251662336" behindDoc="1" locked="0" layoutInCell="1" allowOverlap="1">
            <wp:simplePos x="0" y="0"/>
            <wp:positionH relativeFrom="column">
              <wp:posOffset>-561975</wp:posOffset>
            </wp:positionH>
            <wp:positionV relativeFrom="paragraph">
              <wp:posOffset>36830</wp:posOffset>
            </wp:positionV>
            <wp:extent cx="7496810" cy="3295650"/>
            <wp:effectExtent l="19050" t="0" r="8890" b="0"/>
            <wp:wrapNone/>
            <wp:docPr id="3" name="图片 12" descr="竞赛场地平面图_843-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descr="竞赛场地平面图_843-Model.jpg"/>
                    <pic:cNvPicPr>
                      <a:picLocks noChangeAspect="1" noChangeArrowheads="1"/>
                    </pic:cNvPicPr>
                  </pic:nvPicPr>
                  <pic:blipFill>
                    <a:blip r:embed="rId10" cstate="print"/>
                    <a:srcRect b="49500"/>
                    <a:stretch>
                      <a:fillRect/>
                    </a:stretch>
                  </pic:blipFill>
                  <pic:spPr>
                    <a:xfrm>
                      <a:off x="0" y="0"/>
                      <a:ext cx="7496810" cy="3295650"/>
                    </a:xfrm>
                    <a:prstGeom prst="rect">
                      <a:avLst/>
                    </a:prstGeom>
                    <a:noFill/>
                    <a:ln>
                      <a:noFill/>
                    </a:ln>
                  </pic:spPr>
                </pic:pic>
              </a:graphicData>
            </a:graphic>
          </wp:anchor>
        </w:drawing>
      </w:r>
    </w:p>
    <w:p>
      <w:pPr>
        <w:spacing w:line="240" w:lineRule="exact"/>
        <w:ind w:firstLine="2871" w:firstLineChars="1300"/>
        <w:rPr>
          <w:rFonts w:cs="宋体" w:asciiTheme="minorEastAsia" w:hAnsiTheme="minorEastAsia" w:eastAsiaTheme="minorEastAsia"/>
          <w:b/>
          <w:bCs/>
        </w:rPr>
      </w:pPr>
    </w:p>
    <w:p>
      <w:pPr>
        <w:spacing w:line="240" w:lineRule="exact"/>
        <w:rPr>
          <w:rFonts w:cs="宋体" w:asciiTheme="minorEastAsia" w:hAnsiTheme="minorEastAsia" w:eastAsiaTheme="minorEastAsia"/>
          <w:b/>
          <w:bCs/>
        </w:rPr>
      </w:pPr>
    </w:p>
    <w:p>
      <w:pPr>
        <w:spacing w:line="240" w:lineRule="exact"/>
        <w:ind w:firstLine="5455" w:firstLineChars="2470"/>
        <w:rPr>
          <w:rFonts w:cs="宋体" w:asciiTheme="minorEastAsia" w:hAnsiTheme="minorEastAsia" w:eastAsiaTheme="minorEastAsia"/>
          <w:b/>
          <w:bCs/>
        </w:rPr>
      </w:pPr>
      <w:r>
        <w:rPr>
          <w:rFonts w:hint="eastAsia" w:cs="宋体" w:asciiTheme="minorEastAsia" w:hAnsiTheme="minorEastAsia" w:eastAsiaTheme="minorEastAsia"/>
          <w:b/>
          <w:bCs/>
        </w:rPr>
        <w:t>竞赛观摩区</w:t>
      </w:r>
    </w:p>
    <w:p>
      <w:pPr>
        <w:ind w:firstLine="7043" w:firstLineChars="3200"/>
        <w:rPr>
          <w:rFonts w:ascii="宋体" w:hAnsi="宋体" w:cs="宋体"/>
          <w:b/>
          <w:bCs/>
        </w:rPr>
      </w:pPr>
    </w:p>
    <w:p>
      <w:pPr>
        <w:ind w:firstLine="4402" w:firstLineChars="2000"/>
        <w:rPr>
          <w:rFonts w:ascii="宋体" w:hAnsi="宋体" w:cs="宋体"/>
          <w:b/>
          <w:bCs/>
        </w:rPr>
      </w:pPr>
    </w:p>
    <w:p>
      <w:pPr>
        <w:ind w:firstLine="4897" w:firstLineChars="2225"/>
        <w:rPr>
          <w:rFonts w:ascii="宋体"/>
          <w:b/>
          <w:bCs/>
        </w:rPr>
      </w:pPr>
    </w:p>
    <w:p>
      <w:pPr>
        <w:rPr>
          <w:rFonts w:ascii="宋体"/>
          <w:b/>
          <w:bCs/>
        </w:rPr>
      </w:pPr>
    </w:p>
    <w:p>
      <w:pPr>
        <w:rPr>
          <w:rFonts w:ascii="宋体"/>
          <w:b/>
          <w:bCs/>
        </w:rPr>
      </w:pPr>
    </w:p>
    <w:p>
      <w:pPr>
        <w:spacing w:line="560" w:lineRule="exact"/>
        <w:rPr>
          <w:rFonts w:ascii="仿宋_GB2312" w:hAnsi="仿宋" w:eastAsia="仿宋_GB2312" w:cs="仿宋"/>
          <w:bCs/>
          <w:sz w:val="28"/>
          <w:szCs w:val="28"/>
        </w:rPr>
      </w:pP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九、技术平台</w:t>
      </w:r>
    </w:p>
    <w:p>
      <w:pPr>
        <w:spacing w:before="443" w:line="291" w:lineRule="exact"/>
        <w:ind w:left="120"/>
        <w:rPr>
          <w:rFonts w:asciiTheme="minorEastAsia" w:hAnsiTheme="minorEastAsia" w:eastAsiaTheme="minorEastAsia" w:cstheme="minorEastAsia"/>
          <w:color w:val="000000"/>
          <w:sz w:val="28"/>
        </w:rPr>
      </w:pPr>
      <w:r>
        <w:rPr>
          <w:rFonts w:hint="eastAsia" w:asciiTheme="minorEastAsia" w:hAnsiTheme="minorEastAsia" w:eastAsiaTheme="minorEastAsia" w:cstheme="minorEastAsia"/>
          <w:color w:val="000000"/>
          <w:spacing w:val="1"/>
          <w:sz w:val="28"/>
        </w:rPr>
        <w:t>（一）竞赛项目主要使用的器材和物品</w:t>
      </w:r>
    </w:p>
    <w:tbl>
      <w:tblPr>
        <w:tblStyle w:val="7"/>
        <w:tblW w:w="9468" w:type="dxa"/>
        <w:tblInd w:w="70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01"/>
        <w:gridCol w:w="3689"/>
        <w:gridCol w:w="467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7" w:hRule="atLeast"/>
        </w:trPr>
        <w:tc>
          <w:tcPr>
            <w:tcW w:w="1101" w:type="dxa"/>
          </w:tcPr>
          <w:p>
            <w:pPr>
              <w:pStyle w:val="15"/>
              <w:spacing w:before="81"/>
              <w:ind w:left="231" w:right="224"/>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3689" w:type="dxa"/>
          </w:tcPr>
          <w:p>
            <w:pPr>
              <w:pStyle w:val="15"/>
              <w:spacing w:before="81"/>
              <w:ind w:left="1226" w:right="1218"/>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名称</w:t>
            </w:r>
          </w:p>
        </w:tc>
        <w:tc>
          <w:tcPr>
            <w:tcW w:w="4678" w:type="dxa"/>
          </w:tcPr>
          <w:p>
            <w:pPr>
              <w:pStyle w:val="15"/>
              <w:spacing w:before="81"/>
              <w:ind w:left="1723" w:right="1714"/>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1101" w:type="dxa"/>
          </w:tcPr>
          <w:p>
            <w:pPr>
              <w:pStyle w:val="15"/>
              <w:spacing w:before="160"/>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689" w:type="dxa"/>
          </w:tcPr>
          <w:p>
            <w:pPr>
              <w:pStyle w:val="15"/>
              <w:spacing w:before="4"/>
              <w:rPr>
                <w:rFonts w:asciiTheme="minorEastAsia" w:hAnsiTheme="minorEastAsia" w:eastAsiaTheme="minorEastAsia" w:cstheme="minorEastAsia"/>
                <w:sz w:val="24"/>
              </w:rPr>
            </w:pPr>
            <w:r>
              <w:rPr>
                <w:rFonts w:hint="eastAsia" w:asciiTheme="minorEastAsia" w:hAnsiTheme="minorEastAsia" w:eastAsiaTheme="minorEastAsia" w:cstheme="minorEastAsia"/>
                <w:spacing w:val="-20"/>
                <w:sz w:val="24"/>
              </w:rPr>
              <w:t>多功能护理床</w:t>
            </w:r>
            <w:r>
              <w:rPr>
                <w:rFonts w:hint="eastAsia" w:asciiTheme="minorEastAsia" w:hAnsiTheme="minorEastAsia" w:eastAsiaTheme="minorEastAsia" w:cstheme="minorEastAsia"/>
                <w:sz w:val="24"/>
              </w:rPr>
              <w:t>（可以插床头卡）</w:t>
            </w:r>
          </w:p>
        </w:tc>
        <w:tc>
          <w:tcPr>
            <w:tcW w:w="4678" w:type="dxa"/>
          </w:tcPr>
          <w:p>
            <w:pPr>
              <w:pStyle w:val="15"/>
              <w:spacing w:before="1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可实现背部起身，腿部升起等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3" w:hRule="atLeast"/>
        </w:trPr>
        <w:tc>
          <w:tcPr>
            <w:tcW w:w="1101" w:type="dxa"/>
          </w:tcPr>
          <w:p>
            <w:pPr>
              <w:pStyle w:val="15"/>
              <w:spacing w:before="160"/>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689" w:type="dxa"/>
          </w:tcPr>
          <w:p>
            <w:pPr>
              <w:pStyle w:val="15"/>
              <w:spacing w:before="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床上用品</w:t>
            </w:r>
          </w:p>
        </w:tc>
        <w:tc>
          <w:tcPr>
            <w:tcW w:w="4678" w:type="dxa"/>
          </w:tcPr>
          <w:p>
            <w:pPr>
              <w:pStyle w:val="15"/>
              <w:spacing w:before="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床单 ，被套</w:t>
            </w:r>
          </w:p>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枕套 45*70cm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枕头</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45*70cm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棉被（薄）</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150*200cm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床头柜</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ABS 材质。能与床搭配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床尾椅</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有靠背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4" w:line="288"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SP（或演职员）衣服</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XXXL，前开襟纯棉睡衣及病号服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双层治疗护理车</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备医用垃圾和生活垃圾桶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7"/>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治疗盘（或服药盘）</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不锈钢 40*30*3.3cm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弯盘</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17.8*10.4*2.5cm 左右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医用免洗洗手液</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500 毫升</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记录笔</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黑色 0.5mm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照护记录单</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A4 纸张</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记录夹</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315*226mm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3" w:hRule="atLeast"/>
        </w:trPr>
        <w:tc>
          <w:tcPr>
            <w:tcW w:w="1101" w:type="dxa"/>
          </w:tcPr>
          <w:p>
            <w:pPr>
              <w:pStyle w:val="15"/>
              <w:spacing w:before="159"/>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w:t>
            </w:r>
          </w:p>
        </w:tc>
        <w:tc>
          <w:tcPr>
            <w:tcW w:w="3689" w:type="dxa"/>
          </w:tcPr>
          <w:p>
            <w:pPr>
              <w:pStyle w:val="15"/>
              <w:spacing w:before="15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腕带</w:t>
            </w:r>
          </w:p>
        </w:tc>
        <w:tc>
          <w:tcPr>
            <w:tcW w:w="4678" w:type="dxa"/>
          </w:tcPr>
          <w:p>
            <w:pPr>
              <w:pStyle w:val="15"/>
              <w:spacing w:before="3"/>
              <w:ind w:right="-29"/>
              <w:rPr>
                <w:rFonts w:asciiTheme="minorEastAsia" w:hAnsiTheme="minorEastAsia" w:eastAsiaTheme="minorEastAsia" w:cstheme="minorEastAsia"/>
                <w:sz w:val="24"/>
              </w:rPr>
            </w:pPr>
            <w:r>
              <w:rPr>
                <w:rFonts w:hint="eastAsia" w:asciiTheme="minorEastAsia" w:hAnsiTheme="minorEastAsia" w:eastAsiaTheme="minorEastAsia" w:cstheme="minorEastAsia"/>
                <w:spacing w:val="-15"/>
                <w:sz w:val="24"/>
              </w:rPr>
              <w:t>有姓名、性别、年龄、住院号、科室、</w:t>
            </w:r>
          </w:p>
          <w:p>
            <w:pPr>
              <w:pStyle w:val="15"/>
              <w:spacing w:before="5"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入院日期</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3" w:hRule="atLeast"/>
        </w:trPr>
        <w:tc>
          <w:tcPr>
            <w:tcW w:w="1101" w:type="dxa"/>
          </w:tcPr>
          <w:p>
            <w:pPr>
              <w:pStyle w:val="15"/>
              <w:spacing w:before="159"/>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w:t>
            </w:r>
          </w:p>
        </w:tc>
        <w:tc>
          <w:tcPr>
            <w:tcW w:w="3689" w:type="dxa"/>
          </w:tcPr>
          <w:p>
            <w:pPr>
              <w:pStyle w:val="15"/>
              <w:spacing w:before="15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床头卡</w:t>
            </w:r>
          </w:p>
        </w:tc>
        <w:tc>
          <w:tcPr>
            <w:tcW w:w="4678" w:type="dxa"/>
          </w:tcPr>
          <w:p>
            <w:pPr>
              <w:pStyle w:val="15"/>
              <w:spacing w:before="3"/>
              <w:ind w:right="-29"/>
              <w:rPr>
                <w:rFonts w:asciiTheme="minorEastAsia" w:hAnsiTheme="minorEastAsia" w:eastAsiaTheme="minorEastAsia" w:cstheme="minorEastAsia"/>
                <w:sz w:val="24"/>
              </w:rPr>
            </w:pPr>
            <w:r>
              <w:rPr>
                <w:rFonts w:hint="eastAsia" w:asciiTheme="minorEastAsia" w:hAnsiTheme="minorEastAsia" w:eastAsiaTheme="minorEastAsia" w:cstheme="minorEastAsia"/>
                <w:spacing w:val="-16"/>
                <w:sz w:val="24"/>
              </w:rPr>
              <w:t>有床号、住院号、姓名、年龄、性别、</w:t>
            </w:r>
          </w:p>
          <w:p>
            <w:pPr>
              <w:pStyle w:val="15"/>
              <w:spacing w:before="4"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入院日期、护理级别</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血压计</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台式水银血压计</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听诊器</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1101" w:type="dxa"/>
          </w:tcPr>
          <w:p>
            <w:pPr>
              <w:pStyle w:val="15"/>
              <w:spacing w:before="160"/>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w:t>
            </w:r>
          </w:p>
        </w:tc>
        <w:tc>
          <w:tcPr>
            <w:tcW w:w="3689" w:type="dxa"/>
          </w:tcPr>
          <w:p>
            <w:pPr>
              <w:pStyle w:val="15"/>
              <w:spacing w:before="1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轮椅</w:t>
            </w:r>
          </w:p>
        </w:tc>
        <w:tc>
          <w:tcPr>
            <w:tcW w:w="4678" w:type="dxa"/>
          </w:tcPr>
          <w:p>
            <w:pPr>
              <w:pStyle w:val="15"/>
              <w:tabs>
                <w:tab w:val="left" w:pos="3620"/>
              </w:tabs>
              <w:spacing w:before="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刹车类型</w:t>
            </w:r>
            <w:r>
              <w:rPr>
                <w:rFonts w:hint="eastAsia" w:asciiTheme="minorEastAsia" w:hAnsiTheme="minorEastAsia" w:eastAsiaTheme="minorEastAsia" w:cstheme="minorEastAsia"/>
                <w:spacing w:val="-29"/>
                <w:sz w:val="24"/>
              </w:rPr>
              <w:t>：</w:t>
            </w:r>
            <w:r>
              <w:rPr>
                <w:rFonts w:hint="eastAsia" w:asciiTheme="minorEastAsia" w:hAnsiTheme="minorEastAsia" w:eastAsiaTheme="minorEastAsia" w:cstheme="minorEastAsia"/>
                <w:sz w:val="24"/>
              </w:rPr>
              <w:t>手刹</w:t>
            </w:r>
            <w:r>
              <w:rPr>
                <w:rFonts w:hint="eastAsia" w:asciiTheme="minorEastAsia" w:hAnsiTheme="minorEastAsia" w:eastAsiaTheme="minorEastAsia" w:cstheme="minorEastAsia"/>
                <w:spacing w:val="-29"/>
                <w:sz w:val="24"/>
              </w:rPr>
              <w:t>；</w:t>
            </w:r>
            <w:r>
              <w:rPr>
                <w:rFonts w:hint="eastAsia" w:asciiTheme="minorEastAsia" w:hAnsiTheme="minorEastAsia" w:eastAsiaTheme="minorEastAsia" w:cstheme="minorEastAsia"/>
                <w:sz w:val="24"/>
              </w:rPr>
              <w:t>材质</w:t>
            </w:r>
            <w:r>
              <w:rPr>
                <w:rFonts w:hint="eastAsia" w:asciiTheme="minorEastAsia" w:hAnsiTheme="minorEastAsia" w:eastAsiaTheme="minorEastAsia" w:cstheme="minorEastAsia"/>
                <w:spacing w:val="-29"/>
                <w:sz w:val="24"/>
              </w:rPr>
              <w:t>：</w:t>
            </w:r>
            <w:r>
              <w:rPr>
                <w:rFonts w:hint="eastAsia" w:asciiTheme="minorEastAsia" w:hAnsiTheme="minorEastAsia" w:eastAsiaTheme="minorEastAsia" w:cstheme="minorEastAsia"/>
                <w:sz w:val="24"/>
              </w:rPr>
              <w:t>铝合金可折叠</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毛毯</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120*150cm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楔形垫</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46*25*14.5cm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大号软枕</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74*48cm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23</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中号软枕</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50*35cm 左右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24</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小号软枕</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30*20cm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2" w:hRule="atLeast"/>
        </w:trPr>
        <w:tc>
          <w:tcPr>
            <w:tcW w:w="1101" w:type="dxa"/>
          </w:tcPr>
          <w:p>
            <w:pPr>
              <w:pStyle w:val="15"/>
              <w:spacing w:before="13" w:line="29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w:t>
            </w:r>
          </w:p>
        </w:tc>
        <w:tc>
          <w:tcPr>
            <w:tcW w:w="3689" w:type="dxa"/>
          </w:tcPr>
          <w:p>
            <w:pPr>
              <w:pStyle w:val="15"/>
              <w:spacing w:before="13" w:line="29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水杯</w:t>
            </w:r>
          </w:p>
        </w:tc>
        <w:tc>
          <w:tcPr>
            <w:tcW w:w="4678" w:type="dxa"/>
          </w:tcPr>
          <w:p>
            <w:pPr>
              <w:pStyle w:val="15"/>
              <w:spacing w:before="13" w:line="29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塑料</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小毛巾</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25*25cm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痰盂</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28</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污物杯</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在杯子外标注“污物杯”名称</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29</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一次性护理垫</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80*60cm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0" w:hRule="atLeast"/>
        </w:trPr>
        <w:tc>
          <w:tcPr>
            <w:tcW w:w="1101" w:type="dxa"/>
          </w:tcPr>
          <w:p>
            <w:pPr>
              <w:pStyle w:val="15"/>
              <w:spacing w:before="3" w:line="287"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w:t>
            </w:r>
          </w:p>
        </w:tc>
        <w:tc>
          <w:tcPr>
            <w:tcW w:w="3689" w:type="dxa"/>
          </w:tcPr>
          <w:p>
            <w:pPr>
              <w:pStyle w:val="15"/>
              <w:spacing w:before="3" w:line="287"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塑料吸管</w:t>
            </w:r>
          </w:p>
        </w:tc>
        <w:tc>
          <w:tcPr>
            <w:tcW w:w="4678" w:type="dxa"/>
          </w:tcPr>
          <w:p>
            <w:pPr>
              <w:pStyle w:val="15"/>
              <w:spacing w:before="3" w:line="287"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 只装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31</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屏风</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180cm*200cm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留取标本盒</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餐巾纸（纸抽）</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粒粒橙</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绷带</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8cm*4.5m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36</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纱布（块）</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37</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医用胶布</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纸质，防过敏，宽 0.9cm 左右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38</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剪刀</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中号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39</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救护用三角巾</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90*90*127cm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一次性口罩</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独立包装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碘伏</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100ml/瓶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棉签</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个/包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43</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棉垫</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平方厘米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44</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康复训练步梯</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332 ㎝×80 ㎝×（134～166）㎝</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1101" w:type="dxa"/>
          </w:tcPr>
          <w:p>
            <w:pPr>
              <w:pStyle w:val="15"/>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w:t>
            </w:r>
          </w:p>
        </w:tc>
        <w:tc>
          <w:tcPr>
            <w:tcW w:w="3689" w:type="dxa"/>
          </w:tcPr>
          <w:p>
            <w:pPr>
              <w:pStyle w:val="15"/>
              <w:spacing w:before="158"/>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四脚拐杖</w:t>
            </w:r>
          </w:p>
        </w:tc>
        <w:tc>
          <w:tcPr>
            <w:tcW w:w="4678" w:type="dxa"/>
          </w:tcPr>
          <w:p>
            <w:pPr>
              <w:pStyle w:val="1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加厚防滑，高度可调，铝合金四脚拐</w:t>
            </w:r>
          </w:p>
          <w:p>
            <w:pPr>
              <w:pStyle w:val="15"/>
              <w:spacing w:before="5"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杖，高度调节范围：79-94cm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46</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康复训练保护腰带</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可调试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47</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医嘱执行单</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A4 纸张、定制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48</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开口水杯</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3" w:hRule="atLeast"/>
        </w:trPr>
        <w:tc>
          <w:tcPr>
            <w:tcW w:w="1101" w:type="dxa"/>
          </w:tcPr>
          <w:p>
            <w:pPr>
              <w:pStyle w:val="15"/>
              <w:spacing w:before="3"/>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49</w:t>
            </w:r>
          </w:p>
        </w:tc>
        <w:tc>
          <w:tcPr>
            <w:tcW w:w="3689" w:type="dxa"/>
          </w:tcPr>
          <w:p>
            <w:pPr>
              <w:pStyle w:val="15"/>
              <w:spacing w:before="15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药杯</w:t>
            </w:r>
          </w:p>
        </w:tc>
        <w:tc>
          <w:tcPr>
            <w:tcW w:w="4678" w:type="dxa"/>
          </w:tcPr>
          <w:p>
            <w:pPr>
              <w:pStyle w:val="15"/>
              <w:spacing w:before="3"/>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带盖，上口直径 3.5cm，底部直径</w:t>
            </w:r>
          </w:p>
          <w:p>
            <w:pPr>
              <w:pStyle w:val="15"/>
              <w:spacing w:before="4"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3.2cm,高度 2.5cm,约 15ml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50</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药物</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带标示小药瓶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餐巾</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34*72cm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汤匙</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20.4*4.6cm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音响设置</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音响模型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54</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录音机</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录音机模型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55</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超声波雾化吸入器</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56</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水温计</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常用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57</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锐器盒</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圆形</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58</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一次性吸氧管</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单腔/双腔</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59</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扳手</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寸活动扳手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3" w:hRule="atLeast"/>
        </w:trPr>
        <w:tc>
          <w:tcPr>
            <w:tcW w:w="1101" w:type="dxa"/>
          </w:tcPr>
          <w:p>
            <w:pPr>
              <w:pStyle w:val="15"/>
              <w:spacing w:before="3"/>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60</w:t>
            </w:r>
          </w:p>
        </w:tc>
        <w:tc>
          <w:tcPr>
            <w:tcW w:w="3689" w:type="dxa"/>
          </w:tcPr>
          <w:p>
            <w:pPr>
              <w:pStyle w:val="15"/>
              <w:spacing w:before="3"/>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管道氧气装置或氧气筒及</w:t>
            </w:r>
          </w:p>
          <w:p>
            <w:pPr>
              <w:pStyle w:val="15"/>
              <w:spacing w:before="5"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氧气压力装置</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61</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氧气筒标识牌</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62</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湿化瓶</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63</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小餐桌</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YU610 移动餐桌</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64</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餐盘</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不锈钢，直径：5.5-6.5 英寸</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4"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65</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餐碗</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不锈钢，直径 14.8cm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66</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筷子</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竹筷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67</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浴巾</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70*150cm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68</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毛巾</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34*72cm 及 25*25cm 左右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69</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敷布</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25*25cm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0" w:hRule="atLeast"/>
        </w:trPr>
        <w:tc>
          <w:tcPr>
            <w:tcW w:w="1101" w:type="dxa"/>
          </w:tcPr>
          <w:p>
            <w:pPr>
              <w:pStyle w:val="15"/>
              <w:spacing w:line="288" w:lineRule="exact"/>
              <w:ind w:left="37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70</w:t>
            </w:r>
          </w:p>
        </w:tc>
        <w:tc>
          <w:tcPr>
            <w:tcW w:w="3689" w:type="dxa"/>
          </w:tcPr>
          <w:p>
            <w:pPr>
              <w:pStyle w:val="15"/>
              <w:spacing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量杯</w:t>
            </w:r>
          </w:p>
        </w:tc>
        <w:tc>
          <w:tcPr>
            <w:tcW w:w="4678" w:type="dxa"/>
          </w:tcPr>
          <w:p>
            <w:pPr>
              <w:pStyle w:val="15"/>
              <w:spacing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1000ml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71</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凡士林油</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400ml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72</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大镊子</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26.5cm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73</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床单</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150*260cm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74</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扫床刷</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75</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医用扫床刷套</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10*25cm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76</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服药本</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77</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小药卡</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78</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保温瓶</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1500ml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79</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输液器</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80</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连体裤袜（黑色）</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玩具</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4" w:hRule="atLeast"/>
        </w:trPr>
        <w:tc>
          <w:tcPr>
            <w:tcW w:w="1101" w:type="dxa"/>
          </w:tcPr>
          <w:p>
            <w:pPr>
              <w:pStyle w:val="15"/>
              <w:spacing w:before="3"/>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82</w:t>
            </w:r>
          </w:p>
        </w:tc>
        <w:tc>
          <w:tcPr>
            <w:tcW w:w="3689" w:type="dxa"/>
          </w:tcPr>
          <w:p>
            <w:pPr>
              <w:pStyle w:val="15"/>
              <w:spacing w:before="3"/>
              <w:rPr>
                <w:rFonts w:asciiTheme="minorEastAsia" w:hAnsiTheme="minorEastAsia" w:eastAsiaTheme="minorEastAsia" w:cstheme="minorEastAsia"/>
                <w:sz w:val="24"/>
              </w:rPr>
            </w:pPr>
            <w:r>
              <w:rPr>
                <w:rFonts w:hint="eastAsia" w:asciiTheme="minorEastAsia" w:hAnsiTheme="minorEastAsia" w:eastAsiaTheme="minorEastAsia" w:cstheme="minorEastAsia"/>
                <w:spacing w:val="-11"/>
                <w:sz w:val="24"/>
              </w:rPr>
              <w:t>认知卡片</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pacing w:val="-12"/>
                <w:sz w:val="24"/>
              </w:rPr>
              <w:t>数字、植物、动</w:t>
            </w:r>
          </w:p>
          <w:p>
            <w:pPr>
              <w:pStyle w:val="15"/>
              <w:spacing w:before="5"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物卡片）</w:t>
            </w:r>
          </w:p>
        </w:tc>
        <w:tc>
          <w:tcPr>
            <w:tcW w:w="4678" w:type="dxa"/>
          </w:tcPr>
          <w:p>
            <w:pPr>
              <w:pStyle w:val="15"/>
              <w:spacing w:before="159"/>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标准</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83</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人民币（硬币）</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 角、5 角、1 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84</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一次性中单</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120*80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85</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镜子</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单面装饰镜 长宽约 20cm-30cm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86</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单词卡片</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 张/盒</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23" w:hRule="atLeast"/>
        </w:trPr>
        <w:tc>
          <w:tcPr>
            <w:tcW w:w="1101" w:type="dxa"/>
          </w:tcPr>
          <w:p>
            <w:pPr>
              <w:pStyle w:val="15"/>
              <w:spacing w:before="4"/>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87</w:t>
            </w:r>
          </w:p>
        </w:tc>
        <w:tc>
          <w:tcPr>
            <w:tcW w:w="3689" w:type="dxa"/>
          </w:tcPr>
          <w:p>
            <w:pPr>
              <w:pStyle w:val="15"/>
              <w:spacing w:before="4"/>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图卡片及与文字配套的实</w:t>
            </w:r>
          </w:p>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物</w:t>
            </w:r>
          </w:p>
        </w:tc>
        <w:tc>
          <w:tcPr>
            <w:tcW w:w="4678" w:type="dxa"/>
          </w:tcPr>
          <w:p>
            <w:pPr>
              <w:pStyle w:val="15"/>
              <w:spacing w:before="1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 张/盒</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88</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软垫（软枕）</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45*70cm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89</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脸盆</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内径 31cm 可塑料</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90</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滴耳液（氧氟沙星）</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 毫升</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91</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消毒干棉球</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92</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手电筒</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98*24*20mm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93</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清洁体温计存放盒</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370mm*275*100mm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94</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体温计消毒盒及消毒液</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750ml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95</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腋温计</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水银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96</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烫伤膏</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97</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固定电话机</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98</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靠背垫</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20*20 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99</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带盖水杯</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200-300ml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100</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一次性酒精棉片</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小馒头、饼干等</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穿衣镜</w:t>
            </w:r>
          </w:p>
        </w:tc>
        <w:tc>
          <w:tcPr>
            <w:tcW w:w="4678"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高：200cm，宽：80cm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简易角度尺</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104</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床旁靠背椅</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家用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105</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一次性注射器</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30-50ml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106</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治疗碗</w:t>
            </w:r>
          </w:p>
        </w:tc>
        <w:tc>
          <w:tcPr>
            <w:tcW w:w="4678"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不锈钢 14-16cm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107</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色彩笔</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108</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海报纸</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57*86cm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109</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沙发</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单人沙发</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110</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圆桌</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0" w:hRule="atLeast"/>
        </w:trPr>
        <w:tc>
          <w:tcPr>
            <w:tcW w:w="1101" w:type="dxa"/>
          </w:tcPr>
          <w:p>
            <w:pPr>
              <w:pStyle w:val="15"/>
              <w:spacing w:before="4" w:line="286"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w:t>
            </w:r>
          </w:p>
        </w:tc>
        <w:tc>
          <w:tcPr>
            <w:tcW w:w="3689" w:type="dxa"/>
          </w:tcPr>
          <w:p>
            <w:pPr>
              <w:pStyle w:val="15"/>
              <w:spacing w:before="4" w:line="286"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桌布</w:t>
            </w:r>
          </w:p>
        </w:tc>
        <w:tc>
          <w:tcPr>
            <w:tcW w:w="4678" w:type="dxa"/>
          </w:tcPr>
          <w:p>
            <w:pPr>
              <w:pStyle w:val="15"/>
              <w:spacing w:before="4" w:line="286"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与桌子相配</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112</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花</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可塑料</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113</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花瓶</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114</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凳子</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115</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医药箱</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35*20*22cm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116</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红糖</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普通</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117</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快速血糖仪</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118</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心肺复苏模型</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119</w:t>
            </w:r>
          </w:p>
        </w:tc>
        <w:tc>
          <w:tcPr>
            <w:tcW w:w="3689" w:type="dxa"/>
          </w:tcPr>
          <w:p>
            <w:pPr>
              <w:pStyle w:val="15"/>
              <w:spacing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指夹式脉搏血氧仪</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120</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纸尿裤</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成人型</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line="290"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w:t>
            </w:r>
          </w:p>
        </w:tc>
        <w:tc>
          <w:tcPr>
            <w:tcW w:w="3689"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手指头仿真软质模型</w:t>
            </w:r>
          </w:p>
        </w:tc>
        <w:tc>
          <w:tcPr>
            <w:tcW w:w="4678" w:type="dxa"/>
          </w:tcPr>
          <w:p>
            <w:pPr>
              <w:pStyle w:val="15"/>
              <w:spacing w:line="29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大号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4"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122</w:t>
            </w:r>
          </w:p>
        </w:tc>
        <w:tc>
          <w:tcPr>
            <w:tcW w:w="3689"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护理车</w:t>
            </w:r>
          </w:p>
        </w:tc>
        <w:tc>
          <w:tcPr>
            <w:tcW w:w="4678" w:type="dxa"/>
          </w:tcPr>
          <w:p>
            <w:pPr>
              <w:pStyle w:val="15"/>
              <w:spacing w:before="4"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常规</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1" w:hRule="atLeast"/>
        </w:trPr>
        <w:tc>
          <w:tcPr>
            <w:tcW w:w="1101" w:type="dxa"/>
          </w:tcPr>
          <w:p>
            <w:pPr>
              <w:pStyle w:val="15"/>
              <w:spacing w:before="3" w:line="288"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123</w:t>
            </w:r>
          </w:p>
        </w:tc>
        <w:tc>
          <w:tcPr>
            <w:tcW w:w="3689" w:type="dxa"/>
          </w:tcPr>
          <w:p>
            <w:pPr>
              <w:pStyle w:val="15"/>
              <w:spacing w:before="3" w:line="288"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老年人跌倒风险评估表</w:t>
            </w:r>
          </w:p>
        </w:tc>
        <w:tc>
          <w:tcPr>
            <w:tcW w:w="4678" w:type="dxa"/>
          </w:tcPr>
          <w:p>
            <w:pPr>
              <w:pStyle w:val="15"/>
              <w:spacing w:before="0"/>
              <w:ind w:left="0"/>
              <w:rPr>
                <w:rFonts w:asciiTheme="minorEastAsia" w:hAnsiTheme="minorEastAsia" w:eastAsiaTheme="minorEastAsia" w:cstheme="minorEastAsi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101" w:type="dxa"/>
          </w:tcPr>
          <w:p>
            <w:pPr>
              <w:pStyle w:val="15"/>
              <w:spacing w:before="3" w:line="289" w:lineRule="exact"/>
              <w:ind w:left="231" w:right="224"/>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w:t>
            </w:r>
          </w:p>
        </w:tc>
        <w:tc>
          <w:tcPr>
            <w:tcW w:w="3689"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广泛性焦虑障碍量表</w:t>
            </w:r>
          </w:p>
        </w:tc>
        <w:tc>
          <w:tcPr>
            <w:tcW w:w="4678" w:type="dxa"/>
          </w:tcPr>
          <w:p>
            <w:pPr>
              <w:pStyle w:val="15"/>
              <w:spacing w:before="3" w:line="289"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见附件</w:t>
            </w:r>
          </w:p>
        </w:tc>
      </w:tr>
    </w:tbl>
    <w:p>
      <w:pPr>
        <w:spacing w:before="173" w:line="449" w:lineRule="exact"/>
        <w:ind w:firstLine="562" w:firstLineChars="200"/>
        <w:jc w:val="center"/>
        <w:rPr>
          <w:rFonts w:asciiTheme="minorEastAsia" w:hAnsiTheme="minorEastAsia" w:eastAsiaTheme="minorEastAsia" w:cstheme="minorEastAsia"/>
          <w:b/>
          <w:color w:val="000000"/>
          <w:sz w:val="28"/>
          <w:szCs w:val="28"/>
        </w:rPr>
      </w:pP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十、成绩评定</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（一）裁判评分方法</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本赛项评分方法为过程评分，分为测量和评判两类。凡需要采用主观描述进行的评价为评判（Judgement）评分，凡可采用客观数据表述的评价为测量(Measurement)评分。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1.评判评分（J）</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评分方式：现场裁判小组裁决一个模块的三个部分。在评判评分中，裁判各自单独评分。评分结果是 0到3级，最后给予的分数是根据裁判评分结果的平均数计算得出。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裁判相互间分差必须小于等于 1 分，否则需要给出确切理由并在裁判组长或裁判长的监督下进行调分。0 至 3 级评分与行业标准的关系如下：</w:t>
      </w:r>
    </w:p>
    <w:p>
      <w:pPr>
        <w:pStyle w:val="12"/>
        <w:numPr>
          <w:ilvl w:val="0"/>
          <w:numId w:val="1"/>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0 表现各方面均低于行业标准，包括本评分项目未完成；</w:t>
      </w:r>
    </w:p>
    <w:p>
      <w:pPr>
        <w:pStyle w:val="12"/>
        <w:numPr>
          <w:ilvl w:val="0"/>
          <w:numId w:val="1"/>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表现符合行业标准；</w:t>
      </w:r>
    </w:p>
    <w:p>
      <w:pPr>
        <w:pStyle w:val="12"/>
        <w:numPr>
          <w:ilvl w:val="0"/>
          <w:numId w:val="1"/>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w:t>
      </w:r>
      <w:r>
        <w:rPr>
          <w:rFonts w:hint="eastAsia" w:asciiTheme="minorEastAsia" w:hAnsiTheme="minorEastAsia" w:eastAsiaTheme="minorEastAsia" w:cstheme="minorEastAsia"/>
          <w:color w:val="000000"/>
          <w:sz w:val="28"/>
          <w:szCs w:val="28"/>
        </w:rPr>
        <w:tab/>
      </w:r>
      <w:r>
        <w:rPr>
          <w:rFonts w:hint="eastAsia" w:asciiTheme="minorEastAsia" w:hAnsiTheme="minorEastAsia" w:eastAsiaTheme="minorEastAsia" w:cstheme="minorEastAsia"/>
          <w:color w:val="000000"/>
          <w:sz w:val="28"/>
          <w:szCs w:val="28"/>
        </w:rPr>
        <w:t>表现达到并在特定方面超过行业标准；</w:t>
      </w:r>
    </w:p>
    <w:p>
      <w:pPr>
        <w:pStyle w:val="12"/>
        <w:numPr>
          <w:ilvl w:val="0"/>
          <w:numId w:val="1"/>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w:t>
      </w:r>
      <w:r>
        <w:rPr>
          <w:rFonts w:hint="eastAsia" w:asciiTheme="minorEastAsia" w:hAnsiTheme="minorEastAsia" w:eastAsiaTheme="minorEastAsia" w:cstheme="minorEastAsia"/>
          <w:color w:val="000000"/>
          <w:sz w:val="28"/>
          <w:szCs w:val="28"/>
        </w:rPr>
        <w:tab/>
      </w:r>
      <w:r>
        <w:rPr>
          <w:rFonts w:hint="eastAsia" w:asciiTheme="minorEastAsia" w:hAnsiTheme="minorEastAsia" w:eastAsiaTheme="minorEastAsia" w:cstheme="minorEastAsia"/>
          <w:color w:val="000000"/>
          <w:sz w:val="28"/>
          <w:szCs w:val="28"/>
        </w:rPr>
        <w:t>表现完成超出行业标准，并被评为优秀或杰出。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2.测量评分（M）</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评分方式：三位现场执裁裁判作为一个裁判小组裁决一个模块的三个部分。在测量评分中，三位裁判共同按评分标准要求进行赋分。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测量评分分数：</w:t>
      </w:r>
    </w:p>
    <w:p>
      <w:pPr>
        <w:pStyle w:val="12"/>
        <w:numPr>
          <w:ilvl w:val="0"/>
          <w:numId w:val="2"/>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达到标准——满分</w:t>
      </w:r>
    </w:p>
    <w:p>
      <w:pPr>
        <w:pStyle w:val="12"/>
        <w:numPr>
          <w:ilvl w:val="0"/>
          <w:numId w:val="2"/>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达到部分标准——部分分数</w:t>
      </w:r>
    </w:p>
    <w:p>
      <w:pPr>
        <w:pStyle w:val="12"/>
        <w:numPr>
          <w:ilvl w:val="0"/>
          <w:numId w:val="2"/>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未达到标准——零分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（二）成绩产生方法</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每位选手成绩由四个模块成绩之和构成。每个模块成绩由测量评分成绩和评判评分之和构成。</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1.评分标准主要内容</w:t>
      </w:r>
    </w:p>
    <w:p>
      <w:pPr>
        <w:pStyle w:val="2"/>
        <w:spacing w:before="4"/>
        <w:ind w:left="0"/>
        <w:rPr>
          <w:rFonts w:asciiTheme="minorEastAsia" w:hAnsiTheme="minorEastAsia" w:eastAsiaTheme="minorEastAsia" w:cstheme="minorEastAsia"/>
          <w:b/>
          <w:sz w:val="10"/>
        </w:rPr>
      </w:pPr>
    </w:p>
    <w:tbl>
      <w:tblPr>
        <w:tblStyle w:val="14"/>
        <w:tblW w:w="0" w:type="auto"/>
        <w:tblInd w:w="5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5"/>
        <w:gridCol w:w="1391"/>
        <w:gridCol w:w="54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77" w:hRule="atLeast"/>
        </w:trPr>
        <w:tc>
          <w:tcPr>
            <w:tcW w:w="1425" w:type="dxa"/>
          </w:tcPr>
          <w:p>
            <w:pPr>
              <w:pStyle w:val="15"/>
              <w:spacing w:before="0"/>
              <w:ind w:left="0"/>
              <w:rPr>
                <w:rFonts w:asciiTheme="minorEastAsia" w:hAnsiTheme="minorEastAsia" w:eastAsiaTheme="minorEastAsia" w:cstheme="minorEastAsia"/>
                <w:b/>
                <w:sz w:val="30"/>
                <w:lang w:eastAsia="en-US"/>
              </w:rPr>
            </w:pPr>
          </w:p>
          <w:p>
            <w:pPr>
              <w:pStyle w:val="15"/>
              <w:spacing w:before="0"/>
              <w:ind w:left="110"/>
              <w:rPr>
                <w:rFonts w:asciiTheme="minorEastAsia" w:hAnsiTheme="minorEastAsia" w:eastAsiaTheme="minorEastAsia" w:cstheme="minorEastAsia"/>
                <w:b/>
                <w:sz w:val="24"/>
                <w:lang w:eastAsia="en-US"/>
              </w:rPr>
            </w:pPr>
            <w:r>
              <w:rPr>
                <w:rFonts w:hint="eastAsia" w:asciiTheme="minorEastAsia" w:hAnsiTheme="minorEastAsia" w:eastAsiaTheme="minorEastAsia" w:cstheme="minorEastAsia"/>
                <w:b/>
                <w:sz w:val="24"/>
                <w:lang w:eastAsia="en-US"/>
              </w:rPr>
              <w:t>子标准名称</w:t>
            </w:r>
          </w:p>
        </w:tc>
        <w:tc>
          <w:tcPr>
            <w:tcW w:w="1391" w:type="dxa"/>
          </w:tcPr>
          <w:p>
            <w:pPr>
              <w:pStyle w:val="15"/>
              <w:spacing w:before="73" w:line="242" w:lineRule="auto"/>
              <w:ind w:left="214" w:right="201"/>
              <w:jc w:val="both"/>
              <w:rPr>
                <w:rFonts w:asciiTheme="minorEastAsia" w:hAnsiTheme="minorEastAsia" w:eastAsiaTheme="minorEastAsia" w:cstheme="minorEastAsia"/>
                <w:b/>
                <w:sz w:val="24"/>
                <w:lang w:eastAsia="zh-CN"/>
              </w:rPr>
            </w:pPr>
            <w:r>
              <w:rPr>
                <w:rFonts w:hint="eastAsia" w:asciiTheme="minorEastAsia" w:hAnsiTheme="minorEastAsia" w:eastAsiaTheme="minorEastAsia" w:cstheme="minorEastAsia"/>
                <w:b/>
                <w:sz w:val="24"/>
                <w:lang w:eastAsia="zh-CN"/>
              </w:rPr>
              <w:t>评分类型M=测量， J=评判</w:t>
            </w:r>
          </w:p>
        </w:tc>
        <w:tc>
          <w:tcPr>
            <w:tcW w:w="5433" w:type="dxa"/>
          </w:tcPr>
          <w:p>
            <w:pPr>
              <w:pStyle w:val="15"/>
              <w:spacing w:before="0"/>
              <w:ind w:left="0"/>
              <w:rPr>
                <w:rFonts w:asciiTheme="minorEastAsia" w:hAnsiTheme="minorEastAsia" w:eastAsiaTheme="minorEastAsia" w:cstheme="minorEastAsia"/>
                <w:b/>
                <w:sz w:val="30"/>
                <w:lang w:eastAsia="zh-CN"/>
              </w:rPr>
            </w:pPr>
          </w:p>
          <w:p>
            <w:pPr>
              <w:pStyle w:val="15"/>
              <w:spacing w:before="0"/>
              <w:ind w:left="1975" w:right="1961"/>
              <w:jc w:val="center"/>
              <w:rPr>
                <w:rFonts w:asciiTheme="minorEastAsia" w:hAnsiTheme="minorEastAsia" w:eastAsiaTheme="minorEastAsia" w:cstheme="minorEastAsia"/>
                <w:b/>
                <w:sz w:val="24"/>
                <w:lang w:eastAsia="en-US"/>
              </w:rPr>
            </w:pPr>
            <w:r>
              <w:rPr>
                <w:rFonts w:hint="eastAsia" w:asciiTheme="minorEastAsia" w:hAnsiTheme="minorEastAsia" w:eastAsiaTheme="minorEastAsia" w:cstheme="minorEastAsia"/>
                <w:b/>
                <w:sz w:val="24"/>
                <w:lang w:eastAsia="en-US"/>
              </w:rPr>
              <w:t>评分项目描述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1425" w:type="dxa"/>
            <w:vMerge w:val="restart"/>
          </w:tcPr>
          <w:p>
            <w:pPr>
              <w:pStyle w:val="15"/>
              <w:spacing w:before="3"/>
              <w:ind w:left="108"/>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照护计划</w:t>
            </w:r>
          </w:p>
          <w:p>
            <w:pPr>
              <w:pStyle w:val="15"/>
              <w:spacing w:before="23"/>
              <w:ind w:left="317"/>
              <w:rPr>
                <w:rFonts w:asciiTheme="minorEastAsia" w:hAnsiTheme="minorEastAsia" w:eastAsiaTheme="minorEastAsia" w:cstheme="minorEastAsia"/>
                <w:sz w:val="21"/>
                <w:lang w:eastAsia="en-US"/>
              </w:rPr>
            </w:pPr>
            <w:r>
              <w:rPr>
                <w:rFonts w:hint="eastAsia" w:asciiTheme="minorEastAsia" w:hAnsiTheme="minorEastAsia" w:eastAsiaTheme="minorEastAsia" w:cstheme="minorEastAsia"/>
                <w:sz w:val="24"/>
                <w:lang w:eastAsia="en-US"/>
              </w:rPr>
              <w:t>1</w:t>
            </w:r>
          </w:p>
        </w:tc>
        <w:tc>
          <w:tcPr>
            <w:tcW w:w="1391" w:type="dxa"/>
          </w:tcPr>
          <w:p>
            <w:pPr>
              <w:pStyle w:val="15"/>
              <w:spacing w:before="49"/>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49"/>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包括所有要完成的任务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4"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4" w:line="288"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包括时间计划、逻辑顺序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4"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4"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制定拟完成的目标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目标以“人”为中心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书面计划单页上有选手参赛号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7" w:hRule="atLeast"/>
        </w:trPr>
        <w:tc>
          <w:tcPr>
            <w:tcW w:w="1425" w:type="dxa"/>
            <w:vMerge w:val="restart"/>
          </w:tcPr>
          <w:p>
            <w:pPr>
              <w:pStyle w:val="15"/>
              <w:spacing w:line="242" w:lineRule="auto"/>
              <w:ind w:left="108" w:right="94"/>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沟通与实际照护</w:t>
            </w:r>
          </w:p>
          <w:p>
            <w:pPr>
              <w:pStyle w:val="15"/>
              <w:spacing w:before="21"/>
              <w:ind w:left="317"/>
              <w:rPr>
                <w:rFonts w:asciiTheme="minorEastAsia" w:hAnsiTheme="minorEastAsia" w:eastAsiaTheme="minorEastAsia" w:cstheme="minorEastAsia"/>
                <w:sz w:val="21"/>
                <w:lang w:eastAsia="en-US"/>
              </w:rPr>
            </w:pPr>
            <w:r>
              <w:rPr>
                <w:rFonts w:hint="eastAsia" w:asciiTheme="minorEastAsia" w:hAnsiTheme="minorEastAsia" w:eastAsiaTheme="minorEastAsia" w:cstheme="minorEastAsia"/>
                <w:sz w:val="24"/>
                <w:lang w:eastAsia="en-US"/>
              </w:rPr>
              <w:t>2</w:t>
            </w:r>
          </w:p>
        </w:tc>
        <w:tc>
          <w:tcPr>
            <w:tcW w:w="1391" w:type="dxa"/>
          </w:tcPr>
          <w:p>
            <w:pPr>
              <w:pStyle w:val="15"/>
              <w:spacing w:before="10" w:line="297"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10" w:line="297"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选手穿着得体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4"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4"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核实照护对象的身份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8"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与照护对象建立融洽关系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评估照护对象当前感受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89"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评估对于疾病的理解并描述健康相关的信息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解释本次照护目的、意义，并确认理解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相关实操等任务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4"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4" w:line="288"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离开前整理床位和环境并记录照护情况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6" w:line="294"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6" w:line="294"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确保照护对象舒适并给予积极支持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7" w:line="293"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7" w:line="293"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鼓励照护对象最大限度发挥能动性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0"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6" w:line="294"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6" w:line="294"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保护患者的隐私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离开前询问需要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提供安全措施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4"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4"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坚持卫生原则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注意劳动保护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妥善处理废弃物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89"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讨论从他人/社会获得帮助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进行健康教育、营养教育、压力应对等指导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对法律、法规、公约、标准等有无违反的言行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4"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J</w:t>
            </w:r>
          </w:p>
        </w:tc>
        <w:tc>
          <w:tcPr>
            <w:tcW w:w="5433" w:type="dxa"/>
          </w:tcPr>
          <w:p>
            <w:pPr>
              <w:pStyle w:val="15"/>
              <w:spacing w:before="4"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共情沟通，积极倾听</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按时完成所有任务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5" w:hRule="atLeast"/>
        </w:trPr>
        <w:tc>
          <w:tcPr>
            <w:tcW w:w="1425" w:type="dxa"/>
            <w:vMerge w:val="restart"/>
          </w:tcPr>
          <w:p>
            <w:pPr>
              <w:pStyle w:val="15"/>
              <w:spacing w:before="3"/>
              <w:ind w:left="108"/>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反思报告</w:t>
            </w:r>
          </w:p>
          <w:p>
            <w:pPr>
              <w:pStyle w:val="15"/>
              <w:spacing w:before="22"/>
              <w:ind w:left="317"/>
              <w:rPr>
                <w:rFonts w:asciiTheme="minorEastAsia" w:hAnsiTheme="minorEastAsia" w:eastAsiaTheme="minorEastAsia" w:cstheme="minorEastAsia"/>
                <w:sz w:val="21"/>
                <w:lang w:eastAsia="en-US"/>
              </w:rPr>
            </w:pPr>
            <w:r>
              <w:rPr>
                <w:rFonts w:hint="eastAsia" w:asciiTheme="minorEastAsia" w:hAnsiTheme="minorEastAsia" w:eastAsiaTheme="minorEastAsia" w:cstheme="minorEastAsia"/>
                <w:w w:val="99"/>
                <w:sz w:val="21"/>
                <w:lang w:eastAsia="en-US"/>
              </w:rPr>
              <w:t>3</w:t>
            </w:r>
          </w:p>
        </w:tc>
        <w:tc>
          <w:tcPr>
            <w:tcW w:w="1391" w:type="dxa"/>
          </w:tcPr>
          <w:p>
            <w:pPr>
              <w:pStyle w:val="15"/>
              <w:spacing w:before="34"/>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4"/>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描述事件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感受 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评价 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分析、总结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line="288"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88"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提升计划 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425" w:type="dxa"/>
            <w:vMerge w:val="restart"/>
          </w:tcPr>
          <w:p>
            <w:pPr>
              <w:pStyle w:val="15"/>
              <w:spacing w:before="21" w:line="278" w:lineRule="auto"/>
              <w:ind w:left="108" w:right="217"/>
              <w:rPr>
                <w:rFonts w:asciiTheme="minorEastAsia" w:hAnsiTheme="minorEastAsia" w:eastAsiaTheme="minorEastAsia" w:cstheme="minorEastAsia"/>
                <w:sz w:val="21"/>
                <w:lang w:eastAsia="en-US"/>
              </w:rPr>
            </w:pPr>
            <w:r>
              <w:rPr>
                <w:rFonts w:hint="eastAsia" w:asciiTheme="minorEastAsia" w:hAnsiTheme="minorEastAsia" w:eastAsiaTheme="minorEastAsia" w:cstheme="minorEastAsia"/>
                <w:color w:val="000000"/>
                <w:spacing w:val="-1"/>
                <w:sz w:val="21"/>
                <w:lang w:eastAsia="en-US"/>
              </w:rPr>
              <w:t>**</w:t>
            </w:r>
            <w:r>
              <w:rPr>
                <w:rFonts w:hint="eastAsia" w:asciiTheme="minorEastAsia" w:hAnsiTheme="minorEastAsia" w:eastAsiaTheme="minorEastAsia" w:cstheme="minorEastAsia"/>
                <w:sz w:val="21"/>
                <w:lang w:eastAsia="en-US"/>
              </w:rPr>
              <w:t>健康教育的海报</w:t>
            </w:r>
          </w:p>
          <w:p>
            <w:pPr>
              <w:pStyle w:val="15"/>
              <w:spacing w:before="0" w:line="269" w:lineRule="exact"/>
              <w:ind w:left="317"/>
              <w:rPr>
                <w:rFonts w:asciiTheme="minorEastAsia" w:hAnsiTheme="minorEastAsia" w:eastAsiaTheme="minorEastAsia" w:cstheme="minorEastAsia"/>
                <w:sz w:val="21"/>
                <w:lang w:eastAsia="en-US"/>
              </w:rPr>
            </w:pPr>
            <w:r>
              <w:rPr>
                <w:rFonts w:hint="eastAsia" w:asciiTheme="minorEastAsia" w:hAnsiTheme="minorEastAsia" w:eastAsiaTheme="minorEastAsia" w:cstheme="minorEastAsia"/>
                <w:w w:val="99"/>
                <w:sz w:val="21"/>
                <w:lang w:eastAsia="en-US"/>
              </w:rPr>
              <w:t>3</w:t>
            </w: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字体足够大，字迹清晰，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before="3" w:line="289"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3" w:line="289"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文字简短易懂，疾病或是健康教育信息清晰易懂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zh-CN"/>
              </w:rPr>
            </w:pPr>
          </w:p>
        </w:tc>
        <w:tc>
          <w:tcPr>
            <w:tcW w:w="1391" w:type="dxa"/>
          </w:tcPr>
          <w:p>
            <w:pPr>
              <w:pStyle w:val="15"/>
              <w:spacing w:line="290"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line="290" w:lineRule="exact"/>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避免诱发因素信息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4" w:hRule="atLeast"/>
        </w:trPr>
        <w:tc>
          <w:tcPr>
            <w:tcW w:w="1425" w:type="dxa"/>
            <w:vMerge w:val="continue"/>
            <w:tcBorders>
              <w:top w:val="nil"/>
            </w:tcBorders>
          </w:tcPr>
          <w:p>
            <w:pPr>
              <w:widowControl w:val="0"/>
              <w:autoSpaceDE w:val="0"/>
              <w:autoSpaceDN w:val="0"/>
              <w:spacing w:after="0"/>
              <w:rPr>
                <w:rFonts w:asciiTheme="minorEastAsia" w:hAnsiTheme="minorEastAsia" w:eastAsiaTheme="minorEastAsia" w:cstheme="minorEastAsia"/>
                <w:sz w:val="2"/>
                <w:szCs w:val="2"/>
                <w:lang w:eastAsia="en-US"/>
              </w:rPr>
            </w:pPr>
          </w:p>
        </w:tc>
        <w:tc>
          <w:tcPr>
            <w:tcW w:w="1391" w:type="dxa"/>
          </w:tcPr>
          <w:p>
            <w:pPr>
              <w:pStyle w:val="15"/>
              <w:spacing w:before="19" w:line="305" w:lineRule="exact"/>
              <w:ind w:left="8"/>
              <w:jc w:val="center"/>
              <w:rPr>
                <w:rFonts w:asciiTheme="minorEastAsia" w:hAnsiTheme="minorEastAsia" w:eastAsiaTheme="minorEastAsia" w:cstheme="minorEastAsia"/>
                <w:sz w:val="24"/>
                <w:lang w:eastAsia="en-US"/>
              </w:rPr>
            </w:pPr>
            <w:r>
              <w:rPr>
                <w:rFonts w:hint="eastAsia" w:asciiTheme="minorEastAsia" w:hAnsiTheme="minorEastAsia" w:eastAsiaTheme="minorEastAsia" w:cstheme="minorEastAsia"/>
                <w:sz w:val="24"/>
                <w:lang w:eastAsia="en-US"/>
              </w:rPr>
              <w:t>M</w:t>
            </w:r>
          </w:p>
        </w:tc>
        <w:tc>
          <w:tcPr>
            <w:tcW w:w="5433" w:type="dxa"/>
          </w:tcPr>
          <w:p>
            <w:pPr>
              <w:pStyle w:val="15"/>
              <w:spacing w:before="19" w:line="305" w:lineRule="exact"/>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至少使用 4 种不同颜色，绘制元素多于书写元素</w:t>
            </w:r>
          </w:p>
        </w:tc>
      </w:tr>
    </w:tbl>
    <w:p>
      <w:pPr>
        <w:pStyle w:val="2"/>
        <w:spacing w:before="8"/>
        <w:ind w:left="0"/>
        <w:rPr>
          <w:rFonts w:asciiTheme="minorEastAsia" w:hAnsiTheme="minorEastAsia" w:eastAsiaTheme="minorEastAsia" w:cstheme="minorEastAsia"/>
          <w:b/>
          <w:sz w:val="5"/>
        </w:rPr>
      </w:pP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2.说明：</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每部分成绩保留小数点后 2 位。比赛结束，选手未完成比赛的部分不得分。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每个模块的测量评分为三名现场执裁裁判共同赋分数；评判评分为三名现场执裁裁判各自赋分，并由两名核分裁判在监督仲裁人员的现场监督下，取平均值。每名选手每个模块成绩由测量评分和评判评分相加而构成本模块成绩。每个模块成绩折合成 25 分，总成绩折合成 100 分。</w:t>
      </w:r>
    </w:p>
    <w:p>
      <w:pPr>
        <w:spacing w:before="173" w:line="449" w:lineRule="exact"/>
        <w:ind w:firstLine="562" w:firstLineChars="200"/>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十一、奖项设置</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奖项设置：以本竞赛项目实际参赛总人数为基数，按照比赛成绩排名前50%的选手获奖，其中，比赛成绩排名第一、二、三名的选手分别颁发金奖、银奖和铜奖，排名原则上不并列，对前3名以外并成绩排名在参赛总人数二分之一以上的选手颁发优胜奖。</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2.对获奖选手及指导老师由组委会颁发荣誉证书。</w:t>
      </w:r>
    </w:p>
    <w:p>
      <w:pPr>
        <w:spacing w:before="173" w:line="449" w:lineRule="exact"/>
        <w:ind w:firstLine="562" w:firstLineChars="200"/>
        <w:jc w:val="center"/>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rPr>
        <w:t>十二、竞赛须知</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（一）参赛队须知</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1.领队负责申诉工作。参赛队认为存在有失公正的评判、奖励，以及违规行为等情况时，须由领队在该赛项竞赛结束后 2 小时内，向赛项监督仲裁组提交书面申诉材料。</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领队应积极做好本校参赛队文明参赛的教育与培训，引导和教育本院校参赛指导教师和学生正确对待参赛工作，积极配合赛项组织机构的工作。明确要求指导教师和参赛选手按制度规定的程序处理比赛过程中出现的争议问题，不得利用比赛相关的微信群、QQ 群等发表虚假信息和不当言论。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3.各参赛队的领队、指导教师可进入赛项直播室进行观摩。</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（二）指导教师须知</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1.指导教师必须是参赛选手所在学校的专任教师，每名选手限 1 名指导教师。指导教师一经确定原则上不得随意变更。</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指导教师应该根据专业教学计划和赛项规程合理制定训练方案，认真指导选手训练，培养选手的综合职业能力和良好的职业素养，克服功利化思想，避免为赛而学、以赛代学。比赛期间对参赛选手进行日常管理等。</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3.指导教师应该根据赛项规程要求做好参赛选手保险办理工作， 并积极做好选手的安全教育。</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4.指导教师参加赛项观摩等活动，不得违反赛项规定进入赛场， 干扰比赛正常进行。</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指导教师应自觉遵守大赛各项制度，尊重专家、裁判、监督仲裁及赛项承办单位工作人员。要引导和教育参赛选手，按照赛项指南规定和大赛制度进行申诉，不得在网络、微信群等各种媒体发表、传播有待核实信息和过激言论。对比赛过程中的争议问题，要按大赛制度规定程序处理，不得采取过激行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（三）参赛选手须知</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1.参赛选手应该文明参赛，服从裁判统一指挥，尊重赛场工作人员，自觉维护赛场秩序。如参赛选手因对裁判不服从而停止比赛，则以弃权处理。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2.参赛选手须严格遵守竞赛规程规定的安全操作流程，防止发生安全事故。</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3.参赛选手应该爱护赛场使用的设备、仪器等，不得人为损坏比赛所使用的仪器设备。</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参赛选手须严格按照规定时间进入候赛区和比赛场地，不允许携带任何竞赛规程禁止使用的电子产品及通讯工具，以及其它与竞赛有关的资料和书籍，不得以任何方式泄露参赛院校、选手姓名等涉及竞赛场上应该保密的信息。</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5.参赛选手对于认为有影响个人比赛成绩的裁判行为或设备故障等，应向指导老师反映，由领队按大赛制度规定进行申诉。参赛选手不得利用比赛相关的微信群、QQ 群等发表虚假信息和不当言论。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6.参赛选手统一着装进入赛场。参赛选手必须着大赛统一提供的制服，自备白鞋、白色纯棉袜子，不得在参赛服饰上作任何标识。</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7.参赛选手进入赛场须携带身份证、参赛证，不得携带其它任何物品，违规者取消本次比赛成绩。</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8.参赛选手竞赛开始、终止时间由工作人员记录在案；比赛时间到，选手停止撰写或实操，按照要求离开竞赛区域。参赛选手提前结束竞赛并示意后，不得再进行任何操作。</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9.赛场各类工作人员都统一佩戴由赛项执委会印制的相应证件， 有问题可以询问工作人员。</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（四）工作人员须知</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1.赛场各类工作人员必须统一佩戴由赛项执委会印制的相应证件，着装整齐，进入工作岗位。</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2.除赛项执委会成员、专家组成员、现场裁判、赛场配备的工作人员外，其他人员未经赛项执委会允许不得进入赛场。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3.新闻媒体人员等进入赛场必须经过赛项执委会允许，并且听从现场工作人员的安排和指挥，不得影响竞赛正常进行。</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十三、安保须知</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1.每支代表队报到时需提供所有人的健康情况声明书，提供近 14 天的行程轨迹。在承办院校入口设立体温监测岗位，如发现体温异常者，立即禁止入校。如选手体温异常，就医后由专家组和裁判长决定是否启动备用赛场以供其单独完成竞赛。</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2.比赛期间，所有人员需凭证进入赛场，严禁携带易燃易爆等危险品进入赛点。</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3.保卫部门加强比赛场地周边巡查，警惕事故的发生。做好有关应急预案和防范措施，确定警戒范围。</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4.按消防安全的有关要求，检查比赛的各项设施设备，保证各类人员出入通道畅通。安全疏散地点：学校运动场。</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5.发生火灾或发现火灾隐患时应急措施：</w:t>
      </w:r>
    </w:p>
    <w:p>
      <w:pPr>
        <w:pStyle w:val="12"/>
        <w:numPr>
          <w:ilvl w:val="0"/>
          <w:numId w:val="3"/>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向大赛安全保卫人员及大赛执委会报告；</w:t>
      </w:r>
    </w:p>
    <w:p>
      <w:pPr>
        <w:pStyle w:val="12"/>
        <w:numPr>
          <w:ilvl w:val="0"/>
          <w:numId w:val="3"/>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迅速组织有关人员进行疏散，保证参赛人员安全；</w:t>
      </w:r>
    </w:p>
    <w:p>
      <w:pPr>
        <w:pStyle w:val="12"/>
        <w:numPr>
          <w:ilvl w:val="0"/>
          <w:numId w:val="3"/>
        </w:numPr>
        <w:spacing w:before="173" w:line="449" w:lineRule="exact"/>
        <w:ind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充分利用就近灭火器或水源及时组织人员扑救。</w:t>
      </w:r>
    </w:p>
    <w:p>
      <w:pPr>
        <w:spacing w:before="173" w:line="449" w:lineRule="exact"/>
        <w:ind w:left="56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6.保证大赛期间双电源正常供电。</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7.突发疾病或受伤，病情或伤势较轻，可到赛点的门诊治疗；病情或伤势较重，立即与赛点工作人员联系，送医院治疗。</w:t>
      </w:r>
    </w:p>
    <w:p>
      <w:pPr>
        <w:spacing w:before="173" w:line="449" w:lineRule="exact"/>
        <w:ind w:firstLine="562" w:firstLineChars="200"/>
        <w:jc w:val="center"/>
        <w:rPr>
          <w:rFonts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rPr>
        <w:t>十四、申诉与仲裁</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本赛项在比赛过程中若出现有失公正或有关人员违规等现象，参赛队领队可在比赛结束后 2 小时之内向仲裁委员会提出书面申诉。仲裁委员会在接到申诉后的 2 小时内组织复议，并及时反馈复议最终结果。参赛选手不得因申诉或对处理意见不服而停止竞赛，违者按弃权处理。</w:t>
      </w:r>
    </w:p>
    <w:p>
      <w:pPr>
        <w:adjustRightInd/>
        <w:snapToGrid/>
        <w:spacing w:after="0"/>
        <w:rPr>
          <w:rFonts w:asciiTheme="minorEastAsia" w:hAnsiTheme="minorEastAsia" w:eastAsiaTheme="minorEastAsia" w:cstheme="minorEastAsia"/>
          <w:sz w:val="28"/>
          <w:szCs w:val="28"/>
        </w:rPr>
      </w:pPr>
      <w:r>
        <w:rPr>
          <w:rFonts w:asciiTheme="minorEastAsia" w:hAnsiTheme="minorEastAsia" w:eastAsiaTheme="minorEastAsia" w:cstheme="minorEastAsia"/>
        </w:rPr>
        <w:br w:type="page"/>
      </w:r>
    </w:p>
    <w:p>
      <w:pPr>
        <w:pStyle w:val="2"/>
        <w:spacing w:before="35"/>
        <w:rPr>
          <w:rFonts w:asciiTheme="minorEastAsia" w:hAnsiTheme="minorEastAsia" w:eastAsiaTheme="minorEastAsia" w:cstheme="minorEastAsia"/>
        </w:rPr>
      </w:pPr>
      <w:r>
        <w:rPr>
          <w:rFonts w:hint="eastAsia" w:asciiTheme="minorEastAsia" w:hAnsiTheme="minorEastAsia" w:eastAsiaTheme="minorEastAsia" w:cstheme="minorEastAsia"/>
        </w:rPr>
        <w:t>附件：</w:t>
      </w:r>
    </w:p>
    <w:p>
      <w:pPr>
        <w:pStyle w:val="2"/>
        <w:spacing w:before="9"/>
        <w:ind w:left="0"/>
        <w:rPr>
          <w:rFonts w:asciiTheme="minorEastAsia" w:hAnsiTheme="minorEastAsia" w:eastAsiaTheme="minorEastAsia" w:cstheme="minorEastAsia"/>
        </w:rPr>
      </w:pPr>
    </w:p>
    <w:p>
      <w:pPr>
        <w:spacing w:before="1"/>
        <w:ind w:left="178" w:right="269"/>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广泛性焦虑障碍量表 (GAD-7)</w:t>
      </w:r>
    </w:p>
    <w:p>
      <w:pPr>
        <w:spacing w:before="136"/>
        <w:ind w:left="178" w:right="258"/>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(Generalized Anxiety Disorder,GAD-7)</w:t>
      </w:r>
    </w:p>
    <w:p>
      <w:pPr>
        <w:pStyle w:val="2"/>
        <w:tabs>
          <w:tab w:val="left" w:pos="2255"/>
          <w:tab w:val="left" w:pos="2830"/>
          <w:tab w:val="left" w:pos="5319"/>
          <w:tab w:val="left" w:pos="6859"/>
        </w:tabs>
        <w:spacing w:before="62"/>
        <w:ind w:left="559" w:leftChars="254"/>
        <w:rPr>
          <w:rFonts w:asciiTheme="minorEastAsia" w:hAnsiTheme="minorEastAsia" w:eastAsiaTheme="minorEastAsia" w:cstheme="minorEastAsia"/>
        </w:rPr>
      </w:pPr>
      <w:r>
        <w:rPr>
          <w:rFonts w:hint="eastAsia" w:asciiTheme="minorEastAsia" w:hAnsiTheme="minorEastAsia" w:eastAsiaTheme="minorEastAsia" w:cstheme="minorEastAsia"/>
        </w:rPr>
        <w:t>姓</w:t>
      </w:r>
      <w:r>
        <w:rPr>
          <w:rFonts w:hint="eastAsia" w:asciiTheme="minorEastAsia" w:hAnsiTheme="minorEastAsia" w:eastAsiaTheme="minorEastAsia" w:cstheme="minorEastAsia"/>
          <w:spacing w:val="-3"/>
        </w:rPr>
        <w:t>名</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性别:      年龄:      日</w:t>
      </w:r>
      <w:r>
        <w:rPr>
          <w:rFonts w:hint="eastAsia" w:asciiTheme="minorEastAsia" w:hAnsiTheme="minorEastAsia" w:eastAsiaTheme="minorEastAsia" w:cstheme="minorEastAsia"/>
          <w:spacing w:val="-3"/>
        </w:rPr>
        <w:t>期</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测</w:t>
      </w:r>
      <w:r>
        <w:rPr>
          <w:rFonts w:hint="eastAsia" w:asciiTheme="minorEastAsia" w:hAnsiTheme="minorEastAsia" w:eastAsiaTheme="minorEastAsia" w:cstheme="minorEastAsia"/>
          <w:spacing w:val="-3"/>
        </w:rPr>
        <w:t>定</w:t>
      </w:r>
      <w:r>
        <w:rPr>
          <w:rFonts w:hint="eastAsia" w:asciiTheme="minorEastAsia" w:hAnsiTheme="minorEastAsia" w:eastAsiaTheme="minorEastAsia" w:cstheme="minorEastAsia"/>
        </w:rPr>
        <w:t>次数:</w:t>
      </w:r>
    </w:p>
    <w:p>
      <w:pPr>
        <w:pStyle w:val="2"/>
        <w:spacing w:line="417" w:lineRule="auto"/>
        <w:ind w:right="657" w:firstLine="559"/>
        <w:rPr>
          <w:rFonts w:asciiTheme="minorEastAsia" w:hAnsiTheme="minorEastAsia" w:eastAsiaTheme="minorEastAsia" w:cstheme="minorEastAsia"/>
        </w:rPr>
      </w:pPr>
      <w:r>
        <w:rPr>
          <w:rFonts w:hint="eastAsia" w:asciiTheme="minorEastAsia" w:hAnsiTheme="minorEastAsia" w:eastAsiaTheme="minorEastAsia" w:cstheme="minorEastAsia"/>
        </w:rPr>
        <w:t>根据过去两周的状况，请您回答是否存在下列描述的状况及频率，请看清楚问题后在符合您的选项前的数字上面画√</w:t>
      </w:r>
    </w:p>
    <w:p>
      <w:pPr>
        <w:pStyle w:val="2"/>
        <w:spacing w:line="417" w:lineRule="auto"/>
        <w:ind w:right="657" w:firstLine="559"/>
        <w:rPr>
          <w:rFonts w:asciiTheme="minorEastAsia" w:hAnsiTheme="minorEastAsia" w:eastAsiaTheme="minorEastAsia" w:cstheme="minorEastAsia"/>
        </w:rPr>
      </w:pPr>
    </w:p>
    <w:tbl>
      <w:tblPr>
        <w:tblStyle w:val="7"/>
        <w:tblW w:w="0" w:type="auto"/>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25"/>
        <w:gridCol w:w="1500"/>
        <w:gridCol w:w="1245"/>
        <w:gridCol w:w="1575"/>
        <w:gridCol w:w="1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2"/>
              <w:spacing w:line="417" w:lineRule="auto"/>
              <w:ind w:right="657"/>
              <w:rPr>
                <w:rFonts w:asciiTheme="minorEastAsia" w:hAnsiTheme="minorEastAsia" w:eastAsiaTheme="minorEastAsia" w:cstheme="minorEastAsia"/>
                <w:sz w:val="24"/>
                <w:szCs w:val="24"/>
              </w:rPr>
            </w:pPr>
          </w:p>
        </w:tc>
        <w:tc>
          <w:tcPr>
            <w:tcW w:w="1500" w:type="dxa"/>
          </w:tcPr>
          <w:p>
            <w:pPr>
              <w:pStyle w:val="15"/>
              <w:spacing w:before="159"/>
              <w:ind w:left="145" w:right="135"/>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完全不会</w:t>
            </w:r>
          </w:p>
        </w:tc>
        <w:tc>
          <w:tcPr>
            <w:tcW w:w="1245" w:type="dxa"/>
          </w:tcPr>
          <w:p>
            <w:pPr>
              <w:pStyle w:val="15"/>
              <w:spacing w:before="159"/>
              <w:ind w:left="151" w:right="144"/>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好几天</w:t>
            </w:r>
          </w:p>
        </w:tc>
        <w:tc>
          <w:tcPr>
            <w:tcW w:w="1575" w:type="dxa"/>
          </w:tcPr>
          <w:p>
            <w:pPr>
              <w:pStyle w:val="15"/>
              <w:spacing w:before="159"/>
              <w:ind w:left="136" w:right="126"/>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超过一周</w:t>
            </w:r>
          </w:p>
        </w:tc>
        <w:tc>
          <w:tcPr>
            <w:tcW w:w="1448" w:type="dxa"/>
          </w:tcPr>
          <w:p>
            <w:pPr>
              <w:pStyle w:val="15"/>
              <w:spacing w:before="159"/>
              <w:ind w:left="135" w:right="12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几乎每天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202"/>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1：感觉紧张，焦虑或急切</w:t>
            </w:r>
          </w:p>
        </w:tc>
        <w:tc>
          <w:tcPr>
            <w:tcW w:w="1500" w:type="dxa"/>
          </w:tcPr>
          <w:p>
            <w:pPr>
              <w:pStyle w:val="15"/>
              <w:spacing w:before="202"/>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202"/>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202"/>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202"/>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140"/>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2：不能够停止或控制担忧</w:t>
            </w:r>
          </w:p>
        </w:tc>
        <w:tc>
          <w:tcPr>
            <w:tcW w:w="1500" w:type="dxa"/>
          </w:tcPr>
          <w:p>
            <w:pPr>
              <w:pStyle w:val="15"/>
              <w:spacing w:before="140"/>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140"/>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140"/>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140"/>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186"/>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3：对各种各样的事情担忧过多</w:t>
            </w:r>
          </w:p>
        </w:tc>
        <w:tc>
          <w:tcPr>
            <w:tcW w:w="1500" w:type="dxa"/>
          </w:tcPr>
          <w:p>
            <w:pPr>
              <w:pStyle w:val="15"/>
              <w:spacing w:before="186"/>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186"/>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186"/>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186"/>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155"/>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4：很难放松下来</w:t>
            </w:r>
          </w:p>
        </w:tc>
        <w:tc>
          <w:tcPr>
            <w:tcW w:w="1500" w:type="dxa"/>
          </w:tcPr>
          <w:p>
            <w:pPr>
              <w:pStyle w:val="15"/>
              <w:spacing w:before="155"/>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155"/>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155"/>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155"/>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147"/>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5：由于不安而无法静坐</w:t>
            </w:r>
          </w:p>
        </w:tc>
        <w:tc>
          <w:tcPr>
            <w:tcW w:w="1500" w:type="dxa"/>
          </w:tcPr>
          <w:p>
            <w:pPr>
              <w:pStyle w:val="15"/>
              <w:spacing w:before="147"/>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147"/>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147"/>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147"/>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171"/>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6：变得容易烦恼或急躁</w:t>
            </w:r>
          </w:p>
        </w:tc>
        <w:tc>
          <w:tcPr>
            <w:tcW w:w="1500" w:type="dxa"/>
          </w:tcPr>
          <w:p>
            <w:pPr>
              <w:pStyle w:val="15"/>
              <w:spacing w:before="171"/>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171"/>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171"/>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171"/>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25" w:type="dxa"/>
          </w:tcPr>
          <w:p>
            <w:pPr>
              <w:pStyle w:val="15"/>
              <w:spacing w:before="210"/>
              <w:ind w:left="106"/>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7：感到似乎将有可怕的事情发生而害怕</w:t>
            </w:r>
          </w:p>
        </w:tc>
        <w:tc>
          <w:tcPr>
            <w:tcW w:w="1500" w:type="dxa"/>
          </w:tcPr>
          <w:p>
            <w:pPr>
              <w:pStyle w:val="15"/>
              <w:spacing w:before="210"/>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w:t>
            </w:r>
          </w:p>
        </w:tc>
        <w:tc>
          <w:tcPr>
            <w:tcW w:w="1245" w:type="dxa"/>
          </w:tcPr>
          <w:p>
            <w:pPr>
              <w:pStyle w:val="15"/>
              <w:spacing w:before="210"/>
              <w:ind w:left="7"/>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575" w:type="dxa"/>
          </w:tcPr>
          <w:p>
            <w:pPr>
              <w:pStyle w:val="15"/>
              <w:spacing w:before="210"/>
              <w:ind w:left="1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448" w:type="dxa"/>
          </w:tcPr>
          <w:p>
            <w:pPr>
              <w:pStyle w:val="15"/>
              <w:spacing w:before="210"/>
              <w:ind w:left="8"/>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bl>
    <w:p>
      <w:pPr>
        <w:pStyle w:val="2"/>
        <w:spacing w:line="417" w:lineRule="auto"/>
        <w:ind w:right="657" w:firstLine="559"/>
        <w:rPr>
          <w:rFonts w:asciiTheme="minorEastAsia" w:hAnsiTheme="minorEastAsia" w:eastAsiaTheme="minorEastAsia" w:cstheme="minorEastAsia"/>
          <w:color w:val="000000"/>
        </w:rPr>
      </w:pPr>
    </w:p>
    <w:p>
      <w:pPr>
        <w:pStyle w:val="12"/>
        <w:spacing w:before="173" w:line="449" w:lineRule="exact"/>
        <w:ind w:firstLine="0" w:firstLineChars="0"/>
        <w:jc w:val="center"/>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总分 = ***</w:t>
      </w:r>
    </w:p>
    <w:p>
      <w:pPr>
        <w:pStyle w:val="12"/>
        <w:spacing w:before="173" w:line="449" w:lineRule="exact"/>
        <w:ind w:left="560" w:firstLine="0" w:firstLineChars="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评分规则 : 每个条目 0～3 分，总分就是将 7 个条目的分值相加，总分值范围0～21 分</w:t>
      </w:r>
    </w:p>
    <w:p>
      <w:pPr>
        <w:pStyle w:val="12"/>
        <w:spacing w:before="173" w:line="449" w:lineRule="exact"/>
        <w:ind w:left="560" w:firstLine="1960" w:firstLineChars="700"/>
        <w:jc w:val="both"/>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0-4 分  没有GAD             5-9 分轻度GAD</w:t>
      </w:r>
    </w:p>
    <w:p>
      <w:pPr>
        <w:spacing w:before="173" w:line="449" w:lineRule="exact"/>
        <w:ind w:firstLine="560" w:firstLineChars="200"/>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              10-14 分中度GAD             15 -21分重度GAD</w:t>
      </w:r>
    </w:p>
    <w:sectPr>
      <w:footerReference r:id="rId6" w:type="default"/>
      <w:pgSz w:w="11906" w:h="16838"/>
      <w:pgMar w:top="720" w:right="720" w:bottom="720" w:left="720" w:header="708" w:footer="708" w:gutter="0"/>
      <w:pgNumType w:start="1"/>
      <w:cols w:space="708"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lear" w:pos="4153"/>
      </w:tabs>
      <w:jc w:val="both"/>
    </w:pPr>
    <w: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4"/>
                </w:pPr>
                <w:r>
                  <w:fldChar w:fldCharType="begin"/>
                </w:r>
                <w:r>
                  <w:instrText xml:space="preserve"> PAGE  \* MERGEFORMAT </w:instrText>
                </w:r>
                <w:r>
                  <w:fldChar w:fldCharType="separate"/>
                </w:r>
                <w:r>
                  <w:t>19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7200C2"/>
    <w:multiLevelType w:val="multilevel"/>
    <w:tmpl w:val="667200C2"/>
    <w:lvl w:ilvl="0" w:tentative="0">
      <w:start w:val="0"/>
      <w:numFmt w:val="bullet"/>
      <w:lvlText w:val="•"/>
      <w:lvlJc w:val="left"/>
      <w:pPr>
        <w:ind w:left="980" w:hanging="420"/>
      </w:pPr>
      <w:rPr>
        <w:rFonts w:hint="default" w:ascii="Arial" w:hAnsi="Arial" w:eastAsia="Arial" w:cs="Arial"/>
        <w:w w:val="100"/>
        <w:sz w:val="28"/>
        <w:szCs w:val="28"/>
        <w:lang w:val="en-US" w:eastAsia="zh-CN" w:bidi="ar-SA"/>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1">
    <w:nsid w:val="7BC9236B"/>
    <w:multiLevelType w:val="multilevel"/>
    <w:tmpl w:val="7BC9236B"/>
    <w:lvl w:ilvl="0" w:tentative="0">
      <w:start w:val="0"/>
      <w:numFmt w:val="bullet"/>
      <w:lvlText w:val="•"/>
      <w:lvlJc w:val="left"/>
      <w:pPr>
        <w:ind w:left="980" w:hanging="420"/>
      </w:pPr>
      <w:rPr>
        <w:rFonts w:hint="default" w:ascii="Arial" w:hAnsi="Arial" w:eastAsia="Arial" w:cs="Arial"/>
        <w:w w:val="100"/>
        <w:sz w:val="28"/>
        <w:szCs w:val="28"/>
        <w:lang w:val="en-US" w:eastAsia="zh-CN" w:bidi="ar-SA"/>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abstractNum w:abstractNumId="2">
    <w:nsid w:val="7C867A83"/>
    <w:multiLevelType w:val="multilevel"/>
    <w:tmpl w:val="7C867A83"/>
    <w:lvl w:ilvl="0" w:tentative="0">
      <w:start w:val="0"/>
      <w:numFmt w:val="bullet"/>
      <w:lvlText w:val="•"/>
      <w:lvlJc w:val="left"/>
      <w:pPr>
        <w:ind w:left="980" w:hanging="420"/>
      </w:pPr>
      <w:rPr>
        <w:rFonts w:hint="default" w:ascii="Arial" w:hAnsi="Arial" w:eastAsia="Arial" w:cs="Arial"/>
        <w:w w:val="100"/>
        <w:sz w:val="28"/>
        <w:szCs w:val="28"/>
        <w:lang w:val="en-US" w:eastAsia="zh-CN" w:bidi="ar-SA"/>
      </w:rPr>
    </w:lvl>
    <w:lvl w:ilvl="1" w:tentative="0">
      <w:start w:val="1"/>
      <w:numFmt w:val="bullet"/>
      <w:lvlText w:val=""/>
      <w:lvlJc w:val="left"/>
      <w:pPr>
        <w:ind w:left="1400" w:hanging="420"/>
      </w:pPr>
      <w:rPr>
        <w:rFonts w:hint="default" w:ascii="Wingdings" w:hAnsi="Wingdings"/>
      </w:rPr>
    </w:lvl>
    <w:lvl w:ilvl="2" w:tentative="0">
      <w:start w:val="1"/>
      <w:numFmt w:val="bullet"/>
      <w:lvlText w:val=""/>
      <w:lvlJc w:val="left"/>
      <w:pPr>
        <w:ind w:left="1820" w:hanging="420"/>
      </w:pPr>
      <w:rPr>
        <w:rFonts w:hint="default" w:ascii="Wingdings" w:hAnsi="Wingdings"/>
      </w:rPr>
    </w:lvl>
    <w:lvl w:ilvl="3" w:tentative="0">
      <w:start w:val="1"/>
      <w:numFmt w:val="bullet"/>
      <w:lvlText w:val=""/>
      <w:lvlJc w:val="left"/>
      <w:pPr>
        <w:ind w:left="2240" w:hanging="420"/>
      </w:pPr>
      <w:rPr>
        <w:rFonts w:hint="default" w:ascii="Wingdings" w:hAnsi="Wingdings"/>
      </w:rPr>
    </w:lvl>
    <w:lvl w:ilvl="4" w:tentative="0">
      <w:start w:val="1"/>
      <w:numFmt w:val="bullet"/>
      <w:lvlText w:val=""/>
      <w:lvlJc w:val="left"/>
      <w:pPr>
        <w:ind w:left="2660" w:hanging="420"/>
      </w:pPr>
      <w:rPr>
        <w:rFonts w:hint="default" w:ascii="Wingdings" w:hAnsi="Wingdings"/>
      </w:rPr>
    </w:lvl>
    <w:lvl w:ilvl="5" w:tentative="0">
      <w:start w:val="1"/>
      <w:numFmt w:val="bullet"/>
      <w:lvlText w:val=""/>
      <w:lvlJc w:val="left"/>
      <w:pPr>
        <w:ind w:left="3080" w:hanging="420"/>
      </w:pPr>
      <w:rPr>
        <w:rFonts w:hint="default" w:ascii="Wingdings" w:hAnsi="Wingdings"/>
      </w:rPr>
    </w:lvl>
    <w:lvl w:ilvl="6" w:tentative="0">
      <w:start w:val="1"/>
      <w:numFmt w:val="bullet"/>
      <w:lvlText w:val=""/>
      <w:lvlJc w:val="left"/>
      <w:pPr>
        <w:ind w:left="3500" w:hanging="420"/>
      </w:pPr>
      <w:rPr>
        <w:rFonts w:hint="default" w:ascii="Wingdings" w:hAnsi="Wingdings"/>
      </w:rPr>
    </w:lvl>
    <w:lvl w:ilvl="7" w:tentative="0">
      <w:start w:val="1"/>
      <w:numFmt w:val="bullet"/>
      <w:lvlText w:val=""/>
      <w:lvlJc w:val="left"/>
      <w:pPr>
        <w:ind w:left="3920" w:hanging="420"/>
      </w:pPr>
      <w:rPr>
        <w:rFonts w:hint="default" w:ascii="Wingdings" w:hAnsi="Wingdings"/>
      </w:rPr>
    </w:lvl>
    <w:lvl w:ilvl="8" w:tentative="0">
      <w:start w:val="1"/>
      <w:numFmt w:val="bullet"/>
      <w:lvlText w:val=""/>
      <w:lvlJc w:val="left"/>
      <w:pPr>
        <w:ind w:left="434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1"/>
  <w:bordersDoNotSurroundFooter w:val="1"/>
  <w:documentProtection w:enforcement="0"/>
  <w:defaultTabStop w:val="720"/>
  <w:drawingGridHorizontalSpacing w:val="110"/>
  <w:noPunctuationKerning w:val="1"/>
  <w:characterSpacingControl w:val="doNotCompress"/>
  <w:hdrShapeDefaults>
    <o:shapelayout v:ext="edit">
      <o:idmap v:ext="edit" data="2"/>
    </o:shapelayout>
  </w:hdrShapeDefault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D31D50"/>
    <w:rsid w:val="00073275"/>
    <w:rsid w:val="00083261"/>
    <w:rsid w:val="00097BE0"/>
    <w:rsid w:val="000E4579"/>
    <w:rsid w:val="00124F2D"/>
    <w:rsid w:val="00133A7C"/>
    <w:rsid w:val="001449FF"/>
    <w:rsid w:val="00173240"/>
    <w:rsid w:val="001D0916"/>
    <w:rsid w:val="001D0AB6"/>
    <w:rsid w:val="001F1E8F"/>
    <w:rsid w:val="002055A1"/>
    <w:rsid w:val="002438A0"/>
    <w:rsid w:val="0024504B"/>
    <w:rsid w:val="002B70BA"/>
    <w:rsid w:val="002D5771"/>
    <w:rsid w:val="00311EDD"/>
    <w:rsid w:val="00323B43"/>
    <w:rsid w:val="003879DD"/>
    <w:rsid w:val="003A68C7"/>
    <w:rsid w:val="003C45BC"/>
    <w:rsid w:val="003D37D8"/>
    <w:rsid w:val="003D5D79"/>
    <w:rsid w:val="00407AAD"/>
    <w:rsid w:val="00412456"/>
    <w:rsid w:val="00426133"/>
    <w:rsid w:val="004358AB"/>
    <w:rsid w:val="00457CEA"/>
    <w:rsid w:val="004A5515"/>
    <w:rsid w:val="004F414F"/>
    <w:rsid w:val="004F6563"/>
    <w:rsid w:val="00541E89"/>
    <w:rsid w:val="005A7980"/>
    <w:rsid w:val="005D1D9E"/>
    <w:rsid w:val="005D2D35"/>
    <w:rsid w:val="006B0B69"/>
    <w:rsid w:val="006B5F81"/>
    <w:rsid w:val="006C0710"/>
    <w:rsid w:val="006D4CED"/>
    <w:rsid w:val="00707E10"/>
    <w:rsid w:val="00763AB5"/>
    <w:rsid w:val="007A4162"/>
    <w:rsid w:val="007D4081"/>
    <w:rsid w:val="00866C04"/>
    <w:rsid w:val="008B7726"/>
    <w:rsid w:val="008D0CCB"/>
    <w:rsid w:val="00923B85"/>
    <w:rsid w:val="00940AEC"/>
    <w:rsid w:val="009602F2"/>
    <w:rsid w:val="00964D98"/>
    <w:rsid w:val="0098531B"/>
    <w:rsid w:val="00985758"/>
    <w:rsid w:val="009D317C"/>
    <w:rsid w:val="009E2460"/>
    <w:rsid w:val="009F1F3B"/>
    <w:rsid w:val="00A42108"/>
    <w:rsid w:val="00A63D29"/>
    <w:rsid w:val="00A64FA4"/>
    <w:rsid w:val="00A653A3"/>
    <w:rsid w:val="00A73EB7"/>
    <w:rsid w:val="00AB0FCC"/>
    <w:rsid w:val="00AE5856"/>
    <w:rsid w:val="00B27EA6"/>
    <w:rsid w:val="00BD5B0B"/>
    <w:rsid w:val="00C01A34"/>
    <w:rsid w:val="00C33820"/>
    <w:rsid w:val="00C527A5"/>
    <w:rsid w:val="00C864B0"/>
    <w:rsid w:val="00C91DBE"/>
    <w:rsid w:val="00CB02FA"/>
    <w:rsid w:val="00CB6A73"/>
    <w:rsid w:val="00CE3D78"/>
    <w:rsid w:val="00D042CF"/>
    <w:rsid w:val="00D05C13"/>
    <w:rsid w:val="00D21649"/>
    <w:rsid w:val="00D31D50"/>
    <w:rsid w:val="00D36083"/>
    <w:rsid w:val="00DF2130"/>
    <w:rsid w:val="00DF51E1"/>
    <w:rsid w:val="00E536E2"/>
    <w:rsid w:val="00E8381B"/>
    <w:rsid w:val="00EA375E"/>
    <w:rsid w:val="00EB575B"/>
    <w:rsid w:val="00EE251F"/>
    <w:rsid w:val="00F11C4B"/>
    <w:rsid w:val="00F43A7F"/>
    <w:rsid w:val="00F62003"/>
    <w:rsid w:val="00F65A5D"/>
    <w:rsid w:val="00F844B9"/>
    <w:rsid w:val="00F85DEF"/>
    <w:rsid w:val="00FD27EA"/>
    <w:rsid w:val="13E678C7"/>
    <w:rsid w:val="16C71B79"/>
    <w:rsid w:val="1B4B723D"/>
    <w:rsid w:val="1E1C4CC0"/>
    <w:rsid w:val="26692BB6"/>
    <w:rsid w:val="26C96BEA"/>
    <w:rsid w:val="2A9F4865"/>
    <w:rsid w:val="2E9D638F"/>
    <w:rsid w:val="32DE7ED6"/>
    <w:rsid w:val="359F31CA"/>
    <w:rsid w:val="389B6E43"/>
    <w:rsid w:val="3A5D006C"/>
    <w:rsid w:val="47766D8F"/>
    <w:rsid w:val="4CB46CD8"/>
    <w:rsid w:val="53655A83"/>
    <w:rsid w:val="5F3E35A2"/>
    <w:rsid w:val="69085F72"/>
    <w:rsid w:val="6BA9592D"/>
    <w:rsid w:val="6CCD3ED8"/>
    <w:rsid w:val="73682FF0"/>
    <w:rsid w:val="7B03774E"/>
    <w:rsid w:val="7D830C4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6"/>
    <w:qFormat/>
    <w:uiPriority w:val="1"/>
    <w:pPr>
      <w:widowControl w:val="0"/>
      <w:autoSpaceDE w:val="0"/>
      <w:autoSpaceDN w:val="0"/>
      <w:adjustRightInd/>
      <w:snapToGrid/>
      <w:spacing w:after="0"/>
      <w:ind w:left="560"/>
    </w:pPr>
    <w:rPr>
      <w:rFonts w:ascii="仿宋" w:hAnsi="仿宋" w:eastAsia="仿宋" w:cs="仿宋"/>
      <w:sz w:val="28"/>
      <w:szCs w:val="28"/>
    </w:rPr>
  </w:style>
  <w:style w:type="paragraph" w:styleId="3">
    <w:name w:val="Balloon Text"/>
    <w:basedOn w:val="1"/>
    <w:link w:val="13"/>
    <w:semiHidden/>
    <w:unhideWhenUsed/>
    <w:uiPriority w:val="99"/>
    <w:pPr>
      <w:spacing w:after="0"/>
    </w:pPr>
    <w:rPr>
      <w:sz w:val="18"/>
      <w:szCs w:val="18"/>
    </w:rPr>
  </w:style>
  <w:style w:type="paragraph" w:styleId="4">
    <w:name w:val="footer"/>
    <w:basedOn w:val="1"/>
    <w:link w:val="11"/>
    <w:semiHidden/>
    <w:unhideWhenUsed/>
    <w:uiPriority w:val="99"/>
    <w:pPr>
      <w:tabs>
        <w:tab w:val="center" w:pos="4153"/>
        <w:tab w:val="right" w:pos="8306"/>
      </w:tabs>
    </w:pPr>
    <w:rPr>
      <w:sz w:val="18"/>
      <w:szCs w:val="18"/>
    </w:rPr>
  </w:style>
  <w:style w:type="paragraph" w:styleId="5">
    <w:name w:val="header"/>
    <w:basedOn w:val="1"/>
    <w:link w:val="10"/>
    <w:semiHidden/>
    <w:unhideWhenUsed/>
    <w:uiPriority w:val="99"/>
    <w:pPr>
      <w:pBdr>
        <w:bottom w:val="single" w:color="auto" w:sz="6" w:space="1"/>
      </w:pBdr>
      <w:tabs>
        <w:tab w:val="center" w:pos="4153"/>
        <w:tab w:val="right" w:pos="8306"/>
      </w:tabs>
      <w:jc w:val="center"/>
    </w:pPr>
    <w:rPr>
      <w:sz w:val="18"/>
      <w:szCs w:val="18"/>
    </w:rPr>
  </w:style>
  <w:style w:type="table" w:styleId="7">
    <w:name w:val="Table Grid"/>
    <w:basedOn w:val="6"/>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Hyperlink"/>
    <w:basedOn w:val="8"/>
    <w:unhideWhenUsed/>
    <w:uiPriority w:val="99"/>
    <w:rPr>
      <w:color w:val="0000FF" w:themeColor="hyperlink"/>
      <w:u w:val="single"/>
    </w:rPr>
  </w:style>
  <w:style w:type="character" w:customStyle="1" w:styleId="10">
    <w:name w:val="页眉 Char"/>
    <w:basedOn w:val="8"/>
    <w:link w:val="5"/>
    <w:semiHidden/>
    <w:uiPriority w:val="99"/>
    <w:rPr>
      <w:rFonts w:ascii="Tahoma" w:hAnsi="Tahoma"/>
      <w:sz w:val="18"/>
      <w:szCs w:val="18"/>
    </w:rPr>
  </w:style>
  <w:style w:type="character" w:customStyle="1" w:styleId="11">
    <w:name w:val="页脚 Char"/>
    <w:basedOn w:val="8"/>
    <w:link w:val="4"/>
    <w:semiHidden/>
    <w:uiPriority w:val="99"/>
    <w:rPr>
      <w:rFonts w:ascii="Tahoma" w:hAnsi="Tahoma"/>
      <w:sz w:val="18"/>
      <w:szCs w:val="18"/>
    </w:rPr>
  </w:style>
  <w:style w:type="paragraph" w:styleId="12">
    <w:name w:val="List Paragraph"/>
    <w:basedOn w:val="1"/>
    <w:qFormat/>
    <w:uiPriority w:val="1"/>
    <w:pPr>
      <w:ind w:firstLine="420" w:firstLineChars="200"/>
    </w:pPr>
  </w:style>
  <w:style w:type="character" w:customStyle="1" w:styleId="13">
    <w:name w:val="批注框文本 Char"/>
    <w:basedOn w:val="8"/>
    <w:link w:val="3"/>
    <w:semiHidden/>
    <w:uiPriority w:val="99"/>
    <w:rPr>
      <w:rFonts w:ascii="Tahoma" w:hAnsi="Tahoma"/>
      <w:sz w:val="18"/>
      <w:szCs w:val="18"/>
    </w:rPr>
  </w:style>
  <w:style w:type="table" w:customStyle="1" w:styleId="14">
    <w:name w:val="Table Normal"/>
    <w:semiHidden/>
    <w:unhideWhenUsed/>
    <w:qFormat/>
    <w:uiPriority w:val="2"/>
    <w:pPr>
      <w:widowControl w:val="0"/>
      <w:autoSpaceDE w:val="0"/>
      <w:autoSpaceDN w:val="0"/>
    </w:pPr>
    <w:rPr>
      <w:rFonts w:eastAsiaTheme="minorEastAsia"/>
      <w:lang w:eastAsia="en-US"/>
    </w:rPr>
    <w:tblPr>
      <w:tblCellMar>
        <w:top w:w="0" w:type="dxa"/>
        <w:left w:w="0" w:type="dxa"/>
        <w:bottom w:w="0" w:type="dxa"/>
        <w:right w:w="0" w:type="dxa"/>
      </w:tblCellMar>
    </w:tblPr>
  </w:style>
  <w:style w:type="paragraph" w:customStyle="1" w:styleId="15">
    <w:name w:val="Table Paragraph"/>
    <w:basedOn w:val="1"/>
    <w:qFormat/>
    <w:uiPriority w:val="1"/>
    <w:pPr>
      <w:widowControl w:val="0"/>
      <w:autoSpaceDE w:val="0"/>
      <w:autoSpaceDN w:val="0"/>
      <w:adjustRightInd/>
      <w:snapToGrid/>
      <w:spacing w:before="2" w:after="0"/>
      <w:ind w:left="107"/>
    </w:pPr>
    <w:rPr>
      <w:rFonts w:ascii="仿宋" w:hAnsi="仿宋" w:eastAsia="仿宋" w:cs="仿宋"/>
    </w:rPr>
  </w:style>
  <w:style w:type="character" w:customStyle="1" w:styleId="16">
    <w:name w:val="正文文本 Char"/>
    <w:basedOn w:val="8"/>
    <w:link w:val="2"/>
    <w:uiPriority w:val="1"/>
    <w:rPr>
      <w:rFonts w:ascii="仿宋" w:hAnsi="仿宋" w:eastAsia="仿宋" w:cs="仿宋"/>
      <w:sz w:val="28"/>
      <w:szCs w:val="28"/>
    </w:rPr>
  </w:style>
  <w:style w:type="paragraph" w:customStyle="1" w:styleId="17">
    <w:name w:val="标题 21"/>
    <w:basedOn w:val="1"/>
    <w:qFormat/>
    <w:uiPriority w:val="1"/>
    <w:pPr>
      <w:widowControl w:val="0"/>
      <w:autoSpaceDE w:val="0"/>
      <w:autoSpaceDN w:val="0"/>
      <w:adjustRightInd/>
      <w:snapToGrid/>
      <w:spacing w:after="0"/>
      <w:ind w:left="1119"/>
      <w:outlineLvl w:val="2"/>
    </w:pPr>
    <w:rPr>
      <w:rFonts w:ascii="仿宋" w:hAnsi="仿宋" w:eastAsia="仿宋" w:cs="仿宋"/>
      <w:b/>
      <w:bCs/>
      <w:sz w:val="28"/>
      <w:szCs w:val="28"/>
    </w:rPr>
  </w:style>
  <w:style w:type="paragraph" w:customStyle="1" w:styleId="18">
    <w:name w:val="标题 11"/>
    <w:basedOn w:val="1"/>
    <w:qFormat/>
    <w:uiPriority w:val="1"/>
    <w:pPr>
      <w:widowControl w:val="0"/>
      <w:autoSpaceDE w:val="0"/>
      <w:autoSpaceDN w:val="0"/>
      <w:adjustRightInd/>
      <w:snapToGrid/>
      <w:spacing w:after="0"/>
      <w:ind w:left="1160"/>
      <w:outlineLvl w:val="1"/>
    </w:pPr>
    <w:rPr>
      <w:rFonts w:ascii="仿宋" w:hAnsi="仿宋" w:eastAsia="仿宋" w:cs="仿宋"/>
      <w:b/>
      <w:bCs/>
      <w:sz w:val="30"/>
      <w:szCs w:val="3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6BFC5A-9D00-4A07-8392-E7F4671D7527}">
  <ds:schemaRefs/>
</ds:datastoreItem>
</file>

<file path=docProps/app.xml><?xml version="1.0" encoding="utf-8"?>
<Properties xmlns="http://schemas.openxmlformats.org/officeDocument/2006/extended-properties" xmlns:vt="http://schemas.openxmlformats.org/officeDocument/2006/docPropsVTypes">
  <Template>Normal</Template>
  <Pages>24</Pages>
  <Words>1915</Words>
  <Characters>10916</Characters>
  <Lines>90</Lines>
  <Paragraphs>25</Paragraphs>
  <TotalTime>115</TotalTime>
  <ScaleCrop>false</ScaleCrop>
  <LinksUpToDate>false</LinksUpToDate>
  <CharactersWithSpaces>12806</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cp:lastModifiedBy>
  <dcterms:modified xsi:type="dcterms:W3CDTF">2021-09-14T07:23:58Z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2357CA93599A447CA8DF0F8DDB285764</vt:lpwstr>
  </property>
</Properties>
</file>