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540" w:lineRule="exact"/>
        <w:jc w:val="center"/>
        <w:rPr>
          <w:rFonts w:ascii="黑体" w:hAnsi="黑体" w:eastAsia="黑体"/>
          <w:b/>
          <w:color w:val="auto"/>
          <w:sz w:val="36"/>
          <w:szCs w:val="36"/>
        </w:rPr>
      </w:pPr>
      <w:r>
        <w:rPr>
          <w:rFonts w:hint="eastAsia" w:ascii="黑体" w:hAnsi="黑体" w:eastAsia="黑体" w:cs="宋体"/>
          <w:b/>
          <w:color w:val="auto"/>
          <w:sz w:val="36"/>
          <w:szCs w:val="36"/>
        </w:rPr>
        <w:t>2022年海南省职业院校技能大赛（高职组）</w:t>
      </w:r>
    </w:p>
    <w:p>
      <w:pPr>
        <w:snapToGrid w:val="0"/>
        <w:spacing w:line="540" w:lineRule="exact"/>
        <w:jc w:val="center"/>
        <w:rPr>
          <w:rFonts w:ascii="黑体" w:hAnsi="黑体" w:eastAsia="黑体"/>
          <w:b/>
          <w:color w:val="auto"/>
          <w:sz w:val="36"/>
          <w:szCs w:val="36"/>
        </w:rPr>
      </w:pPr>
      <w:r>
        <w:rPr>
          <w:rFonts w:hint="eastAsia" w:ascii="黑体" w:hAnsi="黑体" w:eastAsia="黑体" w:cs="宋体"/>
          <w:b/>
          <w:color w:val="auto"/>
          <w:sz w:val="36"/>
          <w:szCs w:val="36"/>
        </w:rPr>
        <w:t>园林景观设计赛项规程</w:t>
      </w:r>
    </w:p>
    <w:p>
      <w:pPr>
        <w:pStyle w:val="2"/>
        <w:numPr>
          <w:ilvl w:val="0"/>
          <w:numId w:val="1"/>
        </w:numPr>
        <w:spacing w:line="560" w:lineRule="exact"/>
        <w:rPr>
          <w:rFonts w:ascii="仿宋_GB2312" w:hAnsi="仿宋_GB2312" w:cs="仿宋_GB2312"/>
          <w:color w:val="auto"/>
          <w:szCs w:val="28"/>
        </w:rPr>
      </w:pPr>
      <w:r>
        <w:rPr>
          <w:rFonts w:hint="eastAsia" w:ascii="仿宋_GB2312" w:hAnsi="仿宋_GB2312" w:cs="仿宋_GB2312"/>
          <w:color w:val="auto"/>
          <w:szCs w:val="28"/>
        </w:rPr>
        <w:t>赛项名称</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赛项名称：园林景观设计</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英文名称：Landscape Architecture Design</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赛项组别：高职组</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赛项归属：土木建筑大类</w:t>
      </w:r>
    </w:p>
    <w:p>
      <w:pPr>
        <w:pStyle w:val="2"/>
        <w:spacing w:line="560" w:lineRule="exact"/>
        <w:ind w:firstLine="562" w:firstLineChars="200"/>
        <w:rPr>
          <w:rFonts w:ascii="仿宋_GB2312" w:hAnsi="仿宋_GB2312" w:cs="仿宋_GB2312"/>
          <w:color w:val="auto"/>
          <w:szCs w:val="28"/>
        </w:rPr>
      </w:pPr>
      <w:r>
        <w:rPr>
          <w:rFonts w:hint="eastAsia" w:ascii="仿宋_GB2312" w:hAnsi="仿宋_GB2312" w:cs="仿宋_GB2312"/>
          <w:color w:val="auto"/>
          <w:szCs w:val="28"/>
        </w:rPr>
        <w:t>二、竞赛目的</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结合高端技能型人才培养要求和园林景观设计岗位及园林施工岗位的需要，根据施工员、园林绿化工的工作职责要求设置本次技能大赛。</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竞赛目的主要有以下几点：</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（一）培养杰出的景观设计师，增强就业竞争力；</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（二）培养园林工程施工与管理技术人员；</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（三）将大赛园林景观设计过程和作品作为教学内容和案例向社会展示，以提高我省园林景观设计教学水平；</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（四）荟萃行业精英，百家争鸣，促进全省</w:t>
      </w:r>
      <w:r>
        <w:rPr>
          <w:rFonts w:hint="eastAsia" w:ascii="仿宋_GB2312" w:hAnsi="仿宋_GB2312" w:eastAsia="仿宋_GB2312" w:cs="仿宋_GB2312"/>
          <w:color w:val="auto"/>
          <w:sz w:val="28"/>
          <w:szCs w:val="28"/>
          <w:lang w:val="en-US" w:eastAsia="zh-CN"/>
        </w:rPr>
        <w:t>高</w:t>
      </w:r>
      <w:r>
        <w:rPr>
          <w:rFonts w:hint="eastAsia" w:ascii="仿宋_GB2312" w:hAnsi="仿宋_GB2312" w:eastAsia="仿宋_GB2312" w:cs="仿宋_GB2312"/>
          <w:color w:val="auto"/>
          <w:sz w:val="28"/>
          <w:szCs w:val="28"/>
        </w:rPr>
        <w:t>职院校之间相关专业的交流，共同提高景观设计与施工水平。</w:t>
      </w:r>
    </w:p>
    <w:p>
      <w:pPr>
        <w:pStyle w:val="2"/>
        <w:spacing w:line="560" w:lineRule="exact"/>
        <w:ind w:firstLine="562" w:firstLineChars="200"/>
        <w:rPr>
          <w:rFonts w:ascii="仿宋_GB2312" w:hAnsi="仿宋_GB2312" w:cs="仿宋_GB2312"/>
          <w:color w:val="auto"/>
          <w:szCs w:val="28"/>
        </w:rPr>
      </w:pPr>
      <w:r>
        <w:rPr>
          <w:rFonts w:hint="eastAsia" w:ascii="仿宋_GB2312" w:hAnsi="仿宋_GB2312" w:cs="仿宋_GB2312"/>
          <w:color w:val="auto"/>
          <w:szCs w:val="28"/>
        </w:rPr>
        <w:t>三、竞赛内容</w:t>
      </w:r>
    </w:p>
    <w:p>
      <w:pPr>
        <w:snapToGrid w:val="0"/>
        <w:spacing w:line="560" w:lineRule="exact"/>
        <w:ind w:firstLine="56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（一）赛项涵盖知识、技能、职业素养</w:t>
      </w:r>
    </w:p>
    <w:p>
      <w:pPr>
        <w:snapToGrid w:val="0"/>
        <w:spacing w:line="560" w:lineRule="exact"/>
        <w:ind w:firstLine="56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本赛项为园林景观设计，考核内容涵盖园林规划设计、园林工程施工、软件操作等方面的知识和技能。要求选手掌握园林</w:t>
      </w:r>
      <w:r>
        <w:rPr>
          <w:rFonts w:hint="eastAsia" w:ascii="仿宋_GB2312" w:hAnsi="仿宋_GB2312" w:eastAsia="仿宋_GB2312" w:cs="仿宋_GB2312"/>
          <w:color w:val="auto"/>
          <w:sz w:val="28"/>
          <w:szCs w:val="28"/>
          <w:lang w:val="en-US" w:eastAsia="zh-CN"/>
        </w:rPr>
        <w:t>设计手法与</w:t>
      </w:r>
      <w:r>
        <w:rPr>
          <w:rFonts w:hint="eastAsia" w:ascii="仿宋_GB2312" w:hAnsi="仿宋_GB2312" w:eastAsia="仿宋_GB2312" w:cs="仿宋_GB2312"/>
          <w:color w:val="auto"/>
          <w:sz w:val="28"/>
          <w:szCs w:val="28"/>
        </w:rPr>
        <w:t>制图规范、具备创新设计理念、熟练操作绘图软件、</w:t>
      </w:r>
      <w:r>
        <w:rPr>
          <w:rFonts w:hint="eastAsia" w:ascii="仿宋_GB2312" w:hAnsi="仿宋_GB2312" w:eastAsia="仿宋_GB2312" w:cs="仿宋_GB2312"/>
          <w:color w:val="auto"/>
          <w:sz w:val="28"/>
          <w:szCs w:val="28"/>
          <w:lang w:val="en-US" w:eastAsia="zh-CN"/>
        </w:rPr>
        <w:t>设计</w:t>
      </w:r>
      <w:r>
        <w:rPr>
          <w:rFonts w:hint="eastAsia" w:ascii="仿宋_GB2312" w:hAnsi="仿宋_GB2312" w:eastAsia="仿宋_GB2312" w:cs="仿宋_GB2312"/>
          <w:color w:val="auto"/>
          <w:sz w:val="28"/>
          <w:szCs w:val="28"/>
        </w:rPr>
        <w:t>符合人体工程学，团队成员具有协作精神、工匠精神。</w:t>
      </w:r>
    </w:p>
    <w:p>
      <w:pPr>
        <w:snapToGrid w:val="0"/>
        <w:spacing w:line="560" w:lineRule="exact"/>
        <w:ind w:firstLine="56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（二）竞赛内容组成</w:t>
      </w:r>
    </w:p>
    <w:p>
      <w:pPr>
        <w:snapToGrid w:val="0"/>
        <w:spacing w:line="560" w:lineRule="exact"/>
        <w:ind w:firstLine="56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每支参赛队由2名选手组成，2人均为设计选手。</w:t>
      </w:r>
    </w:p>
    <w:p>
      <w:pPr>
        <w:snapToGrid w:val="0"/>
        <w:spacing w:line="560" w:lineRule="exact"/>
        <w:ind w:firstLine="56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设计选手根据比赛指定的环境，在4小时内，完成一套5m×6m的小花园景观设计方案，包括鸟瞰图一张、完整施工图一套。</w:t>
      </w:r>
    </w:p>
    <w:p>
      <w:pPr>
        <w:snapToGrid w:val="0"/>
        <w:spacing w:line="560" w:lineRule="exact"/>
        <w:ind w:firstLine="56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竞赛成绩100分。</w:t>
      </w:r>
    </w:p>
    <w:p>
      <w:pPr>
        <w:pStyle w:val="2"/>
        <w:spacing w:line="560" w:lineRule="exact"/>
        <w:ind w:firstLine="562" w:firstLineChars="200"/>
        <w:rPr>
          <w:rFonts w:ascii="仿宋_GB2312" w:hAnsi="仿宋_GB2312" w:cs="仿宋_GB2312"/>
          <w:color w:val="auto"/>
          <w:szCs w:val="28"/>
        </w:rPr>
      </w:pPr>
      <w:r>
        <w:rPr>
          <w:rFonts w:hint="eastAsia" w:ascii="仿宋_GB2312" w:hAnsi="仿宋_GB2312" w:cs="仿宋_GB2312"/>
          <w:color w:val="auto"/>
          <w:szCs w:val="28"/>
        </w:rPr>
        <w:t>四、竞赛方式</w:t>
      </w:r>
    </w:p>
    <w:p>
      <w:pPr>
        <w:snapToGrid w:val="0"/>
        <w:spacing w:line="560" w:lineRule="exact"/>
        <w:ind w:firstLine="56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（一）报名资格</w:t>
      </w:r>
    </w:p>
    <w:p>
      <w:pPr>
        <w:snapToGrid w:val="0"/>
        <w:spacing w:line="560" w:lineRule="exact"/>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1.参赛选手须为高等职业学校专科、高等职业学校本科全日制在</w:t>
      </w:r>
    </w:p>
    <w:p>
      <w:pPr>
        <w:snapToGrid w:val="0"/>
        <w:spacing w:line="56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籍学生。五年制高职学生报名参赛的，四、五年级学生参加高职组比赛。参赛选手为园林技术、园林工程技术、风景园林设计、环境艺术设计等相关专业。</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2.选手年龄须不超过25周岁</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1998</w:t>
      </w:r>
      <w:r>
        <w:rPr>
          <w:rFonts w:hint="eastAsia" w:ascii="仿宋_GB2312" w:hAnsi="仿宋_GB2312" w:eastAsia="仿宋_GB2312" w:cs="仿宋_GB2312"/>
          <w:color w:val="auto"/>
          <w:sz w:val="28"/>
          <w:szCs w:val="28"/>
        </w:rPr>
        <w:t>年</w:t>
      </w:r>
      <w:r>
        <w:rPr>
          <w:rFonts w:hint="eastAsia" w:ascii="仿宋_GB2312" w:hAnsi="仿宋_GB2312" w:eastAsia="仿宋_GB2312" w:cs="仿宋_GB2312"/>
          <w:color w:val="auto"/>
          <w:sz w:val="28"/>
          <w:szCs w:val="28"/>
          <w:lang w:val="en-US" w:eastAsia="zh-CN"/>
        </w:rPr>
        <w:t>5</w:t>
      </w:r>
      <w:r>
        <w:rPr>
          <w:rFonts w:hint="eastAsia" w:ascii="仿宋_GB2312" w:hAnsi="仿宋_GB2312" w:eastAsia="仿宋_GB2312" w:cs="仿宋_GB2312"/>
          <w:color w:val="auto"/>
          <w:sz w:val="28"/>
          <w:szCs w:val="28"/>
        </w:rPr>
        <w:t>月1日</w:t>
      </w:r>
      <w:r>
        <w:rPr>
          <w:rFonts w:hint="eastAsia" w:ascii="仿宋_GB2312" w:hAnsi="仿宋_GB2312" w:eastAsia="仿宋_GB2312" w:cs="仿宋_GB2312"/>
          <w:color w:val="auto"/>
          <w:sz w:val="28"/>
          <w:szCs w:val="28"/>
          <w:lang w:val="en-US" w:eastAsia="zh-CN"/>
        </w:rPr>
        <w:t>及以后出生</w:t>
      </w:r>
      <w:bookmarkStart w:id="0" w:name="_GoBack"/>
      <w:bookmarkEnd w:id="0"/>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3.省内选拔、名额分配和参赛师生资格审查工作由省教育行政部门负责。大赛执委会办公室行使对参赛人员资格进行抽查的权利。</w:t>
      </w:r>
    </w:p>
    <w:p>
      <w:pPr>
        <w:snapToGrid w:val="0"/>
        <w:spacing w:line="560" w:lineRule="exact"/>
        <w:ind w:firstLine="56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（二）组队要求</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1.符合报名条件的学校可组织报名参赛，不邀请境外代表队参赛。</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2.比赛以团队方式进行，每校限报4组，每组参赛学生2名，不得跨校组队。</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3.每队限报不超过2名指导教师。指导教师须为本校专兼职教师。</w:t>
      </w:r>
    </w:p>
    <w:p>
      <w:pPr>
        <w:pStyle w:val="2"/>
        <w:spacing w:line="560" w:lineRule="exact"/>
        <w:ind w:firstLine="562" w:firstLineChars="200"/>
        <w:rPr>
          <w:rFonts w:ascii="仿宋_GB2312" w:hAnsi="仿宋_GB2312" w:cs="仿宋_GB2312"/>
          <w:color w:val="auto"/>
          <w:szCs w:val="28"/>
        </w:rPr>
      </w:pPr>
      <w:r>
        <w:rPr>
          <w:rFonts w:hint="eastAsia" w:ascii="仿宋_GB2312" w:hAnsi="仿宋_GB2312" w:cs="仿宋_GB2312"/>
          <w:color w:val="auto"/>
          <w:szCs w:val="28"/>
        </w:rPr>
        <w:t>五、竞赛流程</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所有参赛代表队在规定时间内同时进行比赛。</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设计竞赛时间：4小时。</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具体安排如表1。</w:t>
      </w:r>
    </w:p>
    <w:p>
      <w:pPr>
        <w:snapToGrid w:val="0"/>
        <w:spacing w:line="560" w:lineRule="exact"/>
        <w:jc w:val="center"/>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4"/>
        </w:rPr>
        <w:t>表1  园林景观设计竞赛时间安排</w:t>
      </w:r>
    </w:p>
    <w:tbl>
      <w:tblPr>
        <w:tblStyle w:val="12"/>
        <w:tblW w:w="825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2244"/>
        <w:gridCol w:w="600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8251" w:type="dxa"/>
            <w:gridSpan w:val="2"/>
          </w:tcPr>
          <w:p>
            <w:pPr>
              <w:widowControl/>
              <w:rPr>
                <w:rFonts w:ascii="仿宋_GB2312" w:hAnsi="宋体" w:eastAsia="仿宋_GB2312" w:cs="宋体"/>
                <w:b/>
                <w:color w:val="auto"/>
                <w:kern w:val="0"/>
                <w:sz w:val="28"/>
                <w:szCs w:val="28"/>
              </w:rPr>
            </w:pPr>
            <w:r>
              <w:rPr>
                <w:rFonts w:hint="eastAsia" w:ascii="仿宋_GB2312" w:hAnsi="宋体" w:eastAsia="仿宋_GB2312" w:cs="宋体"/>
                <w:b/>
                <w:bCs/>
                <w:color w:val="auto"/>
                <w:kern w:val="0"/>
                <w:sz w:val="28"/>
                <w:szCs w:val="28"/>
              </w:rPr>
              <w:t>时间安排</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tcPr>
          <w:p>
            <w:pPr>
              <w:widowControl/>
              <w:rPr>
                <w:rFonts w:ascii="仿宋_GB2312" w:hAnsi="宋体" w:eastAsia="仿宋_GB2312" w:cs="宋体"/>
                <w:bCs/>
                <w:color w:val="auto"/>
                <w:kern w:val="0"/>
                <w:sz w:val="28"/>
                <w:szCs w:val="28"/>
              </w:rPr>
            </w:pPr>
            <w:r>
              <w:rPr>
                <w:rFonts w:hint="eastAsia" w:ascii="仿宋_GB2312" w:hAnsi="宋体" w:eastAsia="仿宋_GB2312" w:cs="宋体"/>
                <w:bCs/>
                <w:color w:val="auto"/>
                <w:kern w:val="0"/>
                <w:sz w:val="28"/>
                <w:szCs w:val="28"/>
              </w:rPr>
              <w:t>7:30</w:t>
            </w:r>
          </w:p>
        </w:tc>
        <w:tc>
          <w:tcPr>
            <w:tcW w:w="6007" w:type="dxa"/>
          </w:tcPr>
          <w:p>
            <w:pPr>
              <w:widowControl/>
              <w:jc w:val="left"/>
              <w:rPr>
                <w:rFonts w:ascii="仿宋_GB2312" w:hAnsi="宋体" w:eastAsia="仿宋_GB2312" w:cs="宋体"/>
                <w:bCs/>
                <w:color w:val="auto"/>
                <w:kern w:val="0"/>
                <w:sz w:val="28"/>
                <w:szCs w:val="28"/>
              </w:rPr>
            </w:pPr>
            <w:r>
              <w:rPr>
                <w:rFonts w:hint="eastAsia" w:ascii="仿宋_GB2312" w:hAnsi="宋体" w:eastAsia="仿宋_GB2312" w:cs="宋体"/>
                <w:bCs/>
                <w:color w:val="auto"/>
                <w:kern w:val="0"/>
                <w:sz w:val="28"/>
                <w:szCs w:val="28"/>
              </w:rPr>
              <w:t>选手抽签决定比赛工号与机位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tcPr>
          <w:p>
            <w:pPr>
              <w:widowControl/>
              <w:rPr>
                <w:rFonts w:ascii="仿宋_GB2312" w:hAnsi="宋体" w:eastAsia="仿宋_GB2312" w:cs="宋体"/>
                <w:bCs/>
                <w:color w:val="auto"/>
                <w:kern w:val="0"/>
                <w:sz w:val="28"/>
                <w:szCs w:val="28"/>
              </w:rPr>
            </w:pPr>
            <w:r>
              <w:rPr>
                <w:rFonts w:hint="eastAsia" w:ascii="仿宋_GB2312" w:hAnsi="宋体" w:eastAsia="仿宋_GB2312" w:cs="宋体"/>
                <w:bCs/>
                <w:color w:val="auto"/>
                <w:kern w:val="0"/>
                <w:sz w:val="28"/>
                <w:szCs w:val="28"/>
              </w:rPr>
              <w:t>7:45</w:t>
            </w:r>
          </w:p>
        </w:tc>
        <w:tc>
          <w:tcPr>
            <w:tcW w:w="6007" w:type="dxa"/>
          </w:tcPr>
          <w:p>
            <w:pPr>
              <w:widowControl/>
              <w:jc w:val="left"/>
              <w:rPr>
                <w:rFonts w:ascii="仿宋_GB2312" w:hAnsi="宋体" w:eastAsia="仿宋_GB2312" w:cs="宋体"/>
                <w:bCs/>
                <w:color w:val="auto"/>
                <w:kern w:val="0"/>
                <w:sz w:val="28"/>
                <w:szCs w:val="28"/>
              </w:rPr>
            </w:pPr>
            <w:r>
              <w:rPr>
                <w:rFonts w:hint="eastAsia" w:ascii="仿宋_GB2312" w:hAnsi="宋体" w:eastAsia="仿宋_GB2312" w:cs="宋体"/>
                <w:bCs/>
                <w:color w:val="auto"/>
                <w:kern w:val="0"/>
                <w:sz w:val="28"/>
                <w:szCs w:val="28"/>
              </w:rPr>
              <w:t>选手进入技能比赛场并按事先抽签号就位</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tcPr>
          <w:p>
            <w:pPr>
              <w:widowControl/>
              <w:rPr>
                <w:rFonts w:ascii="仿宋_GB2312" w:hAnsi="宋体" w:eastAsia="仿宋_GB2312" w:cs="宋体"/>
                <w:bCs/>
                <w:color w:val="auto"/>
                <w:kern w:val="0"/>
                <w:sz w:val="28"/>
                <w:szCs w:val="28"/>
              </w:rPr>
            </w:pPr>
            <w:r>
              <w:rPr>
                <w:rFonts w:hint="eastAsia" w:ascii="仿宋_GB2312" w:hAnsi="宋体" w:eastAsia="仿宋_GB2312" w:cs="宋体"/>
                <w:bCs/>
                <w:color w:val="auto"/>
                <w:kern w:val="0"/>
                <w:sz w:val="28"/>
                <w:szCs w:val="28"/>
              </w:rPr>
              <w:t>7:45</w:t>
            </w:r>
          </w:p>
        </w:tc>
        <w:tc>
          <w:tcPr>
            <w:tcW w:w="6007" w:type="dxa"/>
          </w:tcPr>
          <w:p>
            <w:pPr>
              <w:widowControl/>
              <w:jc w:val="left"/>
              <w:rPr>
                <w:rFonts w:ascii="仿宋_GB2312" w:hAnsi="宋体" w:eastAsia="仿宋_GB2312" w:cs="宋体"/>
                <w:bCs/>
                <w:color w:val="auto"/>
                <w:kern w:val="0"/>
                <w:sz w:val="28"/>
                <w:szCs w:val="28"/>
              </w:rPr>
            </w:pPr>
            <w:r>
              <w:rPr>
                <w:rFonts w:hint="eastAsia" w:ascii="仿宋_GB2312" w:hAnsi="宋体" w:eastAsia="仿宋_GB2312" w:cs="宋体"/>
                <w:bCs/>
                <w:color w:val="auto"/>
                <w:kern w:val="0"/>
                <w:sz w:val="28"/>
                <w:szCs w:val="28"/>
              </w:rPr>
              <w:t>裁判组成员进入技能比赛场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tcPr>
          <w:p>
            <w:pPr>
              <w:widowControl/>
              <w:rPr>
                <w:rFonts w:ascii="仿宋_GB2312" w:hAnsi="宋体" w:eastAsia="仿宋_GB2312" w:cs="宋体"/>
                <w:bCs/>
                <w:color w:val="auto"/>
                <w:kern w:val="0"/>
                <w:sz w:val="28"/>
                <w:szCs w:val="28"/>
              </w:rPr>
            </w:pPr>
            <w:r>
              <w:rPr>
                <w:rFonts w:hint="eastAsia" w:ascii="仿宋_GB2312" w:hAnsi="宋体" w:eastAsia="仿宋_GB2312" w:cs="宋体"/>
                <w:bCs/>
                <w:color w:val="auto"/>
                <w:kern w:val="0"/>
                <w:sz w:val="28"/>
                <w:szCs w:val="28"/>
              </w:rPr>
              <w:t>8:00～12:00</w:t>
            </w:r>
          </w:p>
        </w:tc>
        <w:tc>
          <w:tcPr>
            <w:tcW w:w="6007" w:type="dxa"/>
          </w:tcPr>
          <w:p>
            <w:pPr>
              <w:widowControl/>
              <w:jc w:val="left"/>
              <w:rPr>
                <w:rFonts w:ascii="仿宋_GB2312" w:hAnsi="宋体" w:eastAsia="仿宋_GB2312" w:cs="宋体"/>
                <w:bCs/>
                <w:color w:val="auto"/>
                <w:kern w:val="0"/>
                <w:sz w:val="28"/>
                <w:szCs w:val="28"/>
              </w:rPr>
            </w:pPr>
            <w:r>
              <w:rPr>
                <w:rFonts w:hint="eastAsia" w:ascii="仿宋_GB2312" w:hAnsi="宋体" w:eastAsia="仿宋_GB2312" w:cs="宋体"/>
                <w:bCs/>
                <w:color w:val="auto"/>
                <w:kern w:val="0"/>
                <w:sz w:val="28"/>
                <w:szCs w:val="28"/>
              </w:rPr>
              <w:t>比赛时间。选手操作完成后，在《作品提交确认表》上签名确认，方可离开赛场</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79" w:hRule="atLeast"/>
          <w:jc w:val="center"/>
        </w:trPr>
        <w:tc>
          <w:tcPr>
            <w:tcW w:w="2244" w:type="dxa"/>
          </w:tcPr>
          <w:p>
            <w:pPr>
              <w:widowControl/>
              <w:rPr>
                <w:rFonts w:ascii="仿宋_GB2312" w:hAnsi="宋体" w:eastAsia="仿宋_GB2312" w:cs="宋体"/>
                <w:bCs/>
                <w:color w:val="auto"/>
                <w:kern w:val="0"/>
                <w:sz w:val="28"/>
                <w:szCs w:val="28"/>
              </w:rPr>
            </w:pPr>
            <w:r>
              <w:rPr>
                <w:rFonts w:hint="eastAsia" w:ascii="仿宋_GB2312" w:hAnsi="宋体" w:eastAsia="仿宋_GB2312" w:cs="宋体"/>
                <w:bCs/>
                <w:color w:val="auto"/>
                <w:kern w:val="0"/>
                <w:sz w:val="28"/>
                <w:szCs w:val="28"/>
              </w:rPr>
              <w:t>12:30～14:30</w:t>
            </w:r>
          </w:p>
        </w:tc>
        <w:tc>
          <w:tcPr>
            <w:tcW w:w="6007" w:type="dxa"/>
          </w:tcPr>
          <w:p>
            <w:pPr>
              <w:widowControl/>
              <w:jc w:val="left"/>
              <w:rPr>
                <w:rFonts w:ascii="仿宋_GB2312" w:hAnsi="宋体" w:eastAsia="仿宋_GB2312" w:cs="宋体"/>
                <w:bCs/>
                <w:color w:val="auto"/>
                <w:kern w:val="0"/>
                <w:sz w:val="28"/>
                <w:szCs w:val="28"/>
              </w:rPr>
            </w:pPr>
            <w:r>
              <w:rPr>
                <w:rFonts w:hint="eastAsia" w:ascii="仿宋_GB2312" w:hAnsi="宋体" w:eastAsia="仿宋_GB2312" w:cs="宋体"/>
                <w:bCs/>
                <w:color w:val="auto"/>
                <w:kern w:val="0"/>
                <w:sz w:val="28"/>
                <w:szCs w:val="28"/>
              </w:rPr>
              <w:t>裁判评分汇总</w:t>
            </w:r>
          </w:p>
        </w:tc>
      </w:tr>
    </w:tbl>
    <w:p>
      <w:pPr>
        <w:pStyle w:val="2"/>
        <w:spacing w:line="560" w:lineRule="exact"/>
        <w:ind w:firstLine="562" w:firstLineChars="200"/>
        <w:rPr>
          <w:rFonts w:ascii="仿宋_GB2312" w:hAnsi="仿宋_GB2312" w:cs="仿宋_GB2312"/>
          <w:color w:val="auto"/>
          <w:szCs w:val="28"/>
        </w:rPr>
      </w:pPr>
      <w:r>
        <w:rPr>
          <w:rFonts w:hint="eastAsia" w:ascii="仿宋_GB2312" w:hAnsi="仿宋_GB2312" w:cs="仿宋_GB2312"/>
          <w:color w:val="auto"/>
          <w:szCs w:val="28"/>
        </w:rPr>
        <w:t>六、竞赛赛卷</w:t>
      </w:r>
    </w:p>
    <w:p>
      <w:pPr>
        <w:wordWrap w:val="0"/>
        <w:topLinePunct/>
        <w:snapToGrid w:val="0"/>
        <w:spacing w:line="560" w:lineRule="exact"/>
        <w:ind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素材参照全国（www.chinaskills-jsw.org）公开的素材。</w:t>
      </w:r>
    </w:p>
    <w:p>
      <w:pPr>
        <w:snapToGrid w:val="0"/>
        <w:spacing w:line="560" w:lineRule="exact"/>
        <w:ind w:firstLine="56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（一）试题名称</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小花园景观设计。</w:t>
      </w:r>
    </w:p>
    <w:p>
      <w:pPr>
        <w:snapToGrid w:val="0"/>
        <w:spacing w:line="560" w:lineRule="exact"/>
        <w:ind w:firstLine="56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（二）竞赛内容介绍</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次竞赛内容是5m×6m的小花园景观设计，赛卷中提供木平台方案及位置，选手按照提供的材料和设计指标要求，在此基础上对小花园场地进行设计，绘制场地设计鸟瞰图和完整的施工图一套。组建试题库。试题库不少于5套试题，正式比赛时由裁判随机抽取其中1套作为竞赛试题。样题如图1所示。</w:t>
      </w:r>
    </w:p>
    <w:p>
      <w:pPr>
        <w:widowControl/>
        <w:spacing w:line="560" w:lineRule="exact"/>
        <w:jc w:val="left"/>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br w:type="page"/>
      </w:r>
    </w:p>
    <w:p>
      <w:pPr>
        <w:snapToGrid w:val="0"/>
        <w:spacing w:line="560" w:lineRule="exact"/>
        <w:jc w:val="center"/>
        <w:rPr>
          <w:rFonts w:ascii="仿宋_GB2312" w:hAnsi="仿宋_GB2312" w:eastAsia="仿宋_GB2312" w:cs="仿宋_GB2312"/>
          <w:b/>
          <w:color w:val="auto"/>
          <w:sz w:val="28"/>
          <w:szCs w:val="28"/>
        </w:rPr>
      </w:pPr>
      <w:r>
        <w:rPr>
          <w:rFonts w:hint="eastAsia" w:ascii="仿宋_GB2312" w:hAnsi="仿宋_GB2312" w:eastAsia="仿宋_GB2312" w:cs="仿宋_GB2312"/>
          <w:color w:val="auto"/>
          <w:sz w:val="28"/>
          <w:szCs w:val="28"/>
        </w:rPr>
        <w:drawing>
          <wp:anchor distT="0" distB="0" distL="0" distR="0" simplePos="0" relativeHeight="251659264" behindDoc="0" locked="0" layoutInCell="1" allowOverlap="1">
            <wp:simplePos x="0" y="0"/>
            <wp:positionH relativeFrom="column">
              <wp:posOffset>28575</wp:posOffset>
            </wp:positionH>
            <wp:positionV relativeFrom="paragraph">
              <wp:posOffset>203835</wp:posOffset>
            </wp:positionV>
            <wp:extent cx="5237480" cy="4853940"/>
            <wp:effectExtent l="9525" t="0" r="10795" b="13335"/>
            <wp:wrapNone/>
            <wp:docPr id="1" name="图片 6" descr="C:\Users\John\Desktop\试题4.jpg试题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Users\John\Desktop\试题4.jpg试题4"/>
                    <pic:cNvPicPr>
                      <a:picLocks noChangeAspect="1"/>
                    </pic:cNvPicPr>
                  </pic:nvPicPr>
                  <pic:blipFill>
                    <a:blip r:embed="rId5"/>
                    <a:srcRect b="1735"/>
                    <a:stretch>
                      <a:fillRect/>
                    </a:stretch>
                  </pic:blipFill>
                  <pic:spPr>
                    <a:xfrm>
                      <a:off x="0" y="0"/>
                      <a:ext cx="5237480" cy="4853940"/>
                    </a:xfrm>
                    <a:prstGeom prst="rect">
                      <a:avLst/>
                    </a:prstGeom>
                    <a:noFill/>
                    <a:ln w="9525">
                      <a:solidFill>
                        <a:schemeClr val="tx1">
                          <a:alpha val="0"/>
                        </a:schemeClr>
                      </a:solidFill>
                    </a:ln>
                  </pic:spPr>
                </pic:pic>
              </a:graphicData>
            </a:graphic>
          </wp:anchor>
        </w:drawing>
      </w: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p>
    <w:p>
      <w:pPr>
        <w:snapToGrid w:val="0"/>
        <w:spacing w:line="560" w:lineRule="exact"/>
        <w:rPr>
          <w:rFonts w:ascii="仿宋_GB2312" w:hAnsi="仿宋_GB2312" w:eastAsia="仿宋_GB2312" w:cs="仿宋_GB2312"/>
          <w:b/>
          <w:color w:val="auto"/>
          <w:sz w:val="28"/>
          <w:szCs w:val="28"/>
        </w:rPr>
      </w:pPr>
    </w:p>
    <w:p>
      <w:pPr>
        <w:snapToGrid w:val="0"/>
        <w:spacing w:line="560" w:lineRule="exact"/>
        <w:jc w:val="center"/>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t>图1  用地范围图</w:t>
      </w:r>
    </w:p>
    <w:p>
      <w:pPr>
        <w:snapToGrid w:val="0"/>
        <w:spacing w:line="560" w:lineRule="exact"/>
        <w:ind w:firstLine="56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（三）赛项要求</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1.设计要求</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设计一个出入口，设计方案根据提供的材料清单，合理运用地形、水体、植物、景观小品等景观设计要素，布局合理，交通清晰流畅，构思新颖，能充分反映时代特点，具有独创性、经济性和可行性。注意乔、灌、草的合理配置。设计需满足以人为本的基本理念，符合人体工程学要求。图面表达清晰美观并符合园林制图规范，设计应符合国家现行相关法律法规。</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施工图深度必须达到施工要求，至少包括总平面图、平面（网格）定位放线图、竖向设计图、种植设计图、景观小品结构详图等。设计选手必须将施工图中所有的定位尺寸、标高、材料等标注完整并确定无误。</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设计指标要求如下：</w:t>
      </w:r>
    </w:p>
    <w:p>
      <w:pPr>
        <w:numPr>
          <w:ilvl w:val="0"/>
          <w:numId w:val="2"/>
        </w:num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铺装面积不大于总面积的20%；</w:t>
      </w:r>
    </w:p>
    <w:p>
      <w:pPr>
        <w:numPr>
          <w:ilvl w:val="0"/>
          <w:numId w:val="2"/>
        </w:num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水体面积不大于总面积的18%；</w:t>
      </w:r>
    </w:p>
    <w:p>
      <w:pPr>
        <w:numPr>
          <w:ilvl w:val="0"/>
          <w:numId w:val="2"/>
        </w:num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建筑或小品（景墙或花坛等）占地面积不大于总面积的4%；</w:t>
      </w:r>
    </w:p>
    <w:p>
      <w:pPr>
        <w:numPr>
          <w:ilvl w:val="0"/>
          <w:numId w:val="2"/>
        </w:num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植物的种类不少于7种。</w:t>
      </w:r>
    </w:p>
    <w:p>
      <w:pPr>
        <w:snapToGrid w:val="0"/>
        <w:spacing w:line="560" w:lineRule="exact"/>
        <w:ind w:firstLine="56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（四）设计图纸内容</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在规定时间内选用提供的AutoCAD20</w:t>
      </w:r>
      <w:r>
        <w:rPr>
          <w:rFonts w:hint="eastAsia" w:ascii="仿宋_GB2312" w:hAnsi="仿宋_GB2312" w:eastAsia="仿宋_GB2312" w:cs="仿宋_GB2312"/>
          <w:color w:val="auto"/>
          <w:sz w:val="28"/>
          <w:szCs w:val="28"/>
          <w:lang w:val="en-US" w:eastAsia="zh-CN"/>
        </w:rPr>
        <w:t>14</w:t>
      </w:r>
      <w:r>
        <w:rPr>
          <w:rFonts w:hint="eastAsia" w:ascii="仿宋_GB2312" w:hAnsi="仿宋_GB2312" w:eastAsia="仿宋_GB2312" w:cs="仿宋_GB2312"/>
          <w:color w:val="auto"/>
          <w:sz w:val="28"/>
          <w:szCs w:val="28"/>
        </w:rPr>
        <w:t>中文版、Adobe Photoshop CS6中文版、3Dmax2020中文版或SketchUp2020中文版，以及WPS Office等计算机应用软件，根据比赛指定设计环境，自主命题，完成园林景观设计方案，绘制景观设计图与施工设计图。内容至少包括：</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1.设计方案部分</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（1）鸟瞰图1张；</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（2）设计说明（不超过300字）。</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2.施工图设计部分</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（1）总平面图1张；</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（2）尺寸定位图1张、竖向标高设计图1张、种植设计图（包括苗木统计表）1张；</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（3）地面铺装做法结构详图；</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（4）木作（木平台或木椅或木桥或木栏杆）结构详图；</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（5）景墙、花坛结构详图；</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（6）水、电布置平面图1张；</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（7）封面、目录、设计说明等；</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选手可以根据需要增加图纸张数。</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3.作品提交要求</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选手将设计成果（鸟瞰图与设计说明）保存为一个JPG文件（A3图幅，模式RGB颜色，分辨率至少200PPI），鸟瞰图与设计说明合理分布于A3图幅中。文件命名为“设计.jpg”；</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施工图设计图纸选用A3图幅，图框自行设计，自定比例和图纸数量，选手设计完成后用布局排版，所有图纸排在一个布局里，按照图号顺序从左向右依次排列（如图5所示），施工设计图纸保存为.dwg格式，命名为“施工设计图布局排版.dwg”（如图4所示）,然后将每张图纸输出为PDF格式，输出后每张图的命名为对应的图名（如“施工总平面图.pdf”）（如图4所示）。</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将方案设计图（即“设计.jpg”）、施工设计图（包括输出前的.dwg格式的图纸和输出后的.pdf格式的）压缩成一个电子文件，文件命名为“工位号.zip”（如“A01.zip”）。竞赛结束时将最终作品存储到指定地址。作品不得出现任何反映作者、指导老师及学校的相关信息，违者将取消比赛资格。</w:t>
      </w:r>
    </w:p>
    <w:p>
      <w:pPr>
        <w:adjustRightInd w:val="0"/>
        <w:snapToGrid w:val="0"/>
        <w:spacing w:line="560" w:lineRule="exact"/>
        <w:ind w:firstLine="57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保存后的作品展开顺序如下图2-图6所示。</w:t>
      </w:r>
    </w:p>
    <w:p>
      <w:pPr>
        <w:adjustRightInd w:val="0"/>
        <w:snapToGrid w:val="0"/>
        <w:spacing w:line="560" w:lineRule="exact"/>
        <w:ind w:firstLine="570"/>
        <w:rPr>
          <w:rFonts w:ascii="仿宋_GB2312" w:hAnsi="仿宋_GB2312" w:eastAsia="仿宋_GB2312" w:cs="仿宋_GB2312"/>
          <w:color w:val="auto"/>
          <w:sz w:val="28"/>
          <w:szCs w:val="28"/>
        </w:rPr>
      </w:pPr>
    </w:p>
    <w:p>
      <w:pPr>
        <w:adjustRightInd w:val="0"/>
        <w:snapToGrid w:val="0"/>
        <w:spacing w:line="560" w:lineRule="exact"/>
        <w:ind w:firstLine="570"/>
        <w:rPr>
          <w:rFonts w:ascii="仿宋_GB2312" w:hAnsi="仿宋_GB2312" w:eastAsia="仿宋_GB2312" w:cs="仿宋_GB2312"/>
          <w:color w:val="auto"/>
          <w:sz w:val="28"/>
          <w:szCs w:val="28"/>
        </w:rPr>
      </w:pPr>
    </w:p>
    <w:p>
      <w:pPr>
        <w:adjustRightInd w:val="0"/>
        <w:snapToGrid w:val="0"/>
        <w:spacing w:line="560" w:lineRule="exact"/>
        <w:ind w:firstLine="570"/>
        <w:rPr>
          <w:rFonts w:ascii="仿宋_GB2312" w:hAnsi="仿宋_GB2312" w:eastAsia="仿宋_GB2312" w:cs="仿宋_GB2312"/>
          <w:color w:val="auto"/>
          <w:sz w:val="28"/>
          <w:szCs w:val="28"/>
        </w:rPr>
      </w:pPr>
    </w:p>
    <w:p>
      <w:pPr>
        <w:adjustRightInd w:val="0"/>
        <w:snapToGrid w:val="0"/>
        <w:spacing w:line="560" w:lineRule="exact"/>
        <w:ind w:firstLine="570"/>
        <w:rPr>
          <w:rFonts w:ascii="仿宋_GB2312" w:hAnsi="仿宋_GB2312" w:eastAsia="仿宋_GB2312" w:cs="仿宋_GB2312"/>
          <w:color w:val="auto"/>
          <w:sz w:val="28"/>
          <w:szCs w:val="28"/>
        </w:rPr>
      </w:pPr>
    </w:p>
    <w:p>
      <w:pPr>
        <w:adjustRightInd w:val="0"/>
        <w:snapToGrid w:val="0"/>
        <w:spacing w:line="560" w:lineRule="exac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drawing>
          <wp:inline distT="0" distB="0" distL="0" distR="0">
            <wp:extent cx="1588135" cy="926465"/>
            <wp:effectExtent l="0" t="0" r="12065"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588135" cy="926465"/>
                    </a:xfrm>
                    <a:prstGeom prst="rect">
                      <a:avLst/>
                    </a:prstGeom>
                    <a:noFill/>
                    <a:ln>
                      <a:noFill/>
                    </a:ln>
                  </pic:spPr>
                </pic:pic>
              </a:graphicData>
            </a:graphic>
          </wp:inline>
        </w:drawing>
      </w:r>
    </w:p>
    <w:p>
      <w:pPr>
        <w:adjustRightInd w:val="0"/>
        <w:snapToGrid w:val="0"/>
        <w:spacing w:line="560" w:lineRule="exact"/>
        <w:rPr>
          <w:rFonts w:ascii="仿宋_GB2312" w:hAnsi="仿宋_GB2312" w:eastAsia="仿宋_GB2312" w:cs="仿宋_GB2312"/>
          <w:color w:val="auto"/>
          <w:sz w:val="28"/>
          <w:szCs w:val="28"/>
        </w:rPr>
      </w:pPr>
    </w:p>
    <w:p>
      <w:pPr>
        <w:adjustRightInd w:val="0"/>
        <w:snapToGrid w:val="0"/>
        <w:spacing w:line="560" w:lineRule="exact"/>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drawing>
          <wp:anchor distT="0" distB="0" distL="114300" distR="114300" simplePos="0" relativeHeight="251660288" behindDoc="0" locked="0" layoutInCell="1" allowOverlap="1">
            <wp:simplePos x="0" y="0"/>
            <wp:positionH relativeFrom="column">
              <wp:posOffset>114300</wp:posOffset>
            </wp:positionH>
            <wp:positionV relativeFrom="paragraph">
              <wp:posOffset>-21590</wp:posOffset>
            </wp:positionV>
            <wp:extent cx="4041140" cy="3265170"/>
            <wp:effectExtent l="0" t="0" r="16510" b="11430"/>
            <wp:wrapNone/>
            <wp:docPr id="3" name="图片 3" descr="QQ截图20190322170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QQ截图20190322170548"/>
                    <pic:cNvPicPr>
                      <a:picLocks noChangeAspect="1"/>
                    </pic:cNvPicPr>
                  </pic:nvPicPr>
                  <pic:blipFill>
                    <a:blip r:embed="rId7"/>
                    <a:stretch>
                      <a:fillRect/>
                    </a:stretch>
                  </pic:blipFill>
                  <pic:spPr>
                    <a:xfrm>
                      <a:off x="0" y="0"/>
                      <a:ext cx="4041140" cy="3265170"/>
                    </a:xfrm>
                    <a:prstGeom prst="rect">
                      <a:avLst/>
                    </a:prstGeom>
                  </pic:spPr>
                </pic:pic>
              </a:graphicData>
            </a:graphic>
          </wp:anchor>
        </w:drawing>
      </w:r>
    </w:p>
    <w:p>
      <w:pPr>
        <w:adjustRightInd w:val="0"/>
        <w:snapToGrid w:val="0"/>
        <w:spacing w:line="560" w:lineRule="exact"/>
        <w:jc w:val="left"/>
        <w:rPr>
          <w:rFonts w:ascii="仿宋_GB2312" w:hAnsi="仿宋_GB2312" w:eastAsia="仿宋_GB2312" w:cs="仿宋_GB2312"/>
          <w:color w:val="auto"/>
          <w:sz w:val="28"/>
          <w:szCs w:val="28"/>
        </w:rPr>
      </w:pPr>
    </w:p>
    <w:p>
      <w:pPr>
        <w:snapToGrid w:val="0"/>
        <w:spacing w:line="560" w:lineRule="exact"/>
        <w:rPr>
          <w:rFonts w:ascii="仿宋_GB2312" w:hAnsi="仿宋_GB2312" w:eastAsia="仿宋_GB2312" w:cs="仿宋_GB2312"/>
          <w:b/>
          <w:bCs/>
          <w:color w:val="auto"/>
          <w:sz w:val="28"/>
          <w:szCs w:val="28"/>
        </w:rPr>
      </w:pPr>
    </w:p>
    <w:p>
      <w:pPr>
        <w:snapToGrid w:val="0"/>
        <w:spacing w:line="560" w:lineRule="exact"/>
        <w:ind w:firstLine="560" w:firstLineChars="200"/>
        <w:rPr>
          <w:rFonts w:ascii="仿宋_GB2312" w:hAnsi="仿宋_GB2312" w:eastAsia="仿宋_GB2312" w:cs="仿宋_GB2312"/>
          <w:color w:val="auto"/>
          <w:sz w:val="28"/>
          <w:szCs w:val="28"/>
        </w:rPr>
      </w:pPr>
    </w:p>
    <w:p>
      <w:pPr>
        <w:snapToGrid w:val="0"/>
        <w:spacing w:line="560" w:lineRule="exact"/>
        <w:ind w:firstLine="560" w:firstLineChars="200"/>
        <w:rPr>
          <w:rFonts w:ascii="仿宋_GB2312" w:hAnsi="仿宋_GB2312" w:eastAsia="仿宋_GB2312" w:cs="仿宋_GB2312"/>
          <w:color w:val="auto"/>
          <w:sz w:val="28"/>
          <w:szCs w:val="28"/>
        </w:rPr>
      </w:pPr>
    </w:p>
    <w:p>
      <w:pPr>
        <w:snapToGrid w:val="0"/>
        <w:spacing w:line="560" w:lineRule="exact"/>
        <w:ind w:firstLine="560" w:firstLineChars="200"/>
        <w:rPr>
          <w:rFonts w:ascii="仿宋_GB2312" w:hAnsi="仿宋_GB2312" w:eastAsia="仿宋_GB2312" w:cs="仿宋_GB2312"/>
          <w:color w:val="auto"/>
          <w:sz w:val="28"/>
          <w:szCs w:val="28"/>
        </w:rPr>
      </w:pPr>
    </w:p>
    <w:p>
      <w:pPr>
        <w:snapToGrid w:val="0"/>
        <w:spacing w:line="560" w:lineRule="exact"/>
        <w:ind w:firstLine="560" w:firstLineChars="200"/>
        <w:rPr>
          <w:rFonts w:ascii="仿宋_GB2312" w:hAnsi="仿宋_GB2312" w:eastAsia="仿宋_GB2312" w:cs="仿宋_GB2312"/>
          <w:color w:val="auto"/>
          <w:sz w:val="28"/>
          <w:szCs w:val="28"/>
        </w:rPr>
      </w:pPr>
    </w:p>
    <w:p>
      <w:pPr>
        <w:snapToGrid w:val="0"/>
        <w:spacing w:line="560" w:lineRule="exact"/>
        <w:ind w:firstLine="560" w:firstLineChars="200"/>
        <w:rPr>
          <w:rFonts w:ascii="仿宋_GB2312" w:hAnsi="仿宋_GB2312" w:eastAsia="仿宋_GB2312" w:cs="仿宋_GB2312"/>
          <w:color w:val="auto"/>
          <w:sz w:val="28"/>
          <w:szCs w:val="28"/>
        </w:rPr>
      </w:pPr>
    </w:p>
    <w:p>
      <w:pPr>
        <w:snapToGrid w:val="0"/>
        <w:spacing w:line="560" w:lineRule="exact"/>
        <w:ind w:firstLine="560" w:firstLineChars="200"/>
        <w:rPr>
          <w:rFonts w:ascii="仿宋_GB2312" w:hAnsi="仿宋_GB2312" w:eastAsia="仿宋_GB2312" w:cs="仿宋_GB2312"/>
          <w:color w:val="auto"/>
          <w:sz w:val="28"/>
          <w:szCs w:val="28"/>
        </w:rPr>
      </w:pP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注：如果图纸没有使用布局排版，也必须在CAD模型空间排版，不影响分值。</w:t>
      </w:r>
    </w:p>
    <w:p>
      <w:pPr>
        <w:snapToGrid w:val="0"/>
        <w:spacing w:line="560" w:lineRule="exact"/>
        <w:ind w:firstLine="56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（五）设计图中的图例由组委会统一提供。</w:t>
      </w:r>
    </w:p>
    <w:p>
      <w:pPr>
        <w:pStyle w:val="2"/>
        <w:spacing w:line="560" w:lineRule="exact"/>
        <w:ind w:firstLine="562" w:firstLineChars="200"/>
        <w:rPr>
          <w:rFonts w:ascii="仿宋_GB2312" w:hAnsi="仿宋_GB2312" w:cs="仿宋_GB2312"/>
          <w:color w:val="auto"/>
          <w:szCs w:val="28"/>
        </w:rPr>
      </w:pPr>
      <w:r>
        <w:rPr>
          <w:rFonts w:hint="eastAsia" w:ascii="仿宋_GB2312" w:hAnsi="仿宋_GB2312" w:cs="仿宋_GB2312"/>
          <w:color w:val="auto"/>
          <w:szCs w:val="28"/>
        </w:rPr>
        <w:t>七、竞赛规则</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 参赛选手必须持本人身份证与参赛证参加比赛。</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 参赛选手和指导教师报名获得确认后不得随意更换。如比赛前参赛选手和指导教师因故无法参赛，须由省级教育行政部门于本赛项开赛10个工作日之前出具书面说明，经大赛执委会办公室核实后予以更换。竞赛开始后，参赛队不得更换参赛队员，允许队员缺席比赛。</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3.参赛选手出场顺序、位置、比赛所用工具等均由抽签决定，不得擅自变更、调整。</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 参赛选手提前15分钟检录进入赛场，并按照指定位号参加比赛。迟到15分钟以上（含15分钟）者，取消比赛资格；比赛开始15分钟后，选手方可离开赛场。</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5.选手进入赛场后须检查比赛工具、设备和材料是否齐全，如有疑问向裁判询问。</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6.选手在竞赛过程中不得擅自离开赛场，如有特殊情况，需经裁判同意，选手若需休息、饮水或去洗手间等，耗用时间计算在比赛时间内。</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7.参赛选手的作品不得出现任何反映作者、指导老师及学校的相关信息，违者将取消比赛资格。设计图图面表达清晰美观并符合园林制图规范，设计应符合国家现行相关法律法规。施工符合园林绿化工程施工及验收规范，符合国家现行相关法律法规。</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8. 比赛在规定时间结束时，参赛选手应立即停止操作，不得以任何理由拖延比赛时间。选手操作完成后，在《实际操作现场记录表》上签名确认，方可离开赛场。</w:t>
      </w:r>
    </w:p>
    <w:p>
      <w:pPr>
        <w:pStyle w:val="2"/>
        <w:spacing w:line="560" w:lineRule="exact"/>
        <w:ind w:firstLine="562" w:firstLineChars="200"/>
        <w:rPr>
          <w:rFonts w:ascii="仿宋_GB2312" w:hAnsi="仿宋_GB2312" w:cs="仿宋_GB2312"/>
          <w:color w:val="auto"/>
          <w:szCs w:val="28"/>
        </w:rPr>
      </w:pPr>
      <w:r>
        <w:rPr>
          <w:rFonts w:hint="eastAsia" w:ascii="仿宋_GB2312" w:hAnsi="仿宋_GB2312" w:cs="仿宋_GB2312"/>
          <w:color w:val="auto"/>
          <w:szCs w:val="28"/>
        </w:rPr>
        <w:t>八、竞赛环境</w:t>
      </w:r>
    </w:p>
    <w:p>
      <w:pPr>
        <w:snapToGrid w:val="0"/>
        <w:spacing w:line="560" w:lineRule="exact"/>
        <w:ind w:firstLine="562" w:firstLineChars="200"/>
        <w:rPr>
          <w:rFonts w:ascii="仿宋_GB2312" w:hAnsi="仿宋_GB2312" w:eastAsia="仿宋_GB2312" w:cs="仿宋_GB2312"/>
          <w:color w:val="auto"/>
          <w:sz w:val="28"/>
          <w:szCs w:val="28"/>
        </w:rPr>
      </w:pPr>
      <w:r>
        <w:rPr>
          <w:rFonts w:hint="eastAsia" w:ascii="仿宋_GB2312" w:hAnsi="仿宋_GB2312" w:eastAsia="仿宋_GB2312" w:cs="仿宋_GB2312"/>
          <w:b/>
          <w:bCs/>
          <w:color w:val="auto"/>
          <w:sz w:val="28"/>
          <w:szCs w:val="28"/>
        </w:rPr>
        <w:t>设计比赛场地及要求</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计算机机房，比赛面积不少于100m</w:t>
      </w:r>
      <w:r>
        <w:rPr>
          <w:rFonts w:hint="eastAsia" w:ascii="仿宋_GB2312" w:hAnsi="仿宋_GB2312" w:eastAsia="仿宋_GB2312" w:cs="仿宋_GB2312"/>
          <w:color w:val="auto"/>
          <w:sz w:val="28"/>
          <w:szCs w:val="28"/>
          <w:vertAlign w:val="superscript"/>
        </w:rPr>
        <w:t>2</w:t>
      </w:r>
      <w:r>
        <w:rPr>
          <w:rFonts w:hint="eastAsia" w:ascii="仿宋_GB2312" w:hAnsi="仿宋_GB2312" w:eastAsia="仿宋_GB2312" w:cs="仿宋_GB2312"/>
          <w:color w:val="auto"/>
          <w:sz w:val="28"/>
          <w:szCs w:val="28"/>
        </w:rPr>
        <w:t>，电脑不少于50台；配有多媒体讲台，包括投影仪、交换机、服务器、投影屏幕等设备。</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多媒体讲台主控电脑可以发送电子文件至每组电脑，并可收取学生作品文件。每组两台电脑通过局域网相联，各组之间独立运行。</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机房安装有监控设备，比赛环境安全、安静无干扰。</w:t>
      </w:r>
    </w:p>
    <w:p>
      <w:pPr>
        <w:pStyle w:val="2"/>
        <w:spacing w:line="560" w:lineRule="exact"/>
        <w:ind w:firstLine="562" w:firstLineChars="200"/>
        <w:rPr>
          <w:rFonts w:ascii="仿宋_GB2312" w:hAnsi="仿宋_GB2312" w:cs="仿宋_GB2312"/>
          <w:color w:val="auto"/>
          <w:szCs w:val="28"/>
        </w:rPr>
      </w:pPr>
      <w:r>
        <w:rPr>
          <w:rFonts w:hint="eastAsia" w:ascii="仿宋_GB2312" w:hAnsi="仿宋_GB2312" w:cs="仿宋_GB2312"/>
          <w:color w:val="auto"/>
          <w:szCs w:val="28"/>
        </w:rPr>
        <w:t>九、技术规范</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1.按照教育部高职高专园林技术、环境艺术设计、建筑工程技术、园林工程技术等相关专业教学基本要求。</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2.国家标准：《普通混凝土小型砌块》（GB/T 8239—2014）、《砌体结构工程施工规范》（GB50924—2014）、《工程量清单计价规范》（GB50500-2008）、《砌体结构工程施工质量验收规范》（GB50203-2011）。</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3.行业标准：《园林绿化工程施工及验收规范》（CJJA3_82-2012）、《喷泉水景工程技术规程》（CJJ/T222-2015）、《建设工程施工现场环境与卫生标准》（JGJ146—2013）。</w:t>
      </w:r>
    </w:p>
    <w:p>
      <w:pPr>
        <w:pStyle w:val="2"/>
        <w:spacing w:line="560" w:lineRule="exact"/>
        <w:ind w:firstLine="562" w:firstLineChars="200"/>
        <w:rPr>
          <w:rFonts w:ascii="仿宋_GB2312" w:hAnsi="仿宋_GB2312" w:cs="仿宋_GB2312"/>
          <w:color w:val="auto"/>
          <w:szCs w:val="28"/>
        </w:rPr>
      </w:pPr>
      <w:r>
        <w:rPr>
          <w:rFonts w:hint="eastAsia" w:ascii="仿宋_GB2312" w:hAnsi="仿宋_GB2312" w:cs="仿宋_GB2312"/>
          <w:color w:val="auto"/>
          <w:szCs w:val="28"/>
        </w:rPr>
        <w:t>十、技术平台</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1.设计比赛应用软件</w:t>
      </w:r>
    </w:p>
    <w:p>
      <w:pPr>
        <w:snapToGrid w:val="0"/>
        <w:spacing w:line="560" w:lineRule="exact"/>
        <w:ind w:firstLine="560" w:firstLineChars="200"/>
        <w:rPr>
          <w:rFonts w:ascii="仿宋_GB2312" w:hAnsi="仿宋_GB2312" w:eastAsia="仿宋_GB2312" w:cs="仿宋_GB2312"/>
          <w:b/>
          <w:color w:val="auto"/>
          <w:sz w:val="28"/>
          <w:szCs w:val="28"/>
        </w:rPr>
      </w:pPr>
      <w:r>
        <w:rPr>
          <w:rFonts w:hint="eastAsia" w:ascii="仿宋_GB2312" w:hAnsi="仿宋_GB2312" w:eastAsia="仿宋_GB2312" w:cs="仿宋_GB2312"/>
          <w:color w:val="auto"/>
          <w:sz w:val="28"/>
          <w:szCs w:val="28"/>
        </w:rPr>
        <w:t>AutoCAD20</w:t>
      </w:r>
      <w:r>
        <w:rPr>
          <w:rFonts w:hint="eastAsia" w:ascii="仿宋_GB2312" w:hAnsi="仿宋_GB2312" w:eastAsia="仿宋_GB2312" w:cs="仿宋_GB2312"/>
          <w:color w:val="auto"/>
          <w:sz w:val="28"/>
          <w:szCs w:val="28"/>
          <w:lang w:val="en-US" w:eastAsia="zh-CN"/>
        </w:rPr>
        <w:t>14</w:t>
      </w:r>
      <w:r>
        <w:rPr>
          <w:rFonts w:hint="eastAsia" w:ascii="仿宋_GB2312" w:hAnsi="仿宋_GB2312" w:eastAsia="仿宋_GB2312" w:cs="仿宋_GB2312"/>
          <w:color w:val="auto"/>
          <w:sz w:val="28"/>
          <w:szCs w:val="28"/>
        </w:rPr>
        <w:t>中文版、Adobe Photoshop CS6中文版、3Dmax2020中文版或SketchUp2020中文版，以及WPS Office等计算机应用软件。</w:t>
      </w:r>
    </w:p>
    <w:p>
      <w:pPr>
        <w:adjustRightInd w:val="0"/>
        <w:snapToGrid w:val="0"/>
        <w:spacing w:line="560" w:lineRule="exact"/>
        <w:ind w:firstLine="561"/>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2.材料</w:t>
      </w:r>
    </w:p>
    <w:p>
      <w:pPr>
        <w:snapToGrid w:val="0"/>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根据图纸要求，统一提供园林植物、石材等施工材料（见表4），比赛时可以从提供的材料中选择性应用。</w:t>
      </w:r>
    </w:p>
    <w:p>
      <w:pPr>
        <w:adjustRightInd w:val="0"/>
        <w:snapToGrid w:val="0"/>
        <w:spacing w:line="560" w:lineRule="exact"/>
        <w:ind w:firstLine="561"/>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石材包括汀步、花池盖板、卵石等。</w:t>
      </w:r>
    </w:p>
    <w:p>
      <w:pPr>
        <w:adjustRightInd w:val="0"/>
        <w:snapToGrid w:val="0"/>
        <w:spacing w:line="560" w:lineRule="exact"/>
        <w:jc w:val="center"/>
        <w:rPr>
          <w:rFonts w:ascii="仿宋_GB2312" w:hAnsi="仿宋_GB2312" w:eastAsia="仿宋_GB2312" w:cs="仿宋_GB2312"/>
          <w:b/>
          <w:color w:val="auto"/>
          <w:sz w:val="28"/>
          <w:szCs w:val="28"/>
        </w:rPr>
      </w:pPr>
      <w:r>
        <w:rPr>
          <w:rFonts w:hint="eastAsia" w:ascii="仿宋_GB2312" w:hAnsi="仿宋_GB2312" w:eastAsia="仿宋_GB2312" w:cs="仿宋_GB2312"/>
          <w:b/>
          <w:color w:val="auto"/>
          <w:sz w:val="24"/>
        </w:rPr>
        <w:t>表4  园林景观设计主要提供的可选材料及数量（每个工位）</w:t>
      </w:r>
    </w:p>
    <w:tbl>
      <w:tblPr>
        <w:tblStyle w:val="12"/>
        <w:tblW w:w="8770" w:type="dxa"/>
        <w:jc w:val="center"/>
        <w:tblLayout w:type="fixed"/>
        <w:tblCellMar>
          <w:top w:w="0" w:type="dxa"/>
          <w:left w:w="108" w:type="dxa"/>
          <w:bottom w:w="0" w:type="dxa"/>
          <w:right w:w="108" w:type="dxa"/>
        </w:tblCellMar>
      </w:tblPr>
      <w:tblGrid>
        <w:gridCol w:w="732"/>
        <w:gridCol w:w="851"/>
        <w:gridCol w:w="1247"/>
        <w:gridCol w:w="3147"/>
        <w:gridCol w:w="1134"/>
        <w:gridCol w:w="1659"/>
      </w:tblGrid>
      <w:tr>
        <w:tblPrEx>
          <w:tblCellMar>
            <w:top w:w="0" w:type="dxa"/>
            <w:left w:w="108" w:type="dxa"/>
            <w:bottom w:w="0" w:type="dxa"/>
            <w:right w:w="108" w:type="dxa"/>
          </w:tblCellMar>
        </w:tblPrEx>
        <w:trPr>
          <w:trHeight w:val="397" w:hRule="atLeast"/>
          <w:tblHeader/>
          <w:jc w:val="center"/>
        </w:trPr>
        <w:tc>
          <w:tcPr>
            <w:tcW w:w="732" w:type="dxa"/>
            <w:tcBorders>
              <w:top w:val="single" w:color="auto" w:sz="4" w:space="0"/>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类别</w:t>
            </w:r>
          </w:p>
        </w:tc>
        <w:tc>
          <w:tcPr>
            <w:tcW w:w="851" w:type="dxa"/>
            <w:tcBorders>
              <w:top w:val="single" w:color="auto" w:sz="4" w:space="0"/>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序号</w:t>
            </w:r>
          </w:p>
        </w:tc>
        <w:tc>
          <w:tcPr>
            <w:tcW w:w="1247" w:type="dxa"/>
            <w:tcBorders>
              <w:top w:val="single" w:color="auto" w:sz="4" w:space="0"/>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名称</w:t>
            </w:r>
          </w:p>
        </w:tc>
        <w:tc>
          <w:tcPr>
            <w:tcW w:w="3147" w:type="dxa"/>
            <w:tcBorders>
              <w:top w:val="single" w:color="auto" w:sz="4" w:space="0"/>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主要规格</w:t>
            </w:r>
          </w:p>
        </w:tc>
        <w:tc>
          <w:tcPr>
            <w:tcW w:w="1134" w:type="dxa"/>
            <w:tcBorders>
              <w:top w:val="single" w:color="auto" w:sz="4" w:space="0"/>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数量</w:t>
            </w:r>
          </w:p>
        </w:tc>
        <w:tc>
          <w:tcPr>
            <w:tcW w:w="1659" w:type="dxa"/>
            <w:tcBorders>
              <w:top w:val="single" w:color="auto" w:sz="4" w:space="0"/>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备注</w:t>
            </w:r>
          </w:p>
        </w:tc>
      </w:tr>
      <w:tr>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植物</w:t>
            </w: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独杆石楠</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高1.5-1.8m，地径5cm以上,分支点0.9-1.1m，树形圆满整齐</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1株</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白皮松</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高1.0-1.5m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1株</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花石榴</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高0.8—1.0m，冠径0.5—0.6m,5个分支</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3株</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w:t>
            </w:r>
          </w:p>
        </w:tc>
        <w:tc>
          <w:tcPr>
            <w:tcW w:w="1247" w:type="dxa"/>
            <w:tcBorders>
              <w:top w:val="nil"/>
              <w:left w:val="nil"/>
              <w:bottom w:val="single" w:color="auto" w:sz="4" w:space="0"/>
              <w:right w:val="single" w:color="auto" w:sz="4" w:space="0"/>
            </w:tcBorders>
            <w:vAlign w:val="center"/>
          </w:tcPr>
          <w:p>
            <w:pPr>
              <w:widowControl/>
              <w:snapToGrid w:val="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红叶石楠</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高0.5-0.7m，冠径0.5-0.6m,地径3cm,分支4-5个，呈球形</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5株</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南天竹</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高0.3-0.5m，冠径0.3-0.4m，5头以上</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10株</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小叶女贞</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高0.5-0.6m，3-4分枝</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15株</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7</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草花两种</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蓬径0.3m，分支4-5个</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共80盆</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2种各40盆</w:t>
            </w: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8</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变叶木</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0.4m*0.3m（高*冠）,3分支</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10盆</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9</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草皮</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混播草（面积足量）</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15㎡</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石材</w:t>
            </w: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花岗岩板</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500*250*30mm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25块</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芝麻白火烧面</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11</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花岗岩板</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250*250*30mm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25块</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芝麻白火烧面</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12</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卵石</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直径2-4cm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10袋</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100斤左右/每袋</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13</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景石</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粒径200-500</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10块</w:t>
            </w:r>
          </w:p>
        </w:tc>
        <w:tc>
          <w:tcPr>
            <w:tcW w:w="1659" w:type="dxa"/>
            <w:tcBorders>
              <w:top w:val="single" w:color="auto" w:sz="4" w:space="0"/>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黄蜡石</w:t>
            </w:r>
          </w:p>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（自然形状）</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14</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花岗岩块石</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500*250*200mm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3块</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芝麻白</w:t>
            </w:r>
          </w:p>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（机切面）</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15</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黄木纹片岩</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100-600mm、厚40-80mm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2立方</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自然石墙、板凳基础可用</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16</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小料石</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80*80*80mm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100个</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自然面，</w:t>
            </w:r>
          </w:p>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芝麻黑</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17</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路沿石</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500*200*50mm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30个</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花岗岩石</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18</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砂岩板</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600*600*30mm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10块</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黄砂岩</w:t>
            </w:r>
          </w:p>
        </w:tc>
      </w:tr>
      <w:tr>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砌筑</w:t>
            </w:r>
          </w:p>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材料</w:t>
            </w: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19</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水泥砖</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240*115*53mm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400块</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20</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轻质砖</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600*200*100mm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60块</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围挡或者坐凳基础</w:t>
            </w:r>
          </w:p>
        </w:tc>
      </w:tr>
      <w:tr>
        <w:tblPrEx>
          <w:tblCellMar>
            <w:top w:w="0" w:type="dxa"/>
            <w:left w:w="108" w:type="dxa"/>
            <w:bottom w:w="0" w:type="dxa"/>
            <w:right w:w="108" w:type="dxa"/>
          </w:tblCellMar>
        </w:tblPrEx>
        <w:trPr>
          <w:trHeight w:val="397" w:hRule="atLeast"/>
          <w:jc w:val="center"/>
        </w:trPr>
        <w:tc>
          <w:tcPr>
            <w:tcW w:w="732" w:type="dxa"/>
            <w:tcBorders>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园路铺装砖材</w:t>
            </w: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21</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面包砖</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200*100*50mm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100块</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木材</w:t>
            </w: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22</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防腐木面板</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30*90*4000㎜</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20块</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松木类（尺寸误差2mm)</w:t>
            </w: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23</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防腐木龙骨1</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40*70*4000㎜</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6根</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松木类（尺寸误差2mm)</w:t>
            </w: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24</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防腐木龙骨2</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50*50*4000㎜</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6根</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松木类（尺寸误差2mm)</w:t>
            </w:r>
          </w:p>
        </w:tc>
      </w:tr>
      <w:tr>
        <w:tblPrEx>
          <w:tblCellMar>
            <w:top w:w="0" w:type="dxa"/>
            <w:left w:w="108" w:type="dxa"/>
            <w:bottom w:w="0" w:type="dxa"/>
            <w:right w:w="108" w:type="dxa"/>
          </w:tblCellMar>
        </w:tblPrEx>
        <w:trPr>
          <w:trHeight w:val="397" w:hRule="atLeast"/>
          <w:jc w:val="center"/>
        </w:trPr>
        <w:tc>
          <w:tcPr>
            <w:tcW w:w="732" w:type="dxa"/>
            <w:vMerge w:val="continue"/>
            <w:tcBorders>
              <w:top w:val="nil"/>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25</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防腐木立柱</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85*85*4000㎜</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4根</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松木类（尺寸误差2mm)</w:t>
            </w:r>
          </w:p>
        </w:tc>
      </w:tr>
      <w:tr>
        <w:tblPrEx>
          <w:tblCellMar>
            <w:top w:w="0" w:type="dxa"/>
            <w:left w:w="108" w:type="dxa"/>
            <w:bottom w:w="0" w:type="dxa"/>
            <w:right w:w="108" w:type="dxa"/>
          </w:tblCellMar>
        </w:tblPrEx>
        <w:trPr>
          <w:trHeight w:val="397" w:hRule="atLeast"/>
          <w:jc w:val="center"/>
        </w:trPr>
        <w:tc>
          <w:tcPr>
            <w:tcW w:w="732" w:type="dxa"/>
            <w:vMerge w:val="restart"/>
            <w:tcBorders>
              <w:top w:val="nil"/>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灯具</w:t>
            </w:r>
          </w:p>
          <w:p>
            <w:pPr>
              <w:snapToGrid w:val="0"/>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26</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草坪灯</w:t>
            </w:r>
          </w:p>
        </w:tc>
        <w:tc>
          <w:tcPr>
            <w:tcW w:w="3147"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36W，黑色LED灯</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1个</w:t>
            </w:r>
          </w:p>
        </w:tc>
        <w:tc>
          <w:tcPr>
            <w:tcW w:w="1659"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pPr>
              <w:snapToGrid w:val="0"/>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27</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电线</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2.5电线红蓝色各1盘</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2盘</w:t>
            </w:r>
          </w:p>
        </w:tc>
        <w:tc>
          <w:tcPr>
            <w:tcW w:w="1659"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25m/盘</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pPr>
              <w:snapToGrid w:val="0"/>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28</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插头</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三相，两相各1个</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2个</w:t>
            </w:r>
          </w:p>
        </w:tc>
        <w:tc>
          <w:tcPr>
            <w:tcW w:w="1659"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pPr>
              <w:snapToGrid w:val="0"/>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29</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电工胶布</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绝缘胶布</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1卷</w:t>
            </w:r>
          </w:p>
        </w:tc>
        <w:tc>
          <w:tcPr>
            <w:tcW w:w="1659"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pPr>
              <w:snapToGrid w:val="0"/>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30</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拔线钳</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多功能拔线钳</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1个</w:t>
            </w:r>
          </w:p>
        </w:tc>
        <w:tc>
          <w:tcPr>
            <w:tcW w:w="1659"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tcPr>
          <w:p>
            <w:pPr>
              <w:snapToGrid w:val="0"/>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31</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穿线管</w:t>
            </w:r>
          </w:p>
        </w:tc>
        <w:tc>
          <w:tcPr>
            <w:tcW w:w="3147"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4分PVC管，管长4m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3根</w:t>
            </w:r>
          </w:p>
        </w:tc>
        <w:tc>
          <w:tcPr>
            <w:tcW w:w="1659"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弯头、直接连接件各10个</w:t>
            </w:r>
          </w:p>
        </w:tc>
      </w:tr>
      <w:tr>
        <w:tblPrEx>
          <w:tblCellMar>
            <w:top w:w="0" w:type="dxa"/>
            <w:left w:w="108" w:type="dxa"/>
            <w:bottom w:w="0" w:type="dxa"/>
            <w:right w:w="108" w:type="dxa"/>
          </w:tblCellMar>
        </w:tblPrEx>
        <w:trPr>
          <w:trHeight w:val="397" w:hRule="atLeast"/>
          <w:jc w:val="center"/>
        </w:trPr>
        <w:tc>
          <w:tcPr>
            <w:tcW w:w="732" w:type="dxa"/>
            <w:vMerge w:val="restart"/>
            <w:tcBorders>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水景</w:t>
            </w: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32</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PVC管</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管径5cm,管长4m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1根</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33</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水管</w:t>
            </w:r>
          </w:p>
        </w:tc>
        <w:tc>
          <w:tcPr>
            <w:tcW w:w="3147"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4分白色蛇皮管子加厚，长25m</w:t>
            </w:r>
          </w:p>
        </w:tc>
        <w:tc>
          <w:tcPr>
            <w:tcW w:w="1134"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1盘</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配相应水管卡箍5个</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34</w:t>
            </w:r>
          </w:p>
        </w:tc>
        <w:tc>
          <w:tcPr>
            <w:tcW w:w="1247"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潜水泵</w:t>
            </w:r>
          </w:p>
        </w:tc>
        <w:tc>
          <w:tcPr>
            <w:tcW w:w="3147"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功率40w、流量大于39L/min</w:t>
            </w:r>
          </w:p>
        </w:tc>
        <w:tc>
          <w:tcPr>
            <w:tcW w:w="1134"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1台</w:t>
            </w:r>
          </w:p>
        </w:tc>
        <w:tc>
          <w:tcPr>
            <w:tcW w:w="1659" w:type="dxa"/>
            <w:tcBorders>
              <w:top w:val="nil"/>
              <w:left w:val="nil"/>
              <w:bottom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尺寸小于300*299</w:t>
            </w:r>
          </w:p>
        </w:tc>
      </w:tr>
      <w:tr>
        <w:tblPrEx>
          <w:tblCellMar>
            <w:top w:w="0" w:type="dxa"/>
            <w:left w:w="108" w:type="dxa"/>
            <w:bottom w:w="0" w:type="dxa"/>
            <w:right w:w="108" w:type="dxa"/>
          </w:tblCellMar>
        </w:tblPrEx>
        <w:trPr>
          <w:trHeight w:val="397" w:hRule="atLeast"/>
          <w:jc w:val="center"/>
        </w:trPr>
        <w:tc>
          <w:tcPr>
            <w:tcW w:w="732" w:type="dxa"/>
            <w:vMerge w:val="restart"/>
            <w:tcBorders>
              <w:left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其他</w:t>
            </w: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35</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电源插板</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15孔，线长5m</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1个</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36</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自攻螺丝</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5cm长3盒</w:t>
            </w:r>
          </w:p>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8cm长2盒</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5盒</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100个/盒</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37</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铁钉</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3.5cm、5.0cm各2盒</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4盒</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100个/盒</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38</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防水塑料布</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加厚薄膜</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20㎡</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宽度4米</w:t>
            </w: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39</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黄沙</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细砂</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5袋</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r>
        <w:tblPrEx>
          <w:tblCellMar>
            <w:top w:w="0" w:type="dxa"/>
            <w:left w:w="108" w:type="dxa"/>
            <w:bottom w:w="0" w:type="dxa"/>
            <w:right w:w="108" w:type="dxa"/>
          </w:tblCellMar>
        </w:tblPrEx>
        <w:trPr>
          <w:trHeight w:val="397" w:hRule="atLeast"/>
          <w:jc w:val="center"/>
        </w:trPr>
        <w:tc>
          <w:tcPr>
            <w:tcW w:w="732" w:type="dxa"/>
            <w:vMerge w:val="continue"/>
            <w:tcBorders>
              <w:left w:val="single" w:color="auto" w:sz="4" w:space="0"/>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c>
          <w:tcPr>
            <w:tcW w:w="851"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40</w:t>
            </w:r>
          </w:p>
        </w:tc>
        <w:tc>
          <w:tcPr>
            <w:tcW w:w="12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水泥</w:t>
            </w:r>
          </w:p>
        </w:tc>
        <w:tc>
          <w:tcPr>
            <w:tcW w:w="3147"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32.5</w:t>
            </w:r>
          </w:p>
        </w:tc>
        <w:tc>
          <w:tcPr>
            <w:tcW w:w="1134"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3袋</w:t>
            </w:r>
          </w:p>
        </w:tc>
        <w:tc>
          <w:tcPr>
            <w:tcW w:w="1659" w:type="dxa"/>
            <w:tcBorders>
              <w:top w:val="nil"/>
              <w:left w:val="nil"/>
              <w:bottom w:val="single" w:color="auto" w:sz="4" w:space="0"/>
              <w:right w:val="single" w:color="auto" w:sz="4" w:space="0"/>
            </w:tcBorders>
            <w:vAlign w:val="center"/>
          </w:tcPr>
          <w:p>
            <w:pPr>
              <w:widowControl/>
              <w:snapToGrid w:val="0"/>
              <w:jc w:val="center"/>
              <w:rPr>
                <w:rFonts w:ascii="仿宋_GB2312" w:hAnsi="仿宋_GB2312" w:eastAsia="仿宋_GB2312" w:cs="仿宋_GB2312"/>
                <w:color w:val="auto"/>
                <w:sz w:val="28"/>
                <w:szCs w:val="28"/>
              </w:rPr>
            </w:pPr>
          </w:p>
        </w:tc>
      </w:tr>
    </w:tbl>
    <w:p>
      <w:pPr>
        <w:pStyle w:val="2"/>
        <w:spacing w:line="560" w:lineRule="exact"/>
        <w:ind w:firstLine="562" w:firstLineChars="200"/>
        <w:rPr>
          <w:rFonts w:ascii="仿宋_GB2312" w:hAnsi="仿宋_GB2312" w:cs="仿宋_GB2312"/>
          <w:color w:val="auto"/>
          <w:szCs w:val="28"/>
        </w:rPr>
      </w:pPr>
      <w:r>
        <w:rPr>
          <w:rFonts w:hint="eastAsia" w:ascii="仿宋_GB2312" w:hAnsi="仿宋_GB2312" w:cs="仿宋_GB2312"/>
          <w:color w:val="auto"/>
          <w:szCs w:val="28"/>
        </w:rPr>
        <w:t>十一、成绩评定</w:t>
      </w:r>
    </w:p>
    <w:p>
      <w:pPr>
        <w:snapToGrid w:val="0"/>
        <w:spacing w:line="560" w:lineRule="exact"/>
        <w:ind w:firstLine="560"/>
        <w:rPr>
          <w:rFonts w:ascii="仿宋_GB2312" w:hAnsi="仿宋_GB2312" w:eastAsia="仿宋_GB2312" w:cs="仿宋_GB2312"/>
          <w:b/>
          <w:bCs/>
          <w:color w:val="auto"/>
          <w:sz w:val="28"/>
          <w:szCs w:val="28"/>
        </w:rPr>
      </w:pPr>
      <w:r>
        <w:rPr>
          <w:rFonts w:hint="eastAsia" w:ascii="仿宋_GB2312" w:hAnsi="仿宋_GB2312" w:eastAsia="仿宋_GB2312" w:cs="仿宋_GB2312"/>
          <w:b/>
          <w:bCs/>
          <w:color w:val="auto"/>
          <w:sz w:val="28"/>
          <w:szCs w:val="28"/>
        </w:rPr>
        <w:t>（一）评分标准</w:t>
      </w:r>
    </w:p>
    <w:p>
      <w:pPr>
        <w:adjustRightInd w:val="0"/>
        <w:snapToGrid w:val="0"/>
        <w:spacing w:line="560" w:lineRule="exact"/>
        <w:ind w:firstLine="562"/>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本次竞赛每个项目成绩总分为100分。具体评分标准见表5。</w:t>
      </w:r>
    </w:p>
    <w:p>
      <w:pPr>
        <w:adjustRightInd w:val="0"/>
        <w:snapToGrid w:val="0"/>
        <w:spacing w:line="560" w:lineRule="exact"/>
        <w:jc w:val="center"/>
        <w:rPr>
          <w:rFonts w:hint="eastAsia" w:ascii="仿宋_GB2312" w:hAnsi="仿宋_GB2312" w:eastAsia="仿宋_GB2312" w:cs="仿宋_GB2312"/>
          <w:b/>
          <w:color w:val="auto"/>
          <w:sz w:val="24"/>
        </w:rPr>
      </w:pPr>
    </w:p>
    <w:p>
      <w:pPr>
        <w:adjustRightInd w:val="0"/>
        <w:snapToGrid w:val="0"/>
        <w:spacing w:line="560" w:lineRule="exact"/>
        <w:jc w:val="center"/>
        <w:rPr>
          <w:rFonts w:ascii="仿宋_GB2312" w:hAnsi="仿宋_GB2312" w:eastAsia="仿宋_GB2312" w:cs="仿宋_GB2312"/>
          <w:b/>
          <w:color w:val="auto"/>
          <w:sz w:val="24"/>
        </w:rPr>
      </w:pPr>
      <w:r>
        <w:rPr>
          <w:rFonts w:hint="eastAsia" w:ascii="仿宋_GB2312" w:hAnsi="仿宋_GB2312" w:eastAsia="仿宋_GB2312" w:cs="仿宋_GB2312"/>
          <w:b/>
          <w:color w:val="auto"/>
          <w:sz w:val="24"/>
        </w:rPr>
        <w:t>表5  小花园设计部分考核要点与分值（共100分）</w:t>
      </w:r>
    </w:p>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5732"/>
        <w:gridCol w:w="1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Header/>
        </w:trPr>
        <w:tc>
          <w:tcPr>
            <w:tcW w:w="1341"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考核内容</w:t>
            </w:r>
          </w:p>
        </w:tc>
        <w:tc>
          <w:tcPr>
            <w:tcW w:w="5732"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考核要点</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方案构思</w:t>
            </w: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具有一定的休闲活动功能，符合设计要求</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布局合理，空间形式丰富，园林要素齐全</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构思立意新颖</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41"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封面</w:t>
            </w:r>
          </w:p>
        </w:tc>
        <w:tc>
          <w:tcPr>
            <w:tcW w:w="5732" w:type="dxa"/>
            <w:shd w:val="clear" w:color="auto" w:fill="auto"/>
            <w:vAlign w:val="center"/>
          </w:tcPr>
          <w:p>
            <w:pPr>
              <w:snapToGrid w:val="0"/>
              <w:rPr>
                <w:rFonts w:ascii="仿宋_GB2312" w:hAnsi="仿宋_GB2312" w:eastAsia="仿宋_GB2312" w:cs="仿宋_GB2312"/>
                <w:color w:val="auto"/>
                <w:sz w:val="24"/>
              </w:rPr>
            </w:pPr>
            <w:r>
              <w:rPr>
                <w:rFonts w:hint="eastAsia" w:ascii="仿宋_GB2312" w:hAnsi="仿宋_GB2312" w:eastAsia="仿宋_GB2312" w:cs="仿宋_GB2312"/>
                <w:color w:val="auto"/>
                <w:sz w:val="24"/>
              </w:rPr>
              <w:t>图纸布局、文字编排符合制图规范</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41"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目录</w:t>
            </w: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图名、图号、图幅等与详图对应，图号编写符合规范</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1341"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施工设计说明</w:t>
            </w: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说明基址概况，分项对硬质、软质等部分进行指导性施工说明</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总平面图</w:t>
            </w: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出入口位置和形式合理，道路系统畅通连贯</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比例正确，园林各要素尺度合理</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线型、图例符合制图规范</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文字标注正确</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尺寸标注正确</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索引图符号正确</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尺寸定位图</w:t>
            </w: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尺寸标注完整、正确，能指导施工放线</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尺寸标注符合制图规范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方格网的设置、表达正确</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竖向标高设计图</w:t>
            </w: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地形设计有变化、合理</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自然地形用等高线表达正确，符合制图规范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规则地形标高标注正确，符合制图规范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水电布置平面图</w:t>
            </w: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与总平面图、水景详图等相应</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给水、排水、溢水等设施表达正确，符合制图规范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电路布置正确，符合制图规范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地面铺装图</w:t>
            </w: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绘制比例、线型正确，符合制图规范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索引符号、详图符号和剖切符号正确，符合制图规范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平面大样图的材料、尺寸标注正确</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结构剖面图的材料、尺寸标注正确</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平面大样图与结构剖面图、总平面图相符</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adjustRightInd w:val="0"/>
              <w:snapToGrid w:val="0"/>
              <w:jc w:val="left"/>
              <w:rPr>
                <w:rFonts w:ascii="仿宋_GB2312" w:hAnsi="仿宋_GB2312" w:eastAsia="仿宋_GB2312" w:cs="仿宋_GB2312"/>
                <w:color w:val="auto"/>
                <w:sz w:val="24"/>
              </w:rPr>
            </w:pP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地面铺装设计功能合理、形式丰富、有艺术性</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木作</w:t>
            </w:r>
          </w:p>
        </w:tc>
        <w:tc>
          <w:tcPr>
            <w:tcW w:w="5732" w:type="dxa"/>
            <w:shd w:val="clear" w:color="auto" w:fill="auto"/>
            <w:vAlign w:val="center"/>
          </w:tcPr>
          <w:p>
            <w:pPr>
              <w:adjustRightInd w:val="0"/>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木作材料、结构符合规范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平面大样图材料、尺寸与结构剖面图、总平面图相符</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绘制比例正确、符合制图规范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景墙</w:t>
            </w: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景墙结构、材料符合规范</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绘制比例、线型、剖切符号等正确，符合制图规范</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平面大样图材料、尺寸标注正确，与结构剖面图、总平面图相符</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结构剖面图材料、尺寸标注正确，与平面大样图、总平面图相符</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花坛</w:t>
            </w: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花坛结构、材料符合规范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绘制比例、线型、剖切符号等正确，符合制图规范</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平面大样图材料、尺寸标注正确，与结构剖面图、总平面图相符</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结构剖面图材料、尺寸标注正确，与平面大样图、总平面图相符</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种植设计图</w:t>
            </w: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乔灌草搭配合理</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植物数量、冠幅与提供材料相符</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苗木统计表规格、数量、图例等与种植设计图相符合</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植物定点准确无误</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文字标注、数据标注正确</w:t>
            </w:r>
          </w:p>
        </w:tc>
        <w:tc>
          <w:tcPr>
            <w:tcW w:w="1449" w:type="dxa"/>
            <w:shd w:val="clear" w:color="auto" w:fill="auto"/>
            <w:vAlign w:val="center"/>
          </w:tcPr>
          <w:p>
            <w:pPr>
              <w:adjustRightInd w:val="0"/>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鸟瞰图</w:t>
            </w:r>
          </w:p>
        </w:tc>
        <w:tc>
          <w:tcPr>
            <w:tcW w:w="5732" w:type="dxa"/>
            <w:shd w:val="clear" w:color="auto" w:fill="auto"/>
            <w:vAlign w:val="center"/>
          </w:tcPr>
          <w:p>
            <w:pPr>
              <w:snapToGrid w:val="0"/>
              <w:rPr>
                <w:rFonts w:ascii="仿宋_GB2312" w:hAnsi="仿宋_GB2312" w:eastAsia="仿宋_GB2312" w:cs="仿宋_GB2312"/>
                <w:color w:val="auto"/>
                <w:sz w:val="24"/>
              </w:rPr>
            </w:pPr>
            <w:r>
              <w:rPr>
                <w:rFonts w:hint="eastAsia" w:ascii="仿宋_GB2312" w:hAnsi="仿宋_GB2312" w:eastAsia="仿宋_GB2312" w:cs="仿宋_GB2312"/>
                <w:color w:val="auto"/>
                <w:sz w:val="24"/>
              </w:rPr>
              <w:t>能反映设计意图，内容丰富</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rPr>
                <w:rFonts w:ascii="仿宋_GB2312" w:hAnsi="仿宋_GB2312" w:eastAsia="仿宋_GB2312" w:cs="仿宋_GB2312"/>
                <w:color w:val="auto"/>
                <w:sz w:val="24"/>
              </w:rPr>
            </w:pPr>
            <w:r>
              <w:rPr>
                <w:rFonts w:hint="eastAsia" w:ascii="仿宋_GB2312" w:hAnsi="仿宋_GB2312" w:eastAsia="仿宋_GB2312" w:cs="仿宋_GB2312"/>
                <w:color w:val="auto"/>
                <w:sz w:val="24"/>
              </w:rPr>
              <w:t>视觉效果好，色彩、透视表达美观</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rPr>
                <w:rFonts w:ascii="仿宋_GB2312" w:hAnsi="仿宋_GB2312" w:eastAsia="仿宋_GB2312" w:cs="仿宋_GB2312"/>
                <w:color w:val="auto"/>
                <w:sz w:val="24"/>
              </w:rPr>
            </w:pPr>
            <w:r>
              <w:rPr>
                <w:rFonts w:hint="eastAsia" w:ascii="仿宋_GB2312" w:hAnsi="仿宋_GB2312" w:eastAsia="仿宋_GB2312" w:cs="仿宋_GB2312"/>
                <w:color w:val="auto"/>
                <w:sz w:val="24"/>
              </w:rPr>
              <w:t>与施工图内容一致</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rPr>
                <w:rFonts w:ascii="仿宋_GB2312" w:hAnsi="仿宋_GB2312" w:eastAsia="仿宋_GB2312" w:cs="仿宋_GB2312"/>
                <w:color w:val="auto"/>
                <w:sz w:val="24"/>
              </w:rPr>
            </w:pPr>
            <w:r>
              <w:rPr>
                <w:rFonts w:hint="eastAsia" w:ascii="仿宋_GB2312" w:hAnsi="仿宋_GB2312" w:eastAsia="仿宋_GB2312" w:cs="仿宋_GB2312"/>
                <w:color w:val="auto"/>
                <w:sz w:val="24"/>
              </w:rPr>
              <w:t>方案设计说明</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restart"/>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出图操作</w:t>
            </w: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图纸输出设置正确</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vMerge w:val="continue"/>
            <w:shd w:val="clear" w:color="auto" w:fill="auto"/>
            <w:vAlign w:val="center"/>
          </w:tcPr>
          <w:p>
            <w:pPr>
              <w:snapToGrid w:val="0"/>
              <w:jc w:val="center"/>
              <w:rPr>
                <w:rFonts w:ascii="仿宋_GB2312" w:hAnsi="仿宋_GB2312" w:eastAsia="仿宋_GB2312" w:cs="仿宋_GB2312"/>
                <w:color w:val="auto"/>
                <w:sz w:val="24"/>
              </w:rPr>
            </w:pP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图纸版式与编排布局符合制图规范</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团队合作</w:t>
            </w: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分工协作、配合默契、风格统一</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文明操作</w:t>
            </w:r>
          </w:p>
        </w:tc>
        <w:tc>
          <w:tcPr>
            <w:tcW w:w="5732" w:type="dxa"/>
            <w:shd w:val="clear" w:color="auto" w:fill="auto"/>
            <w:vAlign w:val="center"/>
          </w:tcPr>
          <w:p>
            <w:pPr>
              <w:snapToGrid w:val="0"/>
              <w:jc w:val="left"/>
              <w:rPr>
                <w:rFonts w:ascii="仿宋_GB2312" w:hAnsi="仿宋_GB2312" w:eastAsia="仿宋_GB2312" w:cs="仿宋_GB2312"/>
                <w:color w:val="auto"/>
                <w:sz w:val="24"/>
              </w:rPr>
            </w:pPr>
            <w:r>
              <w:rPr>
                <w:rFonts w:hint="eastAsia" w:ascii="仿宋_GB2312" w:hAnsi="仿宋_GB2312" w:eastAsia="仿宋_GB2312" w:cs="仿宋_GB2312"/>
                <w:color w:val="auto"/>
                <w:sz w:val="24"/>
              </w:rPr>
              <w:t>遵守比赛纪律，不影响别人操作</w:t>
            </w: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341"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合计</w:t>
            </w:r>
          </w:p>
        </w:tc>
        <w:tc>
          <w:tcPr>
            <w:tcW w:w="5732" w:type="dxa"/>
            <w:shd w:val="clear" w:color="auto" w:fill="auto"/>
            <w:vAlign w:val="center"/>
          </w:tcPr>
          <w:p>
            <w:pPr>
              <w:snapToGrid w:val="0"/>
              <w:rPr>
                <w:rFonts w:ascii="仿宋_GB2312" w:hAnsi="仿宋_GB2312" w:eastAsia="仿宋_GB2312" w:cs="仿宋_GB2312"/>
                <w:color w:val="auto"/>
                <w:sz w:val="24"/>
              </w:rPr>
            </w:pPr>
          </w:p>
        </w:tc>
        <w:tc>
          <w:tcPr>
            <w:tcW w:w="1449" w:type="dxa"/>
            <w:shd w:val="clear" w:color="auto" w:fill="auto"/>
            <w:vAlign w:val="center"/>
          </w:tcPr>
          <w:p>
            <w:pPr>
              <w:snapToGrid w:val="0"/>
              <w:jc w:val="center"/>
              <w:rPr>
                <w:rFonts w:ascii="仿宋_GB2312" w:hAnsi="仿宋_GB2312" w:eastAsia="仿宋_GB2312" w:cs="仿宋_GB2312"/>
                <w:color w:val="auto"/>
                <w:sz w:val="24"/>
              </w:rPr>
            </w:pPr>
            <w:r>
              <w:rPr>
                <w:rFonts w:hint="eastAsia" w:ascii="仿宋_GB2312" w:hAnsi="仿宋_GB2312" w:eastAsia="仿宋_GB2312" w:cs="仿宋_GB2312"/>
                <w:color w:val="auto"/>
                <w:sz w:val="24"/>
              </w:rPr>
              <w:t>100</w:t>
            </w:r>
          </w:p>
        </w:tc>
      </w:tr>
    </w:tbl>
    <w:p>
      <w:pPr>
        <w:pStyle w:val="4"/>
        <w:keepNext w:val="0"/>
        <w:keepLines w:val="0"/>
        <w:adjustRightInd w:val="0"/>
        <w:snapToGrid w:val="0"/>
        <w:spacing w:before="0" w:after="0" w:line="360" w:lineRule="auto"/>
        <w:ind w:firstLine="560" w:firstLineChars="200"/>
        <w:jc w:val="left"/>
        <w:rPr>
          <w:rFonts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t>十一、评分方法</w:t>
      </w:r>
    </w:p>
    <w:p>
      <w:pPr>
        <w:spacing w:line="360" w:lineRule="auto"/>
        <w:ind w:firstLine="560" w:firstLineChars="200"/>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技能比赛裁判数量3人，评比时每台电脑展示一个作品，评委可对比分析；评委每人另有一台电脑，内有所有参赛作品，供裁判分析打分；投影仪滚动展示每个作品，便于评议。裁判独立评分，评分汇总后，取平均分作为比赛选手最终得分。</w:t>
      </w:r>
    </w:p>
    <w:p>
      <w:pPr>
        <w:pStyle w:val="4"/>
        <w:keepNext w:val="0"/>
        <w:keepLines w:val="0"/>
        <w:adjustRightInd w:val="0"/>
        <w:snapToGrid w:val="0"/>
        <w:spacing w:before="0" w:after="0" w:line="360" w:lineRule="auto"/>
        <w:ind w:firstLine="640" w:firstLineChars="200"/>
        <w:jc w:val="left"/>
        <w:rPr>
          <w:rFonts w:hint="eastAsia" w:ascii="黑体" w:hAnsi="黑体" w:eastAsia="黑体" w:cs="黑体"/>
          <w:b w:val="0"/>
          <w:color w:val="auto"/>
          <w:kern w:val="0"/>
        </w:rPr>
      </w:pPr>
      <w:r>
        <w:rPr>
          <w:rFonts w:hint="eastAsia" w:ascii="黑体" w:hAnsi="黑体" w:eastAsia="黑体" w:cs="黑体"/>
          <w:b w:val="0"/>
          <w:color w:val="auto"/>
          <w:kern w:val="0"/>
        </w:rPr>
        <w:t>十二、奖项设定</w:t>
      </w:r>
    </w:p>
    <w:p>
      <w:pPr>
        <w:spacing w:line="360" w:lineRule="auto"/>
        <w:ind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参照省教育厅技能大赛文件。</w:t>
      </w:r>
    </w:p>
    <w:p>
      <w:pPr>
        <w:pStyle w:val="4"/>
        <w:keepNext w:val="0"/>
        <w:keepLines w:val="0"/>
        <w:adjustRightInd w:val="0"/>
        <w:snapToGrid w:val="0"/>
        <w:spacing w:before="0" w:after="0" w:line="360" w:lineRule="auto"/>
        <w:ind w:firstLine="640" w:firstLineChars="200"/>
        <w:jc w:val="left"/>
        <w:rPr>
          <w:rFonts w:ascii="黑体" w:hAnsi="黑体" w:eastAsia="黑体" w:cs="黑体"/>
          <w:b w:val="0"/>
          <w:color w:val="auto"/>
          <w:kern w:val="0"/>
        </w:rPr>
      </w:pPr>
      <w:r>
        <w:rPr>
          <w:rFonts w:hint="eastAsia" w:ascii="黑体" w:hAnsi="黑体" w:eastAsia="黑体" w:cs="黑体"/>
          <w:b w:val="0"/>
          <w:color w:val="auto"/>
          <w:kern w:val="0"/>
        </w:rPr>
        <w:t>十三、疫情防控要求</w:t>
      </w:r>
    </w:p>
    <w:p>
      <w:pPr>
        <w:spacing w:line="360" w:lineRule="auto"/>
        <w:ind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1.参赛院校有从中高风险地区返回海南的参赛学生，教师以及相关工作人员须按我省疫情防控部门的规定接受隔离观察和核酸检测，提供相关的检测报告。如有隐瞒取消比赛资格。</w:t>
      </w:r>
    </w:p>
    <w:p>
      <w:pPr>
        <w:spacing w:line="360" w:lineRule="auto"/>
        <w:ind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所有参赛学生，教师以及相关工作人员需接受主办方院校每日体温测量、记录并进行健康状况监测，填写健康监测表，每日将健康监测结果及时报给主办院校。出现发热（体温在37.3℃以上）、咳嗽等呼吸道症状的进行临时隔离，视情况及时到定点医院就诊并报告给主办方院校，</w:t>
      </w:r>
    </w:p>
    <w:p>
      <w:pPr>
        <w:spacing w:line="360" w:lineRule="auto"/>
        <w:ind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所有参赛学生，教师以及相关工作人员需每日通过海南省政务大数据微信公众号或支付宝或椰城市民云等登陆“海南健康码”进行自我健康监测申报。验证个人健康二维码显示正常后由工作人员登记基本信息后方可进入赛场，如出现发热（体温在37.3℃以上）、咳嗽等呼吸道症状的，要及时到定点医院就诊。</w:t>
      </w:r>
    </w:p>
    <w:p>
      <w:pPr>
        <w:spacing w:line="360" w:lineRule="auto"/>
        <w:ind w:firstLine="560" w:firstLineChars="200"/>
        <w:jc w:val="left"/>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4.对上述情况有隐瞒的参赛院校、参赛队员取消比赛资格。对应疫情影响未能参加比赛或暂停比赛的参赛队伍，参照教育厅相关文件执行。</w:t>
      </w:r>
    </w:p>
    <w:p>
      <w:pPr>
        <w:pStyle w:val="4"/>
        <w:keepNext w:val="0"/>
        <w:keepLines w:val="0"/>
        <w:adjustRightInd w:val="0"/>
        <w:snapToGrid w:val="0"/>
        <w:spacing w:before="0" w:after="0" w:line="360" w:lineRule="auto"/>
        <w:ind w:firstLine="640" w:firstLineChars="200"/>
        <w:jc w:val="left"/>
        <w:rPr>
          <w:rFonts w:ascii="黑体" w:hAnsi="黑体" w:eastAsia="黑体" w:cs="黑体"/>
          <w:b w:val="0"/>
          <w:color w:val="auto"/>
          <w:kern w:val="0"/>
        </w:rPr>
      </w:pPr>
      <w:r>
        <w:rPr>
          <w:rFonts w:hint="eastAsia" w:ascii="黑体" w:hAnsi="黑体" w:eastAsia="黑体" w:cs="黑体"/>
          <w:b w:val="0"/>
          <w:color w:val="auto"/>
          <w:kern w:val="0"/>
        </w:rPr>
        <w:t>十四、赛项安全</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1.比赛赛场为技能大赛专用赛场，由专业人员管理比赛设备，电子监控体系进行全方位监控。</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2.所有涉赛场所一律凭大赛执委会统一配发证件进入。</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3.进入所有涉赛场所人员一律不得携带包、食品、饮料等非执委会允许带入的物品。</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4.所有涉赛场所严禁吸烟。</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5.人员进入赛场后要严格阅读现场的应急安全疏散图，当发生紧急情况，听到疏散指令（警报声响）时，要迅速按疏散图撤离赛场。</w:t>
      </w:r>
    </w:p>
    <w:p>
      <w:pPr>
        <w:pStyle w:val="4"/>
        <w:keepNext w:val="0"/>
        <w:keepLines w:val="0"/>
        <w:adjustRightInd w:val="0"/>
        <w:snapToGrid w:val="0"/>
        <w:spacing w:before="0" w:after="0" w:line="360" w:lineRule="auto"/>
        <w:ind w:firstLine="640" w:firstLineChars="200"/>
        <w:jc w:val="left"/>
        <w:rPr>
          <w:rFonts w:ascii="黑体" w:hAnsi="黑体" w:eastAsia="黑体" w:cs="黑体"/>
          <w:b w:val="0"/>
          <w:color w:val="auto"/>
          <w:kern w:val="0"/>
        </w:rPr>
      </w:pPr>
      <w:r>
        <w:rPr>
          <w:rFonts w:hint="eastAsia" w:ascii="黑体" w:hAnsi="黑体" w:eastAsia="黑体" w:cs="黑体"/>
          <w:b w:val="0"/>
          <w:color w:val="auto"/>
          <w:kern w:val="0"/>
        </w:rPr>
        <w:t>十五、申诉与仲裁</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本赛项在比赛过程中若出现有失公正或有关人员违规等现象，代表队可在比赛结束后1小时之内向赛项仲裁组提出申诉。大赛采取两级仲裁机制。赛项设仲裁工作组；大赛组委会设仲裁委员会，赛项仲裁工作组在接到申诉后的1小时内组织复议，并及时反馈复议结果。申诉方对复议结果仍有异议，可由参赛院校领队向大赛组委会仲裁委员会提出申诉。大赛组委会仲裁委员会的仲裁结果为最终结果。</w:t>
      </w:r>
    </w:p>
    <w:p>
      <w:pPr>
        <w:pStyle w:val="4"/>
        <w:keepNext w:val="0"/>
        <w:keepLines w:val="0"/>
        <w:adjustRightInd w:val="0"/>
        <w:snapToGrid w:val="0"/>
        <w:spacing w:before="0" w:after="0" w:line="360" w:lineRule="auto"/>
        <w:ind w:firstLine="640" w:firstLineChars="200"/>
        <w:jc w:val="left"/>
        <w:rPr>
          <w:rFonts w:ascii="黑体" w:hAnsi="黑体" w:eastAsia="黑体" w:cs="黑体"/>
          <w:b w:val="0"/>
          <w:color w:val="auto"/>
          <w:kern w:val="0"/>
        </w:rPr>
      </w:pPr>
      <w:r>
        <w:rPr>
          <w:rFonts w:hint="eastAsia" w:ascii="黑体" w:hAnsi="黑体" w:eastAsia="黑体" w:cs="黑体"/>
          <w:b w:val="0"/>
          <w:color w:val="auto"/>
          <w:kern w:val="0"/>
        </w:rPr>
        <w:t>十六、竞赛观摩</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竞赛检录、赛中、评比过程全程监控；允许场外观摩，让比赛过程和裁判接受监督。</w:t>
      </w:r>
    </w:p>
    <w:p>
      <w:pPr>
        <w:pStyle w:val="4"/>
        <w:keepNext w:val="0"/>
        <w:keepLines w:val="0"/>
        <w:adjustRightInd w:val="0"/>
        <w:snapToGrid w:val="0"/>
        <w:spacing w:before="0" w:after="0" w:line="360" w:lineRule="auto"/>
        <w:ind w:firstLine="640" w:firstLineChars="200"/>
        <w:jc w:val="left"/>
        <w:rPr>
          <w:rFonts w:ascii="黑体" w:hAnsi="黑体" w:eastAsia="黑体" w:cs="黑体"/>
          <w:b w:val="0"/>
          <w:color w:val="auto"/>
          <w:kern w:val="0"/>
        </w:rPr>
      </w:pPr>
      <w:r>
        <w:rPr>
          <w:rFonts w:hint="eastAsia" w:ascii="黑体" w:hAnsi="黑体" w:eastAsia="黑体" w:cs="黑体"/>
          <w:b w:val="0"/>
          <w:color w:val="auto"/>
          <w:kern w:val="0"/>
        </w:rPr>
        <w:t>十七、竞赛须知</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（一）参赛队须知</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1.本竞赛项目为团体赛项目，以学校为单位，每校限报4支参赛队，每支参赛队参赛学生为2人。</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2.参赛选手为2022年同校在籍高职学生，不限性别、不限年级、环艺或园林相关专业。 </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3.参赛选手在报名获得确认后，原则上不再更换，如筹备过程中，选手因故不能参赛，参赛学校主管部门需出具书面说明，按相关程序补充参赛选手并接受审核；竞赛开始后，参赛队不得更换参赛选手，允许选手缺席比赛。 </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5.参赛队所有人员在竞赛期间未经组委会批准，不得接受任何与竞赛内容相关的采访，不得将竞赛的相关情况及资料私自公开。</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（二）指导教师须知</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1.指导教师管理好本队选手的活动和安全，遵守并执行大赛组委会的各项规定，确保选手准时参加比赛。</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2.指导教师在比赛期间严格遵守比赛规则，不得私自接触评委。有意见由各校领队向大赛组委会反映。</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3.指导教师不得进入正在比赛的现场。</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（三）参赛选手须知</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w:t>
      </w:r>
      <w:r>
        <w:rPr>
          <w:rFonts w:hint="eastAsia" w:ascii="仿宋_GB2312" w:eastAsia="仿宋_GB2312"/>
          <w:color w:val="auto"/>
          <w:sz w:val="28"/>
          <w:szCs w:val="28"/>
        </w:rPr>
        <w:t>参赛选手必须持本人身份证、学生证、健康码、测量体温后携带竞赛组委会签发的参赛证参加竞赛</w:t>
      </w:r>
      <w:r>
        <w:rPr>
          <w:rFonts w:hint="eastAsia" w:ascii="仿宋_GB2312" w:hAnsi="仿宋_GB2312" w:eastAsia="仿宋_GB2312" w:cs="仿宋_GB2312"/>
          <w:color w:val="auto"/>
          <w:sz w:val="28"/>
          <w:szCs w:val="28"/>
        </w:rPr>
        <w:t>。</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2.着装上不得显示学校校名的中、英文标识及校徽。</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3.参赛选手务必于赛前20 分钟到赛场，迟到15分钟及以上者按弃权处理，已检录入场的参赛选手未经允许，不得擅自离开。</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4.不得携带手机等通讯工具，进入比赛现场。</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5.参赛选手的工位号由抽签决定，不得擅自变更和调整。</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6.到达比赛结束时间，选手应立即停止操作，提交相关比赛结果单，并完成现场清理等工作。提前结束比赛的选手应举手示意，由裁判员记录完成时间，选手在引导员的引领下到指定地点休息，不得在赛场及其附近逗留或喧哗。</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7.比赛结束后，选手必须离开赛场，不得滞留，在引导员的引领下到指定地点。</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（四）工作人员须知。</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1.工作人员必须服从大赛组委会的安排，认真履行职责，做好大赛服务工作。</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2.工作人员要准时到岗，认真检查和核准相关证件。同时安排好领队、指导教师的休息等。</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3.若大赛过程中，出现技术问题（包括设备和器材等），工作人员要与赛场技术人员联系，并及时处理。</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4.工作人员不得在赛场内接听或打电话，在比赛期间一律关闭手机。</w:t>
      </w:r>
    </w:p>
    <w:p>
      <w:pPr>
        <w:spacing w:line="360" w:lineRule="auto"/>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5.如遇突发事件，要及时向大赛组委会报告，同时做好疏导工作，避免重大事故的发生，确保大赛顺利进行。</w:t>
      </w:r>
    </w:p>
    <w:p>
      <w:pPr>
        <w:pStyle w:val="4"/>
        <w:keepNext w:val="0"/>
        <w:keepLines w:val="0"/>
        <w:adjustRightInd w:val="0"/>
        <w:snapToGrid w:val="0"/>
        <w:spacing w:before="0" w:after="0" w:line="360" w:lineRule="auto"/>
        <w:ind w:firstLine="640" w:firstLineChars="200"/>
        <w:jc w:val="left"/>
        <w:rPr>
          <w:rFonts w:ascii="黑体" w:hAnsi="黑体" w:eastAsia="黑体" w:cs="黑体"/>
          <w:b w:val="0"/>
          <w:color w:val="auto"/>
          <w:kern w:val="0"/>
        </w:rPr>
      </w:pPr>
      <w:r>
        <w:rPr>
          <w:rFonts w:hint="eastAsia" w:ascii="黑体" w:hAnsi="黑体" w:eastAsia="黑体" w:cs="黑体"/>
          <w:b w:val="0"/>
          <w:color w:val="auto"/>
          <w:kern w:val="0"/>
        </w:rPr>
        <w:t>十八、其他</w:t>
      </w:r>
    </w:p>
    <w:p>
      <w:pPr>
        <w:pStyle w:val="6"/>
        <w:snapToGrid w:val="0"/>
        <w:spacing w:line="560" w:lineRule="exact"/>
        <w:ind w:firstLine="560" w:firstLineChars="200"/>
        <w:jc w:val="left"/>
        <w:rPr>
          <w:rFonts w:ascii="仿宋_GB2312" w:hAnsi="Arial Narrow" w:eastAsia="仿宋_GB2312" w:cs="宋体"/>
          <w:color w:val="auto"/>
          <w:sz w:val="28"/>
          <w:szCs w:val="28"/>
        </w:rPr>
      </w:pPr>
      <w:r>
        <w:rPr>
          <w:rFonts w:hint="eastAsia" w:ascii="仿宋_GB2312" w:hAnsi="Arial Narrow" w:eastAsia="仿宋_GB2312" w:cs="宋体"/>
          <w:color w:val="auto"/>
          <w:sz w:val="28"/>
          <w:szCs w:val="28"/>
        </w:rPr>
        <w:t>联系人：</w:t>
      </w:r>
    </w:p>
    <w:p>
      <w:pPr>
        <w:pStyle w:val="6"/>
        <w:snapToGrid w:val="0"/>
        <w:spacing w:line="560" w:lineRule="exact"/>
        <w:ind w:firstLine="560" w:firstLineChars="200"/>
        <w:jc w:val="left"/>
        <w:rPr>
          <w:rFonts w:ascii="仿宋_GB2312" w:hAnsi="Arial Narrow" w:eastAsia="仿宋_GB2312" w:cs="宋体"/>
          <w:color w:val="auto"/>
          <w:sz w:val="28"/>
          <w:szCs w:val="28"/>
        </w:rPr>
      </w:pPr>
      <w:r>
        <w:rPr>
          <w:rFonts w:hint="eastAsia" w:ascii="仿宋_GB2312" w:hAnsi="Arial Narrow" w:eastAsia="仿宋_GB2312" w:cs="宋体"/>
          <w:color w:val="auto"/>
          <w:sz w:val="28"/>
          <w:szCs w:val="28"/>
        </w:rPr>
        <w:t>黄颖颖，手机号码：18889692886；</w:t>
      </w:r>
    </w:p>
    <w:p>
      <w:pPr>
        <w:pStyle w:val="6"/>
        <w:snapToGrid w:val="0"/>
        <w:spacing w:line="560" w:lineRule="exact"/>
        <w:ind w:firstLine="560" w:firstLineChars="200"/>
        <w:jc w:val="left"/>
        <w:rPr>
          <w:rFonts w:ascii="仿宋_GB2312" w:hAnsi="Arial Narrow" w:eastAsia="仿宋_GB2312" w:cs="宋体"/>
          <w:color w:val="auto"/>
          <w:sz w:val="28"/>
          <w:szCs w:val="28"/>
        </w:rPr>
      </w:pPr>
      <w:r>
        <w:rPr>
          <w:rFonts w:hint="eastAsia" w:ascii="仿宋_GB2312" w:hAnsi="Arial Narrow" w:eastAsia="仿宋_GB2312" w:cs="宋体"/>
          <w:color w:val="auto"/>
          <w:sz w:val="28"/>
          <w:szCs w:val="28"/>
        </w:rPr>
        <w:t>张娜，手机号码：18689805837。</w:t>
      </w:r>
    </w:p>
    <w:sectPr>
      <w:footerReference r:id="rId3" w:type="default"/>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066896"/>
    </w:sdtPr>
    <w:sdtContent>
      <w:p>
        <w:pPr>
          <w:pStyle w:val="8"/>
          <w:jc w:val="cente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sz w:val="21"/>
            <w:szCs w:val="21"/>
            <w:lang w:val="zh-CN"/>
          </w:rPr>
          <w:t>26</w:t>
        </w:r>
        <w:r>
          <w:rPr>
            <w:rFonts w:ascii="Times New Roman" w:hAnsi="Times New Roman" w:cs="Times New Roman"/>
            <w:sz w:val="21"/>
            <w:szCs w:val="21"/>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5B536D"/>
    <w:multiLevelType w:val="multilevel"/>
    <w:tmpl w:val="3B5B536D"/>
    <w:lvl w:ilvl="0" w:tentative="0">
      <w:start w:val="1"/>
      <w:numFmt w:val="japaneseCounting"/>
      <w:lvlText w:val="%1、"/>
      <w:lvlJc w:val="left"/>
      <w:pPr>
        <w:ind w:left="1132" w:hanging="570"/>
      </w:pPr>
      <w:rPr>
        <w:rFonts w:hint="default"/>
      </w:rPr>
    </w:lvl>
    <w:lvl w:ilvl="1" w:tentative="0">
      <w:start w:val="1"/>
      <w:numFmt w:val="lowerLetter"/>
      <w:lvlText w:val="%2)"/>
      <w:lvlJc w:val="left"/>
      <w:pPr>
        <w:ind w:left="1402" w:hanging="420"/>
      </w:pPr>
    </w:lvl>
    <w:lvl w:ilvl="2" w:tentative="0">
      <w:start w:val="1"/>
      <w:numFmt w:val="lowerRoman"/>
      <w:lvlText w:val="%3."/>
      <w:lvlJc w:val="right"/>
      <w:pPr>
        <w:ind w:left="1822" w:hanging="420"/>
      </w:pPr>
    </w:lvl>
    <w:lvl w:ilvl="3" w:tentative="0">
      <w:start w:val="1"/>
      <w:numFmt w:val="decimal"/>
      <w:lvlText w:val="%4."/>
      <w:lvlJc w:val="left"/>
      <w:pPr>
        <w:ind w:left="2242" w:hanging="420"/>
      </w:pPr>
    </w:lvl>
    <w:lvl w:ilvl="4" w:tentative="0">
      <w:start w:val="1"/>
      <w:numFmt w:val="lowerLetter"/>
      <w:lvlText w:val="%5)"/>
      <w:lvlJc w:val="left"/>
      <w:pPr>
        <w:ind w:left="2662" w:hanging="420"/>
      </w:pPr>
    </w:lvl>
    <w:lvl w:ilvl="5" w:tentative="0">
      <w:start w:val="1"/>
      <w:numFmt w:val="lowerRoman"/>
      <w:lvlText w:val="%6."/>
      <w:lvlJc w:val="right"/>
      <w:pPr>
        <w:ind w:left="3082" w:hanging="420"/>
      </w:pPr>
    </w:lvl>
    <w:lvl w:ilvl="6" w:tentative="0">
      <w:start w:val="1"/>
      <w:numFmt w:val="decimal"/>
      <w:lvlText w:val="%7."/>
      <w:lvlJc w:val="left"/>
      <w:pPr>
        <w:ind w:left="3502" w:hanging="420"/>
      </w:pPr>
    </w:lvl>
    <w:lvl w:ilvl="7" w:tentative="0">
      <w:start w:val="1"/>
      <w:numFmt w:val="lowerLetter"/>
      <w:lvlText w:val="%8)"/>
      <w:lvlJc w:val="left"/>
      <w:pPr>
        <w:ind w:left="3922" w:hanging="420"/>
      </w:pPr>
    </w:lvl>
    <w:lvl w:ilvl="8" w:tentative="0">
      <w:start w:val="1"/>
      <w:numFmt w:val="lowerRoman"/>
      <w:lvlText w:val="%9."/>
      <w:lvlJc w:val="right"/>
      <w:pPr>
        <w:ind w:left="4342" w:hanging="420"/>
      </w:pPr>
    </w:lvl>
  </w:abstractNum>
  <w:abstractNum w:abstractNumId="1">
    <w:nsid w:val="5A3F8BBE"/>
    <w:multiLevelType w:val="singleLevel"/>
    <w:tmpl w:val="5A3F8BBE"/>
    <w:lvl w:ilvl="0" w:tentative="0">
      <w:start w:val="1"/>
      <w:numFmt w:val="decimal"/>
      <w:suff w:val="nothing"/>
      <w:lvlText w:val="（%1）"/>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20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kwZWNlNTA2MGVmYmY0NjJjZTQ0ZTQ1YzEyM2IxMTcifQ=="/>
  </w:docVars>
  <w:rsids>
    <w:rsidRoot w:val="00CD3E3A"/>
    <w:rsid w:val="000415E3"/>
    <w:rsid w:val="00043F2B"/>
    <w:rsid w:val="00045BD5"/>
    <w:rsid w:val="00053C60"/>
    <w:rsid w:val="0006321A"/>
    <w:rsid w:val="00066275"/>
    <w:rsid w:val="000B1810"/>
    <w:rsid w:val="000C3771"/>
    <w:rsid w:val="000E46FB"/>
    <w:rsid w:val="00107D9A"/>
    <w:rsid w:val="001103D3"/>
    <w:rsid w:val="001365D3"/>
    <w:rsid w:val="00140922"/>
    <w:rsid w:val="001C1C56"/>
    <w:rsid w:val="001E703B"/>
    <w:rsid w:val="00240277"/>
    <w:rsid w:val="002A4D70"/>
    <w:rsid w:val="002D0ECE"/>
    <w:rsid w:val="0030162C"/>
    <w:rsid w:val="00397D54"/>
    <w:rsid w:val="003B1F21"/>
    <w:rsid w:val="003D4096"/>
    <w:rsid w:val="004806FD"/>
    <w:rsid w:val="004820A8"/>
    <w:rsid w:val="004D1244"/>
    <w:rsid w:val="00511232"/>
    <w:rsid w:val="00515512"/>
    <w:rsid w:val="00520158"/>
    <w:rsid w:val="005459E8"/>
    <w:rsid w:val="00546F91"/>
    <w:rsid w:val="005E697A"/>
    <w:rsid w:val="0060752E"/>
    <w:rsid w:val="0061307C"/>
    <w:rsid w:val="00681EF1"/>
    <w:rsid w:val="006879F2"/>
    <w:rsid w:val="00692475"/>
    <w:rsid w:val="006A2E63"/>
    <w:rsid w:val="00786D7E"/>
    <w:rsid w:val="00794277"/>
    <w:rsid w:val="007A4FB7"/>
    <w:rsid w:val="007C150D"/>
    <w:rsid w:val="007E286E"/>
    <w:rsid w:val="007F1A00"/>
    <w:rsid w:val="0080282F"/>
    <w:rsid w:val="00815280"/>
    <w:rsid w:val="008C5063"/>
    <w:rsid w:val="009809B3"/>
    <w:rsid w:val="00991D00"/>
    <w:rsid w:val="00994F41"/>
    <w:rsid w:val="009C113C"/>
    <w:rsid w:val="00A0009F"/>
    <w:rsid w:val="00A55B00"/>
    <w:rsid w:val="00A94D30"/>
    <w:rsid w:val="00AA2162"/>
    <w:rsid w:val="00AC2CEC"/>
    <w:rsid w:val="00AC70C6"/>
    <w:rsid w:val="00AE7609"/>
    <w:rsid w:val="00B12FF9"/>
    <w:rsid w:val="00B32325"/>
    <w:rsid w:val="00B3669A"/>
    <w:rsid w:val="00B55A8C"/>
    <w:rsid w:val="00B9274C"/>
    <w:rsid w:val="00BB0A2A"/>
    <w:rsid w:val="00BC1B68"/>
    <w:rsid w:val="00C234D4"/>
    <w:rsid w:val="00C31FD5"/>
    <w:rsid w:val="00C3737D"/>
    <w:rsid w:val="00C61636"/>
    <w:rsid w:val="00C86F19"/>
    <w:rsid w:val="00CB090F"/>
    <w:rsid w:val="00CB47B6"/>
    <w:rsid w:val="00CD3E3A"/>
    <w:rsid w:val="00CE00DB"/>
    <w:rsid w:val="00D11D33"/>
    <w:rsid w:val="00D26AC4"/>
    <w:rsid w:val="00DB37AB"/>
    <w:rsid w:val="00DC0B11"/>
    <w:rsid w:val="00DE7730"/>
    <w:rsid w:val="00DF1FBC"/>
    <w:rsid w:val="00E54231"/>
    <w:rsid w:val="00E61DF6"/>
    <w:rsid w:val="00E6603E"/>
    <w:rsid w:val="00ED409E"/>
    <w:rsid w:val="00F409DE"/>
    <w:rsid w:val="00F722EB"/>
    <w:rsid w:val="00FA5731"/>
    <w:rsid w:val="00FB2DD3"/>
    <w:rsid w:val="01A11083"/>
    <w:rsid w:val="07D677BF"/>
    <w:rsid w:val="08435D84"/>
    <w:rsid w:val="09AE5111"/>
    <w:rsid w:val="0A3211E9"/>
    <w:rsid w:val="0F3838B6"/>
    <w:rsid w:val="118B559C"/>
    <w:rsid w:val="12D74E9B"/>
    <w:rsid w:val="143376FC"/>
    <w:rsid w:val="162A06B2"/>
    <w:rsid w:val="1B400C0E"/>
    <w:rsid w:val="1BD95F01"/>
    <w:rsid w:val="1F0E4576"/>
    <w:rsid w:val="1F177D9E"/>
    <w:rsid w:val="1F36100F"/>
    <w:rsid w:val="1F452C58"/>
    <w:rsid w:val="211E1996"/>
    <w:rsid w:val="21EF6FD1"/>
    <w:rsid w:val="21FD214C"/>
    <w:rsid w:val="255B56E4"/>
    <w:rsid w:val="26677C82"/>
    <w:rsid w:val="28EE4B1C"/>
    <w:rsid w:val="2A72283E"/>
    <w:rsid w:val="2AC80E71"/>
    <w:rsid w:val="2DF314AE"/>
    <w:rsid w:val="2FB47D97"/>
    <w:rsid w:val="31A36F88"/>
    <w:rsid w:val="31F562C0"/>
    <w:rsid w:val="34143528"/>
    <w:rsid w:val="348345E7"/>
    <w:rsid w:val="34950587"/>
    <w:rsid w:val="35641227"/>
    <w:rsid w:val="36DD3A93"/>
    <w:rsid w:val="36FD1068"/>
    <w:rsid w:val="375C0B95"/>
    <w:rsid w:val="3B8465E6"/>
    <w:rsid w:val="3C5C0DFE"/>
    <w:rsid w:val="3FB97D99"/>
    <w:rsid w:val="3FD351EC"/>
    <w:rsid w:val="417B38AA"/>
    <w:rsid w:val="418F68E1"/>
    <w:rsid w:val="41C212E2"/>
    <w:rsid w:val="427156DA"/>
    <w:rsid w:val="47D00B33"/>
    <w:rsid w:val="489C47C5"/>
    <w:rsid w:val="4A735EFE"/>
    <w:rsid w:val="4D381E41"/>
    <w:rsid w:val="4D76744D"/>
    <w:rsid w:val="54635117"/>
    <w:rsid w:val="54BC7847"/>
    <w:rsid w:val="55406CC7"/>
    <w:rsid w:val="56285B8F"/>
    <w:rsid w:val="57A86DB5"/>
    <w:rsid w:val="5C4F7D19"/>
    <w:rsid w:val="5C7027E3"/>
    <w:rsid w:val="5CF813B5"/>
    <w:rsid w:val="5DB32A90"/>
    <w:rsid w:val="5DC9676B"/>
    <w:rsid w:val="60975030"/>
    <w:rsid w:val="609E3FCB"/>
    <w:rsid w:val="61DA00A7"/>
    <w:rsid w:val="624E2BFD"/>
    <w:rsid w:val="660673AF"/>
    <w:rsid w:val="66E83C77"/>
    <w:rsid w:val="6A922E62"/>
    <w:rsid w:val="704330C5"/>
    <w:rsid w:val="70B1201A"/>
    <w:rsid w:val="710400F9"/>
    <w:rsid w:val="7134008F"/>
    <w:rsid w:val="71981271"/>
    <w:rsid w:val="72FA080A"/>
    <w:rsid w:val="75DB059A"/>
    <w:rsid w:val="783B6AE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25"/>
    <w:qFormat/>
    <w:uiPriority w:val="9"/>
    <w:pPr>
      <w:keepNext/>
      <w:keepLines/>
      <w:jc w:val="left"/>
      <w:outlineLvl w:val="0"/>
    </w:pPr>
    <w:rPr>
      <w:rFonts w:eastAsia="仿宋_GB2312"/>
      <w:b/>
      <w:bCs/>
      <w:kern w:val="44"/>
      <w:sz w:val="28"/>
      <w:szCs w:val="44"/>
    </w:rPr>
  </w:style>
  <w:style w:type="paragraph" w:styleId="3">
    <w:name w:val="heading 2"/>
    <w:basedOn w:val="1"/>
    <w:next w:val="1"/>
    <w:link w:val="2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qFormat/>
    <w:uiPriority w:val="0"/>
    <w:pPr>
      <w:keepNext/>
      <w:keepLines/>
      <w:spacing w:before="260" w:after="260" w:line="413" w:lineRule="auto"/>
      <w:outlineLvl w:val="2"/>
    </w:pPr>
    <w:rPr>
      <w:rFonts w:ascii="Times New Roman" w:hAnsi="Times New Roman"/>
      <w:b/>
      <w:bCs/>
      <w:sz w:val="32"/>
      <w:szCs w:val="32"/>
    </w:rPr>
  </w:style>
  <w:style w:type="character" w:default="1" w:styleId="13">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8"/>
    <w:semiHidden/>
    <w:unhideWhenUsed/>
    <w:qFormat/>
    <w:uiPriority w:val="99"/>
    <w:pPr>
      <w:jc w:val="left"/>
    </w:pPr>
  </w:style>
  <w:style w:type="paragraph" w:styleId="6">
    <w:name w:val="Plain Text"/>
    <w:basedOn w:val="1"/>
    <w:link w:val="18"/>
    <w:qFormat/>
    <w:uiPriority w:val="99"/>
    <w:rPr>
      <w:rFonts w:ascii="宋体" w:hAnsi="Courier New" w:eastAsiaTheme="minorEastAsia" w:cstheme="minorBidi"/>
      <w:szCs w:val="21"/>
    </w:rPr>
  </w:style>
  <w:style w:type="paragraph" w:styleId="7">
    <w:name w:val="Balloon Text"/>
    <w:basedOn w:val="1"/>
    <w:link w:val="19"/>
    <w:qFormat/>
    <w:uiPriority w:val="99"/>
    <w:rPr>
      <w:rFonts w:asciiTheme="minorHAnsi" w:hAnsiTheme="minorHAnsi" w:eastAsiaTheme="minorEastAsia" w:cstheme="minorBidi"/>
      <w:sz w:val="18"/>
      <w:szCs w:val="18"/>
    </w:rPr>
  </w:style>
  <w:style w:type="paragraph" w:styleId="8">
    <w:name w:val="footer"/>
    <w:basedOn w:val="1"/>
    <w:link w:val="16"/>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20"/>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cs="宋体"/>
      <w:sz w:val="18"/>
      <w:szCs w:val="20"/>
    </w:rPr>
  </w:style>
  <w:style w:type="paragraph" w:styleId="10">
    <w:name w:val="footnote text"/>
    <w:basedOn w:val="1"/>
    <w:link w:val="27"/>
    <w:semiHidden/>
    <w:unhideWhenUsed/>
    <w:qFormat/>
    <w:uiPriority w:val="99"/>
    <w:pPr>
      <w:snapToGrid w:val="0"/>
      <w:jc w:val="left"/>
    </w:pPr>
    <w:rPr>
      <w:sz w:val="18"/>
      <w:szCs w:val="18"/>
    </w:rPr>
  </w:style>
  <w:style w:type="paragraph" w:styleId="11">
    <w:name w:val="annotation subject"/>
    <w:basedOn w:val="5"/>
    <w:next w:val="5"/>
    <w:link w:val="29"/>
    <w:semiHidden/>
    <w:unhideWhenUsed/>
    <w:qFormat/>
    <w:uiPriority w:val="99"/>
    <w:rPr>
      <w:b/>
      <w:bCs/>
    </w:rPr>
  </w:style>
  <w:style w:type="character" w:styleId="14">
    <w:name w:val="annotation reference"/>
    <w:basedOn w:val="13"/>
    <w:semiHidden/>
    <w:unhideWhenUsed/>
    <w:qFormat/>
    <w:uiPriority w:val="99"/>
    <w:rPr>
      <w:sz w:val="21"/>
      <w:szCs w:val="21"/>
    </w:rPr>
  </w:style>
  <w:style w:type="character" w:styleId="15">
    <w:name w:val="footnote reference"/>
    <w:basedOn w:val="13"/>
    <w:semiHidden/>
    <w:unhideWhenUsed/>
    <w:qFormat/>
    <w:uiPriority w:val="99"/>
    <w:rPr>
      <w:vertAlign w:val="superscript"/>
    </w:rPr>
  </w:style>
  <w:style w:type="character" w:customStyle="1" w:styleId="16">
    <w:name w:val="页脚 字符"/>
    <w:link w:val="8"/>
    <w:qFormat/>
    <w:uiPriority w:val="99"/>
    <w:rPr>
      <w:sz w:val="18"/>
      <w:szCs w:val="18"/>
    </w:rPr>
  </w:style>
  <w:style w:type="character" w:customStyle="1" w:styleId="17">
    <w:name w:val="页脚字符1"/>
    <w:basedOn w:val="13"/>
    <w:semiHidden/>
    <w:qFormat/>
    <w:uiPriority w:val="99"/>
    <w:rPr>
      <w:rFonts w:ascii="Calibri" w:hAnsi="Calibri" w:eastAsia="宋体" w:cs="Times New Roman"/>
      <w:sz w:val="18"/>
      <w:szCs w:val="18"/>
    </w:rPr>
  </w:style>
  <w:style w:type="character" w:customStyle="1" w:styleId="18">
    <w:name w:val="纯文本 字符"/>
    <w:basedOn w:val="13"/>
    <w:link w:val="6"/>
    <w:qFormat/>
    <w:uiPriority w:val="99"/>
    <w:rPr>
      <w:rFonts w:ascii="宋体" w:hAnsi="Courier New"/>
      <w:sz w:val="21"/>
      <w:szCs w:val="21"/>
    </w:rPr>
  </w:style>
  <w:style w:type="character" w:customStyle="1" w:styleId="19">
    <w:name w:val="批注框文本 字符"/>
    <w:basedOn w:val="13"/>
    <w:link w:val="7"/>
    <w:qFormat/>
    <w:uiPriority w:val="99"/>
    <w:rPr>
      <w:sz w:val="18"/>
      <w:szCs w:val="18"/>
    </w:rPr>
  </w:style>
  <w:style w:type="character" w:customStyle="1" w:styleId="20">
    <w:name w:val="页眉 字符"/>
    <w:basedOn w:val="13"/>
    <w:link w:val="9"/>
    <w:qFormat/>
    <w:uiPriority w:val="0"/>
    <w:rPr>
      <w:rFonts w:ascii="Times New Roman" w:hAnsi="Times New Roman" w:eastAsia="宋体" w:cs="宋体"/>
      <w:sz w:val="18"/>
      <w:szCs w:val="20"/>
    </w:rPr>
  </w:style>
  <w:style w:type="paragraph" w:styleId="21">
    <w:name w:val="List Paragraph"/>
    <w:basedOn w:val="1"/>
    <w:qFormat/>
    <w:uiPriority w:val="34"/>
    <w:pPr>
      <w:ind w:firstLine="420" w:firstLineChars="200"/>
    </w:pPr>
    <w:rPr>
      <w:rFonts w:asciiTheme="minorHAnsi" w:hAnsiTheme="minorHAnsi" w:eastAsiaTheme="minorEastAsia" w:cstheme="minorBidi"/>
      <w:sz w:val="24"/>
    </w:rPr>
  </w:style>
  <w:style w:type="paragraph" w:customStyle="1" w:styleId="22">
    <w:name w:val="默认段落字体 Para Char Char Char Char Char Char Char"/>
    <w:basedOn w:val="1"/>
    <w:qFormat/>
    <w:uiPriority w:val="0"/>
    <w:pPr>
      <w:adjustRightInd w:val="0"/>
      <w:spacing w:line="360" w:lineRule="auto"/>
    </w:pPr>
    <w:rPr>
      <w:rFonts w:cs="宋体"/>
      <w:kern w:val="0"/>
      <w:sz w:val="24"/>
      <w:szCs w:val="20"/>
    </w:rPr>
  </w:style>
  <w:style w:type="character" w:customStyle="1" w:styleId="23">
    <w:name w:val="5-内文 Char"/>
    <w:link w:val="24"/>
    <w:qFormat/>
    <w:locked/>
    <w:uiPriority w:val="99"/>
    <w:rPr>
      <w:rFonts w:ascii="Calibri" w:hAnsi="Calibri" w:eastAsia="仿宋_GB2312"/>
      <w:sz w:val="28"/>
    </w:rPr>
  </w:style>
  <w:style w:type="paragraph" w:customStyle="1" w:styleId="24">
    <w:name w:val="5-内文"/>
    <w:basedOn w:val="1"/>
    <w:link w:val="23"/>
    <w:qFormat/>
    <w:uiPriority w:val="99"/>
    <w:pPr>
      <w:spacing w:beforeLines="25" w:afterLines="25" w:line="300" w:lineRule="auto"/>
      <w:ind w:firstLine="200" w:firstLineChars="200"/>
    </w:pPr>
    <w:rPr>
      <w:rFonts w:eastAsia="仿宋_GB2312" w:cstheme="minorBidi"/>
      <w:sz w:val="28"/>
    </w:rPr>
  </w:style>
  <w:style w:type="character" w:customStyle="1" w:styleId="25">
    <w:name w:val="标题 1 字符"/>
    <w:basedOn w:val="13"/>
    <w:link w:val="2"/>
    <w:qFormat/>
    <w:uiPriority w:val="9"/>
    <w:rPr>
      <w:rFonts w:ascii="Calibri" w:hAnsi="Calibri" w:eastAsia="仿宋_GB2312" w:cs="Times New Roman"/>
      <w:b/>
      <w:bCs/>
      <w:kern w:val="44"/>
      <w:sz w:val="28"/>
      <w:szCs w:val="44"/>
    </w:rPr>
  </w:style>
  <w:style w:type="character" w:customStyle="1" w:styleId="26">
    <w:name w:val="标题 2 字符"/>
    <w:basedOn w:val="13"/>
    <w:link w:val="3"/>
    <w:qFormat/>
    <w:uiPriority w:val="9"/>
    <w:rPr>
      <w:rFonts w:asciiTheme="majorHAnsi" w:hAnsiTheme="majorHAnsi" w:eastAsiaTheme="majorEastAsia" w:cstheme="majorBidi"/>
      <w:b/>
      <w:bCs/>
      <w:sz w:val="32"/>
      <w:szCs w:val="32"/>
    </w:rPr>
  </w:style>
  <w:style w:type="character" w:customStyle="1" w:styleId="27">
    <w:name w:val="脚注文本 字符"/>
    <w:basedOn w:val="13"/>
    <w:link w:val="10"/>
    <w:semiHidden/>
    <w:qFormat/>
    <w:uiPriority w:val="99"/>
    <w:rPr>
      <w:rFonts w:ascii="Calibri" w:hAnsi="Calibri"/>
      <w:kern w:val="2"/>
      <w:sz w:val="18"/>
      <w:szCs w:val="18"/>
    </w:rPr>
  </w:style>
  <w:style w:type="character" w:customStyle="1" w:styleId="28">
    <w:name w:val="批注文字 字符"/>
    <w:basedOn w:val="13"/>
    <w:link w:val="5"/>
    <w:semiHidden/>
    <w:qFormat/>
    <w:uiPriority w:val="99"/>
    <w:rPr>
      <w:rFonts w:ascii="Calibri" w:hAnsi="Calibri"/>
      <w:kern w:val="2"/>
      <w:sz w:val="21"/>
      <w:szCs w:val="24"/>
    </w:rPr>
  </w:style>
  <w:style w:type="character" w:customStyle="1" w:styleId="29">
    <w:name w:val="批注主题 字符"/>
    <w:basedOn w:val="28"/>
    <w:link w:val="11"/>
    <w:semiHidden/>
    <w:qFormat/>
    <w:uiPriority w:val="99"/>
    <w:rPr>
      <w:rFonts w:ascii="Calibri" w:hAnsi="Calibri"/>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a:ea typeface="黑体"/>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a:ea typeface="宋体"/>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6AB0F-814E-446F-938B-41FA6C0C7271}">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17</Pages>
  <Words>6723</Words>
  <Characters>7504</Characters>
  <Lines>61</Lines>
  <Paragraphs>17</Paragraphs>
  <TotalTime>1</TotalTime>
  <ScaleCrop>false</ScaleCrop>
  <LinksUpToDate>false</LinksUpToDate>
  <CharactersWithSpaces>7529</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2022-07-24T23:54:00Z</dcterms:created>
  <dc:creator>丁石雄</dc:creator>
  <cp:lastModifiedBy>ЮАΘＹē╅</cp:lastModifiedBy>
  <dcterms:modified xsi:type="dcterms:W3CDTF">2022-07-28T05:22:06Z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569C1628135F4C6B944847A17554C13E</vt:lpwstr>
  </property>
</Properties>
</file>