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60" w:lineRule="exact"/>
        <w:jc w:val="center"/>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t>202</w:t>
      </w:r>
      <w:r>
        <w:rPr>
          <w:rFonts w:hint="eastAsia" w:ascii="方正小标宋_GBK" w:hAnsi="方正小标宋_GBK" w:eastAsia="方正小标宋_GBK" w:cs="方正小标宋_GBK"/>
          <w:b w:val="0"/>
          <w:bCs/>
          <w:sz w:val="44"/>
          <w:szCs w:val="44"/>
          <w:lang w:val="en-US" w:eastAsia="zh-CN"/>
        </w:rPr>
        <w:t>3</w:t>
      </w:r>
      <w:r>
        <w:rPr>
          <w:rFonts w:hint="eastAsia" w:ascii="方正小标宋_GBK" w:hAnsi="方正小标宋_GBK" w:eastAsia="方正小标宋_GBK" w:cs="方正小标宋_GBK"/>
          <w:b w:val="0"/>
          <w:bCs/>
          <w:sz w:val="44"/>
          <w:szCs w:val="44"/>
        </w:rPr>
        <w:t>年海南省职业院校技能大赛（高职组）</w:t>
      </w:r>
    </w:p>
    <w:p>
      <w:pPr>
        <w:snapToGrid w:val="0"/>
        <w:spacing w:line="560" w:lineRule="exact"/>
        <w:jc w:val="center"/>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lang w:val="en-US" w:eastAsia="zh-CN"/>
        </w:rPr>
        <w:t>智能网联汽车技术</w:t>
      </w:r>
      <w:r>
        <w:rPr>
          <w:rFonts w:hint="eastAsia" w:ascii="方正小标宋_GBK" w:hAnsi="方正小标宋_GBK" w:eastAsia="方正小标宋_GBK" w:cs="方正小标宋_GBK"/>
          <w:b w:val="0"/>
          <w:bCs/>
          <w:sz w:val="44"/>
          <w:szCs w:val="44"/>
        </w:rPr>
        <w:t>赛项规程</w:t>
      </w:r>
    </w:p>
    <w:p>
      <w:pPr>
        <w:pStyle w:val="3"/>
        <w:rPr>
          <w:rFonts w:hint="eastAsia"/>
        </w:rPr>
      </w:pPr>
    </w:p>
    <w:p>
      <w:pPr>
        <w:rPr>
          <w:rFonts w:hint="eastAsia"/>
        </w:rPr>
      </w:pPr>
    </w:p>
    <w:p>
      <w:pPr>
        <w:rPr>
          <w:rFonts w:hint="eastAsia"/>
        </w:rPr>
      </w:pPr>
      <w:r>
        <w:rPr>
          <w:rFonts w:hint="eastAsia" w:ascii="黑体" w:hAnsi="黑体" w:eastAsia="黑体" w:cs="黑体"/>
          <w:b w:val="0"/>
          <w:bCs w:val="0"/>
          <w:sz w:val="32"/>
          <w:szCs w:val="32"/>
          <w:lang w:val="en-US" w:eastAsia="zh-CN"/>
        </w:rPr>
        <w:t>一、</w:t>
      </w:r>
      <w:r>
        <w:rPr>
          <w:rFonts w:hint="eastAsia" w:ascii="黑体" w:hAnsi="黑体" w:eastAsia="黑体" w:cs="黑体"/>
          <w:b w:val="0"/>
          <w:bCs w:val="0"/>
          <w:sz w:val="32"/>
          <w:szCs w:val="32"/>
        </w:rPr>
        <w:t>赛项名称</w:t>
      </w:r>
    </w:p>
    <w:p>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hint="eastAsia" w:ascii="楷体" w:hAnsi="楷体" w:eastAsia="楷体" w:cs="楷体"/>
          <w:sz w:val="32"/>
          <w:szCs w:val="32"/>
        </w:rPr>
      </w:pPr>
      <w:r>
        <w:rPr>
          <w:rFonts w:hint="eastAsia" w:ascii="楷体" w:hAnsi="楷体" w:eastAsia="楷体" w:cs="楷体"/>
          <w:sz w:val="32"/>
          <w:szCs w:val="32"/>
        </w:rPr>
        <w:t>赛项名称：智能网联汽车技术</w:t>
      </w:r>
    </w:p>
    <w:p>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hint="eastAsia" w:ascii="楷体" w:hAnsi="楷体" w:eastAsia="楷体" w:cs="楷体"/>
          <w:sz w:val="32"/>
          <w:szCs w:val="32"/>
        </w:rPr>
      </w:pPr>
      <w:r>
        <w:rPr>
          <w:rFonts w:hint="eastAsia" w:ascii="楷体" w:hAnsi="楷体" w:eastAsia="楷体" w:cs="楷体"/>
          <w:sz w:val="32"/>
          <w:szCs w:val="32"/>
        </w:rPr>
        <w:t>英文名称：Intelligent Connected Vehicle Technology</w:t>
      </w:r>
    </w:p>
    <w:p>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hint="eastAsia" w:ascii="楷体" w:hAnsi="楷体" w:eastAsia="楷体" w:cs="楷体"/>
          <w:sz w:val="32"/>
          <w:szCs w:val="32"/>
        </w:rPr>
      </w:pPr>
      <w:r>
        <w:rPr>
          <w:rFonts w:hint="eastAsia" w:ascii="楷体" w:hAnsi="楷体" w:eastAsia="楷体" w:cs="楷体"/>
          <w:sz w:val="32"/>
          <w:szCs w:val="32"/>
        </w:rPr>
        <w:t>赛项组别：高等职业教育</w:t>
      </w:r>
    </w:p>
    <w:p>
      <w:pPr>
        <w:keepNext w:val="0"/>
        <w:keepLines w:val="0"/>
        <w:pageBreakBefore w:val="0"/>
        <w:widowControl w:val="0"/>
        <w:tabs>
          <w:tab w:val="left" w:pos="567"/>
        </w:tabs>
        <w:kinsoku/>
        <w:wordWrap/>
        <w:overflowPunct/>
        <w:topLinePunct w:val="0"/>
        <w:autoSpaceDE/>
        <w:autoSpaceDN/>
        <w:bidi w:val="0"/>
        <w:adjustRightInd/>
        <w:snapToGrid w:val="0"/>
        <w:spacing w:line="560" w:lineRule="exact"/>
        <w:ind w:firstLine="627" w:firstLineChars="196"/>
        <w:textAlignment w:val="auto"/>
        <w:rPr>
          <w:rFonts w:hint="eastAsia" w:ascii="楷体" w:hAnsi="楷体" w:eastAsia="楷体" w:cs="楷体"/>
          <w:sz w:val="32"/>
          <w:szCs w:val="32"/>
          <w:lang w:val="en-US" w:eastAsia="zh-CN"/>
        </w:rPr>
      </w:pPr>
      <w:r>
        <w:rPr>
          <w:rFonts w:hint="eastAsia" w:ascii="楷体" w:hAnsi="楷体" w:eastAsia="楷体" w:cs="楷体"/>
          <w:sz w:val="32"/>
          <w:szCs w:val="32"/>
        </w:rPr>
        <w:t>赛项归属产业：</w:t>
      </w:r>
      <w:r>
        <w:rPr>
          <w:rFonts w:hint="eastAsia" w:ascii="楷体" w:hAnsi="楷体" w:eastAsia="楷体" w:cs="楷体"/>
          <w:sz w:val="32"/>
          <w:szCs w:val="32"/>
          <w:lang w:val="en-US" w:eastAsia="zh-CN"/>
        </w:rPr>
        <w:t>装备制造类</w:t>
      </w:r>
    </w:p>
    <w:p>
      <w:pPr>
        <w:keepNext w:val="0"/>
        <w:keepLines w:val="0"/>
        <w:pageBreakBefore w:val="0"/>
        <w:widowControl w:val="0"/>
        <w:kinsoku/>
        <w:wordWrap/>
        <w:overflowPunct/>
        <w:topLinePunct w:val="0"/>
        <w:autoSpaceDE/>
        <w:autoSpaceDN/>
        <w:bidi w:val="0"/>
        <w:adjustRightInd/>
        <w:snapToGrid w:val="0"/>
        <w:spacing w:line="560" w:lineRule="exact"/>
        <w:textAlignment w:val="auto"/>
        <w:rPr>
          <w:rFonts w:hint="eastAsia" w:ascii="黑体" w:hAnsi="黑体" w:eastAsia="黑体" w:cs="黑体"/>
          <w:b w:val="0"/>
          <w:bCs w:val="0"/>
          <w:kern w:val="0"/>
          <w:sz w:val="32"/>
          <w:szCs w:val="32"/>
          <w:lang w:val="en-US" w:eastAsia="zh-CN"/>
        </w:rPr>
      </w:pPr>
      <w:r>
        <w:rPr>
          <w:rFonts w:hint="eastAsia" w:ascii="黑体" w:hAnsi="黑体" w:eastAsia="黑体" w:cs="黑体"/>
          <w:b w:val="0"/>
          <w:bCs w:val="0"/>
          <w:kern w:val="0"/>
          <w:sz w:val="32"/>
          <w:szCs w:val="32"/>
          <w:lang w:val="en-US" w:eastAsia="zh-CN"/>
        </w:rPr>
        <w:t>二、竞赛目标</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eastAsia="zh-CN"/>
        </w:rPr>
      </w:pPr>
      <w:r>
        <w:rPr>
          <w:rFonts w:hint="eastAsia" w:ascii="楷体" w:hAnsi="楷体" w:eastAsia="楷体" w:cs="楷体"/>
          <w:sz w:val="32"/>
          <w:szCs w:val="32"/>
          <w:lang w:val="en-US" w:eastAsia="zh-CN"/>
        </w:rPr>
        <w:t>党的二十大报</w:t>
      </w:r>
      <w:r>
        <w:rPr>
          <w:rFonts w:hint="eastAsia" w:ascii="楷体" w:hAnsi="楷体" w:eastAsia="楷体" w:cs="楷体"/>
          <w:sz w:val="32"/>
          <w:szCs w:val="32"/>
          <w:lang w:eastAsia="zh-CN"/>
        </w:rPr>
        <w:t>告明确指出，“推动战略性新兴产业融合集群发展，构建新一代信息技术、人工智能、生物技术、新能源、新材料、高端装备、绿色环保等一批新的增长引擎”；国家“十四五” 规划提出，加快研发智能网联汽车基础技术平台及软硬件系统、线控底盘和智能终 端等关键部件。本赛项落实《国家职业教育改革实施方案》，结合《中国制造2025》、《智能汽车创新发展战略》的目标要求，促进职普融通、产教融合、科教融汇，满足产教协同育人目标，加快职业教育制度创新，引领智能网联汽车技术相关专业建设和教学改革。</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lang w:eastAsia="zh-CN"/>
        </w:rPr>
      </w:pPr>
      <w:r>
        <w:rPr>
          <w:rFonts w:hint="eastAsia" w:ascii="楷体" w:hAnsi="楷体" w:eastAsia="楷体" w:cs="楷体"/>
          <w:sz w:val="32"/>
          <w:szCs w:val="32"/>
          <w:lang w:eastAsia="zh-CN"/>
        </w:rPr>
        <w:t xml:space="preserve">本赛项密切对接新能源汽车和人工智能产业，面向智能网联汽车 整车及系统（部件）辅助研发、生产制造、营运服务等岗位，通过智 能网联汽车装调和智能网联汽车仿真与道路测试竞赛模块，重点考查选手对车载传感器技术、嵌入式系统应用技术、人工智能技术、网络 通信技术和 AutoSAR </w:t>
      </w:r>
      <w:r>
        <w:rPr>
          <w:rFonts w:hint="eastAsia" w:ascii="楷体" w:hAnsi="楷体" w:eastAsia="楷体" w:cs="楷体"/>
          <w:sz w:val="32"/>
          <w:szCs w:val="32"/>
          <w:lang w:val="en-US" w:eastAsia="zh-CN"/>
        </w:rPr>
        <w:t>汽车开放系统架构技术等知识的掌握情况；考查智能网联汽车的关键零部件装配与调试、参数调整与优化、性能检测与分析、故障诊断与排除等技能；考查计划组织、团队协作、安全防护、操作规范、诚实守信、绿色环保等职业素养，提高人才培养质量，为经济社会和职业教育高质量发展注入新动能。</w:t>
      </w:r>
    </w:p>
    <w:p>
      <w:pPr>
        <w:keepNext w:val="0"/>
        <w:keepLines w:val="0"/>
        <w:pageBreakBefore w:val="0"/>
        <w:widowControl w:val="0"/>
        <w:kinsoku/>
        <w:wordWrap/>
        <w:overflowPunct/>
        <w:topLinePunct w:val="0"/>
        <w:autoSpaceDE/>
        <w:autoSpaceDN/>
        <w:bidi w:val="0"/>
        <w:adjustRightInd/>
        <w:snapToGrid w:val="0"/>
        <w:spacing w:line="560" w:lineRule="exact"/>
        <w:textAlignment w:val="auto"/>
        <w:rPr>
          <w:rFonts w:hint="eastAsia" w:ascii="黑体" w:hAnsi="黑体" w:eastAsia="黑体" w:cs="黑体"/>
          <w:b w:val="0"/>
          <w:bCs w:val="0"/>
          <w:kern w:val="0"/>
          <w:sz w:val="32"/>
          <w:szCs w:val="32"/>
          <w:lang w:val="en-US" w:eastAsia="zh-CN"/>
        </w:rPr>
      </w:pPr>
      <w:r>
        <w:rPr>
          <w:rFonts w:hint="eastAsia" w:ascii="黑体" w:hAnsi="黑体" w:eastAsia="黑体" w:cs="黑体"/>
          <w:b w:val="0"/>
          <w:bCs w:val="0"/>
          <w:kern w:val="0"/>
          <w:sz w:val="32"/>
          <w:szCs w:val="32"/>
          <w:lang w:val="en-US" w:eastAsia="zh-CN"/>
        </w:rPr>
        <w:t>三、竞赛内容</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eastAsia="zh-CN"/>
        </w:rPr>
      </w:pPr>
      <w:r>
        <w:rPr>
          <w:rFonts w:hint="eastAsia" w:ascii="楷体" w:hAnsi="楷体" w:eastAsia="楷体" w:cs="楷体"/>
          <w:sz w:val="32"/>
          <w:szCs w:val="32"/>
          <w:lang w:eastAsia="zh-CN"/>
        </w:rPr>
        <w:t>围绕智能网联汽车技术发展与创新，结合国家与行业标准，面向智能网联汽车整车辅助研发、智能网联汽车系统（部件）辅助研发、智能网联汽车生产制造、智能网联汽车营运服务等岗位，基于智能网联汽车装调方案设计、智能网联汽车部件装配与调整、智能网联汽车参数调整与优化、智能网联汽车性能检测与分析、智能网联汽车故障 诊断与排除等典型工作任务，开展智能网联汽车传感器通信、智能网联汽车目标跟踪检测、计算平台安装与系统标定、规控算法仿真测试、实车道路测试等比赛内容。</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eastAsia="zh-CN"/>
        </w:rPr>
      </w:pPr>
      <w:r>
        <w:rPr>
          <w:rFonts w:hint="eastAsia" w:ascii="楷体" w:hAnsi="楷体" w:eastAsia="楷体" w:cs="楷体"/>
          <w:sz w:val="32"/>
          <w:szCs w:val="32"/>
          <w:lang w:eastAsia="zh-CN"/>
        </w:rPr>
        <w:t>本赛项包括智能网联汽车装调和智能网联汽车仿真与道路测试 两个竞赛模块。智能网联汽车装调竞赛模块围绕智能网联汽车整车及 系统（部件）进行装调和故障排除。对智能网联汽车的毫米波雷达、超声波雷达、摄像头、激光雷达、组合导航等装备进行性能检测、安装调试与标定；对线控底盘CAN通讯数据的读取和解析，对控制执 行机构相关参数的调试、设定与读取；进行整车能源供给、智能传感 器、总线、线束和通信等系统的故障诊断与排除。智能网联汽车仿真与道路测试竞赛模块主要包括智能网联汽车规控算法仿真测试和综合道路测试两个任务。依据智能网联汽车功能定义和算法测试要求，在仿真环境中设计并搭建仿真道路地图、仿真测试场景、参数配置与 调整、最终完成智能网联汽车虚拟仿真测试；运用竞赛平台进行综合道路测试，对组合导航、线控底盘、计算平台等功能进行测试确认，在实际道路环境中完成智能网联汽车的智能化功能道路测试，验证自动紧急制动、交通信号灯识别、车道线识别、主动避障等功能。</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eastAsia="zh-CN"/>
        </w:rPr>
      </w:pPr>
      <w:r>
        <w:rPr>
          <w:rFonts w:hint="eastAsia" w:ascii="楷体" w:hAnsi="楷体" w:eastAsia="楷体" w:cs="楷体"/>
          <w:sz w:val="32"/>
          <w:szCs w:val="32"/>
          <w:lang w:eastAsia="zh-CN"/>
        </w:rPr>
        <w:t>本赛项要求参赛选手在规定时间内，对智能网联汽车统进行智能 传感器的装配和标定、线控底盘 CAN 通讯数据读取与调测、故障诊断与排除，对智能网联汽车在实际场景进行仿真测试，并进行实车道路测试；完整准确填写《智能网联汽车技术选手报告单》。重点考查 参赛选手对智能网联汽车控制逻辑的理解程度，考查智能网联汽车智 能装备调试、功能测试、故障排除、虚拟仿真和道路测试等应用实践 能力，考查作业过程中熟练查阅技术资料、规范使用工量具和仪器设备、准确测量技术参数和判断故障点能力，以及选手团队合作、安全生产、组织管理、现场问题的分析与处理等综合职业能力。</w:t>
      </w:r>
    </w:p>
    <w:p>
      <w:pPr>
        <w:keepNext w:val="0"/>
        <w:keepLines w:val="0"/>
        <w:pageBreakBefore w:val="0"/>
        <w:widowControl w:val="0"/>
        <w:kinsoku/>
        <w:wordWrap/>
        <w:overflowPunct/>
        <w:topLinePunct w:val="0"/>
        <w:autoSpaceDE/>
        <w:autoSpaceDN/>
        <w:bidi w:val="0"/>
        <w:adjustRightInd/>
        <w:spacing w:line="560" w:lineRule="exact"/>
        <w:ind w:firstLine="640" w:firstLineChars="200"/>
        <w:jc w:val="center"/>
        <w:textAlignment w:val="auto"/>
        <w:rPr>
          <w:rFonts w:hint="eastAsia" w:ascii="楷体" w:hAnsi="楷体" w:eastAsia="楷体" w:cs="楷体"/>
          <w:sz w:val="32"/>
          <w:szCs w:val="32"/>
          <w:lang w:eastAsia="zh-CN"/>
        </w:rPr>
      </w:pPr>
      <w:r>
        <w:rPr>
          <w:rFonts w:hint="eastAsia" w:ascii="楷体" w:hAnsi="楷体" w:eastAsia="楷体" w:cs="楷体"/>
          <w:sz w:val="32"/>
          <w:szCs w:val="32"/>
          <w:lang w:eastAsia="zh-CN"/>
        </w:rPr>
        <w:t>表1  竞赛模块设置</w:t>
      </w:r>
    </w:p>
    <w:tbl>
      <w:tblPr>
        <w:tblStyle w:val="31"/>
        <w:tblW w:w="890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80"/>
        <w:gridCol w:w="1574"/>
        <w:gridCol w:w="4206"/>
        <w:gridCol w:w="1250"/>
        <w:gridCol w:w="99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0" w:hRule="atLeast"/>
          <w:jc w:val="center"/>
        </w:trPr>
        <w:tc>
          <w:tcPr>
            <w:tcW w:w="2454" w:type="dxa"/>
            <w:gridSpan w:val="2"/>
            <w:noWrap w:val="0"/>
            <w:vAlign w:val="center"/>
          </w:tcPr>
          <w:p>
            <w:pPr>
              <w:jc w:val="center"/>
              <w:rPr>
                <w:rFonts w:hint="eastAsia"/>
              </w:rPr>
            </w:pPr>
            <w:r>
              <w:rPr>
                <w:rFonts w:hint="eastAsia"/>
              </w:rPr>
              <w:t>模  块</w:t>
            </w:r>
          </w:p>
        </w:tc>
        <w:tc>
          <w:tcPr>
            <w:tcW w:w="4206" w:type="dxa"/>
            <w:noWrap w:val="0"/>
            <w:vAlign w:val="center"/>
          </w:tcPr>
          <w:p>
            <w:pPr>
              <w:jc w:val="center"/>
              <w:rPr>
                <w:rFonts w:hint="eastAsia"/>
              </w:rPr>
            </w:pPr>
            <w:r>
              <w:rPr>
                <w:rFonts w:hint="eastAsia"/>
              </w:rPr>
              <w:t>主要内容</w:t>
            </w:r>
          </w:p>
        </w:tc>
        <w:tc>
          <w:tcPr>
            <w:tcW w:w="1250" w:type="dxa"/>
            <w:noWrap w:val="0"/>
            <w:vAlign w:val="center"/>
          </w:tcPr>
          <w:p>
            <w:pPr>
              <w:jc w:val="center"/>
              <w:rPr>
                <w:rFonts w:hint="eastAsia"/>
              </w:rPr>
            </w:pPr>
            <w:r>
              <w:rPr>
                <w:rFonts w:hint="eastAsia"/>
              </w:rPr>
              <w:t>比赛时长</w:t>
            </w:r>
          </w:p>
        </w:tc>
        <w:tc>
          <w:tcPr>
            <w:tcW w:w="990" w:type="dxa"/>
            <w:noWrap w:val="0"/>
            <w:vAlign w:val="center"/>
          </w:tcPr>
          <w:p>
            <w:pPr>
              <w:jc w:val="center"/>
              <w:rPr>
                <w:rFonts w:hint="eastAsia"/>
              </w:rPr>
            </w:pPr>
            <w:r>
              <w:rPr>
                <w:rFonts w:hint="eastAsia"/>
              </w:rPr>
              <w:t>分  值</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19" w:hRule="atLeast"/>
          <w:jc w:val="center"/>
        </w:trPr>
        <w:tc>
          <w:tcPr>
            <w:tcW w:w="880" w:type="dxa"/>
            <w:noWrap w:val="0"/>
            <w:vAlign w:val="center"/>
          </w:tcPr>
          <w:p>
            <w:pPr>
              <w:jc w:val="center"/>
              <w:rPr>
                <w:rFonts w:hint="eastAsia"/>
              </w:rPr>
            </w:pPr>
            <w:r>
              <w:rPr>
                <w:rFonts w:hint="eastAsia"/>
              </w:rPr>
              <w:t>模块一</w:t>
            </w:r>
          </w:p>
        </w:tc>
        <w:tc>
          <w:tcPr>
            <w:tcW w:w="1574" w:type="dxa"/>
            <w:noWrap w:val="0"/>
            <w:vAlign w:val="center"/>
          </w:tcPr>
          <w:p>
            <w:pPr>
              <w:jc w:val="center"/>
              <w:rPr>
                <w:rFonts w:hint="eastAsia"/>
              </w:rPr>
            </w:pPr>
            <w:r>
              <w:rPr>
                <w:rFonts w:hint="eastAsia"/>
              </w:rPr>
              <w:t>智能网联汽车装 调</w:t>
            </w:r>
          </w:p>
        </w:tc>
        <w:tc>
          <w:tcPr>
            <w:tcW w:w="4206" w:type="dxa"/>
            <w:noWrap w:val="0"/>
            <w:vAlign w:val="center"/>
          </w:tcPr>
          <w:p>
            <w:pPr>
              <w:jc w:val="both"/>
              <w:rPr>
                <w:rFonts w:hint="eastAsia"/>
              </w:rPr>
            </w:pPr>
            <w:r>
              <w:rPr>
                <w:rFonts w:hint="eastAsia"/>
              </w:rPr>
              <w:t>对智能网联汽车整车及系统（部件）进行性能检测、安装调试与标定；对线控底盘CAN 通讯数据的读取和解析，对执行机构相关参数的调试、设定与读取；进行整车能 源供给、智能传感器、总线、线束和通信等系统的故障诊断与排除</w:t>
            </w:r>
          </w:p>
        </w:tc>
        <w:tc>
          <w:tcPr>
            <w:tcW w:w="1250" w:type="dxa"/>
            <w:noWrap w:val="0"/>
            <w:vAlign w:val="center"/>
          </w:tcPr>
          <w:p>
            <w:pPr>
              <w:jc w:val="center"/>
              <w:rPr>
                <w:rFonts w:hint="eastAsia"/>
              </w:rPr>
            </w:pPr>
            <w:r>
              <w:rPr>
                <w:rFonts w:hint="eastAsia"/>
                <w:lang w:val="en-US" w:eastAsia="zh-CN"/>
              </w:rPr>
              <w:t>4</w:t>
            </w:r>
            <w:r>
              <w:rPr>
                <w:rFonts w:hint="eastAsia"/>
              </w:rPr>
              <w:t>0 min</w:t>
            </w:r>
          </w:p>
        </w:tc>
        <w:tc>
          <w:tcPr>
            <w:tcW w:w="990" w:type="dxa"/>
            <w:noWrap w:val="0"/>
            <w:vAlign w:val="center"/>
          </w:tcPr>
          <w:p>
            <w:pPr>
              <w:jc w:val="center"/>
              <w:rPr>
                <w:rFonts w:hint="eastAsia"/>
              </w:rPr>
            </w:pPr>
            <w:r>
              <w:rPr>
                <w:rFonts w:hint="eastAsia"/>
              </w:rPr>
              <w:t>50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03" w:hRule="atLeast"/>
          <w:jc w:val="center"/>
        </w:trPr>
        <w:tc>
          <w:tcPr>
            <w:tcW w:w="880" w:type="dxa"/>
            <w:noWrap w:val="0"/>
            <w:vAlign w:val="center"/>
          </w:tcPr>
          <w:p>
            <w:pPr>
              <w:jc w:val="center"/>
              <w:rPr>
                <w:rFonts w:hint="eastAsia"/>
              </w:rPr>
            </w:pPr>
            <w:r>
              <w:rPr>
                <w:rFonts w:hint="eastAsia"/>
              </w:rPr>
              <w:t>模块二</w:t>
            </w:r>
          </w:p>
        </w:tc>
        <w:tc>
          <w:tcPr>
            <w:tcW w:w="1574" w:type="dxa"/>
            <w:noWrap w:val="0"/>
            <w:vAlign w:val="center"/>
          </w:tcPr>
          <w:p>
            <w:pPr>
              <w:jc w:val="center"/>
              <w:rPr>
                <w:rFonts w:hint="eastAsia"/>
              </w:rPr>
            </w:pPr>
            <w:r>
              <w:rPr>
                <w:rFonts w:hint="eastAsia"/>
              </w:rPr>
              <w:t>智能网联汽车仿 真与道路测试</w:t>
            </w:r>
          </w:p>
        </w:tc>
        <w:tc>
          <w:tcPr>
            <w:tcW w:w="4206" w:type="dxa"/>
            <w:noWrap w:val="0"/>
            <w:vAlign w:val="center"/>
          </w:tcPr>
          <w:p>
            <w:pPr>
              <w:jc w:val="both"/>
              <w:rPr>
                <w:rFonts w:hint="eastAsia"/>
              </w:rPr>
            </w:pPr>
            <w:r>
              <w:rPr>
                <w:rFonts w:hint="eastAsia"/>
              </w:rPr>
              <w:t>在仿真环境中设计并搭建仿  真道路地图、仿真测试场景、 参数配置与调整，进行智能网 联汽车虚拟仿真测试；对平台 的组合导航、线控底盘、计算 平台等功能测试确认，通过道 路测试验证交通信号灯识别、 主动避障等自动驾驶功能</w:t>
            </w:r>
          </w:p>
        </w:tc>
        <w:tc>
          <w:tcPr>
            <w:tcW w:w="1250" w:type="dxa"/>
            <w:noWrap w:val="0"/>
            <w:vAlign w:val="center"/>
          </w:tcPr>
          <w:p>
            <w:pPr>
              <w:jc w:val="center"/>
              <w:rPr>
                <w:rFonts w:hint="eastAsia"/>
              </w:rPr>
            </w:pPr>
            <w:r>
              <w:rPr>
                <w:rFonts w:hint="eastAsia"/>
                <w:lang w:val="en-US" w:eastAsia="zh-CN"/>
              </w:rPr>
              <w:t>4</w:t>
            </w:r>
            <w:r>
              <w:rPr>
                <w:rFonts w:hint="eastAsia"/>
              </w:rPr>
              <w:t>0 min</w:t>
            </w:r>
          </w:p>
        </w:tc>
        <w:tc>
          <w:tcPr>
            <w:tcW w:w="990" w:type="dxa"/>
            <w:noWrap w:val="0"/>
            <w:vAlign w:val="center"/>
          </w:tcPr>
          <w:p>
            <w:pPr>
              <w:jc w:val="center"/>
              <w:rPr>
                <w:rFonts w:hint="eastAsia"/>
              </w:rPr>
            </w:pPr>
            <w:r>
              <w:rPr>
                <w:rFonts w:hint="eastAsia"/>
              </w:rPr>
              <w:t>50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0" w:hRule="atLeast"/>
          <w:jc w:val="center"/>
        </w:trPr>
        <w:tc>
          <w:tcPr>
            <w:tcW w:w="6660" w:type="dxa"/>
            <w:gridSpan w:val="3"/>
            <w:noWrap w:val="0"/>
            <w:vAlign w:val="center"/>
          </w:tcPr>
          <w:p>
            <w:pPr>
              <w:jc w:val="center"/>
              <w:rPr>
                <w:rFonts w:hint="eastAsia"/>
              </w:rPr>
            </w:pPr>
            <w:r>
              <w:rPr>
                <w:rFonts w:hint="eastAsia"/>
              </w:rPr>
              <w:t>合  计</w:t>
            </w:r>
          </w:p>
        </w:tc>
        <w:tc>
          <w:tcPr>
            <w:tcW w:w="1250" w:type="dxa"/>
            <w:noWrap w:val="0"/>
            <w:vAlign w:val="center"/>
          </w:tcPr>
          <w:p>
            <w:pPr>
              <w:jc w:val="center"/>
              <w:rPr>
                <w:rFonts w:hint="eastAsia"/>
              </w:rPr>
            </w:pPr>
            <w:r>
              <w:rPr>
                <w:rFonts w:hint="eastAsia"/>
                <w:lang w:val="en-US" w:eastAsia="zh-CN"/>
              </w:rPr>
              <w:t>80</w:t>
            </w:r>
            <w:r>
              <w:rPr>
                <w:rFonts w:hint="eastAsia"/>
              </w:rPr>
              <w:t xml:space="preserve"> min</w:t>
            </w:r>
          </w:p>
        </w:tc>
        <w:tc>
          <w:tcPr>
            <w:tcW w:w="990" w:type="dxa"/>
            <w:noWrap w:val="0"/>
            <w:vAlign w:val="center"/>
          </w:tcPr>
          <w:p>
            <w:pPr>
              <w:jc w:val="center"/>
              <w:rPr>
                <w:rFonts w:hint="eastAsia"/>
              </w:rPr>
            </w:pPr>
            <w:r>
              <w:rPr>
                <w:rFonts w:hint="eastAsia"/>
              </w:rPr>
              <w:t>100</w:t>
            </w:r>
          </w:p>
        </w:tc>
      </w:tr>
    </w:tbl>
    <w:p>
      <w:pPr>
        <w:rPr>
          <w:rFonts w:hint="eastAsia"/>
        </w:rPr>
      </w:pPr>
    </w:p>
    <w:p>
      <w:pPr>
        <w:rPr>
          <w:rFonts w:hint="eastAsia"/>
          <w:lang w:val="en-US" w:eastAsia="zh-CN"/>
        </w:rPr>
      </w:pPr>
      <w:r>
        <w:rPr>
          <w:rFonts w:hint="eastAsia" w:ascii="黑体" w:hAnsi="黑体" w:eastAsia="黑体" w:cs="黑体"/>
          <w:b w:val="0"/>
          <w:bCs w:val="0"/>
          <w:kern w:val="0"/>
          <w:sz w:val="32"/>
          <w:szCs w:val="32"/>
          <w:lang w:val="en-US" w:eastAsia="zh-CN"/>
        </w:rPr>
        <w:t>四、竞赛方式</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（一）竞赛形式：本赛项竞赛形式为线下比赛。</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rPr>
      </w:pPr>
      <w:r>
        <w:rPr>
          <w:rFonts w:hint="eastAsia" w:ascii="楷体" w:hAnsi="楷体" w:eastAsia="楷体" w:cs="楷体"/>
          <w:sz w:val="32"/>
          <w:szCs w:val="32"/>
          <w:lang w:val="en-US" w:eastAsia="zh-CN"/>
        </w:rPr>
        <w:t>（二）组队方式：本赛项为团体赛，以校为单位报名参赛，每个参赛队 2 名选手，本赛项同一学校报名参赛队不超过3支，不得跨校组队；参赛选手须为2023年度高等职业教育专科专业和高等职业教育本科全日制在籍学生；五年制高职学生报名参赛的，须为四、五年级全日制在籍学生；选手需在1999年5月1日及以后出生。指导教师须为本校专职教师，每队限报 1-2 名指导教师。</w:t>
      </w:r>
    </w:p>
    <w:p>
      <w:pPr>
        <w:rPr>
          <w:rFonts w:hint="eastAsia" w:ascii="黑体" w:hAnsi="黑体" w:eastAsia="黑体" w:cs="黑体"/>
          <w:b w:val="0"/>
          <w:bCs w:val="0"/>
          <w:kern w:val="0"/>
          <w:sz w:val="32"/>
          <w:szCs w:val="32"/>
          <w:lang w:val="en-US" w:eastAsia="zh-CN"/>
        </w:rPr>
      </w:pPr>
      <w:r>
        <w:rPr>
          <w:rFonts w:hint="eastAsia" w:ascii="黑体" w:hAnsi="黑体" w:eastAsia="黑体" w:cs="黑体"/>
          <w:b w:val="0"/>
          <w:bCs w:val="0"/>
          <w:kern w:val="0"/>
          <w:sz w:val="32"/>
          <w:szCs w:val="32"/>
          <w:lang w:val="en-US" w:eastAsia="zh-CN"/>
        </w:rPr>
        <w:t>五、竞赛流程</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智能网联汽车技术赛项正式比赛时间为2天，具体安排见表2。</w:t>
      </w:r>
    </w:p>
    <w:p>
      <w:pPr>
        <w:jc w:val="center"/>
        <w:rPr>
          <w:rFonts w:hint="eastAsia"/>
        </w:rPr>
      </w:pPr>
      <w:r>
        <w:rPr>
          <w:rFonts w:hint="eastAsia" w:ascii="楷体" w:hAnsi="楷体" w:eastAsia="楷体" w:cs="楷体"/>
          <w:sz w:val="32"/>
          <w:szCs w:val="32"/>
          <w:lang w:val="en-US" w:eastAsia="zh-CN"/>
        </w:rPr>
        <w:t>表 2    竞赛日程及内容</w:t>
      </w:r>
    </w:p>
    <w:tbl>
      <w:tblPr>
        <w:tblStyle w:val="31"/>
        <w:tblpPr w:leftFromText="180" w:rightFromText="180" w:vertAnchor="text" w:horzAnchor="page" w:tblpX="1314" w:tblpY="167"/>
        <w:tblOverlap w:val="never"/>
        <w:tblW w:w="89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12"/>
        <w:gridCol w:w="1346"/>
        <w:gridCol w:w="1662"/>
        <w:gridCol w:w="4236"/>
        <w:gridCol w:w="8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2" w:hRule="atLeast"/>
        </w:trPr>
        <w:tc>
          <w:tcPr>
            <w:tcW w:w="812" w:type="dxa"/>
            <w:noWrap w:val="0"/>
            <w:vAlign w:val="center"/>
          </w:tcPr>
          <w:p>
            <w:pPr>
              <w:jc w:val="center"/>
              <w:rPr>
                <w:rFonts w:hint="eastAsia" w:ascii="Times New Roman" w:hAnsi="Times New Roman" w:eastAsia="宋体" w:cs="Times New Roman"/>
              </w:rPr>
            </w:pPr>
            <w:r>
              <w:rPr>
                <w:rFonts w:hint="eastAsia" w:ascii="Times New Roman" w:hAnsi="Times New Roman" w:eastAsia="宋体" w:cs="Times New Roman"/>
              </w:rPr>
              <w:t>项目</w:t>
            </w:r>
          </w:p>
        </w:tc>
        <w:tc>
          <w:tcPr>
            <w:tcW w:w="3008" w:type="dxa"/>
            <w:gridSpan w:val="2"/>
            <w:noWrap w:val="0"/>
            <w:vAlign w:val="center"/>
          </w:tcPr>
          <w:p>
            <w:pPr>
              <w:jc w:val="center"/>
              <w:rPr>
                <w:rFonts w:hint="eastAsia" w:ascii="Times New Roman" w:hAnsi="Times New Roman" w:eastAsia="宋体" w:cs="Times New Roman"/>
              </w:rPr>
            </w:pPr>
            <w:r>
              <w:rPr>
                <w:rFonts w:hint="eastAsia" w:ascii="Times New Roman" w:hAnsi="Times New Roman" w:eastAsia="宋体" w:cs="Times New Roman"/>
              </w:rPr>
              <w:t>时间</w:t>
            </w:r>
          </w:p>
        </w:tc>
        <w:tc>
          <w:tcPr>
            <w:tcW w:w="4236" w:type="dxa"/>
            <w:noWrap w:val="0"/>
            <w:vAlign w:val="center"/>
          </w:tcPr>
          <w:p>
            <w:pPr>
              <w:jc w:val="center"/>
              <w:rPr>
                <w:rFonts w:hint="eastAsia" w:ascii="Times New Roman" w:hAnsi="Times New Roman" w:eastAsia="宋体" w:cs="Times New Roman"/>
              </w:rPr>
            </w:pPr>
            <w:r>
              <w:rPr>
                <w:rFonts w:hint="eastAsia" w:ascii="Times New Roman" w:hAnsi="Times New Roman" w:eastAsia="宋体" w:cs="Times New Roman"/>
              </w:rPr>
              <w:t>内容</w:t>
            </w:r>
          </w:p>
        </w:tc>
        <w:tc>
          <w:tcPr>
            <w:tcW w:w="884" w:type="dxa"/>
            <w:noWrap w:val="0"/>
            <w:vAlign w:val="center"/>
          </w:tcPr>
          <w:p>
            <w:pPr>
              <w:jc w:val="center"/>
              <w:rPr>
                <w:rFonts w:hint="eastAsia" w:ascii="Times New Roman" w:hAnsi="Times New Roman" w:eastAsia="宋体" w:cs="Times New Roman"/>
              </w:rPr>
            </w:pPr>
            <w:r>
              <w:rPr>
                <w:rFonts w:hint="eastAsia" w:ascii="Times New Roman" w:hAnsi="Times New Roman" w:eastAsia="宋体" w:cs="Times New Roman"/>
              </w:rPr>
              <w:t>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1" w:hRule="atLeast"/>
        </w:trPr>
        <w:tc>
          <w:tcPr>
            <w:tcW w:w="812" w:type="dxa"/>
            <w:vMerge w:val="restart"/>
            <w:noWrap w:val="0"/>
            <w:vAlign w:val="center"/>
          </w:tcPr>
          <w:p>
            <w:pPr>
              <w:jc w:val="center"/>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赛前</w:t>
            </w:r>
          </w:p>
        </w:tc>
        <w:tc>
          <w:tcPr>
            <w:tcW w:w="1346" w:type="dxa"/>
            <w:vMerge w:val="restart"/>
            <w:noWrap w:val="0"/>
            <w:vAlign w:val="center"/>
          </w:tcPr>
          <w:p>
            <w:pPr>
              <w:jc w:val="center"/>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赛前</w:t>
            </w:r>
          </w:p>
        </w:tc>
        <w:tc>
          <w:tcPr>
            <w:tcW w:w="1662" w:type="dxa"/>
            <w:noWrap w:val="0"/>
            <w:vAlign w:val="center"/>
          </w:tcPr>
          <w:p>
            <w:pPr>
              <w:jc w:val="center"/>
              <w:rPr>
                <w:rFonts w:hint="eastAsia" w:ascii="Times New Roman" w:hAnsi="Times New Roman" w:eastAsia="宋体" w:cs="Times New Roman"/>
              </w:rPr>
            </w:pPr>
            <w:r>
              <w:rPr>
                <w:rFonts w:hint="eastAsia" w:ascii="Times New Roman" w:hAnsi="Times New Roman" w:eastAsia="宋体" w:cs="Times New Roman"/>
              </w:rPr>
              <w:t>14:00 ～ 15:30</w:t>
            </w:r>
          </w:p>
        </w:tc>
        <w:tc>
          <w:tcPr>
            <w:tcW w:w="4236" w:type="dxa"/>
            <w:noWrap w:val="0"/>
            <w:vAlign w:val="center"/>
          </w:tcPr>
          <w:p>
            <w:pPr>
              <w:jc w:val="center"/>
              <w:rPr>
                <w:rFonts w:hint="eastAsia" w:ascii="Times New Roman" w:hAnsi="Times New Roman" w:eastAsia="宋体" w:cs="Times New Roman"/>
              </w:rPr>
            </w:pPr>
            <w:r>
              <w:rPr>
                <w:rFonts w:hint="eastAsia" w:ascii="Times New Roman" w:hAnsi="Times New Roman" w:eastAsia="宋体" w:cs="Times New Roman"/>
              </w:rPr>
              <w:t>参赛选手熟悉比赛场地</w:t>
            </w:r>
          </w:p>
        </w:tc>
        <w:tc>
          <w:tcPr>
            <w:tcW w:w="884" w:type="dxa"/>
            <w:vMerge w:val="restart"/>
            <w:noWrap w:val="0"/>
            <w:vAlign w:val="center"/>
          </w:tcPr>
          <w:p>
            <w:pPr>
              <w:jc w:val="center"/>
              <w:rPr>
                <w:rFonts w:hint="eastAsia" w:ascii="Times New Roman" w:hAnsi="Times New Roman" w:eastAsia="宋体" w:cs="Times New Roman"/>
              </w:rPr>
            </w:pPr>
            <w:r>
              <w:rPr>
                <w:rFonts w:hint="eastAsia" w:ascii="Times New Roman" w:hAnsi="Times New Roman" w:eastAsia="宋体" w:cs="Times New Roman"/>
              </w:rPr>
              <w:t>会议室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4" w:hRule="atLeast"/>
        </w:trPr>
        <w:tc>
          <w:tcPr>
            <w:tcW w:w="812" w:type="dxa"/>
            <w:vMerge w:val="continue"/>
            <w:noWrap w:val="0"/>
            <w:vAlign w:val="center"/>
          </w:tcPr>
          <w:p>
            <w:pPr>
              <w:jc w:val="center"/>
              <w:rPr>
                <w:rFonts w:hint="eastAsia" w:ascii="Times New Roman" w:hAnsi="Times New Roman" w:eastAsia="宋体" w:cs="Times New Roman"/>
              </w:rPr>
            </w:pPr>
          </w:p>
        </w:tc>
        <w:tc>
          <w:tcPr>
            <w:tcW w:w="1346" w:type="dxa"/>
            <w:vMerge w:val="continue"/>
            <w:noWrap w:val="0"/>
            <w:vAlign w:val="center"/>
          </w:tcPr>
          <w:p>
            <w:pPr>
              <w:jc w:val="center"/>
              <w:rPr>
                <w:rFonts w:hint="eastAsia" w:ascii="Times New Roman" w:hAnsi="Times New Roman" w:eastAsia="宋体" w:cs="Times New Roman"/>
              </w:rPr>
            </w:pPr>
          </w:p>
        </w:tc>
        <w:tc>
          <w:tcPr>
            <w:tcW w:w="1662" w:type="dxa"/>
            <w:noWrap w:val="0"/>
            <w:vAlign w:val="center"/>
          </w:tcPr>
          <w:p>
            <w:pPr>
              <w:jc w:val="center"/>
              <w:rPr>
                <w:rFonts w:hint="eastAsia" w:ascii="Times New Roman" w:hAnsi="Times New Roman" w:eastAsia="宋体" w:cs="Times New Roman"/>
              </w:rPr>
            </w:pPr>
            <w:r>
              <w:rPr>
                <w:rFonts w:hint="eastAsia" w:ascii="Times New Roman" w:hAnsi="Times New Roman" w:eastAsia="宋体" w:cs="Times New Roman"/>
              </w:rPr>
              <w:t>15:30 ～ 16:30</w:t>
            </w:r>
          </w:p>
        </w:tc>
        <w:tc>
          <w:tcPr>
            <w:tcW w:w="4236" w:type="dxa"/>
            <w:noWrap w:val="0"/>
            <w:vAlign w:val="center"/>
          </w:tcPr>
          <w:p>
            <w:pPr>
              <w:jc w:val="center"/>
              <w:rPr>
                <w:rFonts w:hint="eastAsia" w:ascii="Times New Roman" w:hAnsi="Times New Roman" w:eastAsia="宋体" w:cs="Times New Roman"/>
              </w:rPr>
            </w:pPr>
            <w:r>
              <w:rPr>
                <w:rFonts w:hint="eastAsia" w:ascii="Times New Roman" w:hAnsi="Times New Roman" w:eastAsia="宋体" w:cs="Times New Roman"/>
              </w:rPr>
              <w:t>领队会</w:t>
            </w:r>
          </w:p>
        </w:tc>
        <w:tc>
          <w:tcPr>
            <w:tcW w:w="884" w:type="dxa"/>
            <w:vMerge w:val="continue"/>
            <w:noWrap w:val="0"/>
            <w:vAlign w:val="center"/>
          </w:tcPr>
          <w:p>
            <w:pPr>
              <w:jc w:val="center"/>
              <w:rPr>
                <w:rFonts w:hint="eastAsia" w:ascii="Times New Roman" w:hAnsi="Times New Roman" w:eastAsia="宋体"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2" w:hRule="atLeast"/>
        </w:trPr>
        <w:tc>
          <w:tcPr>
            <w:tcW w:w="812" w:type="dxa"/>
            <w:vMerge w:val="restart"/>
            <w:noWrap w:val="0"/>
            <w:vAlign w:val="center"/>
          </w:tcPr>
          <w:p>
            <w:pPr>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比赛日</w:t>
            </w:r>
          </w:p>
        </w:tc>
        <w:tc>
          <w:tcPr>
            <w:tcW w:w="1346" w:type="dxa"/>
            <w:noWrap w:val="0"/>
            <w:vAlign w:val="center"/>
          </w:tcPr>
          <w:p>
            <w:pPr>
              <w:jc w:val="center"/>
              <w:rPr>
                <w:rFonts w:hint="eastAsia" w:ascii="Times New Roman" w:hAnsi="Times New Roman" w:eastAsia="宋体" w:cs="Times New Roman"/>
              </w:rPr>
            </w:pPr>
            <w:r>
              <w:rPr>
                <w:rFonts w:hint="eastAsia" w:ascii="Times New Roman" w:hAnsi="Times New Roman" w:eastAsia="宋体" w:cs="Times New Roman"/>
                <w:lang w:val="en-US" w:eastAsia="en-US"/>
              </w:rPr>
              <w:t>第</w:t>
            </w:r>
            <w:r>
              <w:rPr>
                <w:rFonts w:hint="eastAsia" w:ascii="Times New Roman" w:hAnsi="Times New Roman" w:eastAsia="宋体" w:cs="Times New Roman"/>
                <w:lang w:val="en-US" w:eastAsia="zh-CN"/>
              </w:rPr>
              <w:t>1</w:t>
            </w:r>
            <w:r>
              <w:rPr>
                <w:rFonts w:hint="eastAsia" w:ascii="Times New Roman" w:hAnsi="Times New Roman" w:eastAsia="宋体" w:cs="Times New Roman"/>
                <w:lang w:val="en-US" w:eastAsia="en-US"/>
              </w:rPr>
              <w:t>天</w:t>
            </w:r>
          </w:p>
        </w:tc>
        <w:tc>
          <w:tcPr>
            <w:tcW w:w="1662" w:type="dxa"/>
            <w:noWrap w:val="0"/>
            <w:vAlign w:val="center"/>
          </w:tcPr>
          <w:p>
            <w:pPr>
              <w:jc w:val="center"/>
              <w:rPr>
                <w:rFonts w:hint="eastAsia" w:ascii="Times New Roman" w:hAnsi="Times New Roman" w:eastAsia="宋体" w:cs="Times New Roman"/>
              </w:rPr>
            </w:pPr>
            <w:r>
              <w:rPr>
                <w:rFonts w:hint="eastAsia" w:ascii="Times New Roman" w:hAnsi="Times New Roman" w:eastAsia="宋体" w:cs="Times New Roman"/>
              </w:rPr>
              <w:t>08:00 ～</w:t>
            </w:r>
            <w:r>
              <w:rPr>
                <w:rFonts w:hint="eastAsia" w:ascii="Times New Roman" w:hAnsi="Times New Roman" w:eastAsia="宋体" w:cs="Times New Roman"/>
                <w:lang w:val="en-US" w:eastAsia="zh-CN"/>
              </w:rPr>
              <w:t>17</w:t>
            </w:r>
            <w:r>
              <w:rPr>
                <w:rFonts w:hint="eastAsia" w:ascii="Times New Roman" w:hAnsi="Times New Roman" w:eastAsia="宋体" w:cs="Times New Roman"/>
              </w:rPr>
              <w:t>:</w:t>
            </w:r>
            <w:r>
              <w:rPr>
                <w:rFonts w:hint="eastAsia" w:ascii="Times New Roman" w:hAnsi="Times New Roman" w:eastAsia="宋体" w:cs="Times New Roman"/>
                <w:lang w:val="en-US" w:eastAsia="zh-CN"/>
              </w:rPr>
              <w:t>0</w:t>
            </w:r>
            <w:r>
              <w:rPr>
                <w:rFonts w:hint="eastAsia" w:ascii="Times New Roman" w:hAnsi="Times New Roman" w:eastAsia="宋体" w:cs="Times New Roman"/>
              </w:rPr>
              <w:t>0</w:t>
            </w:r>
          </w:p>
        </w:tc>
        <w:tc>
          <w:tcPr>
            <w:tcW w:w="4236" w:type="dxa"/>
            <w:noWrap w:val="0"/>
            <w:vAlign w:val="center"/>
          </w:tcPr>
          <w:p>
            <w:pPr>
              <w:jc w:val="center"/>
              <w:rPr>
                <w:rFonts w:hint="eastAsia" w:ascii="Times New Roman" w:hAnsi="Times New Roman" w:eastAsia="宋体" w:cs="Times New Roman"/>
              </w:rPr>
            </w:pPr>
            <w:r>
              <w:rPr>
                <w:rFonts w:hint="eastAsia" w:ascii="Times New Roman" w:hAnsi="Times New Roman" w:eastAsia="宋体" w:cs="Times New Roman"/>
              </w:rPr>
              <w:t>第一场竞赛：智能网联汽车装调</w:t>
            </w:r>
          </w:p>
        </w:tc>
        <w:tc>
          <w:tcPr>
            <w:tcW w:w="884" w:type="dxa"/>
            <w:noWrap w:val="0"/>
            <w:vAlign w:val="center"/>
          </w:tcPr>
          <w:p>
            <w:pPr>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室内赛场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2" w:hRule="atLeast"/>
        </w:trPr>
        <w:tc>
          <w:tcPr>
            <w:tcW w:w="812" w:type="dxa"/>
            <w:vMerge w:val="continue"/>
            <w:noWrap w:val="0"/>
            <w:textDirection w:val="tbRlV"/>
            <w:vAlign w:val="center"/>
          </w:tcPr>
          <w:p>
            <w:pPr>
              <w:jc w:val="center"/>
              <w:rPr>
                <w:rFonts w:hint="eastAsia" w:ascii="Times New Roman" w:hAnsi="Times New Roman" w:eastAsia="宋体" w:cs="Times New Roman"/>
              </w:rPr>
            </w:pPr>
          </w:p>
        </w:tc>
        <w:tc>
          <w:tcPr>
            <w:tcW w:w="1346" w:type="dxa"/>
            <w:noWrap w:val="0"/>
            <w:vAlign w:val="center"/>
          </w:tcPr>
          <w:p>
            <w:pPr>
              <w:jc w:val="center"/>
              <w:rPr>
                <w:rFonts w:hint="eastAsia" w:ascii="Times New Roman" w:hAnsi="Times New Roman" w:eastAsia="宋体" w:cs="Times New Roman"/>
                <w:lang w:val="en-US" w:eastAsia="en-US"/>
              </w:rPr>
            </w:pPr>
            <w:r>
              <w:rPr>
                <w:rFonts w:hint="eastAsia" w:ascii="Times New Roman" w:hAnsi="Times New Roman" w:eastAsia="宋体" w:cs="Times New Roman"/>
                <w:lang w:val="en-US" w:eastAsia="en-US"/>
              </w:rPr>
              <w:t xml:space="preserve">第 </w:t>
            </w:r>
            <w:r>
              <w:rPr>
                <w:rFonts w:hint="eastAsia" w:ascii="Times New Roman" w:hAnsi="Times New Roman" w:eastAsia="宋体" w:cs="Times New Roman"/>
                <w:lang w:val="en-US" w:eastAsia="zh-CN"/>
              </w:rPr>
              <w:t>2</w:t>
            </w:r>
            <w:r>
              <w:rPr>
                <w:rFonts w:hint="eastAsia" w:ascii="Times New Roman" w:hAnsi="Times New Roman" w:eastAsia="宋体" w:cs="Times New Roman"/>
                <w:lang w:val="en-US" w:eastAsia="en-US"/>
              </w:rPr>
              <w:t>天</w:t>
            </w:r>
          </w:p>
        </w:tc>
        <w:tc>
          <w:tcPr>
            <w:tcW w:w="1662" w:type="dxa"/>
            <w:noWrap w:val="0"/>
            <w:vAlign w:val="center"/>
          </w:tcPr>
          <w:p>
            <w:pPr>
              <w:jc w:val="center"/>
              <w:rPr>
                <w:rFonts w:hint="eastAsia" w:ascii="Times New Roman" w:hAnsi="Times New Roman" w:eastAsia="宋体" w:cs="Times New Roman"/>
              </w:rPr>
            </w:pPr>
            <w:r>
              <w:rPr>
                <w:rFonts w:hint="eastAsia" w:ascii="Times New Roman" w:hAnsi="Times New Roman" w:eastAsia="宋体" w:cs="Times New Roman"/>
                <w:lang w:val="en-US" w:eastAsia="zh-CN"/>
              </w:rPr>
              <w:t>08</w:t>
            </w:r>
            <w:r>
              <w:rPr>
                <w:rFonts w:hint="eastAsia" w:ascii="Times New Roman" w:hAnsi="Times New Roman" w:eastAsia="宋体" w:cs="Times New Roman"/>
              </w:rPr>
              <w:t>:</w:t>
            </w:r>
            <w:r>
              <w:rPr>
                <w:rFonts w:hint="eastAsia" w:ascii="Times New Roman" w:hAnsi="Times New Roman" w:eastAsia="宋体" w:cs="Times New Roman"/>
                <w:lang w:val="en-US" w:eastAsia="zh-CN"/>
              </w:rPr>
              <w:t>0</w:t>
            </w:r>
            <w:r>
              <w:rPr>
                <w:rFonts w:hint="eastAsia" w:ascii="Times New Roman" w:hAnsi="Times New Roman" w:eastAsia="宋体" w:cs="Times New Roman"/>
              </w:rPr>
              <w:t>0 ～ 1</w:t>
            </w:r>
            <w:r>
              <w:rPr>
                <w:rFonts w:hint="eastAsia" w:ascii="Times New Roman" w:hAnsi="Times New Roman" w:eastAsia="宋体" w:cs="Times New Roman"/>
                <w:lang w:val="en-US" w:eastAsia="zh-CN"/>
              </w:rPr>
              <w:t>7</w:t>
            </w:r>
            <w:r>
              <w:rPr>
                <w:rFonts w:hint="eastAsia" w:ascii="Times New Roman" w:hAnsi="Times New Roman" w:eastAsia="宋体" w:cs="Times New Roman"/>
              </w:rPr>
              <w:t>:</w:t>
            </w:r>
            <w:r>
              <w:rPr>
                <w:rFonts w:hint="eastAsia" w:ascii="Times New Roman" w:hAnsi="Times New Roman" w:eastAsia="宋体" w:cs="Times New Roman"/>
                <w:lang w:val="en-US" w:eastAsia="zh-CN"/>
              </w:rPr>
              <w:t>0</w:t>
            </w:r>
            <w:r>
              <w:rPr>
                <w:rFonts w:hint="eastAsia" w:ascii="Times New Roman" w:hAnsi="Times New Roman" w:eastAsia="宋体" w:cs="Times New Roman"/>
              </w:rPr>
              <w:t>0</w:t>
            </w:r>
          </w:p>
        </w:tc>
        <w:tc>
          <w:tcPr>
            <w:tcW w:w="4236" w:type="dxa"/>
            <w:noWrap w:val="0"/>
            <w:vAlign w:val="center"/>
          </w:tcPr>
          <w:p>
            <w:pPr>
              <w:jc w:val="center"/>
              <w:rPr>
                <w:rFonts w:hint="eastAsia" w:ascii="Times New Roman" w:hAnsi="Times New Roman" w:eastAsia="宋体" w:cs="Times New Roman"/>
              </w:rPr>
            </w:pPr>
            <w:r>
              <w:rPr>
                <w:rFonts w:hint="eastAsia" w:ascii="Times New Roman" w:hAnsi="Times New Roman" w:eastAsia="宋体" w:cs="Times New Roman"/>
              </w:rPr>
              <w:t>第</w:t>
            </w:r>
            <w:r>
              <w:rPr>
                <w:rFonts w:hint="eastAsia" w:ascii="Times New Roman" w:hAnsi="Times New Roman" w:eastAsia="宋体" w:cs="Times New Roman"/>
                <w:lang w:val="en-US" w:eastAsia="zh-CN"/>
              </w:rPr>
              <w:t>二模块</w:t>
            </w:r>
            <w:r>
              <w:rPr>
                <w:rFonts w:hint="eastAsia" w:ascii="Times New Roman" w:hAnsi="Times New Roman" w:eastAsia="宋体" w:cs="Times New Roman"/>
              </w:rPr>
              <w:t>：智能网联汽车仿真与测试</w:t>
            </w:r>
          </w:p>
        </w:tc>
        <w:tc>
          <w:tcPr>
            <w:tcW w:w="884" w:type="dxa"/>
            <w:noWrap w:val="0"/>
            <w:vAlign w:val="center"/>
          </w:tcPr>
          <w:p>
            <w:pPr>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室外赛场</w:t>
            </w:r>
          </w:p>
        </w:tc>
      </w:tr>
    </w:tbl>
    <w:p>
      <w:pPr>
        <w:rPr>
          <w:rFonts w:hint="eastAsia"/>
        </w:rPr>
      </w:pPr>
    </w:p>
    <w:p>
      <w:pPr>
        <w:pStyle w:val="3"/>
        <w:rPr>
          <w:rFonts w:hint="eastAsia"/>
        </w:rPr>
      </w:pPr>
    </w:p>
    <w:p>
      <w:pPr>
        <w:pStyle w:val="3"/>
        <w:rPr>
          <w:rFonts w:hint="eastAsia"/>
        </w:rPr>
      </w:pPr>
    </w:p>
    <w:p>
      <w:pPr>
        <w:pStyle w:val="3"/>
        <w:rPr>
          <w:rFonts w:hint="eastAsia"/>
        </w:rPr>
      </w:pPr>
    </w:p>
    <w:p>
      <w:pPr>
        <w:pStyle w:val="3"/>
        <w:rPr>
          <w:rFonts w:hint="eastAsia"/>
        </w:rPr>
      </w:pPr>
    </w:p>
    <w:p>
      <w:pPr>
        <w:pStyle w:val="3"/>
        <w:rPr>
          <w:rFonts w:hint="eastAsia"/>
        </w:rPr>
      </w:pPr>
    </w:p>
    <w:p>
      <w:pPr>
        <w:pStyle w:val="3"/>
        <w:rPr>
          <w:rFonts w:hint="eastAsia"/>
        </w:rPr>
      </w:pPr>
    </w:p>
    <w:p>
      <w:pPr>
        <w:pStyle w:val="3"/>
        <w:rPr>
          <w:rFonts w:hint="eastAsia"/>
        </w:rPr>
      </w:pPr>
    </w:p>
    <w:p>
      <w:pPr>
        <w:rPr>
          <w:rFonts w:hint="eastAsia"/>
          <w:lang w:val="en-US" w:eastAsia="zh-CN"/>
        </w:rPr>
      </w:pPr>
      <w:r>
        <w:rPr>
          <w:rFonts w:hint="eastAsia" w:ascii="黑体" w:hAnsi="黑体" w:eastAsia="黑体" w:cs="黑体"/>
          <w:b w:val="0"/>
          <w:bCs w:val="0"/>
          <w:kern w:val="0"/>
          <w:sz w:val="32"/>
          <w:szCs w:val="32"/>
          <w:lang w:val="en-US" w:eastAsia="zh-CN"/>
        </w:rPr>
        <w:t>六、竞赛规则</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（一）熟悉场地</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赛项比赛前一天下午安排参赛队熟悉比赛场地，召开领队会议，宣布竞赛纪律和有关规定。</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（二）检录与加密解密</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参照《全国职业院校技能大赛章程》及《全国职业院校技能大赛制度汇编》，进行检录、加密及解密等工作。</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（三）正式比赛</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1.每轮比赛统一听从裁判长发布竞赛开始指令后正式开始竞赛，参赛选手合理计划安排，利用现场提供的所有条件完成竞赛任务。</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2.参赛选手在比赛期间实行封闭管理。</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3.竞赛过程中，参赛选手须严格遵守安全操作规程，并接受裁判员的监督和警示，以确保安全。参赛选手因个人误操作造成人身安全事故和设备故障时，裁判长有权中止该参赛选手竞赛；如非参赛个人因素出现设备故障而无法竞赛， 由裁判长视具体情况做出裁决 (调换到备份工位或调整至最后一场次参加竞赛)；如裁判长确定设备故障可由技术支持人员排除故障后继续竞赛，将给参赛选手补足所耽误的竞赛时间。</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4.参赛选手若提前结束竞赛，应举手向裁判员示意，竞赛结束时间由现场裁判记录，参赛选手结束竞赛后不得再进行任何操作。</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5.裁判长在竞赛阶段统一进行剩余时间提醒、发布竞赛结束指令。竞赛结束时所有未完成任务参赛选手立即停止操作。</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6.参赛选手不携带任何参赛队及个人信息、任何通讯及存储设备、纸质材料等物品进入赛场，赛场内提供必需用品。</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7.参赛选手提交的选手报告单等竞赛成果，需要现场裁判与参赛选手签工位号确认。</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8.其它未涉及事项或突发事件，由大赛组委会负责解释或决定。</w:t>
      </w:r>
    </w:p>
    <w:p>
      <w:pPr>
        <w:pStyle w:val="3"/>
        <w:rPr>
          <w:rFonts w:hint="eastAsia"/>
        </w:rPr>
      </w:pPr>
    </w:p>
    <w:p>
      <w:pPr>
        <w:rPr>
          <w:rFonts w:hint="eastAsia" w:ascii="黑体" w:hAnsi="黑体" w:eastAsia="黑体" w:cs="黑体"/>
          <w:b w:val="0"/>
          <w:bCs w:val="0"/>
          <w:kern w:val="0"/>
          <w:sz w:val="32"/>
          <w:szCs w:val="32"/>
          <w:lang w:val="en-US" w:eastAsia="zh-CN"/>
        </w:rPr>
      </w:pPr>
      <w:r>
        <w:rPr>
          <w:rFonts w:hint="eastAsia" w:ascii="黑体" w:hAnsi="黑体" w:eastAsia="黑体" w:cs="黑体"/>
          <w:b w:val="0"/>
          <w:bCs w:val="0"/>
          <w:kern w:val="0"/>
          <w:sz w:val="32"/>
          <w:szCs w:val="32"/>
          <w:lang w:val="en-US" w:eastAsia="zh-CN"/>
        </w:rPr>
        <w:t>七、技术规范</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（一）法律法规</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《中华人民共和国安全生产法》</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《机动车维修管理规定》</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（二）技术标准</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GB/T 41798-2022智能网联汽车自动驾驶功能场地试验方法及要求</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GB/T 37471-2019智能运输系统换道决策辅助系统性能要求与检测方法</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GB/T 39263-2020道路车辆先进驾驶辅助系统(ADAS)  术语及定义</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sectPr>
          <w:footerReference r:id="rId3" w:type="default"/>
          <w:pgSz w:w="11906" w:h="16839"/>
          <w:pgMar w:top="1440" w:right="1080" w:bottom="1440" w:left="1080" w:header="0" w:footer="1111" w:gutter="0"/>
          <w:cols w:space="720" w:num="1"/>
        </w:sectPr>
      </w:pPr>
      <w:r>
        <w:rPr>
          <w:rFonts w:hint="eastAsia" w:ascii="楷体" w:hAnsi="楷体" w:eastAsia="楷体" w:cs="楷体"/>
          <w:sz w:val="32"/>
          <w:szCs w:val="32"/>
          <w:lang w:val="en-US" w:eastAsia="zh-CN"/>
        </w:rPr>
        <w:t>GB/T 39774-2021导航应用软件基本功能及技术要求</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GB/T 28046.1-2011道路车辆电气及电子设备的环境条件和试验第1部分：一般规定</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GB/T 28046.2-2019道路车辆电气及电子设备的环境条件和试验 第2部分：电气负荷</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GB/T 28046.3-2011道路车辆电气及电子设备的环境条件和试验 第 3 部分：机械负荷</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GB/T 28046.4-2011道路车辆电气及电子设备的环境条件和试验 第 4 部分：气候负荷</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GB/T 28046.5-2013道路车辆电气及电子设备的环境条件和试验 第 5 部分：化学负荷</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JT/T 1447-2022 营运车辆低速驾驶辅助系统性能要求和测试规程</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GB/T 18344-2016  汽车维护、检测、诊断技术规范</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GB 7258-2017  机动车运行安全技术条件</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GB/T 15746-2011 汽车修理质量检查评定方法</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GB/T 19596-2017 电动汽车术语</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GB/T18384.1-2015 电动汽车安全要求第 1 部分：车载可充电储能系统(REESS)</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GB/T18384.2-2015 电动汽车安全要求第 2 部分：操作安全和故障防护</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GB/T18384.3-2015 电动汽车安全要求第 3 部分：人员触电防护</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GB/T 28382-2012  纯电动乘用车技术条件</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GB/T 18385-2005  电动汽车动力性能试验方法</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GB/T 18487.1-2015  电动汽车传导充电系统第 1 部分通用要求</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GB/T 31486-2015 电动汽车用动力蓄电池电性能要求及试验方法</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GB/T 18488.1-2015  电动汽车用驱动电机系统第1部分：技术条件</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GB/T 18488.2-2015  电动汽车用驱动电机系统第2部分：试验方法</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（三）高等职业学校专业教学标准</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汽车制造类-汽车制造与试验技术 460701</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汽车制造类-新能源汽车技术 460702</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汽车制造类-汽车电子技术 460703</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汽车制造类-智能网联汽车技术 460704</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汽车制造类-汽车造型与改装技术 460705</w:t>
      </w:r>
    </w:p>
    <w:p>
      <w:pPr>
        <w:rPr>
          <w:rFonts w:hint="eastAsia"/>
        </w:rPr>
      </w:pPr>
    </w:p>
    <w:p>
      <w:pPr>
        <w:rPr>
          <w:rFonts w:hint="eastAsia"/>
        </w:rPr>
      </w:pPr>
      <w:r>
        <w:rPr>
          <w:rFonts w:hint="eastAsia" w:ascii="黑体" w:hAnsi="黑体" w:eastAsia="黑体" w:cs="黑体"/>
          <w:b w:val="0"/>
          <w:bCs w:val="0"/>
          <w:kern w:val="0"/>
          <w:sz w:val="32"/>
          <w:szCs w:val="32"/>
          <w:lang w:val="en-US" w:eastAsia="zh-CN"/>
        </w:rPr>
        <w:t>八、技术环境</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（一）竞赛场地</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本赛项竞赛场地需求信息见表3，赛场内各功能分区，满足竞赛需求。</w:t>
      </w:r>
    </w:p>
    <w:p>
      <w:pPr>
        <w:jc w:val="center"/>
        <w:rPr>
          <w:rFonts w:hint="eastAsia"/>
        </w:rPr>
      </w:pPr>
      <w:r>
        <w:rPr>
          <w:rFonts w:hint="eastAsia" w:ascii="楷体" w:hAnsi="楷体" w:eastAsia="楷体" w:cs="楷体"/>
          <w:sz w:val="32"/>
          <w:szCs w:val="32"/>
          <w:lang w:val="en-US" w:eastAsia="zh-CN"/>
        </w:rPr>
        <w:t>表3  场地需求情况</w:t>
      </w:r>
    </w:p>
    <w:tbl>
      <w:tblPr>
        <w:tblStyle w:val="31"/>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261"/>
        <w:gridCol w:w="1694"/>
        <w:gridCol w:w="1541"/>
        <w:gridCol w:w="1790"/>
        <w:gridCol w:w="124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2261" w:type="dxa"/>
            <w:noWrap w:val="0"/>
            <w:vAlign w:val="center"/>
          </w:tcPr>
          <w:p>
            <w:pPr>
              <w:jc w:val="center"/>
              <w:rPr>
                <w:rFonts w:hint="eastAsia"/>
              </w:rPr>
            </w:pPr>
            <w:r>
              <w:rPr>
                <w:rFonts w:hint="eastAsia"/>
              </w:rPr>
              <w:t>模块竞赛内容</w:t>
            </w:r>
          </w:p>
        </w:tc>
        <w:tc>
          <w:tcPr>
            <w:tcW w:w="1694" w:type="dxa"/>
            <w:noWrap w:val="0"/>
            <w:vAlign w:val="center"/>
          </w:tcPr>
          <w:p>
            <w:pPr>
              <w:jc w:val="center"/>
              <w:rPr>
                <w:rFonts w:hint="eastAsia"/>
              </w:rPr>
            </w:pPr>
            <w:r>
              <w:rPr>
                <w:rFonts w:hint="eastAsia"/>
              </w:rPr>
              <w:t>工位面积（m2 ）</w:t>
            </w:r>
          </w:p>
        </w:tc>
        <w:tc>
          <w:tcPr>
            <w:tcW w:w="1541" w:type="dxa"/>
            <w:noWrap w:val="0"/>
            <w:vAlign w:val="center"/>
          </w:tcPr>
          <w:p>
            <w:pPr>
              <w:jc w:val="center"/>
              <w:rPr>
                <w:rFonts w:hint="eastAsia"/>
              </w:rPr>
            </w:pPr>
            <w:r>
              <w:rPr>
                <w:rFonts w:hint="eastAsia"/>
              </w:rPr>
              <w:t>工位数量 （个）</w:t>
            </w:r>
          </w:p>
        </w:tc>
        <w:tc>
          <w:tcPr>
            <w:tcW w:w="1790" w:type="dxa"/>
            <w:noWrap w:val="0"/>
            <w:vAlign w:val="center"/>
          </w:tcPr>
          <w:p>
            <w:pPr>
              <w:jc w:val="center"/>
              <w:rPr>
                <w:rFonts w:hint="eastAsia"/>
              </w:rPr>
            </w:pPr>
            <w:r>
              <w:rPr>
                <w:rFonts w:hint="eastAsia"/>
              </w:rPr>
              <w:t>竞赛场地面积</w:t>
            </w:r>
          </w:p>
          <w:p>
            <w:pPr>
              <w:jc w:val="center"/>
              <w:rPr>
                <w:rFonts w:hint="eastAsia"/>
              </w:rPr>
            </w:pPr>
            <w:r>
              <w:rPr>
                <w:rFonts w:hint="eastAsia"/>
              </w:rPr>
              <w:t>（m2 ）</w:t>
            </w:r>
          </w:p>
        </w:tc>
        <w:tc>
          <w:tcPr>
            <w:tcW w:w="1240" w:type="dxa"/>
            <w:noWrap w:val="0"/>
            <w:vAlign w:val="center"/>
          </w:tcPr>
          <w:p>
            <w:pPr>
              <w:jc w:val="center"/>
              <w:rPr>
                <w:rFonts w:hint="eastAsia"/>
              </w:rPr>
            </w:pPr>
            <w:r>
              <w:rPr>
                <w:rFonts w:hint="eastAsia"/>
              </w:rPr>
              <w:t>场地类型</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8" w:hRule="atLeast"/>
        </w:trPr>
        <w:tc>
          <w:tcPr>
            <w:tcW w:w="2261" w:type="dxa"/>
            <w:noWrap w:val="0"/>
            <w:vAlign w:val="center"/>
          </w:tcPr>
          <w:p>
            <w:pPr>
              <w:jc w:val="center"/>
              <w:rPr>
                <w:rFonts w:hint="eastAsia"/>
              </w:rPr>
            </w:pPr>
            <w:r>
              <w:rPr>
                <w:rFonts w:hint="eastAsia"/>
              </w:rPr>
              <w:t>智能网联汽车装调</w:t>
            </w:r>
          </w:p>
        </w:tc>
        <w:tc>
          <w:tcPr>
            <w:tcW w:w="1694" w:type="dxa"/>
            <w:noWrap w:val="0"/>
            <w:vAlign w:val="center"/>
          </w:tcPr>
          <w:p>
            <w:pPr>
              <w:jc w:val="center"/>
              <w:rPr>
                <w:rFonts w:hint="eastAsia"/>
              </w:rPr>
            </w:pPr>
            <w:r>
              <w:rPr>
                <w:rFonts w:hint="eastAsia"/>
                <w:lang w:val="en-US" w:eastAsia="zh-CN"/>
              </w:rPr>
              <w:t>7</w:t>
            </w:r>
            <w:r>
              <w:rPr>
                <w:rFonts w:hint="eastAsia"/>
              </w:rPr>
              <w:t>5</w:t>
            </w:r>
          </w:p>
        </w:tc>
        <w:tc>
          <w:tcPr>
            <w:tcW w:w="1541" w:type="dxa"/>
            <w:noWrap w:val="0"/>
            <w:vAlign w:val="center"/>
          </w:tcPr>
          <w:p>
            <w:pPr>
              <w:jc w:val="center"/>
              <w:rPr>
                <w:rFonts w:hint="eastAsia"/>
                <w:lang w:eastAsia="zh-CN"/>
              </w:rPr>
            </w:pPr>
            <w:r>
              <w:rPr>
                <w:rFonts w:hint="eastAsia"/>
                <w:lang w:val="en-US" w:eastAsia="zh-CN"/>
              </w:rPr>
              <w:t>1</w:t>
            </w:r>
          </w:p>
        </w:tc>
        <w:tc>
          <w:tcPr>
            <w:tcW w:w="1790" w:type="dxa"/>
            <w:noWrap w:val="0"/>
            <w:vAlign w:val="center"/>
          </w:tcPr>
          <w:p>
            <w:pPr>
              <w:jc w:val="center"/>
              <w:rPr>
                <w:rFonts w:hint="default"/>
                <w:lang w:val="en-US" w:eastAsia="zh-CN"/>
              </w:rPr>
            </w:pPr>
            <w:r>
              <w:rPr>
                <w:rFonts w:hint="eastAsia"/>
                <w:lang w:val="en-US" w:eastAsia="zh-CN"/>
              </w:rPr>
              <w:t>300</w:t>
            </w:r>
          </w:p>
        </w:tc>
        <w:tc>
          <w:tcPr>
            <w:tcW w:w="1240" w:type="dxa"/>
            <w:noWrap w:val="0"/>
            <w:vAlign w:val="center"/>
          </w:tcPr>
          <w:p>
            <w:pPr>
              <w:jc w:val="center"/>
              <w:rPr>
                <w:rFonts w:hint="eastAsia"/>
              </w:rPr>
            </w:pPr>
            <w:r>
              <w:rPr>
                <w:rFonts w:hint="eastAsia"/>
              </w:rPr>
              <w:t>室内</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2261" w:type="dxa"/>
            <w:noWrap w:val="0"/>
            <w:vAlign w:val="center"/>
          </w:tcPr>
          <w:p>
            <w:pPr>
              <w:jc w:val="center"/>
              <w:rPr>
                <w:rFonts w:hint="eastAsia"/>
              </w:rPr>
            </w:pPr>
            <w:r>
              <w:rPr>
                <w:rFonts w:hint="eastAsia"/>
              </w:rPr>
              <w:t>智能网联汽车仿真与道路测试</w:t>
            </w:r>
          </w:p>
        </w:tc>
        <w:tc>
          <w:tcPr>
            <w:tcW w:w="1694" w:type="dxa"/>
            <w:noWrap w:val="0"/>
            <w:vAlign w:val="center"/>
          </w:tcPr>
          <w:p>
            <w:pPr>
              <w:jc w:val="center"/>
              <w:rPr>
                <w:rFonts w:hint="eastAsia"/>
              </w:rPr>
            </w:pPr>
            <w:r>
              <w:rPr>
                <w:rFonts w:hint="eastAsia"/>
              </w:rPr>
              <w:t>200</w:t>
            </w:r>
          </w:p>
        </w:tc>
        <w:tc>
          <w:tcPr>
            <w:tcW w:w="1541" w:type="dxa"/>
            <w:noWrap w:val="0"/>
            <w:vAlign w:val="center"/>
          </w:tcPr>
          <w:p>
            <w:pPr>
              <w:jc w:val="center"/>
              <w:rPr>
                <w:rFonts w:hint="eastAsia"/>
                <w:lang w:val="en-US" w:eastAsia="zh-CN"/>
              </w:rPr>
            </w:pPr>
            <w:r>
              <w:rPr>
                <w:rFonts w:hint="eastAsia"/>
                <w:lang w:val="en-US" w:eastAsia="zh-CN"/>
              </w:rPr>
              <w:t>1</w:t>
            </w:r>
          </w:p>
        </w:tc>
        <w:tc>
          <w:tcPr>
            <w:tcW w:w="1790" w:type="dxa"/>
            <w:noWrap w:val="0"/>
            <w:vAlign w:val="center"/>
          </w:tcPr>
          <w:p>
            <w:pPr>
              <w:jc w:val="center"/>
              <w:rPr>
                <w:rFonts w:hint="default"/>
                <w:lang w:val="en-US" w:eastAsia="zh-CN"/>
              </w:rPr>
            </w:pPr>
            <w:r>
              <w:rPr>
                <w:rFonts w:hint="eastAsia"/>
                <w:lang w:val="en-US" w:eastAsia="zh-CN"/>
              </w:rPr>
              <w:t>1000</w:t>
            </w:r>
          </w:p>
        </w:tc>
        <w:tc>
          <w:tcPr>
            <w:tcW w:w="1240" w:type="dxa"/>
            <w:noWrap w:val="0"/>
            <w:vAlign w:val="center"/>
          </w:tcPr>
          <w:p>
            <w:pPr>
              <w:jc w:val="center"/>
              <w:rPr>
                <w:rFonts w:hint="eastAsia"/>
              </w:rPr>
            </w:pPr>
            <w:r>
              <w:rPr>
                <w:rFonts w:hint="eastAsia"/>
              </w:rPr>
              <w:t>室外</w:t>
            </w:r>
          </w:p>
        </w:tc>
      </w:tr>
    </w:tbl>
    <w:p>
      <w:pPr>
        <w:rPr>
          <w:rFonts w:hint="eastAsia"/>
        </w:rPr>
      </w:pP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模块一竞赛场地每个工位长和宽不低于 15m 和 5m，占地面积不低于75m2 ，场地设施满足竞赛需求。模块二测试场地。双车道总长和宽分别不低于200和 6m，测试场地无磁场干扰源，GPS 信号强度满足平台要求。</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（二）技术平台</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本赛项共需一个技术平台，其包括车辆系统、自动驾驶系统、仿真系统及其它工具等，芯片等核心部件优先选用国产自主品牌。</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1.车辆系统</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最高速度≥50km/h，带限速功能；续航里程≥40km；爬坡能力 ≥20%；驱动电机峰值功率≥10kW；线控工作电压≥12V；平台配备独 立网关，全车采用总线通讯，其中 CAN 总线满足 CAN2.0b 通讯协议； BMS 具备过充、过放、仪表显示与读取等功能；具备遥控或驾驶模式；车身及遥控器均设有急停开关。</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2.自动驾驶系统</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自动驾驶系统电子元部件符合车规级要求，实现常规道路自动驾驶，具备参数调试、卫星定位等功能；计算平台开放自动驾驶算法；组合导航实时提供位置、速度、姿态信号，绝对位置精度优于 2.5cm， 姿态精度优于 0.4 ，航向精度优于 0.4°; 激光雷达线数≥16 线，水平视场角≥120° , 垂直视场角≥15°,精度优于±2cm；摄像头分辨率 ≥1600× 1200，帧率≥60fps；毫米波雷达测速精度优于0.1km/h，测距为0～200m；超声波雷达盲区距离≤28cm，量程为28～450cm。</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3.仿真系统</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仿真系统包含技术平台车辆模型，支持道路编辑实际交通场景；支持感知传感器位置参数配置；支持动力学与算法参数设置，满足常规自动驾驶功能验证；支持多场景测试结果输出，并评分及回溯操作过程。</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4.其它工具与材料</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交通信号灯具备网联功能；配备本赛项需求的其它工具与材料。</w:t>
      </w:r>
    </w:p>
    <w:p>
      <w:pPr>
        <w:rPr>
          <w:rFonts w:hint="default"/>
          <w:lang w:val="en-US"/>
        </w:rPr>
      </w:pPr>
      <w:r>
        <w:rPr>
          <w:rFonts w:hint="eastAsia" w:ascii="黑体" w:hAnsi="黑体" w:eastAsia="黑体" w:cs="黑体"/>
          <w:b w:val="0"/>
          <w:bCs w:val="0"/>
          <w:kern w:val="0"/>
          <w:sz w:val="32"/>
          <w:szCs w:val="32"/>
          <w:lang w:val="en-US" w:eastAsia="zh-CN"/>
        </w:rPr>
        <w:t>九、竞赛样题</w:t>
      </w:r>
    </w:p>
    <w:p>
      <w:pPr>
        <w:spacing w:before="156" w:beforeLines="50" w:after="156" w:afterLines="50"/>
        <w:jc w:val="center"/>
        <w:rPr>
          <w:rFonts w:ascii="黑体" w:hAnsi="黑体" w:eastAsia="黑体"/>
          <w:sz w:val="32"/>
          <w:szCs w:val="32"/>
        </w:rPr>
      </w:pPr>
      <w:r>
        <w:rPr>
          <w:rFonts w:hint="eastAsia" w:ascii="黑体" w:hAnsi="黑体" w:eastAsia="黑体"/>
          <w:sz w:val="32"/>
          <w:szCs w:val="32"/>
        </w:rPr>
        <w:t>2023年</w:t>
      </w:r>
      <w:r>
        <w:rPr>
          <w:rFonts w:hint="eastAsia" w:ascii="黑体" w:hAnsi="黑体" w:eastAsia="黑体"/>
          <w:sz w:val="32"/>
          <w:szCs w:val="32"/>
          <w:lang w:val="en-US" w:eastAsia="zh-CN"/>
        </w:rPr>
        <w:t>海南省</w:t>
      </w:r>
      <w:r>
        <w:rPr>
          <w:rFonts w:hint="eastAsia" w:ascii="黑体" w:hAnsi="黑体" w:eastAsia="黑体"/>
          <w:sz w:val="32"/>
          <w:szCs w:val="32"/>
        </w:rPr>
        <w:t>职业院校技能大赛</w:t>
      </w:r>
    </w:p>
    <w:p>
      <w:pPr>
        <w:spacing w:before="156" w:beforeLines="50" w:after="156" w:afterLines="50"/>
        <w:jc w:val="center"/>
        <w:rPr>
          <w:rFonts w:ascii="黑体" w:hAnsi="黑体" w:eastAsia="黑体"/>
          <w:sz w:val="32"/>
          <w:szCs w:val="32"/>
        </w:rPr>
      </w:pPr>
      <w:r>
        <w:rPr>
          <w:rFonts w:hint="eastAsia" w:ascii="黑体" w:hAnsi="黑体" w:eastAsia="黑体"/>
          <w:sz w:val="32"/>
          <w:szCs w:val="32"/>
        </w:rPr>
        <w:t>智能网联汽车技术赛项</w:t>
      </w:r>
    </w:p>
    <w:p>
      <w:pPr>
        <w:keepNext w:val="0"/>
        <w:keepLines w:val="0"/>
        <w:pageBreakBefore w:val="0"/>
        <w:widowControl w:val="0"/>
        <w:kinsoku/>
        <w:wordWrap/>
        <w:overflowPunct/>
        <w:topLinePunct w:val="0"/>
        <w:autoSpaceDE/>
        <w:autoSpaceDN/>
        <w:bidi w:val="0"/>
        <w:adjustRightInd/>
        <w:spacing w:line="560" w:lineRule="exact"/>
        <w:ind w:firstLine="643" w:firstLineChars="200"/>
        <w:textAlignment w:val="auto"/>
        <w:rPr>
          <w:rFonts w:hint="eastAsia" w:ascii="楷体" w:hAnsi="楷体" w:eastAsia="楷体" w:cs="楷体"/>
          <w:b/>
          <w:bCs/>
          <w:sz w:val="32"/>
          <w:szCs w:val="32"/>
          <w:lang w:val="en-US" w:eastAsia="zh-CN"/>
        </w:rPr>
      </w:pPr>
      <w:r>
        <w:rPr>
          <w:rFonts w:hint="eastAsia" w:ascii="楷体" w:hAnsi="楷体" w:eastAsia="楷体" w:cs="楷体"/>
          <w:b/>
          <w:bCs/>
          <w:sz w:val="32"/>
          <w:szCs w:val="32"/>
          <w:lang w:val="en-US" w:eastAsia="zh-CN"/>
        </w:rPr>
        <w:t>模块一：智能网联汽车装调</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故障点1：</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能源供给系统故障-保险故障</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故障点2：</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智能传感器故障-摄像头故障</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故障点3：</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总线故障-CANBUS总线系统故障</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故障点4：</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线束故障-搭铁异常</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故障点5：</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通信故障-线控底盘系统故障</w:t>
      </w:r>
    </w:p>
    <w:p>
      <w:pPr>
        <w:jc w:val="left"/>
        <w:rPr>
          <w:rFonts w:ascii="黑体" w:hAnsi="黑体" w:eastAsia="黑体"/>
          <w:sz w:val="30"/>
          <w:szCs w:val="30"/>
        </w:rPr>
      </w:pPr>
    </w:p>
    <w:p>
      <w:pPr>
        <w:keepNext w:val="0"/>
        <w:keepLines w:val="0"/>
        <w:pageBreakBefore w:val="0"/>
        <w:widowControl w:val="0"/>
        <w:kinsoku/>
        <w:wordWrap/>
        <w:overflowPunct/>
        <w:topLinePunct w:val="0"/>
        <w:autoSpaceDE/>
        <w:autoSpaceDN/>
        <w:bidi w:val="0"/>
        <w:adjustRightInd/>
        <w:spacing w:line="560" w:lineRule="exact"/>
        <w:ind w:firstLine="643" w:firstLineChars="200"/>
        <w:textAlignment w:val="auto"/>
        <w:rPr>
          <w:rFonts w:hint="eastAsia" w:ascii="楷体" w:hAnsi="楷体" w:eastAsia="楷体" w:cs="楷体"/>
          <w:b/>
          <w:bCs/>
          <w:sz w:val="32"/>
          <w:szCs w:val="32"/>
          <w:lang w:val="en-US" w:eastAsia="zh-CN"/>
        </w:rPr>
      </w:pPr>
      <w:r>
        <w:rPr>
          <w:rFonts w:hint="eastAsia" w:ascii="楷体" w:hAnsi="楷体" w:eastAsia="楷体" w:cs="楷体"/>
          <w:b/>
          <w:bCs/>
          <w:sz w:val="32"/>
          <w:szCs w:val="32"/>
          <w:lang w:val="en-US" w:eastAsia="zh-CN"/>
        </w:rPr>
        <w:t>模块二：智能网联汽车仿真与道路测试</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b w:val="0"/>
          <w:bCs w:val="0"/>
          <w:sz w:val="32"/>
          <w:szCs w:val="32"/>
          <w:lang w:val="en-US" w:eastAsia="zh-CN"/>
        </w:rPr>
      </w:pPr>
      <w:r>
        <w:rPr>
          <w:rFonts w:hint="eastAsia" w:ascii="楷体" w:hAnsi="楷体" w:eastAsia="楷体" w:cs="楷体"/>
          <w:b w:val="0"/>
          <w:bCs w:val="0"/>
          <w:sz w:val="32"/>
          <w:szCs w:val="32"/>
          <w:lang w:val="en-US" w:eastAsia="zh-CN"/>
        </w:rPr>
        <w:t>一、虚拟仿真任务</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b w:val="0"/>
          <w:bCs w:val="0"/>
          <w:sz w:val="32"/>
          <w:szCs w:val="32"/>
          <w:lang w:val="en-US" w:eastAsia="zh-CN"/>
        </w:rPr>
      </w:pPr>
      <w:r>
        <w:rPr>
          <w:rFonts w:hint="eastAsia" w:ascii="楷体" w:hAnsi="楷体" w:eastAsia="楷体" w:cs="楷体"/>
          <w:b w:val="0"/>
          <w:bCs w:val="0"/>
          <w:sz w:val="32"/>
          <w:szCs w:val="32"/>
          <w:lang w:val="en-US" w:eastAsia="zh-CN"/>
        </w:rPr>
        <w:t>1.天气场景：晴天；</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b w:val="0"/>
          <w:bCs w:val="0"/>
          <w:sz w:val="32"/>
          <w:szCs w:val="32"/>
          <w:lang w:val="en-US" w:eastAsia="zh-CN"/>
        </w:rPr>
      </w:pPr>
      <w:r>
        <w:rPr>
          <w:rFonts w:hint="eastAsia" w:ascii="楷体" w:hAnsi="楷体" w:eastAsia="楷体" w:cs="楷体"/>
          <w:b w:val="0"/>
          <w:bCs w:val="0"/>
          <w:sz w:val="32"/>
          <w:szCs w:val="32"/>
          <w:lang w:val="en-US" w:eastAsia="zh-CN"/>
        </w:rPr>
        <w:t>2.道路设置：直线道路2段、弯曲道路2段、有信号灯十字路口2个、交通信号灯2个、交通标识牌1个、车道线虚线、双向2车道；</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b w:val="0"/>
          <w:bCs w:val="0"/>
          <w:sz w:val="32"/>
          <w:szCs w:val="32"/>
          <w:lang w:val="en-US" w:eastAsia="zh-CN"/>
        </w:rPr>
      </w:pPr>
      <w:r>
        <w:rPr>
          <w:rFonts w:hint="eastAsia" w:ascii="楷体" w:hAnsi="楷体" w:eastAsia="楷体" w:cs="楷体"/>
          <w:b w:val="0"/>
          <w:bCs w:val="0"/>
          <w:sz w:val="32"/>
          <w:szCs w:val="32"/>
          <w:lang w:val="en-US" w:eastAsia="zh-CN"/>
        </w:rPr>
        <w:t>3.场景设置：行人配置1人、障碍物设置1处、场景车辆1辆；</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b w:val="0"/>
          <w:bCs w:val="0"/>
          <w:sz w:val="32"/>
          <w:szCs w:val="32"/>
          <w:lang w:val="en-US" w:eastAsia="zh-CN"/>
        </w:rPr>
      </w:pPr>
      <w:r>
        <w:rPr>
          <w:rFonts w:hint="eastAsia" w:ascii="楷体" w:hAnsi="楷体" w:eastAsia="楷体" w:cs="楷体"/>
          <w:b w:val="0"/>
          <w:bCs w:val="0"/>
          <w:sz w:val="32"/>
          <w:szCs w:val="32"/>
          <w:lang w:val="en-US" w:eastAsia="zh-CN"/>
        </w:rPr>
        <w:t>4.功能：主动避障、自动紧急制动、自适应巡航、车道线识别、行人规避等功能验证；</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b w:val="0"/>
          <w:bCs w:val="0"/>
          <w:sz w:val="32"/>
          <w:szCs w:val="32"/>
          <w:lang w:val="en-US" w:eastAsia="zh-CN"/>
        </w:rPr>
      </w:pPr>
      <w:r>
        <w:rPr>
          <w:rFonts w:hint="eastAsia" w:ascii="楷体" w:hAnsi="楷体" w:eastAsia="楷体" w:cs="楷体"/>
          <w:b w:val="0"/>
          <w:bCs w:val="0"/>
          <w:sz w:val="32"/>
          <w:szCs w:val="32"/>
          <w:lang w:val="en-US" w:eastAsia="zh-CN"/>
        </w:rPr>
        <w:t>5.系统工作异常类型：毫米波雷达工作异常、视觉传感器工作异常。</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b w:val="0"/>
          <w:bCs w:val="0"/>
          <w:sz w:val="32"/>
          <w:szCs w:val="32"/>
          <w:lang w:val="en-US" w:eastAsia="zh-CN"/>
        </w:rPr>
      </w:pPr>
      <w:r>
        <w:rPr>
          <w:rFonts w:hint="eastAsia" w:ascii="楷体" w:hAnsi="楷体" w:eastAsia="楷体" w:cs="楷体"/>
          <w:b w:val="0"/>
          <w:bCs w:val="0"/>
          <w:sz w:val="32"/>
          <w:szCs w:val="32"/>
          <w:lang w:val="en-US" w:eastAsia="zh-CN"/>
        </w:rPr>
        <w:t>二、综合道路测试任务</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b w:val="0"/>
          <w:bCs w:val="0"/>
          <w:sz w:val="32"/>
          <w:szCs w:val="32"/>
          <w:lang w:val="en-US" w:eastAsia="zh-CN"/>
        </w:rPr>
      </w:pPr>
      <w:r>
        <w:rPr>
          <w:rFonts w:hint="eastAsia" w:ascii="楷体" w:hAnsi="楷体" w:eastAsia="楷体" w:cs="楷体"/>
          <w:b w:val="0"/>
          <w:bCs w:val="0"/>
          <w:sz w:val="32"/>
          <w:szCs w:val="32"/>
          <w:lang w:val="en-US" w:eastAsia="zh-CN"/>
        </w:rPr>
        <w:t>1.GPS通讯异常、IMU通讯异常；</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b w:val="0"/>
          <w:bCs w:val="0"/>
          <w:sz w:val="32"/>
          <w:szCs w:val="32"/>
          <w:lang w:val="en-US" w:eastAsia="zh-CN"/>
        </w:rPr>
      </w:pPr>
      <w:r>
        <w:rPr>
          <w:rFonts w:hint="eastAsia" w:ascii="楷体" w:hAnsi="楷体" w:eastAsia="楷体" w:cs="楷体"/>
          <w:b w:val="0"/>
          <w:bCs w:val="0"/>
          <w:sz w:val="32"/>
          <w:szCs w:val="32"/>
          <w:lang w:val="en-US" w:eastAsia="zh-CN"/>
        </w:rPr>
        <w:t>2.转向角度20°；</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b w:val="0"/>
          <w:bCs w:val="0"/>
          <w:sz w:val="32"/>
          <w:szCs w:val="32"/>
          <w:lang w:val="en-US" w:eastAsia="zh-CN"/>
        </w:rPr>
      </w:pPr>
      <w:r>
        <w:rPr>
          <w:rFonts w:hint="eastAsia" w:ascii="楷体" w:hAnsi="楷体" w:eastAsia="楷体" w:cs="楷体"/>
          <w:b w:val="0"/>
          <w:bCs w:val="0"/>
          <w:sz w:val="32"/>
          <w:szCs w:val="32"/>
          <w:lang w:val="en-US" w:eastAsia="zh-CN"/>
        </w:rPr>
        <w:t>3.最低车速、最小转弯半径（根据竞赛平台确定）；</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b w:val="0"/>
          <w:bCs w:val="0"/>
          <w:sz w:val="32"/>
          <w:szCs w:val="32"/>
          <w:lang w:val="en-US" w:eastAsia="zh-CN"/>
        </w:rPr>
      </w:pPr>
      <w:r>
        <w:rPr>
          <w:rFonts w:hint="eastAsia" w:ascii="楷体" w:hAnsi="楷体" w:eastAsia="楷体" w:cs="楷体"/>
          <w:b w:val="0"/>
          <w:bCs w:val="0"/>
          <w:sz w:val="32"/>
          <w:szCs w:val="32"/>
          <w:lang w:val="en-US" w:eastAsia="zh-CN"/>
        </w:rPr>
        <w:t>4.场景应用测试：红绿灯1个（异常）、避障物体2个；</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b w:val="0"/>
          <w:bCs w:val="0"/>
          <w:sz w:val="32"/>
          <w:szCs w:val="32"/>
          <w:lang w:val="en-US" w:eastAsia="zh-CN"/>
        </w:rPr>
        <w:sectPr>
          <w:footerReference r:id="rId4" w:type="default"/>
          <w:pgSz w:w="11906" w:h="16839"/>
          <w:pgMar w:top="1428" w:right="1687" w:bottom="1364" w:left="1687" w:header="0" w:footer="1111" w:gutter="0"/>
          <w:cols w:space="720" w:num="1"/>
        </w:sectPr>
      </w:pPr>
      <w:r>
        <w:rPr>
          <w:rFonts w:hint="eastAsia" w:ascii="楷体" w:hAnsi="楷体" w:eastAsia="楷体" w:cs="楷体"/>
          <w:b w:val="0"/>
          <w:bCs w:val="0"/>
          <w:sz w:val="32"/>
          <w:szCs w:val="32"/>
          <w:lang w:val="en-US" w:eastAsia="zh-CN"/>
        </w:rPr>
        <w:t>5.交通标识：限速1个、左转弯1个、定点停车（停在路段中央）、终点定点停车。</w:t>
      </w:r>
    </w:p>
    <w:p>
      <w:pPr>
        <w:rPr>
          <w:rFonts w:hint="eastAsia"/>
          <w:lang w:val="en-US" w:eastAsia="zh-CN"/>
        </w:rPr>
      </w:pPr>
      <w:r>
        <w:rPr>
          <w:rFonts w:hint="eastAsia" w:ascii="黑体" w:hAnsi="黑体" w:eastAsia="黑体" w:cs="黑体"/>
          <w:b w:val="0"/>
          <w:bCs w:val="0"/>
          <w:kern w:val="0"/>
          <w:sz w:val="32"/>
          <w:szCs w:val="32"/>
          <w:lang w:val="en-US" w:eastAsia="zh-CN"/>
        </w:rPr>
        <w:t>十、赛项安全</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赛项执委会采取切实有效措施保证大赛期间参赛选手、指导教师、工作人员等人员的人身安全。</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（一）比赛环境</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1.执委会须在赛前组织专人对比赛现场、住宿场所和交通保障进 行考察，并对安全工作提出明确要求。赛场的布置，赛场内的器材、 设备应符合国家有关安全规定。赛前进行赛场全负荷模拟测试，以发现可能出现的问题，及时排除安全隐患。</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2.赛场周围要设立警戒线，无关人员不得进入。 比赛现场内应参 照相关职业岗位的要求为选手提供必要的劳动保护。在具有危险性的操作环节，裁判员要严防选手出现错误操作。</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3.承办单位必须制定管理方案、人员疏导方案和应急预案。</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4.参赛选手、赛项裁判、工作人员进入赛场区域，严禁携带通讯、照相、摄录设备。赛项需要配置安检设备对进入赛场人员进行安检。</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5.赛项工位、监督仲裁室、评分室需要配置高清摄像，对赛事比赛时间段进行全程录像。</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（二）处罚措施</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1. 因参赛队伍原因造成重大安全事故的，取消其获奖资格。</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2.参赛队伍有发生重大安全事故隐患，经赛场工作人员提示、警告无效的，可取消其继续比赛的资格。</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lang w:val="en-US" w:eastAsia="zh-CN"/>
        </w:rPr>
      </w:pPr>
      <w:r>
        <w:rPr>
          <w:rFonts w:hint="eastAsia" w:ascii="楷体" w:hAnsi="楷体" w:eastAsia="楷体" w:cs="楷体"/>
          <w:sz w:val="32"/>
          <w:szCs w:val="32"/>
          <w:lang w:val="en-US" w:eastAsia="zh-CN"/>
        </w:rPr>
        <w:t>3.赛事工作人员违规的，按照相应的制度追究责任。情节恶劣并造成重大安全事故的，由司法机关追究相应法律责任。</w:t>
      </w:r>
    </w:p>
    <w:p>
      <w:pPr>
        <w:rPr>
          <w:rFonts w:hint="eastAsia"/>
          <w:lang w:val="en-US" w:eastAsia="zh-CN"/>
        </w:rPr>
        <w:sectPr>
          <w:footerReference r:id="rId5" w:type="default"/>
          <w:pgSz w:w="11906" w:h="16839"/>
          <w:pgMar w:top="1431" w:right="1712" w:bottom="1364" w:left="1785" w:header="0" w:footer="1111" w:gutter="0"/>
          <w:cols w:space="720" w:num="1"/>
        </w:sectPr>
      </w:pPr>
    </w:p>
    <w:p>
      <w:pPr>
        <w:rPr>
          <w:rFonts w:hint="eastAsia"/>
          <w:lang w:val="en-US" w:eastAsia="zh-CN"/>
        </w:rPr>
      </w:pPr>
      <w:r>
        <w:rPr>
          <w:rFonts w:hint="eastAsia" w:ascii="黑体" w:hAnsi="黑体" w:eastAsia="黑体" w:cs="黑体"/>
          <w:b w:val="0"/>
          <w:bCs w:val="0"/>
          <w:kern w:val="0"/>
          <w:sz w:val="32"/>
          <w:szCs w:val="32"/>
          <w:lang w:val="en-US" w:eastAsia="zh-CN"/>
        </w:rPr>
        <w:t>十一、成绩评定</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（一）评分标准</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1.制订原则</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赛项成绩评定标准以“公平、公正、公开、独立、透明”为原则，赛项最终得分按百分制计算。</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2.考核要点</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（1）在完成工作任务的过程中，因操作不当导致人身或设备安全事故，取消比赛资格。</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（2）损坏赛场提供的设备，污染赛场环境等不符合职业规范的行为扣5分。</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（3）在竞赛时段，参赛选手有不服从裁判扰乱赛场秩序、有作弊行为的、裁判宣布竞赛时间到仍强行操作的，取消参赛队奖项评比资格。</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（4）选手报告单上留有不应有的标识、符号、文字，扣5分。</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3.配分规则</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各竞赛模块配分规则见表 4。</w:t>
      </w:r>
    </w:p>
    <w:p>
      <w:pPr>
        <w:jc w:val="center"/>
        <w:rPr>
          <w:rFonts w:hint="eastAsia"/>
        </w:rPr>
      </w:pPr>
      <w:r>
        <w:rPr>
          <w:rFonts w:hint="eastAsia"/>
        </w:rPr>
        <w:t>表 4    各竞赛模块配分</w:t>
      </w:r>
    </w:p>
    <w:tbl>
      <w:tblPr>
        <w:tblStyle w:val="31"/>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771"/>
        <w:gridCol w:w="375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4771" w:type="dxa"/>
            <w:noWrap w:val="0"/>
            <w:vAlign w:val="center"/>
          </w:tcPr>
          <w:p>
            <w:pPr>
              <w:jc w:val="center"/>
              <w:rPr>
                <w:rFonts w:hint="eastAsia"/>
              </w:rPr>
            </w:pPr>
            <w:r>
              <w:rPr>
                <w:rFonts w:hint="eastAsia"/>
              </w:rPr>
              <w:t>评分项目</w:t>
            </w:r>
          </w:p>
        </w:tc>
        <w:tc>
          <w:tcPr>
            <w:tcW w:w="3755" w:type="dxa"/>
            <w:noWrap w:val="0"/>
            <w:vAlign w:val="center"/>
          </w:tcPr>
          <w:p>
            <w:pPr>
              <w:jc w:val="center"/>
              <w:rPr>
                <w:rFonts w:hint="eastAsia"/>
              </w:rPr>
            </w:pPr>
            <w:r>
              <w:rPr>
                <w:rFonts w:hint="eastAsia"/>
              </w:rPr>
              <w:t>配分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4771" w:type="dxa"/>
            <w:noWrap w:val="0"/>
            <w:vAlign w:val="center"/>
          </w:tcPr>
          <w:p>
            <w:pPr>
              <w:jc w:val="center"/>
              <w:rPr>
                <w:rFonts w:hint="eastAsia"/>
              </w:rPr>
            </w:pPr>
            <w:r>
              <w:rPr>
                <w:rFonts w:hint="eastAsia"/>
              </w:rPr>
              <w:t>健康与安全</w:t>
            </w:r>
          </w:p>
        </w:tc>
        <w:tc>
          <w:tcPr>
            <w:tcW w:w="3755" w:type="dxa"/>
            <w:noWrap w:val="0"/>
            <w:vAlign w:val="center"/>
          </w:tcPr>
          <w:p>
            <w:pPr>
              <w:jc w:val="center"/>
              <w:rPr>
                <w:rFonts w:hint="eastAsia"/>
              </w:rPr>
            </w:pPr>
            <w:r>
              <w:rPr>
                <w:rFonts w:hint="eastAsia"/>
              </w:rPr>
              <w:t>20 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4771" w:type="dxa"/>
            <w:noWrap w:val="0"/>
            <w:vAlign w:val="center"/>
          </w:tcPr>
          <w:p>
            <w:pPr>
              <w:jc w:val="center"/>
              <w:rPr>
                <w:rFonts w:hint="eastAsia"/>
              </w:rPr>
            </w:pPr>
            <w:r>
              <w:rPr>
                <w:rFonts w:hint="eastAsia"/>
              </w:rPr>
              <w:t>作业过程与记录</w:t>
            </w:r>
          </w:p>
        </w:tc>
        <w:tc>
          <w:tcPr>
            <w:tcW w:w="3755" w:type="dxa"/>
            <w:noWrap w:val="0"/>
            <w:vAlign w:val="center"/>
          </w:tcPr>
          <w:p>
            <w:pPr>
              <w:jc w:val="center"/>
              <w:rPr>
                <w:rFonts w:hint="eastAsia"/>
              </w:rPr>
            </w:pPr>
            <w:r>
              <w:rPr>
                <w:rFonts w:hint="eastAsia"/>
              </w:rPr>
              <w:t>80 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4771" w:type="dxa"/>
            <w:noWrap w:val="0"/>
            <w:vAlign w:val="center"/>
          </w:tcPr>
          <w:p>
            <w:pPr>
              <w:jc w:val="center"/>
              <w:rPr>
                <w:rFonts w:hint="eastAsia"/>
              </w:rPr>
            </w:pPr>
            <w:r>
              <w:rPr>
                <w:rFonts w:hint="eastAsia"/>
              </w:rPr>
              <w:t>合计</w:t>
            </w:r>
          </w:p>
        </w:tc>
        <w:tc>
          <w:tcPr>
            <w:tcW w:w="3755" w:type="dxa"/>
            <w:noWrap w:val="0"/>
            <w:vAlign w:val="center"/>
          </w:tcPr>
          <w:p>
            <w:pPr>
              <w:jc w:val="center"/>
              <w:rPr>
                <w:rFonts w:hint="eastAsia"/>
              </w:rPr>
            </w:pPr>
            <w:r>
              <w:rPr>
                <w:rFonts w:hint="eastAsia"/>
              </w:rPr>
              <w:t>100 分</w:t>
            </w:r>
          </w:p>
        </w:tc>
      </w:tr>
    </w:tbl>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（二）评分方式</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1.裁判人数和组成条件</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sectPr>
          <w:footerReference r:id="rId6" w:type="default"/>
          <w:pgSz w:w="11906" w:h="16839"/>
          <w:pgMar w:top="1431" w:right="1687" w:bottom="1364" w:left="1687" w:header="0" w:footer="1111" w:gutter="0"/>
          <w:cols w:space="720" w:num="1"/>
        </w:sectPr>
      </w:pP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此赛项共需2名裁判，其中：裁判长1人，现场裁判 1人具体要求与分工如下：</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（1）检录工作人员负责对参赛选手进行点名登记、身份核对等工作。检录工作由赛项承办院校工作人员承担。</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（2）裁判组实行“裁判长负责制”，全面负责赛项的裁判管理工作并处理比赛中出现的争议问题。负责组织比赛，对竞赛模块的试题与评分标准认真领会并向裁判培训解释。</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（3）现场裁判：按规定做好赛场记录，维护赛场纪律，评判参赛选手的现场作业情况，负责对参赛选手的报告单按赛项评分标准进行评定，并负责核分和统分工作。</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（5）监督组对裁判组的工作进行全程监督，并对竞赛成绩抽检 复核；仲裁组负责接受由参赛队领队提出的对裁判结果的申诉，组织复议并及时反馈复议结果。成立由检录组、裁判组、监督组和仲裁组组成的成绩管理组织机构。参照《全国职业院校技能大赛专家和裁判工作管理办法》的有关要求，要求裁判人员来自智能网联汽车相关企业、非参赛院校，从事智能网联汽车技术、新能源汽车技术、汽车检测与维修技术、汽车智能技术等相关专业教学、科研和工程技术人员，具有省级以上执裁经验，副教授（高级工程师）职称或高级技师及以上。</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2.裁判评分方法</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裁判采用过程评分方式。现场裁判依据现场评判表，对参赛选手竞赛过程的人物安全、设备使用、操作规范、职业素养进行评判。评判结果由裁判员、裁判长签字确认。</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3.成绩产生方法</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参赛选手的成绩产生按照严密的程序进行，在监督组监督下，由裁判长启封检录加密，找出各参赛队与场次工位对应关系；将竞赛结果分别由场次工位号转换为参赛队，然后进行分值排序，打印封装。总成绩为两个竞赛模块成绩之和。竞赛总成绩相同时，按智能网联汽车装调模块成绩进行名次排序；智能网联汽车装调模块竞赛成绩再相同时，以该模块竞赛完成时间进行排序。</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4.成绩审核方法</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为保障成绩统计的准确性，监督组对赛项总成绩排名前 30%的所有参赛队伍的成绩进行复核；对其余成绩进行抽检复核，抽检覆盖率不得低于15%。监督组将复检中发现的错误通过书面方式及时告知裁判长，由裁判长更正成绩并签字确认。错误率超过5%的，则认定为非小概率事件，裁判组需对所有成绩进行复核。</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5.成绩公布方法</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（1）公示。所有竞赛结束后记分员将解密后的各参赛队成绩汇总成最终成绩单，经裁判长、监督仲裁组组长签字后进行公示。</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（2）审核。赛务信息员对成绩数据审核后，将赛务系统中录入的成绩导出打印，经裁判长、仲裁长和监督组组长审核签字。</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（3）报送。 由赛务信息员将签字的纸质打印成绩单报送赛项执委会和大赛执委会办公室。</w:t>
      </w:r>
    </w:p>
    <w:p>
      <w:pPr>
        <w:rPr>
          <w:rFonts w:hint="eastAsia"/>
        </w:rPr>
      </w:pPr>
    </w:p>
    <w:p>
      <w:pPr>
        <w:rPr>
          <w:rFonts w:hint="eastAsia"/>
        </w:rPr>
      </w:pPr>
      <w:r>
        <w:rPr>
          <w:rFonts w:hint="eastAsia" w:ascii="黑体" w:hAnsi="黑体" w:eastAsia="黑体" w:cs="黑体"/>
          <w:b w:val="0"/>
          <w:bCs w:val="0"/>
          <w:kern w:val="0"/>
          <w:sz w:val="32"/>
          <w:szCs w:val="32"/>
          <w:lang w:val="en-US" w:eastAsia="zh-CN"/>
        </w:rPr>
        <w:t>十二、赛场预案</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（一）赛场配备技术人员，当车辆、设备等出现问题时，技术人员可第一时间提供专业技术支持。</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（二）竞赛现场配置安全通道，当出现火情或其他灾害情况，工作人员应立即向保卫组汇报，保卫组接报后要火速到达现场并配合消防队员和公安干警，指挥人员疏散到安全区域并及时处置现场状况。</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三）竞赛过程中出现设备断电、故障等意外时，现场裁判需及时确认情况，安排技术支持人员进行处理，现场裁判登记详细情况，填写补时登记表，报裁判长批准后，可安排延长补足相应选手的比赛时间。当出现非选手原因设备断电、故障等意外时，经现场裁判认可，裁判长确认予以安排备用工位进行比赛。</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四）赛场设有应急医疗点，用于参赛选手突发身体不适（如发热、咳嗽等）或出现碰伤、划伤等意外情况的应急处理；如应急医疗点诊断参赛选手可以继续比赛的，经裁判长确认予以安排原工位或备用工位进行比赛。如参赛选手不能继续参加比赛的，必要时可联系120急救车。</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（五）比赛期间发生意外事故，发现者应第一时间报告执委会，同时采取措施避免事态扩大。赛项出现重大安全问题可以停赛，是否停赛由执委会决定。事后执委会应向组委会报告详细情况。</w:t>
      </w:r>
    </w:p>
    <w:p>
      <w:pPr>
        <w:pStyle w:val="2"/>
        <w:rPr>
          <w:rFonts w:hint="eastAsia"/>
          <w:lang w:val="en-US" w:eastAsia="zh-CN"/>
        </w:rPr>
      </w:pPr>
    </w:p>
    <w:p>
      <w:pPr>
        <w:rPr>
          <w:rFonts w:hint="eastAsia"/>
        </w:rPr>
      </w:pPr>
      <w:r>
        <w:rPr>
          <w:rFonts w:hint="eastAsia" w:ascii="黑体" w:hAnsi="黑体" w:eastAsia="黑体" w:cs="黑体"/>
          <w:b w:val="0"/>
          <w:bCs w:val="0"/>
          <w:kern w:val="0"/>
          <w:sz w:val="32"/>
          <w:szCs w:val="32"/>
          <w:lang w:val="en-US" w:eastAsia="zh-CN"/>
        </w:rPr>
        <w:t>十三、竞赛须知</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（一）参赛队须知</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1.各参赛队须为参赛选手购买大赛期间的人身意外伤害保险。</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2.各参赛队须对参赛选手、指导教师、领队进行安全管理和维稳教育，在比赛期间需保持通信畅通。</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3.对申诉的仲裁结果，领队和指导教师应带头服从和执行，还应说服参赛选手服从和执行。凡恶意申诉，一经查实，组委会将追查相关人员责任。</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4.领队负责做好本参赛队比赛期间的管理与组织工作。</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5.执行大赛各项规定。各参赛队领队、指导教师在比赛前和比赛期间不允许私自接触裁判，不得以任何形式影响裁判人员的评判。</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6.指定一名领队或指导教师准时参加赛前领队会议，进行抽签确定竞赛当日抽签顺序，并认真传达落实会议精神。</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（二）参赛选手须知</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1.参赛选手应严格遵守竞赛规则和竞赛纪律，服从裁判员和竞赛 工作人员的统一指挥安排，自觉维护赛场秩序，不得因申诉或对处理意见不服而停止竞赛，否则以弃权处理。</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2.参赛选手须文明竞赛，接受裁判的监督和警示。</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3.参赛选手必须持本人身份证、并佩戴组委会签发的参赛证件； 在赛前 30 分钟到达赛场进行检录、抽取赛位号，进行赛前准备，等候比赛开始指令。正式竞赛开始尚未检录的选手，不得参加竞赛。已检录入场的参赛选手未经允许，不得擅自离开。</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4.选手进入赛场不得携带任何纸质资料、通讯工具、电子书、存储设备、照相及录像设备等。</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5.选手在收到开赛信号前不得启动操作；若结束比赛，应向裁判举手示意，由裁判记录比赛结束时间；比赛结束后，不得再进行任何与比赛有关的操作。</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6.在比赛中如遇非人为因素造成的器材故障，应及时向裁判反映，经裁判确认后，可向裁判长申请补足排除故障的时间。</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7. 比赛结束后，应按要求向裁判提交选手报告单。</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lang w:val="en-US" w:eastAsia="zh-CN"/>
        </w:rPr>
      </w:pPr>
      <w:r>
        <w:rPr>
          <w:rFonts w:hint="eastAsia" w:ascii="楷体" w:hAnsi="楷体" w:eastAsia="楷体" w:cs="楷体"/>
          <w:sz w:val="32"/>
          <w:szCs w:val="32"/>
          <w:lang w:val="en-US" w:eastAsia="zh-CN"/>
        </w:rPr>
        <w:t>8.参赛选手应注意安全，必须穿安全鞋。</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（三）指导教师须知</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1.各代表队指导教师要坚决执行比赛的各项规定，指导选手做好赛前的一切准备工作，不得以任何理由影响比赛正常进行。</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2.对申诉的仲裁结果，指导教师应带头服从和执行，还应说服选手服从和执行。</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3.指导教师应认真研究和掌握本赛项比赛的技术规则和赛场要求，对参赛选手做好安全和纪律教育。</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（四）工作人员须知</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1.工作人员必须服从统一领导，严格遵守竞赛纪律及时间安排，严守工作岗位，不得无故离岗。</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2.工作人员必须着装整齐，统一佩戴由大赛组委会签发的相应证件，精神饱满、热情服务。</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3. 熟悉赛项指南，严格按照工作程序和有关规定办事，遇突发事件，按照安全工作预案，组织指挥人员疏散，确保人员安全。</w:t>
      </w:r>
    </w:p>
    <w:p>
      <w:pPr>
        <w:pStyle w:val="2"/>
        <w:ind w:left="0" w:leftChars="0" w:firstLine="640" w:firstLineChars="200"/>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4.工作人员未经允许不得随意进入比赛现场。</w:t>
      </w:r>
    </w:p>
    <w:p>
      <w:pPr>
        <w:rPr>
          <w:rFonts w:hint="eastAsia" w:ascii="黑体" w:hAnsi="黑体" w:eastAsia="黑体" w:cs="黑体"/>
          <w:b w:val="0"/>
          <w:bCs w:val="0"/>
          <w:kern w:val="0"/>
          <w:sz w:val="32"/>
          <w:szCs w:val="32"/>
          <w:lang w:val="en-US" w:eastAsia="zh-CN"/>
        </w:rPr>
      </w:pPr>
      <w:r>
        <w:rPr>
          <w:rFonts w:hint="eastAsia" w:ascii="黑体" w:hAnsi="黑体" w:eastAsia="黑体" w:cs="黑体"/>
          <w:b w:val="0"/>
          <w:bCs w:val="0"/>
          <w:kern w:val="0"/>
          <w:sz w:val="32"/>
          <w:szCs w:val="32"/>
          <w:lang w:val="en-US" w:eastAsia="zh-CN"/>
        </w:rPr>
        <w:t>十四、申诉与仲裁</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本赛项在比赛过程中若出现有失公正或有关人员违规等现象，参赛队领队可在当日比赛结束后2小时内向仲裁组提出申诉。赛项仲裁组在接到申诉后的2小时内组织复议，并及时反馈复议结果。申诉方对复议结果仍有异议，可由领队向赛区仲裁委员会提出申诉。赛区仲裁委员会的仲裁结果为最终结果。</w:t>
      </w:r>
    </w:p>
    <w:p>
      <w:pPr>
        <w:pStyle w:val="2"/>
        <w:rPr>
          <w:rFonts w:hint="eastAsia"/>
          <w:lang w:val="en-US" w:eastAsia="zh-CN"/>
        </w:rPr>
      </w:pPr>
    </w:p>
    <w:p>
      <w:pPr>
        <w:rPr>
          <w:rFonts w:hint="default" w:ascii="黑体" w:hAnsi="黑体" w:eastAsia="黑体" w:cs="黑体"/>
          <w:b w:val="0"/>
          <w:bCs w:val="0"/>
          <w:kern w:val="0"/>
          <w:sz w:val="32"/>
          <w:szCs w:val="32"/>
          <w:lang w:val="en-US" w:eastAsia="zh-CN"/>
        </w:rPr>
      </w:pPr>
      <w:r>
        <w:rPr>
          <w:rFonts w:hint="eastAsia" w:ascii="黑体" w:hAnsi="黑体" w:eastAsia="黑体" w:cs="黑体"/>
          <w:b w:val="0"/>
          <w:bCs w:val="0"/>
          <w:kern w:val="0"/>
          <w:sz w:val="32"/>
          <w:szCs w:val="32"/>
          <w:lang w:val="en-US" w:eastAsia="zh-CN"/>
        </w:rPr>
        <w:t>十五、竞赛观摩</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default" w:ascii="楷体" w:hAnsi="楷体" w:eastAsia="楷体" w:cs="楷体"/>
          <w:sz w:val="32"/>
          <w:szCs w:val="32"/>
          <w:lang w:val="en-US" w:eastAsia="zh-CN"/>
        </w:rPr>
      </w:pPr>
      <w:r>
        <w:rPr>
          <w:rFonts w:hint="default" w:ascii="楷体" w:hAnsi="楷体" w:eastAsia="楷体" w:cs="楷体"/>
          <w:sz w:val="32"/>
          <w:szCs w:val="32"/>
          <w:lang w:val="en-US" w:eastAsia="zh-CN"/>
        </w:rPr>
        <w:t xml:space="preserve">（一）观摩人员与方式。观摩人员是对赛项竞赛内容和过程感兴趣的学校师生、行业企业人员和社会各界人士；观摩方式是现场观摩和视频直播。 </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default" w:ascii="楷体" w:hAnsi="楷体" w:eastAsia="楷体" w:cs="楷体"/>
          <w:sz w:val="32"/>
          <w:szCs w:val="32"/>
          <w:lang w:val="en-US" w:eastAsia="zh-CN"/>
        </w:rPr>
      </w:pPr>
      <w:r>
        <w:rPr>
          <w:rFonts w:hint="default" w:ascii="楷体" w:hAnsi="楷体" w:eastAsia="楷体" w:cs="楷体"/>
          <w:sz w:val="32"/>
          <w:szCs w:val="32"/>
          <w:lang w:val="en-US" w:eastAsia="zh-CN"/>
        </w:rPr>
        <w:t>（二）观摩人员的批准。现场观摩人员由赛项执委会负责批准，观摩的时间、距离、方式由赛项执委会结合赛项实际情况，制定具体观摩方案，</w:t>
      </w:r>
      <w:bookmarkStart w:id="0" w:name="_GoBack"/>
      <w:bookmarkEnd w:id="0"/>
      <w:r>
        <w:rPr>
          <w:rFonts w:hint="default" w:ascii="楷体" w:hAnsi="楷体" w:eastAsia="楷体" w:cs="楷体"/>
          <w:sz w:val="32"/>
          <w:szCs w:val="32"/>
          <w:lang w:val="en-US" w:eastAsia="zh-CN"/>
        </w:rPr>
        <w:t xml:space="preserve">并报备大赛执委会办公室。 </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default" w:ascii="楷体" w:hAnsi="楷体" w:eastAsia="楷体" w:cs="楷体"/>
          <w:sz w:val="32"/>
          <w:szCs w:val="32"/>
          <w:lang w:val="en-US" w:eastAsia="zh-CN"/>
        </w:rPr>
        <w:sectPr>
          <w:footerReference r:id="rId7" w:type="default"/>
          <w:pgSz w:w="11906" w:h="16839"/>
          <w:pgMar w:top="1431" w:right="1785" w:bottom="1364" w:left="1785" w:header="0" w:footer="1111" w:gutter="0"/>
          <w:cols w:space="720" w:num="1"/>
        </w:sectPr>
      </w:pPr>
      <w:r>
        <w:rPr>
          <w:rFonts w:hint="default" w:ascii="楷体" w:hAnsi="楷体" w:eastAsia="楷体" w:cs="楷体"/>
          <w:sz w:val="32"/>
          <w:szCs w:val="32"/>
          <w:lang w:val="en-US" w:eastAsia="zh-CN"/>
        </w:rPr>
        <w:t>（三）观摩要求。现场观摩人员不得干扰竞赛过程，不得同参赛选手、裁判交流，不得传递信息，不得采录竞赛现场数据资料，不得影响比赛的正常进行。</w:t>
      </w:r>
    </w:p>
    <w:p>
      <w:pPr>
        <w:rPr>
          <w:rFonts w:hint="eastAsia"/>
          <w:lang w:eastAsia="zh-CN"/>
        </w:rPr>
      </w:pPr>
    </w:p>
    <w:sectPr>
      <w:footerReference r:id="rId8" w:type="default"/>
      <w:footerReference r:id="rId9" w:type="even"/>
      <w:pgSz w:w="11906" w:h="16838"/>
      <w:pgMar w:top="1440" w:right="1080" w:bottom="1440" w:left="1080" w:header="851" w:footer="992"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Calibri Light">
    <w:panose1 w:val="020F03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_GBK">
    <w:altName w:val="微软雅黑"/>
    <w:panose1 w:val="02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1" w:lineRule="auto"/>
      <w:ind w:left="4159"/>
      <w:rPr>
        <w:rFonts w:ascii="Times New Roman" w:hAnsi="Times New Roman" w:eastAsia="Times New Roman" w:cs="Times New Roman"/>
        <w:sz w:val="28"/>
        <w:szCs w:val="28"/>
      </w:rPr>
    </w:pPr>
    <w:r>
      <w:rPr>
        <w:rFonts w:ascii="Times New Roman" w:hAnsi="Times New Roman" w:eastAsia="Times New Roman" w:cs="Times New Roman"/>
        <w:sz w:val="28"/>
        <w:szCs w:val="28"/>
      </w:rPr>
      <w:t>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1" w:lineRule="auto"/>
      <w:ind w:left="4201"/>
      <w:rPr>
        <w:rFonts w:ascii="Times New Roman" w:hAnsi="Times New Roman" w:eastAsia="Times New Roman" w:cs="Times New Roman"/>
        <w:sz w:val="28"/>
        <w:szCs w:val="28"/>
      </w:rPr>
    </w:pPr>
    <w:r>
      <w:rPr>
        <w:rFonts w:ascii="Times New Roman" w:hAnsi="Times New Roman" w:eastAsia="Times New Roman" w:cs="Times New Roman"/>
        <w:spacing w:val="-16"/>
        <w:sz w:val="28"/>
        <w:szCs w:val="28"/>
      </w:rPr>
      <w:t>10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1" w:lineRule="auto"/>
      <w:ind w:left="4102"/>
      <w:rPr>
        <w:rFonts w:ascii="Times New Roman" w:hAnsi="Times New Roman" w:eastAsia="Times New Roman" w:cs="Times New Roman"/>
        <w:sz w:val="28"/>
        <w:szCs w:val="28"/>
      </w:rPr>
    </w:pPr>
    <w:r>
      <w:rPr>
        <w:rFonts w:ascii="Times New Roman" w:hAnsi="Times New Roman" w:eastAsia="Times New Roman" w:cs="Times New Roman"/>
        <w:spacing w:val="-16"/>
        <w:sz w:val="28"/>
        <w:szCs w:val="28"/>
      </w:rPr>
      <w:t>15</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1" w:lineRule="auto"/>
      <w:ind w:left="4201"/>
      <w:rPr>
        <w:rFonts w:ascii="Times New Roman" w:hAnsi="Times New Roman" w:eastAsia="Times New Roman" w:cs="Times New Roman"/>
        <w:sz w:val="28"/>
        <w:szCs w:val="28"/>
      </w:rPr>
    </w:pPr>
    <w:r>
      <w:rPr>
        <w:rFonts w:ascii="Times New Roman" w:hAnsi="Times New Roman" w:eastAsia="Times New Roman" w:cs="Times New Roman"/>
        <w:spacing w:val="-16"/>
        <w:sz w:val="28"/>
        <w:szCs w:val="28"/>
      </w:rPr>
      <w:t>16</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1" w:lineRule="auto"/>
      <w:ind w:left="4076"/>
      <w:rPr>
        <w:rFonts w:ascii="Times New Roman" w:hAnsi="Times New Roman" w:eastAsia="Times New Roman" w:cs="Times New Roman"/>
        <w:sz w:val="28"/>
        <w:szCs w:val="28"/>
      </w:rPr>
    </w:pPr>
    <w:r>
      <w:rPr>
        <w:rFonts w:ascii="Times New Roman" w:hAnsi="Times New Roman" w:eastAsia="Times New Roman" w:cs="Times New Roman"/>
        <w:spacing w:val="-2"/>
        <w:sz w:val="28"/>
        <w:szCs w:val="28"/>
      </w:rPr>
      <w:t>23</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center" w:y="1"/>
      <w:rPr>
        <w:rStyle w:val="16"/>
      </w:rPr>
    </w:pPr>
    <w:r>
      <w:fldChar w:fldCharType="begin"/>
    </w:r>
    <w:r>
      <w:rPr>
        <w:rStyle w:val="16"/>
      </w:rPr>
      <w:instrText xml:space="preserve">PAGE  </w:instrText>
    </w:r>
    <w:r>
      <w:fldChar w:fldCharType="separate"/>
    </w:r>
    <w:r>
      <w:rPr>
        <w:rStyle w:val="16"/>
      </w:rPr>
      <w:t>30</w:t>
    </w:r>
    <w:r>
      <w:fldChar w:fldCharType="end"/>
    </w:r>
  </w:p>
  <w:p>
    <w:pPr>
      <w:pStyle w:val="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center" w:y="1"/>
      <w:rPr>
        <w:rStyle w:val="16"/>
      </w:rPr>
    </w:pPr>
    <w:r>
      <w:fldChar w:fldCharType="begin"/>
    </w:r>
    <w:r>
      <w:rPr>
        <w:rStyle w:val="16"/>
      </w:rPr>
      <w:instrText xml:space="preserve">PAGE  </w:instrText>
    </w:r>
    <w:r>
      <w:fldChar w:fldCharType="end"/>
    </w:r>
  </w:p>
  <w:p>
    <w:pPr>
      <w:pStyle w:val="8"/>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I1ZmIyMGU2YTQzM2FiNDM2MjgwYzM3ZDNmZjA3NjcifQ=="/>
  </w:docVars>
  <w:rsids>
    <w:rsidRoot w:val="007A168C"/>
    <w:rsid w:val="0000069D"/>
    <w:rsid w:val="00002BF4"/>
    <w:rsid w:val="00006C2C"/>
    <w:rsid w:val="00007550"/>
    <w:rsid w:val="00010A65"/>
    <w:rsid w:val="0001144D"/>
    <w:rsid w:val="000160DB"/>
    <w:rsid w:val="0002571D"/>
    <w:rsid w:val="00035D45"/>
    <w:rsid w:val="000412F6"/>
    <w:rsid w:val="000413B8"/>
    <w:rsid w:val="00042048"/>
    <w:rsid w:val="00042C41"/>
    <w:rsid w:val="00044AC4"/>
    <w:rsid w:val="00045B24"/>
    <w:rsid w:val="000555CF"/>
    <w:rsid w:val="00055EE5"/>
    <w:rsid w:val="00062721"/>
    <w:rsid w:val="0006296D"/>
    <w:rsid w:val="00072CA8"/>
    <w:rsid w:val="00077095"/>
    <w:rsid w:val="0007742A"/>
    <w:rsid w:val="00091617"/>
    <w:rsid w:val="00093429"/>
    <w:rsid w:val="0009555F"/>
    <w:rsid w:val="000A0277"/>
    <w:rsid w:val="000A6259"/>
    <w:rsid w:val="000B0347"/>
    <w:rsid w:val="000B1098"/>
    <w:rsid w:val="000B298D"/>
    <w:rsid w:val="000B50D5"/>
    <w:rsid w:val="000C0428"/>
    <w:rsid w:val="000C5CEF"/>
    <w:rsid w:val="000D12A7"/>
    <w:rsid w:val="000D3E1A"/>
    <w:rsid w:val="000E1E33"/>
    <w:rsid w:val="000E21CF"/>
    <w:rsid w:val="000E22F1"/>
    <w:rsid w:val="000E3F75"/>
    <w:rsid w:val="000E4B14"/>
    <w:rsid w:val="000F0D76"/>
    <w:rsid w:val="000F1F3D"/>
    <w:rsid w:val="000F301C"/>
    <w:rsid w:val="000F7BD0"/>
    <w:rsid w:val="00101976"/>
    <w:rsid w:val="001027E6"/>
    <w:rsid w:val="001111B1"/>
    <w:rsid w:val="0011245C"/>
    <w:rsid w:val="00112571"/>
    <w:rsid w:val="001138F8"/>
    <w:rsid w:val="001319A2"/>
    <w:rsid w:val="00131CFC"/>
    <w:rsid w:val="001333D2"/>
    <w:rsid w:val="00133D2A"/>
    <w:rsid w:val="00136159"/>
    <w:rsid w:val="00137A10"/>
    <w:rsid w:val="00142381"/>
    <w:rsid w:val="00150C04"/>
    <w:rsid w:val="001533F2"/>
    <w:rsid w:val="0015376C"/>
    <w:rsid w:val="00154358"/>
    <w:rsid w:val="001544EB"/>
    <w:rsid w:val="001548C1"/>
    <w:rsid w:val="00156D8D"/>
    <w:rsid w:val="001603ED"/>
    <w:rsid w:val="00160416"/>
    <w:rsid w:val="001607D8"/>
    <w:rsid w:val="00161C0A"/>
    <w:rsid w:val="0016469B"/>
    <w:rsid w:val="00165A2A"/>
    <w:rsid w:val="00165C7C"/>
    <w:rsid w:val="00165CE3"/>
    <w:rsid w:val="0017069C"/>
    <w:rsid w:val="00170C1B"/>
    <w:rsid w:val="00170DFE"/>
    <w:rsid w:val="001732F8"/>
    <w:rsid w:val="00173CB1"/>
    <w:rsid w:val="00173F41"/>
    <w:rsid w:val="00181C7E"/>
    <w:rsid w:val="001829D5"/>
    <w:rsid w:val="0018340C"/>
    <w:rsid w:val="00184B53"/>
    <w:rsid w:val="001857E7"/>
    <w:rsid w:val="00187FE2"/>
    <w:rsid w:val="001913A8"/>
    <w:rsid w:val="001960DE"/>
    <w:rsid w:val="001961E5"/>
    <w:rsid w:val="001979A6"/>
    <w:rsid w:val="001A1280"/>
    <w:rsid w:val="001A56D0"/>
    <w:rsid w:val="001A5AE5"/>
    <w:rsid w:val="001A6EB0"/>
    <w:rsid w:val="001A6FCC"/>
    <w:rsid w:val="001A74E5"/>
    <w:rsid w:val="001B09F4"/>
    <w:rsid w:val="001B1240"/>
    <w:rsid w:val="001B1948"/>
    <w:rsid w:val="001B3ED2"/>
    <w:rsid w:val="001B524D"/>
    <w:rsid w:val="001B639D"/>
    <w:rsid w:val="001C3A5B"/>
    <w:rsid w:val="001C45B3"/>
    <w:rsid w:val="001D16B5"/>
    <w:rsid w:val="001D283D"/>
    <w:rsid w:val="001D7223"/>
    <w:rsid w:val="001D7E1C"/>
    <w:rsid w:val="001E0CCA"/>
    <w:rsid w:val="001E4836"/>
    <w:rsid w:val="001E6E96"/>
    <w:rsid w:val="001E78A4"/>
    <w:rsid w:val="001F074B"/>
    <w:rsid w:val="001F10C3"/>
    <w:rsid w:val="001F255B"/>
    <w:rsid w:val="001F2A60"/>
    <w:rsid w:val="001F3BFC"/>
    <w:rsid w:val="001F51F4"/>
    <w:rsid w:val="001F692E"/>
    <w:rsid w:val="001F6FBC"/>
    <w:rsid w:val="00200BC6"/>
    <w:rsid w:val="00206A1B"/>
    <w:rsid w:val="0020769F"/>
    <w:rsid w:val="00207898"/>
    <w:rsid w:val="0021125D"/>
    <w:rsid w:val="00214C72"/>
    <w:rsid w:val="00216DF3"/>
    <w:rsid w:val="0021721D"/>
    <w:rsid w:val="00223375"/>
    <w:rsid w:val="002237AE"/>
    <w:rsid w:val="0022473B"/>
    <w:rsid w:val="00227CDF"/>
    <w:rsid w:val="002309CD"/>
    <w:rsid w:val="00234108"/>
    <w:rsid w:val="00235C17"/>
    <w:rsid w:val="0024089B"/>
    <w:rsid w:val="0024227E"/>
    <w:rsid w:val="002434E6"/>
    <w:rsid w:val="00243715"/>
    <w:rsid w:val="00244E89"/>
    <w:rsid w:val="002463B5"/>
    <w:rsid w:val="002476F7"/>
    <w:rsid w:val="002538D6"/>
    <w:rsid w:val="0025506B"/>
    <w:rsid w:val="00260079"/>
    <w:rsid w:val="002703BF"/>
    <w:rsid w:val="00274BA4"/>
    <w:rsid w:val="00274BD7"/>
    <w:rsid w:val="002761F2"/>
    <w:rsid w:val="002804AE"/>
    <w:rsid w:val="00280E15"/>
    <w:rsid w:val="00284E57"/>
    <w:rsid w:val="00292C57"/>
    <w:rsid w:val="00293DCC"/>
    <w:rsid w:val="002A3C1D"/>
    <w:rsid w:val="002A68D0"/>
    <w:rsid w:val="002B069D"/>
    <w:rsid w:val="002B192B"/>
    <w:rsid w:val="002B2201"/>
    <w:rsid w:val="002B2240"/>
    <w:rsid w:val="002B30D8"/>
    <w:rsid w:val="002B4C30"/>
    <w:rsid w:val="002C449D"/>
    <w:rsid w:val="002C5D0F"/>
    <w:rsid w:val="002D0DC0"/>
    <w:rsid w:val="002D1E2E"/>
    <w:rsid w:val="002E052C"/>
    <w:rsid w:val="002E527C"/>
    <w:rsid w:val="002E6E57"/>
    <w:rsid w:val="002E7B46"/>
    <w:rsid w:val="002F0685"/>
    <w:rsid w:val="002F27C6"/>
    <w:rsid w:val="002F3F1B"/>
    <w:rsid w:val="002F4E4E"/>
    <w:rsid w:val="002F5194"/>
    <w:rsid w:val="00302A1A"/>
    <w:rsid w:val="00304374"/>
    <w:rsid w:val="003049F2"/>
    <w:rsid w:val="00306005"/>
    <w:rsid w:val="00313EAC"/>
    <w:rsid w:val="00314B3D"/>
    <w:rsid w:val="00315F19"/>
    <w:rsid w:val="003262A3"/>
    <w:rsid w:val="00333193"/>
    <w:rsid w:val="00333369"/>
    <w:rsid w:val="00335E49"/>
    <w:rsid w:val="0033653C"/>
    <w:rsid w:val="00345A72"/>
    <w:rsid w:val="00350F7A"/>
    <w:rsid w:val="00351908"/>
    <w:rsid w:val="00357C89"/>
    <w:rsid w:val="00361EB9"/>
    <w:rsid w:val="003630D8"/>
    <w:rsid w:val="00363269"/>
    <w:rsid w:val="003755C5"/>
    <w:rsid w:val="003757FB"/>
    <w:rsid w:val="00380680"/>
    <w:rsid w:val="00382431"/>
    <w:rsid w:val="0038650D"/>
    <w:rsid w:val="00390C10"/>
    <w:rsid w:val="00394565"/>
    <w:rsid w:val="00397A33"/>
    <w:rsid w:val="003A18BA"/>
    <w:rsid w:val="003A1DFD"/>
    <w:rsid w:val="003A2851"/>
    <w:rsid w:val="003A2F6C"/>
    <w:rsid w:val="003A348C"/>
    <w:rsid w:val="003A3818"/>
    <w:rsid w:val="003A5C2E"/>
    <w:rsid w:val="003A5DF5"/>
    <w:rsid w:val="003A644E"/>
    <w:rsid w:val="003A6F33"/>
    <w:rsid w:val="003A7CBE"/>
    <w:rsid w:val="003B14CE"/>
    <w:rsid w:val="003B5BEE"/>
    <w:rsid w:val="003B6719"/>
    <w:rsid w:val="003B6C75"/>
    <w:rsid w:val="003C07BB"/>
    <w:rsid w:val="003C1D51"/>
    <w:rsid w:val="003C3F76"/>
    <w:rsid w:val="003C4943"/>
    <w:rsid w:val="003C5685"/>
    <w:rsid w:val="003C78E3"/>
    <w:rsid w:val="003D3C26"/>
    <w:rsid w:val="003D70DF"/>
    <w:rsid w:val="003E02C1"/>
    <w:rsid w:val="003E2069"/>
    <w:rsid w:val="003E28A2"/>
    <w:rsid w:val="003E32FF"/>
    <w:rsid w:val="003E3702"/>
    <w:rsid w:val="003E5E7A"/>
    <w:rsid w:val="003E7D36"/>
    <w:rsid w:val="003F0F29"/>
    <w:rsid w:val="003F29DA"/>
    <w:rsid w:val="003F3508"/>
    <w:rsid w:val="003F551B"/>
    <w:rsid w:val="003F7B3B"/>
    <w:rsid w:val="00402E3B"/>
    <w:rsid w:val="00406139"/>
    <w:rsid w:val="0040735B"/>
    <w:rsid w:val="00410854"/>
    <w:rsid w:val="00411804"/>
    <w:rsid w:val="00412253"/>
    <w:rsid w:val="00412AE6"/>
    <w:rsid w:val="004160ED"/>
    <w:rsid w:val="00420D54"/>
    <w:rsid w:val="0042448E"/>
    <w:rsid w:val="00426E62"/>
    <w:rsid w:val="00426F75"/>
    <w:rsid w:val="004272AF"/>
    <w:rsid w:val="0043230E"/>
    <w:rsid w:val="004324C3"/>
    <w:rsid w:val="00445262"/>
    <w:rsid w:val="004467F7"/>
    <w:rsid w:val="00447EC5"/>
    <w:rsid w:val="00455526"/>
    <w:rsid w:val="004564F2"/>
    <w:rsid w:val="0045707B"/>
    <w:rsid w:val="00460F49"/>
    <w:rsid w:val="0046352D"/>
    <w:rsid w:val="00463890"/>
    <w:rsid w:val="00465CF6"/>
    <w:rsid w:val="00471F0A"/>
    <w:rsid w:val="00472B38"/>
    <w:rsid w:val="0047333E"/>
    <w:rsid w:val="004739B1"/>
    <w:rsid w:val="00476A96"/>
    <w:rsid w:val="004927BC"/>
    <w:rsid w:val="00493399"/>
    <w:rsid w:val="0049519E"/>
    <w:rsid w:val="0049570E"/>
    <w:rsid w:val="00497056"/>
    <w:rsid w:val="0049798E"/>
    <w:rsid w:val="004A7B5E"/>
    <w:rsid w:val="004B32D2"/>
    <w:rsid w:val="004B5866"/>
    <w:rsid w:val="004B73E3"/>
    <w:rsid w:val="004B7A79"/>
    <w:rsid w:val="004C197F"/>
    <w:rsid w:val="004C258D"/>
    <w:rsid w:val="004C5BE0"/>
    <w:rsid w:val="004C66F7"/>
    <w:rsid w:val="004D38FE"/>
    <w:rsid w:val="004D7B9E"/>
    <w:rsid w:val="004E0930"/>
    <w:rsid w:val="004E3F95"/>
    <w:rsid w:val="004F09D3"/>
    <w:rsid w:val="004F120B"/>
    <w:rsid w:val="004F46B8"/>
    <w:rsid w:val="004F657B"/>
    <w:rsid w:val="004F6B07"/>
    <w:rsid w:val="004F7E11"/>
    <w:rsid w:val="005002E8"/>
    <w:rsid w:val="005004F4"/>
    <w:rsid w:val="00501256"/>
    <w:rsid w:val="00502281"/>
    <w:rsid w:val="00502990"/>
    <w:rsid w:val="00503CEE"/>
    <w:rsid w:val="005050F6"/>
    <w:rsid w:val="005108C2"/>
    <w:rsid w:val="00512D38"/>
    <w:rsid w:val="00514597"/>
    <w:rsid w:val="00515B4D"/>
    <w:rsid w:val="00516447"/>
    <w:rsid w:val="00521878"/>
    <w:rsid w:val="00521F9C"/>
    <w:rsid w:val="00522D40"/>
    <w:rsid w:val="00524238"/>
    <w:rsid w:val="00525297"/>
    <w:rsid w:val="00530218"/>
    <w:rsid w:val="005317D3"/>
    <w:rsid w:val="00531B23"/>
    <w:rsid w:val="00537711"/>
    <w:rsid w:val="00537ABB"/>
    <w:rsid w:val="00543328"/>
    <w:rsid w:val="0054369F"/>
    <w:rsid w:val="005512F7"/>
    <w:rsid w:val="00553E2A"/>
    <w:rsid w:val="00560146"/>
    <w:rsid w:val="00562813"/>
    <w:rsid w:val="005630F9"/>
    <w:rsid w:val="00564756"/>
    <w:rsid w:val="00564E83"/>
    <w:rsid w:val="00566407"/>
    <w:rsid w:val="00567126"/>
    <w:rsid w:val="005707A1"/>
    <w:rsid w:val="005726F7"/>
    <w:rsid w:val="00572C2E"/>
    <w:rsid w:val="00573791"/>
    <w:rsid w:val="005739C4"/>
    <w:rsid w:val="00580155"/>
    <w:rsid w:val="00586DAB"/>
    <w:rsid w:val="00587805"/>
    <w:rsid w:val="00587B43"/>
    <w:rsid w:val="005946BD"/>
    <w:rsid w:val="00594B3A"/>
    <w:rsid w:val="005A1E78"/>
    <w:rsid w:val="005A4511"/>
    <w:rsid w:val="005A5164"/>
    <w:rsid w:val="005B1532"/>
    <w:rsid w:val="005B2C55"/>
    <w:rsid w:val="005B77FF"/>
    <w:rsid w:val="005C0D4F"/>
    <w:rsid w:val="005C0F9B"/>
    <w:rsid w:val="005C3BAA"/>
    <w:rsid w:val="005D1220"/>
    <w:rsid w:val="005D40B4"/>
    <w:rsid w:val="005E01FC"/>
    <w:rsid w:val="005E12D3"/>
    <w:rsid w:val="005E7778"/>
    <w:rsid w:val="005F02CF"/>
    <w:rsid w:val="005F4F48"/>
    <w:rsid w:val="00600090"/>
    <w:rsid w:val="0060216C"/>
    <w:rsid w:val="0060245E"/>
    <w:rsid w:val="006041CC"/>
    <w:rsid w:val="006060F6"/>
    <w:rsid w:val="00607A40"/>
    <w:rsid w:val="00610D6F"/>
    <w:rsid w:val="0061213A"/>
    <w:rsid w:val="00623B24"/>
    <w:rsid w:val="00626317"/>
    <w:rsid w:val="006268C1"/>
    <w:rsid w:val="00630925"/>
    <w:rsid w:val="00632756"/>
    <w:rsid w:val="00634F26"/>
    <w:rsid w:val="0063701F"/>
    <w:rsid w:val="0064288C"/>
    <w:rsid w:val="00644559"/>
    <w:rsid w:val="00644AC8"/>
    <w:rsid w:val="00644C50"/>
    <w:rsid w:val="00656C4C"/>
    <w:rsid w:val="00661C80"/>
    <w:rsid w:val="00663410"/>
    <w:rsid w:val="00664F77"/>
    <w:rsid w:val="00665EC7"/>
    <w:rsid w:val="00667485"/>
    <w:rsid w:val="006705D1"/>
    <w:rsid w:val="00671BD1"/>
    <w:rsid w:val="006735AC"/>
    <w:rsid w:val="006767DC"/>
    <w:rsid w:val="0068031F"/>
    <w:rsid w:val="00680864"/>
    <w:rsid w:val="0068130B"/>
    <w:rsid w:val="00684E52"/>
    <w:rsid w:val="00687C7C"/>
    <w:rsid w:val="00692E08"/>
    <w:rsid w:val="00693620"/>
    <w:rsid w:val="00694E3A"/>
    <w:rsid w:val="006A32EB"/>
    <w:rsid w:val="006B1859"/>
    <w:rsid w:val="006B7E81"/>
    <w:rsid w:val="006C05B1"/>
    <w:rsid w:val="006C0AAD"/>
    <w:rsid w:val="006C1D31"/>
    <w:rsid w:val="006D1B22"/>
    <w:rsid w:val="006D3611"/>
    <w:rsid w:val="006E519F"/>
    <w:rsid w:val="006F058E"/>
    <w:rsid w:val="006F0AE3"/>
    <w:rsid w:val="00700833"/>
    <w:rsid w:val="007019C6"/>
    <w:rsid w:val="007021F4"/>
    <w:rsid w:val="00702EDD"/>
    <w:rsid w:val="00702F05"/>
    <w:rsid w:val="00704D9B"/>
    <w:rsid w:val="00705373"/>
    <w:rsid w:val="0071040D"/>
    <w:rsid w:val="0071042D"/>
    <w:rsid w:val="007108F6"/>
    <w:rsid w:val="007109C8"/>
    <w:rsid w:val="00714956"/>
    <w:rsid w:val="00714B9E"/>
    <w:rsid w:val="00715211"/>
    <w:rsid w:val="007200E5"/>
    <w:rsid w:val="00720A21"/>
    <w:rsid w:val="00721766"/>
    <w:rsid w:val="00725368"/>
    <w:rsid w:val="007268B8"/>
    <w:rsid w:val="0072774F"/>
    <w:rsid w:val="0073219A"/>
    <w:rsid w:val="007350F1"/>
    <w:rsid w:val="00735F3E"/>
    <w:rsid w:val="00741150"/>
    <w:rsid w:val="007434AC"/>
    <w:rsid w:val="0074749C"/>
    <w:rsid w:val="00750941"/>
    <w:rsid w:val="00752429"/>
    <w:rsid w:val="00761470"/>
    <w:rsid w:val="007644B8"/>
    <w:rsid w:val="00770492"/>
    <w:rsid w:val="00771890"/>
    <w:rsid w:val="00775D1D"/>
    <w:rsid w:val="007823D6"/>
    <w:rsid w:val="00783615"/>
    <w:rsid w:val="00784BC5"/>
    <w:rsid w:val="00786AD6"/>
    <w:rsid w:val="0079239D"/>
    <w:rsid w:val="00792C4F"/>
    <w:rsid w:val="00794A68"/>
    <w:rsid w:val="007A168C"/>
    <w:rsid w:val="007A39FE"/>
    <w:rsid w:val="007A76CA"/>
    <w:rsid w:val="007A7CF8"/>
    <w:rsid w:val="007B5FB4"/>
    <w:rsid w:val="007B6E65"/>
    <w:rsid w:val="007C0C89"/>
    <w:rsid w:val="007C2B42"/>
    <w:rsid w:val="007C2D8F"/>
    <w:rsid w:val="007C4227"/>
    <w:rsid w:val="007C6062"/>
    <w:rsid w:val="007C6B3A"/>
    <w:rsid w:val="007D36AD"/>
    <w:rsid w:val="007D4FE1"/>
    <w:rsid w:val="007E1FEE"/>
    <w:rsid w:val="007E515E"/>
    <w:rsid w:val="007E7D4F"/>
    <w:rsid w:val="007F2B8B"/>
    <w:rsid w:val="007F44CC"/>
    <w:rsid w:val="007F58F8"/>
    <w:rsid w:val="00800784"/>
    <w:rsid w:val="00801339"/>
    <w:rsid w:val="00801F76"/>
    <w:rsid w:val="00802C41"/>
    <w:rsid w:val="008113B4"/>
    <w:rsid w:val="00812EBB"/>
    <w:rsid w:val="00813771"/>
    <w:rsid w:val="008167BB"/>
    <w:rsid w:val="00823B3C"/>
    <w:rsid w:val="00825CEE"/>
    <w:rsid w:val="00826382"/>
    <w:rsid w:val="00831EC8"/>
    <w:rsid w:val="00833915"/>
    <w:rsid w:val="00834A9D"/>
    <w:rsid w:val="00840858"/>
    <w:rsid w:val="008409ED"/>
    <w:rsid w:val="00842D56"/>
    <w:rsid w:val="00851516"/>
    <w:rsid w:val="00854DFE"/>
    <w:rsid w:val="008617F5"/>
    <w:rsid w:val="008619C0"/>
    <w:rsid w:val="00863AFB"/>
    <w:rsid w:val="00864150"/>
    <w:rsid w:val="00867B0B"/>
    <w:rsid w:val="00867B1A"/>
    <w:rsid w:val="008703C9"/>
    <w:rsid w:val="0087084E"/>
    <w:rsid w:val="008716D9"/>
    <w:rsid w:val="00874C13"/>
    <w:rsid w:val="00874C30"/>
    <w:rsid w:val="00876EDE"/>
    <w:rsid w:val="0087754F"/>
    <w:rsid w:val="00885C27"/>
    <w:rsid w:val="00890C59"/>
    <w:rsid w:val="008918E1"/>
    <w:rsid w:val="0089523D"/>
    <w:rsid w:val="00895D81"/>
    <w:rsid w:val="008A0BCC"/>
    <w:rsid w:val="008A26F2"/>
    <w:rsid w:val="008A39B7"/>
    <w:rsid w:val="008A4FE2"/>
    <w:rsid w:val="008A69EE"/>
    <w:rsid w:val="008B29A5"/>
    <w:rsid w:val="008B485E"/>
    <w:rsid w:val="008B7DB8"/>
    <w:rsid w:val="008C276C"/>
    <w:rsid w:val="008C59CF"/>
    <w:rsid w:val="008C67B5"/>
    <w:rsid w:val="008C7417"/>
    <w:rsid w:val="008D3820"/>
    <w:rsid w:val="008E343B"/>
    <w:rsid w:val="008E7BEF"/>
    <w:rsid w:val="008F3FF9"/>
    <w:rsid w:val="0090035D"/>
    <w:rsid w:val="0090540B"/>
    <w:rsid w:val="00906109"/>
    <w:rsid w:val="00907DDB"/>
    <w:rsid w:val="00915C5A"/>
    <w:rsid w:val="009232CD"/>
    <w:rsid w:val="009260CA"/>
    <w:rsid w:val="00927086"/>
    <w:rsid w:val="0093110A"/>
    <w:rsid w:val="009317DC"/>
    <w:rsid w:val="0093192A"/>
    <w:rsid w:val="00931970"/>
    <w:rsid w:val="009329E9"/>
    <w:rsid w:val="009349FF"/>
    <w:rsid w:val="0093504A"/>
    <w:rsid w:val="00935AC1"/>
    <w:rsid w:val="00936EE9"/>
    <w:rsid w:val="00937C22"/>
    <w:rsid w:val="009405B9"/>
    <w:rsid w:val="0094061D"/>
    <w:rsid w:val="009437A8"/>
    <w:rsid w:val="0094400C"/>
    <w:rsid w:val="00945493"/>
    <w:rsid w:val="00947E23"/>
    <w:rsid w:val="009506C2"/>
    <w:rsid w:val="0095075F"/>
    <w:rsid w:val="0095331A"/>
    <w:rsid w:val="00954055"/>
    <w:rsid w:val="00955672"/>
    <w:rsid w:val="00955DA3"/>
    <w:rsid w:val="00957656"/>
    <w:rsid w:val="00957FEE"/>
    <w:rsid w:val="0096175C"/>
    <w:rsid w:val="0096209B"/>
    <w:rsid w:val="00963F24"/>
    <w:rsid w:val="00965BF4"/>
    <w:rsid w:val="00965DAA"/>
    <w:rsid w:val="009714EF"/>
    <w:rsid w:val="00971C9C"/>
    <w:rsid w:val="00972640"/>
    <w:rsid w:val="0097441E"/>
    <w:rsid w:val="00976901"/>
    <w:rsid w:val="0098266A"/>
    <w:rsid w:val="00982EB5"/>
    <w:rsid w:val="0098376C"/>
    <w:rsid w:val="00983A65"/>
    <w:rsid w:val="00983AC2"/>
    <w:rsid w:val="009852FA"/>
    <w:rsid w:val="00985EBE"/>
    <w:rsid w:val="00987A22"/>
    <w:rsid w:val="0099036E"/>
    <w:rsid w:val="00995D1E"/>
    <w:rsid w:val="009961AD"/>
    <w:rsid w:val="009A2F83"/>
    <w:rsid w:val="009A414C"/>
    <w:rsid w:val="009A4812"/>
    <w:rsid w:val="009A497D"/>
    <w:rsid w:val="009A4FA5"/>
    <w:rsid w:val="009A5F4D"/>
    <w:rsid w:val="009A6223"/>
    <w:rsid w:val="009B152D"/>
    <w:rsid w:val="009B1C61"/>
    <w:rsid w:val="009B2587"/>
    <w:rsid w:val="009B5E44"/>
    <w:rsid w:val="009B5EE4"/>
    <w:rsid w:val="009B7A61"/>
    <w:rsid w:val="009C0716"/>
    <w:rsid w:val="009C0F72"/>
    <w:rsid w:val="009C1470"/>
    <w:rsid w:val="009C3F58"/>
    <w:rsid w:val="009C5AAB"/>
    <w:rsid w:val="009C7A3B"/>
    <w:rsid w:val="009D38B4"/>
    <w:rsid w:val="009D4C66"/>
    <w:rsid w:val="009D604B"/>
    <w:rsid w:val="009D6131"/>
    <w:rsid w:val="009D6E1D"/>
    <w:rsid w:val="009E1477"/>
    <w:rsid w:val="009E2CC0"/>
    <w:rsid w:val="009E6DC2"/>
    <w:rsid w:val="009E6F70"/>
    <w:rsid w:val="009E7414"/>
    <w:rsid w:val="009E779E"/>
    <w:rsid w:val="009F19FF"/>
    <w:rsid w:val="009F1FDF"/>
    <w:rsid w:val="009F42CE"/>
    <w:rsid w:val="009F6399"/>
    <w:rsid w:val="00A03635"/>
    <w:rsid w:val="00A05A8E"/>
    <w:rsid w:val="00A07506"/>
    <w:rsid w:val="00A07545"/>
    <w:rsid w:val="00A11B57"/>
    <w:rsid w:val="00A17041"/>
    <w:rsid w:val="00A21A79"/>
    <w:rsid w:val="00A21B65"/>
    <w:rsid w:val="00A2325F"/>
    <w:rsid w:val="00A256C2"/>
    <w:rsid w:val="00A2758E"/>
    <w:rsid w:val="00A3506D"/>
    <w:rsid w:val="00A36BD3"/>
    <w:rsid w:val="00A37099"/>
    <w:rsid w:val="00A4156A"/>
    <w:rsid w:val="00A4774D"/>
    <w:rsid w:val="00A52A93"/>
    <w:rsid w:val="00A60E72"/>
    <w:rsid w:val="00A61A86"/>
    <w:rsid w:val="00A679A5"/>
    <w:rsid w:val="00A67CA1"/>
    <w:rsid w:val="00A71659"/>
    <w:rsid w:val="00A71833"/>
    <w:rsid w:val="00A7191A"/>
    <w:rsid w:val="00A725B3"/>
    <w:rsid w:val="00A7461A"/>
    <w:rsid w:val="00A77580"/>
    <w:rsid w:val="00A779CC"/>
    <w:rsid w:val="00A77F61"/>
    <w:rsid w:val="00A951D4"/>
    <w:rsid w:val="00AA259A"/>
    <w:rsid w:val="00AA3E6A"/>
    <w:rsid w:val="00AA6BB8"/>
    <w:rsid w:val="00AB45F1"/>
    <w:rsid w:val="00AB5520"/>
    <w:rsid w:val="00AB74B1"/>
    <w:rsid w:val="00AC0D43"/>
    <w:rsid w:val="00AC1340"/>
    <w:rsid w:val="00AC5D88"/>
    <w:rsid w:val="00AD3D0F"/>
    <w:rsid w:val="00AD753A"/>
    <w:rsid w:val="00AD77A1"/>
    <w:rsid w:val="00AD7FF6"/>
    <w:rsid w:val="00AE1243"/>
    <w:rsid w:val="00AE245F"/>
    <w:rsid w:val="00AE462D"/>
    <w:rsid w:val="00AE79D3"/>
    <w:rsid w:val="00AF2B1A"/>
    <w:rsid w:val="00AF45DB"/>
    <w:rsid w:val="00AF6907"/>
    <w:rsid w:val="00B002C1"/>
    <w:rsid w:val="00B002DD"/>
    <w:rsid w:val="00B0066C"/>
    <w:rsid w:val="00B00721"/>
    <w:rsid w:val="00B01EEF"/>
    <w:rsid w:val="00B02333"/>
    <w:rsid w:val="00B025BD"/>
    <w:rsid w:val="00B05D11"/>
    <w:rsid w:val="00B06A31"/>
    <w:rsid w:val="00B07EF2"/>
    <w:rsid w:val="00B12425"/>
    <w:rsid w:val="00B162FC"/>
    <w:rsid w:val="00B22809"/>
    <w:rsid w:val="00B306D9"/>
    <w:rsid w:val="00B3289A"/>
    <w:rsid w:val="00B3301A"/>
    <w:rsid w:val="00B35E60"/>
    <w:rsid w:val="00B36242"/>
    <w:rsid w:val="00B40D06"/>
    <w:rsid w:val="00B41634"/>
    <w:rsid w:val="00B424BE"/>
    <w:rsid w:val="00B42F5D"/>
    <w:rsid w:val="00B4458D"/>
    <w:rsid w:val="00B53E52"/>
    <w:rsid w:val="00B573DC"/>
    <w:rsid w:val="00B61012"/>
    <w:rsid w:val="00B6380F"/>
    <w:rsid w:val="00B638FF"/>
    <w:rsid w:val="00B66D60"/>
    <w:rsid w:val="00B72345"/>
    <w:rsid w:val="00B72475"/>
    <w:rsid w:val="00B729B7"/>
    <w:rsid w:val="00B75186"/>
    <w:rsid w:val="00B75EAB"/>
    <w:rsid w:val="00B76D8D"/>
    <w:rsid w:val="00B8007C"/>
    <w:rsid w:val="00B816A2"/>
    <w:rsid w:val="00B8253D"/>
    <w:rsid w:val="00B87A7D"/>
    <w:rsid w:val="00B9008C"/>
    <w:rsid w:val="00B91A66"/>
    <w:rsid w:val="00B91A8A"/>
    <w:rsid w:val="00B92632"/>
    <w:rsid w:val="00B94688"/>
    <w:rsid w:val="00B96334"/>
    <w:rsid w:val="00B97321"/>
    <w:rsid w:val="00BA16AE"/>
    <w:rsid w:val="00BA2E4D"/>
    <w:rsid w:val="00BA3EC4"/>
    <w:rsid w:val="00BA4688"/>
    <w:rsid w:val="00BA6EE7"/>
    <w:rsid w:val="00BA7EF7"/>
    <w:rsid w:val="00BB15D2"/>
    <w:rsid w:val="00BB15E4"/>
    <w:rsid w:val="00BB2ACA"/>
    <w:rsid w:val="00BB2AFA"/>
    <w:rsid w:val="00BB333C"/>
    <w:rsid w:val="00BB39A0"/>
    <w:rsid w:val="00BB3F69"/>
    <w:rsid w:val="00BB65F1"/>
    <w:rsid w:val="00BB6A08"/>
    <w:rsid w:val="00BC3DB9"/>
    <w:rsid w:val="00BC7251"/>
    <w:rsid w:val="00BD0A96"/>
    <w:rsid w:val="00BD2BEE"/>
    <w:rsid w:val="00BD48C1"/>
    <w:rsid w:val="00BD4A6C"/>
    <w:rsid w:val="00BD5563"/>
    <w:rsid w:val="00BD561A"/>
    <w:rsid w:val="00BE3544"/>
    <w:rsid w:val="00BE4EDA"/>
    <w:rsid w:val="00BE5848"/>
    <w:rsid w:val="00BE70EC"/>
    <w:rsid w:val="00BF05C8"/>
    <w:rsid w:val="00BF1312"/>
    <w:rsid w:val="00BF3C69"/>
    <w:rsid w:val="00BF48D8"/>
    <w:rsid w:val="00BF547A"/>
    <w:rsid w:val="00BF620D"/>
    <w:rsid w:val="00BF726E"/>
    <w:rsid w:val="00C00FC3"/>
    <w:rsid w:val="00C01DFD"/>
    <w:rsid w:val="00C056DB"/>
    <w:rsid w:val="00C057AD"/>
    <w:rsid w:val="00C06278"/>
    <w:rsid w:val="00C064D2"/>
    <w:rsid w:val="00C06D88"/>
    <w:rsid w:val="00C06FF6"/>
    <w:rsid w:val="00C07889"/>
    <w:rsid w:val="00C1046D"/>
    <w:rsid w:val="00C1065A"/>
    <w:rsid w:val="00C1315C"/>
    <w:rsid w:val="00C205D8"/>
    <w:rsid w:val="00C21315"/>
    <w:rsid w:val="00C255CF"/>
    <w:rsid w:val="00C2654F"/>
    <w:rsid w:val="00C26C47"/>
    <w:rsid w:val="00C33044"/>
    <w:rsid w:val="00C35FAB"/>
    <w:rsid w:val="00C411C9"/>
    <w:rsid w:val="00C445D1"/>
    <w:rsid w:val="00C45569"/>
    <w:rsid w:val="00C46413"/>
    <w:rsid w:val="00C50022"/>
    <w:rsid w:val="00C50E9C"/>
    <w:rsid w:val="00C52E97"/>
    <w:rsid w:val="00C55404"/>
    <w:rsid w:val="00C57AC2"/>
    <w:rsid w:val="00C57D91"/>
    <w:rsid w:val="00C64BBE"/>
    <w:rsid w:val="00C74003"/>
    <w:rsid w:val="00C77879"/>
    <w:rsid w:val="00C81906"/>
    <w:rsid w:val="00C83858"/>
    <w:rsid w:val="00C85A6E"/>
    <w:rsid w:val="00C85DE1"/>
    <w:rsid w:val="00C877BB"/>
    <w:rsid w:val="00CA0EAB"/>
    <w:rsid w:val="00CA52E5"/>
    <w:rsid w:val="00CA69F2"/>
    <w:rsid w:val="00CA71F7"/>
    <w:rsid w:val="00CA7453"/>
    <w:rsid w:val="00CB0646"/>
    <w:rsid w:val="00CB2A53"/>
    <w:rsid w:val="00CB3EB1"/>
    <w:rsid w:val="00CB43F2"/>
    <w:rsid w:val="00CB63A1"/>
    <w:rsid w:val="00CB69D0"/>
    <w:rsid w:val="00CB6E58"/>
    <w:rsid w:val="00CB745C"/>
    <w:rsid w:val="00CC037F"/>
    <w:rsid w:val="00CC29E2"/>
    <w:rsid w:val="00CC41AE"/>
    <w:rsid w:val="00CC52A8"/>
    <w:rsid w:val="00CC6C64"/>
    <w:rsid w:val="00CC71B9"/>
    <w:rsid w:val="00CD433A"/>
    <w:rsid w:val="00CD5C04"/>
    <w:rsid w:val="00CD6E9F"/>
    <w:rsid w:val="00CE35D6"/>
    <w:rsid w:val="00CE68F9"/>
    <w:rsid w:val="00CE6CC1"/>
    <w:rsid w:val="00CF5D0E"/>
    <w:rsid w:val="00CF7027"/>
    <w:rsid w:val="00D004C5"/>
    <w:rsid w:val="00D0141C"/>
    <w:rsid w:val="00D01C29"/>
    <w:rsid w:val="00D0361C"/>
    <w:rsid w:val="00D037C6"/>
    <w:rsid w:val="00D065C3"/>
    <w:rsid w:val="00D068C6"/>
    <w:rsid w:val="00D077E1"/>
    <w:rsid w:val="00D07BED"/>
    <w:rsid w:val="00D10772"/>
    <w:rsid w:val="00D1244F"/>
    <w:rsid w:val="00D14496"/>
    <w:rsid w:val="00D14E3F"/>
    <w:rsid w:val="00D1596C"/>
    <w:rsid w:val="00D15FBE"/>
    <w:rsid w:val="00D168BC"/>
    <w:rsid w:val="00D21291"/>
    <w:rsid w:val="00D2130A"/>
    <w:rsid w:val="00D23F46"/>
    <w:rsid w:val="00D24507"/>
    <w:rsid w:val="00D26FE3"/>
    <w:rsid w:val="00D30E3E"/>
    <w:rsid w:val="00D32CB3"/>
    <w:rsid w:val="00D400A8"/>
    <w:rsid w:val="00D42AAB"/>
    <w:rsid w:val="00D47255"/>
    <w:rsid w:val="00D473E9"/>
    <w:rsid w:val="00D50B33"/>
    <w:rsid w:val="00D526F6"/>
    <w:rsid w:val="00D53AC3"/>
    <w:rsid w:val="00D548C5"/>
    <w:rsid w:val="00D55D71"/>
    <w:rsid w:val="00D56362"/>
    <w:rsid w:val="00D57E66"/>
    <w:rsid w:val="00D612AD"/>
    <w:rsid w:val="00D61C79"/>
    <w:rsid w:val="00D7053E"/>
    <w:rsid w:val="00D743A8"/>
    <w:rsid w:val="00D74FD4"/>
    <w:rsid w:val="00D76505"/>
    <w:rsid w:val="00D82668"/>
    <w:rsid w:val="00D84234"/>
    <w:rsid w:val="00D970B3"/>
    <w:rsid w:val="00D976CB"/>
    <w:rsid w:val="00DA06A3"/>
    <w:rsid w:val="00DA395A"/>
    <w:rsid w:val="00DA547F"/>
    <w:rsid w:val="00DA55B5"/>
    <w:rsid w:val="00DA6DF6"/>
    <w:rsid w:val="00DA78E1"/>
    <w:rsid w:val="00DB124D"/>
    <w:rsid w:val="00DB1D74"/>
    <w:rsid w:val="00DB6296"/>
    <w:rsid w:val="00DB6E3E"/>
    <w:rsid w:val="00DC2D10"/>
    <w:rsid w:val="00DC7D70"/>
    <w:rsid w:val="00DC7EDB"/>
    <w:rsid w:val="00DD0582"/>
    <w:rsid w:val="00DD3188"/>
    <w:rsid w:val="00DD3588"/>
    <w:rsid w:val="00DD5236"/>
    <w:rsid w:val="00DE05A3"/>
    <w:rsid w:val="00DE0879"/>
    <w:rsid w:val="00DE2BEF"/>
    <w:rsid w:val="00DE3FEB"/>
    <w:rsid w:val="00DE5CF3"/>
    <w:rsid w:val="00DE78FA"/>
    <w:rsid w:val="00DF121A"/>
    <w:rsid w:val="00DF20B5"/>
    <w:rsid w:val="00DF2334"/>
    <w:rsid w:val="00DF3177"/>
    <w:rsid w:val="00DF5117"/>
    <w:rsid w:val="00E00AF9"/>
    <w:rsid w:val="00E04478"/>
    <w:rsid w:val="00E04AB6"/>
    <w:rsid w:val="00E0681A"/>
    <w:rsid w:val="00E1250C"/>
    <w:rsid w:val="00E14C1E"/>
    <w:rsid w:val="00E1510C"/>
    <w:rsid w:val="00E211EC"/>
    <w:rsid w:val="00E22D81"/>
    <w:rsid w:val="00E23848"/>
    <w:rsid w:val="00E23E6C"/>
    <w:rsid w:val="00E27105"/>
    <w:rsid w:val="00E33C4F"/>
    <w:rsid w:val="00E3486C"/>
    <w:rsid w:val="00E353D1"/>
    <w:rsid w:val="00E35D65"/>
    <w:rsid w:val="00E364F2"/>
    <w:rsid w:val="00E41770"/>
    <w:rsid w:val="00E41E73"/>
    <w:rsid w:val="00E438D0"/>
    <w:rsid w:val="00E51691"/>
    <w:rsid w:val="00E56BAC"/>
    <w:rsid w:val="00E56DD3"/>
    <w:rsid w:val="00E67DB3"/>
    <w:rsid w:val="00E711C3"/>
    <w:rsid w:val="00E72AAB"/>
    <w:rsid w:val="00E80D7B"/>
    <w:rsid w:val="00E81DD2"/>
    <w:rsid w:val="00E8340A"/>
    <w:rsid w:val="00E83C05"/>
    <w:rsid w:val="00E86C76"/>
    <w:rsid w:val="00E9043B"/>
    <w:rsid w:val="00E95675"/>
    <w:rsid w:val="00E959DB"/>
    <w:rsid w:val="00EA5B2B"/>
    <w:rsid w:val="00EA6534"/>
    <w:rsid w:val="00EA687E"/>
    <w:rsid w:val="00EB3E83"/>
    <w:rsid w:val="00EB43F3"/>
    <w:rsid w:val="00EB5D96"/>
    <w:rsid w:val="00EB6B3C"/>
    <w:rsid w:val="00EC4180"/>
    <w:rsid w:val="00ED7230"/>
    <w:rsid w:val="00EE23F2"/>
    <w:rsid w:val="00EE29EF"/>
    <w:rsid w:val="00EE467B"/>
    <w:rsid w:val="00EE775E"/>
    <w:rsid w:val="00EE7A9B"/>
    <w:rsid w:val="00EE7B03"/>
    <w:rsid w:val="00EF28CC"/>
    <w:rsid w:val="00EF28FE"/>
    <w:rsid w:val="00EF49B7"/>
    <w:rsid w:val="00EF5126"/>
    <w:rsid w:val="00EF6837"/>
    <w:rsid w:val="00F007D9"/>
    <w:rsid w:val="00F00B0C"/>
    <w:rsid w:val="00F015AB"/>
    <w:rsid w:val="00F0177B"/>
    <w:rsid w:val="00F03AD9"/>
    <w:rsid w:val="00F1331A"/>
    <w:rsid w:val="00F13BC1"/>
    <w:rsid w:val="00F17649"/>
    <w:rsid w:val="00F20ED3"/>
    <w:rsid w:val="00F22125"/>
    <w:rsid w:val="00F225DA"/>
    <w:rsid w:val="00F2381E"/>
    <w:rsid w:val="00F253FE"/>
    <w:rsid w:val="00F254ED"/>
    <w:rsid w:val="00F3253B"/>
    <w:rsid w:val="00F340B5"/>
    <w:rsid w:val="00F36B1C"/>
    <w:rsid w:val="00F40068"/>
    <w:rsid w:val="00F40A74"/>
    <w:rsid w:val="00F4300F"/>
    <w:rsid w:val="00F50513"/>
    <w:rsid w:val="00F50628"/>
    <w:rsid w:val="00F53382"/>
    <w:rsid w:val="00F546F1"/>
    <w:rsid w:val="00F55060"/>
    <w:rsid w:val="00F55D1A"/>
    <w:rsid w:val="00F56B09"/>
    <w:rsid w:val="00F57ABE"/>
    <w:rsid w:val="00F66D7A"/>
    <w:rsid w:val="00F67787"/>
    <w:rsid w:val="00F70546"/>
    <w:rsid w:val="00F70EE8"/>
    <w:rsid w:val="00F735C0"/>
    <w:rsid w:val="00F75165"/>
    <w:rsid w:val="00F815EE"/>
    <w:rsid w:val="00F90014"/>
    <w:rsid w:val="00F90434"/>
    <w:rsid w:val="00F90D67"/>
    <w:rsid w:val="00F9374D"/>
    <w:rsid w:val="00F95119"/>
    <w:rsid w:val="00F96C07"/>
    <w:rsid w:val="00FA08DE"/>
    <w:rsid w:val="00FA1F35"/>
    <w:rsid w:val="00FA298F"/>
    <w:rsid w:val="00FA46C4"/>
    <w:rsid w:val="00FA4FFB"/>
    <w:rsid w:val="00FB1BA1"/>
    <w:rsid w:val="00FB2FE0"/>
    <w:rsid w:val="00FB330D"/>
    <w:rsid w:val="00FB37FC"/>
    <w:rsid w:val="00FB3892"/>
    <w:rsid w:val="00FB4EC9"/>
    <w:rsid w:val="00FB5BFD"/>
    <w:rsid w:val="00FB5D66"/>
    <w:rsid w:val="00FB6213"/>
    <w:rsid w:val="00FB6B5F"/>
    <w:rsid w:val="00FD5C92"/>
    <w:rsid w:val="00FD6F67"/>
    <w:rsid w:val="00FE033C"/>
    <w:rsid w:val="00FE4EF4"/>
    <w:rsid w:val="00FE67DB"/>
    <w:rsid w:val="00FE758B"/>
    <w:rsid w:val="00FF5D4F"/>
    <w:rsid w:val="02783C24"/>
    <w:rsid w:val="02913320"/>
    <w:rsid w:val="02DB0C73"/>
    <w:rsid w:val="03DC515E"/>
    <w:rsid w:val="0458231F"/>
    <w:rsid w:val="050D54CC"/>
    <w:rsid w:val="096C651B"/>
    <w:rsid w:val="09F63A75"/>
    <w:rsid w:val="0BB74765"/>
    <w:rsid w:val="0D095FDF"/>
    <w:rsid w:val="0EDE5316"/>
    <w:rsid w:val="108A2472"/>
    <w:rsid w:val="10A16A11"/>
    <w:rsid w:val="12867E2D"/>
    <w:rsid w:val="13C779D4"/>
    <w:rsid w:val="1470236F"/>
    <w:rsid w:val="177D5739"/>
    <w:rsid w:val="18145A2F"/>
    <w:rsid w:val="18317AE9"/>
    <w:rsid w:val="18845888"/>
    <w:rsid w:val="196233A6"/>
    <w:rsid w:val="1A141B16"/>
    <w:rsid w:val="1AA347B0"/>
    <w:rsid w:val="1ADC3276"/>
    <w:rsid w:val="1C7845F3"/>
    <w:rsid w:val="1CE37891"/>
    <w:rsid w:val="1D704503"/>
    <w:rsid w:val="20BB043D"/>
    <w:rsid w:val="22CF5CE0"/>
    <w:rsid w:val="23BE461D"/>
    <w:rsid w:val="255E0D54"/>
    <w:rsid w:val="286E752C"/>
    <w:rsid w:val="296F42E9"/>
    <w:rsid w:val="2AB67C2D"/>
    <w:rsid w:val="2ADF3CE2"/>
    <w:rsid w:val="2BAF1BD9"/>
    <w:rsid w:val="30BE27AE"/>
    <w:rsid w:val="3217421E"/>
    <w:rsid w:val="32F023AC"/>
    <w:rsid w:val="34750B94"/>
    <w:rsid w:val="36105698"/>
    <w:rsid w:val="37DE0140"/>
    <w:rsid w:val="3C426B3B"/>
    <w:rsid w:val="3E5228DD"/>
    <w:rsid w:val="3F3155FB"/>
    <w:rsid w:val="3FA820E7"/>
    <w:rsid w:val="409D279A"/>
    <w:rsid w:val="409E2DE0"/>
    <w:rsid w:val="40AF376F"/>
    <w:rsid w:val="40B76E3C"/>
    <w:rsid w:val="42D40E7A"/>
    <w:rsid w:val="447F5C34"/>
    <w:rsid w:val="44DB61DA"/>
    <w:rsid w:val="462E25E6"/>
    <w:rsid w:val="46B024EC"/>
    <w:rsid w:val="4A5F3A25"/>
    <w:rsid w:val="4A8C3664"/>
    <w:rsid w:val="4B5D6821"/>
    <w:rsid w:val="4EF91513"/>
    <w:rsid w:val="4F6D5F64"/>
    <w:rsid w:val="51EA5392"/>
    <w:rsid w:val="54327512"/>
    <w:rsid w:val="55100979"/>
    <w:rsid w:val="558605B8"/>
    <w:rsid w:val="561A7844"/>
    <w:rsid w:val="562A274A"/>
    <w:rsid w:val="57BA09D4"/>
    <w:rsid w:val="5CA87B35"/>
    <w:rsid w:val="5CFA77C7"/>
    <w:rsid w:val="5E905550"/>
    <w:rsid w:val="61711FE5"/>
    <w:rsid w:val="628950FE"/>
    <w:rsid w:val="62F01A68"/>
    <w:rsid w:val="6A1C6C2D"/>
    <w:rsid w:val="6E501A71"/>
    <w:rsid w:val="72CD7E7C"/>
    <w:rsid w:val="741F68A2"/>
    <w:rsid w:val="76F02B21"/>
    <w:rsid w:val="794C237F"/>
    <w:rsid w:val="79EF53C7"/>
    <w:rsid w:val="79FD2662"/>
    <w:rsid w:val="7AB33D92"/>
    <w:rsid w:val="7B0E628B"/>
    <w:rsid w:val="7B8C777D"/>
    <w:rsid w:val="7D895449"/>
    <w:rsid w:val="7EFA3441"/>
    <w:rsid w:val="7F870480"/>
    <w:rsid w:val="96579309"/>
    <w:rsid w:val="97ECE2B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nhideWhenUsed="0" w:uiPriority="0" w:name="annotation text"/>
    <w:lsdException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semiHidden="0" w:name="HTML Preformatted"/>
    <w:lsdException w:uiPriority="99" w:name="HTML Sample"/>
    <w:lsdException w:uiPriority="99" w:name="HTML Typewriter"/>
    <w:lsdException w:uiPriority="99" w:name="HTML Variable"/>
    <w:lsdException w:qFormat="1" w:uiPriority="99" w:semiHidden="0" w:name="Normal Table"/>
    <w:lsdException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name="Balloon Text"/>
    <w:lsdException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4">
    <w:name w:val="heading 1"/>
    <w:basedOn w:val="1"/>
    <w:next w:val="1"/>
    <w:link w:val="18"/>
    <w:qFormat/>
    <w:uiPriority w:val="9"/>
    <w:pPr>
      <w:keepNext/>
      <w:keepLines/>
      <w:spacing w:before="340" w:after="330" w:line="578" w:lineRule="auto"/>
      <w:outlineLvl w:val="0"/>
    </w:pPr>
    <w:rPr>
      <w:b/>
      <w:bCs/>
      <w:kern w:val="44"/>
      <w:sz w:val="44"/>
      <w:szCs w:val="44"/>
    </w:rPr>
  </w:style>
  <w:style w:type="paragraph" w:styleId="5">
    <w:name w:val="heading 3"/>
    <w:basedOn w:val="1"/>
    <w:next w:val="1"/>
    <w:link w:val="19"/>
    <w:qFormat/>
    <w:uiPriority w:val="0"/>
    <w:pPr>
      <w:keepNext/>
      <w:keepLines/>
      <w:spacing w:before="380" w:after="380" w:line="560" w:lineRule="exact"/>
      <w:outlineLvl w:val="2"/>
    </w:pPr>
    <w:rPr>
      <w:rFonts w:eastAsia="仿宋_GB2312"/>
      <w:b/>
      <w:bCs/>
      <w:kern w:val="0"/>
      <w:sz w:val="28"/>
      <w:szCs w:val="32"/>
    </w:rPr>
  </w:style>
  <w:style w:type="character" w:default="1" w:styleId="15">
    <w:name w:val="Default Paragraph Font"/>
    <w:unhideWhenUsed/>
    <w:uiPriority w:val="1"/>
  </w:style>
  <w:style w:type="table" w:default="1" w:styleId="13">
    <w:name w:val="Normal Table"/>
    <w:unhideWhenUsed/>
    <w:qFormat/>
    <w:uiPriority w:val="99"/>
    <w:tblPr>
      <w:tblCellMar>
        <w:top w:w="0" w:type="dxa"/>
        <w:left w:w="108" w:type="dxa"/>
        <w:bottom w:w="0" w:type="dxa"/>
        <w:right w:w="108" w:type="dxa"/>
      </w:tblCellMar>
    </w:tblPr>
  </w:style>
  <w:style w:type="paragraph" w:styleId="2">
    <w:name w:val="Body Text First Indent"/>
    <w:basedOn w:val="3"/>
    <w:qFormat/>
    <w:uiPriority w:val="0"/>
    <w:pPr>
      <w:spacing w:line="360" w:lineRule="auto"/>
      <w:ind w:firstLine="420" w:firstLineChars="100"/>
    </w:pPr>
    <w:rPr>
      <w:rFonts w:ascii="微软雅黑" w:hAnsi="微软雅黑" w:eastAsia="微软雅黑" w:cs="微软雅黑"/>
    </w:rPr>
  </w:style>
  <w:style w:type="paragraph" w:styleId="3">
    <w:name w:val="Body Text"/>
    <w:basedOn w:val="1"/>
    <w:qFormat/>
    <w:uiPriority w:val="0"/>
    <w:pPr>
      <w:spacing w:after="120"/>
    </w:pPr>
  </w:style>
  <w:style w:type="paragraph" w:styleId="6">
    <w:name w:val="annotation text"/>
    <w:basedOn w:val="1"/>
    <w:link w:val="20"/>
    <w:semiHidden/>
    <w:uiPriority w:val="0"/>
    <w:pPr>
      <w:jc w:val="left"/>
    </w:pPr>
    <w:rPr>
      <w:kern w:val="0"/>
      <w:sz w:val="24"/>
      <w:szCs w:val="24"/>
    </w:rPr>
  </w:style>
  <w:style w:type="paragraph" w:styleId="7">
    <w:name w:val="Balloon Text"/>
    <w:basedOn w:val="1"/>
    <w:semiHidden/>
    <w:uiPriority w:val="0"/>
    <w:rPr>
      <w:sz w:val="18"/>
      <w:szCs w:val="18"/>
    </w:rPr>
  </w:style>
  <w:style w:type="paragraph" w:styleId="8">
    <w:name w:val="footer"/>
    <w:basedOn w:val="1"/>
    <w:link w:val="21"/>
    <w:unhideWhenUsed/>
    <w:qFormat/>
    <w:uiPriority w:val="0"/>
    <w:pPr>
      <w:tabs>
        <w:tab w:val="center" w:pos="4153"/>
        <w:tab w:val="right" w:pos="8306"/>
      </w:tabs>
      <w:snapToGrid w:val="0"/>
      <w:jc w:val="left"/>
    </w:pPr>
    <w:rPr>
      <w:kern w:val="0"/>
      <w:sz w:val="18"/>
      <w:szCs w:val="18"/>
    </w:rPr>
  </w:style>
  <w:style w:type="paragraph" w:styleId="9">
    <w:name w:val="header"/>
    <w:basedOn w:val="1"/>
    <w:link w:val="22"/>
    <w:unhideWhenUsed/>
    <w:uiPriority w:val="99"/>
    <w:pPr>
      <w:pBdr>
        <w:bottom w:val="single" w:color="auto" w:sz="6" w:space="1"/>
      </w:pBdr>
      <w:tabs>
        <w:tab w:val="center" w:pos="4153"/>
        <w:tab w:val="right" w:pos="8306"/>
      </w:tabs>
      <w:snapToGrid w:val="0"/>
      <w:jc w:val="center"/>
    </w:pPr>
    <w:rPr>
      <w:kern w:val="0"/>
      <w:sz w:val="18"/>
      <w:szCs w:val="18"/>
    </w:rPr>
  </w:style>
  <w:style w:type="paragraph" w:styleId="10">
    <w:name w:val="HTML Preformatted"/>
    <w:basedOn w:val="1"/>
    <w:link w:val="23"/>
    <w:unhideWhenUsed/>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11">
    <w:name w:val="Title"/>
    <w:basedOn w:val="1"/>
    <w:next w:val="1"/>
    <w:link w:val="24"/>
    <w:qFormat/>
    <w:uiPriority w:val="10"/>
    <w:pPr>
      <w:spacing w:before="240" w:after="60"/>
      <w:jc w:val="center"/>
      <w:outlineLvl w:val="0"/>
    </w:pPr>
    <w:rPr>
      <w:rFonts w:ascii="Calibri Light" w:hAnsi="Calibri Light"/>
      <w:b/>
      <w:bCs/>
      <w:sz w:val="32"/>
      <w:szCs w:val="32"/>
    </w:rPr>
  </w:style>
  <w:style w:type="paragraph" w:styleId="12">
    <w:name w:val="annotation subject"/>
    <w:basedOn w:val="6"/>
    <w:next w:val="6"/>
    <w:semiHidden/>
    <w:uiPriority w:val="0"/>
    <w:rPr>
      <w:b/>
      <w:bCs/>
      <w:kern w:val="2"/>
      <w:sz w:val="21"/>
      <w:szCs w:val="21"/>
    </w:rPr>
  </w:style>
  <w:style w:type="table" w:styleId="14">
    <w:name w:val="Table Grid"/>
    <w:basedOn w:val="13"/>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page number"/>
    <w:uiPriority w:val="0"/>
  </w:style>
  <w:style w:type="character" w:styleId="17">
    <w:name w:val="annotation reference"/>
    <w:semiHidden/>
    <w:qFormat/>
    <w:uiPriority w:val="0"/>
    <w:rPr>
      <w:sz w:val="21"/>
      <w:szCs w:val="21"/>
    </w:rPr>
  </w:style>
  <w:style w:type="character" w:customStyle="1" w:styleId="18">
    <w:name w:val="标题 1 Char"/>
    <w:link w:val="4"/>
    <w:uiPriority w:val="9"/>
    <w:rPr>
      <w:rFonts w:ascii="Times New Roman" w:hAnsi="Times New Roman"/>
      <w:b/>
      <w:bCs/>
      <w:kern w:val="44"/>
      <w:sz w:val="44"/>
      <w:szCs w:val="44"/>
    </w:rPr>
  </w:style>
  <w:style w:type="character" w:customStyle="1" w:styleId="19">
    <w:name w:val="标题 3 Char"/>
    <w:link w:val="5"/>
    <w:qFormat/>
    <w:uiPriority w:val="0"/>
    <w:rPr>
      <w:rFonts w:ascii="Times New Roman" w:hAnsi="Times New Roman" w:eastAsia="仿宋_GB2312"/>
      <w:b/>
      <w:bCs/>
      <w:sz w:val="28"/>
      <w:szCs w:val="32"/>
    </w:rPr>
  </w:style>
  <w:style w:type="character" w:customStyle="1" w:styleId="20">
    <w:name w:val="批注文字 Char"/>
    <w:link w:val="6"/>
    <w:semiHidden/>
    <w:uiPriority w:val="0"/>
    <w:rPr>
      <w:rFonts w:ascii="Times New Roman" w:hAnsi="Times New Roman" w:eastAsia="宋体" w:cs="Times New Roman"/>
      <w:kern w:val="0"/>
      <w:sz w:val="24"/>
      <w:szCs w:val="24"/>
    </w:rPr>
  </w:style>
  <w:style w:type="character" w:customStyle="1" w:styleId="21">
    <w:name w:val="页脚 Char"/>
    <w:link w:val="8"/>
    <w:uiPriority w:val="0"/>
    <w:rPr>
      <w:sz w:val="18"/>
      <w:szCs w:val="18"/>
    </w:rPr>
  </w:style>
  <w:style w:type="character" w:customStyle="1" w:styleId="22">
    <w:name w:val="页眉 Char"/>
    <w:link w:val="9"/>
    <w:uiPriority w:val="99"/>
    <w:rPr>
      <w:sz w:val="18"/>
      <w:szCs w:val="18"/>
    </w:rPr>
  </w:style>
  <w:style w:type="character" w:customStyle="1" w:styleId="23">
    <w:name w:val="HTML 预设格式 Char"/>
    <w:link w:val="10"/>
    <w:semiHidden/>
    <w:uiPriority w:val="99"/>
    <w:rPr>
      <w:rFonts w:ascii="宋体" w:hAnsi="宋体" w:cs="宋体"/>
      <w:sz w:val="24"/>
      <w:szCs w:val="24"/>
    </w:rPr>
  </w:style>
  <w:style w:type="character" w:customStyle="1" w:styleId="24">
    <w:name w:val="标题 Char"/>
    <w:link w:val="11"/>
    <w:uiPriority w:val="10"/>
    <w:rPr>
      <w:rFonts w:ascii="Calibri Light" w:hAnsi="Calibri Light" w:cs="Times New Roman"/>
      <w:b/>
      <w:bCs/>
      <w:kern w:val="2"/>
      <w:sz w:val="32"/>
      <w:szCs w:val="32"/>
    </w:rPr>
  </w:style>
  <w:style w:type="character" w:customStyle="1" w:styleId="25">
    <w:name w:val="无间隔 Char"/>
    <w:link w:val="26"/>
    <w:uiPriority w:val="1"/>
    <w:rPr>
      <w:sz w:val="22"/>
      <w:szCs w:val="22"/>
      <w:lang w:val="en-US" w:eastAsia="zh-CN" w:bidi="ar-SA"/>
    </w:rPr>
  </w:style>
  <w:style w:type="paragraph" w:styleId="26">
    <w:name w:val="No Spacing"/>
    <w:link w:val="25"/>
    <w:qFormat/>
    <w:uiPriority w:val="1"/>
    <w:rPr>
      <w:rFonts w:ascii="Times New Roman" w:hAnsi="Times New Roman" w:eastAsia="宋体" w:cs="Times New Roman"/>
      <w:sz w:val="22"/>
      <w:szCs w:val="22"/>
      <w:lang w:val="en-US" w:eastAsia="zh-CN" w:bidi="ar-SA"/>
    </w:rPr>
  </w:style>
  <w:style w:type="character" w:customStyle="1" w:styleId="27">
    <w:name w:val="5-内文 Char"/>
    <w:link w:val="28"/>
    <w:locked/>
    <w:uiPriority w:val="0"/>
    <w:rPr>
      <w:rFonts w:ascii="Times New Roman" w:hAnsi="Times New Roman" w:eastAsia="仿宋_GB2312" w:cs="Times New Roman"/>
      <w:sz w:val="28"/>
      <w:szCs w:val="20"/>
    </w:rPr>
  </w:style>
  <w:style w:type="paragraph" w:customStyle="1" w:styleId="28">
    <w:name w:val="5-内文"/>
    <w:basedOn w:val="1"/>
    <w:link w:val="27"/>
    <w:qFormat/>
    <w:uiPriority w:val="0"/>
    <w:pPr>
      <w:spacing w:beforeLines="25" w:afterLines="25" w:line="300" w:lineRule="auto"/>
      <w:ind w:firstLine="200" w:firstLineChars="200"/>
    </w:pPr>
    <w:rPr>
      <w:rFonts w:eastAsia="仿宋_GB2312"/>
      <w:kern w:val="0"/>
      <w:sz w:val="28"/>
      <w:szCs w:val="20"/>
    </w:rPr>
  </w:style>
  <w:style w:type="paragraph" w:customStyle="1" w:styleId="29">
    <w:name w:val="_Style 3"/>
    <w:basedOn w:val="1"/>
    <w:qFormat/>
    <w:uiPriority w:val="0"/>
    <w:pPr>
      <w:ind w:firstLine="420" w:firstLineChars="200"/>
    </w:pPr>
  </w:style>
  <w:style w:type="paragraph" w:customStyle="1" w:styleId="30">
    <w:name w:val="Table Text"/>
    <w:basedOn w:val="1"/>
    <w:semiHidden/>
    <w:qFormat/>
    <w:uiPriority w:val="0"/>
    <w:rPr>
      <w:rFonts w:ascii="仿宋" w:hAnsi="仿宋" w:eastAsia="仿宋" w:cs="仿宋"/>
      <w:sz w:val="24"/>
      <w:szCs w:val="24"/>
      <w:lang w:val="en-US" w:eastAsia="en-US" w:bidi="ar-SA"/>
    </w:rPr>
  </w:style>
  <w:style w:type="table" w:customStyle="1" w:styleId="31">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20</Pages>
  <Words>8129</Words>
  <Characters>8739</Characters>
  <Lines>105</Lines>
  <Paragraphs>29</Paragraphs>
  <TotalTime>2</TotalTime>
  <ScaleCrop>false</ScaleCrop>
  <LinksUpToDate>false</LinksUpToDate>
  <CharactersWithSpaces>8925</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2021-06-30T20:13:00Z</dcterms:created>
  <dc:creator>官小军</dc:creator>
  <cp:lastModifiedBy>芬芬</cp:lastModifiedBy>
  <cp:lastPrinted>2016-01-17T00:27:00Z</cp:lastPrinted>
  <dcterms:modified xsi:type="dcterms:W3CDTF">2023-08-11T03:01:37Z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D68C616E52CF45D2A8537075768C1BF2_13</vt:lpwstr>
  </property>
</Properties>
</file>