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E601D2">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方正小标宋_GBK" w:hAnsi="方正小标宋_GBK" w:eastAsia="方正小标宋_GBK" w:cs="方正小标宋_GBK"/>
          <w:b w:val="0"/>
          <w:bCs/>
          <w:kern w:val="2"/>
          <w:sz w:val="44"/>
          <w:szCs w:val="44"/>
          <w:lang w:val="en-US" w:eastAsia="zh-CN"/>
        </w:rPr>
      </w:pPr>
      <w:r>
        <w:rPr>
          <w:rFonts w:hint="eastAsia" w:ascii="方正小标宋_GBK" w:hAnsi="方正小标宋_GBK" w:eastAsia="方正小标宋_GBK" w:cs="方正小标宋_GBK"/>
          <w:b w:val="0"/>
          <w:bCs/>
          <w:kern w:val="2"/>
          <w:sz w:val="44"/>
          <w:szCs w:val="44"/>
        </w:rPr>
        <w:t>2024年海南省职业院校技能大赛（高职组）</w:t>
      </w:r>
    </w:p>
    <w:p w14:paraId="4E267B12">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lang w:val="en-US" w:eastAsia="zh-CN"/>
        </w:rPr>
        <w:t>大数据应</w:t>
      </w:r>
      <w:bookmarkStart w:id="12" w:name="_GoBack"/>
      <w:bookmarkEnd w:id="12"/>
      <w:r>
        <w:rPr>
          <w:rFonts w:hint="eastAsia" w:ascii="方正小标宋_GBK" w:hAnsi="方正小标宋_GBK" w:eastAsia="方正小标宋_GBK" w:cs="方正小标宋_GBK"/>
          <w:b w:val="0"/>
          <w:bCs/>
          <w:sz w:val="44"/>
          <w:szCs w:val="44"/>
          <w:lang w:val="en-US" w:eastAsia="zh-CN"/>
        </w:rPr>
        <w:t>用开发</w:t>
      </w:r>
      <w:r>
        <w:rPr>
          <w:rFonts w:hint="eastAsia" w:ascii="方正小标宋_GBK" w:hAnsi="方正小标宋_GBK" w:eastAsia="方正小标宋_GBK" w:cs="方正小标宋_GBK"/>
          <w:b w:val="0"/>
          <w:bCs/>
          <w:sz w:val="44"/>
          <w:szCs w:val="44"/>
        </w:rPr>
        <w:t>赛项规程</w:t>
      </w:r>
    </w:p>
    <w:p w14:paraId="61D50940">
      <w:pPr>
        <w:snapToGrid w:val="0"/>
        <w:spacing w:line="560" w:lineRule="exact"/>
        <w:jc w:val="center"/>
        <w:rPr>
          <w:rFonts w:hint="eastAsia" w:ascii="黑体" w:hAnsi="黑体" w:eastAsia="黑体" w:cs="黑体"/>
          <w:b/>
          <w:sz w:val="36"/>
          <w:szCs w:val="36"/>
        </w:rPr>
      </w:pPr>
    </w:p>
    <w:p w14:paraId="6DA35B78">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lang w:eastAsia="zh-CN"/>
        </w:rPr>
        <w:t>赛项名称</w:t>
      </w:r>
    </w:p>
    <w:p w14:paraId="2EF8F09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赛项名称：大数据应用开发</w:t>
      </w:r>
    </w:p>
    <w:p w14:paraId="1F31F31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赛项组别：高职组</w:t>
      </w:r>
    </w:p>
    <w:p w14:paraId="5A48BD2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赛项归属产业：新一代信息技术产业</w:t>
      </w:r>
    </w:p>
    <w:p w14:paraId="338E9482">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二、竞赛目标</w:t>
      </w:r>
    </w:p>
    <w:p w14:paraId="7FE4104C">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为适应大数据产业对高素质技术技能型人才的职业需求，赛项以大数据技术与应用为核心内容和工作基础，重点考查参赛选手基于Hadoop、Spark、Flink平台环境下，充分利用Spark Core、Spark SQL、Flume、Kafka、Flink、Hive、HBase、Redis、Maxwell、ClickHouse、MySQL等相关技术的特点，基于Scala、JavaScript等开发语言，综合软件开发相关技术，解决实际问题的能力，激发学生对大数据相关知识和技术的学习兴趣，提升学生职业素养和职业技能，努力为中国大数据产业的发展储备及输送新鲜血液。</w:t>
      </w:r>
    </w:p>
    <w:p w14:paraId="6B5221FA">
      <w:pPr>
        <w:tabs>
          <w:tab w:val="left" w:pos="567"/>
        </w:tabs>
        <w:snapToGrid w:val="0"/>
        <w:spacing w:line="560" w:lineRule="exact"/>
        <w:ind w:firstLine="627" w:firstLineChars="196"/>
        <w:rPr>
          <w:rFonts w:hint="eastAsia" w:ascii="仿宋" w:hAnsi="仿宋" w:eastAsia="仿宋" w:cs="楷体"/>
          <w:sz w:val="32"/>
          <w:szCs w:val="32"/>
        </w:rPr>
      </w:pPr>
      <w:r>
        <w:rPr>
          <w:rFonts w:hint="eastAsia" w:ascii="仿宋_GB2312" w:hAnsi="仿宋_GB2312" w:eastAsia="仿宋_GB2312" w:cs="仿宋_GB2312"/>
          <w:b w:val="0"/>
          <w:bCs w:val="0"/>
          <w:kern w:val="2"/>
          <w:sz w:val="32"/>
          <w:szCs w:val="32"/>
          <w:lang w:eastAsia="zh-CN"/>
        </w:rPr>
        <w:t>通过举办本赛项，可以搭建校企合作的平台，提升大数据技术与应用专业及其他相关专业毕业生能力素质，满足企业用人需求，促进校企合作协同育人，对接产业发展，实现行业资源、企业资源与教学资源的有机融合，使高职院校在专业建设、课程建设、人才培养方案和人才培养模式等方面，跟踪社会发展的最新需要，缩小人才培养与行业需求差距，引领职业院校专业建设与课程改革。</w:t>
      </w:r>
    </w:p>
    <w:p w14:paraId="48EE6317">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三、竞赛内容</w:t>
      </w:r>
    </w:p>
    <w:p w14:paraId="7C5C3927">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赛项以大数据技术与应用为核心内容和工作基础，重点考查参赛选手基于Hadoop、Spark、Flink平台环境下，充分利用Spark Core、Spark SQL、Flume、Kafka、Flink、Hive、HBase、Redis、Maxwell、ClickHouse、MySQL等技术的特点，综合软件开发相关技术，解决实际问题的能力，具体包括：</w:t>
      </w:r>
    </w:p>
    <w:p w14:paraId="7909782A">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1.掌握Hadoop平台、基于Spark的离线分析平台、基于Flink的实时分析平台，在容器环境下，按照项目需求安装相关技术组件并按照需求进行合理配置；</w:t>
      </w:r>
    </w:p>
    <w:p w14:paraId="7B53CBC8">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2.掌握基于Spark的离线数据采集方式方法，完成指定数据的抽取并写入Hive分区表中。掌握基于Flume、Maxwell的实时数据采集，将数据写入Kafka中；</w:t>
      </w:r>
    </w:p>
    <w:p w14:paraId="58BDA07B">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3.综合利用Flink、Kafka、Hive、Redis、HBase、ClickHouse等技术，使用Scala开发语言，完成某电商系统的实时数据处理，包括使用Flink处理Kafka中的数据、实时数据仓库、将数据备份至HBase中、建立Hive外表、将数据处理结果存入Redis、ClickHouse中等操作；</w:t>
      </w:r>
    </w:p>
    <w:p w14:paraId="7DC26D04">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4.综合利用Spark、Hive、MySQL、HBase、ClickHouse等相关技术，使用Scala开发语言，完成某电商系统的离线数据处理，包括Hive数据仓库、使用Spark处理离线数据、数据合并、去重、排序、数据类型转换、将数据处理结果存入MySQL、HBase、ClickHouse中等操作；</w:t>
      </w:r>
    </w:p>
    <w:p w14:paraId="26DD2698">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5.综合运用HTML、CSS、JavaScript等开发语言，Vue.js前端技术，结合ECharts数据可视化组件，利用后端数据接口完成数据可视化；</w:t>
      </w:r>
    </w:p>
    <w:p w14:paraId="0D1E5DAE">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6.根据竞赛过程，完成综合分析报告的编写；</w:t>
      </w:r>
    </w:p>
    <w:p w14:paraId="60FC821F">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7.竞赛时间6小时，竞赛连续进行。</w:t>
      </w:r>
    </w:p>
    <w:p w14:paraId="5218DC04">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竞赛内容构成如下：</w:t>
      </w:r>
    </w:p>
    <w:tbl>
      <w:tblPr>
        <w:tblStyle w:val="13"/>
        <w:tblpPr w:leftFromText="180" w:rightFromText="180" w:vertAnchor="text" w:horzAnchor="page" w:tblpXSpec="center" w:tblpY="479"/>
        <w:tblOverlap w:val="never"/>
        <w:tblW w:w="5000" w:type="pct"/>
        <w:jc w:val="center"/>
        <w:shd w:val="clear" w:color="auto" w:fill="FFFFFF"/>
        <w:tblLayout w:type="autofit"/>
        <w:tblCellMar>
          <w:top w:w="0" w:type="dxa"/>
          <w:left w:w="0" w:type="dxa"/>
          <w:bottom w:w="0" w:type="dxa"/>
          <w:right w:w="0" w:type="dxa"/>
        </w:tblCellMar>
      </w:tblPr>
      <w:tblGrid>
        <w:gridCol w:w="2000"/>
        <w:gridCol w:w="6342"/>
      </w:tblGrid>
      <w:tr w14:paraId="0A9D279A">
        <w:tblPrEx>
          <w:tblCellMar>
            <w:top w:w="0" w:type="dxa"/>
            <w:left w:w="0" w:type="dxa"/>
            <w:bottom w:w="0" w:type="dxa"/>
            <w:right w:w="0" w:type="dxa"/>
          </w:tblCellMar>
        </w:tblPrEx>
        <w:trPr>
          <w:trHeight w:val="443" w:hRule="atLeast"/>
          <w:jc w:val="center"/>
        </w:trPr>
        <w:tc>
          <w:tcPr>
            <w:tcW w:w="1199" w:type="pct"/>
            <w:tcBorders>
              <w:top w:val="single" w:color="auto" w:sz="4" w:space="0"/>
              <w:left w:val="single" w:color="auto" w:sz="4" w:space="0"/>
              <w:bottom w:val="single" w:color="auto" w:sz="4" w:space="0"/>
              <w:right w:val="single" w:color="auto" w:sz="4" w:space="0"/>
            </w:tcBorders>
            <w:shd w:val="clear" w:color="auto" w:fill="D8D8D8"/>
            <w:tcMar>
              <w:top w:w="15" w:type="dxa"/>
              <w:left w:w="15" w:type="dxa"/>
              <w:bottom w:w="0" w:type="dxa"/>
              <w:right w:w="15" w:type="dxa"/>
            </w:tcMar>
            <w:vAlign w:val="center"/>
          </w:tcPr>
          <w:p w14:paraId="1EBD6FDB">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考核环节</w:t>
            </w:r>
          </w:p>
        </w:tc>
        <w:tc>
          <w:tcPr>
            <w:tcW w:w="3801" w:type="pct"/>
            <w:tcBorders>
              <w:top w:val="single" w:color="auto" w:sz="4" w:space="0"/>
              <w:left w:val="single" w:color="auto" w:sz="4" w:space="0"/>
              <w:bottom w:val="single" w:color="auto" w:sz="4" w:space="0"/>
              <w:right w:val="single" w:color="auto" w:sz="4" w:space="0"/>
            </w:tcBorders>
            <w:shd w:val="clear" w:color="auto" w:fill="D8D8D8"/>
            <w:tcMar>
              <w:top w:w="15" w:type="dxa"/>
              <w:left w:w="15" w:type="dxa"/>
              <w:bottom w:w="0" w:type="dxa"/>
              <w:right w:w="15" w:type="dxa"/>
            </w:tcMar>
            <w:vAlign w:val="center"/>
          </w:tcPr>
          <w:p w14:paraId="6478D556">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考核知识点和技能点</w:t>
            </w:r>
          </w:p>
        </w:tc>
      </w:tr>
      <w:tr w14:paraId="34EA03C3">
        <w:tblPrEx>
          <w:shd w:val="clear" w:color="auto" w:fill="FFFFFF"/>
          <w:tblCellMar>
            <w:top w:w="0" w:type="dxa"/>
            <w:left w:w="0" w:type="dxa"/>
            <w:bottom w:w="0" w:type="dxa"/>
            <w:right w:w="0" w:type="dxa"/>
          </w:tblCellMar>
        </w:tblPrEx>
        <w:trPr>
          <w:trHeight w:val="613" w:hRule="atLeast"/>
          <w:jc w:val="center"/>
        </w:trPr>
        <w:tc>
          <w:tcPr>
            <w:tcW w:w="1199" w:type="pct"/>
            <w:vMerge w:val="restart"/>
            <w:tcBorders>
              <w:top w:val="single" w:color="auto" w:sz="4" w:space="0"/>
              <w:left w:val="single" w:color="auto" w:sz="4" w:space="0"/>
              <w:right w:val="single" w:color="auto" w:sz="4" w:space="0"/>
            </w:tcBorders>
            <w:shd w:val="clear" w:color="auto" w:fill="FFFFFF"/>
            <w:vAlign w:val="center"/>
          </w:tcPr>
          <w:p w14:paraId="4A04ECE0">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大数据平台环境搭建</w:t>
            </w: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3A00347A">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Docker基本操作</w:t>
            </w:r>
          </w:p>
        </w:tc>
      </w:tr>
      <w:tr w14:paraId="49D05BEA">
        <w:tblPrEx>
          <w:tblCellMar>
            <w:top w:w="0" w:type="dxa"/>
            <w:left w:w="0" w:type="dxa"/>
            <w:bottom w:w="0" w:type="dxa"/>
            <w:right w:w="0" w:type="dxa"/>
          </w:tblCellMar>
        </w:tblPrEx>
        <w:trPr>
          <w:trHeight w:val="613" w:hRule="atLeast"/>
          <w:jc w:val="center"/>
        </w:trPr>
        <w:tc>
          <w:tcPr>
            <w:tcW w:w="1199" w:type="pct"/>
            <w:vMerge w:val="continue"/>
            <w:tcBorders>
              <w:left w:val="single" w:color="auto" w:sz="4" w:space="0"/>
              <w:right w:val="single" w:color="auto" w:sz="4" w:space="0"/>
            </w:tcBorders>
            <w:shd w:val="clear" w:color="auto" w:fill="FFFFFF"/>
            <w:vAlign w:val="center"/>
          </w:tcPr>
          <w:p w14:paraId="109F28B5">
            <w:pPr>
              <w:adjustRightInd w:val="0"/>
              <w:snapToGrid w:val="0"/>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44E96B90">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Hadoop完全分布式安装配置</w:t>
            </w:r>
          </w:p>
        </w:tc>
      </w:tr>
      <w:tr w14:paraId="7863ED4E">
        <w:tblPrEx>
          <w:tblCellMar>
            <w:top w:w="0" w:type="dxa"/>
            <w:left w:w="0" w:type="dxa"/>
            <w:bottom w:w="0" w:type="dxa"/>
            <w:right w:w="0" w:type="dxa"/>
          </w:tblCellMar>
        </w:tblPrEx>
        <w:trPr>
          <w:trHeight w:val="613" w:hRule="atLeast"/>
          <w:jc w:val="center"/>
        </w:trPr>
        <w:tc>
          <w:tcPr>
            <w:tcW w:w="1199" w:type="pct"/>
            <w:vMerge w:val="continue"/>
            <w:tcBorders>
              <w:left w:val="single" w:color="auto" w:sz="4" w:space="0"/>
              <w:right w:val="single" w:color="auto" w:sz="4" w:space="0"/>
            </w:tcBorders>
            <w:shd w:val="clear" w:color="auto" w:fill="FFFFFF"/>
            <w:vAlign w:val="center"/>
          </w:tcPr>
          <w:p w14:paraId="5962E95D">
            <w:pPr>
              <w:adjustRightInd w:val="0"/>
              <w:snapToGrid w:val="0"/>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429F67F5">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Spark安装配置</w:t>
            </w:r>
          </w:p>
        </w:tc>
      </w:tr>
      <w:tr w14:paraId="00151F7D">
        <w:tblPrEx>
          <w:shd w:val="clear" w:color="auto" w:fill="FFFFFF"/>
          <w:tblCellMar>
            <w:top w:w="0" w:type="dxa"/>
            <w:left w:w="0" w:type="dxa"/>
            <w:bottom w:w="0" w:type="dxa"/>
            <w:right w:w="0" w:type="dxa"/>
          </w:tblCellMar>
        </w:tblPrEx>
        <w:trPr>
          <w:trHeight w:val="613" w:hRule="atLeast"/>
          <w:jc w:val="center"/>
        </w:trPr>
        <w:tc>
          <w:tcPr>
            <w:tcW w:w="1199" w:type="pct"/>
            <w:vMerge w:val="continue"/>
            <w:tcBorders>
              <w:left w:val="single" w:color="auto" w:sz="4" w:space="0"/>
              <w:right w:val="single" w:color="auto" w:sz="4" w:space="0"/>
            </w:tcBorders>
            <w:shd w:val="clear" w:color="auto" w:fill="FFFFFF"/>
            <w:vAlign w:val="center"/>
          </w:tcPr>
          <w:p w14:paraId="2C93B83B">
            <w:pPr>
              <w:adjustRightInd w:val="0"/>
              <w:snapToGrid w:val="0"/>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3A0F82AE">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Flink安装配置</w:t>
            </w:r>
          </w:p>
        </w:tc>
      </w:tr>
      <w:tr w14:paraId="5BB49003">
        <w:tblPrEx>
          <w:shd w:val="clear" w:color="auto" w:fill="FFFFFF"/>
          <w:tblCellMar>
            <w:top w:w="0" w:type="dxa"/>
            <w:left w:w="0" w:type="dxa"/>
            <w:bottom w:w="0" w:type="dxa"/>
            <w:right w:w="0" w:type="dxa"/>
          </w:tblCellMar>
        </w:tblPrEx>
        <w:trPr>
          <w:trHeight w:val="613" w:hRule="atLeast"/>
          <w:jc w:val="center"/>
        </w:trPr>
        <w:tc>
          <w:tcPr>
            <w:tcW w:w="1199" w:type="pct"/>
            <w:vMerge w:val="continue"/>
            <w:tcBorders>
              <w:left w:val="single" w:color="auto" w:sz="4" w:space="0"/>
              <w:right w:val="single" w:color="auto" w:sz="4" w:space="0"/>
            </w:tcBorders>
            <w:shd w:val="clear" w:color="auto" w:fill="FFFFFF"/>
            <w:vAlign w:val="center"/>
          </w:tcPr>
          <w:p w14:paraId="45659C75">
            <w:pPr>
              <w:adjustRightInd w:val="0"/>
              <w:snapToGrid w:val="0"/>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66300820">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Hive安装配置</w:t>
            </w:r>
          </w:p>
        </w:tc>
      </w:tr>
      <w:tr w14:paraId="4C709DD1">
        <w:tblPrEx>
          <w:shd w:val="clear" w:color="auto" w:fill="FFFFFF"/>
          <w:tblCellMar>
            <w:top w:w="0" w:type="dxa"/>
            <w:left w:w="0" w:type="dxa"/>
            <w:bottom w:w="0" w:type="dxa"/>
            <w:right w:w="0" w:type="dxa"/>
          </w:tblCellMar>
        </w:tblPrEx>
        <w:trPr>
          <w:trHeight w:val="613" w:hRule="atLeast"/>
          <w:jc w:val="center"/>
        </w:trPr>
        <w:tc>
          <w:tcPr>
            <w:tcW w:w="1199" w:type="pct"/>
            <w:vMerge w:val="continue"/>
            <w:tcBorders>
              <w:left w:val="single" w:color="auto" w:sz="4" w:space="0"/>
              <w:right w:val="single" w:color="auto" w:sz="4" w:space="0"/>
            </w:tcBorders>
            <w:shd w:val="clear" w:color="auto" w:fill="FFFFFF"/>
            <w:vAlign w:val="center"/>
          </w:tcPr>
          <w:p w14:paraId="39059B82">
            <w:pPr>
              <w:adjustRightInd w:val="0"/>
              <w:snapToGrid w:val="0"/>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272B8A98">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Kafka安装配置</w:t>
            </w:r>
          </w:p>
        </w:tc>
      </w:tr>
      <w:tr w14:paraId="7EFA0E1D">
        <w:tblPrEx>
          <w:shd w:val="clear" w:color="auto" w:fill="FFFFFF"/>
          <w:tblCellMar>
            <w:top w:w="0" w:type="dxa"/>
            <w:left w:w="0" w:type="dxa"/>
            <w:bottom w:w="0" w:type="dxa"/>
            <w:right w:w="0" w:type="dxa"/>
          </w:tblCellMar>
        </w:tblPrEx>
        <w:trPr>
          <w:trHeight w:val="613" w:hRule="atLeast"/>
          <w:jc w:val="center"/>
        </w:trPr>
        <w:tc>
          <w:tcPr>
            <w:tcW w:w="1199" w:type="pct"/>
            <w:vMerge w:val="continue"/>
            <w:tcBorders>
              <w:left w:val="single" w:color="auto" w:sz="4" w:space="0"/>
              <w:right w:val="single" w:color="auto" w:sz="4" w:space="0"/>
            </w:tcBorders>
            <w:shd w:val="clear" w:color="auto" w:fill="FFFFFF"/>
            <w:vAlign w:val="center"/>
          </w:tcPr>
          <w:p w14:paraId="17634866">
            <w:pPr>
              <w:adjustRightInd w:val="0"/>
              <w:snapToGrid w:val="0"/>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56DD32FE">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Flume安装配置</w:t>
            </w:r>
          </w:p>
        </w:tc>
      </w:tr>
      <w:tr w14:paraId="18D9F7B0">
        <w:tblPrEx>
          <w:shd w:val="clear" w:color="auto" w:fill="FFFFFF"/>
          <w:tblCellMar>
            <w:top w:w="0" w:type="dxa"/>
            <w:left w:w="0" w:type="dxa"/>
            <w:bottom w:w="0" w:type="dxa"/>
            <w:right w:w="0" w:type="dxa"/>
          </w:tblCellMar>
        </w:tblPrEx>
        <w:trPr>
          <w:trHeight w:val="613" w:hRule="atLeast"/>
          <w:jc w:val="center"/>
        </w:trPr>
        <w:tc>
          <w:tcPr>
            <w:tcW w:w="1199" w:type="pct"/>
            <w:vMerge w:val="continue"/>
            <w:tcBorders>
              <w:left w:val="single" w:color="auto" w:sz="4" w:space="0"/>
              <w:right w:val="single" w:color="auto" w:sz="4" w:space="0"/>
            </w:tcBorders>
            <w:shd w:val="clear" w:color="auto" w:fill="FFFFFF"/>
            <w:vAlign w:val="center"/>
          </w:tcPr>
          <w:p w14:paraId="59FC788D">
            <w:pPr>
              <w:adjustRightInd w:val="0"/>
              <w:snapToGrid w:val="0"/>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45A9A98A">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ClickHouse安装配置</w:t>
            </w:r>
          </w:p>
        </w:tc>
      </w:tr>
      <w:tr w14:paraId="686D3175">
        <w:tblPrEx>
          <w:tblCellMar>
            <w:top w:w="0" w:type="dxa"/>
            <w:left w:w="0" w:type="dxa"/>
            <w:bottom w:w="0" w:type="dxa"/>
            <w:right w:w="0" w:type="dxa"/>
          </w:tblCellMar>
        </w:tblPrEx>
        <w:trPr>
          <w:trHeight w:val="500" w:hRule="atLeast"/>
          <w:jc w:val="center"/>
        </w:trPr>
        <w:tc>
          <w:tcPr>
            <w:tcW w:w="1199" w:type="pct"/>
            <w:vMerge w:val="continue"/>
            <w:tcBorders>
              <w:left w:val="single" w:color="auto" w:sz="4" w:space="0"/>
              <w:bottom w:val="single" w:color="auto" w:sz="4" w:space="0"/>
              <w:right w:val="single" w:color="auto" w:sz="4" w:space="0"/>
            </w:tcBorders>
            <w:shd w:val="clear" w:color="auto" w:fill="FFFFFF"/>
            <w:vAlign w:val="center"/>
          </w:tcPr>
          <w:p w14:paraId="7CFFEBA2">
            <w:pPr>
              <w:adjustRightInd w:val="0"/>
              <w:snapToGrid w:val="0"/>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00FF97BF">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HBase安装配置</w:t>
            </w:r>
          </w:p>
        </w:tc>
      </w:tr>
      <w:tr w14:paraId="75519EDC">
        <w:tblPrEx>
          <w:tblCellMar>
            <w:top w:w="0" w:type="dxa"/>
            <w:left w:w="0" w:type="dxa"/>
            <w:bottom w:w="0" w:type="dxa"/>
            <w:right w:w="0" w:type="dxa"/>
          </w:tblCellMar>
        </w:tblPrEx>
        <w:trPr>
          <w:trHeight w:val="613" w:hRule="atLeast"/>
          <w:jc w:val="center"/>
        </w:trPr>
        <w:tc>
          <w:tcPr>
            <w:tcW w:w="1199" w:type="pct"/>
            <w:vMerge w:val="restart"/>
            <w:tcBorders>
              <w:top w:val="single" w:color="auto" w:sz="4" w:space="0"/>
              <w:left w:val="single" w:color="auto" w:sz="4" w:space="0"/>
              <w:right w:val="single" w:color="auto" w:sz="4" w:space="0"/>
            </w:tcBorders>
            <w:shd w:val="clear" w:color="auto" w:fill="FFFFFF"/>
            <w:tcMar>
              <w:top w:w="15" w:type="dxa"/>
              <w:left w:w="15" w:type="dxa"/>
              <w:bottom w:w="0" w:type="dxa"/>
              <w:right w:w="15" w:type="dxa"/>
            </w:tcMar>
            <w:vAlign w:val="center"/>
          </w:tcPr>
          <w:p w14:paraId="400F42C0">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数据采集</w:t>
            </w: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24809E9C">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使用Spark抽取MySQL指定数据表中的增量数据到ods层的指定的分区表中。</w:t>
            </w:r>
          </w:p>
        </w:tc>
      </w:tr>
      <w:tr w14:paraId="0D95D1B4">
        <w:tblPrEx>
          <w:tblCellMar>
            <w:top w:w="0" w:type="dxa"/>
            <w:left w:w="0" w:type="dxa"/>
            <w:bottom w:w="0" w:type="dxa"/>
            <w:right w:w="0" w:type="dxa"/>
          </w:tblCellMar>
        </w:tblPrEx>
        <w:trPr>
          <w:trHeight w:val="443" w:hRule="atLeast"/>
          <w:jc w:val="center"/>
        </w:trPr>
        <w:tc>
          <w:tcPr>
            <w:tcW w:w="1199" w:type="pct"/>
            <w:vMerge w:val="continue"/>
            <w:tcBorders>
              <w:left w:val="single" w:color="auto" w:sz="4" w:space="0"/>
              <w:right w:val="single" w:color="auto" w:sz="4" w:space="0"/>
            </w:tcBorders>
            <w:shd w:val="clear" w:color="auto" w:fill="FFFFFF"/>
            <w:vAlign w:val="center"/>
          </w:tcPr>
          <w:p w14:paraId="5748561B">
            <w:pPr>
              <w:adjustRightInd w:val="0"/>
              <w:snapToGrid w:val="0"/>
              <w:jc w:val="center"/>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0D1C3123">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使用Flume采集某端口的实时数据流并存入Kafka指定的Topic中</w:t>
            </w:r>
          </w:p>
        </w:tc>
      </w:tr>
      <w:tr w14:paraId="277CA1A4">
        <w:tblPrEx>
          <w:tblCellMar>
            <w:top w:w="0" w:type="dxa"/>
            <w:left w:w="0" w:type="dxa"/>
            <w:bottom w:w="0" w:type="dxa"/>
            <w:right w:w="0" w:type="dxa"/>
          </w:tblCellMar>
        </w:tblPrEx>
        <w:trPr>
          <w:trHeight w:val="706" w:hRule="atLeast"/>
          <w:jc w:val="center"/>
        </w:trPr>
        <w:tc>
          <w:tcPr>
            <w:tcW w:w="1199" w:type="pct"/>
            <w:vMerge w:val="continue"/>
            <w:tcBorders>
              <w:left w:val="single" w:color="auto" w:sz="4" w:space="0"/>
              <w:bottom w:val="single" w:color="auto" w:sz="4" w:space="0"/>
              <w:right w:val="single" w:color="auto" w:sz="4" w:space="0"/>
            </w:tcBorders>
            <w:shd w:val="clear" w:color="auto" w:fill="FFFFFF"/>
            <w:vAlign w:val="center"/>
          </w:tcPr>
          <w:p w14:paraId="479A8C87">
            <w:pPr>
              <w:adjustRightInd w:val="0"/>
              <w:snapToGrid w:val="0"/>
              <w:jc w:val="center"/>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0F0E0258">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使用Maxwell采集MySQL的binlog日志并存入Kafka指定的Topic中</w:t>
            </w:r>
          </w:p>
        </w:tc>
      </w:tr>
      <w:tr w14:paraId="4C44EA42">
        <w:tblPrEx>
          <w:tblCellMar>
            <w:top w:w="0" w:type="dxa"/>
            <w:left w:w="0" w:type="dxa"/>
            <w:bottom w:w="0" w:type="dxa"/>
            <w:right w:w="0" w:type="dxa"/>
          </w:tblCellMar>
        </w:tblPrEx>
        <w:trPr>
          <w:trHeight w:val="696" w:hRule="atLeast"/>
          <w:jc w:val="center"/>
        </w:trPr>
        <w:tc>
          <w:tcPr>
            <w:tcW w:w="1199" w:type="pct"/>
            <w:vMerge w:val="restart"/>
            <w:tcBorders>
              <w:top w:val="single" w:color="auto" w:sz="4" w:space="0"/>
              <w:left w:val="single" w:color="auto" w:sz="4" w:space="0"/>
              <w:right w:val="single" w:color="auto" w:sz="4" w:space="0"/>
            </w:tcBorders>
            <w:shd w:val="clear" w:color="auto" w:fill="FFFFFF"/>
            <w:tcMar>
              <w:top w:w="15" w:type="dxa"/>
              <w:left w:w="15" w:type="dxa"/>
              <w:bottom w:w="0" w:type="dxa"/>
              <w:right w:w="15" w:type="dxa"/>
            </w:tcMar>
            <w:vAlign w:val="center"/>
          </w:tcPr>
          <w:p w14:paraId="7351E8D7">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实时数据处理</w:t>
            </w: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285E7F43">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使用Flink消费Kafka中的数据并将数据分发至Kafka的dwd层中</w:t>
            </w:r>
          </w:p>
        </w:tc>
      </w:tr>
      <w:tr w14:paraId="5AFB613B">
        <w:tblPrEx>
          <w:shd w:val="clear" w:color="auto" w:fill="FFFFFF"/>
          <w:tblCellMar>
            <w:top w:w="0" w:type="dxa"/>
            <w:left w:w="0" w:type="dxa"/>
            <w:bottom w:w="0" w:type="dxa"/>
            <w:right w:w="0" w:type="dxa"/>
          </w:tblCellMar>
        </w:tblPrEx>
        <w:trPr>
          <w:trHeight w:val="696" w:hRule="atLeast"/>
          <w:jc w:val="center"/>
        </w:trPr>
        <w:tc>
          <w:tcPr>
            <w:tcW w:w="1199" w:type="pct"/>
            <w:vMerge w:val="continue"/>
            <w:tcBorders>
              <w:left w:val="single" w:color="auto" w:sz="4" w:space="0"/>
              <w:right w:val="single" w:color="auto" w:sz="4" w:space="0"/>
            </w:tcBorders>
            <w:shd w:val="clear" w:color="auto" w:fill="FFFFFF"/>
            <w:tcMar>
              <w:top w:w="15" w:type="dxa"/>
              <w:left w:w="15" w:type="dxa"/>
              <w:bottom w:w="0" w:type="dxa"/>
              <w:right w:w="15" w:type="dxa"/>
            </w:tcMar>
            <w:vAlign w:val="center"/>
          </w:tcPr>
          <w:p w14:paraId="0ADBB34E">
            <w:pPr>
              <w:adjustRightInd w:val="0"/>
              <w:snapToGrid w:val="0"/>
              <w:jc w:val="center"/>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297A7C32">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使用Flink消费Kafka中的数据的同时能够将数据备份至HBase中，同时建立Hive外表</w:t>
            </w:r>
          </w:p>
        </w:tc>
      </w:tr>
      <w:tr w14:paraId="0202601F">
        <w:tblPrEx>
          <w:shd w:val="clear" w:color="auto" w:fill="FFFFFF"/>
          <w:tblCellMar>
            <w:top w:w="0" w:type="dxa"/>
            <w:left w:w="0" w:type="dxa"/>
            <w:bottom w:w="0" w:type="dxa"/>
            <w:right w:w="0" w:type="dxa"/>
          </w:tblCellMar>
        </w:tblPrEx>
        <w:trPr>
          <w:trHeight w:val="477" w:hRule="atLeast"/>
          <w:jc w:val="center"/>
        </w:trPr>
        <w:tc>
          <w:tcPr>
            <w:tcW w:w="1199" w:type="pct"/>
            <w:vMerge w:val="continue"/>
            <w:tcBorders>
              <w:left w:val="single" w:color="auto" w:sz="4" w:space="0"/>
              <w:right w:val="single" w:color="auto" w:sz="4" w:space="0"/>
            </w:tcBorders>
            <w:shd w:val="clear" w:color="auto" w:fill="FFFFFF"/>
            <w:tcMar>
              <w:top w:w="15" w:type="dxa"/>
              <w:left w:w="15" w:type="dxa"/>
              <w:bottom w:w="0" w:type="dxa"/>
              <w:right w:w="15" w:type="dxa"/>
            </w:tcMar>
            <w:vAlign w:val="center"/>
          </w:tcPr>
          <w:p w14:paraId="78CDF0D1">
            <w:pPr>
              <w:adjustRightInd w:val="0"/>
              <w:snapToGrid w:val="0"/>
              <w:jc w:val="center"/>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0F9C80B5">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使用Flink对实时数据进行处理并将处理计算结果存入Redis中</w:t>
            </w:r>
          </w:p>
        </w:tc>
      </w:tr>
      <w:tr w14:paraId="4625EDA2">
        <w:tblPrEx>
          <w:shd w:val="clear" w:color="auto" w:fill="FFFFFF"/>
          <w:tblCellMar>
            <w:top w:w="0" w:type="dxa"/>
            <w:left w:w="0" w:type="dxa"/>
            <w:bottom w:w="0" w:type="dxa"/>
            <w:right w:w="0" w:type="dxa"/>
          </w:tblCellMar>
        </w:tblPrEx>
        <w:trPr>
          <w:trHeight w:val="758" w:hRule="atLeast"/>
          <w:jc w:val="center"/>
        </w:trPr>
        <w:tc>
          <w:tcPr>
            <w:tcW w:w="1199" w:type="pct"/>
            <w:vMerge w:val="continue"/>
            <w:tcBorders>
              <w:left w:val="single" w:color="auto" w:sz="4" w:space="0"/>
              <w:right w:val="single" w:color="auto" w:sz="4" w:space="0"/>
            </w:tcBorders>
            <w:shd w:val="clear" w:color="auto" w:fill="FFFFFF"/>
            <w:vAlign w:val="center"/>
          </w:tcPr>
          <w:p w14:paraId="302E39DD">
            <w:pPr>
              <w:adjustRightInd w:val="0"/>
              <w:snapToGrid w:val="0"/>
              <w:jc w:val="center"/>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786E9A64">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使用Flink对实时数据进行处理并将处理计算结果存入ClickHouse中</w:t>
            </w:r>
          </w:p>
        </w:tc>
      </w:tr>
      <w:tr w14:paraId="180FCBB7">
        <w:tblPrEx>
          <w:shd w:val="clear" w:color="auto" w:fill="FFFFFF"/>
          <w:tblCellMar>
            <w:top w:w="0" w:type="dxa"/>
            <w:left w:w="0" w:type="dxa"/>
            <w:bottom w:w="0" w:type="dxa"/>
            <w:right w:w="0" w:type="dxa"/>
          </w:tblCellMar>
        </w:tblPrEx>
        <w:trPr>
          <w:trHeight w:val="758" w:hRule="atLeast"/>
          <w:jc w:val="center"/>
        </w:trPr>
        <w:tc>
          <w:tcPr>
            <w:tcW w:w="1199" w:type="pct"/>
            <w:vMerge w:val="restart"/>
            <w:tcBorders>
              <w:top w:val="single" w:color="auto" w:sz="4" w:space="0"/>
              <w:left w:val="single" w:color="auto" w:sz="4" w:space="0"/>
              <w:right w:val="single" w:color="auto" w:sz="4" w:space="0"/>
            </w:tcBorders>
            <w:shd w:val="clear" w:color="auto" w:fill="FFFFFF"/>
            <w:vAlign w:val="center"/>
          </w:tcPr>
          <w:p w14:paraId="381A2AB5">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离线数据处理</w:t>
            </w: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5EE526D6">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使用Spark对ods层中的离线数据进行清洗，包括数据合并、去重、排序、数据类型转换等操作</w:t>
            </w:r>
          </w:p>
        </w:tc>
      </w:tr>
      <w:tr w14:paraId="276B1495">
        <w:tblPrEx>
          <w:tblCellMar>
            <w:top w:w="0" w:type="dxa"/>
            <w:left w:w="0" w:type="dxa"/>
            <w:bottom w:w="0" w:type="dxa"/>
            <w:right w:w="0" w:type="dxa"/>
          </w:tblCellMar>
        </w:tblPrEx>
        <w:trPr>
          <w:trHeight w:val="758" w:hRule="atLeast"/>
          <w:jc w:val="center"/>
        </w:trPr>
        <w:tc>
          <w:tcPr>
            <w:tcW w:w="1199" w:type="pct"/>
            <w:vMerge w:val="continue"/>
            <w:tcBorders>
              <w:left w:val="single" w:color="auto" w:sz="4" w:space="0"/>
              <w:right w:val="single" w:color="auto" w:sz="4" w:space="0"/>
            </w:tcBorders>
            <w:shd w:val="clear" w:color="auto" w:fill="FFFFFF"/>
            <w:vAlign w:val="center"/>
          </w:tcPr>
          <w:p w14:paraId="3106FB81">
            <w:pPr>
              <w:adjustRightInd w:val="0"/>
              <w:snapToGrid w:val="0"/>
              <w:jc w:val="center"/>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73EB5D66">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将清洗完的数据存入dwd层中</w:t>
            </w:r>
          </w:p>
        </w:tc>
      </w:tr>
      <w:tr w14:paraId="28B8B0F5">
        <w:tblPrEx>
          <w:shd w:val="clear" w:color="auto" w:fill="FFFFFF"/>
          <w:tblCellMar>
            <w:top w:w="0" w:type="dxa"/>
            <w:left w:w="0" w:type="dxa"/>
            <w:bottom w:w="0" w:type="dxa"/>
            <w:right w:w="0" w:type="dxa"/>
          </w:tblCellMar>
        </w:tblPrEx>
        <w:trPr>
          <w:trHeight w:val="758" w:hRule="atLeast"/>
          <w:jc w:val="center"/>
        </w:trPr>
        <w:tc>
          <w:tcPr>
            <w:tcW w:w="1199" w:type="pct"/>
            <w:vMerge w:val="continue"/>
            <w:tcBorders>
              <w:left w:val="single" w:color="auto" w:sz="4" w:space="0"/>
              <w:right w:val="single" w:color="auto" w:sz="4" w:space="0"/>
            </w:tcBorders>
            <w:shd w:val="clear" w:color="auto" w:fill="FFFFFF"/>
            <w:vAlign w:val="center"/>
          </w:tcPr>
          <w:p w14:paraId="52015BCA">
            <w:pPr>
              <w:adjustRightInd w:val="0"/>
              <w:snapToGrid w:val="0"/>
              <w:jc w:val="center"/>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192B2F0C">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根据dwd层的数据使用Spark对数据进行处理计算，并将计算结果存入MySQL中</w:t>
            </w:r>
          </w:p>
        </w:tc>
      </w:tr>
      <w:tr w14:paraId="10B73B4C">
        <w:tblPrEx>
          <w:shd w:val="clear" w:color="auto" w:fill="FFFFFF"/>
          <w:tblCellMar>
            <w:top w:w="0" w:type="dxa"/>
            <w:left w:w="0" w:type="dxa"/>
            <w:bottom w:w="0" w:type="dxa"/>
            <w:right w:w="0" w:type="dxa"/>
          </w:tblCellMar>
        </w:tblPrEx>
        <w:trPr>
          <w:trHeight w:val="758" w:hRule="atLeast"/>
          <w:jc w:val="center"/>
        </w:trPr>
        <w:tc>
          <w:tcPr>
            <w:tcW w:w="1199" w:type="pct"/>
            <w:vMerge w:val="continue"/>
            <w:tcBorders>
              <w:left w:val="single" w:color="auto" w:sz="4" w:space="0"/>
              <w:right w:val="single" w:color="auto" w:sz="4" w:space="0"/>
            </w:tcBorders>
            <w:shd w:val="clear" w:color="auto" w:fill="FFFFFF"/>
            <w:vAlign w:val="center"/>
          </w:tcPr>
          <w:p w14:paraId="5069796D">
            <w:pPr>
              <w:adjustRightInd w:val="0"/>
              <w:snapToGrid w:val="0"/>
              <w:jc w:val="center"/>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79641CF1">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根据dwd层的数据使用Spark对数据进行处理计算，并将计算结果存入HBase中</w:t>
            </w:r>
          </w:p>
        </w:tc>
      </w:tr>
      <w:tr w14:paraId="1177D105">
        <w:tblPrEx>
          <w:shd w:val="clear" w:color="auto" w:fill="FFFFFF"/>
          <w:tblCellMar>
            <w:top w:w="0" w:type="dxa"/>
            <w:left w:w="0" w:type="dxa"/>
            <w:bottom w:w="0" w:type="dxa"/>
            <w:right w:w="0" w:type="dxa"/>
          </w:tblCellMar>
        </w:tblPrEx>
        <w:trPr>
          <w:trHeight w:val="758" w:hRule="atLeast"/>
          <w:jc w:val="center"/>
        </w:trPr>
        <w:tc>
          <w:tcPr>
            <w:tcW w:w="1199" w:type="pct"/>
            <w:vMerge w:val="continue"/>
            <w:tcBorders>
              <w:left w:val="single" w:color="auto" w:sz="4" w:space="0"/>
              <w:bottom w:val="single" w:color="auto" w:sz="4" w:space="0"/>
              <w:right w:val="single" w:color="auto" w:sz="4" w:space="0"/>
            </w:tcBorders>
            <w:shd w:val="clear" w:color="auto" w:fill="FFFFFF"/>
            <w:vAlign w:val="center"/>
          </w:tcPr>
          <w:p w14:paraId="606A7BE5">
            <w:pPr>
              <w:adjustRightInd w:val="0"/>
              <w:snapToGrid w:val="0"/>
              <w:jc w:val="center"/>
              <w:rPr>
                <w:rFonts w:hint="eastAsia" w:ascii="仿宋_GB2312" w:hAnsi="仿宋_GB2312" w:eastAsia="仿宋_GB2312" w:cs="仿宋_GB2312"/>
                <w:b w:val="0"/>
                <w:bCs w:val="0"/>
                <w:kern w:val="2"/>
                <w:sz w:val="32"/>
                <w:szCs w:val="32"/>
                <w:lang w:eastAsia="zh-CN"/>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701FDD40">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根据dwd层的数据使用Spark对数据进行处理计算，并将计算结果存入ClickHouse中</w:t>
            </w:r>
          </w:p>
        </w:tc>
      </w:tr>
      <w:tr w14:paraId="0B591DFD">
        <w:tblPrEx>
          <w:tblCellMar>
            <w:top w:w="0" w:type="dxa"/>
            <w:left w:w="0" w:type="dxa"/>
            <w:bottom w:w="0" w:type="dxa"/>
            <w:right w:w="0" w:type="dxa"/>
          </w:tblCellMar>
        </w:tblPrEx>
        <w:trPr>
          <w:trHeight w:val="758" w:hRule="atLeast"/>
          <w:jc w:val="center"/>
        </w:trPr>
        <w:tc>
          <w:tcPr>
            <w:tcW w:w="1199" w:type="pct"/>
            <w:tcBorders>
              <w:left w:val="single" w:color="auto" w:sz="4" w:space="0"/>
              <w:right w:val="single" w:color="auto" w:sz="4" w:space="0"/>
            </w:tcBorders>
            <w:shd w:val="clear" w:color="auto" w:fill="FFFFFF"/>
            <w:vAlign w:val="center"/>
          </w:tcPr>
          <w:p w14:paraId="3C9A6E87">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数据可视化</w:t>
            </w: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0B8F1659">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根据后端数据接口，基于Vue.js、ECharts的数据可视化编码（柱状图、折线图、饼状图等）</w:t>
            </w:r>
          </w:p>
        </w:tc>
      </w:tr>
      <w:tr w14:paraId="10DDD6BD">
        <w:tblPrEx>
          <w:tblCellMar>
            <w:top w:w="0" w:type="dxa"/>
            <w:left w:w="0" w:type="dxa"/>
            <w:bottom w:w="0" w:type="dxa"/>
            <w:right w:w="0" w:type="dxa"/>
          </w:tblCellMar>
        </w:tblPrEx>
        <w:trPr>
          <w:trHeight w:val="508" w:hRule="atLeast"/>
          <w:jc w:val="center"/>
        </w:trPr>
        <w:tc>
          <w:tcPr>
            <w:tcW w:w="1199"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74E03B96">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综合分析报告</w:t>
            </w: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595AF109">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文档能力、综合分析能力</w:t>
            </w:r>
          </w:p>
        </w:tc>
      </w:tr>
    </w:tbl>
    <w:p w14:paraId="2983DCCA">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竞赛各阶段分值权重和时间分布如下：</w:t>
      </w:r>
    </w:p>
    <w:tbl>
      <w:tblPr>
        <w:tblStyle w:val="13"/>
        <w:tblW w:w="8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7"/>
        <w:gridCol w:w="1620"/>
        <w:gridCol w:w="2529"/>
      </w:tblGrid>
      <w:tr w14:paraId="6B664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4" w:hRule="atLeast"/>
          <w:jc w:val="center"/>
        </w:trPr>
        <w:tc>
          <w:tcPr>
            <w:tcW w:w="4227" w:type="dxa"/>
            <w:shd w:val="clear" w:color="auto" w:fill="D8D8D8"/>
            <w:vAlign w:val="center"/>
          </w:tcPr>
          <w:p w14:paraId="42B9F9D7">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阶段</w:t>
            </w:r>
          </w:p>
        </w:tc>
        <w:tc>
          <w:tcPr>
            <w:tcW w:w="1620" w:type="dxa"/>
            <w:shd w:val="clear" w:color="auto" w:fill="D8D8D8"/>
            <w:vAlign w:val="center"/>
          </w:tcPr>
          <w:p w14:paraId="73B27961">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竞赛时间</w:t>
            </w:r>
          </w:p>
        </w:tc>
        <w:tc>
          <w:tcPr>
            <w:tcW w:w="2529" w:type="dxa"/>
            <w:shd w:val="clear" w:color="auto" w:fill="D8D8D8"/>
            <w:vAlign w:val="center"/>
          </w:tcPr>
          <w:p w14:paraId="20E77AFF">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分值权重</w:t>
            </w:r>
          </w:p>
        </w:tc>
      </w:tr>
      <w:tr w14:paraId="7A95D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7" w:type="dxa"/>
            <w:vAlign w:val="center"/>
          </w:tcPr>
          <w:p w14:paraId="4E9B197F">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大数据平台环境搭建</w:t>
            </w:r>
          </w:p>
        </w:tc>
        <w:tc>
          <w:tcPr>
            <w:tcW w:w="1620" w:type="dxa"/>
            <w:vMerge w:val="restart"/>
            <w:vAlign w:val="center"/>
          </w:tcPr>
          <w:p w14:paraId="2F2DFC5F">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6小时</w:t>
            </w:r>
          </w:p>
        </w:tc>
        <w:tc>
          <w:tcPr>
            <w:tcW w:w="2529" w:type="dxa"/>
            <w:vAlign w:val="center"/>
          </w:tcPr>
          <w:p w14:paraId="12379D2F">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权重10%</w:t>
            </w:r>
          </w:p>
        </w:tc>
      </w:tr>
      <w:tr w14:paraId="45B3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7" w:type="dxa"/>
            <w:vAlign w:val="center"/>
          </w:tcPr>
          <w:p w14:paraId="608AED15">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数据采集</w:t>
            </w:r>
          </w:p>
        </w:tc>
        <w:tc>
          <w:tcPr>
            <w:tcW w:w="1620" w:type="dxa"/>
            <w:vMerge w:val="continue"/>
            <w:vAlign w:val="center"/>
          </w:tcPr>
          <w:p w14:paraId="4CB6195E">
            <w:pPr>
              <w:adjustRightInd w:val="0"/>
              <w:snapToGrid w:val="0"/>
              <w:jc w:val="center"/>
              <w:rPr>
                <w:rFonts w:hint="eastAsia" w:ascii="仿宋_GB2312" w:hAnsi="仿宋_GB2312" w:eastAsia="仿宋_GB2312" w:cs="仿宋_GB2312"/>
                <w:b w:val="0"/>
                <w:bCs w:val="0"/>
                <w:kern w:val="2"/>
                <w:sz w:val="32"/>
                <w:szCs w:val="32"/>
                <w:lang w:eastAsia="zh-CN"/>
              </w:rPr>
            </w:pPr>
          </w:p>
        </w:tc>
        <w:tc>
          <w:tcPr>
            <w:tcW w:w="2529" w:type="dxa"/>
            <w:vAlign w:val="center"/>
          </w:tcPr>
          <w:p w14:paraId="00F803B8">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权重15%</w:t>
            </w:r>
          </w:p>
        </w:tc>
      </w:tr>
      <w:tr w14:paraId="20E33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7" w:type="dxa"/>
            <w:vAlign w:val="center"/>
          </w:tcPr>
          <w:p w14:paraId="0B553862">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实时数据处理</w:t>
            </w:r>
          </w:p>
        </w:tc>
        <w:tc>
          <w:tcPr>
            <w:tcW w:w="1620" w:type="dxa"/>
            <w:vMerge w:val="continue"/>
            <w:vAlign w:val="center"/>
          </w:tcPr>
          <w:p w14:paraId="5F60B48F">
            <w:pPr>
              <w:adjustRightInd w:val="0"/>
              <w:snapToGrid w:val="0"/>
              <w:jc w:val="center"/>
              <w:rPr>
                <w:rFonts w:hint="eastAsia" w:ascii="仿宋_GB2312" w:hAnsi="仿宋_GB2312" w:eastAsia="仿宋_GB2312" w:cs="仿宋_GB2312"/>
                <w:b w:val="0"/>
                <w:bCs w:val="0"/>
                <w:kern w:val="2"/>
                <w:sz w:val="32"/>
                <w:szCs w:val="32"/>
                <w:lang w:eastAsia="zh-CN"/>
              </w:rPr>
            </w:pPr>
          </w:p>
        </w:tc>
        <w:tc>
          <w:tcPr>
            <w:tcW w:w="2529" w:type="dxa"/>
            <w:vAlign w:val="center"/>
          </w:tcPr>
          <w:p w14:paraId="1BFBAB31">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权重25%</w:t>
            </w:r>
          </w:p>
        </w:tc>
      </w:tr>
      <w:tr w14:paraId="619C3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7" w:type="dxa"/>
            <w:vAlign w:val="center"/>
          </w:tcPr>
          <w:p w14:paraId="47C5415A">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离线数据处理</w:t>
            </w:r>
          </w:p>
        </w:tc>
        <w:tc>
          <w:tcPr>
            <w:tcW w:w="1620" w:type="dxa"/>
            <w:vMerge w:val="continue"/>
            <w:vAlign w:val="center"/>
          </w:tcPr>
          <w:p w14:paraId="7568E4EC">
            <w:pPr>
              <w:adjustRightInd w:val="0"/>
              <w:snapToGrid w:val="0"/>
              <w:jc w:val="center"/>
              <w:rPr>
                <w:rFonts w:hint="eastAsia" w:ascii="仿宋_GB2312" w:hAnsi="仿宋_GB2312" w:eastAsia="仿宋_GB2312" w:cs="仿宋_GB2312"/>
                <w:b w:val="0"/>
                <w:bCs w:val="0"/>
                <w:kern w:val="2"/>
                <w:sz w:val="32"/>
                <w:szCs w:val="32"/>
                <w:lang w:eastAsia="zh-CN"/>
              </w:rPr>
            </w:pPr>
          </w:p>
        </w:tc>
        <w:tc>
          <w:tcPr>
            <w:tcW w:w="2529" w:type="dxa"/>
            <w:vAlign w:val="center"/>
          </w:tcPr>
          <w:p w14:paraId="542319A9">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权重20%</w:t>
            </w:r>
          </w:p>
        </w:tc>
      </w:tr>
      <w:tr w14:paraId="60F19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7" w:type="dxa"/>
            <w:vAlign w:val="center"/>
          </w:tcPr>
          <w:p w14:paraId="4249CD9B">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数据可视化</w:t>
            </w:r>
          </w:p>
        </w:tc>
        <w:tc>
          <w:tcPr>
            <w:tcW w:w="1620" w:type="dxa"/>
            <w:vMerge w:val="continue"/>
            <w:vAlign w:val="center"/>
          </w:tcPr>
          <w:p w14:paraId="24619D7C">
            <w:pPr>
              <w:adjustRightInd w:val="0"/>
              <w:snapToGrid w:val="0"/>
              <w:jc w:val="center"/>
              <w:rPr>
                <w:rFonts w:hint="eastAsia" w:ascii="仿宋_GB2312" w:hAnsi="仿宋_GB2312" w:eastAsia="仿宋_GB2312" w:cs="仿宋_GB2312"/>
                <w:b w:val="0"/>
                <w:bCs w:val="0"/>
                <w:kern w:val="2"/>
                <w:sz w:val="32"/>
                <w:szCs w:val="32"/>
                <w:lang w:eastAsia="zh-CN"/>
              </w:rPr>
            </w:pPr>
          </w:p>
        </w:tc>
        <w:tc>
          <w:tcPr>
            <w:tcW w:w="2529" w:type="dxa"/>
            <w:vAlign w:val="center"/>
          </w:tcPr>
          <w:p w14:paraId="4FE36048">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权重15%</w:t>
            </w:r>
          </w:p>
        </w:tc>
      </w:tr>
      <w:tr w14:paraId="68725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7" w:type="dxa"/>
            <w:vAlign w:val="center"/>
          </w:tcPr>
          <w:p w14:paraId="2FA8F98C">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综合分析报告</w:t>
            </w:r>
          </w:p>
        </w:tc>
        <w:tc>
          <w:tcPr>
            <w:tcW w:w="1620" w:type="dxa"/>
            <w:vMerge w:val="continue"/>
            <w:vAlign w:val="center"/>
          </w:tcPr>
          <w:p w14:paraId="007A3B2B">
            <w:pPr>
              <w:adjustRightInd w:val="0"/>
              <w:snapToGrid w:val="0"/>
              <w:jc w:val="center"/>
              <w:rPr>
                <w:rFonts w:hint="eastAsia" w:ascii="仿宋_GB2312" w:hAnsi="仿宋_GB2312" w:eastAsia="仿宋_GB2312" w:cs="仿宋_GB2312"/>
                <w:b w:val="0"/>
                <w:bCs w:val="0"/>
                <w:kern w:val="2"/>
                <w:sz w:val="32"/>
                <w:szCs w:val="32"/>
                <w:lang w:eastAsia="zh-CN"/>
              </w:rPr>
            </w:pPr>
          </w:p>
        </w:tc>
        <w:tc>
          <w:tcPr>
            <w:tcW w:w="2529" w:type="dxa"/>
            <w:vAlign w:val="center"/>
          </w:tcPr>
          <w:p w14:paraId="6C3C82C9">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权重10%</w:t>
            </w:r>
          </w:p>
        </w:tc>
      </w:tr>
      <w:tr w14:paraId="3B1F9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7" w:type="dxa"/>
            <w:vAlign w:val="center"/>
          </w:tcPr>
          <w:p w14:paraId="04D8C861">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团队分工明确合理、操作规范、文明竞赛</w:t>
            </w:r>
          </w:p>
        </w:tc>
        <w:tc>
          <w:tcPr>
            <w:tcW w:w="1620" w:type="dxa"/>
            <w:vMerge w:val="continue"/>
            <w:vAlign w:val="center"/>
          </w:tcPr>
          <w:p w14:paraId="0B8BD535">
            <w:pPr>
              <w:adjustRightInd w:val="0"/>
              <w:snapToGrid w:val="0"/>
              <w:jc w:val="center"/>
              <w:rPr>
                <w:rFonts w:hint="eastAsia" w:ascii="仿宋_GB2312" w:hAnsi="仿宋_GB2312" w:eastAsia="仿宋_GB2312" w:cs="仿宋_GB2312"/>
                <w:b w:val="0"/>
                <w:bCs w:val="0"/>
                <w:kern w:val="2"/>
                <w:sz w:val="32"/>
                <w:szCs w:val="32"/>
                <w:lang w:eastAsia="zh-CN"/>
              </w:rPr>
            </w:pPr>
          </w:p>
        </w:tc>
        <w:tc>
          <w:tcPr>
            <w:tcW w:w="2529" w:type="dxa"/>
            <w:vAlign w:val="center"/>
          </w:tcPr>
          <w:p w14:paraId="0E7F0CED">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权重5%</w:t>
            </w:r>
          </w:p>
        </w:tc>
      </w:tr>
    </w:tbl>
    <w:p w14:paraId="46B7D134">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四、竞赛方式</w:t>
      </w:r>
    </w:p>
    <w:p w14:paraId="14E183B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1.比赛以3人组队的方式进行，不得跨校组队，同一学校的报名参赛队伍不超过2支。</w:t>
      </w:r>
    </w:p>
    <w:p w14:paraId="2A86FCCA">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2.每个参赛队由1名领队（可由指导教师兼任）、3名学生组成，指导教师须为本校专兼职教师，参赛选手和指导教师报名获得确认后不得随意更换。</w:t>
      </w:r>
    </w:p>
    <w:p w14:paraId="179CAE26">
      <w:pPr>
        <w:tabs>
          <w:tab w:val="left" w:pos="567"/>
        </w:tabs>
        <w:snapToGrid w:val="0"/>
        <w:spacing w:line="560" w:lineRule="exact"/>
        <w:ind w:firstLine="627" w:firstLineChars="196"/>
        <w:outlineLvl w:val="1"/>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3.竞赛时间6小时。</w:t>
      </w:r>
    </w:p>
    <w:p w14:paraId="70D19655">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五、竞赛流程</w:t>
      </w:r>
    </w:p>
    <w:p w14:paraId="3381335D">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根据竞赛任务要求，参赛队伍在6小时竞赛时间内须完成竞赛任务，每项任务用时可自行掌握。</w:t>
      </w:r>
      <w:bookmarkStart w:id="0" w:name="_Toc13745"/>
    </w:p>
    <w:p w14:paraId="7E9C539E">
      <w:pPr>
        <w:pStyle w:val="31"/>
        <w:spacing w:line="500" w:lineRule="exact"/>
        <w:ind w:firstLine="470" w:firstLineChars="147"/>
        <w:outlineLvl w:val="1"/>
        <w:rPr>
          <w:rFonts w:hint="eastAsia" w:ascii="楷体_GB2312" w:hAnsi="楷体_GB2312" w:eastAsia="楷体_GB2312" w:cs="楷体_GB2312"/>
          <w:kern w:val="2"/>
          <w:sz w:val="32"/>
          <w:szCs w:val="32"/>
          <w:lang w:val="en-US" w:eastAsia="zh-CN" w:bidi="ar-SA"/>
        </w:rPr>
      </w:pPr>
      <w:r>
        <w:rPr>
          <w:rFonts w:hint="eastAsia" w:ascii="楷体_GB2312" w:hAnsi="楷体_GB2312" w:eastAsia="楷体_GB2312" w:cs="楷体_GB2312"/>
          <w:kern w:val="2"/>
          <w:sz w:val="32"/>
          <w:szCs w:val="32"/>
          <w:lang w:val="en-US" w:eastAsia="zh-CN" w:bidi="ar-SA"/>
        </w:rPr>
        <w:t>（一）竞赛时间安排</w:t>
      </w:r>
      <w:bookmarkEnd w:id="0"/>
    </w:p>
    <w:tbl>
      <w:tblPr>
        <w:tblStyle w:val="13"/>
        <w:tblW w:w="7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6"/>
        <w:gridCol w:w="4804"/>
      </w:tblGrid>
      <w:tr w14:paraId="660A1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2446" w:type="dxa"/>
            <w:shd w:val="clear" w:color="auto" w:fill="D8D8D8"/>
            <w:vAlign w:val="center"/>
          </w:tcPr>
          <w:p w14:paraId="4E40D6A0">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时间</w:t>
            </w:r>
          </w:p>
        </w:tc>
        <w:tc>
          <w:tcPr>
            <w:tcW w:w="4804" w:type="dxa"/>
            <w:shd w:val="clear" w:color="auto" w:fill="D8D8D8"/>
            <w:vAlign w:val="center"/>
          </w:tcPr>
          <w:p w14:paraId="28768647">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内容</w:t>
            </w:r>
          </w:p>
        </w:tc>
      </w:tr>
      <w:tr w14:paraId="36389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46" w:type="dxa"/>
            <w:vAlign w:val="center"/>
          </w:tcPr>
          <w:p w14:paraId="2C10FBDE">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14:00-18:00</w:t>
            </w:r>
          </w:p>
        </w:tc>
        <w:tc>
          <w:tcPr>
            <w:tcW w:w="4804" w:type="dxa"/>
            <w:vAlign w:val="center"/>
          </w:tcPr>
          <w:p w14:paraId="229B2DCB">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各参赛队报到</w:t>
            </w:r>
          </w:p>
        </w:tc>
      </w:tr>
      <w:tr w14:paraId="0FA7F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46" w:type="dxa"/>
            <w:vAlign w:val="center"/>
          </w:tcPr>
          <w:p w14:paraId="34E3B545">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15:00-16:00</w:t>
            </w:r>
          </w:p>
        </w:tc>
        <w:tc>
          <w:tcPr>
            <w:tcW w:w="4804" w:type="dxa"/>
            <w:vAlign w:val="center"/>
          </w:tcPr>
          <w:p w14:paraId="1EADE146">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领队会、赛前说明</w:t>
            </w:r>
          </w:p>
        </w:tc>
      </w:tr>
      <w:tr w14:paraId="5A306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46" w:type="dxa"/>
            <w:vAlign w:val="center"/>
          </w:tcPr>
          <w:p w14:paraId="3B07F04E">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16:00-16:30</w:t>
            </w:r>
          </w:p>
        </w:tc>
        <w:tc>
          <w:tcPr>
            <w:tcW w:w="4804" w:type="dxa"/>
            <w:vAlign w:val="center"/>
          </w:tcPr>
          <w:p w14:paraId="3A9AA81E">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选手熟悉赛场</w:t>
            </w:r>
          </w:p>
        </w:tc>
      </w:tr>
      <w:tr w14:paraId="1043A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46" w:type="dxa"/>
            <w:vAlign w:val="center"/>
          </w:tcPr>
          <w:p w14:paraId="0D0D438F">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8:00-9:00</w:t>
            </w:r>
          </w:p>
        </w:tc>
        <w:tc>
          <w:tcPr>
            <w:tcW w:w="4804" w:type="dxa"/>
            <w:vAlign w:val="center"/>
          </w:tcPr>
          <w:p w14:paraId="50E5859D">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赛场检录，竞赛选手进入赛位</w:t>
            </w:r>
          </w:p>
        </w:tc>
      </w:tr>
      <w:tr w14:paraId="09D3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2446" w:type="dxa"/>
            <w:vAlign w:val="center"/>
          </w:tcPr>
          <w:p w14:paraId="0EA46037">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9:00-15:00</w:t>
            </w:r>
          </w:p>
        </w:tc>
        <w:tc>
          <w:tcPr>
            <w:tcW w:w="4804" w:type="dxa"/>
            <w:vAlign w:val="center"/>
          </w:tcPr>
          <w:p w14:paraId="530BE16A">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竞赛选手完成竞赛任务</w:t>
            </w:r>
          </w:p>
        </w:tc>
      </w:tr>
      <w:tr w14:paraId="13339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46" w:type="dxa"/>
            <w:vAlign w:val="center"/>
          </w:tcPr>
          <w:p w14:paraId="13A07D74">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16:00-19:00</w:t>
            </w:r>
          </w:p>
        </w:tc>
        <w:tc>
          <w:tcPr>
            <w:tcW w:w="4804" w:type="dxa"/>
            <w:vAlign w:val="center"/>
          </w:tcPr>
          <w:p w14:paraId="0EF97614">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对选手提交的结果文件进行评分</w:t>
            </w:r>
          </w:p>
        </w:tc>
      </w:tr>
    </w:tbl>
    <w:p w14:paraId="3CBA7565">
      <w:pPr>
        <w:pStyle w:val="31"/>
        <w:spacing w:line="500" w:lineRule="exact"/>
        <w:ind w:firstLine="470" w:firstLineChars="147"/>
        <w:outlineLvl w:val="1"/>
        <w:rPr>
          <w:rFonts w:hint="eastAsia" w:ascii="楷体_GB2312" w:hAnsi="楷体_GB2312" w:eastAsia="楷体_GB2312" w:cs="楷体_GB2312"/>
          <w:kern w:val="2"/>
          <w:sz w:val="32"/>
          <w:szCs w:val="32"/>
          <w:lang w:val="en-US" w:eastAsia="zh-CN" w:bidi="ar-SA"/>
        </w:rPr>
      </w:pPr>
      <w:bookmarkStart w:id="1" w:name="_Toc24338"/>
      <w:r>
        <w:rPr>
          <w:rFonts w:hint="eastAsia" w:ascii="楷体_GB2312" w:hAnsi="楷体_GB2312" w:eastAsia="楷体_GB2312" w:cs="楷体_GB2312"/>
          <w:kern w:val="2"/>
          <w:sz w:val="32"/>
          <w:szCs w:val="32"/>
          <w:lang w:val="en-US" w:eastAsia="zh-CN" w:bidi="ar-SA"/>
        </w:rPr>
        <w:pict>
          <v:shape id="图片 3" o:spid="_x0000_s2050" o:spt="75" alt="1" type="#_x0000_t75" style="position:absolute;left:0pt;margin-left:97.3pt;margin-top:56.2pt;height:252pt;width:224.45pt;mso-position-horizontal-relative:margin;mso-wrap-distance-bottom:0pt;mso-wrap-distance-top:0pt;z-index:251659264;mso-width-relative:page;mso-height-relative:page;" filled="f" o:preferrelative="t" stroked="f" coordsize="21600,21600">
            <v:path/>
            <v:fill on="f" focussize="0,0"/>
            <v:stroke on="f" joinstyle="miter"/>
            <v:imagedata r:id="rId6" o:title="1"/>
            <o:lock v:ext="edit" aspectratio="f"/>
            <w10:wrap type="topAndBottom"/>
          </v:shape>
        </w:pict>
      </w:r>
      <w:r>
        <w:rPr>
          <w:rFonts w:hint="eastAsia" w:ascii="楷体_GB2312" w:hAnsi="楷体_GB2312" w:eastAsia="楷体_GB2312" w:cs="楷体_GB2312"/>
          <w:kern w:val="2"/>
          <w:sz w:val="32"/>
          <w:szCs w:val="32"/>
          <w:lang w:val="en-US" w:eastAsia="zh-CN" w:bidi="ar-SA"/>
        </w:rPr>
        <w:t>（二）竞赛流程</w:t>
      </w:r>
      <w:bookmarkEnd w:id="1"/>
    </w:p>
    <w:p w14:paraId="58366D92">
      <w:pPr>
        <w:pStyle w:val="2"/>
        <w:ind w:left="643"/>
        <w:rPr>
          <w:rFonts w:hint="eastAsia"/>
        </w:rPr>
      </w:pPr>
    </w:p>
    <w:p w14:paraId="3B1657A0">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六、竞赛规则</w:t>
      </w:r>
    </w:p>
    <w:p w14:paraId="632C69F1">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学生须为高等职业学校专科、高等职业学校本科、技师学院全日制在籍学生，五年制高职四、五年级学生也可报名参赛。凡在往届全国职业院校技能大赛中获一等奖的学生，不能再参加同一项目同一组别的比赛。参赛选手由省教育厅、省人力资源社会保障厅负责。</w:t>
      </w:r>
    </w:p>
    <w:p w14:paraId="39E93411">
      <w:pPr>
        <w:tabs>
          <w:tab w:val="left" w:pos="567"/>
        </w:tabs>
        <w:snapToGrid w:val="0"/>
        <w:spacing w:line="560" w:lineRule="exact"/>
        <w:ind w:firstLine="627" w:firstLineChars="196"/>
        <w:outlineLvl w:val="1"/>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2.竞赛前1日安排各参赛队领队、参赛选手熟悉赛场。</w:t>
      </w:r>
    </w:p>
    <w:p w14:paraId="427F5122">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3.严禁参赛选手、赛项裁判、工作人员私自携带通讯、摄录设备进入比赛场地。</w:t>
      </w:r>
    </w:p>
    <w:p w14:paraId="295860D7">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4.参赛选手所需的硬件、软件和辅助工具统一提供，参赛队不得使用自带的任何有存储功能的设备，如硬盘、光盘、U盘、手机、平板电脑等。</w:t>
      </w:r>
    </w:p>
    <w:p w14:paraId="3E87E9A1">
      <w:pPr>
        <w:tabs>
          <w:tab w:val="left" w:pos="567"/>
        </w:tabs>
        <w:snapToGrid w:val="0"/>
        <w:spacing w:line="560" w:lineRule="exact"/>
        <w:ind w:firstLine="627" w:firstLineChars="196"/>
        <w:outlineLvl w:val="1"/>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5.所有参赛选手都必须携带参赛证件进行检录。</w:t>
      </w:r>
    </w:p>
    <w:p w14:paraId="7F1A90F0">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6.参赛队在赛前领取比赛任务并进入比赛工位，比赛正式开始后方可进行相关操作。</w:t>
      </w:r>
    </w:p>
    <w:p w14:paraId="39374405">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7.比赛过程中，选手须严格遵守操作规程，确保人身及设备安全，并接受裁判员的监督和指示。因选手原因造成设备故障或损坏而无法继续比赛的，裁判长有权决定中止该队比赛；非因选手个人原因造成设备故障的，由裁判长视具体情况作出裁决。</w:t>
      </w:r>
    </w:p>
    <w:p w14:paraId="18393EF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8.竞赛开始时统一发放本阶段赛卷，竞赛结束后，参赛选手要确认已成功提交竞赛要求的配置文件和文档，裁判员与参赛选手一起签字确认，参赛选手在确认后不得再进行任何操作。</w:t>
      </w:r>
    </w:p>
    <w:p w14:paraId="73967B35">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9.赛项成绩解密后，在指定地点，以纸质形式向全体参赛队进行公布，成绩无异议后，在闭赛式上予以宣布。</w:t>
      </w:r>
    </w:p>
    <w:p w14:paraId="6F019823">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七、技术规范</w:t>
      </w:r>
    </w:p>
    <w:p w14:paraId="2B366888">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本赛项的技术规范将包括：相关专业的教育教学要求、行业、职业技术标准，以及根据高职目录修订后的大数据技术与应用相关专业人才培养标准和规范，适时地修订本赛项遵循的技术规范。</w:t>
      </w:r>
    </w:p>
    <w:p w14:paraId="6154FFF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（一）基础标准</w:t>
      </w:r>
    </w:p>
    <w:tbl>
      <w:tblPr>
        <w:tblStyle w:val="13"/>
        <w:tblW w:w="8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2861"/>
        <w:gridCol w:w="5503"/>
      </w:tblGrid>
      <w:tr w14:paraId="372EB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95"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D8D8D8"/>
            <w:vAlign w:val="center"/>
          </w:tcPr>
          <w:p w14:paraId="14EBDF40">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标 准</w:t>
            </w:r>
          </w:p>
        </w:tc>
        <w:tc>
          <w:tcPr>
            <w:tcW w:w="5503" w:type="dxa"/>
            <w:tcBorders>
              <w:top w:val="single" w:color="auto" w:sz="4" w:space="0"/>
              <w:left w:val="single" w:color="auto" w:sz="4" w:space="0"/>
              <w:bottom w:val="single" w:color="auto" w:sz="4" w:space="0"/>
              <w:right w:val="single" w:color="auto" w:sz="4" w:space="0"/>
            </w:tcBorders>
            <w:shd w:val="clear" w:color="auto" w:fill="D8D8D8"/>
            <w:vAlign w:val="center"/>
          </w:tcPr>
          <w:p w14:paraId="37E06926">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内 容</w:t>
            </w:r>
          </w:p>
        </w:tc>
      </w:tr>
      <w:tr w14:paraId="7BED8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16C549E6">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GB/T 11457-2006</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29B0BA72">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 xml:space="preserve">信息技术、软件工程术语 </w:t>
            </w:r>
          </w:p>
        </w:tc>
      </w:tr>
      <w:tr w14:paraId="1EBC2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61B829F5">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GB8566-88</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712E77F0">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计算机软件开发规范</w:t>
            </w:r>
          </w:p>
        </w:tc>
      </w:tr>
      <w:tr w14:paraId="35D0C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342B208F">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GB/T 12991-2008</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758CCE3C">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信息技术数据库语言SQL第1部分：框架</w:t>
            </w:r>
          </w:p>
        </w:tc>
      </w:tr>
      <w:tr w14:paraId="31E75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26819FD6">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GB/T 21025-2007</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55DD9D46">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XML使用指南</w:t>
            </w:r>
          </w:p>
        </w:tc>
      </w:tr>
      <w:tr w14:paraId="058B7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1368141F">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GB/T 20009-2005</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1AD8ADAD">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信息安全技术数据库管理系统安全评估准则 已发布</w:t>
            </w:r>
          </w:p>
        </w:tc>
      </w:tr>
      <w:tr w14:paraId="3A5A7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51CBA18F">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GB/T 20273-2006</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0C01C11F">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信息安全技术数据库管理系统安全技术要求</w:t>
            </w:r>
          </w:p>
        </w:tc>
      </w:tr>
      <w:tr w14:paraId="4D6A0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3ABCECD5">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20100383-T-469</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7CD6899B">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信息技术安全技术信息安全管理体系实施指南</w:t>
            </w:r>
          </w:p>
        </w:tc>
      </w:tr>
    </w:tbl>
    <w:p w14:paraId="773CADB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（二）软件开发标准</w:t>
      </w:r>
    </w:p>
    <w:tbl>
      <w:tblPr>
        <w:tblStyle w:val="13"/>
        <w:tblW w:w="8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3003"/>
        <w:gridCol w:w="5361"/>
      </w:tblGrid>
      <w:tr w14:paraId="36425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5" w:hRule="atLeast"/>
          <w:jc w:val="center"/>
        </w:trPr>
        <w:tc>
          <w:tcPr>
            <w:tcW w:w="3003" w:type="dxa"/>
            <w:tcBorders>
              <w:top w:val="single" w:color="auto" w:sz="4" w:space="0"/>
              <w:left w:val="single" w:color="auto" w:sz="4" w:space="0"/>
              <w:bottom w:val="single" w:color="auto" w:sz="4" w:space="0"/>
              <w:right w:val="single" w:color="auto" w:sz="4" w:space="0"/>
            </w:tcBorders>
            <w:shd w:val="clear" w:color="auto" w:fill="D8D8D8"/>
            <w:vAlign w:val="center"/>
          </w:tcPr>
          <w:p w14:paraId="6DE25825">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标 准</w:t>
            </w:r>
          </w:p>
        </w:tc>
        <w:tc>
          <w:tcPr>
            <w:tcW w:w="5361" w:type="dxa"/>
            <w:tcBorders>
              <w:top w:val="single" w:color="auto" w:sz="4" w:space="0"/>
              <w:left w:val="single" w:color="auto" w:sz="4" w:space="0"/>
              <w:bottom w:val="single" w:color="auto" w:sz="4" w:space="0"/>
              <w:right w:val="single" w:color="auto" w:sz="4" w:space="0"/>
            </w:tcBorders>
            <w:shd w:val="clear" w:color="auto" w:fill="D8D8D8"/>
            <w:vAlign w:val="center"/>
          </w:tcPr>
          <w:p w14:paraId="1F5C62AD">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内 容</w:t>
            </w:r>
          </w:p>
        </w:tc>
      </w:tr>
      <w:tr w14:paraId="51CD5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0" w:hRule="atLeast"/>
          <w:jc w:val="center"/>
        </w:trPr>
        <w:tc>
          <w:tcPr>
            <w:tcW w:w="3003" w:type="dxa"/>
            <w:tcBorders>
              <w:top w:val="single" w:color="auto" w:sz="4" w:space="0"/>
              <w:left w:val="single" w:color="auto" w:sz="4" w:space="0"/>
              <w:bottom w:val="single" w:color="auto" w:sz="4" w:space="0"/>
              <w:right w:val="single" w:color="auto" w:sz="4" w:space="0"/>
            </w:tcBorders>
            <w:shd w:val="clear" w:color="auto" w:fill="FFFFFF"/>
            <w:vAlign w:val="center"/>
          </w:tcPr>
          <w:p w14:paraId="2AC09A68">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GB/T 8566 -2001</w:t>
            </w:r>
          </w:p>
        </w:tc>
        <w:tc>
          <w:tcPr>
            <w:tcW w:w="5361" w:type="dxa"/>
            <w:tcBorders>
              <w:top w:val="single" w:color="auto" w:sz="4" w:space="0"/>
              <w:left w:val="single" w:color="auto" w:sz="4" w:space="0"/>
              <w:bottom w:val="single" w:color="auto" w:sz="4" w:space="0"/>
              <w:right w:val="single" w:color="auto" w:sz="4" w:space="0"/>
            </w:tcBorders>
            <w:shd w:val="clear" w:color="auto" w:fill="FFFFFF"/>
            <w:vAlign w:val="center"/>
          </w:tcPr>
          <w:p w14:paraId="39F0467F">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 xml:space="preserve">信息技术 软件生存周期过程 </w:t>
            </w:r>
          </w:p>
        </w:tc>
      </w:tr>
      <w:tr w14:paraId="30CA6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0" w:hRule="atLeast"/>
          <w:jc w:val="center"/>
        </w:trPr>
        <w:tc>
          <w:tcPr>
            <w:tcW w:w="3003" w:type="dxa"/>
            <w:tcBorders>
              <w:top w:val="single" w:color="auto" w:sz="4" w:space="0"/>
              <w:left w:val="single" w:color="auto" w:sz="4" w:space="0"/>
              <w:bottom w:val="single" w:color="auto" w:sz="4" w:space="0"/>
              <w:right w:val="single" w:color="auto" w:sz="4" w:space="0"/>
            </w:tcBorders>
            <w:shd w:val="clear" w:color="auto" w:fill="FFFFFF"/>
            <w:vAlign w:val="center"/>
          </w:tcPr>
          <w:p w14:paraId="4CB2D94B">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GB/T 15853 -1995</w:t>
            </w:r>
          </w:p>
        </w:tc>
        <w:tc>
          <w:tcPr>
            <w:tcW w:w="5361" w:type="dxa"/>
            <w:tcBorders>
              <w:top w:val="single" w:color="auto" w:sz="4" w:space="0"/>
              <w:left w:val="single" w:color="auto" w:sz="4" w:space="0"/>
              <w:bottom w:val="single" w:color="auto" w:sz="4" w:space="0"/>
              <w:right w:val="single" w:color="auto" w:sz="4" w:space="0"/>
            </w:tcBorders>
            <w:shd w:val="clear" w:color="auto" w:fill="FFFFFF"/>
            <w:vAlign w:val="center"/>
          </w:tcPr>
          <w:p w14:paraId="0446F24F">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 xml:space="preserve">软件支持环境 </w:t>
            </w:r>
          </w:p>
        </w:tc>
      </w:tr>
      <w:tr w14:paraId="6B1DB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0" w:hRule="atLeast"/>
          <w:jc w:val="center"/>
        </w:trPr>
        <w:tc>
          <w:tcPr>
            <w:tcW w:w="3003" w:type="dxa"/>
            <w:tcBorders>
              <w:top w:val="single" w:color="auto" w:sz="4" w:space="0"/>
              <w:left w:val="single" w:color="auto" w:sz="4" w:space="0"/>
              <w:bottom w:val="single" w:color="auto" w:sz="4" w:space="0"/>
              <w:right w:val="single" w:color="auto" w:sz="4" w:space="0"/>
            </w:tcBorders>
            <w:shd w:val="clear" w:color="auto" w:fill="FFFFFF"/>
            <w:vAlign w:val="center"/>
          </w:tcPr>
          <w:p w14:paraId="610E7D12">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GB/T 14079 -1993</w:t>
            </w:r>
          </w:p>
        </w:tc>
        <w:tc>
          <w:tcPr>
            <w:tcW w:w="5361" w:type="dxa"/>
            <w:tcBorders>
              <w:top w:val="single" w:color="auto" w:sz="4" w:space="0"/>
              <w:left w:val="single" w:color="auto" w:sz="4" w:space="0"/>
              <w:bottom w:val="single" w:color="auto" w:sz="4" w:space="0"/>
              <w:right w:val="single" w:color="auto" w:sz="4" w:space="0"/>
            </w:tcBorders>
            <w:shd w:val="clear" w:color="auto" w:fill="FFFFFF"/>
            <w:vAlign w:val="center"/>
          </w:tcPr>
          <w:p w14:paraId="03E108DD">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软件维护指南</w:t>
            </w:r>
          </w:p>
        </w:tc>
      </w:tr>
      <w:tr w14:paraId="7DB44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003" w:type="dxa"/>
            <w:tcBorders>
              <w:top w:val="single" w:color="auto" w:sz="4" w:space="0"/>
              <w:left w:val="single" w:color="auto" w:sz="4" w:space="0"/>
              <w:bottom w:val="single" w:color="auto" w:sz="4" w:space="0"/>
              <w:right w:val="single" w:color="auto" w:sz="4" w:space="0"/>
            </w:tcBorders>
            <w:shd w:val="clear" w:color="auto" w:fill="FFFFFF"/>
            <w:vAlign w:val="center"/>
          </w:tcPr>
          <w:p w14:paraId="6E805E9B">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GB/T 17544-1998</w:t>
            </w:r>
          </w:p>
        </w:tc>
        <w:tc>
          <w:tcPr>
            <w:tcW w:w="5361" w:type="dxa"/>
            <w:tcBorders>
              <w:top w:val="single" w:color="auto" w:sz="4" w:space="0"/>
              <w:left w:val="single" w:color="auto" w:sz="4" w:space="0"/>
              <w:bottom w:val="single" w:color="auto" w:sz="4" w:space="0"/>
              <w:right w:val="single" w:color="auto" w:sz="4" w:space="0"/>
            </w:tcBorders>
            <w:shd w:val="clear" w:color="auto" w:fill="FFFFFF"/>
            <w:vAlign w:val="center"/>
          </w:tcPr>
          <w:p w14:paraId="4DBA434A">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信息技术 软件包 质量要求和测试</w:t>
            </w:r>
          </w:p>
        </w:tc>
      </w:tr>
    </w:tbl>
    <w:p w14:paraId="07E5993F">
      <w:pPr>
        <w:pStyle w:val="2"/>
        <w:ind w:left="643"/>
        <w:rPr>
          <w:rFonts w:hint="eastAsia"/>
        </w:rPr>
      </w:pPr>
    </w:p>
    <w:p w14:paraId="0E34B0F9">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八、技术环境</w:t>
      </w:r>
    </w:p>
    <w:p w14:paraId="167604F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（一）竞赛设备</w:t>
      </w:r>
    </w:p>
    <w:tbl>
      <w:tblPr>
        <w:tblStyle w:val="13"/>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5"/>
        <w:gridCol w:w="2271"/>
        <w:gridCol w:w="2127"/>
        <w:gridCol w:w="2556"/>
      </w:tblGrid>
      <w:tr w14:paraId="75D1A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00" w:type="pct"/>
            <w:shd w:val="clear" w:color="auto" w:fill="D8D8D8"/>
            <w:vAlign w:val="center"/>
          </w:tcPr>
          <w:p w14:paraId="48A86C24">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设备类别</w:t>
            </w:r>
          </w:p>
        </w:tc>
        <w:tc>
          <w:tcPr>
            <w:tcW w:w="1339" w:type="pct"/>
            <w:shd w:val="clear" w:color="auto" w:fill="D8D8D8"/>
            <w:vAlign w:val="center"/>
          </w:tcPr>
          <w:p w14:paraId="00496BB6">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数量</w:t>
            </w:r>
          </w:p>
        </w:tc>
        <w:tc>
          <w:tcPr>
            <w:tcW w:w="1254" w:type="pct"/>
            <w:shd w:val="clear" w:color="auto" w:fill="D8D8D8"/>
            <w:vAlign w:val="center"/>
          </w:tcPr>
          <w:p w14:paraId="1BB5D54C">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设备用途</w:t>
            </w:r>
          </w:p>
        </w:tc>
        <w:tc>
          <w:tcPr>
            <w:tcW w:w="1507" w:type="pct"/>
            <w:shd w:val="clear" w:color="auto" w:fill="D8D8D8"/>
            <w:vAlign w:val="center"/>
          </w:tcPr>
          <w:p w14:paraId="29C49696">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基本配置</w:t>
            </w:r>
          </w:p>
        </w:tc>
      </w:tr>
      <w:tr w14:paraId="1E98D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trPr>
        <w:tc>
          <w:tcPr>
            <w:tcW w:w="900" w:type="pct"/>
            <w:vAlign w:val="center"/>
          </w:tcPr>
          <w:p w14:paraId="084354D2">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竞赛服务器</w:t>
            </w:r>
          </w:p>
        </w:tc>
        <w:tc>
          <w:tcPr>
            <w:tcW w:w="1339" w:type="pct"/>
            <w:vAlign w:val="center"/>
          </w:tcPr>
          <w:p w14:paraId="1A19B191">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每支参赛队伍1台。</w:t>
            </w:r>
          </w:p>
          <w:p w14:paraId="66BDC0C5">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根据参赛队数量，配备10%的备份机器。</w:t>
            </w:r>
          </w:p>
        </w:tc>
        <w:tc>
          <w:tcPr>
            <w:tcW w:w="1254" w:type="pct"/>
            <w:vAlign w:val="center"/>
          </w:tcPr>
          <w:p w14:paraId="18992F25">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构建大数据平台集群</w:t>
            </w:r>
          </w:p>
        </w:tc>
        <w:tc>
          <w:tcPr>
            <w:tcW w:w="1507" w:type="pct"/>
            <w:vAlign w:val="center"/>
          </w:tcPr>
          <w:p w14:paraId="47B24F4B">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性能相当于i5处理器，64GB以上内存，1TB以上硬盘，网卡（千兆），显示器要求1024*768以上。</w:t>
            </w:r>
          </w:p>
        </w:tc>
      </w:tr>
      <w:tr w14:paraId="1833C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trPr>
        <w:tc>
          <w:tcPr>
            <w:tcW w:w="900" w:type="pct"/>
            <w:tcBorders>
              <w:right w:val="single" w:color="auto" w:sz="4" w:space="0"/>
            </w:tcBorders>
            <w:vAlign w:val="center"/>
          </w:tcPr>
          <w:p w14:paraId="6905E336">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竞赛客户机</w:t>
            </w:r>
          </w:p>
        </w:tc>
        <w:tc>
          <w:tcPr>
            <w:tcW w:w="1339" w:type="pct"/>
            <w:tcBorders>
              <w:top w:val="single" w:color="auto" w:sz="4" w:space="0"/>
              <w:left w:val="single" w:color="auto" w:sz="4" w:space="0"/>
              <w:right w:val="single" w:color="auto" w:sz="4" w:space="0"/>
            </w:tcBorders>
            <w:vAlign w:val="center"/>
          </w:tcPr>
          <w:p w14:paraId="21EA7618">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每支参赛队伍3台。</w:t>
            </w:r>
          </w:p>
          <w:p w14:paraId="3AC14AA4">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根据参赛团队数量，配备10%的备份机器。</w:t>
            </w:r>
          </w:p>
        </w:tc>
        <w:tc>
          <w:tcPr>
            <w:tcW w:w="1254" w:type="pct"/>
            <w:tcBorders>
              <w:left w:val="single" w:color="auto" w:sz="4" w:space="0"/>
            </w:tcBorders>
            <w:vAlign w:val="center"/>
          </w:tcPr>
          <w:p w14:paraId="245939D7">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竞赛选手比赛使用</w:t>
            </w:r>
          </w:p>
        </w:tc>
        <w:tc>
          <w:tcPr>
            <w:tcW w:w="1507" w:type="pct"/>
            <w:vAlign w:val="center"/>
          </w:tcPr>
          <w:p w14:paraId="0E0CB2CB">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性能相当于i5处理器，16GB以上内存，1TB以上硬盘，显示器要求1024*768以上。</w:t>
            </w:r>
          </w:p>
        </w:tc>
      </w:tr>
    </w:tbl>
    <w:p w14:paraId="154E264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（二）软件平台</w:t>
      </w:r>
    </w:p>
    <w:p w14:paraId="721FE7C8">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由北京四合天地科技有限公司提供四合天地大数据实训管理系统。系统基于自研Docker容器编排管理引擎，运用云原生和容器技术构建训练环境，支持快速创建训练环境。实现每个学生环境互相隔离、训练过程互不干扰，教师可以一键操作即可创建一套全新的环境供学生进行备赛训练，方便学生高效的完成训练操作的同时，大幅降低了教师组织训练的难度和成本。具体功能如下：</w:t>
      </w:r>
    </w:p>
    <w:p w14:paraId="4D0BCA02">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1.本系统运行在开源操作系统Linux平台下，应使用浏览器/服务器模式提供服务,用户使用最新版本的谷歌浏览器访问系统。</w:t>
      </w:r>
    </w:p>
    <w:p w14:paraId="58518D5C">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2.系统支持包括管理员、教师、学生三种角色。管理员负责系统配置维护、镜像环境维护等工作；教师负责小组维护、训练任务维护等工作；学生参与并完成训练。</w:t>
      </w:r>
    </w:p>
    <w:p w14:paraId="4BA8EC12">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管理员功能：</w:t>
      </w:r>
    </w:p>
    <w:p w14:paraId="2A754CBA">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3.专业管理：管理员可自主创建专业，编辑专业相关内容，如：新增（编辑）专业，删除专业。</w:t>
      </w:r>
    </w:p>
    <w:p w14:paraId="710D3B68">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4.班级管理：管理员可自主创建班级，编辑班级相关内容，如：新增（编辑）班级，删除班级。</w:t>
      </w:r>
    </w:p>
    <w:p w14:paraId="23ACFBB2">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5.用户管理：管理员可自主创建用户，编辑用户相关内容，如：新增（编辑）用户的账号、姓名、手机号、角色、状态、密码等，同时也可对用户进行删除操作。</w:t>
      </w:r>
    </w:p>
    <w:p w14:paraId="3E409955">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6.镜像环境：管理员可维护镜像环境，可通过网页上传Dockerfile文件来完成镜像环境的创建，也可从本地镜像仓库进行镜像同步，并可对镜像环境执行编辑和查看端口说明操作。</w:t>
      </w:r>
    </w:p>
    <w:p w14:paraId="4F47182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7.环境配置：管理员依据镜像环境的具体应用场景，通过添加环境配置来完善该镜像所需的CPU、内存、磁盘空间等配置信息，并可对环境配置信息进行编辑和删除。</w:t>
      </w:r>
    </w:p>
    <w:p w14:paraId="7576C544">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8.服务器配置：管理员可配置计算节点服务器相关信息，包括新增服务器名称、服务器IP地址、CPU核数、内存大小、磁盘空间，也可对服务器配置信息进行编辑和删除。</w:t>
      </w:r>
    </w:p>
    <w:p w14:paraId="687AC2E1">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9.训练资源监控：管理员可监控正在进行的训练资源，监控正在进行的训练状态、使用人数、占用资源等信息，并可对相关的环境执行启动、挂起等操作。</w:t>
      </w:r>
    </w:p>
    <w:p w14:paraId="48931146">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10.角色管理：管理员可自主创建角色，编辑角色相关内容，如：添加（编辑）角色名称、角色备注（描述）、状态、权限分配（权限分配依据角色名称分配相应权限）等，同时也可对角色进行删除操作。</w:t>
      </w:r>
    </w:p>
    <w:p w14:paraId="4D0A749C">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11.日志管理：管理员可查看当前系统操作日志和登录日志。操作日志主要记录操作的账户、操作模块、时间、IP等信息。登录日志主要记录登录的用户、IP地址、登录状态等信息。</w:t>
      </w:r>
    </w:p>
    <w:p w14:paraId="252857C5">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12.系统设置：可自定义系统名称，如浏览器标题、浏览器LOGO、登录页标题、首页标题、首页LOGO等。</w:t>
      </w:r>
    </w:p>
    <w:p w14:paraId="17BBE4E7">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教师功能：</w:t>
      </w:r>
    </w:p>
    <w:p w14:paraId="1E493E92">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13.训练模块：教师可自主创建训练模块，编辑相应的训练内容。内容包括训练的名称、介绍、使用状态、该训练指定的一个或多个实训环境、可供下载的资源包、任务设置的具体形式包括上传任务说明、任务参考等。</w:t>
      </w:r>
    </w:p>
    <w:p w14:paraId="7AF239E8">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14.小组管理：教师可自主创建小组，并对小组进行编辑、启用、禁用等操作。已启用的小组可以进行添加成员、设置任务参考操作。在编辑具体小组时，通过选择该小组所包含的成员，内容上选择所用到的训练模块，完成小组的整体设置。</w:t>
      </w:r>
    </w:p>
    <w:p w14:paraId="39A47570">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15.训练监控：教师可查看各小组的训练情况，选择启动、挂起、继续或结束训练环境。通过“进入”按钮，可进入小组的某个环境进行指导操作，也可对小组的某个训练环境执行启动、停止、重置或重启。</w:t>
      </w:r>
    </w:p>
    <w:p w14:paraId="753A22C6">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16.训练报告：对已启用小组，记录每个小组中，学生具体的训练情况，查阅学生提交上传的报告、附件等信息，编辑每个学生对应的训练成绩。</w:t>
      </w:r>
    </w:p>
    <w:p w14:paraId="52550502">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17.个人实验环境：教师可在个人实验环境中选择镜像环境进行个人实验或练习等操作。</w:t>
      </w:r>
    </w:p>
    <w:p w14:paraId="22ADF9F7">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18.消息通知：当学生完成训练报告的提交或附件上传时，教师会收到消息通知并可通过消息通知直接找到训练报告或附件。</w:t>
      </w:r>
    </w:p>
    <w:p w14:paraId="075B4337">
      <w:pPr>
        <w:tabs>
          <w:tab w:val="left" w:pos="567"/>
        </w:tabs>
        <w:snapToGrid w:val="0"/>
        <w:spacing w:line="560" w:lineRule="exact"/>
        <w:ind w:firstLine="627" w:firstLineChars="196"/>
        <w:outlineLvl w:val="1"/>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19.个人资料：教师可修改个人头像及密码。</w:t>
      </w:r>
    </w:p>
    <w:p w14:paraId="532E373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学生功能：</w:t>
      </w:r>
    </w:p>
    <w:p w14:paraId="2F095FEC">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20.学生登录平台，可进入对应的训练模块，在线查看任务说明、任务参考，并进入训练环境进行操作，可在浏览器中访问自己的训练环境包括命令行形式的或桌面形式的Linux操作系统，环境相关端口已映射，可通过环境映射的相应宿主机端口访问环境中部署的相应服务，也可对环境进行重置、重启、查看端口说明、上传、下载等操作，同时学生可以下载相关的资源文件，提交个人的训练报告，上传相关附件完成训练。</w:t>
      </w:r>
    </w:p>
    <w:p w14:paraId="15B1AEE3">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21.个人中心：学生可修改个人头像及密码，也可查看自己的训练记录。</w:t>
      </w:r>
    </w:p>
    <w:p w14:paraId="5C8EFF3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2"/>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（三）软件环境</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
      <w:tblGrid>
        <w:gridCol w:w="1410"/>
        <w:gridCol w:w="3263"/>
        <w:gridCol w:w="3623"/>
      </w:tblGrid>
      <w:tr w14:paraId="7C82D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649" w:hRule="atLeast"/>
          <w:jc w:val="center"/>
        </w:trPr>
        <w:tc>
          <w:tcPr>
            <w:tcW w:w="1410" w:type="dxa"/>
            <w:shd w:val="clear" w:color="auto" w:fill="D8D8D8"/>
            <w:vAlign w:val="center"/>
          </w:tcPr>
          <w:p w14:paraId="3A4ABBD5">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设备</w:t>
            </w:r>
          </w:p>
          <w:p w14:paraId="74E30A58">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类型</w:t>
            </w:r>
          </w:p>
        </w:tc>
        <w:tc>
          <w:tcPr>
            <w:tcW w:w="3263" w:type="dxa"/>
            <w:shd w:val="clear" w:color="auto" w:fill="D8D8D8"/>
            <w:vAlign w:val="center"/>
          </w:tcPr>
          <w:p w14:paraId="4510D8D7">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软件类别</w:t>
            </w:r>
          </w:p>
        </w:tc>
        <w:tc>
          <w:tcPr>
            <w:tcW w:w="3623" w:type="dxa"/>
            <w:shd w:val="clear" w:color="auto" w:fill="D8D8D8"/>
            <w:vAlign w:val="center"/>
          </w:tcPr>
          <w:p w14:paraId="325B8826">
            <w:pPr>
              <w:adjustRightInd w:val="0"/>
              <w:snapToGrid w:val="0"/>
              <w:jc w:val="center"/>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软件名称、版本号</w:t>
            </w:r>
          </w:p>
        </w:tc>
      </w:tr>
      <w:tr w14:paraId="0E948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10" w:type="dxa"/>
            <w:vMerge w:val="restart"/>
            <w:shd w:val="clear" w:color="auto" w:fill="FFFFFF"/>
            <w:vAlign w:val="center"/>
          </w:tcPr>
          <w:p w14:paraId="437F9881">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竞赛服务器</w:t>
            </w:r>
          </w:p>
        </w:tc>
        <w:tc>
          <w:tcPr>
            <w:tcW w:w="3263" w:type="dxa"/>
            <w:shd w:val="clear" w:color="auto" w:fill="FFFFFF"/>
            <w:vAlign w:val="center"/>
          </w:tcPr>
          <w:p w14:paraId="110A788A">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竞赛环境大数据集群操作系统</w:t>
            </w:r>
          </w:p>
        </w:tc>
        <w:tc>
          <w:tcPr>
            <w:tcW w:w="3623" w:type="dxa"/>
            <w:shd w:val="clear" w:color="auto" w:fill="FFFFFF"/>
            <w:vAlign w:val="center"/>
          </w:tcPr>
          <w:p w14:paraId="59BEFA48">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CentOS 7、Docker-CE 20.10</w:t>
            </w:r>
          </w:p>
        </w:tc>
      </w:tr>
      <w:tr w14:paraId="021AD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72EC6D5F">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vMerge w:val="restart"/>
            <w:shd w:val="clear" w:color="auto" w:fill="FFFFFF"/>
            <w:vAlign w:val="center"/>
          </w:tcPr>
          <w:p w14:paraId="732CCD78">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大数据平台组件</w:t>
            </w:r>
          </w:p>
        </w:tc>
        <w:tc>
          <w:tcPr>
            <w:tcW w:w="3623" w:type="dxa"/>
            <w:shd w:val="clear" w:color="auto" w:fill="FFFFFF"/>
            <w:vAlign w:val="center"/>
          </w:tcPr>
          <w:p w14:paraId="18D36D75">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Hadoop 3.1.3</w:t>
            </w:r>
          </w:p>
        </w:tc>
      </w:tr>
      <w:tr w14:paraId="247A9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5A5833A1">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vMerge w:val="continue"/>
            <w:shd w:val="clear" w:color="auto" w:fill="FFFFFF"/>
            <w:vAlign w:val="center"/>
          </w:tcPr>
          <w:p w14:paraId="04C1999C">
            <w:pPr>
              <w:adjustRightInd w:val="0"/>
              <w:snapToGrid w:val="0"/>
              <w:jc w:val="left"/>
              <w:rPr>
                <w:rFonts w:hint="eastAsia" w:ascii="仿宋_GB2312" w:hAnsi="仿宋_GB2312" w:eastAsia="仿宋_GB2312" w:cs="仿宋_GB2312"/>
                <w:b w:val="0"/>
                <w:bCs w:val="0"/>
                <w:kern w:val="2"/>
                <w:sz w:val="32"/>
                <w:szCs w:val="32"/>
                <w:lang w:eastAsia="zh-CN"/>
              </w:rPr>
            </w:pPr>
          </w:p>
        </w:tc>
        <w:tc>
          <w:tcPr>
            <w:tcW w:w="3623" w:type="dxa"/>
            <w:shd w:val="clear" w:color="auto" w:fill="FFFFFF"/>
            <w:vAlign w:val="center"/>
          </w:tcPr>
          <w:p w14:paraId="122EB24B">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Hive 3.1.2</w:t>
            </w:r>
          </w:p>
        </w:tc>
      </w:tr>
      <w:tr w14:paraId="15565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0E40E060">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vMerge w:val="continue"/>
            <w:shd w:val="clear" w:color="auto" w:fill="FFFFFF"/>
            <w:vAlign w:val="center"/>
          </w:tcPr>
          <w:p w14:paraId="69EC7214">
            <w:pPr>
              <w:adjustRightInd w:val="0"/>
              <w:snapToGrid w:val="0"/>
              <w:jc w:val="left"/>
              <w:rPr>
                <w:rFonts w:hint="eastAsia" w:ascii="仿宋_GB2312" w:hAnsi="仿宋_GB2312" w:eastAsia="仿宋_GB2312" w:cs="仿宋_GB2312"/>
                <w:b w:val="0"/>
                <w:bCs w:val="0"/>
                <w:kern w:val="2"/>
                <w:sz w:val="32"/>
                <w:szCs w:val="32"/>
                <w:lang w:eastAsia="zh-CN"/>
              </w:rPr>
            </w:pPr>
          </w:p>
        </w:tc>
        <w:tc>
          <w:tcPr>
            <w:tcW w:w="3623" w:type="dxa"/>
            <w:shd w:val="clear" w:color="auto" w:fill="FFFFFF"/>
            <w:vAlign w:val="center"/>
          </w:tcPr>
          <w:p w14:paraId="2EE153BD">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HBase 2.2.3</w:t>
            </w:r>
          </w:p>
        </w:tc>
      </w:tr>
      <w:tr w14:paraId="7136E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2C71FFCD">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vMerge w:val="continue"/>
            <w:shd w:val="clear" w:color="auto" w:fill="FFFFFF"/>
            <w:vAlign w:val="center"/>
          </w:tcPr>
          <w:p w14:paraId="2C6F3025">
            <w:pPr>
              <w:adjustRightInd w:val="0"/>
              <w:snapToGrid w:val="0"/>
              <w:jc w:val="left"/>
              <w:rPr>
                <w:rFonts w:hint="eastAsia" w:ascii="仿宋_GB2312" w:hAnsi="仿宋_GB2312" w:eastAsia="仿宋_GB2312" w:cs="仿宋_GB2312"/>
                <w:b w:val="0"/>
                <w:bCs w:val="0"/>
                <w:kern w:val="2"/>
                <w:sz w:val="32"/>
                <w:szCs w:val="32"/>
                <w:lang w:eastAsia="zh-CN"/>
              </w:rPr>
            </w:pPr>
          </w:p>
        </w:tc>
        <w:tc>
          <w:tcPr>
            <w:tcW w:w="3623" w:type="dxa"/>
            <w:shd w:val="clear" w:color="auto" w:fill="FFFFFF"/>
            <w:vAlign w:val="center"/>
          </w:tcPr>
          <w:p w14:paraId="4096B8A8">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Spark 3.1.1</w:t>
            </w:r>
          </w:p>
        </w:tc>
      </w:tr>
      <w:tr w14:paraId="123ED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635E282C">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vMerge w:val="continue"/>
            <w:shd w:val="clear" w:color="auto" w:fill="FFFFFF"/>
            <w:vAlign w:val="center"/>
          </w:tcPr>
          <w:p w14:paraId="2E37F8A0">
            <w:pPr>
              <w:adjustRightInd w:val="0"/>
              <w:snapToGrid w:val="0"/>
              <w:jc w:val="left"/>
              <w:rPr>
                <w:rFonts w:hint="eastAsia" w:ascii="仿宋_GB2312" w:hAnsi="仿宋_GB2312" w:eastAsia="仿宋_GB2312" w:cs="仿宋_GB2312"/>
                <w:b w:val="0"/>
                <w:bCs w:val="0"/>
                <w:kern w:val="2"/>
                <w:sz w:val="32"/>
                <w:szCs w:val="32"/>
                <w:lang w:eastAsia="zh-CN"/>
              </w:rPr>
            </w:pPr>
          </w:p>
        </w:tc>
        <w:tc>
          <w:tcPr>
            <w:tcW w:w="3623" w:type="dxa"/>
            <w:shd w:val="clear" w:color="auto" w:fill="FFFFFF"/>
            <w:vAlign w:val="center"/>
          </w:tcPr>
          <w:p w14:paraId="3449E765">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Kafka 2.4.1</w:t>
            </w:r>
          </w:p>
        </w:tc>
      </w:tr>
      <w:tr w14:paraId="6798D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1095F17B">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vMerge w:val="continue"/>
            <w:shd w:val="clear" w:color="auto" w:fill="FFFFFF"/>
            <w:vAlign w:val="center"/>
          </w:tcPr>
          <w:p w14:paraId="635DB30E">
            <w:pPr>
              <w:adjustRightInd w:val="0"/>
              <w:snapToGrid w:val="0"/>
              <w:jc w:val="left"/>
              <w:rPr>
                <w:rFonts w:hint="eastAsia" w:ascii="仿宋_GB2312" w:hAnsi="仿宋_GB2312" w:eastAsia="仿宋_GB2312" w:cs="仿宋_GB2312"/>
                <w:b w:val="0"/>
                <w:bCs w:val="0"/>
                <w:kern w:val="2"/>
                <w:sz w:val="32"/>
                <w:szCs w:val="32"/>
                <w:lang w:eastAsia="zh-CN"/>
              </w:rPr>
            </w:pPr>
          </w:p>
        </w:tc>
        <w:tc>
          <w:tcPr>
            <w:tcW w:w="3623" w:type="dxa"/>
            <w:shd w:val="clear" w:color="auto" w:fill="FFFFFF"/>
            <w:vAlign w:val="center"/>
          </w:tcPr>
          <w:p w14:paraId="1CAB02D8">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Redis 6.2.6</w:t>
            </w:r>
          </w:p>
        </w:tc>
      </w:tr>
      <w:tr w14:paraId="2AD15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6E24F9F1">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vMerge w:val="continue"/>
            <w:shd w:val="clear" w:color="auto" w:fill="FFFFFF"/>
            <w:vAlign w:val="center"/>
          </w:tcPr>
          <w:p w14:paraId="1B958D5C">
            <w:pPr>
              <w:adjustRightInd w:val="0"/>
              <w:snapToGrid w:val="0"/>
              <w:jc w:val="left"/>
              <w:rPr>
                <w:rFonts w:hint="eastAsia" w:ascii="仿宋_GB2312" w:hAnsi="仿宋_GB2312" w:eastAsia="仿宋_GB2312" w:cs="仿宋_GB2312"/>
                <w:b w:val="0"/>
                <w:bCs w:val="0"/>
                <w:kern w:val="2"/>
                <w:sz w:val="32"/>
                <w:szCs w:val="32"/>
                <w:lang w:eastAsia="zh-CN"/>
              </w:rPr>
            </w:pPr>
          </w:p>
        </w:tc>
        <w:tc>
          <w:tcPr>
            <w:tcW w:w="3623" w:type="dxa"/>
            <w:shd w:val="clear" w:color="auto" w:fill="FFFFFF"/>
            <w:vAlign w:val="center"/>
          </w:tcPr>
          <w:p w14:paraId="535CD12C">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Flume 1.9.0</w:t>
            </w:r>
          </w:p>
        </w:tc>
      </w:tr>
      <w:tr w14:paraId="19806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3CA2BCA9">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vMerge w:val="continue"/>
            <w:shd w:val="clear" w:color="auto" w:fill="FFFFFF"/>
            <w:vAlign w:val="center"/>
          </w:tcPr>
          <w:p w14:paraId="4A2C82E6">
            <w:pPr>
              <w:adjustRightInd w:val="0"/>
              <w:snapToGrid w:val="0"/>
              <w:jc w:val="left"/>
              <w:rPr>
                <w:rFonts w:hint="eastAsia" w:ascii="仿宋_GB2312" w:hAnsi="仿宋_GB2312" w:eastAsia="仿宋_GB2312" w:cs="仿宋_GB2312"/>
                <w:b w:val="0"/>
                <w:bCs w:val="0"/>
                <w:kern w:val="2"/>
                <w:sz w:val="32"/>
                <w:szCs w:val="32"/>
                <w:lang w:eastAsia="zh-CN"/>
              </w:rPr>
            </w:pPr>
          </w:p>
        </w:tc>
        <w:tc>
          <w:tcPr>
            <w:tcW w:w="3623" w:type="dxa"/>
            <w:shd w:val="clear" w:color="auto" w:fill="FFFFFF"/>
            <w:vAlign w:val="center"/>
          </w:tcPr>
          <w:p w14:paraId="28A693CA">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Maxwell 1.29.0</w:t>
            </w:r>
          </w:p>
        </w:tc>
      </w:tr>
      <w:tr w14:paraId="5E4C7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6DAAE3ED">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vMerge w:val="continue"/>
            <w:shd w:val="clear" w:color="auto" w:fill="FFFFFF"/>
            <w:vAlign w:val="center"/>
          </w:tcPr>
          <w:p w14:paraId="4FF6F348">
            <w:pPr>
              <w:adjustRightInd w:val="0"/>
              <w:snapToGrid w:val="0"/>
              <w:jc w:val="left"/>
              <w:rPr>
                <w:rFonts w:hint="eastAsia" w:ascii="仿宋_GB2312" w:hAnsi="仿宋_GB2312" w:eastAsia="仿宋_GB2312" w:cs="仿宋_GB2312"/>
                <w:b w:val="0"/>
                <w:bCs w:val="0"/>
                <w:kern w:val="2"/>
                <w:sz w:val="32"/>
                <w:szCs w:val="32"/>
                <w:lang w:eastAsia="zh-CN"/>
              </w:rPr>
            </w:pPr>
          </w:p>
        </w:tc>
        <w:tc>
          <w:tcPr>
            <w:tcW w:w="3623" w:type="dxa"/>
            <w:shd w:val="clear" w:color="auto" w:fill="FFFFFF"/>
            <w:vAlign w:val="center"/>
          </w:tcPr>
          <w:p w14:paraId="4FDFF87B">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Flink 1.14.0</w:t>
            </w:r>
          </w:p>
        </w:tc>
      </w:tr>
      <w:tr w14:paraId="2074D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35E5C669">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vMerge w:val="continue"/>
            <w:shd w:val="clear" w:color="auto" w:fill="FFFFFF"/>
            <w:vAlign w:val="center"/>
          </w:tcPr>
          <w:p w14:paraId="4AF96F14">
            <w:pPr>
              <w:adjustRightInd w:val="0"/>
              <w:snapToGrid w:val="0"/>
              <w:jc w:val="left"/>
              <w:rPr>
                <w:rFonts w:hint="eastAsia" w:ascii="仿宋_GB2312" w:hAnsi="仿宋_GB2312" w:eastAsia="仿宋_GB2312" w:cs="仿宋_GB2312"/>
                <w:b w:val="0"/>
                <w:bCs w:val="0"/>
                <w:kern w:val="2"/>
                <w:sz w:val="32"/>
                <w:szCs w:val="32"/>
                <w:lang w:eastAsia="zh-CN"/>
              </w:rPr>
            </w:pPr>
          </w:p>
        </w:tc>
        <w:tc>
          <w:tcPr>
            <w:tcW w:w="3623" w:type="dxa"/>
            <w:shd w:val="clear" w:color="auto" w:fill="FFFFFF"/>
            <w:vAlign w:val="center"/>
          </w:tcPr>
          <w:p w14:paraId="5E27304D">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ClickHouse 21.9.4</w:t>
            </w:r>
          </w:p>
        </w:tc>
      </w:tr>
      <w:tr w14:paraId="77BC4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3CB246F3">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vMerge w:val="continue"/>
            <w:shd w:val="clear" w:color="auto" w:fill="FFFFFF"/>
            <w:vAlign w:val="center"/>
          </w:tcPr>
          <w:p w14:paraId="1E58BB7C">
            <w:pPr>
              <w:adjustRightInd w:val="0"/>
              <w:snapToGrid w:val="0"/>
              <w:jc w:val="left"/>
              <w:rPr>
                <w:rFonts w:hint="eastAsia" w:ascii="仿宋_GB2312" w:hAnsi="仿宋_GB2312" w:eastAsia="仿宋_GB2312" w:cs="仿宋_GB2312"/>
                <w:b w:val="0"/>
                <w:bCs w:val="0"/>
                <w:kern w:val="2"/>
                <w:sz w:val="32"/>
                <w:szCs w:val="32"/>
                <w:lang w:eastAsia="zh-CN"/>
              </w:rPr>
            </w:pPr>
          </w:p>
        </w:tc>
        <w:tc>
          <w:tcPr>
            <w:tcW w:w="3623" w:type="dxa"/>
            <w:shd w:val="clear" w:color="auto" w:fill="FFFFFF"/>
            <w:vAlign w:val="center"/>
          </w:tcPr>
          <w:p w14:paraId="4D1D4A67">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JDK 1.8</w:t>
            </w:r>
          </w:p>
        </w:tc>
      </w:tr>
      <w:tr w14:paraId="2C330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0C0D4F89">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vMerge w:val="continue"/>
            <w:shd w:val="clear" w:color="auto" w:fill="FFFFFF"/>
            <w:vAlign w:val="center"/>
          </w:tcPr>
          <w:p w14:paraId="75B0F463">
            <w:pPr>
              <w:adjustRightInd w:val="0"/>
              <w:snapToGrid w:val="0"/>
              <w:jc w:val="left"/>
              <w:rPr>
                <w:rFonts w:hint="eastAsia" w:ascii="仿宋_GB2312" w:hAnsi="仿宋_GB2312" w:eastAsia="仿宋_GB2312" w:cs="仿宋_GB2312"/>
                <w:b w:val="0"/>
                <w:bCs w:val="0"/>
                <w:kern w:val="2"/>
                <w:sz w:val="32"/>
                <w:szCs w:val="32"/>
                <w:lang w:eastAsia="zh-CN"/>
              </w:rPr>
            </w:pPr>
          </w:p>
        </w:tc>
        <w:tc>
          <w:tcPr>
            <w:tcW w:w="3623" w:type="dxa"/>
            <w:shd w:val="clear" w:color="auto" w:fill="FFFFFF"/>
            <w:vAlign w:val="center"/>
          </w:tcPr>
          <w:p w14:paraId="209C6DF5">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MySQL 5.7</w:t>
            </w:r>
          </w:p>
        </w:tc>
      </w:tr>
      <w:tr w14:paraId="530E0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10" w:type="dxa"/>
            <w:vMerge w:val="restart"/>
            <w:shd w:val="clear" w:color="auto" w:fill="FFFFFF"/>
            <w:vAlign w:val="center"/>
          </w:tcPr>
          <w:p w14:paraId="3D21CB75">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开发客户端</w:t>
            </w:r>
          </w:p>
        </w:tc>
        <w:tc>
          <w:tcPr>
            <w:tcW w:w="3263" w:type="dxa"/>
            <w:shd w:val="clear" w:color="auto" w:fill="FFFFFF"/>
            <w:vAlign w:val="center"/>
          </w:tcPr>
          <w:p w14:paraId="54872563">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PC操作系统</w:t>
            </w:r>
          </w:p>
        </w:tc>
        <w:tc>
          <w:tcPr>
            <w:tcW w:w="3623" w:type="dxa"/>
            <w:shd w:val="clear" w:color="auto" w:fill="FFFFFF"/>
            <w:vAlign w:val="center"/>
          </w:tcPr>
          <w:p w14:paraId="5FB237A8">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Ubuntu18.04 64位</w:t>
            </w:r>
          </w:p>
        </w:tc>
      </w:tr>
      <w:tr w14:paraId="21355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5C7E8D44">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shd w:val="clear" w:color="auto" w:fill="FFFFFF"/>
            <w:vAlign w:val="center"/>
          </w:tcPr>
          <w:p w14:paraId="7DFE5D77">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浏览器</w:t>
            </w:r>
          </w:p>
        </w:tc>
        <w:tc>
          <w:tcPr>
            <w:tcW w:w="3623" w:type="dxa"/>
            <w:shd w:val="clear" w:color="auto" w:fill="FFFFFF"/>
            <w:vAlign w:val="center"/>
          </w:tcPr>
          <w:p w14:paraId="2254906C">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Chrome</w:t>
            </w:r>
          </w:p>
        </w:tc>
      </w:tr>
      <w:tr w14:paraId="45CB4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159E8B7A">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shd w:val="clear" w:color="auto" w:fill="FFFFFF"/>
            <w:vAlign w:val="center"/>
          </w:tcPr>
          <w:p w14:paraId="7E5975D9">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开发语言</w:t>
            </w:r>
          </w:p>
        </w:tc>
        <w:tc>
          <w:tcPr>
            <w:tcW w:w="3623" w:type="dxa"/>
            <w:shd w:val="clear" w:color="auto" w:fill="FFFFFF"/>
            <w:vAlign w:val="center"/>
          </w:tcPr>
          <w:p w14:paraId="490AFE51">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Scala 2.12</w:t>
            </w:r>
          </w:p>
        </w:tc>
      </w:tr>
      <w:tr w14:paraId="0C219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22535434">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vMerge w:val="restart"/>
            <w:shd w:val="clear" w:color="auto" w:fill="FFFFFF"/>
            <w:vAlign w:val="center"/>
          </w:tcPr>
          <w:p w14:paraId="71D21CE3">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开发工具</w:t>
            </w:r>
          </w:p>
        </w:tc>
        <w:tc>
          <w:tcPr>
            <w:tcW w:w="3623" w:type="dxa"/>
            <w:shd w:val="clear" w:color="auto" w:fill="FFFFFF"/>
            <w:vAlign w:val="center"/>
          </w:tcPr>
          <w:p w14:paraId="24AB340A">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IDEA 2022</w:t>
            </w:r>
          </w:p>
          <w:p w14:paraId="56F83BF9">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（Community Edition）</w:t>
            </w:r>
          </w:p>
        </w:tc>
      </w:tr>
      <w:tr w14:paraId="07928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00E5E012">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vMerge w:val="continue"/>
            <w:shd w:val="clear" w:color="auto" w:fill="FFFFFF"/>
            <w:vAlign w:val="center"/>
          </w:tcPr>
          <w:p w14:paraId="0DD1B2E9">
            <w:pPr>
              <w:adjustRightInd w:val="0"/>
              <w:snapToGrid w:val="0"/>
              <w:jc w:val="left"/>
              <w:rPr>
                <w:rFonts w:hint="eastAsia" w:ascii="仿宋_GB2312" w:hAnsi="仿宋_GB2312" w:eastAsia="仿宋_GB2312" w:cs="仿宋_GB2312"/>
                <w:b w:val="0"/>
                <w:bCs w:val="0"/>
                <w:kern w:val="2"/>
                <w:sz w:val="32"/>
                <w:szCs w:val="32"/>
                <w:lang w:eastAsia="zh-CN"/>
              </w:rPr>
            </w:pPr>
          </w:p>
        </w:tc>
        <w:tc>
          <w:tcPr>
            <w:tcW w:w="3623" w:type="dxa"/>
            <w:shd w:val="clear" w:color="auto" w:fill="FFFFFF"/>
            <w:vAlign w:val="center"/>
          </w:tcPr>
          <w:p w14:paraId="40C95A1B">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Visual Studio Code 1.69</w:t>
            </w:r>
          </w:p>
        </w:tc>
      </w:tr>
      <w:tr w14:paraId="24663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1BFA9216">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shd w:val="clear" w:color="auto" w:fill="FFFFFF"/>
            <w:vAlign w:val="center"/>
          </w:tcPr>
          <w:p w14:paraId="76C31B26">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数据库连接工具</w:t>
            </w:r>
          </w:p>
        </w:tc>
        <w:tc>
          <w:tcPr>
            <w:tcW w:w="3623" w:type="dxa"/>
            <w:shd w:val="clear" w:color="auto" w:fill="FFFFFF"/>
            <w:vAlign w:val="center"/>
          </w:tcPr>
          <w:p w14:paraId="35F573BF">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MySQL Workbench</w:t>
            </w:r>
          </w:p>
        </w:tc>
      </w:tr>
      <w:tr w14:paraId="4C4E2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7FA9DA89">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shd w:val="clear" w:color="auto" w:fill="FFFFFF"/>
            <w:vAlign w:val="center"/>
          </w:tcPr>
          <w:p w14:paraId="3231B088">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SSH工具</w:t>
            </w:r>
          </w:p>
        </w:tc>
        <w:tc>
          <w:tcPr>
            <w:tcW w:w="3623" w:type="dxa"/>
            <w:shd w:val="clear" w:color="auto" w:fill="FFFFFF"/>
            <w:vAlign w:val="center"/>
          </w:tcPr>
          <w:p w14:paraId="374E2780">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Asbru-cm或Ubuntu SSH客户端</w:t>
            </w:r>
          </w:p>
        </w:tc>
      </w:tr>
      <w:tr w14:paraId="385AF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6D6255CE">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shd w:val="clear" w:color="auto" w:fill="FFFFFF"/>
            <w:vAlign w:val="center"/>
          </w:tcPr>
          <w:p w14:paraId="7082A1B1">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API测试工具</w:t>
            </w:r>
          </w:p>
        </w:tc>
        <w:tc>
          <w:tcPr>
            <w:tcW w:w="3623" w:type="dxa"/>
            <w:shd w:val="clear" w:color="auto" w:fill="FFFFFF"/>
            <w:vAlign w:val="center"/>
          </w:tcPr>
          <w:p w14:paraId="5E81E5D4">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Postman API Platform</w:t>
            </w:r>
          </w:p>
        </w:tc>
      </w:tr>
      <w:tr w14:paraId="016B4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13D59D54">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vMerge w:val="restart"/>
            <w:shd w:val="clear" w:color="auto" w:fill="FFFFFF"/>
            <w:vAlign w:val="center"/>
          </w:tcPr>
          <w:p w14:paraId="05016EB8">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数据可视化组件</w:t>
            </w:r>
          </w:p>
        </w:tc>
        <w:tc>
          <w:tcPr>
            <w:tcW w:w="3623" w:type="dxa"/>
            <w:shd w:val="clear" w:color="auto" w:fill="FFFFFF"/>
            <w:vAlign w:val="center"/>
          </w:tcPr>
          <w:p w14:paraId="23013C19">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Vue.js 3.0</w:t>
            </w:r>
          </w:p>
        </w:tc>
      </w:tr>
      <w:tr w14:paraId="280F7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0BB03597">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vMerge w:val="continue"/>
            <w:shd w:val="clear" w:color="auto" w:fill="FFFFFF"/>
            <w:vAlign w:val="center"/>
          </w:tcPr>
          <w:p w14:paraId="02048899">
            <w:pPr>
              <w:adjustRightInd w:val="0"/>
              <w:snapToGrid w:val="0"/>
              <w:jc w:val="left"/>
              <w:rPr>
                <w:rFonts w:hint="eastAsia" w:ascii="仿宋_GB2312" w:hAnsi="仿宋_GB2312" w:eastAsia="仿宋_GB2312" w:cs="仿宋_GB2312"/>
                <w:b w:val="0"/>
                <w:bCs w:val="0"/>
                <w:kern w:val="2"/>
                <w:sz w:val="32"/>
                <w:szCs w:val="32"/>
                <w:lang w:eastAsia="zh-CN"/>
              </w:rPr>
            </w:pPr>
          </w:p>
        </w:tc>
        <w:tc>
          <w:tcPr>
            <w:tcW w:w="3623" w:type="dxa"/>
            <w:shd w:val="clear" w:color="auto" w:fill="FFFFFF"/>
            <w:vAlign w:val="center"/>
          </w:tcPr>
          <w:p w14:paraId="02F9110B">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ECharts 5.1</w:t>
            </w:r>
          </w:p>
        </w:tc>
      </w:tr>
      <w:tr w14:paraId="0DF0D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7488E101">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shd w:val="clear" w:color="auto" w:fill="FFFFFF"/>
            <w:vAlign w:val="center"/>
          </w:tcPr>
          <w:p w14:paraId="422CC8C7">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文档编辑器</w:t>
            </w:r>
          </w:p>
        </w:tc>
        <w:tc>
          <w:tcPr>
            <w:tcW w:w="3623" w:type="dxa"/>
            <w:shd w:val="clear" w:color="auto" w:fill="FFFFFF"/>
            <w:vAlign w:val="center"/>
          </w:tcPr>
          <w:p w14:paraId="4B1F619E">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WPS Linux版</w:t>
            </w:r>
          </w:p>
        </w:tc>
      </w:tr>
      <w:tr w14:paraId="2428D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10" w:type="dxa"/>
            <w:vMerge w:val="continue"/>
            <w:shd w:val="clear" w:color="auto" w:fill="FFFFFF"/>
            <w:vAlign w:val="center"/>
          </w:tcPr>
          <w:p w14:paraId="6B6B29E3">
            <w:pPr>
              <w:adjustRightInd w:val="0"/>
              <w:snapToGrid w:val="0"/>
              <w:jc w:val="left"/>
              <w:rPr>
                <w:rFonts w:hint="eastAsia" w:ascii="仿宋_GB2312" w:hAnsi="仿宋_GB2312" w:eastAsia="仿宋_GB2312" w:cs="仿宋_GB2312"/>
                <w:b w:val="0"/>
                <w:bCs w:val="0"/>
                <w:kern w:val="2"/>
                <w:sz w:val="32"/>
                <w:szCs w:val="32"/>
                <w:lang w:eastAsia="zh-CN"/>
              </w:rPr>
            </w:pPr>
          </w:p>
        </w:tc>
        <w:tc>
          <w:tcPr>
            <w:tcW w:w="3263" w:type="dxa"/>
            <w:shd w:val="clear" w:color="auto" w:fill="FFFFFF"/>
            <w:vAlign w:val="center"/>
          </w:tcPr>
          <w:p w14:paraId="0932D4C4">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输入法</w:t>
            </w:r>
          </w:p>
        </w:tc>
        <w:tc>
          <w:tcPr>
            <w:tcW w:w="3623" w:type="dxa"/>
            <w:shd w:val="clear" w:color="auto" w:fill="FFFFFF"/>
            <w:vAlign w:val="center"/>
          </w:tcPr>
          <w:p w14:paraId="7E191ADF">
            <w:pPr>
              <w:adjustRightInd w:val="0"/>
              <w:snapToGrid w:val="0"/>
              <w:jc w:val="left"/>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搜狗拼音输入法 Linux版</w:t>
            </w:r>
          </w:p>
        </w:tc>
      </w:tr>
    </w:tbl>
    <w:p w14:paraId="4E7EFB84">
      <w:pPr>
        <w:pStyle w:val="2"/>
        <w:ind w:left="643"/>
        <w:rPr>
          <w:rFonts w:hint="eastAsia"/>
        </w:rPr>
      </w:pPr>
    </w:p>
    <w:p w14:paraId="7883E817">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九、竞赛样题</w:t>
      </w:r>
    </w:p>
    <w:p w14:paraId="776BC53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（一）竞赛时间、内容及总成绩</w:t>
      </w:r>
    </w:p>
    <w:p w14:paraId="7C78FF54">
      <w:pPr>
        <w:pStyle w:val="31"/>
        <w:keepNext w:val="0"/>
        <w:keepLines w:val="0"/>
        <w:pageBreakBefore w:val="0"/>
        <w:widowControl w:val="0"/>
        <w:kinsoku/>
        <w:wordWrap/>
        <w:overflowPunct/>
        <w:topLinePunct w:val="0"/>
        <w:autoSpaceDE/>
        <w:autoSpaceDN/>
        <w:bidi w:val="0"/>
        <w:adjustRightInd/>
        <w:snapToGrid/>
        <w:spacing w:line="500" w:lineRule="exact"/>
        <w:ind w:firstLine="643" w:firstLineChars="200"/>
        <w:textAlignment w:val="auto"/>
        <w:outlineLvl w:val="2"/>
        <w:rPr>
          <w:rFonts w:ascii="仿宋_GB2312" w:hAnsi="仿宋" w:eastAsia="仿宋_GB2312"/>
          <w:b/>
          <w:bCs/>
          <w:kern w:val="0"/>
          <w:sz w:val="32"/>
          <w:szCs w:val="32"/>
        </w:rPr>
      </w:pPr>
      <w:bookmarkStart w:id="2" w:name="_Toc19771"/>
      <w:r>
        <w:rPr>
          <w:rFonts w:hint="eastAsia" w:ascii="仿宋_GB2312" w:hAnsi="仿宋" w:eastAsia="仿宋_GB2312"/>
          <w:b/>
          <w:bCs/>
          <w:kern w:val="0"/>
          <w:sz w:val="32"/>
          <w:szCs w:val="32"/>
        </w:rPr>
        <w:t>1</w:t>
      </w:r>
      <w:r>
        <w:rPr>
          <w:rFonts w:hint="eastAsia" w:ascii="仿宋_GB2312" w:hAnsi="仿宋" w:eastAsia="仿宋_GB2312"/>
          <w:b/>
          <w:bCs/>
          <w:kern w:val="0"/>
          <w:sz w:val="32"/>
          <w:szCs w:val="32"/>
          <w:lang w:eastAsia="zh-CN"/>
        </w:rPr>
        <w:t>.</w:t>
      </w:r>
      <w:r>
        <w:rPr>
          <w:rFonts w:hint="eastAsia" w:ascii="仿宋_GB2312" w:hAnsi="仿宋" w:eastAsia="仿宋_GB2312"/>
          <w:b/>
          <w:bCs/>
          <w:kern w:val="0"/>
          <w:sz w:val="32"/>
          <w:szCs w:val="32"/>
        </w:rPr>
        <w:t>竞赛时间</w:t>
      </w:r>
      <w:bookmarkEnd w:id="2"/>
    </w:p>
    <w:p w14:paraId="48E83692">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竞赛时间共为6小时，参赛队自行安排任务进度，休息、饮水、如厕等不设专门用时，统一含在竞赛时间内。</w:t>
      </w:r>
    </w:p>
    <w:p w14:paraId="0F825F07">
      <w:pPr>
        <w:pStyle w:val="31"/>
        <w:keepNext w:val="0"/>
        <w:keepLines w:val="0"/>
        <w:pageBreakBefore w:val="0"/>
        <w:widowControl w:val="0"/>
        <w:kinsoku/>
        <w:wordWrap/>
        <w:overflowPunct/>
        <w:topLinePunct w:val="0"/>
        <w:autoSpaceDE/>
        <w:autoSpaceDN/>
        <w:bidi w:val="0"/>
        <w:adjustRightInd/>
        <w:snapToGrid/>
        <w:spacing w:line="500" w:lineRule="exact"/>
        <w:ind w:firstLine="643" w:firstLineChars="200"/>
        <w:textAlignment w:val="auto"/>
        <w:outlineLvl w:val="2"/>
        <w:rPr>
          <w:rFonts w:hint="eastAsia" w:ascii="仿宋_GB2312" w:hAnsi="仿宋" w:eastAsia="仿宋_GB2312"/>
          <w:b/>
          <w:bCs/>
          <w:kern w:val="0"/>
          <w:sz w:val="32"/>
          <w:szCs w:val="32"/>
        </w:rPr>
      </w:pPr>
      <w:bookmarkStart w:id="3" w:name="_Toc25089"/>
      <w:r>
        <w:rPr>
          <w:rFonts w:hint="eastAsia" w:ascii="仿宋_GB2312" w:hAnsi="仿宋" w:eastAsia="仿宋_GB2312"/>
          <w:b/>
          <w:bCs/>
          <w:kern w:val="0"/>
          <w:sz w:val="32"/>
          <w:szCs w:val="32"/>
        </w:rPr>
        <w:t>2</w:t>
      </w:r>
      <w:r>
        <w:rPr>
          <w:rFonts w:hint="eastAsia" w:ascii="仿宋_GB2312" w:hAnsi="仿宋" w:eastAsia="仿宋_GB2312"/>
          <w:b/>
          <w:bCs/>
          <w:kern w:val="0"/>
          <w:sz w:val="32"/>
          <w:szCs w:val="32"/>
          <w:lang w:eastAsia="zh-CN"/>
        </w:rPr>
        <w:t>.</w:t>
      </w:r>
      <w:r>
        <w:rPr>
          <w:rFonts w:hint="eastAsia" w:ascii="仿宋_GB2312" w:hAnsi="仿宋" w:eastAsia="仿宋_GB2312"/>
          <w:b/>
          <w:bCs/>
          <w:kern w:val="0"/>
          <w:sz w:val="32"/>
          <w:szCs w:val="32"/>
        </w:rPr>
        <w:t>竞赛内容概述</w:t>
      </w:r>
      <w:bookmarkEnd w:id="3"/>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1526"/>
        <w:gridCol w:w="1844"/>
        <w:gridCol w:w="5158"/>
      </w:tblGrid>
      <w:tr w14:paraId="7FA6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75" w:hRule="atLeast"/>
        </w:trPr>
        <w:tc>
          <w:tcPr>
            <w:tcW w:w="895" w:type="pct"/>
            <w:shd w:val="clear" w:color="auto" w:fill="D8D8D8"/>
            <w:vAlign w:val="center"/>
          </w:tcPr>
          <w:p w14:paraId="178436C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序号</w:t>
            </w:r>
          </w:p>
        </w:tc>
        <w:tc>
          <w:tcPr>
            <w:tcW w:w="1081" w:type="pct"/>
            <w:shd w:val="clear" w:color="auto" w:fill="D8D8D8"/>
            <w:vAlign w:val="center"/>
          </w:tcPr>
          <w:p w14:paraId="46375D91">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任务名称</w:t>
            </w:r>
          </w:p>
        </w:tc>
        <w:tc>
          <w:tcPr>
            <w:tcW w:w="3025" w:type="pct"/>
            <w:shd w:val="clear" w:color="auto" w:fill="D8D8D8"/>
            <w:vAlign w:val="center"/>
          </w:tcPr>
          <w:p w14:paraId="550D709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具体内容</w:t>
            </w:r>
          </w:p>
        </w:tc>
      </w:tr>
      <w:tr w14:paraId="1CFD1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895" w:type="pct"/>
            <w:shd w:val="clear" w:color="auto" w:fill="FFFFFF"/>
            <w:vAlign w:val="center"/>
          </w:tcPr>
          <w:p w14:paraId="2CFCE7A3">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任务一</w:t>
            </w:r>
          </w:p>
        </w:tc>
        <w:tc>
          <w:tcPr>
            <w:tcW w:w="1081" w:type="pct"/>
            <w:shd w:val="clear" w:color="auto" w:fill="FFFFFF"/>
            <w:vAlign w:val="center"/>
          </w:tcPr>
          <w:p w14:paraId="7D4F12E1">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大数据平台环境搭建</w:t>
            </w:r>
          </w:p>
        </w:tc>
        <w:tc>
          <w:tcPr>
            <w:tcW w:w="3025" w:type="pct"/>
            <w:shd w:val="clear" w:color="auto" w:fill="FFFFFF"/>
            <w:vAlign w:val="center"/>
          </w:tcPr>
          <w:p w14:paraId="5D944A8E">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按照任务书要求，需要基于Docker环境完成Hadoop完全分布式、Spark安装配置、Flink安装配置、Hive安装配置、Kafka安装配置、Flume安装配置、ClickHouse安装配置、HBase安装配置等中的任意三个组件的安装配置</w:t>
            </w:r>
          </w:p>
        </w:tc>
      </w:tr>
      <w:tr w14:paraId="7609B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889" w:hRule="atLeast"/>
        </w:trPr>
        <w:tc>
          <w:tcPr>
            <w:tcW w:w="895" w:type="pct"/>
            <w:shd w:val="clear" w:color="auto" w:fill="FFFFFF"/>
            <w:vAlign w:val="center"/>
          </w:tcPr>
          <w:p w14:paraId="35619144">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任务二</w:t>
            </w:r>
          </w:p>
        </w:tc>
        <w:tc>
          <w:tcPr>
            <w:tcW w:w="1081" w:type="pct"/>
            <w:shd w:val="clear" w:color="auto" w:fill="FFFFFF"/>
            <w:vAlign w:val="center"/>
          </w:tcPr>
          <w:p w14:paraId="7B0EA86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数据采集</w:t>
            </w:r>
          </w:p>
        </w:tc>
        <w:tc>
          <w:tcPr>
            <w:tcW w:w="3025" w:type="pct"/>
            <w:shd w:val="clear" w:color="auto" w:fill="FFFFFF"/>
            <w:vAlign w:val="center"/>
          </w:tcPr>
          <w:p w14:paraId="7C5F7B4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按照任务书要求基于Scala语言基于Spark完成离线数据采集，将数据存入Hive的ods层中；按照要求使用Linux命令，利用Flume、Maxwell、Kafka等工具完成实时数据采集</w:t>
            </w:r>
          </w:p>
        </w:tc>
      </w:tr>
      <w:tr w14:paraId="17D0D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87" w:hRule="atLeast"/>
        </w:trPr>
        <w:tc>
          <w:tcPr>
            <w:tcW w:w="895" w:type="pct"/>
            <w:shd w:val="clear" w:color="auto" w:fill="FFFFFF"/>
            <w:vAlign w:val="center"/>
          </w:tcPr>
          <w:p w14:paraId="6E35206E">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任务三</w:t>
            </w:r>
          </w:p>
        </w:tc>
        <w:tc>
          <w:tcPr>
            <w:tcW w:w="1081" w:type="pct"/>
            <w:shd w:val="clear" w:color="auto" w:fill="FFFFFF"/>
            <w:vAlign w:val="center"/>
          </w:tcPr>
          <w:p w14:paraId="072A039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实时数据处理</w:t>
            </w:r>
          </w:p>
        </w:tc>
        <w:tc>
          <w:tcPr>
            <w:tcW w:w="3025" w:type="pct"/>
            <w:shd w:val="clear" w:color="auto" w:fill="FFFFFF"/>
            <w:vAlign w:val="center"/>
          </w:tcPr>
          <w:p w14:paraId="71D8736C">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按照任务书要求使用Scala语言基于Flink完成Kafka中的数据消费，将数据分发至Kafka的dwd层中，并在HBase中进行备份同时建立Hive外表，基于Flink完成相关的数据指标计算并将计算结果存入Redis、ClickHouse中</w:t>
            </w:r>
          </w:p>
        </w:tc>
      </w:tr>
      <w:tr w14:paraId="4C0C9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87" w:hRule="atLeast"/>
        </w:trPr>
        <w:tc>
          <w:tcPr>
            <w:tcW w:w="895" w:type="pct"/>
            <w:shd w:val="clear" w:color="auto" w:fill="FFFFFF"/>
            <w:vAlign w:val="center"/>
          </w:tcPr>
          <w:p w14:paraId="431E3FF4">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任务四</w:t>
            </w:r>
          </w:p>
        </w:tc>
        <w:tc>
          <w:tcPr>
            <w:tcW w:w="1081" w:type="pct"/>
            <w:shd w:val="clear" w:color="auto" w:fill="FFFFFF"/>
            <w:vAlign w:val="center"/>
          </w:tcPr>
          <w:p w14:paraId="7A8851E6">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离线数据处理</w:t>
            </w:r>
          </w:p>
        </w:tc>
        <w:tc>
          <w:tcPr>
            <w:tcW w:w="3025" w:type="pct"/>
            <w:shd w:val="clear" w:color="auto" w:fill="FFFFFF"/>
            <w:vAlign w:val="center"/>
          </w:tcPr>
          <w:p w14:paraId="5ABAD1B9">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按照任务书要求使用Scala语言基于Spark完成离线数据清洗、处理、计算，包括数据的合并、去重、排序、数据类型转换等并将计算结果存入MySQL、HBase、ClickHouse中</w:t>
            </w:r>
          </w:p>
        </w:tc>
      </w:tr>
      <w:tr w14:paraId="0B66A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03" w:hRule="atLeast"/>
        </w:trPr>
        <w:tc>
          <w:tcPr>
            <w:tcW w:w="895" w:type="pct"/>
            <w:shd w:val="clear" w:color="auto" w:fill="FFFFFF"/>
            <w:vAlign w:val="center"/>
          </w:tcPr>
          <w:p w14:paraId="1A5932D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任务五</w:t>
            </w:r>
          </w:p>
        </w:tc>
        <w:tc>
          <w:tcPr>
            <w:tcW w:w="1081" w:type="pct"/>
            <w:shd w:val="clear" w:color="auto" w:fill="FFFFFF"/>
            <w:vAlign w:val="center"/>
          </w:tcPr>
          <w:p w14:paraId="6B0019C6">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数据可视化</w:t>
            </w:r>
          </w:p>
        </w:tc>
        <w:tc>
          <w:tcPr>
            <w:tcW w:w="3025" w:type="pct"/>
            <w:shd w:val="clear" w:color="auto" w:fill="FFFFFF"/>
            <w:vAlign w:val="center"/>
          </w:tcPr>
          <w:p w14:paraId="7DE9BF8E">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按照任务书要求编写前端代码，调用后台数据接口，使用Vue.js、echarts完成数据可视化</w:t>
            </w:r>
          </w:p>
        </w:tc>
      </w:tr>
      <w:tr w14:paraId="1FE4F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03" w:hRule="atLeast"/>
        </w:trPr>
        <w:tc>
          <w:tcPr>
            <w:tcW w:w="895" w:type="pct"/>
            <w:shd w:val="clear" w:color="auto" w:fill="FFFFFF"/>
            <w:vAlign w:val="center"/>
          </w:tcPr>
          <w:p w14:paraId="7C905AAE">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任务六</w:t>
            </w:r>
          </w:p>
        </w:tc>
        <w:tc>
          <w:tcPr>
            <w:tcW w:w="1081" w:type="pct"/>
            <w:shd w:val="clear" w:color="auto" w:fill="FFFFFF"/>
            <w:vAlign w:val="center"/>
          </w:tcPr>
          <w:p w14:paraId="48F3B0A8">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综合分析报告</w:t>
            </w:r>
          </w:p>
        </w:tc>
        <w:tc>
          <w:tcPr>
            <w:tcW w:w="3025" w:type="pct"/>
            <w:shd w:val="clear" w:color="auto" w:fill="FFFFFF"/>
            <w:vAlign w:val="center"/>
          </w:tcPr>
          <w:p w14:paraId="47CD092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0" w:firstLineChars="0"/>
              <w:jc w:val="left"/>
              <w:textAlignment w:val="auto"/>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 xml:space="preserve">根据要求编写综合分析报告 </w:t>
            </w:r>
          </w:p>
        </w:tc>
      </w:tr>
    </w:tbl>
    <w:p w14:paraId="2E82F249">
      <w:pPr>
        <w:pStyle w:val="31"/>
        <w:keepNext w:val="0"/>
        <w:keepLines w:val="0"/>
        <w:pageBreakBefore w:val="0"/>
        <w:widowControl w:val="0"/>
        <w:kinsoku/>
        <w:wordWrap/>
        <w:overflowPunct/>
        <w:topLinePunct w:val="0"/>
        <w:autoSpaceDE/>
        <w:autoSpaceDN/>
        <w:bidi w:val="0"/>
        <w:adjustRightInd/>
        <w:snapToGrid/>
        <w:spacing w:line="500" w:lineRule="exact"/>
        <w:ind w:firstLine="643" w:firstLineChars="200"/>
        <w:textAlignment w:val="auto"/>
        <w:outlineLvl w:val="2"/>
        <w:rPr>
          <w:rFonts w:hint="eastAsia" w:ascii="仿宋_GB2312" w:hAnsi="仿宋" w:eastAsia="仿宋_GB2312"/>
          <w:b/>
          <w:bCs/>
          <w:kern w:val="0"/>
          <w:sz w:val="32"/>
          <w:szCs w:val="32"/>
        </w:rPr>
      </w:pPr>
      <w:bookmarkStart w:id="4" w:name="_Toc15469"/>
      <w:r>
        <w:rPr>
          <w:rFonts w:hint="eastAsia" w:ascii="仿宋_GB2312" w:hAnsi="仿宋" w:eastAsia="仿宋_GB2312"/>
          <w:b/>
          <w:bCs/>
          <w:kern w:val="0"/>
          <w:sz w:val="32"/>
          <w:szCs w:val="32"/>
        </w:rPr>
        <w:t>3</w:t>
      </w:r>
      <w:r>
        <w:rPr>
          <w:rFonts w:hint="eastAsia" w:ascii="仿宋_GB2312" w:hAnsi="仿宋" w:eastAsia="仿宋_GB2312"/>
          <w:b/>
          <w:bCs/>
          <w:kern w:val="0"/>
          <w:sz w:val="32"/>
          <w:szCs w:val="32"/>
          <w:lang w:eastAsia="zh-CN"/>
        </w:rPr>
        <w:t>.</w:t>
      </w:r>
      <w:r>
        <w:rPr>
          <w:rFonts w:hint="eastAsia" w:ascii="仿宋_GB2312" w:hAnsi="仿宋" w:eastAsia="仿宋_GB2312"/>
          <w:b/>
          <w:bCs/>
          <w:kern w:val="0"/>
          <w:sz w:val="32"/>
          <w:szCs w:val="32"/>
        </w:rPr>
        <w:t>竞赛总成绩</w:t>
      </w:r>
      <w:bookmarkEnd w:id="4"/>
    </w:p>
    <w:p w14:paraId="7095B76E">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“大数据技应用开发”赛项竞赛总成绩为100分，其中包含赛场职业素养5分。</w:t>
      </w:r>
    </w:p>
    <w:p w14:paraId="3AAAD9C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bookmarkStart w:id="5" w:name="_Toc19237"/>
      <w:r>
        <w:rPr>
          <w:rFonts w:hint="eastAsia" w:ascii="楷体_GB2312" w:hAnsi="楷体_GB2312" w:eastAsia="楷体_GB2312" w:cs="楷体_GB2312"/>
          <w:sz w:val="32"/>
          <w:szCs w:val="32"/>
          <w:lang w:val="en-US" w:eastAsia="zh-CN"/>
        </w:rPr>
        <w:t>（二）任务须知</w:t>
      </w:r>
      <w:bookmarkEnd w:id="5"/>
    </w:p>
    <w:p w14:paraId="47720AB3">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val="en-US" w:eastAsia="zh-CN"/>
        </w:rPr>
        <w:t>1.</w:t>
      </w:r>
      <w:r>
        <w:rPr>
          <w:rFonts w:hint="eastAsia" w:ascii="仿宋_GB2312" w:hAnsi="仿宋_GB2312" w:eastAsia="仿宋_GB2312" w:cs="仿宋_GB2312"/>
          <w:b w:val="0"/>
          <w:bCs w:val="0"/>
          <w:kern w:val="2"/>
          <w:sz w:val="32"/>
          <w:szCs w:val="32"/>
          <w:lang w:eastAsia="zh-CN"/>
        </w:rPr>
        <w:t>每组参赛队分配一台竞赛服务器、三台客户机，拥有独立IP组。</w:t>
      </w:r>
    </w:p>
    <w:p w14:paraId="7D115994">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val="en-US" w:eastAsia="zh-CN"/>
        </w:rPr>
        <w:t>2.</w:t>
      </w:r>
      <w:r>
        <w:rPr>
          <w:rFonts w:hint="eastAsia" w:ascii="仿宋_GB2312" w:hAnsi="仿宋_GB2312" w:eastAsia="仿宋_GB2312" w:cs="仿宋_GB2312"/>
          <w:b w:val="0"/>
          <w:bCs w:val="0"/>
          <w:kern w:val="2"/>
          <w:sz w:val="32"/>
          <w:szCs w:val="32"/>
          <w:lang w:eastAsia="zh-CN"/>
        </w:rPr>
        <w:t>本次比赛采用统一网络环境比赛，请不要随意更改客户端的网络地址信息，对于更改客户端信息造成的问题，由参赛选手自行承担比赛损失；</w:t>
      </w:r>
    </w:p>
    <w:p w14:paraId="1DA679D4">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val="en-US" w:eastAsia="zh-CN"/>
        </w:rPr>
        <w:t>3.</w:t>
      </w:r>
      <w:r>
        <w:rPr>
          <w:rFonts w:hint="eastAsia" w:ascii="仿宋_GB2312" w:hAnsi="仿宋_GB2312" w:eastAsia="仿宋_GB2312" w:cs="仿宋_GB2312"/>
          <w:b w:val="0"/>
          <w:bCs w:val="0"/>
          <w:kern w:val="2"/>
          <w:sz w:val="32"/>
          <w:szCs w:val="32"/>
          <w:lang w:eastAsia="zh-CN"/>
        </w:rPr>
        <w:t>请不要恶意破坏竞赛环境，对于恶意破坏竞赛环境的参赛者，组委会根据其行为予以处罚直至取消比赛资格。</w:t>
      </w:r>
    </w:p>
    <w:p w14:paraId="169C859F">
      <w:pPr>
        <w:tabs>
          <w:tab w:val="left" w:pos="567"/>
        </w:tabs>
        <w:snapToGrid w:val="0"/>
        <w:spacing w:line="560" w:lineRule="exact"/>
        <w:ind w:firstLine="627" w:firstLineChars="196"/>
        <w:outlineLvl w:val="2"/>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val="en-US" w:eastAsia="zh-CN"/>
        </w:rPr>
        <w:t>4.</w:t>
      </w:r>
      <w:r>
        <w:rPr>
          <w:rFonts w:hint="eastAsia" w:ascii="仿宋_GB2312" w:hAnsi="仿宋_GB2312" w:eastAsia="仿宋_GB2312" w:cs="仿宋_GB2312"/>
          <w:b w:val="0"/>
          <w:bCs w:val="0"/>
          <w:kern w:val="2"/>
          <w:sz w:val="32"/>
          <w:szCs w:val="32"/>
          <w:lang w:eastAsia="zh-CN"/>
        </w:rPr>
        <w:t>比赛过程中及时保存相关文档。</w:t>
      </w:r>
    </w:p>
    <w:p w14:paraId="0DBEE2CE">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val="en-US" w:eastAsia="zh-CN"/>
        </w:rPr>
        <w:t>5.</w:t>
      </w:r>
      <w:r>
        <w:rPr>
          <w:rFonts w:hint="eastAsia" w:ascii="仿宋_GB2312" w:hAnsi="仿宋_GB2312" w:eastAsia="仿宋_GB2312" w:cs="仿宋_GB2312"/>
          <w:b w:val="0"/>
          <w:bCs w:val="0"/>
          <w:kern w:val="2"/>
          <w:sz w:val="32"/>
          <w:szCs w:val="32"/>
          <w:lang w:eastAsia="zh-CN"/>
        </w:rPr>
        <w:t>比赛相关文档中不能出现参赛学校名称和参赛选手名称，以赛位号（工位号）代替。</w:t>
      </w:r>
    </w:p>
    <w:p w14:paraId="6F0FBB98">
      <w:pPr>
        <w:tabs>
          <w:tab w:val="left" w:pos="567"/>
        </w:tabs>
        <w:snapToGrid w:val="0"/>
        <w:spacing w:line="560" w:lineRule="exact"/>
        <w:ind w:firstLine="627" w:firstLineChars="196"/>
        <w:outlineLvl w:val="2"/>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val="en-US" w:eastAsia="zh-CN"/>
        </w:rPr>
        <w:t>6.</w:t>
      </w:r>
      <w:r>
        <w:rPr>
          <w:rFonts w:hint="eastAsia" w:ascii="仿宋_GB2312" w:hAnsi="仿宋_GB2312" w:eastAsia="仿宋_GB2312" w:cs="仿宋_GB2312"/>
          <w:b w:val="0"/>
          <w:bCs w:val="0"/>
          <w:kern w:val="2"/>
          <w:sz w:val="32"/>
          <w:szCs w:val="32"/>
          <w:lang w:eastAsia="zh-CN"/>
        </w:rPr>
        <w:t>参赛选手请勿删除模板内容，若因删除导致任何问题后果自负。</w:t>
      </w:r>
    </w:p>
    <w:p w14:paraId="499CB05A">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val="en-US" w:eastAsia="zh-CN"/>
        </w:rPr>
        <w:t>7.</w:t>
      </w:r>
      <w:r>
        <w:rPr>
          <w:rFonts w:hint="eastAsia" w:ascii="仿宋_GB2312" w:hAnsi="仿宋_GB2312" w:eastAsia="仿宋_GB2312" w:cs="仿宋_GB2312"/>
          <w:b w:val="0"/>
          <w:bCs w:val="0"/>
          <w:kern w:val="2"/>
          <w:sz w:val="32"/>
          <w:szCs w:val="32"/>
          <w:lang w:eastAsia="zh-CN"/>
        </w:rPr>
        <w:t>若同一文档由不同选手完成，须将文档合并后作为最终结果提交到U盘中。</w:t>
      </w:r>
    </w:p>
    <w:p w14:paraId="1B26498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val="en-US" w:eastAsia="zh-CN"/>
        </w:rPr>
        <w:t>8.</w:t>
      </w:r>
      <w:r>
        <w:rPr>
          <w:rFonts w:hint="eastAsia" w:ascii="仿宋_GB2312" w:hAnsi="仿宋_GB2312" w:eastAsia="仿宋_GB2312" w:cs="仿宋_GB2312"/>
          <w:b w:val="0"/>
          <w:bCs w:val="0"/>
          <w:kern w:val="2"/>
          <w:sz w:val="32"/>
          <w:szCs w:val="32"/>
          <w:lang w:eastAsia="zh-CN"/>
        </w:rPr>
        <w:t>比赛中出现各种问题及时向现场裁判举手示意，不要影响其他参赛队比赛。</w:t>
      </w:r>
    </w:p>
    <w:p w14:paraId="26DFC24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bookmarkStart w:id="6" w:name="_Toc19579"/>
      <w:r>
        <w:rPr>
          <w:rFonts w:hint="eastAsia" w:ascii="楷体_GB2312" w:hAnsi="楷体_GB2312" w:eastAsia="楷体_GB2312" w:cs="楷体_GB2312"/>
          <w:sz w:val="32"/>
          <w:szCs w:val="32"/>
          <w:lang w:val="en-US" w:eastAsia="zh-CN"/>
        </w:rPr>
        <w:t>（三）任务说明</w:t>
      </w:r>
      <w:bookmarkEnd w:id="6"/>
    </w:p>
    <w:p w14:paraId="712C9F10">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本项目要求完成离线电商数据统计分析，完成大数据平台环境搭建、数据采集、实时数据处理、离线数据处理、数据可视化及综合分析报告编写等工作。</w:t>
      </w:r>
    </w:p>
    <w:p w14:paraId="57DF2C63">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提供的相关资源包括：</w:t>
      </w:r>
    </w:p>
    <w:p w14:paraId="27B6AA4F">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1.大数据环境搭建中需要用到的组件安装包</w:t>
      </w:r>
    </w:p>
    <w:p w14:paraId="25B0521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2.电商相关脱敏业务数据</w:t>
      </w:r>
    </w:p>
    <w:p w14:paraId="784A41CD">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3.大数据分析集群环境</w:t>
      </w:r>
    </w:p>
    <w:p w14:paraId="53CB4291">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4.数据采集开发环境</w:t>
      </w:r>
    </w:p>
    <w:p w14:paraId="37C5A080">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5.实时数据处理开发环境</w:t>
      </w:r>
    </w:p>
    <w:p w14:paraId="33AB1096">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6.离线数据处理开发环境</w:t>
      </w:r>
    </w:p>
    <w:p w14:paraId="44A82C46">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7.数据可视化开发环境</w:t>
      </w:r>
    </w:p>
    <w:p w14:paraId="02B754D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8.综合分析报告文档模板</w:t>
      </w:r>
    </w:p>
    <w:p w14:paraId="4E3EAD06">
      <w:pPr>
        <w:tabs>
          <w:tab w:val="left" w:pos="567"/>
        </w:tabs>
        <w:snapToGrid w:val="0"/>
        <w:spacing w:line="560" w:lineRule="exact"/>
        <w:ind w:firstLine="627" w:firstLineChars="196"/>
        <w:outlineLvl w:val="2"/>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任务一：大数据平台环境搭建</w:t>
      </w:r>
    </w:p>
    <w:p w14:paraId="55808EC1">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按照任务书要求，需要基于Docker环境完成Hadoop完全分布式、Spark安装配置、Flink安装配置、Hive安装配置、Kafka安装配置、Flume安装配置、ClickHouse安装配置、HBase安装配置等中的任意三个组件的安装配置。</w:t>
      </w:r>
    </w:p>
    <w:p w14:paraId="3FF16F36">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任务二：数据采集</w:t>
      </w:r>
    </w:p>
    <w:p w14:paraId="2C443014">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按照任务书要求基于Scala语言基于Spark完成离线数据采集，将数据存入Hive的ods层中；按照任务书要求使用Linux命令，利用Flume、Maxwell等工具完成实时数据采集，将数据存入Kafka指定的Topic中。</w:t>
      </w:r>
    </w:p>
    <w:p w14:paraId="4EF5315A">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任务三：实时数据处理</w:t>
      </w:r>
    </w:p>
    <w:p w14:paraId="2F732B7A">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按照任务书要求使用Scala语言基于Flink完成Kafka中的数据消费，将数据分发至Kafka的dwd层中，并在HBase中进行备份同时建立Hive外表，基于Flink完成相关的数据指标计算并将计算结果存入Redis、ClickHouse中。</w:t>
      </w:r>
    </w:p>
    <w:p w14:paraId="7057C2BB">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任务四：离线数据处理</w:t>
      </w:r>
    </w:p>
    <w:p w14:paraId="71D670D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按照任务书要求使用Scala语言基于Spark完成离线数据清洗、处理、计算，包括数据的合并、去重、排序、数据类型转换等并将计算结果存入MySQL、HBase、ClickHouse中。</w:t>
      </w:r>
    </w:p>
    <w:p w14:paraId="4AB42AD8">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任务五：数据可视化</w:t>
      </w:r>
    </w:p>
    <w:p w14:paraId="7CDC7D9A">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按照任务书要求编写前端代码，调用后台数据接口，使用Vue.js、ECharts完成数据可视化。</w:t>
      </w:r>
    </w:p>
    <w:p w14:paraId="31CB74AF">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任务六：综合分析报告</w:t>
      </w:r>
    </w:p>
    <w:p w14:paraId="65481B3D">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按照任务书要求，完成综合分析报告编写。</w:t>
      </w:r>
    </w:p>
    <w:p w14:paraId="1A49DFC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bookmarkStart w:id="7" w:name="_Toc19332"/>
      <w:r>
        <w:rPr>
          <w:rFonts w:hint="eastAsia" w:ascii="楷体_GB2312" w:hAnsi="楷体_GB2312" w:eastAsia="楷体_GB2312" w:cs="楷体_GB2312"/>
          <w:sz w:val="32"/>
          <w:szCs w:val="32"/>
          <w:lang w:val="en-US" w:eastAsia="zh-CN"/>
        </w:rPr>
        <w:t>（四）竞赛结果提交要求</w:t>
      </w:r>
      <w:bookmarkEnd w:id="7"/>
    </w:p>
    <w:p w14:paraId="1F1BCA37">
      <w:pPr>
        <w:pStyle w:val="31"/>
        <w:keepNext w:val="0"/>
        <w:keepLines w:val="0"/>
        <w:pageBreakBefore w:val="0"/>
        <w:widowControl w:val="0"/>
        <w:kinsoku/>
        <w:wordWrap/>
        <w:overflowPunct/>
        <w:topLinePunct w:val="0"/>
        <w:autoSpaceDE/>
        <w:autoSpaceDN/>
        <w:bidi w:val="0"/>
        <w:adjustRightInd/>
        <w:snapToGrid/>
        <w:spacing w:line="500" w:lineRule="exact"/>
        <w:ind w:firstLine="643" w:firstLineChars="200"/>
        <w:textAlignment w:val="auto"/>
        <w:outlineLvl w:val="2"/>
        <w:rPr>
          <w:rFonts w:ascii="仿宋_GB2312" w:hAnsi="仿宋" w:eastAsia="仿宋_GB2312"/>
          <w:b/>
          <w:bCs/>
          <w:kern w:val="0"/>
          <w:sz w:val="32"/>
          <w:szCs w:val="32"/>
        </w:rPr>
      </w:pPr>
      <w:r>
        <w:rPr>
          <w:rFonts w:hint="eastAsia" w:ascii="仿宋_GB2312" w:hAnsi="仿宋" w:eastAsia="仿宋_GB2312"/>
          <w:b/>
          <w:bCs/>
          <w:kern w:val="0"/>
          <w:sz w:val="32"/>
          <w:szCs w:val="32"/>
        </w:rPr>
        <w:t>1</w:t>
      </w:r>
      <w:r>
        <w:rPr>
          <w:rFonts w:hint="eastAsia" w:ascii="仿宋_GB2312" w:hAnsi="仿宋" w:eastAsia="仿宋_GB2312"/>
          <w:b/>
          <w:bCs/>
          <w:kern w:val="0"/>
          <w:sz w:val="32"/>
          <w:szCs w:val="32"/>
          <w:lang w:eastAsia="zh-CN"/>
        </w:rPr>
        <w:t>.</w:t>
      </w:r>
      <w:r>
        <w:rPr>
          <w:rFonts w:hint="eastAsia" w:ascii="仿宋_GB2312" w:hAnsi="仿宋" w:eastAsia="仿宋_GB2312"/>
          <w:b/>
          <w:bCs/>
          <w:kern w:val="0"/>
          <w:sz w:val="32"/>
          <w:szCs w:val="32"/>
        </w:rPr>
        <w:t>提交方式</w:t>
      </w:r>
    </w:p>
    <w:p w14:paraId="0829546F">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任务成果需拷贝至提供的U盘中。在U盘中以XX工位号建一个文件夹（例如01），将所有任务成果文档保存至该文件夹中。</w:t>
      </w:r>
    </w:p>
    <w:p w14:paraId="3498DF7F">
      <w:pPr>
        <w:pStyle w:val="31"/>
        <w:keepNext w:val="0"/>
        <w:keepLines w:val="0"/>
        <w:pageBreakBefore w:val="0"/>
        <w:widowControl w:val="0"/>
        <w:kinsoku/>
        <w:wordWrap/>
        <w:overflowPunct/>
        <w:topLinePunct w:val="0"/>
        <w:autoSpaceDE/>
        <w:autoSpaceDN/>
        <w:bidi w:val="0"/>
        <w:adjustRightInd/>
        <w:snapToGrid/>
        <w:spacing w:line="500" w:lineRule="exact"/>
        <w:ind w:firstLine="643" w:firstLineChars="200"/>
        <w:textAlignment w:val="auto"/>
        <w:outlineLvl w:val="2"/>
        <w:rPr>
          <w:rFonts w:hint="eastAsia" w:ascii="仿宋_GB2312" w:hAnsi="仿宋" w:eastAsia="仿宋_GB2312"/>
          <w:b/>
          <w:bCs/>
          <w:kern w:val="0"/>
          <w:sz w:val="32"/>
          <w:szCs w:val="32"/>
        </w:rPr>
      </w:pPr>
      <w:r>
        <w:rPr>
          <w:rFonts w:hint="eastAsia" w:ascii="仿宋_GB2312" w:hAnsi="仿宋" w:eastAsia="仿宋_GB2312"/>
          <w:b/>
          <w:bCs/>
          <w:kern w:val="0"/>
          <w:sz w:val="32"/>
          <w:szCs w:val="32"/>
        </w:rPr>
        <w:t>2</w:t>
      </w:r>
      <w:r>
        <w:rPr>
          <w:rFonts w:hint="eastAsia" w:ascii="仿宋_GB2312" w:hAnsi="仿宋" w:eastAsia="仿宋_GB2312"/>
          <w:b/>
          <w:bCs/>
          <w:kern w:val="0"/>
          <w:sz w:val="32"/>
          <w:szCs w:val="32"/>
          <w:lang w:eastAsia="zh-CN"/>
        </w:rPr>
        <w:t>.</w:t>
      </w:r>
      <w:r>
        <w:rPr>
          <w:rFonts w:hint="eastAsia" w:ascii="仿宋_GB2312" w:hAnsi="仿宋" w:eastAsia="仿宋_GB2312"/>
          <w:b/>
          <w:bCs/>
          <w:kern w:val="0"/>
          <w:sz w:val="32"/>
          <w:szCs w:val="32"/>
        </w:rPr>
        <w:t>文档要求</w:t>
      </w:r>
    </w:p>
    <w:p w14:paraId="67C2D550">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竞赛提交的所有文档中不能出现参赛队信息和参赛选手信息，竞赛文档需要填写参赛队信息时以工位号代替（XX代表工位号）。</w:t>
      </w:r>
    </w:p>
    <w:p w14:paraId="204B15D7">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十、成绩评定</w:t>
      </w:r>
    </w:p>
    <w:p w14:paraId="7B91961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（一）奖项设定</w:t>
      </w:r>
    </w:p>
    <w:p w14:paraId="1B381161">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参照省教育厅技能大赛文件执行。</w:t>
      </w:r>
    </w:p>
    <w:p w14:paraId="50FF770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（二）评分标准制定原则</w:t>
      </w:r>
    </w:p>
    <w:p w14:paraId="73870C21">
      <w:pPr>
        <w:tabs>
          <w:tab w:val="left" w:pos="567"/>
        </w:tabs>
        <w:snapToGrid w:val="0"/>
        <w:spacing w:line="560" w:lineRule="exact"/>
        <w:ind w:firstLine="548" w:firstLineChars="196"/>
        <w:rPr>
          <w:rFonts w:hint="eastAsia" w:ascii="仿宋_GB2312" w:hAnsi="仿宋_GB2312" w:eastAsia="仿宋_GB2312" w:cs="仿宋_GB2312"/>
          <w:b w:val="0"/>
          <w:bCs w:val="0"/>
          <w:kern w:val="2"/>
          <w:sz w:val="32"/>
          <w:szCs w:val="32"/>
          <w:lang w:val="en-US" w:eastAsia="zh-CN"/>
        </w:rPr>
      </w:pPr>
      <w:bookmarkStart w:id="8" w:name="_Hlk1489544"/>
      <w:r>
        <w:rPr>
          <w:rFonts w:ascii="楷体" w:hAnsi="楷体" w:eastAsia="楷体"/>
          <w:sz w:val="28"/>
          <w:szCs w:val="28"/>
        </w:rPr>
        <w:tab/>
      </w:r>
      <w:r>
        <w:rPr>
          <w:rFonts w:hint="eastAsia" w:ascii="仿宋_GB2312" w:hAnsi="仿宋_GB2312" w:eastAsia="仿宋_GB2312" w:cs="仿宋_GB2312"/>
          <w:b w:val="0"/>
          <w:bCs w:val="0"/>
          <w:kern w:val="2"/>
          <w:sz w:val="32"/>
          <w:szCs w:val="32"/>
          <w:lang w:val="en-US" w:eastAsia="zh-CN"/>
        </w:rPr>
        <w:t>竞赛评分制定严格遵守公平、公正的原则，大数据技术与应用赛项评分采用赛项结果评分方法，始终贯彻落实竞赛一贯坚持的公平、公正和公开原则。</w:t>
      </w:r>
    </w:p>
    <w:p w14:paraId="1EE9491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参与竞赛成绩管理的组织机构包括裁判组、监督组和仲裁组等。裁判组实行“裁判长负责制”，设裁判长1名、加密裁判2名、现场裁判4名、评分裁判6名，共13名裁判。</w:t>
      </w:r>
    </w:p>
    <w:p w14:paraId="76A60857">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裁判员根据竞赛工作需要分为检录裁判、加密裁判、现场裁判和评分裁判。检录裁判负责对参赛队伍（选手）进行点名登记、身份核对等工作；加密裁判负责组织参赛队伍（选手）抽签并对参赛队伍（选手）的信息进行加密、解密；现场裁判按规定做好赛场记录，维护赛场纪律；评分裁判负责对参赛队伍（选手）的技能展示、操作规范和竞赛成果等按赛项评分标准进行评定。</w:t>
      </w:r>
    </w:p>
    <w:p w14:paraId="5A9ADDA7">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监督组对裁判组的工作进行全程监督，并对竞赛成绩抽检复核。</w:t>
      </w:r>
    </w:p>
    <w:p w14:paraId="023626D0">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仲裁组负责接受由参赛队领队提出的对裁判结果的申诉，组织复议并及时反馈复议结果。</w:t>
      </w:r>
      <w:bookmarkEnd w:id="8"/>
    </w:p>
    <w:p w14:paraId="727BB68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（三）评分方法</w:t>
      </w:r>
    </w:p>
    <w:p w14:paraId="0F1739E3">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bookmarkStart w:id="9" w:name="_Hlk1489568"/>
      <w:r>
        <w:rPr>
          <w:rFonts w:hint="eastAsia" w:ascii="仿宋_GB2312" w:hAnsi="仿宋_GB2312" w:eastAsia="仿宋_GB2312" w:cs="仿宋_GB2312"/>
          <w:b w:val="0"/>
          <w:bCs w:val="0"/>
          <w:kern w:val="2"/>
          <w:sz w:val="32"/>
          <w:szCs w:val="32"/>
          <w:lang w:val="en-US" w:eastAsia="zh-CN"/>
        </w:rPr>
        <w:t>1.选手在完成任务之后，将任务完成结果拷贝至U盘中，由参赛选手队长签字确认（签工位号）。</w:t>
      </w:r>
    </w:p>
    <w:p w14:paraId="09146AD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2.评分采取分步得分、累计总分的计分方式。</w:t>
      </w:r>
    </w:p>
    <w:p w14:paraId="6F53AED7">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3.不计参赛选手的个人得分，只记录团体得分。</w:t>
      </w:r>
    </w:p>
    <w:p w14:paraId="78676E28">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4.参赛队提交比赛任务结束请求或者在比赛时间终止后，不得再进行任何操作。否则，视为比赛作弊，给参赛队记警告一次。</w:t>
      </w:r>
    </w:p>
    <w:p w14:paraId="32F9DEB5">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5.在竞赛过程中，选手如有不服从裁判判决、扰乱赛场秩序、舞弊等不文明行为，由裁判长按照规定扣减相应分数并且给予警告，情节严重的取消竞赛资格，竞赛成绩记0分，队员退出比赛现场。</w:t>
      </w:r>
      <w:bookmarkEnd w:id="9"/>
    </w:p>
    <w:p w14:paraId="36E1881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（四）评分标准</w:t>
      </w:r>
    </w:p>
    <w:tbl>
      <w:tblPr>
        <w:tblStyle w:val="13"/>
        <w:tblW w:w="9356"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3"/>
        <w:gridCol w:w="1418"/>
        <w:gridCol w:w="2409"/>
        <w:gridCol w:w="2864"/>
        <w:gridCol w:w="992"/>
      </w:tblGrid>
      <w:tr w14:paraId="6C0B6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73" w:type="dxa"/>
            <w:tcBorders>
              <w:top w:val="single" w:color="auto" w:sz="4" w:space="0"/>
              <w:left w:val="single" w:color="auto" w:sz="4" w:space="0"/>
              <w:bottom w:val="single" w:color="auto" w:sz="4" w:space="0"/>
              <w:right w:val="single" w:color="auto" w:sz="4" w:space="0"/>
            </w:tcBorders>
            <w:shd w:val="clear" w:color="auto" w:fill="D8D8D8"/>
            <w:vAlign w:val="center"/>
          </w:tcPr>
          <w:p w14:paraId="052DC481">
            <w:pPr>
              <w:pStyle w:val="30"/>
              <w:snapToGrid w:val="0"/>
              <w:ind w:firstLine="0" w:firstLineChars="0"/>
              <w:jc w:val="center"/>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任务</w:t>
            </w:r>
          </w:p>
        </w:tc>
        <w:tc>
          <w:tcPr>
            <w:tcW w:w="1418" w:type="dxa"/>
            <w:tcBorders>
              <w:top w:val="single" w:color="auto" w:sz="4" w:space="0"/>
              <w:left w:val="single" w:color="auto" w:sz="4" w:space="0"/>
              <w:bottom w:val="single" w:color="auto" w:sz="4" w:space="0"/>
              <w:right w:val="single" w:color="auto" w:sz="4" w:space="0"/>
            </w:tcBorders>
            <w:shd w:val="clear" w:color="auto" w:fill="D8D8D8"/>
            <w:vAlign w:val="center"/>
          </w:tcPr>
          <w:p w14:paraId="47D8318D">
            <w:pPr>
              <w:pStyle w:val="30"/>
              <w:snapToGrid w:val="0"/>
              <w:ind w:firstLine="0" w:firstLineChars="0"/>
              <w:jc w:val="center"/>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考查点</w:t>
            </w:r>
          </w:p>
        </w:tc>
        <w:tc>
          <w:tcPr>
            <w:tcW w:w="2409" w:type="dxa"/>
            <w:tcBorders>
              <w:top w:val="single" w:color="auto" w:sz="4" w:space="0"/>
              <w:left w:val="single" w:color="auto" w:sz="4" w:space="0"/>
              <w:bottom w:val="single" w:color="auto" w:sz="4" w:space="0"/>
              <w:right w:val="single" w:color="auto" w:sz="4" w:space="0"/>
            </w:tcBorders>
            <w:shd w:val="clear" w:color="auto" w:fill="D8D8D8"/>
            <w:vAlign w:val="center"/>
          </w:tcPr>
          <w:p w14:paraId="4BF1B9E6">
            <w:pPr>
              <w:pStyle w:val="30"/>
              <w:snapToGrid w:val="0"/>
              <w:ind w:firstLine="0" w:firstLineChars="0"/>
              <w:jc w:val="center"/>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描述</w:t>
            </w:r>
          </w:p>
        </w:tc>
        <w:tc>
          <w:tcPr>
            <w:tcW w:w="2864" w:type="dxa"/>
            <w:tcBorders>
              <w:top w:val="single" w:color="auto" w:sz="4" w:space="0"/>
              <w:left w:val="single" w:color="auto" w:sz="4" w:space="0"/>
              <w:bottom w:val="single" w:color="auto" w:sz="4" w:space="0"/>
              <w:right w:val="single" w:color="auto" w:sz="4" w:space="0"/>
            </w:tcBorders>
            <w:shd w:val="clear" w:color="auto" w:fill="D8D8D8"/>
            <w:vAlign w:val="center"/>
          </w:tcPr>
          <w:p w14:paraId="137597EE">
            <w:pPr>
              <w:pStyle w:val="30"/>
              <w:snapToGrid w:val="0"/>
              <w:ind w:firstLine="0" w:firstLineChars="0"/>
              <w:jc w:val="center"/>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评分标准</w:t>
            </w:r>
          </w:p>
        </w:tc>
        <w:tc>
          <w:tcPr>
            <w:tcW w:w="992" w:type="dxa"/>
            <w:tcBorders>
              <w:top w:val="single" w:color="auto" w:sz="4" w:space="0"/>
              <w:left w:val="single" w:color="auto" w:sz="4" w:space="0"/>
              <w:bottom w:val="single" w:color="auto" w:sz="4" w:space="0"/>
              <w:right w:val="single" w:color="auto" w:sz="4" w:space="0"/>
            </w:tcBorders>
            <w:shd w:val="clear" w:color="auto" w:fill="D8D8D8"/>
            <w:vAlign w:val="center"/>
          </w:tcPr>
          <w:p w14:paraId="2152441A">
            <w:pPr>
              <w:pStyle w:val="30"/>
              <w:snapToGrid w:val="0"/>
              <w:ind w:firstLine="0" w:firstLineChars="0"/>
              <w:jc w:val="center"/>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分值（分）</w:t>
            </w:r>
          </w:p>
        </w:tc>
      </w:tr>
      <w:tr w14:paraId="5D195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73" w:type="dxa"/>
            <w:tcBorders>
              <w:top w:val="single" w:color="auto" w:sz="4" w:space="0"/>
              <w:left w:val="single" w:color="auto" w:sz="4" w:space="0"/>
              <w:right w:val="single" w:color="auto" w:sz="4" w:space="0"/>
            </w:tcBorders>
            <w:vAlign w:val="center"/>
          </w:tcPr>
          <w:p w14:paraId="0D781306">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大数据平台环境搭建</w:t>
            </w:r>
          </w:p>
          <w:p w14:paraId="527E86A6">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（10分）</w:t>
            </w:r>
          </w:p>
        </w:tc>
        <w:tc>
          <w:tcPr>
            <w:tcW w:w="1418" w:type="dxa"/>
            <w:tcBorders>
              <w:top w:val="single" w:color="auto" w:sz="4" w:space="0"/>
              <w:left w:val="single" w:color="auto" w:sz="4" w:space="0"/>
              <w:right w:val="single" w:color="auto" w:sz="4" w:space="0"/>
            </w:tcBorders>
            <w:vAlign w:val="center"/>
          </w:tcPr>
          <w:p w14:paraId="5B00745B">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大数据相关平台组件安装配置</w:t>
            </w:r>
          </w:p>
        </w:tc>
        <w:tc>
          <w:tcPr>
            <w:tcW w:w="2409" w:type="dxa"/>
            <w:tcBorders>
              <w:top w:val="single" w:color="auto" w:sz="4" w:space="0"/>
              <w:left w:val="single" w:color="auto" w:sz="4" w:space="0"/>
              <w:right w:val="single" w:color="auto" w:sz="4" w:space="0"/>
            </w:tcBorders>
            <w:vAlign w:val="center"/>
          </w:tcPr>
          <w:p w14:paraId="3B7CB009">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在指定的宿主机上，基于Docker环境完成Hadoop完全分布式、Spark、Flink、Hive、Kafka、Flume、ClickHouse、HBase等的安装配置。</w:t>
            </w:r>
          </w:p>
        </w:tc>
        <w:tc>
          <w:tcPr>
            <w:tcW w:w="2864" w:type="dxa"/>
            <w:tcBorders>
              <w:top w:val="single" w:color="auto" w:sz="4" w:space="0"/>
              <w:left w:val="single" w:color="auto" w:sz="4" w:space="0"/>
              <w:right w:val="single" w:color="auto" w:sz="4" w:space="0"/>
            </w:tcBorders>
            <w:vAlign w:val="center"/>
          </w:tcPr>
          <w:p w14:paraId="397A0F1A">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主要评分点包括Hadoop完全分布式安装配置、Spark安装配置、Flink安装配置、Hive安装配置、Kafka安装配置、Flume安装配置、ClickHouse安装配置、HBase安装配置。</w:t>
            </w:r>
          </w:p>
        </w:tc>
        <w:tc>
          <w:tcPr>
            <w:tcW w:w="992" w:type="dxa"/>
            <w:tcBorders>
              <w:top w:val="single" w:color="auto" w:sz="4" w:space="0"/>
              <w:left w:val="single" w:color="auto" w:sz="4" w:space="0"/>
              <w:right w:val="single" w:color="auto" w:sz="4" w:space="0"/>
            </w:tcBorders>
            <w:vAlign w:val="center"/>
          </w:tcPr>
          <w:p w14:paraId="1AA23D60">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10</w:t>
            </w:r>
          </w:p>
        </w:tc>
      </w:tr>
      <w:tr w14:paraId="5152C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73" w:type="dxa"/>
            <w:tcBorders>
              <w:left w:val="single" w:color="auto" w:sz="4" w:space="0"/>
              <w:right w:val="single" w:color="auto" w:sz="4" w:space="0"/>
            </w:tcBorders>
            <w:vAlign w:val="center"/>
          </w:tcPr>
          <w:p w14:paraId="307A2502">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数据采集（15分）</w:t>
            </w:r>
          </w:p>
        </w:tc>
        <w:tc>
          <w:tcPr>
            <w:tcW w:w="1418" w:type="dxa"/>
            <w:tcBorders>
              <w:left w:val="single" w:color="auto" w:sz="4" w:space="0"/>
              <w:right w:val="single" w:color="auto" w:sz="4" w:space="0"/>
            </w:tcBorders>
            <w:vAlign w:val="center"/>
          </w:tcPr>
          <w:p w14:paraId="58EA9D09">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离线数据采集、实时数据采集</w:t>
            </w:r>
          </w:p>
        </w:tc>
        <w:tc>
          <w:tcPr>
            <w:tcW w:w="2409" w:type="dxa"/>
            <w:tcBorders>
              <w:top w:val="single" w:color="auto" w:sz="4" w:space="0"/>
              <w:left w:val="single" w:color="auto" w:sz="4" w:space="0"/>
              <w:right w:val="single" w:color="auto" w:sz="4" w:space="0"/>
            </w:tcBorders>
            <w:vAlign w:val="center"/>
          </w:tcPr>
          <w:p w14:paraId="3B973DE8">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按照要求基于Scala语言完成特定函数的编写，使用Spark完成离线数据采集；按照要求使用Linux命令，利用Flume、Maxwell、Kafka等工具完成实时数据采集。</w:t>
            </w:r>
          </w:p>
        </w:tc>
        <w:tc>
          <w:tcPr>
            <w:tcW w:w="2864" w:type="dxa"/>
            <w:tcBorders>
              <w:top w:val="single" w:color="auto" w:sz="4" w:space="0"/>
              <w:left w:val="single" w:color="auto" w:sz="4" w:space="0"/>
              <w:right w:val="single" w:color="auto" w:sz="4" w:space="0"/>
            </w:tcBorders>
            <w:vAlign w:val="center"/>
          </w:tcPr>
          <w:p w14:paraId="342ECCBE">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主要评分点包括Spark数据读取、数据存储、Flume数据采集、Maxwell数据采集、Kafka等操作。</w:t>
            </w:r>
          </w:p>
        </w:tc>
        <w:tc>
          <w:tcPr>
            <w:tcW w:w="992" w:type="dxa"/>
            <w:tcBorders>
              <w:top w:val="single" w:color="auto" w:sz="4" w:space="0"/>
              <w:left w:val="single" w:color="auto" w:sz="4" w:space="0"/>
              <w:right w:val="single" w:color="auto" w:sz="4" w:space="0"/>
            </w:tcBorders>
            <w:vAlign w:val="center"/>
          </w:tcPr>
          <w:p w14:paraId="0271583D">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15</w:t>
            </w:r>
          </w:p>
        </w:tc>
      </w:tr>
      <w:tr w14:paraId="4BA51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73" w:type="dxa"/>
            <w:tcBorders>
              <w:left w:val="single" w:color="auto" w:sz="4" w:space="0"/>
              <w:right w:val="single" w:color="auto" w:sz="4" w:space="0"/>
            </w:tcBorders>
            <w:vAlign w:val="center"/>
          </w:tcPr>
          <w:p w14:paraId="708FD66A">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实时数据处理（25分）</w:t>
            </w:r>
          </w:p>
        </w:tc>
        <w:tc>
          <w:tcPr>
            <w:tcW w:w="1418" w:type="dxa"/>
            <w:tcBorders>
              <w:left w:val="single" w:color="auto" w:sz="4" w:space="0"/>
              <w:right w:val="single" w:color="auto" w:sz="4" w:space="0"/>
            </w:tcBorders>
            <w:vAlign w:val="center"/>
          </w:tcPr>
          <w:p w14:paraId="592187AF">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实时数据处理计算代码编写</w:t>
            </w:r>
          </w:p>
        </w:tc>
        <w:tc>
          <w:tcPr>
            <w:tcW w:w="2409" w:type="dxa"/>
            <w:tcBorders>
              <w:top w:val="single" w:color="auto" w:sz="4" w:space="0"/>
              <w:left w:val="single" w:color="auto" w:sz="4" w:space="0"/>
              <w:right w:val="single" w:color="auto" w:sz="4" w:space="0"/>
            </w:tcBorders>
            <w:vAlign w:val="center"/>
          </w:tcPr>
          <w:p w14:paraId="765F230E">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使用Scala语言基于Flink完成Kafka中的数据消费，将数据分发至Kafka的dwd层中，并在HBase中进行备份同时建立Hive外表，基于Flink完成相关的数据指标计算并将计算结果存入Redis、ClickHouse中。</w:t>
            </w:r>
          </w:p>
        </w:tc>
        <w:tc>
          <w:tcPr>
            <w:tcW w:w="2864" w:type="dxa"/>
            <w:tcBorders>
              <w:top w:val="single" w:color="auto" w:sz="4" w:space="0"/>
              <w:left w:val="single" w:color="auto" w:sz="4" w:space="0"/>
              <w:right w:val="single" w:color="auto" w:sz="4" w:space="0"/>
            </w:tcBorders>
            <w:vAlign w:val="center"/>
          </w:tcPr>
          <w:p w14:paraId="3AD0D229">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主要评分点包括Flink数据处理、数据指标计算、HBase、Hive、ClickHouse、Redis等相关操作。</w:t>
            </w:r>
          </w:p>
        </w:tc>
        <w:tc>
          <w:tcPr>
            <w:tcW w:w="992" w:type="dxa"/>
            <w:tcBorders>
              <w:top w:val="single" w:color="auto" w:sz="4" w:space="0"/>
              <w:left w:val="single" w:color="auto" w:sz="4" w:space="0"/>
              <w:right w:val="single" w:color="auto" w:sz="4" w:space="0"/>
            </w:tcBorders>
            <w:vAlign w:val="center"/>
          </w:tcPr>
          <w:p w14:paraId="781B5552">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25</w:t>
            </w:r>
          </w:p>
        </w:tc>
      </w:tr>
      <w:tr w14:paraId="5AFE7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6" w:hRule="atLeast"/>
        </w:trPr>
        <w:tc>
          <w:tcPr>
            <w:tcW w:w="1673" w:type="dxa"/>
            <w:tcBorders>
              <w:left w:val="single" w:color="auto" w:sz="4" w:space="0"/>
              <w:right w:val="single" w:color="auto" w:sz="4" w:space="0"/>
            </w:tcBorders>
            <w:vAlign w:val="center"/>
          </w:tcPr>
          <w:p w14:paraId="166CF244">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离线数据处理（20分）</w:t>
            </w:r>
          </w:p>
        </w:tc>
        <w:tc>
          <w:tcPr>
            <w:tcW w:w="1418" w:type="dxa"/>
            <w:tcBorders>
              <w:left w:val="single" w:color="auto" w:sz="4" w:space="0"/>
              <w:right w:val="single" w:color="auto" w:sz="4" w:space="0"/>
            </w:tcBorders>
            <w:vAlign w:val="center"/>
          </w:tcPr>
          <w:p w14:paraId="6C96E913">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离线数据处理计算代码编写</w:t>
            </w:r>
          </w:p>
        </w:tc>
        <w:tc>
          <w:tcPr>
            <w:tcW w:w="2409" w:type="dxa"/>
            <w:tcBorders>
              <w:left w:val="single" w:color="auto" w:sz="4" w:space="0"/>
              <w:right w:val="single" w:color="auto" w:sz="4" w:space="0"/>
            </w:tcBorders>
            <w:vAlign w:val="center"/>
          </w:tcPr>
          <w:p w14:paraId="74787DF4">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使用Scala语言基于Spark完成离线数据清洗、处理、计算，包括数据的合并、去重、排序、数据类型转换等并将计算结果存入MySQL、HBase、ClickHouse中。</w:t>
            </w:r>
          </w:p>
        </w:tc>
        <w:tc>
          <w:tcPr>
            <w:tcW w:w="2864" w:type="dxa"/>
            <w:tcBorders>
              <w:top w:val="single" w:color="auto" w:sz="4" w:space="0"/>
              <w:left w:val="single" w:color="auto" w:sz="4" w:space="0"/>
              <w:right w:val="single" w:color="auto" w:sz="4" w:space="0"/>
            </w:tcBorders>
            <w:vAlign w:val="center"/>
          </w:tcPr>
          <w:p w14:paraId="4D84E3D0">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主要评分点包括基于Spark的数据清洗、数据指标计算、HBase、Hive、ClickHouse、MySQL等相关操作。</w:t>
            </w:r>
          </w:p>
        </w:tc>
        <w:tc>
          <w:tcPr>
            <w:tcW w:w="992" w:type="dxa"/>
            <w:tcBorders>
              <w:top w:val="single" w:color="auto" w:sz="4" w:space="0"/>
              <w:left w:val="single" w:color="auto" w:sz="4" w:space="0"/>
              <w:right w:val="single" w:color="auto" w:sz="4" w:space="0"/>
            </w:tcBorders>
            <w:vAlign w:val="center"/>
          </w:tcPr>
          <w:p w14:paraId="7E248B3C">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20</w:t>
            </w:r>
          </w:p>
        </w:tc>
      </w:tr>
      <w:tr w14:paraId="29DE5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6" w:hRule="atLeast"/>
        </w:trPr>
        <w:tc>
          <w:tcPr>
            <w:tcW w:w="1673" w:type="dxa"/>
            <w:tcBorders>
              <w:left w:val="single" w:color="auto" w:sz="4" w:space="0"/>
              <w:right w:val="single" w:color="auto" w:sz="4" w:space="0"/>
            </w:tcBorders>
            <w:vAlign w:val="center"/>
          </w:tcPr>
          <w:p w14:paraId="6EA12B18">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数据可视化</w:t>
            </w:r>
          </w:p>
          <w:p w14:paraId="37FF29C3">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（15分）</w:t>
            </w:r>
          </w:p>
        </w:tc>
        <w:tc>
          <w:tcPr>
            <w:tcW w:w="1418" w:type="dxa"/>
            <w:tcBorders>
              <w:left w:val="single" w:color="auto" w:sz="4" w:space="0"/>
              <w:right w:val="single" w:color="auto" w:sz="4" w:space="0"/>
            </w:tcBorders>
            <w:vAlign w:val="center"/>
          </w:tcPr>
          <w:p w14:paraId="52F1E2FF">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数据可视化代码编写</w:t>
            </w:r>
          </w:p>
        </w:tc>
        <w:tc>
          <w:tcPr>
            <w:tcW w:w="2409" w:type="dxa"/>
            <w:tcBorders>
              <w:left w:val="single" w:color="auto" w:sz="4" w:space="0"/>
              <w:right w:val="single" w:color="auto" w:sz="4" w:space="0"/>
            </w:tcBorders>
            <w:vAlign w:val="center"/>
          </w:tcPr>
          <w:p w14:paraId="249E4394">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编写前端Web界面，调用后台数据接口，使用Vue.js、ECharts完成数据可视化。</w:t>
            </w:r>
          </w:p>
        </w:tc>
        <w:tc>
          <w:tcPr>
            <w:tcW w:w="2864" w:type="dxa"/>
            <w:tcBorders>
              <w:top w:val="single" w:color="auto" w:sz="4" w:space="0"/>
              <w:left w:val="single" w:color="auto" w:sz="4" w:space="0"/>
              <w:right w:val="single" w:color="auto" w:sz="4" w:space="0"/>
            </w:tcBorders>
            <w:vAlign w:val="center"/>
          </w:tcPr>
          <w:p w14:paraId="669350AA">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主要评分点包括可视化前端代码开发、前端展示。</w:t>
            </w:r>
          </w:p>
        </w:tc>
        <w:tc>
          <w:tcPr>
            <w:tcW w:w="992" w:type="dxa"/>
            <w:tcBorders>
              <w:top w:val="single" w:color="auto" w:sz="4" w:space="0"/>
              <w:left w:val="single" w:color="auto" w:sz="4" w:space="0"/>
              <w:right w:val="single" w:color="auto" w:sz="4" w:space="0"/>
            </w:tcBorders>
            <w:vAlign w:val="center"/>
          </w:tcPr>
          <w:p w14:paraId="3C8A8A09">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15</w:t>
            </w:r>
          </w:p>
        </w:tc>
      </w:tr>
      <w:tr w14:paraId="7CE6F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2" w:hRule="atLeast"/>
        </w:trPr>
        <w:tc>
          <w:tcPr>
            <w:tcW w:w="1673" w:type="dxa"/>
            <w:tcBorders>
              <w:left w:val="single" w:color="auto" w:sz="4" w:space="0"/>
              <w:right w:val="single" w:color="auto" w:sz="4" w:space="0"/>
            </w:tcBorders>
            <w:vAlign w:val="center"/>
          </w:tcPr>
          <w:p w14:paraId="5145E6EA">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综合分析报告</w:t>
            </w:r>
          </w:p>
          <w:p w14:paraId="01B86D9D">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（10分）</w:t>
            </w:r>
          </w:p>
        </w:tc>
        <w:tc>
          <w:tcPr>
            <w:tcW w:w="1418" w:type="dxa"/>
            <w:tcBorders>
              <w:left w:val="single" w:color="auto" w:sz="4" w:space="0"/>
              <w:right w:val="single" w:color="auto" w:sz="4" w:space="0"/>
            </w:tcBorders>
            <w:vAlign w:val="center"/>
          </w:tcPr>
          <w:p w14:paraId="1B51C1E8">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文档编写</w:t>
            </w:r>
          </w:p>
        </w:tc>
        <w:tc>
          <w:tcPr>
            <w:tcW w:w="2409" w:type="dxa"/>
            <w:tcBorders>
              <w:left w:val="single" w:color="auto" w:sz="4" w:space="0"/>
              <w:right w:val="single" w:color="auto" w:sz="4" w:space="0"/>
            </w:tcBorders>
            <w:vAlign w:val="center"/>
          </w:tcPr>
          <w:p w14:paraId="2A8898A8">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根据项目要求，完成综合分析报告编写。</w:t>
            </w:r>
          </w:p>
        </w:tc>
        <w:tc>
          <w:tcPr>
            <w:tcW w:w="2864" w:type="dxa"/>
            <w:tcBorders>
              <w:top w:val="single" w:color="auto" w:sz="4" w:space="0"/>
              <w:left w:val="single" w:color="auto" w:sz="4" w:space="0"/>
              <w:right w:val="single" w:color="auto" w:sz="4" w:space="0"/>
            </w:tcBorders>
            <w:vAlign w:val="center"/>
          </w:tcPr>
          <w:p w14:paraId="5555386D">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主要评分点包括能够按照赛项要求进行综合分析。</w:t>
            </w:r>
          </w:p>
        </w:tc>
        <w:tc>
          <w:tcPr>
            <w:tcW w:w="992" w:type="dxa"/>
            <w:tcBorders>
              <w:top w:val="single" w:color="auto" w:sz="4" w:space="0"/>
              <w:left w:val="single" w:color="auto" w:sz="4" w:space="0"/>
              <w:right w:val="single" w:color="auto" w:sz="4" w:space="0"/>
            </w:tcBorders>
            <w:vAlign w:val="center"/>
          </w:tcPr>
          <w:p w14:paraId="41628DCE">
            <w:pPr>
              <w:pStyle w:val="30"/>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10</w:t>
            </w:r>
          </w:p>
        </w:tc>
      </w:tr>
      <w:tr w14:paraId="6B23A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73" w:type="dxa"/>
            <w:tcBorders>
              <w:top w:val="single" w:color="auto" w:sz="4" w:space="0"/>
              <w:left w:val="single" w:color="auto" w:sz="4" w:space="0"/>
              <w:bottom w:val="single" w:color="auto" w:sz="4" w:space="0"/>
              <w:right w:val="single" w:color="auto" w:sz="4" w:space="0"/>
            </w:tcBorders>
            <w:vAlign w:val="center"/>
          </w:tcPr>
          <w:p w14:paraId="441FBC85">
            <w:pPr>
              <w:pStyle w:val="34"/>
              <w:snapToGrid w:val="0"/>
              <w:spacing w:line="276" w:lineRule="auto"/>
              <w:ind w:firstLine="0" w:firstLineChars="0"/>
              <w:jc w:val="center"/>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职业素养</w:t>
            </w:r>
          </w:p>
          <w:p w14:paraId="1090022D">
            <w:pPr>
              <w:pStyle w:val="34"/>
              <w:snapToGrid w:val="0"/>
              <w:spacing w:line="276" w:lineRule="auto"/>
              <w:ind w:firstLine="0" w:firstLineChars="0"/>
              <w:jc w:val="center"/>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（5分）</w:t>
            </w:r>
          </w:p>
        </w:tc>
        <w:tc>
          <w:tcPr>
            <w:tcW w:w="1418" w:type="dxa"/>
            <w:tcBorders>
              <w:top w:val="single" w:color="auto" w:sz="4" w:space="0"/>
              <w:left w:val="single" w:color="auto" w:sz="4" w:space="0"/>
              <w:bottom w:val="single" w:color="auto" w:sz="4" w:space="0"/>
              <w:right w:val="single" w:color="auto" w:sz="4" w:space="0"/>
            </w:tcBorders>
            <w:vAlign w:val="center"/>
          </w:tcPr>
          <w:p w14:paraId="7FB0333D">
            <w:pPr>
              <w:pStyle w:val="34"/>
              <w:snapToGrid w:val="0"/>
              <w:spacing w:line="276" w:lineRule="auto"/>
              <w:ind w:firstLine="0" w:firstLineChars="0"/>
              <w:jc w:val="center"/>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职业素养</w:t>
            </w:r>
          </w:p>
        </w:tc>
        <w:tc>
          <w:tcPr>
            <w:tcW w:w="2409" w:type="dxa"/>
            <w:tcBorders>
              <w:top w:val="single" w:color="auto" w:sz="4" w:space="0"/>
              <w:left w:val="single" w:color="auto" w:sz="4" w:space="0"/>
              <w:bottom w:val="single" w:color="auto" w:sz="4" w:space="0"/>
              <w:right w:val="single" w:color="auto" w:sz="4" w:space="0"/>
            </w:tcBorders>
            <w:vAlign w:val="center"/>
          </w:tcPr>
          <w:p w14:paraId="25AAA286">
            <w:pPr>
              <w:pStyle w:val="30"/>
              <w:snapToGrid w:val="0"/>
              <w:ind w:firstLine="0" w:firstLineChars="0"/>
              <w:jc w:val="left"/>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团队分工明确合理、操作规范、文明竞赛。</w:t>
            </w:r>
          </w:p>
        </w:tc>
        <w:tc>
          <w:tcPr>
            <w:tcW w:w="2864" w:type="dxa"/>
            <w:tcBorders>
              <w:top w:val="single" w:color="auto" w:sz="4" w:space="0"/>
              <w:left w:val="single" w:color="auto" w:sz="4" w:space="0"/>
              <w:bottom w:val="single" w:color="auto" w:sz="4" w:space="0"/>
              <w:right w:val="single" w:color="auto" w:sz="4" w:space="0"/>
            </w:tcBorders>
            <w:vAlign w:val="center"/>
          </w:tcPr>
          <w:p w14:paraId="1E29AFCB">
            <w:pPr>
              <w:pStyle w:val="34"/>
              <w:snapToGrid w:val="0"/>
              <w:spacing w:line="276" w:lineRule="auto"/>
              <w:ind w:firstLine="0" w:firstLineChars="0"/>
              <w:jc w:val="left"/>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主要评分点包括：竞赛团队分工明确合理、操作规范、文明竞赛。</w:t>
            </w:r>
          </w:p>
        </w:tc>
        <w:tc>
          <w:tcPr>
            <w:tcW w:w="992" w:type="dxa"/>
            <w:tcBorders>
              <w:top w:val="single" w:color="auto" w:sz="4" w:space="0"/>
              <w:left w:val="single" w:color="auto" w:sz="4" w:space="0"/>
              <w:bottom w:val="single" w:color="auto" w:sz="4" w:space="0"/>
              <w:right w:val="single" w:color="auto" w:sz="4" w:space="0"/>
            </w:tcBorders>
            <w:vAlign w:val="center"/>
          </w:tcPr>
          <w:p w14:paraId="4049D2AB">
            <w:pPr>
              <w:pStyle w:val="34"/>
              <w:snapToGrid w:val="0"/>
              <w:ind w:firstLine="0" w:firstLineChars="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5</w:t>
            </w:r>
          </w:p>
        </w:tc>
      </w:tr>
    </w:tbl>
    <w:p w14:paraId="52E5AB4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（五）成绩审核方法</w:t>
      </w:r>
    </w:p>
    <w:p w14:paraId="4FE8E6A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bookmarkStart w:id="10" w:name="_Hlk1489623"/>
      <w:r>
        <w:rPr>
          <w:rFonts w:hint="eastAsia" w:ascii="仿宋_GB2312" w:hAnsi="仿宋_GB2312" w:eastAsia="仿宋_GB2312" w:cs="仿宋_GB2312"/>
          <w:b w:val="0"/>
          <w:bCs w:val="0"/>
          <w:kern w:val="2"/>
          <w:sz w:val="32"/>
          <w:szCs w:val="32"/>
          <w:lang w:val="en-US" w:eastAsia="zh-CN"/>
        </w:rPr>
        <w:t>竞赛结束后，由裁判长向裁判员核实竞赛过程中有无异常。如无异常，成绩单由裁判长签字确认并封存直至公布成绩时开启。</w:t>
      </w:r>
    </w:p>
    <w:p w14:paraId="34E5C4C0">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如有异常，在裁判长主持下，由专家组成员、裁判员、仲裁员和监督员共同处理。</w:t>
      </w:r>
      <w:bookmarkEnd w:id="10"/>
    </w:p>
    <w:p w14:paraId="6DB9CE0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（六）成绩公布方法</w:t>
      </w:r>
    </w:p>
    <w:p w14:paraId="0C22631A">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bookmarkStart w:id="11" w:name="_Hlk1489632"/>
      <w:r>
        <w:rPr>
          <w:rFonts w:hint="eastAsia" w:ascii="仿宋_GB2312" w:hAnsi="仿宋_GB2312" w:eastAsia="仿宋_GB2312" w:cs="仿宋_GB2312"/>
          <w:b w:val="0"/>
          <w:bCs w:val="0"/>
          <w:kern w:val="2"/>
          <w:sz w:val="32"/>
          <w:szCs w:val="32"/>
          <w:lang w:val="en-US" w:eastAsia="zh-CN"/>
        </w:rPr>
        <w:t>竞赛成绩经复核无误后，经裁判长、监督人员审核签字后，以赛项组委会最终公布结果为准</w:t>
      </w:r>
    </w:p>
    <w:p w14:paraId="1E408D87">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竞赛结束后，如参赛队对比赛成绩有异议，提出异议申诉或仲裁，可按照相关规定进行申诉和仲裁，按照仲裁结果公布竞赛成绩。</w:t>
      </w:r>
      <w:bookmarkEnd w:id="11"/>
    </w:p>
    <w:p w14:paraId="2D82268C">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十一、赛场预案</w:t>
      </w:r>
    </w:p>
    <w:p w14:paraId="750D8CAB">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赛场备用工位：赛场提供占总参赛队伍10%的备用工位。</w:t>
      </w:r>
    </w:p>
    <w:p w14:paraId="23DA64B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竞赛系统可靠性：竞赛系统使用的服务器应进行冗余，数据库、存储应使用高可用架构。提前开始运行，经过多次压力测试，由学校组织的真实竞赛环境测试。</w:t>
      </w:r>
    </w:p>
    <w:p w14:paraId="0C56D691">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竞赛备用服务器：现场提供占总参赛队伍10%的备用服务器。</w:t>
      </w:r>
    </w:p>
    <w:p w14:paraId="7A72257B">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现场应急预案详情，如下：</w:t>
      </w:r>
    </w:p>
    <w:p w14:paraId="0814D15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（一）服务器问题预案</w:t>
      </w:r>
    </w:p>
    <w:p w14:paraId="21B0324E">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若服务器在比赛过程中出现卡顿、死机等情况，参赛选手举手示意裁判，在裁判与技术支持人员确定情况后，可更换服务器。更换服务器的等待时间，可在比赛结束后延时。</w:t>
      </w:r>
    </w:p>
    <w:p w14:paraId="7F868E2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（二）交换机问题预案</w:t>
      </w:r>
    </w:p>
    <w:p w14:paraId="68099596">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若交换机在比赛过程中出现传输速度慢或无故中断等情况，参赛选手举手示意裁判，在裁判与技术支持人员确定情况后，可更换交换机。更换交换机的等待时间，可在比赛结束后延时。</w:t>
      </w:r>
    </w:p>
    <w:p w14:paraId="52BC86B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（三）PC机问题预案</w:t>
      </w:r>
    </w:p>
    <w:p w14:paraId="2588F18D">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若PC机在比赛过程中出现死机、蓝屏等现象（重启后无法解决），参赛选手举手示意裁判，在裁判与技术支持人员确定情况后，可更换备用工位或更换PC机进行答题。</w:t>
      </w:r>
    </w:p>
    <w:p w14:paraId="7CC71EE7">
      <w:pPr>
        <w:numPr>
          <w:ilvl w:val="0"/>
          <w:numId w:val="0"/>
        </w:numPr>
        <w:snapToGrid w:val="0"/>
        <w:spacing w:line="560" w:lineRule="exact"/>
        <w:ind w:left="643" w:leftChars="0"/>
        <w:outlineLvl w:val="0"/>
        <w:rPr>
          <w:rFonts w:hint="eastAsia" w:ascii="黑体" w:hAnsi="黑体" w:eastAsia="黑体" w:cs="黑体"/>
          <w:sz w:val="32"/>
          <w:szCs w:val="32"/>
        </w:rPr>
      </w:pPr>
      <w:r>
        <w:rPr>
          <w:rFonts w:hint="eastAsia" w:ascii="黑体" w:hAnsi="黑体" w:eastAsia="黑体" w:cs="黑体"/>
          <w:sz w:val="32"/>
          <w:szCs w:val="32"/>
          <w:lang w:val="en-US" w:eastAsia="zh-CN"/>
        </w:rPr>
        <w:t>十二、</w:t>
      </w:r>
      <w:r>
        <w:rPr>
          <w:rFonts w:hint="eastAsia" w:ascii="黑体" w:hAnsi="黑体" w:eastAsia="黑体" w:cs="黑体"/>
          <w:sz w:val="32"/>
          <w:szCs w:val="32"/>
        </w:rPr>
        <w:t>赛项安全</w:t>
      </w:r>
    </w:p>
    <w:p w14:paraId="6CF18C4D">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按照《全国职业院校技能大赛安全管理规定》的有关要求，依据申报赛项自身特点，明确所需的安全保障措施。</w:t>
      </w:r>
    </w:p>
    <w:p w14:paraId="761A965F">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（一）成立相应的安全管理机构负责本赛项筹备和比赛期间的各项安全工作，赛项执委会主任为第一责任人；</w:t>
      </w:r>
    </w:p>
    <w:p w14:paraId="11275FC7">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（二）制定安全管理的相应规范、流程和突发事件应急预案，保证比赛筹备和实施工作全过程的安全；赛区工位明显位置张贴安全操作须知，列明危险源及和安全操作规程和防范措施；</w:t>
      </w:r>
    </w:p>
    <w:p w14:paraId="0656D188">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（三）比赛内容涉及的器材、设备应符合国家有关安全规定，并预留有 10%的备赛工位设备；</w:t>
      </w:r>
    </w:p>
    <w:p w14:paraId="16DF5584">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四）赛项执委会在赛前对本赛项全体赛项支持保障人员、裁判员、工作人员进行安全培训，赛项支持保障人员在赛前进行消防安全演练，确保紧急情况下，现场参赛选手和专家紧急撤离，并及时切断配电箱电源开关，保障人员需扑救初期火灾，需掌握初步的人员救护技能；</w:t>
      </w:r>
    </w:p>
    <w:p w14:paraId="3B3B51C4">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（五）赛项执委会制定专门方案保证比赛命题、赛题加密、赛题发布、回收和评判过程的安全；</w:t>
      </w:r>
    </w:p>
    <w:p w14:paraId="38F37004">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（六）赛项执委会在赛前组织专人对比赛现场、住宿场所和交通保障进行考察，并对安全工作提出明确要求。赛场的布置，赛场内的器材、设备，应符合国家有关安全规定；</w:t>
      </w:r>
    </w:p>
    <w:p w14:paraId="442A384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（七）赛场周围设立警戒线，防止无关人员进入，发生意外事件。比赛现场内参照相关职业岗位的要求为选手提供必要的劳动保护和医务服务；</w:t>
      </w:r>
    </w:p>
    <w:p w14:paraId="12D45A5E">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（八）承办院校应提供保障应急预案实施的条件，明确制度和预案，并配备急救人员与设施；除必要的安全隔离措施外，赛项安全应严格遵守国家相关法律法规，保护个人隐私和人身自由；</w:t>
      </w:r>
    </w:p>
    <w:p w14:paraId="03625436">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（九）赛项执委会会同承办院校制定开放赛场和体验区的人员疏导方案。赛场环境中存在人员密集、车流人流交错的区域，除了设置齐全的指示标志外，增加引导人员，并开辟备用通道；</w:t>
      </w:r>
    </w:p>
    <w:p w14:paraId="3710D8A3">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（十）比赛期间，赛项承办院校在赛场管理的关键岗位，增加力量，建立安全管理日志；</w:t>
      </w:r>
    </w:p>
    <w:p w14:paraId="6E14828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十一）比赛期间承办校所安排的住宿地应具有宾馆、住宿经营许可资质，保证住宿、卫生、饮食安全，承办院校须尊重少数民族参赛人员的宗教信仰及文化习俗，根据国家相关的民族、宗教政策，安排好少数民族参赛选手和教师的饮食起居；</w:t>
      </w:r>
    </w:p>
    <w:p w14:paraId="2D49C234">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（十二）比赛期间发生意外事故时，应采取措施，避免事态扩大，赛场、展示区、体验区的现场布置和现场使用时，全域全程禁烟。</w:t>
      </w:r>
    </w:p>
    <w:p w14:paraId="11A76440">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十三、竞赛须知</w:t>
      </w:r>
    </w:p>
    <w:p w14:paraId="5DBD9D4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（一）参赛队须知</w:t>
      </w:r>
    </w:p>
    <w:p w14:paraId="4E4879B3">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 xml:space="preserve">1.参赛队名称：统一使用规定的学校代表队名称，不使用其他组织、团体的名称； </w:t>
      </w:r>
    </w:p>
    <w:p w14:paraId="4D71A2FD">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2.参赛队组成：每支参赛队由3名参赛选手组成，须为同校在籍学生，其中队长1名。每支参赛队可配2名指导教师，指导教师须为本校专兼职教师。不接受跨校组队，同一学校的报名参赛队伍不超过2支；</w:t>
      </w:r>
    </w:p>
    <w:p w14:paraId="1B86B162">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3.各参赛院校应指定1名负责人任赛项领队，全权负责该校参赛事务的组织、协调和领导工作。</w:t>
      </w:r>
    </w:p>
    <w:p w14:paraId="194FBE8B">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4.参赛选手及指导教师在报名获得确认后，原则上不再更换。如在筹备过程中，参赛选手和指导教师因故不能参赛，须由其所在学校供职部门于赛项开赛前10个工作日之前出具书面说明，经赛项执委会办公室核实后予以更换。允许队员缺席比赛；允许指导教师缺席比赛。</w:t>
      </w:r>
    </w:p>
    <w:p w14:paraId="234D87FB">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5.参赛队按照赛项竞赛规程安排，凭赛项执委会颁发的参赛证和有效身份证件参加比赛及相关活动。</w:t>
      </w:r>
    </w:p>
    <w:p w14:paraId="7066657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6.赛项执委会统一安排各参赛队在比赛前一天进入赛场熟悉环境和设施情况。</w:t>
      </w:r>
    </w:p>
    <w:p w14:paraId="234FC320">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7.参赛队选手、领队和指导教师要有良好的职业道德，严格遵守比赛规则和比赛纪律，服从裁判，尊重裁判和赛场工作人员，自觉维护赛场秩序。</w:t>
      </w:r>
    </w:p>
    <w:p w14:paraId="45FD7951">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8.领队应负责赛事活动期间本队所有选手的人身及财产安全，如发现意外事故，应及时向赛项执委会报告。</w:t>
      </w:r>
    </w:p>
    <w:p w14:paraId="2823F856">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9.各学校组织代表队时，须为参赛选手购买竞赛期间的人身意外伤害保险。</w:t>
      </w:r>
    </w:p>
    <w:p w14:paraId="06FAC1E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（二）领队和指导教师须知</w:t>
      </w:r>
    </w:p>
    <w:p w14:paraId="5CED7968">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1.严格遵守赛场的各项规定，服从裁判，文明竞赛。如发现弄虚作假者，取消参赛资格，名次无效。</w:t>
      </w:r>
    </w:p>
    <w:p w14:paraId="1D57775B">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2.领队和指导教师务必带好有效身份证件，在活动过程中佩戴“指导教师证”参加竞赛相关活动。</w:t>
      </w:r>
    </w:p>
    <w:p w14:paraId="3F8A991A">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3.各代表队领队要坚决执行竞赛的各项规定，加强对参赛人员的管理，做好赛前准备工作，督促选手带好证件等竞赛相关材料。</w:t>
      </w:r>
    </w:p>
    <w:p w14:paraId="43205961">
      <w:pPr>
        <w:tabs>
          <w:tab w:val="left" w:pos="567"/>
        </w:tabs>
        <w:snapToGrid w:val="0"/>
        <w:spacing w:line="560" w:lineRule="exact"/>
        <w:ind w:firstLine="627" w:firstLineChars="196"/>
        <w:outlineLvl w:val="2"/>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4.在比赛期间要严格遵守比赛规则，不得私自接触裁判人员。</w:t>
      </w:r>
    </w:p>
    <w:p w14:paraId="4B11BD66">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5.竞赛过程中，未经裁判许可，领队、指导教师及其他人员一律不得进入竞赛现场。</w:t>
      </w:r>
    </w:p>
    <w:p w14:paraId="029BBFC2">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6.如对竞赛过程有疑议，由领队和指导教师负责以书面形式向赛项仲裁委员会反映，但不得影响竞赛进行。</w:t>
      </w:r>
    </w:p>
    <w:p w14:paraId="2C1836D1">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7.对申诉的仲裁结果，领队要带头服从和执行，并做好选手工作。参赛选手不得因申诉或对处理意见不服而停止竞赛，否则以弃权处理。</w:t>
      </w:r>
    </w:p>
    <w:p w14:paraId="37FBB264">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8.领队和指导老师应及时查看有关赛项的通知和内容，认真研究和掌握本赛项竞赛的规程、技术规范和赛场要求，指导选手做好赛前的一切技术准备和竞赛准备。</w:t>
      </w:r>
    </w:p>
    <w:p w14:paraId="4DF7753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（三）参赛选手须知</w:t>
      </w:r>
    </w:p>
    <w:p w14:paraId="2959162D">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1.参赛选手应严格遵守赛场规章、操作规程和工艺准则，保证人身及设备安全，接受裁判员的监督和警示，文明竞赛。</w:t>
      </w:r>
    </w:p>
    <w:p w14:paraId="59B4899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2.参赛选手应按照规定时间抵达赛场，凭身份证、学生证，以及统一发放的参赛证，完成入场检录、抽签确定竞赛工位号，不得迟到早退。</w:t>
      </w:r>
    </w:p>
    <w:p w14:paraId="7E0F96D5">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3.参赛选手凭竞赛工位号进入赛场，不允许携带任何电子设备及其他资料、用品。</w:t>
      </w:r>
    </w:p>
    <w:p w14:paraId="371A6AEE">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4.参赛选手应在规定的时间段进入赛场，认真核对竞赛工位号，在指定位置就座。</w:t>
      </w:r>
    </w:p>
    <w:p w14:paraId="0B85088D">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5.参赛选手入场后，迅速确认竞赛设备状况，填写相关确认文件，并由参赛队长确认签字（竞赛工位号）。</w:t>
      </w:r>
    </w:p>
    <w:p w14:paraId="09A5C5C5">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6.参赛选手在收到开赛信号前不得启动操作。在竞赛过程中，确因计算机软件或硬件故障，致使操作无法继续的，经裁判长确认，予以启用备用计算机。</w:t>
      </w:r>
    </w:p>
    <w:p w14:paraId="37A0C10D">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7.参赛选手应在竞赛规定时间内完成任务书内容，并按照要求，将相应文档拷贝到U盘。</w:t>
      </w:r>
    </w:p>
    <w:p w14:paraId="2D1AE930">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8.参赛选手需及时保存工作记录。对于因各种原因造成的数据丢失，由参赛选手自行负责。</w:t>
      </w:r>
    </w:p>
    <w:p w14:paraId="7C70ABA1">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9.参赛队所提交的答卷采用竞赛工位号进行标识，不得出现地名、校名、姓名、参赛证编号等信息，否则取消竞赛成绩。</w:t>
      </w:r>
    </w:p>
    <w:p w14:paraId="09752D7D">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10.竞赛过程中，因严重操作失误或安全事故不能进行比赛的（例如因操作原因发生短路导致赛场断电的、造成设备不能正常工作的），现场裁判有权中止该队比赛。</w:t>
      </w:r>
    </w:p>
    <w:p w14:paraId="6F5EBA65">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11.在比赛中如遇非人为因素造成的设备故障，经裁判确认后，可向裁判长申请补足排除故障的时间。</w:t>
      </w:r>
    </w:p>
    <w:p w14:paraId="2021B86B">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12. 参赛选手不得因各种原因提前结束比赛。如确因不可抗因素需要离开赛场的，须向现场裁判举手示意，经裁判长许可并完成记录后，方可离开。凡在竞赛期间内提前离开的选手，不得返回赛场。</w:t>
      </w:r>
    </w:p>
    <w:p w14:paraId="48ACA0EF">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13.竞赛操作结束后，参赛选手需要根据任务书要求，将相关成果文件拷贝至U盘，填写结束比赛相关确认文件，并由参赛队长签字确认（竞赛工位号）。因参赛选手未能按要求，将相应的文档等拷贝至U盘的，竞赛成绩计为零分。</w:t>
      </w:r>
    </w:p>
    <w:p w14:paraId="21A6D648">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14.竞赛时间结束，选手应全体起立，停止操作。将资料和工具整齐摆放在操作平台上，经工作人员清点后可离开赛场，离开赛场时不得带走任何资料。</w:t>
      </w:r>
    </w:p>
    <w:p w14:paraId="18773963">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15.在竞赛期间，未经执委会批准，参赛选手不得接受其他单位和个人进行的与竞赛内容相关的采访。参赛选手不得将竞赛的相关信息私自公布。</w:t>
      </w:r>
    </w:p>
    <w:p w14:paraId="30E14B68">
      <w:pPr>
        <w:tabs>
          <w:tab w:val="left" w:pos="567"/>
        </w:tabs>
        <w:snapToGrid w:val="0"/>
        <w:spacing w:line="560" w:lineRule="exact"/>
        <w:ind w:firstLine="627" w:firstLineChars="196"/>
        <w:outlineLvl w:val="2"/>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16.符合下列情形之一的参赛选手，经裁判组裁定后中止其竞赛:</w:t>
      </w:r>
    </w:p>
    <w:p w14:paraId="4E16905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（1）不服从裁判员/监考员管理、扰乱赛场秩序、干扰其他参赛选手比赛，裁判员应提出警告，二次警告后无效，或情节特别严重，造成竞赛中止的，经裁判长确认，中止比赛，并取消竞赛资格和竞赛成绩。</w:t>
      </w:r>
    </w:p>
    <w:p w14:paraId="52AC8FAE">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（2）竞赛过程中，由于选手人为造成计算机、仪器设备及工具等严重损坏，负责赔偿其损失，并由裁判组裁定其竞赛结束与否、是否保留竞赛资格、是否累计其有效竞赛成绩。</w:t>
      </w:r>
    </w:p>
    <w:p w14:paraId="4110EEE3">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（3）竞赛过程中，产生重大安全事故、或有产生重大安全事故隐患，经裁判员提示没有采取措施的，裁判员可暂停其竞赛，由裁判组裁定其竞赛结束，保留竞赛资格和有效竞赛成绩。</w:t>
      </w:r>
    </w:p>
    <w:p w14:paraId="41A94AC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（四）工作人员须知</w:t>
      </w:r>
    </w:p>
    <w:p w14:paraId="16A6F66F">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1.竞赛现场设现场裁判组，裁判长1名，现场裁判若干名。裁判要秉公裁判，监督检查参赛队安全有序竞赛。如遇疑问或争议，须请示裁判长裁决，裁判长的决定为现场最终裁定。</w:t>
      </w:r>
    </w:p>
    <w:p w14:paraId="1E48CC01">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2.赛场工作人员由赛项执委会统一聘用并进行工作分工，进入竞赛现场须佩戴赛项执委会统一提供的胸牌。</w:t>
      </w:r>
    </w:p>
    <w:p w14:paraId="69C7075F">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3.赛场工作人员需服从赛项执委会的管理，严格执行赛项各项比赛规则，执行各项工作安排，积极维护好赛场秩序，坚守岗位，为赛场提供有序的服务。</w:t>
      </w:r>
    </w:p>
    <w:p w14:paraId="1372AC85">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4.赛场工作人员进入现场，不得携带任何通讯工具或与竞赛无关的物品。</w:t>
      </w:r>
    </w:p>
    <w:p w14:paraId="3151181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5.参赛队进入赛场，现场裁判应按规定审查参赛选手带入赛场的物品，如发现不允许带入赛场的物品，交由参赛队随行人员保管，赛场不提供保管服务。</w:t>
      </w:r>
    </w:p>
    <w:p w14:paraId="0F165040">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6.赛场工作人员在竞赛过程中不回答选手提出的任何有关比赛技术问题，如遇争议问题，应及时报告裁判长。</w:t>
      </w:r>
    </w:p>
    <w:p w14:paraId="66116091">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十四、申诉与仲裁</w:t>
      </w:r>
    </w:p>
    <w:p w14:paraId="43B2992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（一）申诉</w:t>
      </w:r>
    </w:p>
    <w:p w14:paraId="35AA5E63">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1.参赛队对不符合竞赛规定的设备、工具、软件，有失公正的评判、奖励，以及对工作人员的违规行为等，均可提出申诉。</w:t>
      </w:r>
    </w:p>
    <w:p w14:paraId="63F3C10C">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2.申诉应在竞赛结束后2小时内提出，超过时效将不予受理。申诉时，应按照规定的程序由参赛队领队向相应赛项裁判委员会递交书面申诉报告。报告应对申诉事件的现象、发生的时间、涉及到的人员、申诉依据与理由等进行充分、实事求是的叙述。事实依据不充分、仅凭主观臆断的申诉将不予受理。申诉报告须有申诉的参赛选手、领队签名。</w:t>
      </w:r>
    </w:p>
    <w:p w14:paraId="1941D555">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3.赛项裁判委员会收到申诉报告后，应根据申诉事由进行审查，2小时内书面通知申诉方，告知申诉处理结果。如受理申诉，要通知申诉方举办听证会的时间和地点；如不受理申诉，要说明理由。</w:t>
      </w:r>
    </w:p>
    <w:p w14:paraId="0DA1EDE8">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4.申诉人不得无故拒不接受处理结果，不允许采取过激行为刁难、攻击工作人员，否则视为放弃申诉。申诉人不满意赛项裁委会的处理结果的，可向赛项仲裁工作组提出复议申请。</w:t>
      </w:r>
    </w:p>
    <w:p w14:paraId="1830907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（二）仲裁</w:t>
      </w:r>
    </w:p>
    <w:p w14:paraId="1A22B4AB">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1.2024年海南省省职业院校技能大赛（高职组）“大数据技术与应用”赛项裁判委员会设仲裁工作组，负责受理竞赛中出现的申诉复议并进行仲裁，以保证竞赛的顺利进行和竞赛结果公平、公正。</w:t>
      </w:r>
    </w:p>
    <w:p w14:paraId="4079C7A2">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2.仲裁工作组的裁决为最终裁决，参赛队不得因对仲裁处理意见不服而停止比赛或滋事，否则按弃权处理。</w:t>
      </w:r>
    </w:p>
    <w:p w14:paraId="1AEC5E95">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十五、竞赛观摩</w:t>
      </w:r>
    </w:p>
    <w:p w14:paraId="78F52D9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（一）视频观摩</w:t>
      </w:r>
    </w:p>
    <w:p w14:paraId="70E364FA">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赛场外设置开放式观摩区，向媒体、企业代表、院校师生等社会公众开放，通过室外大屏幕对赛场进行直播，同时还可以通过竞赛系统进度监控图实时观看选手答题进度。</w:t>
      </w:r>
    </w:p>
    <w:p w14:paraId="5EA5CAB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（二）组织安排</w:t>
      </w:r>
    </w:p>
    <w:p w14:paraId="195EF772">
      <w:pPr>
        <w:tabs>
          <w:tab w:val="left" w:pos="567"/>
        </w:tabs>
        <w:snapToGrid w:val="0"/>
        <w:spacing w:line="560" w:lineRule="exact"/>
        <w:ind w:firstLine="627" w:firstLineChars="196"/>
        <w:rPr>
          <w:rFonts w:hint="eastAsia" w:ascii="仿宋" w:hAnsi="仿宋" w:eastAsia="仿宋" w:cs="楷体"/>
          <w:sz w:val="32"/>
          <w:szCs w:val="32"/>
        </w:rPr>
      </w:pPr>
      <w:r>
        <w:rPr>
          <w:rFonts w:hint="eastAsia" w:ascii="仿宋" w:hAnsi="仿宋" w:eastAsia="仿宋" w:cs="楷体"/>
          <w:sz w:val="32"/>
          <w:szCs w:val="32"/>
        </w:rPr>
        <w:t>在竞赛开始1小时之后，由承办校组织并派人带领媒体、专家、企业代表、院校师生等进入赛场外的开放式观摩区，按照指定路线进行观摩。</w:t>
      </w:r>
    </w:p>
    <w:p w14:paraId="6B479AE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（三）纪律要求</w:t>
      </w:r>
    </w:p>
    <w:p w14:paraId="350E0BCC">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为保证大赛顺利进行，在观摩期间应遵循以下纪律要求：</w:t>
      </w:r>
    </w:p>
    <w:p w14:paraId="76E76B65">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1.除与竞赛直接有关工作人员、裁判员、参赛选手外，其余人员均为观摩观众。</w:t>
      </w:r>
    </w:p>
    <w:p w14:paraId="270FFD2D">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2.不得违反职业院校技能大赛规定的各项纪律。</w:t>
      </w:r>
    </w:p>
    <w:p w14:paraId="2B706803">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3.观摩人员需批准，佩戴观摩证件，遵循观摩区的工作人员指挥。</w:t>
      </w:r>
    </w:p>
    <w:p w14:paraId="12530B91">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4.文明观摩，保持观摩区清洁，不得大声喧哗，杜绝各种违反观摩秩序的不文明行为。</w:t>
      </w:r>
    </w:p>
    <w:sectPr>
      <w:footerReference r:id="rId3" w:type="default"/>
      <w:footerReference r:id="rId4" w:type="even"/>
      <w:pgSz w:w="11906" w:h="16838"/>
      <w:pgMar w:top="1440" w:right="1797" w:bottom="1440" w:left="1797"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小标宋_GBK">
    <w:panose1 w:val="02000000000000000000"/>
    <w:charset w:val="86"/>
    <w:family w:val="auto"/>
    <w:pitch w:val="default"/>
    <w:sig w:usb0="A00002BF" w:usb1="38CF7CFA" w:usb2="00082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Malgun Gothic">
    <w:panose1 w:val="020B0503020000020004"/>
    <w:charset w:val="81"/>
    <w:family w:val="auto"/>
    <w:pitch w:val="default"/>
    <w:sig w:usb0="9000002F" w:usb1="29D77CFB" w:usb2="00000012" w:usb3="00000000" w:csb0="00080001" w:csb1="00000000"/>
  </w:font>
  <w:font w:name="新宋体">
    <w:panose1 w:val="02010609030101010101"/>
    <w:charset w:val="86"/>
    <w:family w:val="auto"/>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89CA8">
    <w:pPr>
      <w:pStyle w:val="8"/>
      <w:framePr w:wrap="around" w:vAnchor="text" w:hAnchor="margin" w:xAlign="center" w:y="1"/>
      <w:rPr>
        <w:rStyle w:val="16"/>
      </w:rPr>
    </w:pPr>
    <w:r>
      <w:fldChar w:fldCharType="begin"/>
    </w:r>
    <w:r>
      <w:rPr>
        <w:rStyle w:val="16"/>
      </w:rPr>
      <w:instrText xml:space="preserve">PAGE  </w:instrText>
    </w:r>
    <w:r>
      <w:fldChar w:fldCharType="separate"/>
    </w:r>
    <w:r>
      <w:rPr>
        <w:rStyle w:val="16"/>
      </w:rPr>
      <w:t>25</w:t>
    </w:r>
    <w:r>
      <w:fldChar w:fldCharType="end"/>
    </w:r>
  </w:p>
  <w:p w14:paraId="752EBC4F">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DC5E7">
    <w:pPr>
      <w:pStyle w:val="8"/>
      <w:framePr w:wrap="around" w:vAnchor="text" w:hAnchor="margin" w:xAlign="center" w:y="1"/>
      <w:rPr>
        <w:rStyle w:val="16"/>
      </w:rPr>
    </w:pPr>
    <w:r>
      <w:fldChar w:fldCharType="begin"/>
    </w:r>
    <w:r>
      <w:rPr>
        <w:rStyle w:val="16"/>
      </w:rPr>
      <w:instrText xml:space="preserve">PAGE  </w:instrText>
    </w:r>
    <w:r>
      <w:fldChar w:fldCharType="end"/>
    </w:r>
  </w:p>
  <w:p w14:paraId="657E1C50">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OGVhOTJkZjZmY2VhOWNmOWYxOWE5YTI5MGQyYjg2ZDAifQ=="/>
  </w:docVars>
  <w:rsids>
    <w:rsidRoot w:val="007A168C"/>
    <w:rsid w:val="0000069D"/>
    <w:rsid w:val="00002BF4"/>
    <w:rsid w:val="00006C2C"/>
    <w:rsid w:val="00007550"/>
    <w:rsid w:val="00010A65"/>
    <w:rsid w:val="0001144D"/>
    <w:rsid w:val="000160DB"/>
    <w:rsid w:val="0002571D"/>
    <w:rsid w:val="00035D45"/>
    <w:rsid w:val="000412F6"/>
    <w:rsid w:val="000413B8"/>
    <w:rsid w:val="00042048"/>
    <w:rsid w:val="00042C41"/>
    <w:rsid w:val="00044AC4"/>
    <w:rsid w:val="00045B24"/>
    <w:rsid w:val="000555CF"/>
    <w:rsid w:val="00055EE5"/>
    <w:rsid w:val="00062721"/>
    <w:rsid w:val="0006296D"/>
    <w:rsid w:val="00072CA8"/>
    <w:rsid w:val="00077095"/>
    <w:rsid w:val="0007742A"/>
    <w:rsid w:val="00091617"/>
    <w:rsid w:val="00093429"/>
    <w:rsid w:val="0009555F"/>
    <w:rsid w:val="000A0277"/>
    <w:rsid w:val="000A6259"/>
    <w:rsid w:val="000B0347"/>
    <w:rsid w:val="000B1098"/>
    <w:rsid w:val="000B298D"/>
    <w:rsid w:val="000B50D5"/>
    <w:rsid w:val="000B79B3"/>
    <w:rsid w:val="000C0428"/>
    <w:rsid w:val="000C5CEF"/>
    <w:rsid w:val="000D12A7"/>
    <w:rsid w:val="000D3E1A"/>
    <w:rsid w:val="000E1E33"/>
    <w:rsid w:val="000E21CF"/>
    <w:rsid w:val="000E22F1"/>
    <w:rsid w:val="000E3F75"/>
    <w:rsid w:val="000E4B14"/>
    <w:rsid w:val="000F0D76"/>
    <w:rsid w:val="000F1F3D"/>
    <w:rsid w:val="000F301C"/>
    <w:rsid w:val="000F7BD0"/>
    <w:rsid w:val="00101976"/>
    <w:rsid w:val="001027E6"/>
    <w:rsid w:val="001111B1"/>
    <w:rsid w:val="0011245C"/>
    <w:rsid w:val="00112571"/>
    <w:rsid w:val="001138F8"/>
    <w:rsid w:val="001319A2"/>
    <w:rsid w:val="00131CFC"/>
    <w:rsid w:val="001333D2"/>
    <w:rsid w:val="00133D2A"/>
    <w:rsid w:val="00136159"/>
    <w:rsid w:val="00137A10"/>
    <w:rsid w:val="00142381"/>
    <w:rsid w:val="00150C04"/>
    <w:rsid w:val="001533F2"/>
    <w:rsid w:val="0015376C"/>
    <w:rsid w:val="00154358"/>
    <w:rsid w:val="001544EB"/>
    <w:rsid w:val="001548C1"/>
    <w:rsid w:val="00156D8D"/>
    <w:rsid w:val="001603ED"/>
    <w:rsid w:val="00160416"/>
    <w:rsid w:val="001607D8"/>
    <w:rsid w:val="00161C0A"/>
    <w:rsid w:val="0016469B"/>
    <w:rsid w:val="00165A2A"/>
    <w:rsid w:val="00165C7C"/>
    <w:rsid w:val="00165CE3"/>
    <w:rsid w:val="0017069C"/>
    <w:rsid w:val="00170C1B"/>
    <w:rsid w:val="00170DFE"/>
    <w:rsid w:val="001732F8"/>
    <w:rsid w:val="00173CB1"/>
    <w:rsid w:val="00173F41"/>
    <w:rsid w:val="00181C7E"/>
    <w:rsid w:val="001829D5"/>
    <w:rsid w:val="0018340C"/>
    <w:rsid w:val="00184B53"/>
    <w:rsid w:val="001857E7"/>
    <w:rsid w:val="00187FE2"/>
    <w:rsid w:val="001913A8"/>
    <w:rsid w:val="001960DE"/>
    <w:rsid w:val="001961E5"/>
    <w:rsid w:val="001979A6"/>
    <w:rsid w:val="001A1280"/>
    <w:rsid w:val="001A56D0"/>
    <w:rsid w:val="001A5AE5"/>
    <w:rsid w:val="001A6EB0"/>
    <w:rsid w:val="001A6FCC"/>
    <w:rsid w:val="001A74E5"/>
    <w:rsid w:val="001B09F4"/>
    <w:rsid w:val="001B1240"/>
    <w:rsid w:val="001B1948"/>
    <w:rsid w:val="001B3ED2"/>
    <w:rsid w:val="001B524D"/>
    <w:rsid w:val="001B639D"/>
    <w:rsid w:val="001C1D43"/>
    <w:rsid w:val="001C3A5B"/>
    <w:rsid w:val="001C45B3"/>
    <w:rsid w:val="001D16B5"/>
    <w:rsid w:val="001D283D"/>
    <w:rsid w:val="001D7223"/>
    <w:rsid w:val="001D7E1C"/>
    <w:rsid w:val="001E0CCA"/>
    <w:rsid w:val="001E4836"/>
    <w:rsid w:val="001E6E96"/>
    <w:rsid w:val="001E78A4"/>
    <w:rsid w:val="001F074B"/>
    <w:rsid w:val="001F10C3"/>
    <w:rsid w:val="001F255B"/>
    <w:rsid w:val="001F2A60"/>
    <w:rsid w:val="001F3BFC"/>
    <w:rsid w:val="001F433A"/>
    <w:rsid w:val="001F51F4"/>
    <w:rsid w:val="001F692E"/>
    <w:rsid w:val="001F6FBC"/>
    <w:rsid w:val="00200BC6"/>
    <w:rsid w:val="00206A1B"/>
    <w:rsid w:val="0020769F"/>
    <w:rsid w:val="00207898"/>
    <w:rsid w:val="0021125D"/>
    <w:rsid w:val="00214C72"/>
    <w:rsid w:val="00216DF3"/>
    <w:rsid w:val="0021721D"/>
    <w:rsid w:val="00223375"/>
    <w:rsid w:val="002237AE"/>
    <w:rsid w:val="0022473B"/>
    <w:rsid w:val="00227CDF"/>
    <w:rsid w:val="002309CD"/>
    <w:rsid w:val="00234108"/>
    <w:rsid w:val="00235C17"/>
    <w:rsid w:val="0024089B"/>
    <w:rsid w:val="0024227E"/>
    <w:rsid w:val="002434E6"/>
    <w:rsid w:val="00243715"/>
    <w:rsid w:val="00244E89"/>
    <w:rsid w:val="002463B5"/>
    <w:rsid w:val="002476F7"/>
    <w:rsid w:val="002538D6"/>
    <w:rsid w:val="0025506B"/>
    <w:rsid w:val="00260079"/>
    <w:rsid w:val="002703BF"/>
    <w:rsid w:val="00274BA4"/>
    <w:rsid w:val="00274BD7"/>
    <w:rsid w:val="002761F2"/>
    <w:rsid w:val="002804AE"/>
    <w:rsid w:val="00280E15"/>
    <w:rsid w:val="00284E57"/>
    <w:rsid w:val="00292C57"/>
    <w:rsid w:val="00293DCC"/>
    <w:rsid w:val="002A1B51"/>
    <w:rsid w:val="002A3C1D"/>
    <w:rsid w:val="002A68D0"/>
    <w:rsid w:val="002B069D"/>
    <w:rsid w:val="002B192B"/>
    <w:rsid w:val="002B2201"/>
    <w:rsid w:val="002B2240"/>
    <w:rsid w:val="002B30D8"/>
    <w:rsid w:val="002B4C30"/>
    <w:rsid w:val="002C449D"/>
    <w:rsid w:val="002C5D0F"/>
    <w:rsid w:val="002D0DC0"/>
    <w:rsid w:val="002D1E2E"/>
    <w:rsid w:val="002E052C"/>
    <w:rsid w:val="002E527C"/>
    <w:rsid w:val="002E6E57"/>
    <w:rsid w:val="002E7B46"/>
    <w:rsid w:val="002F0685"/>
    <w:rsid w:val="002F27C6"/>
    <w:rsid w:val="002F3F1B"/>
    <w:rsid w:val="002F4E4E"/>
    <w:rsid w:val="002F5194"/>
    <w:rsid w:val="00302A1A"/>
    <w:rsid w:val="00304374"/>
    <w:rsid w:val="003049F2"/>
    <w:rsid w:val="00306005"/>
    <w:rsid w:val="00313EAC"/>
    <w:rsid w:val="00314B3D"/>
    <w:rsid w:val="00315F19"/>
    <w:rsid w:val="003262A3"/>
    <w:rsid w:val="00333193"/>
    <w:rsid w:val="00333369"/>
    <w:rsid w:val="00335E49"/>
    <w:rsid w:val="0033653C"/>
    <w:rsid w:val="003451CD"/>
    <w:rsid w:val="00345A72"/>
    <w:rsid w:val="00350F7A"/>
    <w:rsid w:val="00351908"/>
    <w:rsid w:val="00357C89"/>
    <w:rsid w:val="00361EB9"/>
    <w:rsid w:val="003630D8"/>
    <w:rsid w:val="00363269"/>
    <w:rsid w:val="003755C5"/>
    <w:rsid w:val="003757FB"/>
    <w:rsid w:val="00380680"/>
    <w:rsid w:val="00382431"/>
    <w:rsid w:val="0038650D"/>
    <w:rsid w:val="00390C10"/>
    <w:rsid w:val="00394565"/>
    <w:rsid w:val="00397A33"/>
    <w:rsid w:val="003A18BA"/>
    <w:rsid w:val="003A1DFD"/>
    <w:rsid w:val="003A2851"/>
    <w:rsid w:val="003A2F6C"/>
    <w:rsid w:val="003A348C"/>
    <w:rsid w:val="003A3818"/>
    <w:rsid w:val="003A5C2E"/>
    <w:rsid w:val="003A5DF5"/>
    <w:rsid w:val="003A644E"/>
    <w:rsid w:val="003A6F33"/>
    <w:rsid w:val="003A7CBE"/>
    <w:rsid w:val="003B14CE"/>
    <w:rsid w:val="003B5BEE"/>
    <w:rsid w:val="003B6719"/>
    <w:rsid w:val="003B6C75"/>
    <w:rsid w:val="003C07BB"/>
    <w:rsid w:val="003C1D51"/>
    <w:rsid w:val="003C3F76"/>
    <w:rsid w:val="003C4943"/>
    <w:rsid w:val="003C5685"/>
    <w:rsid w:val="003C78E3"/>
    <w:rsid w:val="003D3C26"/>
    <w:rsid w:val="003D70DF"/>
    <w:rsid w:val="003E02C1"/>
    <w:rsid w:val="003E2069"/>
    <w:rsid w:val="003E28A2"/>
    <w:rsid w:val="003E32FF"/>
    <w:rsid w:val="003E3702"/>
    <w:rsid w:val="003E5E7A"/>
    <w:rsid w:val="003E7D36"/>
    <w:rsid w:val="003F0F29"/>
    <w:rsid w:val="003F29DA"/>
    <w:rsid w:val="003F3508"/>
    <w:rsid w:val="003F551B"/>
    <w:rsid w:val="003F7B3B"/>
    <w:rsid w:val="00402E3B"/>
    <w:rsid w:val="00406139"/>
    <w:rsid w:val="0040735B"/>
    <w:rsid w:val="00410854"/>
    <w:rsid w:val="00411804"/>
    <w:rsid w:val="00412253"/>
    <w:rsid w:val="00412AE6"/>
    <w:rsid w:val="004160ED"/>
    <w:rsid w:val="00420D54"/>
    <w:rsid w:val="0042448E"/>
    <w:rsid w:val="00426E62"/>
    <w:rsid w:val="00426F75"/>
    <w:rsid w:val="004272AF"/>
    <w:rsid w:val="0043230E"/>
    <w:rsid w:val="004324C3"/>
    <w:rsid w:val="00445262"/>
    <w:rsid w:val="004467F7"/>
    <w:rsid w:val="00447EC5"/>
    <w:rsid w:val="00455526"/>
    <w:rsid w:val="004564F2"/>
    <w:rsid w:val="0045707B"/>
    <w:rsid w:val="00460F49"/>
    <w:rsid w:val="0046352D"/>
    <w:rsid w:val="00463890"/>
    <w:rsid w:val="00465CF6"/>
    <w:rsid w:val="00471F0A"/>
    <w:rsid w:val="00472B38"/>
    <w:rsid w:val="0047333E"/>
    <w:rsid w:val="004739B1"/>
    <w:rsid w:val="00476A96"/>
    <w:rsid w:val="004927BC"/>
    <w:rsid w:val="00493399"/>
    <w:rsid w:val="0049519E"/>
    <w:rsid w:val="0049570E"/>
    <w:rsid w:val="00497056"/>
    <w:rsid w:val="0049798E"/>
    <w:rsid w:val="004A5751"/>
    <w:rsid w:val="004A7B5E"/>
    <w:rsid w:val="004B32D2"/>
    <w:rsid w:val="004B5866"/>
    <w:rsid w:val="004B73E3"/>
    <w:rsid w:val="004B7A79"/>
    <w:rsid w:val="004C197F"/>
    <w:rsid w:val="004C258D"/>
    <w:rsid w:val="004C5BE0"/>
    <w:rsid w:val="004C66F7"/>
    <w:rsid w:val="004D38FE"/>
    <w:rsid w:val="004D7B9E"/>
    <w:rsid w:val="004E0930"/>
    <w:rsid w:val="004E3F95"/>
    <w:rsid w:val="004E4065"/>
    <w:rsid w:val="004F09D3"/>
    <w:rsid w:val="004F120B"/>
    <w:rsid w:val="004F46B8"/>
    <w:rsid w:val="004F657B"/>
    <w:rsid w:val="004F6B07"/>
    <w:rsid w:val="004F7E11"/>
    <w:rsid w:val="005002E8"/>
    <w:rsid w:val="005004F4"/>
    <w:rsid w:val="00501256"/>
    <w:rsid w:val="00502281"/>
    <w:rsid w:val="00502990"/>
    <w:rsid w:val="00503CEE"/>
    <w:rsid w:val="005050F6"/>
    <w:rsid w:val="005108C2"/>
    <w:rsid w:val="00512D38"/>
    <w:rsid w:val="00514597"/>
    <w:rsid w:val="00515B4D"/>
    <w:rsid w:val="00516447"/>
    <w:rsid w:val="00521878"/>
    <w:rsid w:val="00521F9C"/>
    <w:rsid w:val="00522D40"/>
    <w:rsid w:val="00524238"/>
    <w:rsid w:val="00525297"/>
    <w:rsid w:val="00526626"/>
    <w:rsid w:val="00530218"/>
    <w:rsid w:val="005317D3"/>
    <w:rsid w:val="00531B23"/>
    <w:rsid w:val="00537711"/>
    <w:rsid w:val="00537ABB"/>
    <w:rsid w:val="00543328"/>
    <w:rsid w:val="0054369F"/>
    <w:rsid w:val="005512F7"/>
    <w:rsid w:val="00553E2A"/>
    <w:rsid w:val="00560146"/>
    <w:rsid w:val="00562813"/>
    <w:rsid w:val="005630F9"/>
    <w:rsid w:val="00564756"/>
    <w:rsid w:val="00564E83"/>
    <w:rsid w:val="00566407"/>
    <w:rsid w:val="00567126"/>
    <w:rsid w:val="005707A1"/>
    <w:rsid w:val="005726F7"/>
    <w:rsid w:val="00572C2E"/>
    <w:rsid w:val="00573791"/>
    <w:rsid w:val="005739C4"/>
    <w:rsid w:val="00580155"/>
    <w:rsid w:val="00586DAB"/>
    <w:rsid w:val="00587805"/>
    <w:rsid w:val="00587B43"/>
    <w:rsid w:val="005946BD"/>
    <w:rsid w:val="00594B3A"/>
    <w:rsid w:val="005A1E78"/>
    <w:rsid w:val="005A4511"/>
    <w:rsid w:val="005A5164"/>
    <w:rsid w:val="005B1532"/>
    <w:rsid w:val="005B2C55"/>
    <w:rsid w:val="005B77FF"/>
    <w:rsid w:val="005C0D4F"/>
    <w:rsid w:val="005C0F9B"/>
    <w:rsid w:val="005C3BAA"/>
    <w:rsid w:val="005D1220"/>
    <w:rsid w:val="005D40B4"/>
    <w:rsid w:val="005E01FC"/>
    <w:rsid w:val="005E12D3"/>
    <w:rsid w:val="005E2896"/>
    <w:rsid w:val="005E7778"/>
    <w:rsid w:val="005F02CF"/>
    <w:rsid w:val="005F4F48"/>
    <w:rsid w:val="00600090"/>
    <w:rsid w:val="0060216C"/>
    <w:rsid w:val="0060245E"/>
    <w:rsid w:val="00602E35"/>
    <w:rsid w:val="006041CC"/>
    <w:rsid w:val="006060F6"/>
    <w:rsid w:val="00607A40"/>
    <w:rsid w:val="00610D6F"/>
    <w:rsid w:val="0061213A"/>
    <w:rsid w:val="00623B24"/>
    <w:rsid w:val="00626317"/>
    <w:rsid w:val="006268C1"/>
    <w:rsid w:val="00630925"/>
    <w:rsid w:val="00632756"/>
    <w:rsid w:val="00634F26"/>
    <w:rsid w:val="00635EB2"/>
    <w:rsid w:val="0063701F"/>
    <w:rsid w:val="0064288C"/>
    <w:rsid w:val="00644559"/>
    <w:rsid w:val="00644AC8"/>
    <w:rsid w:val="00644C50"/>
    <w:rsid w:val="00656C4C"/>
    <w:rsid w:val="00661C80"/>
    <w:rsid w:val="00663410"/>
    <w:rsid w:val="00664F77"/>
    <w:rsid w:val="00665EC7"/>
    <w:rsid w:val="00667485"/>
    <w:rsid w:val="006705D1"/>
    <w:rsid w:val="00671BD1"/>
    <w:rsid w:val="006735AC"/>
    <w:rsid w:val="006767DC"/>
    <w:rsid w:val="0068031F"/>
    <w:rsid w:val="00680864"/>
    <w:rsid w:val="0068130B"/>
    <w:rsid w:val="00684E52"/>
    <w:rsid w:val="00687C7C"/>
    <w:rsid w:val="00692E08"/>
    <w:rsid w:val="00693620"/>
    <w:rsid w:val="00694E3A"/>
    <w:rsid w:val="006A32EB"/>
    <w:rsid w:val="006B1859"/>
    <w:rsid w:val="006B7E81"/>
    <w:rsid w:val="006C05B1"/>
    <w:rsid w:val="006C0AAD"/>
    <w:rsid w:val="006C1D31"/>
    <w:rsid w:val="006C6ED0"/>
    <w:rsid w:val="006D1B22"/>
    <w:rsid w:val="006D3611"/>
    <w:rsid w:val="006E519F"/>
    <w:rsid w:val="006F058E"/>
    <w:rsid w:val="006F0AE3"/>
    <w:rsid w:val="006F340A"/>
    <w:rsid w:val="00700833"/>
    <w:rsid w:val="007019C6"/>
    <w:rsid w:val="007021F4"/>
    <w:rsid w:val="00702EDD"/>
    <w:rsid w:val="00702F05"/>
    <w:rsid w:val="00704D9B"/>
    <w:rsid w:val="00705373"/>
    <w:rsid w:val="0071040D"/>
    <w:rsid w:val="0071042D"/>
    <w:rsid w:val="007108F6"/>
    <w:rsid w:val="007109C8"/>
    <w:rsid w:val="00714956"/>
    <w:rsid w:val="00714B9E"/>
    <w:rsid w:val="00715211"/>
    <w:rsid w:val="007200E5"/>
    <w:rsid w:val="00720A21"/>
    <w:rsid w:val="00721766"/>
    <w:rsid w:val="00725368"/>
    <w:rsid w:val="007268B8"/>
    <w:rsid w:val="0072774F"/>
    <w:rsid w:val="0073219A"/>
    <w:rsid w:val="007350F1"/>
    <w:rsid w:val="00735F3E"/>
    <w:rsid w:val="00741150"/>
    <w:rsid w:val="007434AC"/>
    <w:rsid w:val="0074749C"/>
    <w:rsid w:val="00750941"/>
    <w:rsid w:val="00752429"/>
    <w:rsid w:val="00761470"/>
    <w:rsid w:val="007644B8"/>
    <w:rsid w:val="00770492"/>
    <w:rsid w:val="00771890"/>
    <w:rsid w:val="00775D1D"/>
    <w:rsid w:val="007823D6"/>
    <w:rsid w:val="00783615"/>
    <w:rsid w:val="00784BC5"/>
    <w:rsid w:val="00786AD6"/>
    <w:rsid w:val="0079239D"/>
    <w:rsid w:val="00792C4F"/>
    <w:rsid w:val="00794A68"/>
    <w:rsid w:val="007A168C"/>
    <w:rsid w:val="007A39FE"/>
    <w:rsid w:val="007A7022"/>
    <w:rsid w:val="007A76CA"/>
    <w:rsid w:val="007A7CF8"/>
    <w:rsid w:val="007B5FB4"/>
    <w:rsid w:val="007B6E65"/>
    <w:rsid w:val="007C0C89"/>
    <w:rsid w:val="007C2B42"/>
    <w:rsid w:val="007C2D8F"/>
    <w:rsid w:val="007C4227"/>
    <w:rsid w:val="007C6062"/>
    <w:rsid w:val="007C6B3A"/>
    <w:rsid w:val="007D36AD"/>
    <w:rsid w:val="007D4FE1"/>
    <w:rsid w:val="007E1FEE"/>
    <w:rsid w:val="007E515E"/>
    <w:rsid w:val="007E7317"/>
    <w:rsid w:val="007E7D4F"/>
    <w:rsid w:val="007F2B8B"/>
    <w:rsid w:val="007F44CC"/>
    <w:rsid w:val="007F58F8"/>
    <w:rsid w:val="00800784"/>
    <w:rsid w:val="00801339"/>
    <w:rsid w:val="00801F76"/>
    <w:rsid w:val="00802C41"/>
    <w:rsid w:val="008113B4"/>
    <w:rsid w:val="00812EBB"/>
    <w:rsid w:val="00813771"/>
    <w:rsid w:val="008167BB"/>
    <w:rsid w:val="00817388"/>
    <w:rsid w:val="008223AB"/>
    <w:rsid w:val="00823B3C"/>
    <w:rsid w:val="00825CEE"/>
    <w:rsid w:val="00826382"/>
    <w:rsid w:val="00831EC8"/>
    <w:rsid w:val="00833915"/>
    <w:rsid w:val="00834A9D"/>
    <w:rsid w:val="00834D9D"/>
    <w:rsid w:val="00840858"/>
    <w:rsid w:val="008409ED"/>
    <w:rsid w:val="00842D56"/>
    <w:rsid w:val="00851516"/>
    <w:rsid w:val="00854DFE"/>
    <w:rsid w:val="00860977"/>
    <w:rsid w:val="008617F5"/>
    <w:rsid w:val="008619C0"/>
    <w:rsid w:val="00863AFB"/>
    <w:rsid w:val="00864150"/>
    <w:rsid w:val="00867B0B"/>
    <w:rsid w:val="00867B1A"/>
    <w:rsid w:val="008703C9"/>
    <w:rsid w:val="0087084E"/>
    <w:rsid w:val="008716D9"/>
    <w:rsid w:val="00874C13"/>
    <w:rsid w:val="00874C30"/>
    <w:rsid w:val="00876EDE"/>
    <w:rsid w:val="0087754F"/>
    <w:rsid w:val="00885C27"/>
    <w:rsid w:val="00890C59"/>
    <w:rsid w:val="008918E1"/>
    <w:rsid w:val="0089523D"/>
    <w:rsid w:val="00895D81"/>
    <w:rsid w:val="008A0BCC"/>
    <w:rsid w:val="008A26F2"/>
    <w:rsid w:val="008A39B7"/>
    <w:rsid w:val="008A4FE2"/>
    <w:rsid w:val="008A69EE"/>
    <w:rsid w:val="008B29A5"/>
    <w:rsid w:val="008B485E"/>
    <w:rsid w:val="008B7DB8"/>
    <w:rsid w:val="008C276C"/>
    <w:rsid w:val="008C59CF"/>
    <w:rsid w:val="008C67B5"/>
    <w:rsid w:val="008C7417"/>
    <w:rsid w:val="008D3820"/>
    <w:rsid w:val="008E343B"/>
    <w:rsid w:val="008E7BEF"/>
    <w:rsid w:val="008F3FF9"/>
    <w:rsid w:val="0090035D"/>
    <w:rsid w:val="0090540B"/>
    <w:rsid w:val="00906109"/>
    <w:rsid w:val="00907DDB"/>
    <w:rsid w:val="00915C5A"/>
    <w:rsid w:val="009232CD"/>
    <w:rsid w:val="009260CA"/>
    <w:rsid w:val="00927086"/>
    <w:rsid w:val="0093110A"/>
    <w:rsid w:val="009317DC"/>
    <w:rsid w:val="0093192A"/>
    <w:rsid w:val="00931970"/>
    <w:rsid w:val="009329E9"/>
    <w:rsid w:val="009349FF"/>
    <w:rsid w:val="0093504A"/>
    <w:rsid w:val="00935AC1"/>
    <w:rsid w:val="00936EE9"/>
    <w:rsid w:val="00937C22"/>
    <w:rsid w:val="009405B9"/>
    <w:rsid w:val="0094061D"/>
    <w:rsid w:val="009437A8"/>
    <w:rsid w:val="0094400C"/>
    <w:rsid w:val="00945493"/>
    <w:rsid w:val="00947E23"/>
    <w:rsid w:val="009506C2"/>
    <w:rsid w:val="0095075F"/>
    <w:rsid w:val="0095331A"/>
    <w:rsid w:val="00954055"/>
    <w:rsid w:val="00955672"/>
    <w:rsid w:val="00955DA3"/>
    <w:rsid w:val="00957656"/>
    <w:rsid w:val="00957FEE"/>
    <w:rsid w:val="0096175C"/>
    <w:rsid w:val="0096209B"/>
    <w:rsid w:val="00963F24"/>
    <w:rsid w:val="00965BF4"/>
    <w:rsid w:val="00965DAA"/>
    <w:rsid w:val="009714EF"/>
    <w:rsid w:val="00971C9C"/>
    <w:rsid w:val="00972640"/>
    <w:rsid w:val="0097441E"/>
    <w:rsid w:val="00976901"/>
    <w:rsid w:val="0098266A"/>
    <w:rsid w:val="00982EB5"/>
    <w:rsid w:val="0098376C"/>
    <w:rsid w:val="00983A65"/>
    <w:rsid w:val="00983AC2"/>
    <w:rsid w:val="009852FA"/>
    <w:rsid w:val="00985EBE"/>
    <w:rsid w:val="00987A22"/>
    <w:rsid w:val="0099036E"/>
    <w:rsid w:val="00995D1E"/>
    <w:rsid w:val="009961AD"/>
    <w:rsid w:val="009A2F83"/>
    <w:rsid w:val="009A414C"/>
    <w:rsid w:val="009A4812"/>
    <w:rsid w:val="009A497D"/>
    <w:rsid w:val="009A4FA5"/>
    <w:rsid w:val="009A5F4D"/>
    <w:rsid w:val="009A6223"/>
    <w:rsid w:val="009B152D"/>
    <w:rsid w:val="009B1C61"/>
    <w:rsid w:val="009B2587"/>
    <w:rsid w:val="009B5E44"/>
    <w:rsid w:val="009B5EE4"/>
    <w:rsid w:val="009B7A61"/>
    <w:rsid w:val="009C0716"/>
    <w:rsid w:val="009C0F72"/>
    <w:rsid w:val="009C1470"/>
    <w:rsid w:val="009C3F58"/>
    <w:rsid w:val="009C5AAB"/>
    <w:rsid w:val="009C7A3B"/>
    <w:rsid w:val="009D38B4"/>
    <w:rsid w:val="009D4C66"/>
    <w:rsid w:val="009D604B"/>
    <w:rsid w:val="009D6131"/>
    <w:rsid w:val="009D6E1D"/>
    <w:rsid w:val="009E1477"/>
    <w:rsid w:val="009E2CC0"/>
    <w:rsid w:val="009E6DC2"/>
    <w:rsid w:val="009E6F70"/>
    <w:rsid w:val="009E7414"/>
    <w:rsid w:val="009E779E"/>
    <w:rsid w:val="009F19FF"/>
    <w:rsid w:val="009F1FDF"/>
    <w:rsid w:val="009F42CE"/>
    <w:rsid w:val="009F6399"/>
    <w:rsid w:val="00A03635"/>
    <w:rsid w:val="00A05A8E"/>
    <w:rsid w:val="00A07506"/>
    <w:rsid w:val="00A07545"/>
    <w:rsid w:val="00A11B57"/>
    <w:rsid w:val="00A128C9"/>
    <w:rsid w:val="00A17041"/>
    <w:rsid w:val="00A21A79"/>
    <w:rsid w:val="00A21B65"/>
    <w:rsid w:val="00A2325F"/>
    <w:rsid w:val="00A256C2"/>
    <w:rsid w:val="00A2758E"/>
    <w:rsid w:val="00A2773F"/>
    <w:rsid w:val="00A3506D"/>
    <w:rsid w:val="00A36BD3"/>
    <w:rsid w:val="00A37099"/>
    <w:rsid w:val="00A4156A"/>
    <w:rsid w:val="00A4774D"/>
    <w:rsid w:val="00A52A93"/>
    <w:rsid w:val="00A60E72"/>
    <w:rsid w:val="00A61A86"/>
    <w:rsid w:val="00A66522"/>
    <w:rsid w:val="00A679A5"/>
    <w:rsid w:val="00A67CA1"/>
    <w:rsid w:val="00A71659"/>
    <w:rsid w:val="00A71833"/>
    <w:rsid w:val="00A7191A"/>
    <w:rsid w:val="00A725B3"/>
    <w:rsid w:val="00A7461A"/>
    <w:rsid w:val="00A77580"/>
    <w:rsid w:val="00A779CC"/>
    <w:rsid w:val="00A77F61"/>
    <w:rsid w:val="00A951D4"/>
    <w:rsid w:val="00AA259A"/>
    <w:rsid w:val="00AA3E6A"/>
    <w:rsid w:val="00AA6BB8"/>
    <w:rsid w:val="00AB45F1"/>
    <w:rsid w:val="00AB5520"/>
    <w:rsid w:val="00AB74B1"/>
    <w:rsid w:val="00AC0D43"/>
    <w:rsid w:val="00AC1340"/>
    <w:rsid w:val="00AC5D88"/>
    <w:rsid w:val="00AD2A0A"/>
    <w:rsid w:val="00AD3D0F"/>
    <w:rsid w:val="00AD753A"/>
    <w:rsid w:val="00AD77A1"/>
    <w:rsid w:val="00AD7FF6"/>
    <w:rsid w:val="00AE1243"/>
    <w:rsid w:val="00AE245F"/>
    <w:rsid w:val="00AE462D"/>
    <w:rsid w:val="00AE79D3"/>
    <w:rsid w:val="00AF273A"/>
    <w:rsid w:val="00AF2B1A"/>
    <w:rsid w:val="00AF45DB"/>
    <w:rsid w:val="00AF6907"/>
    <w:rsid w:val="00B002C1"/>
    <w:rsid w:val="00B002DD"/>
    <w:rsid w:val="00B0066C"/>
    <w:rsid w:val="00B00721"/>
    <w:rsid w:val="00B01EEF"/>
    <w:rsid w:val="00B02333"/>
    <w:rsid w:val="00B025BD"/>
    <w:rsid w:val="00B05D11"/>
    <w:rsid w:val="00B06A31"/>
    <w:rsid w:val="00B07EF2"/>
    <w:rsid w:val="00B12425"/>
    <w:rsid w:val="00B162FC"/>
    <w:rsid w:val="00B22809"/>
    <w:rsid w:val="00B306D9"/>
    <w:rsid w:val="00B3289A"/>
    <w:rsid w:val="00B3301A"/>
    <w:rsid w:val="00B35E60"/>
    <w:rsid w:val="00B36242"/>
    <w:rsid w:val="00B40D06"/>
    <w:rsid w:val="00B41634"/>
    <w:rsid w:val="00B424BE"/>
    <w:rsid w:val="00B4288E"/>
    <w:rsid w:val="00B42F5D"/>
    <w:rsid w:val="00B4458D"/>
    <w:rsid w:val="00B53E52"/>
    <w:rsid w:val="00B573DC"/>
    <w:rsid w:val="00B61012"/>
    <w:rsid w:val="00B6380F"/>
    <w:rsid w:val="00B638FF"/>
    <w:rsid w:val="00B66D60"/>
    <w:rsid w:val="00B72345"/>
    <w:rsid w:val="00B72475"/>
    <w:rsid w:val="00B729B7"/>
    <w:rsid w:val="00B75186"/>
    <w:rsid w:val="00B75EAB"/>
    <w:rsid w:val="00B76D8D"/>
    <w:rsid w:val="00B8007C"/>
    <w:rsid w:val="00B816A2"/>
    <w:rsid w:val="00B8253D"/>
    <w:rsid w:val="00B87A7D"/>
    <w:rsid w:val="00B9008C"/>
    <w:rsid w:val="00B91A66"/>
    <w:rsid w:val="00B91A8A"/>
    <w:rsid w:val="00B92632"/>
    <w:rsid w:val="00B94688"/>
    <w:rsid w:val="00B96334"/>
    <w:rsid w:val="00B97321"/>
    <w:rsid w:val="00BA16AE"/>
    <w:rsid w:val="00BA2E4D"/>
    <w:rsid w:val="00BA3EC4"/>
    <w:rsid w:val="00BA4688"/>
    <w:rsid w:val="00BA6EE7"/>
    <w:rsid w:val="00BA7EF7"/>
    <w:rsid w:val="00BB15D2"/>
    <w:rsid w:val="00BB15E4"/>
    <w:rsid w:val="00BB2ACA"/>
    <w:rsid w:val="00BB2AFA"/>
    <w:rsid w:val="00BB333C"/>
    <w:rsid w:val="00BB39A0"/>
    <w:rsid w:val="00BB3F69"/>
    <w:rsid w:val="00BB65F1"/>
    <w:rsid w:val="00BB6A08"/>
    <w:rsid w:val="00BC3DB9"/>
    <w:rsid w:val="00BC7251"/>
    <w:rsid w:val="00BD0A96"/>
    <w:rsid w:val="00BD2BEE"/>
    <w:rsid w:val="00BD48C1"/>
    <w:rsid w:val="00BD4A6C"/>
    <w:rsid w:val="00BD5563"/>
    <w:rsid w:val="00BD561A"/>
    <w:rsid w:val="00BD6244"/>
    <w:rsid w:val="00BE3544"/>
    <w:rsid w:val="00BE4EDA"/>
    <w:rsid w:val="00BE5848"/>
    <w:rsid w:val="00BE70EC"/>
    <w:rsid w:val="00BF05C8"/>
    <w:rsid w:val="00BF1312"/>
    <w:rsid w:val="00BF3C69"/>
    <w:rsid w:val="00BF48D8"/>
    <w:rsid w:val="00BF547A"/>
    <w:rsid w:val="00BF620D"/>
    <w:rsid w:val="00BF726E"/>
    <w:rsid w:val="00C00FC3"/>
    <w:rsid w:val="00C01DFD"/>
    <w:rsid w:val="00C056DB"/>
    <w:rsid w:val="00C057AD"/>
    <w:rsid w:val="00C06278"/>
    <w:rsid w:val="00C064D2"/>
    <w:rsid w:val="00C06D88"/>
    <w:rsid w:val="00C06FF6"/>
    <w:rsid w:val="00C07889"/>
    <w:rsid w:val="00C1046D"/>
    <w:rsid w:val="00C1065A"/>
    <w:rsid w:val="00C1315C"/>
    <w:rsid w:val="00C205D8"/>
    <w:rsid w:val="00C21315"/>
    <w:rsid w:val="00C255CF"/>
    <w:rsid w:val="00C2654F"/>
    <w:rsid w:val="00C26C47"/>
    <w:rsid w:val="00C33044"/>
    <w:rsid w:val="00C35FAB"/>
    <w:rsid w:val="00C411C9"/>
    <w:rsid w:val="00C445D1"/>
    <w:rsid w:val="00C45569"/>
    <w:rsid w:val="00C46413"/>
    <w:rsid w:val="00C50022"/>
    <w:rsid w:val="00C50E9C"/>
    <w:rsid w:val="00C52E97"/>
    <w:rsid w:val="00C55404"/>
    <w:rsid w:val="00C57AC2"/>
    <w:rsid w:val="00C57D91"/>
    <w:rsid w:val="00C64BBE"/>
    <w:rsid w:val="00C74003"/>
    <w:rsid w:val="00C77879"/>
    <w:rsid w:val="00C81906"/>
    <w:rsid w:val="00C83858"/>
    <w:rsid w:val="00C85A6E"/>
    <w:rsid w:val="00C85DE1"/>
    <w:rsid w:val="00C877BB"/>
    <w:rsid w:val="00CA0EAB"/>
    <w:rsid w:val="00CA52E5"/>
    <w:rsid w:val="00CA69F2"/>
    <w:rsid w:val="00CA71F7"/>
    <w:rsid w:val="00CA7453"/>
    <w:rsid w:val="00CB0646"/>
    <w:rsid w:val="00CB2A53"/>
    <w:rsid w:val="00CB3EB1"/>
    <w:rsid w:val="00CB43F2"/>
    <w:rsid w:val="00CB63A1"/>
    <w:rsid w:val="00CB69D0"/>
    <w:rsid w:val="00CB6E58"/>
    <w:rsid w:val="00CB745C"/>
    <w:rsid w:val="00CC037F"/>
    <w:rsid w:val="00CC29E2"/>
    <w:rsid w:val="00CC41AE"/>
    <w:rsid w:val="00CC52A8"/>
    <w:rsid w:val="00CC6C64"/>
    <w:rsid w:val="00CC71B9"/>
    <w:rsid w:val="00CD280E"/>
    <w:rsid w:val="00CD433A"/>
    <w:rsid w:val="00CD5C04"/>
    <w:rsid w:val="00CD6E9F"/>
    <w:rsid w:val="00CE35D6"/>
    <w:rsid w:val="00CE68F9"/>
    <w:rsid w:val="00CE6CC1"/>
    <w:rsid w:val="00CF5D0E"/>
    <w:rsid w:val="00CF7027"/>
    <w:rsid w:val="00D004C5"/>
    <w:rsid w:val="00D0141C"/>
    <w:rsid w:val="00D01C29"/>
    <w:rsid w:val="00D0361C"/>
    <w:rsid w:val="00D037C6"/>
    <w:rsid w:val="00D065C3"/>
    <w:rsid w:val="00D068C6"/>
    <w:rsid w:val="00D077E1"/>
    <w:rsid w:val="00D07BED"/>
    <w:rsid w:val="00D10772"/>
    <w:rsid w:val="00D1244F"/>
    <w:rsid w:val="00D14496"/>
    <w:rsid w:val="00D14E3F"/>
    <w:rsid w:val="00D1596C"/>
    <w:rsid w:val="00D15FBE"/>
    <w:rsid w:val="00D168BC"/>
    <w:rsid w:val="00D21291"/>
    <w:rsid w:val="00D2130A"/>
    <w:rsid w:val="00D23F46"/>
    <w:rsid w:val="00D24507"/>
    <w:rsid w:val="00D26FE3"/>
    <w:rsid w:val="00D30E3E"/>
    <w:rsid w:val="00D32CB3"/>
    <w:rsid w:val="00D400A8"/>
    <w:rsid w:val="00D42AAB"/>
    <w:rsid w:val="00D47255"/>
    <w:rsid w:val="00D473E9"/>
    <w:rsid w:val="00D50B33"/>
    <w:rsid w:val="00D526F6"/>
    <w:rsid w:val="00D53AC3"/>
    <w:rsid w:val="00D548C5"/>
    <w:rsid w:val="00D55D71"/>
    <w:rsid w:val="00D56362"/>
    <w:rsid w:val="00D57E66"/>
    <w:rsid w:val="00D612AD"/>
    <w:rsid w:val="00D61C79"/>
    <w:rsid w:val="00D7053E"/>
    <w:rsid w:val="00D743A8"/>
    <w:rsid w:val="00D74FD4"/>
    <w:rsid w:val="00D76505"/>
    <w:rsid w:val="00D82668"/>
    <w:rsid w:val="00D84234"/>
    <w:rsid w:val="00D970B3"/>
    <w:rsid w:val="00D976CB"/>
    <w:rsid w:val="00DA06A3"/>
    <w:rsid w:val="00DA395A"/>
    <w:rsid w:val="00DA547F"/>
    <w:rsid w:val="00DA55B5"/>
    <w:rsid w:val="00DA6DF6"/>
    <w:rsid w:val="00DA78E1"/>
    <w:rsid w:val="00DB124D"/>
    <w:rsid w:val="00DB1D74"/>
    <w:rsid w:val="00DB6296"/>
    <w:rsid w:val="00DB6E3E"/>
    <w:rsid w:val="00DC2D10"/>
    <w:rsid w:val="00DC7D70"/>
    <w:rsid w:val="00DC7EDB"/>
    <w:rsid w:val="00DD0582"/>
    <w:rsid w:val="00DD3188"/>
    <w:rsid w:val="00DD3588"/>
    <w:rsid w:val="00DD5236"/>
    <w:rsid w:val="00DE05A3"/>
    <w:rsid w:val="00DE0879"/>
    <w:rsid w:val="00DE2BEF"/>
    <w:rsid w:val="00DE3FEB"/>
    <w:rsid w:val="00DE5CF3"/>
    <w:rsid w:val="00DE78FA"/>
    <w:rsid w:val="00DF121A"/>
    <w:rsid w:val="00DF20B5"/>
    <w:rsid w:val="00DF2334"/>
    <w:rsid w:val="00DF3177"/>
    <w:rsid w:val="00DF5117"/>
    <w:rsid w:val="00E00AF9"/>
    <w:rsid w:val="00E04478"/>
    <w:rsid w:val="00E04AB6"/>
    <w:rsid w:val="00E0681A"/>
    <w:rsid w:val="00E1250C"/>
    <w:rsid w:val="00E14C1E"/>
    <w:rsid w:val="00E1510C"/>
    <w:rsid w:val="00E211EC"/>
    <w:rsid w:val="00E22D81"/>
    <w:rsid w:val="00E23848"/>
    <w:rsid w:val="00E23E6C"/>
    <w:rsid w:val="00E27105"/>
    <w:rsid w:val="00E33C4F"/>
    <w:rsid w:val="00E3453C"/>
    <w:rsid w:val="00E3486C"/>
    <w:rsid w:val="00E353D1"/>
    <w:rsid w:val="00E35D65"/>
    <w:rsid w:val="00E364F2"/>
    <w:rsid w:val="00E41770"/>
    <w:rsid w:val="00E41E73"/>
    <w:rsid w:val="00E438D0"/>
    <w:rsid w:val="00E51691"/>
    <w:rsid w:val="00E56BAC"/>
    <w:rsid w:val="00E56DD3"/>
    <w:rsid w:val="00E67DB3"/>
    <w:rsid w:val="00E711C3"/>
    <w:rsid w:val="00E72AAB"/>
    <w:rsid w:val="00E80D7B"/>
    <w:rsid w:val="00E81DD2"/>
    <w:rsid w:val="00E8340A"/>
    <w:rsid w:val="00E83C05"/>
    <w:rsid w:val="00E86C76"/>
    <w:rsid w:val="00E9043B"/>
    <w:rsid w:val="00E95675"/>
    <w:rsid w:val="00E959DB"/>
    <w:rsid w:val="00EA5B2B"/>
    <w:rsid w:val="00EA6534"/>
    <w:rsid w:val="00EA687E"/>
    <w:rsid w:val="00EB3E83"/>
    <w:rsid w:val="00EB43F3"/>
    <w:rsid w:val="00EB5D96"/>
    <w:rsid w:val="00EB6B3C"/>
    <w:rsid w:val="00EC4180"/>
    <w:rsid w:val="00ED7230"/>
    <w:rsid w:val="00EE23F2"/>
    <w:rsid w:val="00EE29EF"/>
    <w:rsid w:val="00EE467B"/>
    <w:rsid w:val="00EE775E"/>
    <w:rsid w:val="00EE7A9B"/>
    <w:rsid w:val="00EE7B03"/>
    <w:rsid w:val="00EF28CC"/>
    <w:rsid w:val="00EF28FE"/>
    <w:rsid w:val="00EF49B7"/>
    <w:rsid w:val="00EF5126"/>
    <w:rsid w:val="00EF6837"/>
    <w:rsid w:val="00F007D9"/>
    <w:rsid w:val="00F00B0C"/>
    <w:rsid w:val="00F015AB"/>
    <w:rsid w:val="00F0177B"/>
    <w:rsid w:val="00F03AD9"/>
    <w:rsid w:val="00F1331A"/>
    <w:rsid w:val="00F13BC1"/>
    <w:rsid w:val="00F17649"/>
    <w:rsid w:val="00F20ED3"/>
    <w:rsid w:val="00F22125"/>
    <w:rsid w:val="00F225DA"/>
    <w:rsid w:val="00F2381E"/>
    <w:rsid w:val="00F253FE"/>
    <w:rsid w:val="00F254ED"/>
    <w:rsid w:val="00F3253B"/>
    <w:rsid w:val="00F340B5"/>
    <w:rsid w:val="00F36B1C"/>
    <w:rsid w:val="00F40068"/>
    <w:rsid w:val="00F40A74"/>
    <w:rsid w:val="00F4300F"/>
    <w:rsid w:val="00F50513"/>
    <w:rsid w:val="00F50628"/>
    <w:rsid w:val="00F53382"/>
    <w:rsid w:val="00F546F1"/>
    <w:rsid w:val="00F55060"/>
    <w:rsid w:val="00F55D1A"/>
    <w:rsid w:val="00F56B09"/>
    <w:rsid w:val="00F5711E"/>
    <w:rsid w:val="00F57ABE"/>
    <w:rsid w:val="00F66D7A"/>
    <w:rsid w:val="00F67787"/>
    <w:rsid w:val="00F70546"/>
    <w:rsid w:val="00F70EE8"/>
    <w:rsid w:val="00F71213"/>
    <w:rsid w:val="00F735C0"/>
    <w:rsid w:val="00F75165"/>
    <w:rsid w:val="00F815EE"/>
    <w:rsid w:val="00F90014"/>
    <w:rsid w:val="00F90434"/>
    <w:rsid w:val="00F90D67"/>
    <w:rsid w:val="00F9374D"/>
    <w:rsid w:val="00F95119"/>
    <w:rsid w:val="00F96C07"/>
    <w:rsid w:val="00FA08DE"/>
    <w:rsid w:val="00FA1F35"/>
    <w:rsid w:val="00FA298F"/>
    <w:rsid w:val="00FA46C4"/>
    <w:rsid w:val="00FA4FFB"/>
    <w:rsid w:val="00FB1BA1"/>
    <w:rsid w:val="00FB2FE0"/>
    <w:rsid w:val="00FB330D"/>
    <w:rsid w:val="00FB37FC"/>
    <w:rsid w:val="00FB3892"/>
    <w:rsid w:val="00FB4EC9"/>
    <w:rsid w:val="00FB5BFD"/>
    <w:rsid w:val="00FB5D66"/>
    <w:rsid w:val="00FB6213"/>
    <w:rsid w:val="00FB6B5F"/>
    <w:rsid w:val="00FD5C92"/>
    <w:rsid w:val="00FD6F67"/>
    <w:rsid w:val="00FE033C"/>
    <w:rsid w:val="00FE4EF4"/>
    <w:rsid w:val="00FE67DB"/>
    <w:rsid w:val="00FE758B"/>
    <w:rsid w:val="00FF5D4F"/>
    <w:rsid w:val="02783C24"/>
    <w:rsid w:val="02913320"/>
    <w:rsid w:val="02DB0C73"/>
    <w:rsid w:val="03DC515E"/>
    <w:rsid w:val="0458231F"/>
    <w:rsid w:val="050D54CC"/>
    <w:rsid w:val="08386081"/>
    <w:rsid w:val="096C651B"/>
    <w:rsid w:val="0995305F"/>
    <w:rsid w:val="09F63A75"/>
    <w:rsid w:val="0BB74765"/>
    <w:rsid w:val="0D095FDF"/>
    <w:rsid w:val="0EDE5316"/>
    <w:rsid w:val="0EEA1757"/>
    <w:rsid w:val="108A2472"/>
    <w:rsid w:val="10A16A11"/>
    <w:rsid w:val="13AB2EB8"/>
    <w:rsid w:val="13C779D4"/>
    <w:rsid w:val="177D5739"/>
    <w:rsid w:val="18145A2F"/>
    <w:rsid w:val="18317AE9"/>
    <w:rsid w:val="18845888"/>
    <w:rsid w:val="191A70DD"/>
    <w:rsid w:val="1A141B16"/>
    <w:rsid w:val="1AA347B0"/>
    <w:rsid w:val="1C7845F3"/>
    <w:rsid w:val="1CE37891"/>
    <w:rsid w:val="20CA32CF"/>
    <w:rsid w:val="22CF5CE0"/>
    <w:rsid w:val="23BE461D"/>
    <w:rsid w:val="255E0D54"/>
    <w:rsid w:val="276B56D3"/>
    <w:rsid w:val="278C4033"/>
    <w:rsid w:val="286E752C"/>
    <w:rsid w:val="296F42E9"/>
    <w:rsid w:val="2AB67C2D"/>
    <w:rsid w:val="2BAF1BD9"/>
    <w:rsid w:val="2DCD42C6"/>
    <w:rsid w:val="2DE531B8"/>
    <w:rsid w:val="30085A89"/>
    <w:rsid w:val="3217421E"/>
    <w:rsid w:val="32F023AC"/>
    <w:rsid w:val="34750B94"/>
    <w:rsid w:val="35264EF8"/>
    <w:rsid w:val="355F7EFA"/>
    <w:rsid w:val="37DE0140"/>
    <w:rsid w:val="3C426B3B"/>
    <w:rsid w:val="3F195114"/>
    <w:rsid w:val="3F8A0269"/>
    <w:rsid w:val="3FA820E7"/>
    <w:rsid w:val="409D279A"/>
    <w:rsid w:val="409E2DE0"/>
    <w:rsid w:val="40AF376F"/>
    <w:rsid w:val="41035B11"/>
    <w:rsid w:val="4258464E"/>
    <w:rsid w:val="42D40E7A"/>
    <w:rsid w:val="447F5C34"/>
    <w:rsid w:val="462E25E6"/>
    <w:rsid w:val="4671040B"/>
    <w:rsid w:val="46B024EC"/>
    <w:rsid w:val="4A8C3664"/>
    <w:rsid w:val="4B5D6821"/>
    <w:rsid w:val="4EF43951"/>
    <w:rsid w:val="4EF91513"/>
    <w:rsid w:val="4F0C428A"/>
    <w:rsid w:val="4F6D5F64"/>
    <w:rsid w:val="51342B39"/>
    <w:rsid w:val="517F7502"/>
    <w:rsid w:val="51EA5392"/>
    <w:rsid w:val="55100979"/>
    <w:rsid w:val="558605B8"/>
    <w:rsid w:val="561A7844"/>
    <w:rsid w:val="562A274A"/>
    <w:rsid w:val="579B12CF"/>
    <w:rsid w:val="57BA09D4"/>
    <w:rsid w:val="5CFA77C7"/>
    <w:rsid w:val="5DF326CD"/>
    <w:rsid w:val="5E905550"/>
    <w:rsid w:val="60C83807"/>
    <w:rsid w:val="61711FE5"/>
    <w:rsid w:val="628950FE"/>
    <w:rsid w:val="62F01A68"/>
    <w:rsid w:val="64333354"/>
    <w:rsid w:val="6832790E"/>
    <w:rsid w:val="68F01E2F"/>
    <w:rsid w:val="6A1C6C2D"/>
    <w:rsid w:val="6D073E28"/>
    <w:rsid w:val="6E501A71"/>
    <w:rsid w:val="701659A0"/>
    <w:rsid w:val="70D5493D"/>
    <w:rsid w:val="741F68A2"/>
    <w:rsid w:val="75AB3189"/>
    <w:rsid w:val="76285B0A"/>
    <w:rsid w:val="79144724"/>
    <w:rsid w:val="794C237F"/>
    <w:rsid w:val="79EF53C7"/>
    <w:rsid w:val="79FD2662"/>
    <w:rsid w:val="7AB33D92"/>
    <w:rsid w:val="7B0E628B"/>
    <w:rsid w:val="7B8C777D"/>
    <w:rsid w:val="7BEF0575"/>
    <w:rsid w:val="7D895449"/>
    <w:rsid w:val="7F870480"/>
    <w:rsid w:val="96579309"/>
    <w:rsid w:val="97ECE2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qFormat="1" w:unhideWhenUsed="0" w:uiPriority="2" w:semiHidden="0"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4">
    <w:name w:val="heading 3"/>
    <w:basedOn w:val="1"/>
    <w:next w:val="1"/>
    <w:link w:val="19"/>
    <w:qFormat/>
    <w:uiPriority w:val="0"/>
    <w:pPr>
      <w:keepNext/>
      <w:keepLines/>
      <w:spacing w:before="380" w:after="380" w:line="560" w:lineRule="exact"/>
      <w:outlineLvl w:val="2"/>
    </w:pPr>
    <w:rPr>
      <w:rFonts w:eastAsia="仿宋_GB2312"/>
      <w:b/>
      <w:bCs/>
      <w:kern w:val="0"/>
      <w:sz w:val="28"/>
      <w:szCs w:val="32"/>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5">
    <w:name w:val="index 5"/>
    <w:basedOn w:val="1"/>
    <w:next w:val="1"/>
    <w:qFormat/>
    <w:uiPriority w:val="2"/>
    <w:pPr>
      <w:ind w:left="1680"/>
    </w:pPr>
  </w:style>
  <w:style w:type="paragraph" w:styleId="6">
    <w:name w:val="annotation text"/>
    <w:basedOn w:val="1"/>
    <w:link w:val="20"/>
    <w:semiHidden/>
    <w:qFormat/>
    <w:uiPriority w:val="0"/>
    <w:pPr>
      <w:jc w:val="left"/>
    </w:pPr>
    <w:rPr>
      <w:kern w:val="0"/>
      <w:sz w:val="24"/>
      <w:szCs w:val="24"/>
    </w:rPr>
  </w:style>
  <w:style w:type="paragraph" w:styleId="7">
    <w:name w:val="Balloon Text"/>
    <w:basedOn w:val="1"/>
    <w:semiHidden/>
    <w:qFormat/>
    <w:uiPriority w:val="0"/>
    <w:rPr>
      <w:sz w:val="18"/>
      <w:szCs w:val="18"/>
    </w:rPr>
  </w:style>
  <w:style w:type="paragraph" w:styleId="8">
    <w:name w:val="footer"/>
    <w:basedOn w:val="1"/>
    <w:next w:val="5"/>
    <w:link w:val="21"/>
    <w:unhideWhenUsed/>
    <w:qFormat/>
    <w:uiPriority w:val="0"/>
    <w:pPr>
      <w:tabs>
        <w:tab w:val="center" w:pos="4153"/>
        <w:tab w:val="right" w:pos="8306"/>
      </w:tabs>
      <w:snapToGrid w:val="0"/>
      <w:jc w:val="left"/>
    </w:pPr>
    <w:rPr>
      <w:kern w:val="0"/>
      <w:sz w:val="18"/>
      <w:szCs w:val="18"/>
    </w:rPr>
  </w:style>
  <w:style w:type="paragraph" w:styleId="9">
    <w:name w:val="header"/>
    <w:basedOn w:val="1"/>
    <w:link w:val="2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HTML Preformatted"/>
    <w:basedOn w:val="1"/>
    <w:link w:val="2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11">
    <w:name w:val="Title"/>
    <w:basedOn w:val="1"/>
    <w:next w:val="1"/>
    <w:link w:val="24"/>
    <w:qFormat/>
    <w:uiPriority w:val="10"/>
    <w:pPr>
      <w:spacing w:before="240" w:after="60"/>
      <w:jc w:val="center"/>
      <w:outlineLvl w:val="0"/>
    </w:pPr>
    <w:rPr>
      <w:rFonts w:ascii="Calibri Light" w:hAnsi="Calibri Light"/>
      <w:b/>
      <w:bCs/>
      <w:sz w:val="32"/>
      <w:szCs w:val="32"/>
    </w:rPr>
  </w:style>
  <w:style w:type="paragraph" w:styleId="12">
    <w:name w:val="annotation subject"/>
    <w:basedOn w:val="6"/>
    <w:next w:val="6"/>
    <w:semiHidden/>
    <w:qFormat/>
    <w:uiPriority w:val="0"/>
    <w:rPr>
      <w:b/>
      <w:bCs/>
      <w:kern w:val="2"/>
      <w:sz w:val="21"/>
      <w:szCs w:val="21"/>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qFormat/>
    <w:uiPriority w:val="0"/>
  </w:style>
  <w:style w:type="character" w:styleId="17">
    <w:name w:val="annotation reference"/>
    <w:semiHidden/>
    <w:uiPriority w:val="0"/>
    <w:rPr>
      <w:sz w:val="21"/>
      <w:szCs w:val="21"/>
    </w:rPr>
  </w:style>
  <w:style w:type="character" w:customStyle="1" w:styleId="18">
    <w:name w:val="标题 1 字符"/>
    <w:link w:val="3"/>
    <w:qFormat/>
    <w:uiPriority w:val="9"/>
    <w:rPr>
      <w:rFonts w:ascii="Times New Roman" w:hAnsi="Times New Roman"/>
      <w:b/>
      <w:bCs/>
      <w:kern w:val="44"/>
      <w:sz w:val="44"/>
      <w:szCs w:val="44"/>
    </w:rPr>
  </w:style>
  <w:style w:type="character" w:customStyle="1" w:styleId="19">
    <w:name w:val="标题 3 字符"/>
    <w:link w:val="4"/>
    <w:qFormat/>
    <w:uiPriority w:val="0"/>
    <w:rPr>
      <w:rFonts w:ascii="Times New Roman" w:hAnsi="Times New Roman" w:eastAsia="仿宋_GB2312"/>
      <w:b/>
      <w:bCs/>
      <w:sz w:val="28"/>
      <w:szCs w:val="32"/>
    </w:rPr>
  </w:style>
  <w:style w:type="character" w:customStyle="1" w:styleId="20">
    <w:name w:val="批注文字 字符"/>
    <w:link w:val="6"/>
    <w:semiHidden/>
    <w:qFormat/>
    <w:uiPriority w:val="0"/>
    <w:rPr>
      <w:rFonts w:ascii="Times New Roman" w:hAnsi="Times New Roman" w:eastAsia="宋体" w:cs="Times New Roman"/>
      <w:kern w:val="0"/>
      <w:sz w:val="24"/>
      <w:szCs w:val="24"/>
    </w:rPr>
  </w:style>
  <w:style w:type="character" w:customStyle="1" w:styleId="21">
    <w:name w:val="页脚 字符"/>
    <w:link w:val="8"/>
    <w:qFormat/>
    <w:uiPriority w:val="0"/>
    <w:rPr>
      <w:sz w:val="18"/>
      <w:szCs w:val="18"/>
    </w:rPr>
  </w:style>
  <w:style w:type="character" w:customStyle="1" w:styleId="22">
    <w:name w:val="页眉 字符"/>
    <w:link w:val="9"/>
    <w:qFormat/>
    <w:uiPriority w:val="99"/>
    <w:rPr>
      <w:sz w:val="18"/>
      <w:szCs w:val="18"/>
    </w:rPr>
  </w:style>
  <w:style w:type="character" w:customStyle="1" w:styleId="23">
    <w:name w:val="HTML 预设格式 字符"/>
    <w:link w:val="10"/>
    <w:semiHidden/>
    <w:qFormat/>
    <w:uiPriority w:val="99"/>
    <w:rPr>
      <w:rFonts w:ascii="宋体" w:hAnsi="宋体" w:cs="宋体"/>
      <w:sz w:val="24"/>
      <w:szCs w:val="24"/>
    </w:rPr>
  </w:style>
  <w:style w:type="character" w:customStyle="1" w:styleId="24">
    <w:name w:val="标题 字符"/>
    <w:link w:val="11"/>
    <w:qFormat/>
    <w:uiPriority w:val="10"/>
    <w:rPr>
      <w:rFonts w:ascii="Calibri Light" w:hAnsi="Calibri Light" w:cs="Times New Roman"/>
      <w:b/>
      <w:bCs/>
      <w:kern w:val="2"/>
      <w:sz w:val="32"/>
      <w:szCs w:val="32"/>
    </w:rPr>
  </w:style>
  <w:style w:type="paragraph" w:customStyle="1" w:styleId="25">
    <w:name w:val="正文首行缩进1"/>
    <w:basedOn w:val="2"/>
    <w:qFormat/>
    <w:uiPriority w:val="0"/>
    <w:pPr>
      <w:spacing w:line="360" w:lineRule="auto"/>
      <w:ind w:firstLine="420" w:firstLineChars="100"/>
    </w:pPr>
    <w:rPr>
      <w:rFonts w:ascii="微软雅黑" w:hAnsi="微软雅黑" w:eastAsia="微软雅黑" w:cs="微软雅黑"/>
    </w:rPr>
  </w:style>
  <w:style w:type="character" w:customStyle="1" w:styleId="26">
    <w:name w:val="无间隔 字符"/>
    <w:link w:val="27"/>
    <w:qFormat/>
    <w:uiPriority w:val="1"/>
    <w:rPr>
      <w:sz w:val="22"/>
      <w:szCs w:val="22"/>
      <w:lang w:val="en-US" w:eastAsia="zh-CN" w:bidi="ar-SA"/>
    </w:rPr>
  </w:style>
  <w:style w:type="paragraph" w:styleId="27">
    <w:name w:val="No Spacing"/>
    <w:link w:val="26"/>
    <w:qFormat/>
    <w:uiPriority w:val="1"/>
    <w:rPr>
      <w:rFonts w:ascii="Times New Roman" w:hAnsi="Times New Roman" w:eastAsia="宋体" w:cs="Times New Roman"/>
      <w:sz w:val="22"/>
      <w:szCs w:val="22"/>
      <w:lang w:val="en-US" w:eastAsia="zh-CN" w:bidi="ar-SA"/>
    </w:rPr>
  </w:style>
  <w:style w:type="character" w:customStyle="1" w:styleId="28">
    <w:name w:val="5-内文 Char"/>
    <w:link w:val="29"/>
    <w:qFormat/>
    <w:locked/>
    <w:uiPriority w:val="0"/>
    <w:rPr>
      <w:rFonts w:ascii="Times New Roman" w:hAnsi="Times New Roman" w:eastAsia="仿宋_GB2312" w:cs="Times New Roman"/>
      <w:sz w:val="28"/>
      <w:szCs w:val="20"/>
    </w:rPr>
  </w:style>
  <w:style w:type="paragraph" w:customStyle="1" w:styleId="29">
    <w:name w:val="5-内文"/>
    <w:basedOn w:val="1"/>
    <w:link w:val="28"/>
    <w:qFormat/>
    <w:uiPriority w:val="0"/>
    <w:pPr>
      <w:spacing w:beforeLines="25" w:afterLines="25" w:line="300" w:lineRule="auto"/>
      <w:ind w:firstLine="200" w:firstLineChars="200"/>
    </w:pPr>
    <w:rPr>
      <w:rFonts w:eastAsia="仿宋_GB2312"/>
      <w:kern w:val="0"/>
      <w:sz w:val="28"/>
      <w:szCs w:val="20"/>
    </w:rPr>
  </w:style>
  <w:style w:type="paragraph" w:customStyle="1" w:styleId="30">
    <w:name w:val="_Style 3"/>
    <w:basedOn w:val="1"/>
    <w:qFormat/>
    <w:uiPriority w:val="0"/>
    <w:pPr>
      <w:ind w:firstLine="420" w:firstLineChars="200"/>
    </w:pPr>
  </w:style>
  <w:style w:type="paragraph" w:customStyle="1" w:styleId="31">
    <w:name w:val="列出段落1"/>
    <w:basedOn w:val="1"/>
    <w:qFormat/>
    <w:uiPriority w:val="99"/>
    <w:pPr>
      <w:ind w:firstLine="420" w:firstLineChars="200"/>
    </w:pPr>
    <w:rPr>
      <w:rFonts w:ascii="Calibri" w:hAnsi="Calibri" w:cs="Calibri"/>
    </w:rPr>
  </w:style>
  <w:style w:type="paragraph" w:customStyle="1" w:styleId="32">
    <w:name w:val="_Style 6"/>
    <w:basedOn w:val="1"/>
    <w:qFormat/>
    <w:uiPriority w:val="34"/>
    <w:pPr>
      <w:ind w:firstLine="420" w:firstLineChars="200"/>
    </w:pPr>
  </w:style>
  <w:style w:type="paragraph" w:customStyle="1" w:styleId="33">
    <w:name w:val="列出段落"/>
    <w:basedOn w:val="1"/>
    <w:qFormat/>
    <w:uiPriority w:val="34"/>
    <w:pPr>
      <w:ind w:firstLine="420" w:firstLineChars="200"/>
    </w:pPr>
  </w:style>
  <w:style w:type="paragraph" w:customStyle="1" w:styleId="34">
    <w:name w:val="_Style 2"/>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7C5643-322C-496E-8177-99DB1F0A0B40}">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12233</Words>
  <Characters>13982</Characters>
  <Lines>103</Lines>
  <Paragraphs>29</Paragraphs>
  <TotalTime>0</TotalTime>
  <ScaleCrop>false</ScaleCrop>
  <LinksUpToDate>false</LinksUpToDate>
  <CharactersWithSpaces>14043</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2024-07-29T05:18:00Z</dcterms:created>
  <dc:creator>官小军</dc:creator>
  <cp:lastModifiedBy>邓奉先</cp:lastModifiedBy>
  <cp:lastPrinted>2016-01-17T00:27:00Z</cp:lastPrinted>
  <dcterms:modified xsi:type="dcterms:W3CDTF">2024-07-29T09:31:36Z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983440D8E8BA4CC49CECD21A4B32D109</vt:lpwstr>
  </property>
</Properties>
</file>