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_GBK" w:hAnsi="方正小标宋_GBK" w:eastAsia="方正小标宋_GBK" w:cs="方正小标宋_GBK"/>
          <w:b w:val="0"/>
          <w:bCs/>
          <w:sz w:val="44"/>
          <w:szCs w:val="44"/>
        </w:rPr>
      </w:pPr>
      <w:bookmarkStart w:id="0" w:name="_GoBack"/>
      <w:bookmarkEnd w:id="0"/>
      <w:r>
        <w:rPr>
          <w:rFonts w:hint="eastAsia" w:ascii="方正小标宋_GBK" w:hAnsi="方正小标宋_GBK" w:eastAsia="方正小标宋_GBK" w:cs="方正小标宋_GBK"/>
          <w:b w:val="0"/>
          <w:bCs/>
          <w:sz w:val="44"/>
          <w:szCs w:val="44"/>
        </w:rPr>
        <w:t>202</w:t>
      </w:r>
      <w:r>
        <w:rPr>
          <w:rFonts w:hint="eastAsia" w:ascii="方正小标宋_GBK" w:hAnsi="方正小标宋_GBK" w:eastAsia="方正小标宋_GBK" w:cs="方正小标宋_GBK"/>
          <w:b w:val="0"/>
          <w:bCs/>
          <w:sz w:val="44"/>
          <w:szCs w:val="44"/>
          <w:lang w:val="en-US" w:eastAsia="zh-CN"/>
        </w:rPr>
        <w:t>4</w:t>
      </w:r>
      <w:r>
        <w:rPr>
          <w:rFonts w:hint="eastAsia" w:ascii="方正小标宋_GBK" w:hAnsi="方正小标宋_GBK" w:eastAsia="方正小标宋_GBK" w:cs="方正小标宋_GBK"/>
          <w:b w:val="0"/>
          <w:bCs/>
          <w:sz w:val="44"/>
          <w:szCs w:val="44"/>
        </w:rPr>
        <w:t>年海南省职业院校技能大赛（高职组）</w:t>
      </w:r>
    </w:p>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44"/>
          <w:szCs w:val="44"/>
          <w:lang w:val="en-US" w:eastAsia="zh-CN"/>
        </w:rPr>
        <w:t>康复治疗技术</w:t>
      </w:r>
      <w:r>
        <w:rPr>
          <w:rFonts w:hint="eastAsia" w:ascii="方正小标宋_GBK" w:hAnsi="方正小标宋_GBK" w:eastAsia="方正小标宋_GBK" w:cs="方正小标宋_GBK"/>
          <w:b w:val="0"/>
          <w:bCs/>
          <w:sz w:val="44"/>
          <w:szCs w:val="44"/>
        </w:rPr>
        <w:t>赛项规程</w:t>
      </w:r>
    </w:p>
    <w:p>
      <w:pPr>
        <w:snapToGrid w:val="0"/>
        <w:spacing w:line="560" w:lineRule="exact"/>
        <w:jc w:val="center"/>
        <w:rPr>
          <w:rFonts w:hint="eastAsia" w:ascii="黑体" w:hAnsi="黑体" w:eastAsia="黑体" w:cs="黑体"/>
          <w:b/>
          <w:color w:val="auto"/>
          <w:sz w:val="32"/>
          <w:szCs w:val="32"/>
          <w:highlight w:val="none"/>
        </w:rPr>
      </w:pPr>
    </w:p>
    <w:p>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textAlignment w:val="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lang w:val="en-US" w:eastAsia="zh-CN"/>
        </w:rPr>
        <w:t>一、</w:t>
      </w:r>
      <w:r>
        <w:rPr>
          <w:rFonts w:hint="eastAsia" w:ascii="黑体" w:hAnsi="黑体" w:eastAsia="黑体" w:cs="黑体"/>
          <w:b w:val="0"/>
          <w:bCs w:val="0"/>
          <w:color w:val="auto"/>
          <w:sz w:val="32"/>
          <w:szCs w:val="32"/>
          <w:highlight w:val="none"/>
        </w:rPr>
        <w:t>赛项名称</w:t>
      </w:r>
    </w:p>
    <w:p>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hint="eastAsia" w:ascii="Times New Roman" w:hAnsi="Times New Roman" w:eastAsia="仿宋_GB2312" w:cs="Times New Roman"/>
          <w:color w:val="auto"/>
          <w:kern w:val="2"/>
          <w:sz w:val="32"/>
          <w:szCs w:val="32"/>
          <w:highlight w:val="none"/>
          <w:lang w:val="en-US" w:eastAsia="zh-CN" w:bidi="ar-SA"/>
        </w:rPr>
      </w:pPr>
      <w:r>
        <w:rPr>
          <w:rFonts w:hint="eastAsia" w:ascii="Times New Roman" w:hAnsi="Times New Roman" w:eastAsia="仿宋_GB2312" w:cs="Times New Roman"/>
          <w:color w:val="auto"/>
          <w:kern w:val="2"/>
          <w:sz w:val="32"/>
          <w:szCs w:val="32"/>
          <w:highlight w:val="none"/>
          <w:lang w:val="en-US" w:eastAsia="zh-CN" w:bidi="ar-SA"/>
        </w:rPr>
        <w:t>赛项名称：</w:t>
      </w:r>
      <w:r>
        <w:rPr>
          <w:rFonts w:hint="eastAsia" w:ascii="仿宋" w:hAnsi="仿宋" w:eastAsia="仿宋" w:cs="仿宋"/>
          <w:b w:val="0"/>
          <w:bCs/>
          <w:snapToGrid/>
          <w:color w:val="auto"/>
          <w:kern w:val="2"/>
          <w:sz w:val="32"/>
          <w:szCs w:val="32"/>
          <w:lang w:val="en-US" w:eastAsia="zh-CN"/>
        </w:rPr>
        <w:t>康复治疗技术</w:t>
      </w:r>
    </w:p>
    <w:p>
      <w:pPr>
        <w:keepNext w:val="0"/>
        <w:keepLines w:val="0"/>
        <w:widowControl/>
        <w:suppressLineNumbers w:val="0"/>
        <w:ind w:firstLine="640" w:firstLineChars="200"/>
        <w:jc w:val="left"/>
        <w:rPr>
          <w:rFonts w:hint="eastAsia" w:ascii="仿宋" w:hAnsi="仿宋" w:eastAsia="仿宋" w:cs="仿宋"/>
          <w:b w:val="0"/>
          <w:bCs/>
          <w:snapToGrid/>
          <w:color w:val="auto"/>
          <w:kern w:val="2"/>
          <w:sz w:val="32"/>
          <w:szCs w:val="32"/>
          <w:lang w:val="en-US" w:eastAsia="zh-CN"/>
        </w:rPr>
      </w:pPr>
      <w:r>
        <w:rPr>
          <w:rFonts w:hint="eastAsia" w:ascii="Times New Roman" w:hAnsi="Times New Roman" w:eastAsia="仿宋_GB2312" w:cs="Times New Roman"/>
          <w:color w:val="auto"/>
          <w:kern w:val="2"/>
          <w:sz w:val="32"/>
          <w:szCs w:val="32"/>
          <w:highlight w:val="none"/>
          <w:lang w:val="en-US" w:eastAsia="zh-CN" w:bidi="ar-SA"/>
        </w:rPr>
        <w:t>英文名称：</w:t>
      </w:r>
      <w:r>
        <w:rPr>
          <w:rFonts w:hint="eastAsia" w:ascii="仿宋" w:hAnsi="仿宋" w:eastAsia="仿宋" w:cs="仿宋"/>
          <w:b w:val="0"/>
          <w:bCs/>
          <w:snapToGrid/>
          <w:color w:val="auto"/>
          <w:kern w:val="2"/>
          <w:sz w:val="32"/>
          <w:szCs w:val="32"/>
          <w:lang w:val="en-US" w:eastAsia="zh-CN"/>
        </w:rPr>
        <w:t>Rehabilitation treatment technology</w:t>
      </w:r>
    </w:p>
    <w:p>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hint="eastAsia" w:ascii="Times New Roman" w:hAnsi="Times New Roman" w:eastAsia="仿宋_GB2312" w:cs="Times New Roman"/>
          <w:color w:val="auto"/>
          <w:kern w:val="2"/>
          <w:sz w:val="32"/>
          <w:szCs w:val="32"/>
          <w:highlight w:val="none"/>
          <w:lang w:val="en-US" w:eastAsia="zh-CN" w:bidi="ar-SA"/>
        </w:rPr>
      </w:pPr>
      <w:r>
        <w:rPr>
          <w:rFonts w:hint="eastAsia" w:ascii="Times New Roman" w:hAnsi="Times New Roman" w:eastAsia="仿宋_GB2312" w:cs="Times New Roman"/>
          <w:color w:val="auto"/>
          <w:kern w:val="2"/>
          <w:sz w:val="32"/>
          <w:szCs w:val="32"/>
          <w:highlight w:val="none"/>
          <w:lang w:val="en-US" w:eastAsia="zh-CN" w:bidi="ar-SA"/>
        </w:rPr>
        <w:t>赛项组别：</w:t>
      </w:r>
      <w:r>
        <w:rPr>
          <w:rFonts w:hint="default" w:ascii="Times New Roman" w:hAnsi="Times New Roman" w:eastAsia="仿宋_GB2312" w:cs="Times New Roman"/>
          <w:color w:val="auto"/>
          <w:kern w:val="2"/>
          <w:sz w:val="32"/>
          <w:szCs w:val="32"/>
          <w:highlight w:val="none"/>
          <w:lang w:val="en-US" w:eastAsia="zh-CN" w:bidi="ar-SA"/>
        </w:rPr>
        <w:t>高等职业教育</w:t>
      </w:r>
    </w:p>
    <w:p>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hint="eastAsia" w:ascii="Times New Roman" w:hAnsi="Times New Roman" w:eastAsia="仿宋_GB2312" w:cs="Times New Roman"/>
          <w:color w:val="auto"/>
          <w:kern w:val="2"/>
          <w:sz w:val="32"/>
          <w:szCs w:val="32"/>
          <w:highlight w:val="none"/>
          <w:lang w:val="en-US" w:eastAsia="zh-CN" w:bidi="ar-SA"/>
        </w:rPr>
      </w:pPr>
      <w:r>
        <w:rPr>
          <w:rFonts w:hint="eastAsia" w:ascii="Times New Roman" w:hAnsi="Times New Roman" w:eastAsia="仿宋_GB2312" w:cs="Times New Roman"/>
          <w:color w:val="auto"/>
          <w:kern w:val="2"/>
          <w:sz w:val="32"/>
          <w:szCs w:val="32"/>
          <w:highlight w:val="none"/>
          <w:lang w:val="en-US" w:eastAsia="zh-CN" w:bidi="ar-SA"/>
        </w:rPr>
        <w:t>赛项归属产业：</w:t>
      </w:r>
      <w:r>
        <w:rPr>
          <w:rFonts w:hint="eastAsia" w:ascii="仿宋_GB2312" w:hAnsi="Arial" w:eastAsia="仿宋_GB2312" w:cs="Calibri"/>
          <w:snapToGrid w:val="0"/>
          <w:color w:val="auto"/>
          <w:kern w:val="0"/>
          <w:sz w:val="32"/>
          <w:szCs w:val="32"/>
          <w:lang w:val="en-US" w:eastAsia="zh-CN" w:bidi="ar-SA"/>
        </w:rPr>
        <w:t>医疗服务业</w:t>
      </w:r>
    </w:p>
    <w:p>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360" w:lineRule="auto"/>
        <w:ind w:leftChars="0"/>
        <w:jc w:val="both"/>
        <w:textAlignment w:val="auto"/>
        <w:rPr>
          <w:rFonts w:hint="eastAsia" w:ascii="黑体" w:hAnsi="黑体" w:eastAsia="黑体" w:cs="黑体"/>
          <w:b w:val="0"/>
          <w:bCs w:val="0"/>
          <w:snapToGrid/>
          <w:kern w:val="2"/>
          <w:sz w:val="32"/>
          <w:szCs w:val="32"/>
          <w:lang w:val="en-US" w:eastAsia="zh-CN"/>
        </w:rPr>
      </w:pPr>
      <w:r>
        <w:rPr>
          <w:rFonts w:hint="eastAsia" w:ascii="黑体" w:hAnsi="黑体" w:eastAsia="黑体" w:cs="黑体"/>
          <w:b w:val="0"/>
          <w:bCs w:val="0"/>
          <w:snapToGrid/>
          <w:kern w:val="2"/>
          <w:sz w:val="32"/>
          <w:szCs w:val="32"/>
          <w:lang w:val="en-US" w:eastAsia="zh-CN"/>
        </w:rPr>
        <w:t>二、竞</w:t>
      </w:r>
      <w:r>
        <w:rPr>
          <w:rFonts w:hint="eastAsia" w:ascii="黑体" w:hAnsi="黑体" w:eastAsia="黑体" w:cs="黑体"/>
          <w:b w:val="0"/>
          <w:bCs w:val="0"/>
          <w:snapToGrid/>
          <w:kern w:val="2"/>
          <w:sz w:val="32"/>
          <w:szCs w:val="32"/>
          <w:lang w:eastAsia="zh-CN"/>
        </w:rPr>
        <w:t>赛</w:t>
      </w:r>
      <w:r>
        <w:rPr>
          <w:rFonts w:hint="eastAsia" w:ascii="黑体" w:hAnsi="黑体" w:eastAsia="黑体" w:cs="黑体"/>
          <w:b w:val="0"/>
          <w:bCs w:val="0"/>
          <w:snapToGrid/>
          <w:kern w:val="2"/>
          <w:sz w:val="32"/>
          <w:szCs w:val="32"/>
          <w:lang w:val="en-US" w:eastAsia="zh-CN"/>
        </w:rPr>
        <w:t>目标</w:t>
      </w:r>
    </w:p>
    <w:p>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360" w:lineRule="auto"/>
        <w:ind w:leftChars="0" w:firstLine="640" w:firstLineChars="200"/>
        <w:jc w:val="both"/>
        <w:textAlignment w:val="auto"/>
        <w:rPr>
          <w:rFonts w:hint="eastAsia" w:ascii="仿宋_GB2312" w:hAnsi="Arial"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为全面贯彻习近平新时代中国特色社会主义思想，落实《国家职业教育改革实施方案》、《全国职业院校技能大赛执行规划（2023—2027年）》</w:t>
      </w:r>
      <w:r>
        <w:rPr>
          <w:rFonts w:hint="eastAsia" w:ascii="仿宋_GB2312" w:hAnsi="Arial" w:eastAsia="仿宋_GB2312" w:cs="Calibri"/>
          <w:snapToGrid w:val="0"/>
          <w:color w:val="auto"/>
          <w:kern w:val="0"/>
          <w:sz w:val="32"/>
          <w:szCs w:val="32"/>
          <w:lang w:val="en-US" w:eastAsia="zh-CN" w:bidi="ar-SA"/>
        </w:rPr>
        <w:t>及《关于推动现代职业教育高质量发展的意见》等精神，</w:t>
      </w:r>
      <w:r>
        <w:rPr>
          <w:rFonts w:hint="eastAsia" w:ascii="仿宋_GB2312" w:eastAsia="仿宋_GB2312" w:cs="Calibri"/>
          <w:snapToGrid w:val="0"/>
          <w:color w:val="auto"/>
          <w:kern w:val="0"/>
          <w:sz w:val="32"/>
          <w:szCs w:val="32"/>
          <w:lang w:val="en-US" w:eastAsia="zh-CN" w:bidi="ar-SA"/>
        </w:rPr>
        <w:t>推动职业教育改革，本赛项以提升职业院校师生技术技能水平、培育德技双修综合性人才为宗旨</w:t>
      </w:r>
      <w:r>
        <w:rPr>
          <w:rFonts w:hint="eastAsia" w:ascii="仿宋_GB2312" w:hAnsi="Arial" w:eastAsia="仿宋_GB2312" w:cs="Calibri"/>
          <w:snapToGrid w:val="0"/>
          <w:color w:val="auto"/>
          <w:kern w:val="0"/>
          <w:sz w:val="32"/>
          <w:szCs w:val="32"/>
          <w:lang w:val="en-US" w:eastAsia="zh-CN" w:bidi="ar-SA"/>
        </w:rPr>
        <w:t>，通过真实案例导向和综合能力考核，检验学生的职业素养、临床思维、操作技能、沟通技巧、安全意识</w:t>
      </w:r>
      <w:r>
        <w:rPr>
          <w:rFonts w:hint="eastAsia" w:ascii="仿宋_GB2312" w:eastAsia="仿宋_GB2312" w:cs="Calibri"/>
          <w:snapToGrid w:val="0"/>
          <w:color w:val="auto"/>
          <w:kern w:val="0"/>
          <w:sz w:val="32"/>
          <w:szCs w:val="32"/>
          <w:lang w:val="en-US" w:eastAsia="zh-CN" w:bidi="ar-SA"/>
        </w:rPr>
        <w:t>、人文关怀</w:t>
      </w:r>
      <w:r>
        <w:rPr>
          <w:rFonts w:hint="eastAsia" w:ascii="仿宋_GB2312" w:hAnsi="Arial" w:eastAsia="仿宋_GB2312" w:cs="Calibri"/>
          <w:snapToGrid w:val="0"/>
          <w:color w:val="auto"/>
          <w:kern w:val="0"/>
          <w:sz w:val="32"/>
          <w:szCs w:val="32"/>
          <w:lang w:val="en-US" w:eastAsia="zh-CN" w:bidi="ar-SA"/>
        </w:rPr>
        <w:t>等专业综合能力，强化实践教学，引领职业院校康复治疗类专业建设、人才培养模式的改革与创新，培养适应行业需求的高素质技术技能型人才。</w:t>
      </w:r>
    </w:p>
    <w:p>
      <w:pPr>
        <w:pStyle w:val="2"/>
        <w:spacing w:line="360" w:lineRule="auto"/>
        <w:jc w:val="both"/>
        <w:rPr>
          <w:rFonts w:hint="eastAsia" w:ascii="黑体" w:hAnsi="黑体" w:eastAsia="黑体" w:cs="黑体"/>
          <w:snapToGrid/>
          <w:color w:val="000000"/>
          <w:kern w:val="2"/>
          <w:sz w:val="32"/>
          <w:szCs w:val="32"/>
          <w:lang w:val="en-US" w:eastAsia="zh-CN" w:bidi="ar-SA"/>
        </w:rPr>
      </w:pPr>
      <w:r>
        <w:rPr>
          <w:rFonts w:hint="eastAsia" w:ascii="黑体" w:hAnsi="黑体" w:eastAsia="黑体" w:cs="黑体"/>
          <w:snapToGrid/>
          <w:color w:val="000000"/>
          <w:kern w:val="2"/>
          <w:sz w:val="32"/>
          <w:szCs w:val="32"/>
          <w:lang w:val="en-US" w:eastAsia="zh-CN" w:bidi="ar-SA"/>
        </w:rPr>
        <w:t>三、竞赛内容</w:t>
      </w:r>
    </w:p>
    <w:p>
      <w:pPr>
        <w:pStyle w:val="2"/>
        <w:spacing w:line="360" w:lineRule="auto"/>
        <w:ind w:firstLine="640" w:firstLineChars="200"/>
        <w:jc w:val="both"/>
        <w:rPr>
          <w:rFonts w:hint="eastAsia"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本赛项内容包括理论知识竞赛和技能操作竞赛两部分。</w:t>
      </w:r>
    </w:p>
    <w:p>
      <w:pPr>
        <w:pStyle w:val="2"/>
        <w:numPr>
          <w:ilvl w:val="0"/>
          <w:numId w:val="0"/>
        </w:numPr>
        <w:spacing w:line="360" w:lineRule="auto"/>
        <w:ind w:firstLine="643" w:firstLineChars="200"/>
        <w:jc w:val="both"/>
        <w:rPr>
          <w:rFonts w:hint="default" w:ascii="楷体_GB2312" w:hAnsi="楷体_GB2312" w:eastAsia="楷体_GB2312" w:cs="楷体_GB2312"/>
          <w:b/>
          <w:bCs/>
          <w:snapToGrid w:val="0"/>
          <w:color w:val="auto"/>
          <w:kern w:val="0"/>
          <w:sz w:val="32"/>
          <w:szCs w:val="32"/>
          <w:lang w:val="en-US" w:eastAsia="zh-CN" w:bidi="ar-SA"/>
        </w:rPr>
      </w:pPr>
      <w:r>
        <w:rPr>
          <w:rFonts w:hint="eastAsia" w:ascii="楷体_GB2312" w:hAnsi="楷体_GB2312" w:eastAsia="楷体_GB2312" w:cs="楷体_GB2312"/>
          <w:b/>
          <w:bCs/>
          <w:snapToGrid w:val="0"/>
          <w:color w:val="auto"/>
          <w:kern w:val="0"/>
          <w:sz w:val="32"/>
          <w:szCs w:val="32"/>
          <w:lang w:val="en-US" w:eastAsia="zh-CN" w:bidi="ar-SA"/>
        </w:rPr>
        <w:t>（一）理论知识竞赛</w:t>
      </w:r>
    </w:p>
    <w:p>
      <w:pPr>
        <w:pStyle w:val="2"/>
        <w:numPr>
          <w:ilvl w:val="0"/>
          <w:numId w:val="0"/>
        </w:numPr>
        <w:spacing w:line="360" w:lineRule="auto"/>
        <w:ind w:firstLine="640" w:firstLineChars="200"/>
        <w:jc w:val="both"/>
        <w:rPr>
          <w:rFonts w:hint="eastAsia" w:ascii="仿宋_GB2312" w:hAnsi="Arial" w:eastAsia="仿宋_GB2312" w:cs="Calibri"/>
          <w:snapToGrid w:val="0"/>
          <w:color w:val="auto"/>
          <w:kern w:val="0"/>
          <w:sz w:val="32"/>
          <w:szCs w:val="32"/>
          <w:lang w:val="en-US" w:eastAsia="zh-CN" w:bidi="ar-SA"/>
        </w:rPr>
      </w:pPr>
      <w:r>
        <w:rPr>
          <w:rFonts w:hint="default" w:ascii="仿宋_GB2312" w:hAnsi="Arial" w:eastAsia="仿宋_GB2312" w:cs="Calibri"/>
          <w:snapToGrid w:val="0"/>
          <w:color w:val="auto"/>
          <w:kern w:val="0"/>
          <w:sz w:val="32"/>
          <w:szCs w:val="32"/>
          <w:lang w:val="en-US" w:eastAsia="zh-CN" w:bidi="ar-SA"/>
        </w:rPr>
        <w:t>理论知识竞赛占团体总成绩的</w:t>
      </w:r>
      <w:r>
        <w:rPr>
          <w:rFonts w:hint="eastAsia" w:ascii="仿宋_GB2312" w:hAnsi="Arial" w:eastAsia="仿宋_GB2312" w:cs="Calibri"/>
          <w:snapToGrid w:val="0"/>
          <w:color w:val="auto"/>
          <w:kern w:val="0"/>
          <w:sz w:val="32"/>
          <w:szCs w:val="32"/>
          <w:lang w:val="en-US" w:eastAsia="zh-CN" w:bidi="ar-SA"/>
        </w:rPr>
        <w:t>15%。</w:t>
      </w:r>
    </w:p>
    <w:p>
      <w:pPr>
        <w:pStyle w:val="2"/>
        <w:spacing w:line="360" w:lineRule="auto"/>
        <w:ind w:firstLine="640" w:firstLineChars="200"/>
        <w:jc w:val="both"/>
        <w:rPr>
          <w:rFonts w:hint="eastAsia" w:ascii="仿宋_GB2312" w:hAnsi="Arial" w:eastAsia="仿宋_GB2312" w:cs="Calibri"/>
          <w:snapToGrid w:val="0"/>
          <w:color w:val="auto"/>
          <w:kern w:val="0"/>
          <w:sz w:val="32"/>
          <w:szCs w:val="32"/>
          <w:lang w:val="en-US" w:eastAsia="zh-CN" w:bidi="ar-SA"/>
        </w:rPr>
      </w:pPr>
      <w:r>
        <w:rPr>
          <w:rFonts w:hint="default" w:ascii="仿宋_GB2312" w:hAnsi="Arial" w:eastAsia="仿宋_GB2312" w:cs="Calibri"/>
          <w:snapToGrid w:val="0"/>
          <w:color w:val="auto"/>
          <w:kern w:val="0"/>
          <w:sz w:val="32"/>
          <w:szCs w:val="32"/>
          <w:lang w:val="en-US" w:eastAsia="zh-CN" w:bidi="ar-SA"/>
        </w:rPr>
        <w:t>理论知识竞赛形式采取计算机考试，考试内容参照</w:t>
      </w:r>
      <w:r>
        <w:rPr>
          <w:rFonts w:hint="eastAsia" w:ascii="仿宋_GB2312" w:hAnsi="Arial" w:eastAsia="仿宋_GB2312" w:cs="Calibri"/>
          <w:snapToGrid w:val="0"/>
          <w:color w:val="auto"/>
          <w:kern w:val="0"/>
          <w:sz w:val="32"/>
          <w:szCs w:val="32"/>
          <w:lang w:val="en-US" w:eastAsia="zh-CN" w:bidi="ar-SA"/>
        </w:rPr>
        <w:t>《全国卫生专业技术资格考试康复医学治疗技术（士、师、中级）考试大纲》，题型为单项选择题，题量50题/套（2分/题），共100分，考试时长为40分钟。主要考核参赛选手的专业知识应用能力、临床思维能力、分析问题和解决问题的能力。</w:t>
      </w:r>
    </w:p>
    <w:p>
      <w:pPr>
        <w:pStyle w:val="2"/>
        <w:spacing w:line="360" w:lineRule="auto"/>
        <w:ind w:firstLine="643" w:firstLineChars="200"/>
        <w:jc w:val="both"/>
        <w:rPr>
          <w:rFonts w:hint="eastAsia" w:ascii="楷体GB2312" w:hAnsi="楷体GB2312" w:eastAsia="楷体GB2312" w:cs="楷体GB2312"/>
          <w:b/>
          <w:bCs/>
          <w:snapToGrid w:val="0"/>
          <w:color w:val="auto"/>
          <w:kern w:val="0"/>
          <w:sz w:val="32"/>
          <w:szCs w:val="32"/>
          <w:lang w:val="en-US" w:eastAsia="zh-CN" w:bidi="ar-SA"/>
        </w:rPr>
      </w:pPr>
      <w:r>
        <w:rPr>
          <w:rFonts w:hint="eastAsia" w:ascii="楷体_GB2312" w:hAnsi="楷体_GB2312" w:eastAsia="楷体_GB2312" w:cs="楷体_GB2312"/>
          <w:b/>
          <w:bCs/>
          <w:snapToGrid w:val="0"/>
          <w:color w:val="auto"/>
          <w:kern w:val="0"/>
          <w:sz w:val="32"/>
          <w:szCs w:val="32"/>
          <w:lang w:val="en-US" w:eastAsia="zh-CN" w:bidi="ar-SA"/>
        </w:rPr>
        <w:t>（二）技能操作竞赛</w:t>
      </w:r>
    </w:p>
    <w:p>
      <w:pPr>
        <w:pStyle w:val="2"/>
        <w:spacing w:line="360" w:lineRule="auto"/>
        <w:ind w:firstLine="640" w:firstLineChars="200"/>
        <w:jc w:val="both"/>
        <w:rPr>
          <w:rFonts w:hint="default" w:ascii="仿宋_GB2312" w:hAnsi="Arial" w:eastAsia="仿宋_GB2312" w:cs="Calibri"/>
          <w:snapToGrid w:val="0"/>
          <w:color w:val="auto"/>
          <w:kern w:val="0"/>
          <w:sz w:val="32"/>
          <w:szCs w:val="32"/>
          <w:lang w:val="en-US" w:eastAsia="zh-CN" w:bidi="ar-SA"/>
        </w:rPr>
      </w:pPr>
      <w:r>
        <w:rPr>
          <w:rFonts w:hint="default" w:ascii="仿宋_GB2312" w:hAnsi="Arial" w:eastAsia="仿宋_GB2312" w:cs="Calibri"/>
          <w:snapToGrid w:val="0"/>
          <w:color w:val="auto"/>
          <w:kern w:val="0"/>
          <w:sz w:val="32"/>
          <w:szCs w:val="32"/>
          <w:lang w:val="en-US" w:eastAsia="zh-CN" w:bidi="ar-SA"/>
        </w:rPr>
        <w:t>技能操作占团体总成绩的85%</w:t>
      </w:r>
      <w:r>
        <w:rPr>
          <w:rFonts w:hint="eastAsia" w:ascii="仿宋_GB2312" w:hAnsi="Arial" w:eastAsia="仿宋_GB2312" w:cs="Calibri"/>
          <w:snapToGrid w:val="0"/>
          <w:color w:val="auto"/>
          <w:kern w:val="0"/>
          <w:sz w:val="32"/>
          <w:szCs w:val="32"/>
          <w:lang w:val="en-US" w:eastAsia="zh-CN" w:bidi="ar-SA"/>
        </w:rPr>
        <w:t>，</w:t>
      </w:r>
      <w:r>
        <w:rPr>
          <w:rFonts w:hint="default" w:ascii="仿宋_GB2312" w:hAnsi="Arial" w:eastAsia="仿宋_GB2312" w:cs="Calibri"/>
          <w:snapToGrid w:val="0"/>
          <w:color w:val="auto"/>
          <w:kern w:val="0"/>
          <w:sz w:val="32"/>
          <w:szCs w:val="32"/>
          <w:lang w:val="en-US" w:eastAsia="zh-CN" w:bidi="ar-SA"/>
        </w:rPr>
        <w:t>个人成绩的100%。</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hAnsi="Arial" w:eastAsia="仿宋_GB2312" w:cs="Calibri"/>
          <w:snapToGrid w:val="0"/>
          <w:color w:val="auto"/>
          <w:kern w:val="0"/>
          <w:sz w:val="32"/>
          <w:szCs w:val="32"/>
          <w:lang w:val="en-US" w:eastAsia="zh-CN" w:bidi="ar-SA"/>
        </w:rPr>
      </w:pPr>
      <w:r>
        <w:rPr>
          <w:rFonts w:hint="default" w:ascii="仿宋_GB2312" w:hAnsi="Arial" w:eastAsia="仿宋_GB2312" w:cs="Calibri"/>
          <w:snapToGrid w:val="0"/>
          <w:color w:val="auto"/>
          <w:kern w:val="0"/>
          <w:sz w:val="32"/>
          <w:szCs w:val="32"/>
          <w:lang w:val="en-US" w:eastAsia="zh-CN" w:bidi="ar-SA"/>
        </w:rPr>
        <w:t>技能操作竞赛以真实案例为导向，基于康复治疗工作过程，按照临床康复治疗工作的逻辑关系，科学设置竞赛内容。技能操作标准参照原卫生部颁发的</w:t>
      </w:r>
      <w:r>
        <w:rPr>
          <w:rFonts w:hint="eastAsia" w:ascii="仿宋_GB2312" w:hAnsi="Arial" w:eastAsia="仿宋_GB2312" w:cs="Calibri"/>
          <w:snapToGrid w:val="0"/>
          <w:color w:val="auto"/>
          <w:kern w:val="0"/>
          <w:sz w:val="32"/>
          <w:szCs w:val="32"/>
          <w:lang w:val="en-US" w:eastAsia="zh-CN" w:bidi="ar-SA"/>
        </w:rPr>
        <w:t>《常用康复治疗技术操作规范（2012版）》要求，时长20分钟（含现场问答）。主要考核学生职业素养和沟通能力、康复评估准确与规范、康复治疗技术应用和操作规范。考核环节包括操作前准备、操作过程、操作后处理等。竞赛内容:常见神经系统疾病、肌肉骨骼系统疾病，包括脑卒中、脊髓损伤、颈椎病、腰椎间盘突出症、肩周炎等康复评定与治疗操作技能。竞赛程序：①备赛（时间20分钟）：参赛队由候考室进入备赛室，随机抽取一份临床案例；3名参赛选手通过随机抽签进行分工，1名选手负责询问病史和主观性评估，1名选手负责康复评定操作，1名选手负责康复治疗技术操作；②竞赛（时间20分钟）：参赛队由备赛室进入赛场，按照临床康复治疗工作过程，3名选手依据分工分别进行问诊、评定、治疗3个技能竞赛模块的操作及回答提问，各模块时长分配由团队选手自行决定，不限定答问选手。总分100分（问诊20%，评定35%，治疗35%，回答问题10%）。问答分数只计入团队总分，不计入个人分数。</w:t>
      </w:r>
    </w:p>
    <w:tbl>
      <w:tblPr>
        <w:tblStyle w:val="8"/>
        <w:tblW w:w="89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
        <w:gridCol w:w="538"/>
        <w:gridCol w:w="538"/>
        <w:gridCol w:w="4571"/>
        <w:gridCol w:w="588"/>
        <w:gridCol w:w="1016"/>
        <w:gridCol w:w="1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dxa"/>
            <w:noWrap w:val="0"/>
            <w:vAlign w:val="center"/>
          </w:tcPr>
          <w:p>
            <w:pPr>
              <w:pStyle w:val="2"/>
              <w:widowControl w:val="0"/>
              <w:spacing w:line="240" w:lineRule="auto"/>
              <w:jc w:val="center"/>
              <w:rPr>
                <w:rFonts w:hint="default" w:ascii="仿宋_GB2312" w:hAnsi="Arial" w:eastAsia="仿宋_GB2312" w:cs="Calibri"/>
                <w:b/>
                <w:bCs/>
                <w:snapToGrid w:val="0"/>
                <w:color w:val="auto"/>
                <w:kern w:val="0"/>
                <w:sz w:val="32"/>
                <w:szCs w:val="32"/>
                <w:lang w:val="en-US" w:eastAsia="zh-CN" w:bidi="ar-SA"/>
              </w:rPr>
            </w:pPr>
            <w:r>
              <w:rPr>
                <w:rFonts w:hint="eastAsia" w:ascii="仿宋_GB2312" w:hAnsi="Arial" w:eastAsia="仿宋_GB2312" w:cs="Calibri"/>
                <w:b/>
                <w:bCs/>
                <w:snapToGrid w:val="0"/>
                <w:color w:val="auto"/>
                <w:kern w:val="0"/>
                <w:sz w:val="32"/>
                <w:szCs w:val="32"/>
                <w:lang w:val="en-US" w:eastAsia="zh-CN" w:bidi="ar-SA"/>
              </w:rPr>
              <w:t>模块</w:t>
            </w:r>
          </w:p>
        </w:tc>
        <w:tc>
          <w:tcPr>
            <w:tcW w:w="1076" w:type="dxa"/>
            <w:gridSpan w:val="2"/>
            <w:noWrap w:val="0"/>
            <w:vAlign w:val="center"/>
          </w:tcPr>
          <w:p>
            <w:pPr>
              <w:pStyle w:val="2"/>
              <w:widowControl w:val="0"/>
              <w:spacing w:line="240" w:lineRule="auto"/>
              <w:jc w:val="center"/>
              <w:rPr>
                <w:rFonts w:hint="default" w:ascii="仿宋_GB2312" w:hAnsi="Arial" w:eastAsia="仿宋_GB2312" w:cs="Calibri"/>
                <w:b/>
                <w:bCs/>
                <w:snapToGrid w:val="0"/>
                <w:color w:val="auto"/>
                <w:kern w:val="0"/>
                <w:sz w:val="32"/>
                <w:szCs w:val="32"/>
                <w:lang w:val="en-US" w:eastAsia="zh-CN" w:bidi="ar-SA"/>
              </w:rPr>
            </w:pPr>
            <w:r>
              <w:rPr>
                <w:rFonts w:hint="eastAsia" w:ascii="仿宋_GB2312" w:hAnsi="Arial" w:eastAsia="仿宋_GB2312" w:cs="Calibri"/>
                <w:b/>
                <w:bCs/>
                <w:snapToGrid w:val="0"/>
                <w:color w:val="auto"/>
                <w:kern w:val="0"/>
                <w:sz w:val="32"/>
                <w:szCs w:val="32"/>
                <w:lang w:val="en-US" w:eastAsia="zh-CN" w:bidi="ar-SA"/>
              </w:rPr>
              <w:t>类别</w:t>
            </w:r>
          </w:p>
        </w:tc>
        <w:tc>
          <w:tcPr>
            <w:tcW w:w="4571" w:type="dxa"/>
            <w:noWrap w:val="0"/>
            <w:vAlign w:val="center"/>
          </w:tcPr>
          <w:p>
            <w:pPr>
              <w:pStyle w:val="2"/>
              <w:widowControl w:val="0"/>
              <w:spacing w:line="240" w:lineRule="auto"/>
              <w:jc w:val="center"/>
              <w:rPr>
                <w:rFonts w:hint="default" w:ascii="仿宋_GB2312" w:hAnsi="Arial" w:eastAsia="仿宋_GB2312" w:cs="Calibri"/>
                <w:b/>
                <w:bCs/>
                <w:snapToGrid w:val="0"/>
                <w:color w:val="auto"/>
                <w:kern w:val="0"/>
                <w:sz w:val="32"/>
                <w:szCs w:val="32"/>
                <w:lang w:val="en-US" w:eastAsia="zh-CN" w:bidi="ar-SA"/>
              </w:rPr>
            </w:pPr>
            <w:r>
              <w:rPr>
                <w:rFonts w:hint="eastAsia" w:ascii="仿宋_GB2312" w:hAnsi="Arial" w:eastAsia="仿宋_GB2312" w:cs="Calibri"/>
                <w:b/>
                <w:bCs/>
                <w:snapToGrid w:val="0"/>
                <w:color w:val="auto"/>
                <w:kern w:val="0"/>
                <w:sz w:val="32"/>
                <w:szCs w:val="32"/>
                <w:lang w:val="en-US" w:eastAsia="zh-CN" w:bidi="ar-SA"/>
              </w:rPr>
              <w:t>主要内容</w:t>
            </w:r>
          </w:p>
        </w:tc>
        <w:tc>
          <w:tcPr>
            <w:tcW w:w="588" w:type="dxa"/>
            <w:noWrap w:val="0"/>
            <w:vAlign w:val="center"/>
          </w:tcPr>
          <w:p>
            <w:pPr>
              <w:pStyle w:val="2"/>
              <w:widowControl w:val="0"/>
              <w:spacing w:line="240" w:lineRule="auto"/>
              <w:jc w:val="center"/>
              <w:rPr>
                <w:rFonts w:hint="default" w:ascii="仿宋_GB2312" w:hAnsi="Arial" w:eastAsia="仿宋_GB2312" w:cs="Calibri"/>
                <w:b/>
                <w:bCs/>
                <w:snapToGrid w:val="0"/>
                <w:color w:val="auto"/>
                <w:kern w:val="0"/>
                <w:sz w:val="32"/>
                <w:szCs w:val="32"/>
                <w:lang w:val="en-US" w:eastAsia="zh-CN" w:bidi="ar-SA"/>
              </w:rPr>
            </w:pPr>
            <w:r>
              <w:rPr>
                <w:rFonts w:hint="eastAsia" w:ascii="仿宋_GB2312" w:hAnsi="Arial" w:eastAsia="仿宋_GB2312" w:cs="Calibri"/>
                <w:b/>
                <w:bCs/>
                <w:snapToGrid w:val="0"/>
                <w:color w:val="auto"/>
                <w:kern w:val="0"/>
                <w:sz w:val="32"/>
                <w:szCs w:val="32"/>
                <w:lang w:val="en-US" w:eastAsia="zh-CN" w:bidi="ar-SA"/>
              </w:rPr>
              <w:t>比赛时长</w:t>
            </w:r>
          </w:p>
        </w:tc>
        <w:tc>
          <w:tcPr>
            <w:tcW w:w="2032" w:type="dxa"/>
            <w:gridSpan w:val="2"/>
            <w:noWrap w:val="0"/>
            <w:vAlign w:val="center"/>
          </w:tcPr>
          <w:p>
            <w:pPr>
              <w:pStyle w:val="2"/>
              <w:widowControl w:val="0"/>
              <w:spacing w:line="240" w:lineRule="auto"/>
              <w:jc w:val="center"/>
              <w:rPr>
                <w:rFonts w:hint="default" w:ascii="仿宋_GB2312" w:hAnsi="Arial" w:eastAsia="仿宋_GB2312" w:cs="Calibri"/>
                <w:b/>
                <w:bCs/>
                <w:snapToGrid w:val="0"/>
                <w:color w:val="auto"/>
                <w:kern w:val="0"/>
                <w:sz w:val="32"/>
                <w:szCs w:val="32"/>
                <w:lang w:val="en-US" w:eastAsia="zh-CN" w:bidi="ar-SA"/>
              </w:rPr>
            </w:pPr>
            <w:r>
              <w:rPr>
                <w:rFonts w:hint="eastAsia" w:ascii="仿宋_GB2312" w:hAnsi="Arial" w:eastAsia="仿宋_GB2312" w:cs="Calibri"/>
                <w:b/>
                <w:bCs/>
                <w:snapToGrid w:val="0"/>
                <w:color w:val="auto"/>
                <w:kern w:val="0"/>
                <w:sz w:val="32"/>
                <w:szCs w:val="32"/>
                <w:lang w:val="en-US" w:eastAsia="zh-CN" w:bidi="ar-SA"/>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dxa"/>
            <w:noWrap w:val="0"/>
            <w:vAlign w:val="center"/>
          </w:tcPr>
          <w:p>
            <w:pPr>
              <w:pStyle w:val="2"/>
              <w:widowControl w:val="0"/>
              <w:spacing w:line="240" w:lineRule="auto"/>
              <w:jc w:val="center"/>
              <w:rPr>
                <w:rFonts w:hint="default" w:ascii="仿宋_GB2312" w:hAnsi="Arial" w:eastAsia="仿宋_GB2312" w:cs="Calibri"/>
                <w:b/>
                <w:bCs/>
                <w:snapToGrid w:val="0"/>
                <w:color w:val="auto"/>
                <w:kern w:val="0"/>
                <w:sz w:val="32"/>
                <w:szCs w:val="32"/>
                <w:lang w:val="en-US" w:eastAsia="zh-CN" w:bidi="ar-SA"/>
              </w:rPr>
            </w:pPr>
            <w:r>
              <w:rPr>
                <w:rFonts w:hint="eastAsia" w:ascii="仿宋_GB2312" w:hAnsi="Arial" w:eastAsia="仿宋_GB2312" w:cs="Calibri"/>
                <w:b/>
                <w:bCs/>
                <w:snapToGrid w:val="0"/>
                <w:color w:val="auto"/>
                <w:kern w:val="0"/>
                <w:sz w:val="32"/>
                <w:szCs w:val="32"/>
                <w:lang w:val="en-US" w:eastAsia="zh-CN" w:bidi="ar-SA"/>
              </w:rPr>
              <w:t>模块一</w:t>
            </w:r>
          </w:p>
        </w:tc>
        <w:tc>
          <w:tcPr>
            <w:tcW w:w="1076" w:type="dxa"/>
            <w:gridSpan w:val="2"/>
            <w:noWrap w:val="0"/>
            <w:vAlign w:val="center"/>
          </w:tcPr>
          <w:p>
            <w:pPr>
              <w:pStyle w:val="2"/>
              <w:widowControl w:val="0"/>
              <w:spacing w:line="240" w:lineRule="auto"/>
              <w:jc w:val="center"/>
              <w:rPr>
                <w:rFonts w:hint="default" w:ascii="仿宋_GB2312" w:hAnsi="Arial" w:eastAsia="仿宋_GB2312" w:cs="Calibri"/>
                <w:b/>
                <w:bCs/>
                <w:snapToGrid w:val="0"/>
                <w:color w:val="auto"/>
                <w:kern w:val="0"/>
                <w:sz w:val="32"/>
                <w:szCs w:val="32"/>
                <w:lang w:val="en-US" w:eastAsia="zh-CN" w:bidi="ar-SA"/>
              </w:rPr>
            </w:pPr>
            <w:r>
              <w:rPr>
                <w:rFonts w:hint="eastAsia" w:ascii="仿宋_GB2312" w:hAnsi="Arial" w:eastAsia="仿宋_GB2312" w:cs="Calibri"/>
                <w:b/>
                <w:bCs/>
                <w:snapToGrid w:val="0"/>
                <w:color w:val="auto"/>
                <w:kern w:val="0"/>
                <w:sz w:val="32"/>
                <w:szCs w:val="32"/>
                <w:lang w:val="en-US" w:eastAsia="zh-CN" w:bidi="ar-SA"/>
              </w:rPr>
              <w:t>理论考试</w:t>
            </w:r>
          </w:p>
        </w:tc>
        <w:tc>
          <w:tcPr>
            <w:tcW w:w="4571" w:type="dxa"/>
            <w:noWrap w:val="0"/>
            <w:vAlign w:val="center"/>
          </w:tcPr>
          <w:p>
            <w:pPr>
              <w:pStyle w:val="2"/>
              <w:widowControl w:val="0"/>
              <w:spacing w:line="240" w:lineRule="auto"/>
              <w:jc w:val="both"/>
              <w:rPr>
                <w:rFonts w:hint="default" w:ascii="仿宋_GB2312" w:hAnsi="Arial" w:eastAsia="仿宋_GB2312" w:cs="Calibri"/>
                <w:snapToGrid w:val="0"/>
                <w:color w:val="auto"/>
                <w:kern w:val="0"/>
                <w:sz w:val="32"/>
                <w:szCs w:val="32"/>
                <w:lang w:val="en-US" w:eastAsia="zh-CN" w:bidi="ar-SA"/>
              </w:rPr>
            </w:pPr>
            <w:r>
              <w:rPr>
                <w:rFonts w:hint="default" w:ascii="仿宋_GB2312" w:hAnsi="Arial" w:eastAsia="仿宋_GB2312" w:cs="Calibri"/>
                <w:snapToGrid w:val="0"/>
                <w:color w:val="auto"/>
                <w:kern w:val="0"/>
                <w:sz w:val="32"/>
                <w:szCs w:val="32"/>
                <w:lang w:val="en-US" w:eastAsia="zh-CN" w:bidi="ar-SA"/>
              </w:rPr>
              <w:t>出题范围为康复医学治疗技术资格考试内容，其中基础知识15%，相关专业知识15%，专业知识40%，专业实践能力30%</w:t>
            </w:r>
          </w:p>
        </w:tc>
        <w:tc>
          <w:tcPr>
            <w:tcW w:w="588" w:type="dxa"/>
            <w:noWrap w:val="0"/>
            <w:vAlign w:val="center"/>
          </w:tcPr>
          <w:p>
            <w:pPr>
              <w:pStyle w:val="2"/>
              <w:widowControl w:val="0"/>
              <w:spacing w:line="240" w:lineRule="auto"/>
              <w:jc w:val="center"/>
              <w:rPr>
                <w:rFonts w:hint="default"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40分钟</w:t>
            </w:r>
          </w:p>
        </w:tc>
        <w:tc>
          <w:tcPr>
            <w:tcW w:w="2032" w:type="dxa"/>
            <w:gridSpan w:val="2"/>
            <w:noWrap w:val="0"/>
            <w:vAlign w:val="center"/>
          </w:tcPr>
          <w:p>
            <w:pPr>
              <w:pStyle w:val="2"/>
              <w:widowControl w:val="0"/>
              <w:spacing w:line="240" w:lineRule="auto"/>
              <w:jc w:val="center"/>
              <w:rPr>
                <w:rFonts w:hint="default"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100分（占总成绩15%）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dxa"/>
            <w:vMerge w:val="restart"/>
            <w:noWrap w:val="0"/>
            <w:vAlign w:val="center"/>
          </w:tcPr>
          <w:p>
            <w:pPr>
              <w:pStyle w:val="2"/>
              <w:widowControl w:val="0"/>
              <w:spacing w:line="240" w:lineRule="auto"/>
              <w:jc w:val="center"/>
              <w:rPr>
                <w:rFonts w:hint="eastAsia" w:ascii="仿宋_GB2312" w:hAnsi="Arial" w:eastAsia="仿宋_GB2312" w:cs="Calibri"/>
                <w:b/>
                <w:bCs/>
                <w:snapToGrid w:val="0"/>
                <w:color w:val="auto"/>
                <w:kern w:val="0"/>
                <w:sz w:val="32"/>
                <w:szCs w:val="32"/>
                <w:lang w:val="en-US" w:eastAsia="zh-CN" w:bidi="ar-SA"/>
              </w:rPr>
            </w:pPr>
          </w:p>
          <w:p>
            <w:pPr>
              <w:pStyle w:val="2"/>
              <w:widowControl w:val="0"/>
              <w:spacing w:line="240" w:lineRule="auto"/>
              <w:jc w:val="center"/>
              <w:rPr>
                <w:rFonts w:hint="eastAsia" w:ascii="仿宋_GB2312" w:hAnsi="Arial" w:eastAsia="仿宋_GB2312" w:cs="Calibri"/>
                <w:b/>
                <w:bCs/>
                <w:snapToGrid w:val="0"/>
                <w:color w:val="auto"/>
                <w:kern w:val="0"/>
                <w:sz w:val="32"/>
                <w:szCs w:val="32"/>
                <w:lang w:val="en-US" w:eastAsia="zh-CN" w:bidi="ar-SA"/>
              </w:rPr>
            </w:pPr>
          </w:p>
          <w:p>
            <w:pPr>
              <w:pStyle w:val="2"/>
              <w:widowControl w:val="0"/>
              <w:spacing w:line="240" w:lineRule="auto"/>
              <w:jc w:val="center"/>
              <w:rPr>
                <w:rFonts w:hint="default" w:ascii="仿宋_GB2312" w:hAnsi="Arial" w:eastAsia="仿宋_GB2312" w:cs="Calibri"/>
                <w:b/>
                <w:bCs/>
                <w:snapToGrid w:val="0"/>
                <w:color w:val="auto"/>
                <w:kern w:val="0"/>
                <w:sz w:val="32"/>
                <w:szCs w:val="32"/>
                <w:lang w:val="en-US" w:eastAsia="zh-CN" w:bidi="ar-SA"/>
              </w:rPr>
            </w:pPr>
            <w:r>
              <w:rPr>
                <w:rFonts w:hint="eastAsia" w:ascii="仿宋_GB2312" w:hAnsi="Arial" w:eastAsia="仿宋_GB2312" w:cs="Calibri"/>
                <w:b/>
                <w:bCs/>
                <w:snapToGrid w:val="0"/>
                <w:color w:val="auto"/>
                <w:kern w:val="0"/>
                <w:sz w:val="32"/>
                <w:szCs w:val="32"/>
                <w:lang w:val="en-US" w:eastAsia="zh-CN" w:bidi="ar-SA"/>
              </w:rPr>
              <w:t>模块二</w:t>
            </w:r>
          </w:p>
        </w:tc>
        <w:tc>
          <w:tcPr>
            <w:tcW w:w="538" w:type="dxa"/>
            <w:vMerge w:val="restart"/>
            <w:noWrap w:val="0"/>
            <w:vAlign w:val="center"/>
          </w:tcPr>
          <w:p>
            <w:pPr>
              <w:pStyle w:val="2"/>
              <w:widowControl w:val="0"/>
              <w:spacing w:line="240" w:lineRule="auto"/>
              <w:jc w:val="center"/>
              <w:rPr>
                <w:rFonts w:hint="eastAsia" w:ascii="仿宋_GB2312" w:hAnsi="Arial" w:eastAsia="仿宋_GB2312" w:cs="Calibri"/>
                <w:b/>
                <w:bCs/>
                <w:snapToGrid w:val="0"/>
                <w:color w:val="auto"/>
                <w:kern w:val="0"/>
                <w:sz w:val="32"/>
                <w:szCs w:val="32"/>
                <w:lang w:val="en-US" w:eastAsia="zh-CN" w:bidi="ar-SA"/>
              </w:rPr>
            </w:pPr>
          </w:p>
          <w:p>
            <w:pPr>
              <w:pStyle w:val="2"/>
              <w:widowControl w:val="0"/>
              <w:spacing w:line="240" w:lineRule="auto"/>
              <w:jc w:val="center"/>
              <w:rPr>
                <w:rFonts w:hint="eastAsia" w:ascii="仿宋_GB2312" w:hAnsi="Arial" w:eastAsia="仿宋_GB2312" w:cs="Calibri"/>
                <w:b/>
                <w:bCs/>
                <w:snapToGrid w:val="0"/>
                <w:color w:val="auto"/>
                <w:kern w:val="0"/>
                <w:sz w:val="32"/>
                <w:szCs w:val="32"/>
                <w:lang w:val="en-US" w:eastAsia="zh-CN" w:bidi="ar-SA"/>
              </w:rPr>
            </w:pPr>
          </w:p>
          <w:p>
            <w:pPr>
              <w:pStyle w:val="2"/>
              <w:widowControl w:val="0"/>
              <w:spacing w:line="240" w:lineRule="auto"/>
              <w:jc w:val="center"/>
              <w:rPr>
                <w:rFonts w:hint="default" w:ascii="仿宋_GB2312" w:hAnsi="Arial" w:eastAsia="仿宋_GB2312" w:cs="Calibri"/>
                <w:b/>
                <w:bCs/>
                <w:snapToGrid w:val="0"/>
                <w:color w:val="auto"/>
                <w:kern w:val="0"/>
                <w:sz w:val="32"/>
                <w:szCs w:val="32"/>
                <w:lang w:val="en-US" w:eastAsia="zh-CN" w:bidi="ar-SA"/>
              </w:rPr>
            </w:pPr>
            <w:r>
              <w:rPr>
                <w:rFonts w:hint="eastAsia" w:ascii="仿宋_GB2312" w:hAnsi="Arial" w:eastAsia="仿宋_GB2312" w:cs="Calibri"/>
                <w:b/>
                <w:bCs/>
                <w:snapToGrid w:val="0"/>
                <w:color w:val="auto"/>
                <w:kern w:val="0"/>
                <w:sz w:val="32"/>
                <w:szCs w:val="32"/>
                <w:lang w:val="en-US" w:eastAsia="zh-CN" w:bidi="ar-SA"/>
              </w:rPr>
              <w:t>技能操作</w:t>
            </w:r>
          </w:p>
        </w:tc>
        <w:tc>
          <w:tcPr>
            <w:tcW w:w="538" w:type="dxa"/>
            <w:noWrap w:val="0"/>
            <w:vAlign w:val="center"/>
          </w:tcPr>
          <w:p>
            <w:pPr>
              <w:pStyle w:val="2"/>
              <w:widowControl w:val="0"/>
              <w:spacing w:line="240" w:lineRule="auto"/>
              <w:jc w:val="center"/>
              <w:rPr>
                <w:rFonts w:hint="eastAsia" w:ascii="仿宋_GB2312" w:hAnsi="Arial" w:eastAsia="仿宋_GB2312" w:cs="Calibri"/>
                <w:b/>
                <w:bCs/>
                <w:snapToGrid w:val="0"/>
                <w:color w:val="auto"/>
                <w:kern w:val="0"/>
                <w:sz w:val="32"/>
                <w:szCs w:val="32"/>
                <w:lang w:val="en-US" w:eastAsia="zh-CN" w:bidi="ar-SA"/>
              </w:rPr>
            </w:pPr>
          </w:p>
          <w:p>
            <w:pPr>
              <w:pStyle w:val="2"/>
              <w:widowControl w:val="0"/>
              <w:spacing w:line="240" w:lineRule="auto"/>
              <w:jc w:val="center"/>
              <w:rPr>
                <w:rFonts w:hint="eastAsia" w:ascii="仿宋_GB2312" w:hAnsi="Arial" w:eastAsia="仿宋_GB2312" w:cs="Calibri"/>
                <w:b/>
                <w:bCs/>
                <w:snapToGrid w:val="0"/>
                <w:color w:val="auto"/>
                <w:kern w:val="0"/>
                <w:sz w:val="32"/>
                <w:szCs w:val="32"/>
                <w:lang w:val="en-US" w:eastAsia="zh-CN" w:bidi="ar-SA"/>
              </w:rPr>
            </w:pPr>
          </w:p>
          <w:p>
            <w:pPr>
              <w:pStyle w:val="2"/>
              <w:widowControl w:val="0"/>
              <w:spacing w:line="240" w:lineRule="auto"/>
              <w:jc w:val="center"/>
              <w:rPr>
                <w:rFonts w:hint="default" w:ascii="仿宋_GB2312" w:hAnsi="Arial" w:eastAsia="仿宋_GB2312" w:cs="Calibri"/>
                <w:b/>
                <w:bCs/>
                <w:snapToGrid w:val="0"/>
                <w:color w:val="auto"/>
                <w:kern w:val="0"/>
                <w:sz w:val="32"/>
                <w:szCs w:val="32"/>
                <w:lang w:val="en-US" w:eastAsia="zh-CN" w:bidi="ar-SA"/>
              </w:rPr>
            </w:pPr>
            <w:r>
              <w:rPr>
                <w:rFonts w:hint="eastAsia" w:ascii="仿宋_GB2312" w:hAnsi="Arial" w:eastAsia="仿宋_GB2312" w:cs="Calibri"/>
                <w:b/>
                <w:bCs/>
                <w:snapToGrid w:val="0"/>
                <w:color w:val="auto"/>
                <w:kern w:val="0"/>
                <w:sz w:val="32"/>
                <w:szCs w:val="32"/>
                <w:lang w:val="en-US" w:eastAsia="zh-CN" w:bidi="ar-SA"/>
              </w:rPr>
              <w:t>问诊</w:t>
            </w:r>
          </w:p>
        </w:tc>
        <w:tc>
          <w:tcPr>
            <w:tcW w:w="4571" w:type="dxa"/>
            <w:noWrap w:val="0"/>
            <w:vAlign w:val="top"/>
          </w:tcPr>
          <w:p>
            <w:pPr>
              <w:pStyle w:val="2"/>
              <w:widowControl w:val="0"/>
              <w:spacing w:line="240" w:lineRule="auto"/>
              <w:jc w:val="both"/>
              <w:rPr>
                <w:rFonts w:hint="eastAsia"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任务：查阅病历、询问病史、与患者交流，了解病情。</w:t>
            </w:r>
          </w:p>
          <w:p>
            <w:pPr>
              <w:pStyle w:val="2"/>
              <w:widowControl w:val="0"/>
              <w:spacing w:line="240" w:lineRule="auto"/>
              <w:jc w:val="both"/>
              <w:rPr>
                <w:rFonts w:hint="eastAsia"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技能操作要求：</w:t>
            </w:r>
          </w:p>
          <w:p>
            <w:pPr>
              <w:pStyle w:val="2"/>
              <w:widowControl w:val="0"/>
              <w:spacing w:line="240" w:lineRule="auto"/>
              <w:jc w:val="both"/>
              <w:rPr>
                <w:rFonts w:hint="eastAsia" w:ascii="仿宋_GB2312" w:hAnsi="Arial" w:eastAsia="仿宋_GB2312" w:cs="Calibri"/>
                <w:snapToGrid w:val="0"/>
                <w:color w:val="auto"/>
                <w:kern w:val="0"/>
                <w:sz w:val="32"/>
                <w:szCs w:val="32"/>
                <w:lang w:val="en-US" w:eastAsia="zh-CN" w:bidi="ar-SA"/>
              </w:rPr>
            </w:pPr>
            <w:r>
              <w:rPr>
                <w:rFonts w:hint="default" w:ascii="仿宋_GB2312" w:hAnsi="Arial" w:eastAsia="仿宋_GB2312" w:cs="Calibri"/>
                <w:snapToGrid w:val="0"/>
                <w:color w:val="auto"/>
                <w:kern w:val="0"/>
                <w:sz w:val="32"/>
                <w:szCs w:val="32"/>
                <w:lang w:val="en-US" w:eastAsia="zh-CN" w:bidi="ar-SA"/>
              </w:rPr>
              <w:t>1.仪表大方，举止端庄，修饰着装整洁</w:t>
            </w:r>
            <w:r>
              <w:rPr>
                <w:rFonts w:hint="eastAsia" w:ascii="仿宋_GB2312" w:hAnsi="Arial" w:eastAsia="仿宋_GB2312" w:cs="Calibri"/>
                <w:snapToGrid w:val="0"/>
                <w:color w:val="auto"/>
                <w:kern w:val="0"/>
                <w:sz w:val="32"/>
                <w:szCs w:val="32"/>
                <w:lang w:val="en-US" w:eastAsia="zh-CN" w:bidi="ar-SA"/>
              </w:rPr>
              <w:t>。</w:t>
            </w:r>
          </w:p>
          <w:p>
            <w:pPr>
              <w:pStyle w:val="2"/>
              <w:widowControl w:val="0"/>
              <w:spacing w:line="240" w:lineRule="auto"/>
              <w:jc w:val="both"/>
              <w:rPr>
                <w:rFonts w:hint="eastAsia" w:ascii="仿宋_GB2312" w:hAnsi="Arial" w:eastAsia="仿宋_GB2312" w:cs="Calibri"/>
                <w:snapToGrid w:val="0"/>
                <w:color w:val="auto"/>
                <w:kern w:val="0"/>
                <w:sz w:val="32"/>
                <w:szCs w:val="32"/>
                <w:lang w:val="en-US" w:eastAsia="zh-CN" w:bidi="ar-SA"/>
              </w:rPr>
            </w:pPr>
            <w:r>
              <w:rPr>
                <w:rFonts w:hint="default" w:ascii="仿宋_GB2312" w:hAnsi="Arial" w:eastAsia="仿宋_GB2312" w:cs="Calibri"/>
                <w:snapToGrid w:val="0"/>
                <w:color w:val="auto"/>
                <w:kern w:val="0"/>
                <w:sz w:val="32"/>
                <w:szCs w:val="32"/>
                <w:lang w:val="en-US" w:eastAsia="zh-CN" w:bidi="ar-SA"/>
              </w:rPr>
              <w:t>2.了解患者病情病史、功能障碍情况、情绪、合作程度、有无治疗禁忌证等</w:t>
            </w:r>
            <w:r>
              <w:rPr>
                <w:rFonts w:hint="eastAsia" w:ascii="仿宋_GB2312" w:hAnsi="Arial" w:eastAsia="仿宋_GB2312" w:cs="Calibri"/>
                <w:snapToGrid w:val="0"/>
                <w:color w:val="auto"/>
                <w:kern w:val="0"/>
                <w:sz w:val="32"/>
                <w:szCs w:val="32"/>
                <w:lang w:val="en-US" w:eastAsia="zh-CN" w:bidi="ar-SA"/>
              </w:rPr>
              <w:t>。</w:t>
            </w:r>
          </w:p>
          <w:p>
            <w:pPr>
              <w:pStyle w:val="2"/>
              <w:widowControl w:val="0"/>
              <w:spacing w:line="240" w:lineRule="auto"/>
              <w:jc w:val="both"/>
              <w:rPr>
                <w:rFonts w:hint="default" w:ascii="仿宋_GB2312" w:hAnsi="Arial" w:eastAsia="仿宋_GB2312" w:cs="Calibri"/>
                <w:snapToGrid w:val="0"/>
                <w:color w:val="auto"/>
                <w:kern w:val="0"/>
                <w:sz w:val="32"/>
                <w:szCs w:val="32"/>
                <w:lang w:val="en-US" w:eastAsia="zh-CN" w:bidi="ar-SA"/>
              </w:rPr>
            </w:pPr>
            <w:r>
              <w:rPr>
                <w:rFonts w:hint="default" w:ascii="仿宋_GB2312" w:hAnsi="Arial" w:eastAsia="仿宋_GB2312" w:cs="Calibri"/>
                <w:snapToGrid w:val="0"/>
                <w:color w:val="auto"/>
                <w:kern w:val="0"/>
                <w:sz w:val="32"/>
                <w:szCs w:val="32"/>
                <w:lang w:val="en-US" w:eastAsia="zh-CN" w:bidi="ar-SA"/>
              </w:rPr>
              <w:t>3.问诊全面准确，重点突出</w:t>
            </w:r>
            <w:r>
              <w:rPr>
                <w:rFonts w:hint="eastAsia" w:ascii="仿宋_GB2312" w:hAnsi="Arial" w:eastAsia="仿宋_GB2312" w:cs="Calibri"/>
                <w:snapToGrid w:val="0"/>
                <w:color w:val="auto"/>
                <w:kern w:val="0"/>
                <w:sz w:val="32"/>
                <w:szCs w:val="32"/>
                <w:lang w:val="en-US" w:eastAsia="zh-CN" w:bidi="ar-SA"/>
              </w:rPr>
              <w:t>。</w:t>
            </w:r>
          </w:p>
          <w:p>
            <w:pPr>
              <w:pStyle w:val="2"/>
              <w:widowControl w:val="0"/>
              <w:spacing w:line="240" w:lineRule="auto"/>
              <w:jc w:val="both"/>
              <w:rPr>
                <w:rFonts w:hint="default" w:ascii="仿宋_GB2312" w:hAnsi="Arial" w:eastAsia="仿宋_GB2312" w:cs="Calibri"/>
                <w:snapToGrid w:val="0"/>
                <w:color w:val="auto"/>
                <w:kern w:val="0"/>
                <w:sz w:val="32"/>
                <w:szCs w:val="32"/>
                <w:lang w:val="en-US" w:eastAsia="zh-CN" w:bidi="ar-SA"/>
              </w:rPr>
            </w:pPr>
            <w:r>
              <w:rPr>
                <w:rFonts w:hint="default" w:ascii="仿宋_GB2312" w:hAnsi="Arial" w:eastAsia="仿宋_GB2312" w:cs="Calibri"/>
                <w:snapToGrid w:val="0"/>
                <w:color w:val="auto"/>
                <w:kern w:val="0"/>
                <w:sz w:val="32"/>
                <w:szCs w:val="32"/>
                <w:lang w:val="en-US" w:eastAsia="zh-CN" w:bidi="ar-SA"/>
              </w:rPr>
              <w:t>4.与患者沟通语言规范，态度和蔼，关心患者</w:t>
            </w:r>
            <w:r>
              <w:rPr>
                <w:rFonts w:hint="eastAsia" w:ascii="仿宋_GB2312" w:hAnsi="Arial" w:eastAsia="仿宋_GB2312" w:cs="Calibri"/>
                <w:snapToGrid w:val="0"/>
                <w:color w:val="auto"/>
                <w:kern w:val="0"/>
                <w:sz w:val="32"/>
                <w:szCs w:val="32"/>
                <w:lang w:val="en-US" w:eastAsia="zh-CN" w:bidi="ar-SA"/>
              </w:rPr>
              <w:t>。</w:t>
            </w:r>
          </w:p>
        </w:tc>
        <w:tc>
          <w:tcPr>
            <w:tcW w:w="588" w:type="dxa"/>
            <w:vMerge w:val="restart"/>
            <w:noWrap w:val="0"/>
            <w:vAlign w:val="center"/>
          </w:tcPr>
          <w:p>
            <w:pPr>
              <w:pStyle w:val="2"/>
              <w:widowControl w:val="0"/>
              <w:spacing w:line="240" w:lineRule="auto"/>
              <w:jc w:val="center"/>
              <w:rPr>
                <w:rFonts w:hint="default"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20分钟</w:t>
            </w:r>
          </w:p>
        </w:tc>
        <w:tc>
          <w:tcPr>
            <w:tcW w:w="1016" w:type="dxa"/>
            <w:noWrap w:val="0"/>
            <w:vAlign w:val="center"/>
          </w:tcPr>
          <w:p>
            <w:pPr>
              <w:pStyle w:val="2"/>
              <w:widowControl w:val="0"/>
              <w:spacing w:line="240" w:lineRule="auto"/>
              <w:jc w:val="center"/>
              <w:rPr>
                <w:rFonts w:hint="default"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100分（占技能操作20%）</w:t>
            </w:r>
          </w:p>
        </w:tc>
        <w:tc>
          <w:tcPr>
            <w:tcW w:w="1016" w:type="dxa"/>
            <w:vMerge w:val="restart"/>
            <w:noWrap w:val="0"/>
            <w:vAlign w:val="center"/>
          </w:tcPr>
          <w:p>
            <w:pPr>
              <w:pStyle w:val="2"/>
              <w:widowControl w:val="0"/>
              <w:spacing w:line="240" w:lineRule="auto"/>
              <w:jc w:val="both"/>
              <w:rPr>
                <w:rFonts w:hint="default"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100分（占总成绩85%）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dxa"/>
            <w:vMerge w:val="continue"/>
            <w:noWrap w:val="0"/>
            <w:vAlign w:val="top"/>
          </w:tcPr>
          <w:p>
            <w:pPr>
              <w:pStyle w:val="2"/>
              <w:widowControl w:val="0"/>
              <w:spacing w:line="240" w:lineRule="auto"/>
              <w:jc w:val="center"/>
              <w:rPr>
                <w:rFonts w:hint="default" w:ascii="仿宋_GB2312" w:hAnsi="Arial" w:eastAsia="仿宋_GB2312" w:cs="Calibri"/>
                <w:snapToGrid w:val="0"/>
                <w:color w:val="auto"/>
                <w:kern w:val="0"/>
                <w:sz w:val="32"/>
                <w:szCs w:val="32"/>
                <w:lang w:val="en-US" w:eastAsia="zh-CN" w:bidi="ar-SA"/>
              </w:rPr>
            </w:pPr>
          </w:p>
        </w:tc>
        <w:tc>
          <w:tcPr>
            <w:tcW w:w="538" w:type="dxa"/>
            <w:vMerge w:val="continue"/>
            <w:noWrap w:val="0"/>
            <w:vAlign w:val="top"/>
          </w:tcPr>
          <w:p>
            <w:pPr>
              <w:pStyle w:val="2"/>
              <w:widowControl w:val="0"/>
              <w:spacing w:line="240" w:lineRule="auto"/>
              <w:jc w:val="center"/>
              <w:rPr>
                <w:rFonts w:hint="default" w:ascii="仿宋_GB2312" w:hAnsi="Arial" w:eastAsia="仿宋_GB2312" w:cs="Calibri"/>
                <w:snapToGrid w:val="0"/>
                <w:color w:val="auto"/>
                <w:kern w:val="0"/>
                <w:sz w:val="32"/>
                <w:szCs w:val="32"/>
                <w:lang w:val="en-US" w:eastAsia="zh-CN" w:bidi="ar-SA"/>
              </w:rPr>
            </w:pPr>
          </w:p>
        </w:tc>
        <w:tc>
          <w:tcPr>
            <w:tcW w:w="538" w:type="dxa"/>
            <w:noWrap w:val="0"/>
            <w:vAlign w:val="center"/>
          </w:tcPr>
          <w:p>
            <w:pPr>
              <w:pStyle w:val="2"/>
              <w:widowControl w:val="0"/>
              <w:spacing w:line="240" w:lineRule="auto"/>
              <w:jc w:val="center"/>
              <w:rPr>
                <w:rFonts w:hint="default" w:ascii="仿宋_GB2312" w:hAnsi="Arial" w:eastAsia="仿宋_GB2312" w:cs="Calibri"/>
                <w:b/>
                <w:bCs/>
                <w:snapToGrid w:val="0"/>
                <w:color w:val="auto"/>
                <w:kern w:val="0"/>
                <w:sz w:val="32"/>
                <w:szCs w:val="32"/>
                <w:lang w:val="en-US" w:eastAsia="zh-CN" w:bidi="ar-SA"/>
              </w:rPr>
            </w:pPr>
            <w:r>
              <w:rPr>
                <w:rFonts w:hint="eastAsia" w:ascii="仿宋_GB2312" w:hAnsi="Arial" w:eastAsia="仿宋_GB2312" w:cs="Calibri"/>
                <w:b/>
                <w:bCs/>
                <w:snapToGrid w:val="0"/>
                <w:color w:val="auto"/>
                <w:kern w:val="0"/>
                <w:sz w:val="32"/>
                <w:szCs w:val="32"/>
                <w:lang w:val="en-US" w:eastAsia="zh-CN" w:bidi="ar-SA"/>
              </w:rPr>
              <w:t>评定</w:t>
            </w:r>
          </w:p>
        </w:tc>
        <w:tc>
          <w:tcPr>
            <w:tcW w:w="4571" w:type="dxa"/>
            <w:noWrap w:val="0"/>
            <w:vAlign w:val="top"/>
          </w:tcPr>
          <w:p>
            <w:pPr>
              <w:pStyle w:val="2"/>
              <w:widowControl w:val="0"/>
              <w:spacing w:line="240" w:lineRule="auto"/>
              <w:jc w:val="both"/>
              <w:rPr>
                <w:rFonts w:hint="eastAsia"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任务一：评估前准备（仪表、沟通、物品准备）</w:t>
            </w:r>
          </w:p>
          <w:p>
            <w:pPr>
              <w:pStyle w:val="2"/>
              <w:widowControl w:val="0"/>
              <w:spacing w:line="240" w:lineRule="auto"/>
              <w:jc w:val="both"/>
              <w:rPr>
                <w:rFonts w:hint="eastAsia"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技能操作要求：</w:t>
            </w:r>
          </w:p>
          <w:p>
            <w:pPr>
              <w:pStyle w:val="2"/>
              <w:widowControl w:val="0"/>
              <w:spacing w:line="240" w:lineRule="auto"/>
              <w:jc w:val="both"/>
              <w:rPr>
                <w:rFonts w:hint="eastAsia"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1.仪表：仪表大方，举止端庄，修饰着装整洁。</w:t>
            </w:r>
          </w:p>
          <w:p>
            <w:pPr>
              <w:pStyle w:val="2"/>
              <w:widowControl w:val="0"/>
              <w:spacing w:line="240" w:lineRule="auto"/>
              <w:jc w:val="both"/>
              <w:rPr>
                <w:rFonts w:hint="eastAsia"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2.沟通：向患者讲明康复评定的意义，将要采取的评估方法和注意事项等。</w:t>
            </w:r>
          </w:p>
          <w:p>
            <w:pPr>
              <w:pStyle w:val="2"/>
              <w:widowControl w:val="0"/>
              <w:spacing w:line="240" w:lineRule="auto"/>
              <w:jc w:val="both"/>
              <w:rPr>
                <w:rFonts w:hint="eastAsia"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3.物品准备：正确选择、摆放评定工具或量表。</w:t>
            </w:r>
          </w:p>
          <w:p>
            <w:pPr>
              <w:pStyle w:val="2"/>
              <w:widowControl w:val="0"/>
              <w:spacing w:line="240" w:lineRule="auto"/>
              <w:jc w:val="both"/>
              <w:rPr>
                <w:rFonts w:hint="eastAsia"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任务二：规范进行评估操作（患者体位、治疗师体位、操作方法、反应观察）</w:t>
            </w:r>
          </w:p>
          <w:p>
            <w:pPr>
              <w:pStyle w:val="2"/>
              <w:widowControl w:val="0"/>
              <w:spacing w:line="240" w:lineRule="auto"/>
              <w:jc w:val="both"/>
              <w:rPr>
                <w:rFonts w:hint="eastAsia"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技能操作要求</w:t>
            </w:r>
          </w:p>
          <w:p>
            <w:pPr>
              <w:pStyle w:val="2"/>
              <w:widowControl w:val="0"/>
              <w:spacing w:line="240" w:lineRule="auto"/>
              <w:jc w:val="both"/>
              <w:rPr>
                <w:rFonts w:hint="eastAsia"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1.患者体位：正确、安全、舒适、便于配合操作。</w:t>
            </w:r>
          </w:p>
          <w:p>
            <w:pPr>
              <w:pStyle w:val="2"/>
              <w:widowControl w:val="0"/>
              <w:spacing w:line="240" w:lineRule="auto"/>
              <w:jc w:val="both"/>
              <w:rPr>
                <w:rFonts w:hint="eastAsia"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2.治疗师体位：舒适、安全、省力、便于操作。</w:t>
            </w:r>
          </w:p>
          <w:p>
            <w:pPr>
              <w:pStyle w:val="2"/>
              <w:widowControl w:val="0"/>
              <w:spacing w:line="240" w:lineRule="auto"/>
              <w:jc w:val="both"/>
              <w:rPr>
                <w:rFonts w:hint="eastAsia"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3.操作方法：动作标准、规范、娴熟、准确、稳重、有序。</w:t>
            </w:r>
          </w:p>
          <w:p>
            <w:pPr>
              <w:pStyle w:val="2"/>
              <w:widowControl w:val="0"/>
              <w:spacing w:line="240" w:lineRule="auto"/>
              <w:jc w:val="both"/>
              <w:rPr>
                <w:rFonts w:hint="eastAsia"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4.口令交流：明确、简介、规范、高效。</w:t>
            </w:r>
          </w:p>
          <w:p>
            <w:pPr>
              <w:pStyle w:val="2"/>
              <w:widowControl w:val="0"/>
              <w:spacing w:line="240" w:lineRule="auto"/>
              <w:jc w:val="both"/>
              <w:rPr>
                <w:rFonts w:hint="eastAsia"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5.反应观察：随时观察、询问操作反应，及时调整或停止操作。</w:t>
            </w:r>
          </w:p>
          <w:p>
            <w:pPr>
              <w:pStyle w:val="2"/>
              <w:widowControl w:val="0"/>
              <w:spacing w:line="240" w:lineRule="auto"/>
              <w:jc w:val="both"/>
              <w:rPr>
                <w:rFonts w:hint="eastAsia"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项目任务三：评估后准备做出评定结论。</w:t>
            </w:r>
          </w:p>
          <w:p>
            <w:pPr>
              <w:pStyle w:val="2"/>
              <w:widowControl w:val="0"/>
              <w:spacing w:line="240" w:lineRule="auto"/>
              <w:jc w:val="both"/>
              <w:rPr>
                <w:rFonts w:hint="eastAsia"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技能操作要求</w:t>
            </w:r>
          </w:p>
          <w:p>
            <w:pPr>
              <w:pStyle w:val="2"/>
              <w:widowControl w:val="0"/>
              <w:spacing w:line="240" w:lineRule="auto"/>
              <w:jc w:val="both"/>
              <w:rPr>
                <w:rFonts w:hint="default" w:ascii="仿宋_GB2312" w:hAnsi="Arial" w:eastAsia="仿宋_GB2312" w:cs="Calibri"/>
                <w:snapToGrid w:val="0"/>
                <w:color w:val="auto"/>
                <w:kern w:val="0"/>
                <w:sz w:val="32"/>
                <w:szCs w:val="32"/>
                <w:lang w:val="en-US" w:eastAsia="zh-CN" w:bidi="ar-SA"/>
              </w:rPr>
            </w:pPr>
            <w:r>
              <w:rPr>
                <w:rFonts w:hint="default" w:ascii="仿宋_GB2312" w:hAnsi="Arial" w:eastAsia="仿宋_GB2312" w:cs="Calibri"/>
                <w:snapToGrid w:val="0"/>
                <w:color w:val="auto"/>
                <w:kern w:val="0"/>
                <w:sz w:val="32"/>
                <w:szCs w:val="32"/>
                <w:lang w:val="en-US" w:eastAsia="zh-CN" w:bidi="ar-SA"/>
              </w:rPr>
              <w:t>1.能根据检查评估的情况对患者作出正确的功能评定结论</w:t>
            </w:r>
            <w:r>
              <w:rPr>
                <w:rFonts w:hint="eastAsia" w:ascii="仿宋_GB2312" w:hAnsi="Arial" w:eastAsia="仿宋_GB2312" w:cs="Calibri"/>
                <w:snapToGrid w:val="0"/>
                <w:color w:val="auto"/>
                <w:kern w:val="0"/>
                <w:sz w:val="32"/>
                <w:szCs w:val="32"/>
                <w:lang w:val="en-US" w:eastAsia="zh-CN" w:bidi="ar-SA"/>
              </w:rPr>
              <w:t>。</w:t>
            </w:r>
          </w:p>
          <w:p>
            <w:pPr>
              <w:pStyle w:val="2"/>
              <w:widowControl w:val="0"/>
              <w:spacing w:line="240" w:lineRule="auto"/>
              <w:jc w:val="both"/>
              <w:rPr>
                <w:rFonts w:hint="default" w:ascii="仿宋_GB2312" w:hAnsi="Arial" w:eastAsia="仿宋_GB2312" w:cs="Calibri"/>
                <w:snapToGrid w:val="0"/>
                <w:color w:val="auto"/>
                <w:kern w:val="0"/>
                <w:sz w:val="32"/>
                <w:szCs w:val="32"/>
                <w:lang w:val="en-US" w:eastAsia="zh-CN" w:bidi="ar-SA"/>
              </w:rPr>
            </w:pPr>
            <w:r>
              <w:rPr>
                <w:rFonts w:hint="default" w:ascii="仿宋_GB2312" w:hAnsi="Arial" w:eastAsia="仿宋_GB2312" w:cs="Calibri"/>
                <w:snapToGrid w:val="0"/>
                <w:color w:val="auto"/>
                <w:kern w:val="0"/>
                <w:sz w:val="32"/>
                <w:szCs w:val="32"/>
                <w:lang w:val="en-US" w:eastAsia="zh-CN" w:bidi="ar-SA"/>
              </w:rPr>
              <w:t>2.评定结束后整理用物</w:t>
            </w:r>
            <w:r>
              <w:rPr>
                <w:rFonts w:hint="eastAsia" w:ascii="仿宋_GB2312" w:hAnsi="Arial" w:eastAsia="仿宋_GB2312" w:cs="Calibri"/>
                <w:snapToGrid w:val="0"/>
                <w:color w:val="auto"/>
                <w:kern w:val="0"/>
                <w:sz w:val="32"/>
                <w:szCs w:val="32"/>
                <w:lang w:val="en-US" w:eastAsia="zh-CN" w:bidi="ar-SA"/>
              </w:rPr>
              <w:t>。</w:t>
            </w:r>
          </w:p>
        </w:tc>
        <w:tc>
          <w:tcPr>
            <w:tcW w:w="588" w:type="dxa"/>
            <w:vMerge w:val="continue"/>
            <w:noWrap w:val="0"/>
            <w:vAlign w:val="top"/>
          </w:tcPr>
          <w:p>
            <w:pPr>
              <w:pStyle w:val="2"/>
              <w:widowControl w:val="0"/>
              <w:spacing w:line="240" w:lineRule="auto"/>
              <w:jc w:val="center"/>
              <w:rPr>
                <w:rFonts w:hint="default" w:ascii="仿宋_GB2312" w:hAnsi="Arial" w:eastAsia="仿宋_GB2312" w:cs="Calibri"/>
                <w:snapToGrid w:val="0"/>
                <w:color w:val="auto"/>
                <w:kern w:val="0"/>
                <w:sz w:val="32"/>
                <w:szCs w:val="32"/>
                <w:lang w:val="en-US" w:eastAsia="zh-CN" w:bidi="ar-SA"/>
              </w:rPr>
            </w:pPr>
          </w:p>
        </w:tc>
        <w:tc>
          <w:tcPr>
            <w:tcW w:w="1016" w:type="dxa"/>
            <w:noWrap w:val="0"/>
            <w:vAlign w:val="center"/>
          </w:tcPr>
          <w:p>
            <w:pPr>
              <w:pStyle w:val="2"/>
              <w:widowControl w:val="0"/>
              <w:spacing w:line="240" w:lineRule="auto"/>
              <w:jc w:val="center"/>
              <w:rPr>
                <w:rFonts w:hint="default"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100分（占技能操作35%）</w:t>
            </w:r>
          </w:p>
        </w:tc>
        <w:tc>
          <w:tcPr>
            <w:tcW w:w="1016" w:type="dxa"/>
            <w:vMerge w:val="continue"/>
            <w:noWrap w:val="0"/>
            <w:vAlign w:val="top"/>
          </w:tcPr>
          <w:p>
            <w:pPr>
              <w:pStyle w:val="2"/>
              <w:widowControl w:val="0"/>
              <w:spacing w:line="240" w:lineRule="auto"/>
              <w:jc w:val="both"/>
              <w:rPr>
                <w:rFonts w:hint="default" w:ascii="仿宋_GB2312" w:hAnsi="Arial" w:eastAsia="仿宋_GB2312" w:cs="Calibri"/>
                <w:snapToGrid w:val="0"/>
                <w:color w:val="auto"/>
                <w:kern w:val="0"/>
                <w:sz w:val="32"/>
                <w:szCs w:val="32"/>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dxa"/>
            <w:vMerge w:val="continue"/>
            <w:noWrap w:val="0"/>
            <w:vAlign w:val="top"/>
          </w:tcPr>
          <w:p>
            <w:pPr>
              <w:pStyle w:val="2"/>
              <w:widowControl w:val="0"/>
              <w:spacing w:line="240" w:lineRule="auto"/>
              <w:jc w:val="center"/>
              <w:rPr>
                <w:rFonts w:hint="default" w:ascii="仿宋_GB2312" w:hAnsi="Arial" w:eastAsia="仿宋_GB2312" w:cs="Calibri"/>
                <w:snapToGrid w:val="0"/>
                <w:color w:val="auto"/>
                <w:kern w:val="0"/>
                <w:sz w:val="32"/>
                <w:szCs w:val="32"/>
                <w:lang w:val="en-US" w:eastAsia="zh-CN" w:bidi="ar-SA"/>
              </w:rPr>
            </w:pPr>
          </w:p>
        </w:tc>
        <w:tc>
          <w:tcPr>
            <w:tcW w:w="538" w:type="dxa"/>
            <w:vMerge w:val="continue"/>
            <w:noWrap w:val="0"/>
            <w:vAlign w:val="top"/>
          </w:tcPr>
          <w:p>
            <w:pPr>
              <w:pStyle w:val="2"/>
              <w:widowControl w:val="0"/>
              <w:spacing w:line="240" w:lineRule="auto"/>
              <w:jc w:val="center"/>
              <w:rPr>
                <w:rFonts w:hint="default" w:ascii="仿宋_GB2312" w:hAnsi="Arial" w:eastAsia="仿宋_GB2312" w:cs="Calibri"/>
                <w:snapToGrid w:val="0"/>
                <w:color w:val="auto"/>
                <w:kern w:val="0"/>
                <w:sz w:val="32"/>
                <w:szCs w:val="32"/>
                <w:lang w:val="en-US" w:eastAsia="zh-CN" w:bidi="ar-SA"/>
              </w:rPr>
            </w:pPr>
          </w:p>
        </w:tc>
        <w:tc>
          <w:tcPr>
            <w:tcW w:w="538" w:type="dxa"/>
            <w:noWrap w:val="0"/>
            <w:vAlign w:val="center"/>
          </w:tcPr>
          <w:p>
            <w:pPr>
              <w:pStyle w:val="2"/>
              <w:widowControl w:val="0"/>
              <w:spacing w:line="240" w:lineRule="auto"/>
              <w:jc w:val="center"/>
              <w:rPr>
                <w:rFonts w:hint="default" w:ascii="仿宋_GB2312" w:hAnsi="Arial" w:eastAsia="仿宋_GB2312" w:cs="Calibri"/>
                <w:b/>
                <w:bCs/>
                <w:snapToGrid w:val="0"/>
                <w:color w:val="auto"/>
                <w:kern w:val="0"/>
                <w:sz w:val="32"/>
                <w:szCs w:val="32"/>
                <w:lang w:val="en-US" w:eastAsia="zh-CN" w:bidi="ar-SA"/>
              </w:rPr>
            </w:pPr>
            <w:r>
              <w:rPr>
                <w:rFonts w:hint="eastAsia" w:ascii="仿宋_GB2312" w:hAnsi="Arial" w:eastAsia="仿宋_GB2312" w:cs="Calibri"/>
                <w:b/>
                <w:bCs/>
                <w:snapToGrid w:val="0"/>
                <w:color w:val="auto"/>
                <w:kern w:val="0"/>
                <w:sz w:val="32"/>
                <w:szCs w:val="32"/>
                <w:lang w:val="en-US" w:eastAsia="zh-CN" w:bidi="ar-SA"/>
              </w:rPr>
              <w:t>治疗</w:t>
            </w:r>
          </w:p>
        </w:tc>
        <w:tc>
          <w:tcPr>
            <w:tcW w:w="4571" w:type="dxa"/>
            <w:noWrap w:val="0"/>
            <w:vAlign w:val="top"/>
          </w:tcPr>
          <w:p>
            <w:pPr>
              <w:pStyle w:val="2"/>
              <w:widowControl w:val="0"/>
              <w:spacing w:line="240" w:lineRule="auto"/>
              <w:jc w:val="both"/>
              <w:rPr>
                <w:rFonts w:hint="eastAsia"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任务一：治疗操作前准备（仪表、沟通、物品准备）</w:t>
            </w:r>
          </w:p>
          <w:p>
            <w:pPr>
              <w:pStyle w:val="2"/>
              <w:widowControl w:val="0"/>
              <w:spacing w:line="240" w:lineRule="auto"/>
              <w:jc w:val="both"/>
              <w:rPr>
                <w:rFonts w:hint="eastAsia"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技能操作要求</w:t>
            </w:r>
          </w:p>
          <w:p>
            <w:pPr>
              <w:pStyle w:val="2"/>
              <w:widowControl w:val="0"/>
              <w:spacing w:line="240" w:lineRule="auto"/>
              <w:jc w:val="both"/>
              <w:rPr>
                <w:rFonts w:hint="eastAsia"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1.仪表:仪表大方，举止端庄，修饰着装整洁。</w:t>
            </w:r>
          </w:p>
          <w:p>
            <w:pPr>
              <w:pStyle w:val="2"/>
              <w:widowControl w:val="0"/>
              <w:spacing w:line="240" w:lineRule="auto"/>
              <w:jc w:val="both"/>
              <w:rPr>
                <w:rFonts w:hint="eastAsia"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2.沟通:向患者讲明康复治疗的意义、将要采取的康复治疗措施和作用、注意事项等</w:t>
            </w:r>
          </w:p>
          <w:p>
            <w:pPr>
              <w:pStyle w:val="2"/>
              <w:widowControl w:val="0"/>
              <w:spacing w:line="240" w:lineRule="auto"/>
              <w:jc w:val="both"/>
              <w:rPr>
                <w:rFonts w:hint="eastAsia"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3.物品准备:正确选择、摆放治疗设备和工具。</w:t>
            </w:r>
          </w:p>
          <w:p>
            <w:pPr>
              <w:pStyle w:val="2"/>
              <w:widowControl w:val="0"/>
              <w:spacing w:line="240" w:lineRule="auto"/>
              <w:jc w:val="both"/>
              <w:rPr>
                <w:rFonts w:hint="eastAsia"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任务二：规范进行治疗操作（患者体位、治疗师体位、操作方法、口令交流、反应观察）</w:t>
            </w:r>
          </w:p>
          <w:p>
            <w:pPr>
              <w:pStyle w:val="2"/>
              <w:widowControl w:val="0"/>
              <w:spacing w:line="240" w:lineRule="auto"/>
              <w:jc w:val="both"/>
              <w:rPr>
                <w:rFonts w:hint="eastAsia"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技能操作要求</w:t>
            </w:r>
          </w:p>
          <w:p>
            <w:pPr>
              <w:pStyle w:val="2"/>
              <w:widowControl w:val="0"/>
              <w:spacing w:line="240" w:lineRule="auto"/>
              <w:jc w:val="both"/>
              <w:rPr>
                <w:rFonts w:hint="eastAsia"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1.患者体位:正确、安全、舒适、便于配合操作;</w:t>
            </w:r>
          </w:p>
          <w:p>
            <w:pPr>
              <w:pStyle w:val="2"/>
              <w:widowControl w:val="0"/>
              <w:spacing w:line="240" w:lineRule="auto"/>
              <w:jc w:val="both"/>
              <w:rPr>
                <w:rFonts w:hint="eastAsia"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2.治疗师体位:舒适、安全、省力、便于操作;</w:t>
            </w:r>
          </w:p>
          <w:p>
            <w:pPr>
              <w:pStyle w:val="2"/>
              <w:widowControl w:val="0"/>
              <w:spacing w:line="240" w:lineRule="auto"/>
              <w:jc w:val="both"/>
              <w:rPr>
                <w:rFonts w:hint="eastAsia"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3.操作方法:操作手法正确、规范、有效，角度、力度适宜，过程熟练;</w:t>
            </w:r>
          </w:p>
          <w:p>
            <w:pPr>
              <w:pStyle w:val="2"/>
              <w:widowControl w:val="0"/>
              <w:spacing w:line="240" w:lineRule="auto"/>
              <w:jc w:val="both"/>
              <w:rPr>
                <w:rFonts w:hint="eastAsia"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4.口令交流:明确、简洁、规范、高效;</w:t>
            </w:r>
          </w:p>
          <w:p>
            <w:pPr>
              <w:pStyle w:val="2"/>
              <w:widowControl w:val="0"/>
              <w:spacing w:line="240" w:lineRule="auto"/>
              <w:jc w:val="both"/>
              <w:rPr>
                <w:rFonts w:hint="eastAsia"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5.反应观察:随时观察、询问操作反应，及时调整或停止操作。</w:t>
            </w:r>
          </w:p>
          <w:p>
            <w:pPr>
              <w:pStyle w:val="2"/>
              <w:widowControl w:val="0"/>
              <w:spacing w:line="240" w:lineRule="auto"/>
              <w:jc w:val="both"/>
              <w:rPr>
                <w:rFonts w:hint="eastAsia"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任务三：治疗操作后进行治疗评价，健康宣教，整理用物。</w:t>
            </w:r>
          </w:p>
          <w:p>
            <w:pPr>
              <w:pStyle w:val="2"/>
              <w:widowControl w:val="0"/>
              <w:spacing w:line="240" w:lineRule="auto"/>
              <w:jc w:val="both"/>
              <w:rPr>
                <w:rFonts w:hint="eastAsia"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技能操作要求:</w:t>
            </w:r>
          </w:p>
          <w:p>
            <w:pPr>
              <w:pStyle w:val="2"/>
              <w:widowControl w:val="0"/>
              <w:spacing w:line="240" w:lineRule="auto"/>
              <w:jc w:val="both"/>
              <w:rPr>
                <w:rFonts w:hint="eastAsia"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1.治疗评价:评价患者感受、治疗反应及治疗目标达到的程度;</w:t>
            </w:r>
          </w:p>
          <w:p>
            <w:pPr>
              <w:pStyle w:val="2"/>
              <w:widowControl w:val="0"/>
              <w:spacing w:line="240" w:lineRule="auto"/>
              <w:jc w:val="both"/>
              <w:rPr>
                <w:rFonts w:hint="eastAsia"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2.健康宣教:根据训练内容，布置课后训练项目或叮嘱注意事项:</w:t>
            </w:r>
          </w:p>
          <w:p>
            <w:pPr>
              <w:pStyle w:val="2"/>
              <w:widowControl w:val="0"/>
              <w:spacing w:line="240" w:lineRule="auto"/>
              <w:jc w:val="both"/>
              <w:rPr>
                <w:rFonts w:hint="default"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3.整理用物:整理床单位，整理设备和物品。</w:t>
            </w:r>
          </w:p>
        </w:tc>
        <w:tc>
          <w:tcPr>
            <w:tcW w:w="588" w:type="dxa"/>
            <w:vMerge w:val="continue"/>
            <w:noWrap w:val="0"/>
            <w:vAlign w:val="top"/>
          </w:tcPr>
          <w:p>
            <w:pPr>
              <w:pStyle w:val="2"/>
              <w:widowControl w:val="0"/>
              <w:spacing w:line="240" w:lineRule="auto"/>
              <w:jc w:val="center"/>
              <w:rPr>
                <w:rFonts w:hint="default" w:ascii="仿宋_GB2312" w:hAnsi="Arial" w:eastAsia="仿宋_GB2312" w:cs="Calibri"/>
                <w:snapToGrid w:val="0"/>
                <w:color w:val="auto"/>
                <w:kern w:val="0"/>
                <w:sz w:val="32"/>
                <w:szCs w:val="32"/>
                <w:lang w:val="en-US" w:eastAsia="zh-CN" w:bidi="ar-SA"/>
              </w:rPr>
            </w:pPr>
          </w:p>
        </w:tc>
        <w:tc>
          <w:tcPr>
            <w:tcW w:w="1016" w:type="dxa"/>
            <w:noWrap w:val="0"/>
            <w:vAlign w:val="center"/>
          </w:tcPr>
          <w:p>
            <w:pPr>
              <w:pStyle w:val="2"/>
              <w:widowControl w:val="0"/>
              <w:spacing w:line="240" w:lineRule="auto"/>
              <w:jc w:val="center"/>
              <w:rPr>
                <w:rFonts w:hint="default" w:ascii="仿宋_GB2312" w:hAnsi="Arial" w:eastAsia="仿宋_GB2312" w:cs="Calibri"/>
                <w:snapToGrid w:val="0"/>
                <w:color w:val="auto"/>
                <w:kern w:val="0"/>
                <w:sz w:val="32"/>
                <w:szCs w:val="32"/>
                <w:lang w:val="en-US" w:eastAsia="zh-CN" w:bidi="ar-SA"/>
              </w:rPr>
            </w:pPr>
            <w:r>
              <w:rPr>
                <w:rFonts w:hint="default" w:ascii="仿宋_GB2312" w:hAnsi="Arial" w:eastAsia="仿宋_GB2312" w:cs="Calibri"/>
                <w:snapToGrid w:val="0"/>
                <w:color w:val="auto"/>
                <w:kern w:val="0"/>
                <w:sz w:val="32"/>
                <w:szCs w:val="32"/>
                <w:lang w:val="en-US" w:eastAsia="zh-CN" w:bidi="ar-SA"/>
              </w:rPr>
              <w:t>100分（占技能操作35%）</w:t>
            </w:r>
          </w:p>
        </w:tc>
        <w:tc>
          <w:tcPr>
            <w:tcW w:w="1016" w:type="dxa"/>
            <w:vMerge w:val="continue"/>
            <w:noWrap w:val="0"/>
            <w:vAlign w:val="top"/>
          </w:tcPr>
          <w:p>
            <w:pPr>
              <w:pStyle w:val="2"/>
              <w:widowControl w:val="0"/>
              <w:spacing w:line="240" w:lineRule="auto"/>
              <w:jc w:val="both"/>
              <w:rPr>
                <w:rFonts w:hint="default" w:ascii="仿宋_GB2312" w:hAnsi="Arial" w:eastAsia="仿宋_GB2312" w:cs="Calibri"/>
                <w:snapToGrid w:val="0"/>
                <w:color w:val="auto"/>
                <w:kern w:val="0"/>
                <w:sz w:val="32"/>
                <w:szCs w:val="32"/>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dxa"/>
            <w:vMerge w:val="continue"/>
            <w:noWrap w:val="0"/>
            <w:vAlign w:val="top"/>
          </w:tcPr>
          <w:p>
            <w:pPr>
              <w:pStyle w:val="2"/>
              <w:widowControl w:val="0"/>
              <w:spacing w:line="240" w:lineRule="auto"/>
              <w:jc w:val="center"/>
              <w:rPr>
                <w:rFonts w:hint="default" w:ascii="仿宋_GB2312" w:hAnsi="Arial" w:eastAsia="仿宋_GB2312" w:cs="Calibri"/>
                <w:snapToGrid w:val="0"/>
                <w:color w:val="auto"/>
                <w:kern w:val="0"/>
                <w:sz w:val="32"/>
                <w:szCs w:val="32"/>
                <w:lang w:val="en-US" w:eastAsia="zh-CN" w:bidi="ar-SA"/>
              </w:rPr>
            </w:pPr>
          </w:p>
        </w:tc>
        <w:tc>
          <w:tcPr>
            <w:tcW w:w="538" w:type="dxa"/>
            <w:vMerge w:val="continue"/>
            <w:noWrap w:val="0"/>
            <w:vAlign w:val="top"/>
          </w:tcPr>
          <w:p>
            <w:pPr>
              <w:pStyle w:val="2"/>
              <w:widowControl w:val="0"/>
              <w:spacing w:line="240" w:lineRule="auto"/>
              <w:jc w:val="center"/>
              <w:rPr>
                <w:rFonts w:hint="default" w:ascii="仿宋_GB2312" w:hAnsi="Arial" w:eastAsia="仿宋_GB2312" w:cs="Calibri"/>
                <w:snapToGrid w:val="0"/>
                <w:color w:val="auto"/>
                <w:kern w:val="0"/>
                <w:sz w:val="32"/>
                <w:szCs w:val="32"/>
                <w:lang w:val="en-US" w:eastAsia="zh-CN" w:bidi="ar-SA"/>
              </w:rPr>
            </w:pPr>
          </w:p>
        </w:tc>
        <w:tc>
          <w:tcPr>
            <w:tcW w:w="538" w:type="dxa"/>
            <w:noWrap w:val="0"/>
            <w:vAlign w:val="center"/>
          </w:tcPr>
          <w:p>
            <w:pPr>
              <w:pStyle w:val="2"/>
              <w:widowControl w:val="0"/>
              <w:spacing w:line="240" w:lineRule="auto"/>
              <w:jc w:val="center"/>
              <w:rPr>
                <w:rFonts w:hint="default" w:ascii="仿宋_GB2312" w:hAnsi="Arial" w:eastAsia="仿宋_GB2312" w:cs="Calibri"/>
                <w:b/>
                <w:bCs/>
                <w:snapToGrid w:val="0"/>
                <w:color w:val="auto"/>
                <w:kern w:val="0"/>
                <w:sz w:val="32"/>
                <w:szCs w:val="32"/>
                <w:lang w:val="en-US" w:eastAsia="zh-CN" w:bidi="ar-SA"/>
              </w:rPr>
            </w:pPr>
            <w:r>
              <w:rPr>
                <w:rFonts w:hint="eastAsia" w:ascii="仿宋_GB2312" w:hAnsi="Arial" w:eastAsia="仿宋_GB2312" w:cs="Calibri"/>
                <w:b/>
                <w:bCs/>
                <w:snapToGrid w:val="0"/>
                <w:color w:val="auto"/>
                <w:kern w:val="0"/>
                <w:sz w:val="32"/>
                <w:szCs w:val="32"/>
                <w:lang w:val="en-US" w:eastAsia="zh-CN" w:bidi="ar-SA"/>
              </w:rPr>
              <w:t>答问</w:t>
            </w:r>
          </w:p>
        </w:tc>
        <w:tc>
          <w:tcPr>
            <w:tcW w:w="4571" w:type="dxa"/>
            <w:noWrap w:val="0"/>
            <w:vAlign w:val="top"/>
          </w:tcPr>
          <w:p>
            <w:pPr>
              <w:pStyle w:val="2"/>
              <w:widowControl w:val="0"/>
              <w:spacing w:line="240" w:lineRule="auto"/>
              <w:jc w:val="both"/>
              <w:rPr>
                <w:rFonts w:hint="default"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回答问题：言语表达流利，思路清晰，回答全面、专业知识技术应用正确熟练。</w:t>
            </w:r>
          </w:p>
        </w:tc>
        <w:tc>
          <w:tcPr>
            <w:tcW w:w="588" w:type="dxa"/>
            <w:noWrap w:val="0"/>
            <w:vAlign w:val="top"/>
          </w:tcPr>
          <w:p>
            <w:pPr>
              <w:pStyle w:val="2"/>
              <w:widowControl w:val="0"/>
              <w:spacing w:line="240" w:lineRule="auto"/>
              <w:jc w:val="center"/>
              <w:rPr>
                <w:rFonts w:hint="default" w:ascii="仿宋_GB2312" w:hAnsi="Arial" w:eastAsia="仿宋_GB2312" w:cs="Calibri"/>
                <w:snapToGrid w:val="0"/>
                <w:color w:val="auto"/>
                <w:kern w:val="0"/>
                <w:sz w:val="32"/>
                <w:szCs w:val="32"/>
                <w:lang w:val="en-US" w:eastAsia="zh-CN" w:bidi="ar-SA"/>
              </w:rPr>
            </w:pPr>
          </w:p>
        </w:tc>
        <w:tc>
          <w:tcPr>
            <w:tcW w:w="1016" w:type="dxa"/>
            <w:noWrap w:val="0"/>
            <w:vAlign w:val="top"/>
          </w:tcPr>
          <w:p>
            <w:pPr>
              <w:pStyle w:val="2"/>
              <w:widowControl w:val="0"/>
              <w:spacing w:line="240" w:lineRule="auto"/>
              <w:jc w:val="center"/>
              <w:rPr>
                <w:rFonts w:hint="default"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100分（占技能操作35%）</w:t>
            </w:r>
          </w:p>
        </w:tc>
        <w:tc>
          <w:tcPr>
            <w:tcW w:w="1016" w:type="dxa"/>
            <w:vMerge w:val="continue"/>
            <w:noWrap w:val="0"/>
            <w:vAlign w:val="top"/>
          </w:tcPr>
          <w:p>
            <w:pPr>
              <w:pStyle w:val="2"/>
              <w:widowControl w:val="0"/>
              <w:spacing w:line="240" w:lineRule="auto"/>
              <w:jc w:val="both"/>
              <w:rPr>
                <w:rFonts w:hint="default" w:ascii="仿宋_GB2312" w:hAnsi="Arial" w:eastAsia="仿宋_GB2312" w:cs="Calibri"/>
                <w:snapToGrid w:val="0"/>
                <w:color w:val="auto"/>
                <w:kern w:val="0"/>
                <w:sz w:val="32"/>
                <w:szCs w:val="32"/>
                <w:lang w:val="en-US" w:eastAsia="zh-CN" w:bidi="ar-SA"/>
              </w:rPr>
            </w:pPr>
          </w:p>
        </w:tc>
      </w:tr>
    </w:tbl>
    <w:p>
      <w:pPr>
        <w:pStyle w:val="2"/>
        <w:spacing w:line="360" w:lineRule="auto"/>
        <w:jc w:val="both"/>
        <w:rPr>
          <w:rFonts w:hint="eastAsia" w:ascii="黑体" w:hAnsi="黑体" w:eastAsia="黑体" w:cs="黑体"/>
          <w:snapToGrid/>
          <w:color w:val="000000"/>
          <w:kern w:val="2"/>
          <w:sz w:val="32"/>
          <w:szCs w:val="32"/>
          <w:lang w:val="en-US" w:eastAsia="zh-CN" w:bidi="ar-SA"/>
        </w:rPr>
      </w:pPr>
    </w:p>
    <w:p>
      <w:pPr>
        <w:pStyle w:val="2"/>
        <w:spacing w:line="360" w:lineRule="auto"/>
        <w:jc w:val="both"/>
        <w:rPr>
          <w:rFonts w:hint="eastAsia" w:ascii="黑体" w:hAnsi="黑体" w:eastAsia="黑体" w:cs="黑体"/>
          <w:snapToGrid/>
          <w:color w:val="000000"/>
          <w:kern w:val="2"/>
          <w:sz w:val="32"/>
          <w:szCs w:val="32"/>
          <w:lang w:val="en-US" w:eastAsia="zh-CN" w:bidi="ar-SA"/>
        </w:rPr>
      </w:pPr>
    </w:p>
    <w:p>
      <w:pPr>
        <w:pStyle w:val="2"/>
        <w:spacing w:line="360" w:lineRule="auto"/>
        <w:jc w:val="both"/>
        <w:rPr>
          <w:rFonts w:hint="eastAsia" w:ascii="黑体" w:hAnsi="黑体" w:eastAsia="黑体" w:cs="黑体"/>
          <w:snapToGrid/>
          <w:color w:val="000000"/>
          <w:kern w:val="2"/>
          <w:sz w:val="32"/>
          <w:szCs w:val="32"/>
          <w:lang w:val="en-US" w:eastAsia="zh-CN" w:bidi="ar-SA"/>
        </w:rPr>
      </w:pPr>
    </w:p>
    <w:p>
      <w:pPr>
        <w:pStyle w:val="2"/>
        <w:spacing w:line="360" w:lineRule="auto"/>
        <w:jc w:val="both"/>
        <w:rPr>
          <w:rFonts w:hint="eastAsia" w:ascii="黑体" w:hAnsi="黑体" w:eastAsia="黑体" w:cs="黑体"/>
          <w:snapToGrid/>
          <w:color w:val="000000"/>
          <w:kern w:val="2"/>
          <w:sz w:val="32"/>
          <w:szCs w:val="32"/>
          <w:lang w:val="en-US" w:eastAsia="zh-CN" w:bidi="ar-SA"/>
        </w:rPr>
      </w:pPr>
      <w:r>
        <w:rPr>
          <w:rFonts w:hint="eastAsia" w:ascii="黑体" w:hAnsi="黑体" w:eastAsia="黑体" w:cs="黑体"/>
          <w:snapToGrid/>
          <w:color w:val="000000"/>
          <w:kern w:val="2"/>
          <w:sz w:val="32"/>
          <w:szCs w:val="32"/>
          <w:lang w:val="en-US" w:eastAsia="zh-CN" w:bidi="ar-SA"/>
        </w:rPr>
        <w:t>四、竞赛方式</w:t>
      </w:r>
    </w:p>
    <w:p>
      <w:pPr>
        <w:pStyle w:val="2"/>
        <w:spacing w:line="360" w:lineRule="auto"/>
        <w:ind w:firstLine="643" w:firstLineChars="200"/>
        <w:jc w:val="both"/>
        <w:rPr>
          <w:rFonts w:hint="eastAsia" w:ascii="楷体_GB2312" w:hAnsi="楷体_GB2312" w:eastAsia="楷体_GB2312" w:cs="楷体_GB2312"/>
          <w:b/>
          <w:bCs/>
          <w:snapToGrid w:val="0"/>
          <w:color w:val="auto"/>
          <w:kern w:val="0"/>
          <w:sz w:val="32"/>
          <w:szCs w:val="32"/>
          <w:lang w:val="en-US" w:eastAsia="zh-CN" w:bidi="ar-SA"/>
        </w:rPr>
      </w:pPr>
      <w:r>
        <w:rPr>
          <w:rFonts w:hint="eastAsia" w:ascii="楷体_GB2312" w:hAnsi="楷体_GB2312" w:eastAsia="楷体_GB2312" w:cs="楷体_GB2312"/>
          <w:b/>
          <w:bCs/>
          <w:snapToGrid w:val="0"/>
          <w:color w:val="auto"/>
          <w:kern w:val="0"/>
          <w:sz w:val="32"/>
          <w:szCs w:val="32"/>
          <w:lang w:val="en-US" w:eastAsia="zh-CN" w:bidi="ar-SA"/>
        </w:rPr>
        <w:t>（一）参赛对象</w:t>
      </w:r>
    </w:p>
    <w:p>
      <w:pPr>
        <w:pStyle w:val="2"/>
        <w:spacing w:line="360" w:lineRule="auto"/>
        <w:ind w:firstLine="640" w:firstLineChars="200"/>
        <w:jc w:val="both"/>
        <w:rPr>
          <w:rFonts w:hint="eastAsia" w:ascii="仿宋" w:hAnsi="仿宋" w:eastAsia="仿宋" w:cs="仿宋"/>
          <w:b w:val="0"/>
          <w:bCs w:val="0"/>
          <w:snapToGrid/>
          <w:color w:val="000000"/>
          <w:kern w:val="2"/>
          <w:sz w:val="32"/>
          <w:szCs w:val="32"/>
          <w:lang w:val="en-US" w:eastAsia="zh-CN" w:bidi="ar-SA"/>
        </w:rPr>
      </w:pPr>
      <w:r>
        <w:rPr>
          <w:rFonts w:hint="eastAsia" w:ascii="仿宋" w:hAnsi="仿宋" w:eastAsia="仿宋" w:cs="仿宋"/>
          <w:b w:val="0"/>
          <w:bCs w:val="0"/>
          <w:snapToGrid/>
          <w:color w:val="000000"/>
          <w:kern w:val="2"/>
          <w:sz w:val="32"/>
          <w:szCs w:val="32"/>
          <w:lang w:val="en-US" w:eastAsia="zh-CN" w:bidi="ar-SA"/>
        </w:rPr>
        <w:t>参赛选手须为高等学校在籍高职高专类学生，年龄不超过 25 周岁（即 2000 年 5 月 1 日及以后出生）。参赛选手须为高等职业院校全日制在籍学生、本科院校高职类全日制在籍学生；五年制高职四、五年级学生可报名参加本赛项比赛。凡在往届全国职业院校技能大赛中获本项目一等奖的学生，不再参加本项目的全省竞赛。</w:t>
      </w:r>
    </w:p>
    <w:p>
      <w:pPr>
        <w:pStyle w:val="2"/>
        <w:numPr>
          <w:ilvl w:val="0"/>
          <w:numId w:val="1"/>
        </w:numPr>
        <w:spacing w:line="360" w:lineRule="auto"/>
        <w:ind w:firstLine="643" w:firstLineChars="200"/>
        <w:jc w:val="both"/>
        <w:rPr>
          <w:rFonts w:hint="eastAsia" w:ascii="楷体_GB2312" w:hAnsi="楷体_GB2312" w:eastAsia="楷体_GB2312" w:cs="楷体_GB2312"/>
          <w:b/>
          <w:bCs/>
          <w:snapToGrid w:val="0"/>
          <w:color w:val="auto"/>
          <w:kern w:val="0"/>
          <w:sz w:val="32"/>
          <w:szCs w:val="32"/>
          <w:lang w:val="en-US" w:eastAsia="zh-CN" w:bidi="ar-SA"/>
        </w:rPr>
      </w:pPr>
      <w:r>
        <w:rPr>
          <w:rFonts w:hint="eastAsia" w:ascii="楷体_GB2312" w:hAnsi="楷体_GB2312" w:eastAsia="楷体_GB2312" w:cs="楷体_GB2312"/>
          <w:b/>
          <w:bCs/>
          <w:snapToGrid w:val="0"/>
          <w:color w:val="auto"/>
          <w:kern w:val="0"/>
          <w:sz w:val="32"/>
          <w:szCs w:val="32"/>
          <w:lang w:val="en-US" w:eastAsia="zh-CN" w:bidi="ar-SA"/>
        </w:rPr>
        <w:t>竞赛形式</w:t>
      </w:r>
    </w:p>
    <w:p>
      <w:pPr>
        <w:pStyle w:val="2"/>
        <w:numPr>
          <w:ilvl w:val="0"/>
          <w:numId w:val="0"/>
        </w:numPr>
        <w:spacing w:line="360" w:lineRule="auto"/>
        <w:ind w:firstLine="640" w:firstLineChars="200"/>
        <w:jc w:val="both"/>
        <w:rPr>
          <w:rFonts w:hint="eastAsia" w:ascii="仿宋" w:hAnsi="仿宋" w:eastAsia="仿宋" w:cs="仿宋"/>
          <w:snapToGrid/>
          <w:color w:val="000000"/>
          <w:kern w:val="2"/>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本赛项为线下比赛。</w:t>
      </w:r>
    </w:p>
    <w:p>
      <w:pPr>
        <w:pStyle w:val="2"/>
        <w:spacing w:line="360" w:lineRule="auto"/>
        <w:jc w:val="both"/>
        <w:rPr>
          <w:rFonts w:hint="default" w:ascii="楷体" w:hAnsi="楷体" w:eastAsia="楷体" w:cs="楷体"/>
          <w:b w:val="0"/>
          <w:bCs w:val="0"/>
          <w:snapToGrid/>
          <w:color w:val="000000"/>
          <w:kern w:val="2"/>
          <w:sz w:val="32"/>
          <w:szCs w:val="32"/>
          <w:lang w:val="en-US" w:eastAsia="zh-CN" w:bidi="ar-SA"/>
        </w:rPr>
      </w:pPr>
      <w:r>
        <w:rPr>
          <w:rFonts w:hint="eastAsia" w:ascii="仿宋" w:hAnsi="仿宋" w:eastAsia="仿宋" w:cs="仿宋"/>
          <w:snapToGrid/>
          <w:color w:val="000000"/>
          <w:kern w:val="2"/>
          <w:sz w:val="32"/>
          <w:szCs w:val="32"/>
          <w:lang w:val="en-US" w:eastAsia="zh-CN" w:bidi="ar-SA"/>
        </w:rPr>
        <w:t xml:space="preserve">    </w:t>
      </w:r>
      <w:r>
        <w:rPr>
          <w:rFonts w:hint="eastAsia" w:ascii="楷体_GB2312" w:hAnsi="楷体_GB2312" w:eastAsia="楷体_GB2312" w:cs="楷体_GB2312"/>
          <w:b/>
          <w:bCs/>
          <w:snapToGrid w:val="0"/>
          <w:color w:val="auto"/>
          <w:kern w:val="0"/>
          <w:sz w:val="32"/>
          <w:szCs w:val="32"/>
          <w:lang w:val="en-US" w:eastAsia="zh-CN" w:bidi="ar-SA"/>
        </w:rPr>
        <w:t>（三）组队方式</w:t>
      </w:r>
    </w:p>
    <w:p>
      <w:pPr>
        <w:pStyle w:val="2"/>
        <w:spacing w:line="360" w:lineRule="auto"/>
        <w:ind w:firstLine="640" w:firstLineChars="200"/>
        <w:jc w:val="both"/>
        <w:rPr>
          <w:rFonts w:hint="eastAsia" w:ascii="仿宋_GB2312" w:hAnsi="Arial"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1.本赛项为团体赛，以团队方式报名参赛。</w:t>
      </w:r>
    </w:p>
    <w:p>
      <w:pPr>
        <w:pStyle w:val="2"/>
        <w:spacing w:line="360" w:lineRule="auto"/>
        <w:ind w:firstLine="640" w:firstLineChars="200"/>
        <w:jc w:val="both"/>
        <w:rPr>
          <w:rFonts w:hint="eastAsia" w:ascii="仿宋_GB2312" w:eastAsia="仿宋_GB2312" w:cs="Calibri"/>
          <w:snapToGrid w:val="0"/>
          <w:color w:val="auto"/>
          <w:kern w:val="0"/>
          <w:sz w:val="32"/>
          <w:szCs w:val="32"/>
          <w:lang w:val="en-US" w:eastAsia="zh-CN" w:bidi="ar-SA"/>
        </w:rPr>
      </w:pPr>
      <w:r>
        <w:rPr>
          <w:rFonts w:hint="eastAsia" w:ascii="仿宋_GB2312" w:hAnsi="Arial" w:eastAsia="仿宋_GB2312" w:cs="Calibri"/>
          <w:snapToGrid w:val="0"/>
          <w:color w:val="auto"/>
          <w:kern w:val="0"/>
          <w:sz w:val="32"/>
          <w:szCs w:val="32"/>
          <w:lang w:val="en-US" w:eastAsia="zh-CN" w:bidi="ar-SA"/>
        </w:rPr>
        <w:t>2.</w:t>
      </w:r>
      <w:r>
        <w:rPr>
          <w:rFonts w:hint="eastAsia" w:ascii="仿宋_GB2312" w:hAnsi="Arial" w:eastAsia="仿宋_GB2312" w:cs="Calibri"/>
          <w:snapToGrid w:val="0"/>
          <w:color w:val="auto"/>
          <w:kern w:val="0"/>
          <w:sz w:val="32"/>
          <w:szCs w:val="32"/>
          <w:lang w:val="en-US" w:eastAsia="en-US" w:bidi="ar-SA"/>
        </w:rPr>
        <w:t>每</w:t>
      </w:r>
      <w:r>
        <w:rPr>
          <w:rFonts w:hint="eastAsia" w:ascii="仿宋_GB2312" w:hAnsi="Arial" w:eastAsia="仿宋_GB2312" w:cs="Calibri"/>
          <w:snapToGrid w:val="0"/>
          <w:color w:val="auto"/>
          <w:kern w:val="0"/>
          <w:sz w:val="32"/>
          <w:szCs w:val="32"/>
          <w:lang w:val="en-US" w:eastAsia="zh-CN" w:bidi="ar-SA"/>
        </w:rPr>
        <w:t>个学校</w:t>
      </w:r>
      <w:r>
        <w:rPr>
          <w:rFonts w:hint="eastAsia" w:ascii="仿宋_GB2312" w:hAnsi="Arial" w:eastAsia="仿宋_GB2312" w:cs="Calibri"/>
          <w:snapToGrid w:val="0"/>
          <w:color w:val="auto"/>
          <w:kern w:val="0"/>
          <w:sz w:val="32"/>
          <w:szCs w:val="32"/>
          <w:lang w:val="en-US" w:eastAsia="en-US" w:bidi="ar-SA"/>
        </w:rPr>
        <w:t>参赛</w:t>
      </w:r>
      <w:r>
        <w:rPr>
          <w:rFonts w:hint="eastAsia" w:ascii="仿宋_GB2312" w:hAnsi="Arial" w:eastAsia="仿宋_GB2312" w:cs="Calibri"/>
          <w:snapToGrid w:val="0"/>
          <w:color w:val="auto"/>
          <w:kern w:val="0"/>
          <w:sz w:val="32"/>
          <w:szCs w:val="32"/>
          <w:lang w:val="en-US" w:eastAsia="zh-CN" w:bidi="ar-SA"/>
        </w:rPr>
        <w:t>队伍以正式比赛报名通知为准</w:t>
      </w:r>
      <w:r>
        <w:rPr>
          <w:rFonts w:hint="eastAsia" w:ascii="仿宋_GB2312" w:hAnsi="Arial" w:eastAsia="仿宋_GB2312" w:cs="Calibri"/>
          <w:snapToGrid w:val="0"/>
          <w:color w:val="auto"/>
          <w:kern w:val="0"/>
          <w:sz w:val="32"/>
          <w:szCs w:val="32"/>
          <w:lang w:val="en-US" w:eastAsia="en-US" w:bidi="ar-SA"/>
        </w:rPr>
        <w:t>，同一学校参赛队不超过</w:t>
      </w:r>
      <w:r>
        <w:rPr>
          <w:rFonts w:hint="eastAsia" w:ascii="仿宋_GB2312" w:hAnsi="Arial" w:eastAsia="仿宋_GB2312" w:cs="Calibri"/>
          <w:snapToGrid w:val="0"/>
          <w:color w:val="auto"/>
          <w:kern w:val="0"/>
          <w:sz w:val="32"/>
          <w:szCs w:val="32"/>
          <w:lang w:val="en-US" w:eastAsia="zh-CN" w:bidi="ar-SA"/>
        </w:rPr>
        <w:t>2</w:t>
      </w:r>
      <w:r>
        <w:rPr>
          <w:rFonts w:hint="eastAsia" w:ascii="仿宋_GB2312" w:hAnsi="Arial" w:eastAsia="仿宋_GB2312" w:cs="Calibri"/>
          <w:snapToGrid w:val="0"/>
          <w:color w:val="auto"/>
          <w:kern w:val="0"/>
          <w:sz w:val="32"/>
          <w:szCs w:val="32"/>
          <w:lang w:val="en-US" w:eastAsia="en-US" w:bidi="ar-SA"/>
        </w:rPr>
        <w:t>队</w:t>
      </w:r>
      <w:r>
        <w:rPr>
          <w:rFonts w:hint="eastAsia" w:ascii="仿宋_GB2312" w:hAnsi="Arial" w:eastAsia="仿宋_GB2312" w:cs="Calibri"/>
          <w:snapToGrid w:val="0"/>
          <w:color w:val="auto"/>
          <w:kern w:val="0"/>
          <w:sz w:val="32"/>
          <w:szCs w:val="32"/>
          <w:lang w:val="en-US" w:eastAsia="zh-CN" w:bidi="ar-SA"/>
        </w:rPr>
        <w:t>；</w:t>
      </w:r>
      <w:r>
        <w:rPr>
          <w:rFonts w:hint="eastAsia" w:ascii="仿宋_GB2312" w:hAnsi="Arial" w:eastAsia="仿宋_GB2312" w:cs="Calibri"/>
          <w:snapToGrid w:val="0"/>
          <w:color w:val="auto"/>
          <w:kern w:val="0"/>
          <w:sz w:val="32"/>
          <w:szCs w:val="32"/>
          <w:lang w:val="en-US" w:eastAsia="en-US" w:bidi="ar-SA"/>
        </w:rPr>
        <w:t>不得跨校组队</w:t>
      </w:r>
      <w:r>
        <w:rPr>
          <w:rFonts w:hint="eastAsia" w:ascii="仿宋_GB2312" w:eastAsia="仿宋_GB2312" w:cs="Calibri"/>
          <w:snapToGrid w:val="0"/>
          <w:color w:val="auto"/>
          <w:kern w:val="0"/>
          <w:sz w:val="32"/>
          <w:szCs w:val="32"/>
          <w:lang w:val="en-US" w:eastAsia="zh-CN" w:bidi="ar-SA"/>
        </w:rPr>
        <w:t>。</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highlight w:val="none"/>
          <w:lang w:val="en-US" w:eastAsia="zh-CN" w:bidi="ar-SA"/>
        </w:rPr>
      </w:pPr>
      <w:r>
        <w:rPr>
          <w:rFonts w:hint="eastAsia" w:ascii="仿宋_GB2312" w:eastAsia="仿宋_GB2312" w:cs="Calibri"/>
          <w:snapToGrid w:val="0"/>
          <w:color w:val="auto"/>
          <w:kern w:val="0"/>
          <w:sz w:val="32"/>
          <w:szCs w:val="32"/>
          <w:lang w:val="en-US" w:eastAsia="zh-CN" w:bidi="ar-SA"/>
        </w:rPr>
        <w:t>3.每个团队3名参赛队员，</w:t>
      </w:r>
      <w:r>
        <w:rPr>
          <w:rFonts w:hint="eastAsia" w:ascii="仿宋_GB2312" w:eastAsia="仿宋_GB2312" w:cs="Calibri"/>
          <w:snapToGrid w:val="0"/>
          <w:color w:val="auto"/>
          <w:kern w:val="0"/>
          <w:sz w:val="32"/>
          <w:szCs w:val="32"/>
          <w:highlight w:val="none"/>
          <w:lang w:val="en-US" w:eastAsia="zh-CN" w:bidi="ar-SA"/>
        </w:rPr>
        <w:t>1-2名指导教师（排名不分先后）。</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4.选手和指导教师报名确认后，不得随意更换。因故无法参赛，须由学校在开赛前10个工作日出具书面说明，并按参赛选手资格补充人员接受审核，经大赛组委会办公室同意后予以更换。如未经报备，发现实际参赛选手与报名信息不符的情况，均不得入场比赛。</w:t>
      </w:r>
    </w:p>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黑体" w:hAnsi="黑体" w:eastAsia="黑体" w:cs="黑体"/>
          <w:snapToGrid w:val="0"/>
          <w:color w:val="auto"/>
          <w:kern w:val="0"/>
          <w:sz w:val="32"/>
          <w:szCs w:val="32"/>
          <w:lang w:val="en-US" w:eastAsia="zh-CN" w:bidi="ar-SA"/>
        </w:rPr>
      </w:pPr>
      <w:r>
        <w:rPr>
          <w:rFonts w:hint="eastAsia" w:ascii="黑体" w:hAnsi="黑体" w:eastAsia="黑体" w:cs="黑体"/>
          <w:snapToGrid w:val="0"/>
          <w:color w:val="auto"/>
          <w:kern w:val="0"/>
          <w:sz w:val="32"/>
          <w:szCs w:val="32"/>
          <w:lang w:val="en-US" w:eastAsia="zh-CN" w:bidi="ar-SA"/>
        </w:rPr>
        <w:t>五、竞赛流程</w:t>
      </w:r>
    </w:p>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楷体GB2312" w:hAnsi="楷体GB2312" w:eastAsia="楷体GB2312" w:cs="楷体GB2312"/>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 xml:space="preserve"> </w:t>
      </w:r>
      <w:r>
        <w:rPr>
          <w:rFonts w:hint="eastAsia" w:ascii="楷体GB2312" w:hAnsi="楷体GB2312" w:eastAsia="楷体GB2312" w:cs="楷体GB2312"/>
          <w:snapToGrid w:val="0"/>
          <w:color w:val="auto"/>
          <w:kern w:val="0"/>
          <w:sz w:val="32"/>
          <w:szCs w:val="32"/>
          <w:lang w:val="en-US" w:eastAsia="zh-CN" w:bidi="ar-SA"/>
        </w:rPr>
        <w:t xml:space="preserve"> </w:t>
      </w:r>
      <w:r>
        <w:rPr>
          <w:rFonts w:hint="eastAsia" w:ascii="楷体_GB2312" w:hAnsi="楷体_GB2312" w:eastAsia="楷体_GB2312" w:cs="楷体_GB2312"/>
          <w:b/>
          <w:bCs/>
          <w:snapToGrid w:val="0"/>
          <w:color w:val="auto"/>
          <w:kern w:val="0"/>
          <w:sz w:val="32"/>
          <w:szCs w:val="32"/>
          <w:lang w:val="en-US" w:eastAsia="zh-CN" w:bidi="ar-SA"/>
        </w:rPr>
        <w:t>（一）竞赛时间安排</w:t>
      </w:r>
    </w:p>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 xml:space="preserve">  本赛项拟安排在10月24-25日进行。</w:t>
      </w:r>
    </w:p>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 xml:space="preserve">  </w:t>
      </w:r>
      <w:r>
        <w:rPr>
          <w:rFonts w:hint="eastAsia" w:ascii="楷体_GB2312" w:hAnsi="楷体_GB2312" w:eastAsia="楷体_GB2312" w:cs="楷体_GB2312"/>
          <w:b/>
          <w:bCs/>
          <w:snapToGrid w:val="0"/>
          <w:color w:val="auto"/>
          <w:kern w:val="0"/>
          <w:sz w:val="32"/>
          <w:szCs w:val="32"/>
          <w:lang w:val="en-US" w:eastAsia="zh-CN" w:bidi="ar-SA"/>
        </w:rPr>
        <w:t>（二）竞赛日程</w:t>
      </w:r>
    </w:p>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 xml:space="preserve">  本赛项赛程两天。具体日程安排如下：</w:t>
      </w:r>
    </w:p>
    <w:tbl>
      <w:tblPr>
        <w:tblStyle w:val="8"/>
        <w:tblW w:w="9231" w:type="dxa"/>
        <w:tblInd w:w="-4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3"/>
        <w:gridCol w:w="2027"/>
        <w:gridCol w:w="2042"/>
        <w:gridCol w:w="1626"/>
        <w:gridCol w:w="19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日期</w:t>
            </w:r>
          </w:p>
        </w:tc>
        <w:tc>
          <w:tcPr>
            <w:tcW w:w="202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时间</w:t>
            </w:r>
          </w:p>
        </w:tc>
        <w:tc>
          <w:tcPr>
            <w:tcW w:w="2042"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项目</w:t>
            </w:r>
          </w:p>
        </w:tc>
        <w:tc>
          <w:tcPr>
            <w:tcW w:w="1626"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参加人员</w:t>
            </w:r>
          </w:p>
        </w:tc>
        <w:tc>
          <w:tcPr>
            <w:tcW w:w="196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3" w:type="dxa"/>
            <w:vMerge w:val="restart"/>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10月24日</w:t>
            </w:r>
          </w:p>
        </w:tc>
        <w:tc>
          <w:tcPr>
            <w:tcW w:w="2027" w:type="dxa"/>
            <w:noWrap w:val="0"/>
            <w:vAlign w:val="center"/>
          </w:tcPr>
          <w:p>
            <w:pPr>
              <w:widowControl w:val="0"/>
              <w:snapToGrid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color w:val="auto"/>
                <w:sz w:val="32"/>
                <w:szCs w:val="32"/>
              </w:rPr>
              <w:t>8:00-</w:t>
            </w:r>
            <w:r>
              <w:rPr>
                <w:rFonts w:hint="eastAsia" w:ascii="仿宋" w:hAnsi="仿宋" w:eastAsia="仿宋" w:cs="仿宋"/>
                <w:color w:val="auto"/>
                <w:sz w:val="32"/>
                <w:szCs w:val="32"/>
                <w:lang w:val="en-US" w:eastAsia="zh-CN"/>
              </w:rPr>
              <w:t>10:00</w:t>
            </w:r>
          </w:p>
        </w:tc>
        <w:tc>
          <w:tcPr>
            <w:tcW w:w="2042" w:type="dxa"/>
            <w:noWrap w:val="0"/>
            <w:vAlign w:val="center"/>
          </w:tcPr>
          <w:p>
            <w:pPr>
              <w:widowControl w:val="0"/>
              <w:snapToGrid w:val="0"/>
              <w:jc w:val="both"/>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rPr>
              <w:t>各参赛队</w:t>
            </w:r>
            <w:r>
              <w:rPr>
                <w:rFonts w:hint="eastAsia" w:ascii="仿宋" w:hAnsi="仿宋" w:eastAsia="仿宋" w:cs="仿宋"/>
                <w:color w:val="auto"/>
                <w:sz w:val="32"/>
                <w:szCs w:val="32"/>
                <w:lang w:val="en-US" w:eastAsia="zh-CN"/>
              </w:rPr>
              <w:t>报到</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开幕式</w:t>
            </w:r>
          </w:p>
          <w:p>
            <w:pPr>
              <w:widowControl w:val="0"/>
              <w:snapToGrid w:val="0"/>
              <w:jc w:val="both"/>
              <w:rPr>
                <w:rFonts w:hint="eastAsia" w:ascii="仿宋" w:hAnsi="仿宋" w:eastAsia="仿宋" w:cs="仿宋"/>
                <w:snapToGrid w:val="0"/>
                <w:color w:val="auto"/>
                <w:kern w:val="0"/>
                <w:sz w:val="32"/>
                <w:szCs w:val="32"/>
                <w:vertAlign w:val="baseline"/>
                <w:lang w:val="en-US" w:eastAsia="zh-CN" w:bidi="ar-SA"/>
              </w:rPr>
            </w:pPr>
          </w:p>
        </w:tc>
        <w:tc>
          <w:tcPr>
            <w:tcW w:w="1626" w:type="dxa"/>
            <w:noWrap w:val="0"/>
            <w:vAlign w:val="center"/>
          </w:tcPr>
          <w:p>
            <w:pPr>
              <w:widowControl w:val="0"/>
              <w:snapToGrid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color w:val="auto"/>
                <w:sz w:val="32"/>
                <w:szCs w:val="32"/>
              </w:rPr>
              <w:t>专家、裁判员、参赛代表队</w:t>
            </w:r>
          </w:p>
        </w:tc>
        <w:tc>
          <w:tcPr>
            <w:tcW w:w="1963" w:type="dxa"/>
            <w:noWrap w:val="0"/>
            <w:vAlign w:val="center"/>
          </w:tcPr>
          <w:p>
            <w:pPr>
              <w:widowControl w:val="0"/>
              <w:snapToGrid w:val="0"/>
              <w:jc w:val="both"/>
              <w:rPr>
                <w:rFonts w:hint="default" w:ascii="仿宋" w:hAnsi="仿宋" w:eastAsia="仿宋" w:cs="仿宋"/>
                <w:snapToGrid w:val="0"/>
                <w:color w:val="auto"/>
                <w:kern w:val="0"/>
                <w:sz w:val="32"/>
                <w:szCs w:val="32"/>
                <w:highlight w:val="none"/>
                <w:vertAlign w:val="baseline"/>
                <w:lang w:val="en-US" w:eastAsia="zh-CN" w:bidi="ar-SA"/>
              </w:rPr>
            </w:pPr>
            <w:r>
              <w:rPr>
                <w:rFonts w:hint="eastAsia" w:ascii="仿宋" w:hAnsi="仿宋" w:eastAsia="仿宋" w:cs="仿宋"/>
                <w:color w:val="auto"/>
                <w:sz w:val="32"/>
                <w:szCs w:val="32"/>
                <w:highlight w:val="none"/>
                <w:lang w:val="en-US" w:eastAsia="zh-CN"/>
              </w:rPr>
              <w:t>护理实训楼一楼107室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3"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p>
        </w:tc>
        <w:tc>
          <w:tcPr>
            <w:tcW w:w="2027" w:type="dxa"/>
            <w:noWrap w:val="0"/>
            <w:vAlign w:val="center"/>
          </w:tcPr>
          <w:p>
            <w:pPr>
              <w:widowControl w:val="0"/>
              <w:snapToGrid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color w:val="auto"/>
                <w:sz w:val="32"/>
                <w:szCs w:val="32"/>
                <w:lang w:val="en-US" w:eastAsia="zh-CN"/>
              </w:rPr>
              <w:t>10</w:t>
            </w:r>
            <w:r>
              <w:rPr>
                <w:rFonts w:hint="eastAsia" w:ascii="仿宋" w:hAnsi="仿宋" w:eastAsia="仿宋" w:cs="仿宋"/>
                <w:color w:val="auto"/>
                <w:sz w:val="32"/>
                <w:szCs w:val="32"/>
              </w:rPr>
              <w:t>:00-1</w:t>
            </w:r>
            <w:r>
              <w:rPr>
                <w:rFonts w:hint="eastAsia" w:ascii="仿宋" w:hAnsi="仿宋" w:eastAsia="仿宋" w:cs="仿宋"/>
                <w:color w:val="auto"/>
                <w:sz w:val="32"/>
                <w:szCs w:val="32"/>
                <w:lang w:val="en-US" w:eastAsia="zh-CN"/>
              </w:rPr>
              <w:t>1</w:t>
            </w:r>
            <w:r>
              <w:rPr>
                <w:rFonts w:hint="eastAsia" w:ascii="仿宋" w:hAnsi="仿宋" w:eastAsia="仿宋" w:cs="仿宋"/>
                <w:color w:val="auto"/>
                <w:sz w:val="32"/>
                <w:szCs w:val="32"/>
              </w:rPr>
              <w:t>:00</w:t>
            </w:r>
          </w:p>
        </w:tc>
        <w:tc>
          <w:tcPr>
            <w:tcW w:w="2042" w:type="dxa"/>
            <w:noWrap w:val="0"/>
            <w:vAlign w:val="center"/>
          </w:tcPr>
          <w:p>
            <w:pPr>
              <w:widowControl w:val="0"/>
              <w:snapToGrid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color w:val="auto"/>
                <w:sz w:val="32"/>
                <w:szCs w:val="32"/>
              </w:rPr>
              <w:t>参赛队会议</w:t>
            </w:r>
          </w:p>
        </w:tc>
        <w:tc>
          <w:tcPr>
            <w:tcW w:w="1626" w:type="dxa"/>
            <w:noWrap w:val="0"/>
            <w:vAlign w:val="center"/>
          </w:tcPr>
          <w:p>
            <w:pPr>
              <w:widowControl w:val="0"/>
              <w:snapToGrid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color w:val="auto"/>
                <w:sz w:val="32"/>
                <w:szCs w:val="32"/>
              </w:rPr>
              <w:t>领队、指导教师、选手</w:t>
            </w:r>
          </w:p>
        </w:tc>
        <w:tc>
          <w:tcPr>
            <w:tcW w:w="1963" w:type="dxa"/>
            <w:noWrap w:val="0"/>
            <w:vAlign w:val="center"/>
          </w:tcPr>
          <w:p>
            <w:pPr>
              <w:widowControl w:val="0"/>
              <w:jc w:val="both"/>
              <w:rPr>
                <w:rFonts w:hint="default" w:ascii="仿宋" w:hAnsi="仿宋" w:eastAsia="仿宋" w:cs="仿宋"/>
                <w:snapToGrid w:val="0"/>
                <w:color w:val="auto"/>
                <w:kern w:val="0"/>
                <w:sz w:val="32"/>
                <w:szCs w:val="32"/>
                <w:highlight w:val="none"/>
                <w:vertAlign w:val="baseline"/>
                <w:lang w:val="en-US" w:eastAsia="zh-CN" w:bidi="ar-SA"/>
              </w:rPr>
            </w:pPr>
            <w:r>
              <w:rPr>
                <w:rFonts w:hint="eastAsia" w:ascii="仿宋" w:hAnsi="仿宋" w:eastAsia="仿宋" w:cs="仿宋"/>
                <w:color w:val="auto"/>
                <w:sz w:val="32"/>
                <w:szCs w:val="32"/>
                <w:highlight w:val="none"/>
                <w:lang w:val="en-US" w:eastAsia="zh-CN"/>
              </w:rPr>
              <w:t>护理实训楼一楼107室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3"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p>
        </w:tc>
        <w:tc>
          <w:tcPr>
            <w:tcW w:w="2027" w:type="dxa"/>
            <w:noWrap w:val="0"/>
            <w:vAlign w:val="center"/>
          </w:tcPr>
          <w:p>
            <w:pPr>
              <w:widowControl w:val="0"/>
              <w:snapToGrid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color w:val="auto"/>
                <w:sz w:val="32"/>
                <w:szCs w:val="32"/>
              </w:rPr>
              <w:t>11:00-12:00</w:t>
            </w:r>
          </w:p>
        </w:tc>
        <w:tc>
          <w:tcPr>
            <w:tcW w:w="2042" w:type="dxa"/>
            <w:noWrap w:val="0"/>
            <w:vAlign w:val="center"/>
          </w:tcPr>
          <w:p>
            <w:pPr>
              <w:widowControl w:val="0"/>
              <w:snapToGrid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color w:val="auto"/>
                <w:sz w:val="32"/>
                <w:szCs w:val="32"/>
              </w:rPr>
              <w:t>选手熟悉场地</w:t>
            </w:r>
          </w:p>
        </w:tc>
        <w:tc>
          <w:tcPr>
            <w:tcW w:w="1626" w:type="dxa"/>
            <w:noWrap w:val="0"/>
            <w:vAlign w:val="center"/>
          </w:tcPr>
          <w:p>
            <w:pPr>
              <w:widowControl w:val="0"/>
              <w:snapToGrid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color w:val="auto"/>
                <w:sz w:val="32"/>
                <w:szCs w:val="32"/>
              </w:rPr>
              <w:t>领队、指导教师、选手</w:t>
            </w:r>
          </w:p>
        </w:tc>
        <w:tc>
          <w:tcPr>
            <w:tcW w:w="1963" w:type="dxa"/>
            <w:noWrap w:val="0"/>
            <w:vAlign w:val="center"/>
          </w:tcPr>
          <w:p>
            <w:pPr>
              <w:widowControl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color w:val="auto"/>
                <w:sz w:val="32"/>
                <w:szCs w:val="32"/>
                <w:lang w:val="en-US" w:eastAsia="zh-CN"/>
              </w:rPr>
              <w:t>康复实训基地技能竞赛考场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3"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p>
        </w:tc>
        <w:tc>
          <w:tcPr>
            <w:tcW w:w="2027" w:type="dxa"/>
            <w:noWrap w:val="0"/>
            <w:vAlign w:val="center"/>
          </w:tcPr>
          <w:p>
            <w:pPr>
              <w:widowControl w:val="0"/>
              <w:snapToGrid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rPr>
              <w:t>15:00-17:00</w:t>
            </w:r>
          </w:p>
        </w:tc>
        <w:tc>
          <w:tcPr>
            <w:tcW w:w="2042" w:type="dxa"/>
            <w:noWrap w:val="0"/>
            <w:vAlign w:val="center"/>
          </w:tcPr>
          <w:p>
            <w:pPr>
              <w:widowControl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rPr>
              <w:t>场地设备准备</w:t>
            </w:r>
            <w:r>
              <w:rPr>
                <w:rFonts w:hint="eastAsia" w:ascii="仿宋" w:hAnsi="仿宋" w:eastAsia="仿宋" w:cs="仿宋"/>
                <w:sz w:val="32"/>
                <w:szCs w:val="32"/>
                <w:lang w:eastAsia="zh-CN"/>
              </w:rPr>
              <w:t>、</w:t>
            </w:r>
            <w:r>
              <w:rPr>
                <w:rFonts w:hint="eastAsia" w:ascii="仿宋" w:hAnsi="仿宋" w:eastAsia="仿宋" w:cs="仿宋"/>
                <w:sz w:val="32"/>
                <w:szCs w:val="32"/>
              </w:rPr>
              <w:t>封闭赛场</w:t>
            </w:r>
          </w:p>
        </w:tc>
        <w:tc>
          <w:tcPr>
            <w:tcW w:w="1626" w:type="dxa"/>
            <w:noWrap w:val="0"/>
            <w:vAlign w:val="center"/>
          </w:tcPr>
          <w:p>
            <w:pPr>
              <w:widowControl w:val="0"/>
              <w:snapToGrid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rPr>
              <w:t>专家</w:t>
            </w:r>
            <w:r>
              <w:rPr>
                <w:rFonts w:hint="eastAsia" w:ascii="仿宋" w:hAnsi="仿宋" w:eastAsia="仿宋" w:cs="仿宋"/>
                <w:sz w:val="32"/>
                <w:szCs w:val="32"/>
                <w:lang w:eastAsia="zh-CN"/>
              </w:rPr>
              <w:t>、</w:t>
            </w:r>
            <w:r>
              <w:rPr>
                <w:rFonts w:hint="eastAsia" w:ascii="仿宋" w:hAnsi="仿宋" w:eastAsia="仿宋" w:cs="仿宋"/>
                <w:sz w:val="32"/>
                <w:szCs w:val="32"/>
              </w:rPr>
              <w:t>裁判员</w:t>
            </w:r>
          </w:p>
        </w:tc>
        <w:tc>
          <w:tcPr>
            <w:tcW w:w="1963" w:type="dxa"/>
            <w:noWrap w:val="0"/>
            <w:vAlign w:val="center"/>
          </w:tcPr>
          <w:p>
            <w:pPr>
              <w:widowControl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lang w:val="en-US" w:eastAsia="zh-CN"/>
              </w:rPr>
              <w:t>康复实训基地技能竞赛考场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3" w:type="dxa"/>
            <w:vMerge w:val="restart"/>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10月25日</w:t>
            </w:r>
          </w:p>
        </w:tc>
        <w:tc>
          <w:tcPr>
            <w:tcW w:w="2027" w:type="dxa"/>
            <w:noWrap w:val="0"/>
            <w:vAlign w:val="center"/>
          </w:tcPr>
          <w:p>
            <w:pPr>
              <w:widowControl w:val="0"/>
              <w:snapToGrid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lang w:val="en-US" w:eastAsia="zh-CN"/>
              </w:rPr>
              <w:t>8:00-8:40</w:t>
            </w:r>
          </w:p>
        </w:tc>
        <w:tc>
          <w:tcPr>
            <w:tcW w:w="2042" w:type="dxa"/>
            <w:noWrap w:val="0"/>
            <w:vAlign w:val="center"/>
          </w:tcPr>
          <w:p>
            <w:pPr>
              <w:widowControl w:val="0"/>
              <w:snapToGrid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rPr>
              <w:t>理论考试</w:t>
            </w:r>
          </w:p>
        </w:tc>
        <w:tc>
          <w:tcPr>
            <w:tcW w:w="1626" w:type="dxa"/>
            <w:noWrap w:val="0"/>
            <w:vAlign w:val="center"/>
          </w:tcPr>
          <w:p>
            <w:pPr>
              <w:widowControl w:val="0"/>
              <w:snapToGrid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rPr>
              <w:t>专家、裁判、参赛选手</w:t>
            </w:r>
          </w:p>
        </w:tc>
        <w:tc>
          <w:tcPr>
            <w:tcW w:w="1963" w:type="dxa"/>
            <w:noWrap w:val="0"/>
            <w:vAlign w:val="center"/>
          </w:tcPr>
          <w:p>
            <w:pPr>
              <w:widowControl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lang w:val="en-US" w:eastAsia="zh-CN"/>
              </w:rPr>
              <w:t>教学楼理论考场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3"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p>
        </w:tc>
        <w:tc>
          <w:tcPr>
            <w:tcW w:w="2027" w:type="dxa"/>
            <w:noWrap w:val="0"/>
            <w:vAlign w:val="center"/>
          </w:tcPr>
          <w:p>
            <w:pPr>
              <w:widowControl w:val="0"/>
              <w:snapToGrid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lang w:val="en-US" w:eastAsia="zh-CN"/>
              </w:rPr>
              <w:t>8:4</w:t>
            </w:r>
            <w:r>
              <w:rPr>
                <w:rFonts w:hint="eastAsia" w:ascii="仿宋" w:hAnsi="仿宋" w:eastAsia="仿宋" w:cs="仿宋"/>
                <w:sz w:val="32"/>
                <w:szCs w:val="32"/>
              </w:rPr>
              <w:t>0-</w:t>
            </w:r>
            <w:r>
              <w:rPr>
                <w:rFonts w:hint="eastAsia" w:ascii="仿宋" w:hAnsi="仿宋" w:eastAsia="仿宋" w:cs="仿宋"/>
                <w:sz w:val="32"/>
                <w:szCs w:val="32"/>
                <w:lang w:val="en-US" w:eastAsia="zh-CN"/>
              </w:rPr>
              <w:t>9</w:t>
            </w:r>
            <w:r>
              <w:rPr>
                <w:rFonts w:hint="eastAsia" w:ascii="仿宋" w:hAnsi="仿宋" w:eastAsia="仿宋" w:cs="仿宋"/>
                <w:sz w:val="32"/>
                <w:szCs w:val="32"/>
              </w:rPr>
              <w:t>:</w:t>
            </w:r>
            <w:r>
              <w:rPr>
                <w:rFonts w:hint="eastAsia" w:ascii="仿宋" w:hAnsi="仿宋" w:eastAsia="仿宋" w:cs="仿宋"/>
                <w:sz w:val="32"/>
                <w:szCs w:val="32"/>
                <w:lang w:val="en-US" w:eastAsia="zh-CN"/>
              </w:rPr>
              <w:t>30</w:t>
            </w:r>
          </w:p>
        </w:tc>
        <w:tc>
          <w:tcPr>
            <w:tcW w:w="2042" w:type="dxa"/>
            <w:noWrap w:val="0"/>
            <w:vAlign w:val="center"/>
          </w:tcPr>
          <w:p>
            <w:pPr>
              <w:widowControl w:val="0"/>
              <w:snapToGrid w:val="0"/>
              <w:jc w:val="both"/>
              <w:rPr>
                <w:rFonts w:hint="default"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lang w:val="en-US" w:eastAsia="zh-CN"/>
              </w:rPr>
              <w:t>抽签、候考</w:t>
            </w:r>
          </w:p>
        </w:tc>
        <w:tc>
          <w:tcPr>
            <w:tcW w:w="1626" w:type="dxa"/>
            <w:noWrap w:val="0"/>
            <w:vAlign w:val="center"/>
          </w:tcPr>
          <w:p>
            <w:pPr>
              <w:widowControl w:val="0"/>
              <w:snapToGrid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rPr>
              <w:t>参赛选手</w:t>
            </w:r>
          </w:p>
        </w:tc>
        <w:tc>
          <w:tcPr>
            <w:tcW w:w="1963" w:type="dxa"/>
            <w:noWrap w:val="0"/>
            <w:vAlign w:val="center"/>
          </w:tcPr>
          <w:p>
            <w:pPr>
              <w:widowControl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rPr>
              <w:t>候考室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3"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p>
        </w:tc>
        <w:tc>
          <w:tcPr>
            <w:tcW w:w="2027" w:type="dxa"/>
            <w:noWrap w:val="0"/>
            <w:vAlign w:val="center"/>
          </w:tcPr>
          <w:p>
            <w:pPr>
              <w:widowControl w:val="0"/>
              <w:snapToGrid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lang w:val="en-US" w:eastAsia="zh-CN"/>
              </w:rPr>
              <w:t>9</w:t>
            </w:r>
            <w:r>
              <w:rPr>
                <w:rFonts w:hint="eastAsia" w:ascii="仿宋" w:hAnsi="仿宋" w:eastAsia="仿宋" w:cs="仿宋"/>
                <w:sz w:val="32"/>
                <w:szCs w:val="32"/>
              </w:rPr>
              <w:t>:</w:t>
            </w:r>
            <w:r>
              <w:rPr>
                <w:rFonts w:hint="eastAsia" w:ascii="仿宋" w:hAnsi="仿宋" w:eastAsia="仿宋" w:cs="仿宋"/>
                <w:sz w:val="32"/>
                <w:szCs w:val="32"/>
                <w:lang w:val="en-US" w:eastAsia="zh-CN"/>
              </w:rPr>
              <w:t>3</w:t>
            </w:r>
            <w:r>
              <w:rPr>
                <w:rFonts w:hint="eastAsia" w:ascii="仿宋" w:hAnsi="仿宋" w:eastAsia="仿宋" w:cs="仿宋"/>
                <w:sz w:val="32"/>
                <w:szCs w:val="32"/>
              </w:rPr>
              <w:t>0-1</w:t>
            </w:r>
            <w:r>
              <w:rPr>
                <w:rFonts w:hint="eastAsia" w:ascii="仿宋" w:hAnsi="仿宋" w:eastAsia="仿宋" w:cs="仿宋"/>
                <w:sz w:val="32"/>
                <w:szCs w:val="32"/>
                <w:lang w:val="en-US" w:eastAsia="zh-CN"/>
              </w:rPr>
              <w:t>6</w:t>
            </w:r>
            <w:r>
              <w:rPr>
                <w:rFonts w:hint="eastAsia" w:ascii="仿宋" w:hAnsi="仿宋" w:eastAsia="仿宋" w:cs="仿宋"/>
                <w:sz w:val="32"/>
                <w:szCs w:val="32"/>
              </w:rPr>
              <w:t>:</w:t>
            </w:r>
            <w:r>
              <w:rPr>
                <w:rFonts w:hint="eastAsia" w:ascii="仿宋" w:hAnsi="仿宋" w:eastAsia="仿宋" w:cs="仿宋"/>
                <w:sz w:val="32"/>
                <w:szCs w:val="32"/>
                <w:lang w:val="en-US" w:eastAsia="zh-CN"/>
              </w:rPr>
              <w:t>3</w:t>
            </w:r>
            <w:r>
              <w:rPr>
                <w:rFonts w:hint="eastAsia" w:ascii="仿宋" w:hAnsi="仿宋" w:eastAsia="仿宋" w:cs="仿宋"/>
                <w:sz w:val="32"/>
                <w:szCs w:val="32"/>
              </w:rPr>
              <w:t>0</w:t>
            </w:r>
          </w:p>
        </w:tc>
        <w:tc>
          <w:tcPr>
            <w:tcW w:w="2042" w:type="dxa"/>
            <w:noWrap w:val="0"/>
            <w:vAlign w:val="center"/>
          </w:tcPr>
          <w:p>
            <w:pPr>
              <w:widowControl w:val="0"/>
              <w:snapToGrid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rPr>
              <w:t>操作竞赛</w:t>
            </w:r>
          </w:p>
        </w:tc>
        <w:tc>
          <w:tcPr>
            <w:tcW w:w="1626" w:type="dxa"/>
            <w:noWrap w:val="0"/>
            <w:vAlign w:val="center"/>
          </w:tcPr>
          <w:p>
            <w:pPr>
              <w:widowControl w:val="0"/>
              <w:snapToGrid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rPr>
              <w:t>参赛选手、裁判员</w:t>
            </w:r>
          </w:p>
        </w:tc>
        <w:tc>
          <w:tcPr>
            <w:tcW w:w="1963" w:type="dxa"/>
            <w:noWrap w:val="0"/>
            <w:vAlign w:val="center"/>
          </w:tcPr>
          <w:p>
            <w:pPr>
              <w:widowControl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lang w:val="en-US" w:eastAsia="zh-CN"/>
              </w:rPr>
              <w:t>康复实训基地技能竞赛考场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3"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p>
        </w:tc>
        <w:tc>
          <w:tcPr>
            <w:tcW w:w="2027" w:type="dxa"/>
            <w:noWrap w:val="0"/>
            <w:vAlign w:val="center"/>
          </w:tcPr>
          <w:p>
            <w:pPr>
              <w:widowControl w:val="0"/>
              <w:snapToGrid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lang w:val="en-US" w:eastAsia="zh-CN"/>
              </w:rPr>
              <w:t>17:00-18:00</w:t>
            </w:r>
          </w:p>
        </w:tc>
        <w:tc>
          <w:tcPr>
            <w:tcW w:w="2042" w:type="dxa"/>
            <w:noWrap w:val="0"/>
            <w:vAlign w:val="center"/>
          </w:tcPr>
          <w:p>
            <w:pPr>
              <w:widowControl w:val="0"/>
              <w:snapToGrid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rPr>
              <w:t>赛后评委点评</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闭幕式</w:t>
            </w:r>
          </w:p>
        </w:tc>
        <w:tc>
          <w:tcPr>
            <w:tcW w:w="1626" w:type="dxa"/>
            <w:noWrap w:val="0"/>
            <w:vAlign w:val="center"/>
          </w:tcPr>
          <w:p>
            <w:pPr>
              <w:widowControl w:val="0"/>
              <w:snapToGrid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rPr>
              <w:t>专家、裁判、参赛代表队</w:t>
            </w:r>
          </w:p>
        </w:tc>
        <w:tc>
          <w:tcPr>
            <w:tcW w:w="1963" w:type="dxa"/>
            <w:noWrap w:val="0"/>
            <w:vAlign w:val="center"/>
          </w:tcPr>
          <w:p>
            <w:pPr>
              <w:widowControl w:val="0"/>
              <w:jc w:val="both"/>
              <w:rPr>
                <w:rFonts w:hint="eastAsia" w:ascii="仿宋" w:hAnsi="仿宋" w:eastAsia="仿宋" w:cs="仿宋"/>
                <w:snapToGrid w:val="0"/>
                <w:color w:val="auto"/>
                <w:kern w:val="0"/>
                <w:sz w:val="32"/>
                <w:szCs w:val="32"/>
                <w:vertAlign w:val="baseline"/>
                <w:lang w:val="en-US" w:eastAsia="zh-CN" w:bidi="ar-SA"/>
              </w:rPr>
            </w:pPr>
            <w:r>
              <w:rPr>
                <w:rFonts w:hint="eastAsia" w:ascii="仿宋" w:hAnsi="仿宋" w:eastAsia="仿宋" w:cs="仿宋"/>
                <w:sz w:val="32"/>
                <w:szCs w:val="32"/>
                <w:lang w:val="en-US" w:eastAsia="zh-CN"/>
              </w:rPr>
              <w:t>107多功能室</w:t>
            </w:r>
          </w:p>
        </w:tc>
      </w:tr>
    </w:tbl>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321" w:firstLineChars="100"/>
        <w:jc w:val="both"/>
        <w:textAlignment w:val="baseline"/>
        <w:rPr>
          <w:rFonts w:hint="default" w:ascii="仿宋_GB2312" w:eastAsia="仿宋_GB2312" w:cs="Calibri"/>
          <w:snapToGrid w:val="0"/>
          <w:color w:val="auto"/>
          <w:kern w:val="0"/>
          <w:sz w:val="32"/>
          <w:szCs w:val="32"/>
          <w:lang w:val="en-US" w:eastAsia="zh-CN" w:bidi="ar-SA"/>
        </w:rPr>
      </w:pPr>
      <w:r>
        <w:rPr>
          <w:rFonts w:hint="eastAsia" w:ascii="楷体_GB2312" w:hAnsi="楷体_GB2312" w:eastAsia="楷体_GB2312" w:cs="楷体_GB2312"/>
          <w:b/>
          <w:bCs/>
          <w:snapToGrid w:val="0"/>
          <w:color w:val="auto"/>
          <w:kern w:val="0"/>
          <w:sz w:val="32"/>
          <w:szCs w:val="32"/>
          <w:lang w:val="en-US" w:eastAsia="zh-CN" w:bidi="ar-SA"/>
        </w:rPr>
        <w:t>（三）抽签流程</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1.由赛项执委会按照竞赛流程召开领队会议组织各校领队参加公开抽签，确定各队参赛次序。参赛队按照抽签确定的参赛次序进入比赛场地参赛。</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2.各参赛队按次序在比赛前30分钟到赛项指定地点接受检录备考开始前由工作人员将参赛选手带至备考室抽取角色分工及试题。</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321" w:firstLineChars="1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楷体_GB2312" w:hAnsi="楷体_GB2312" w:eastAsia="楷体_GB2312" w:cs="楷体_GB2312"/>
          <w:b/>
          <w:bCs/>
          <w:snapToGrid w:val="0"/>
          <w:color w:val="auto"/>
          <w:kern w:val="0"/>
          <w:sz w:val="32"/>
          <w:szCs w:val="32"/>
          <w:lang w:val="en-US" w:eastAsia="zh-CN" w:bidi="ar-SA"/>
        </w:rPr>
        <w:t>（四）竞赛流程</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仿宋_GB2312" w:eastAsia="仿宋_GB2312" w:cs="Calibri"/>
          <w:b/>
          <w:bCs/>
          <w:snapToGrid w:val="0"/>
          <w:color w:val="auto"/>
          <w:kern w:val="0"/>
          <w:sz w:val="32"/>
          <w:szCs w:val="32"/>
          <w:lang w:val="en-US" w:eastAsia="zh-CN" w:bidi="ar-SA"/>
        </w:rPr>
      </w:pPr>
      <w:r>
        <w:rPr>
          <w:rFonts w:hint="eastAsia" w:ascii="仿宋_GB2312" w:eastAsia="仿宋_GB2312" w:cs="Calibri"/>
          <w:b/>
          <w:bCs/>
          <w:snapToGrid w:val="0"/>
          <w:color w:val="auto"/>
          <w:kern w:val="0"/>
          <w:sz w:val="32"/>
          <w:szCs w:val="32"/>
          <w:lang w:val="en-US" w:eastAsia="zh-CN" w:bidi="ar-SA"/>
        </w:rPr>
        <w:t>1.理论知识竞赛</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所有选手必须参加，抽取序号对号入座。</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仿宋_GB2312" w:eastAsia="仿宋_GB2312" w:cs="Calibri"/>
          <w:b/>
          <w:bCs/>
          <w:snapToGrid w:val="0"/>
          <w:color w:val="auto"/>
          <w:kern w:val="0"/>
          <w:sz w:val="32"/>
          <w:szCs w:val="32"/>
          <w:lang w:val="en-US" w:eastAsia="zh-CN" w:bidi="ar-SA"/>
        </w:rPr>
      </w:pPr>
      <w:r>
        <w:rPr>
          <w:rFonts w:hint="eastAsia" w:ascii="仿宋_GB2312" w:eastAsia="仿宋_GB2312" w:cs="Calibri"/>
          <w:b/>
          <w:bCs/>
          <w:snapToGrid w:val="0"/>
          <w:color w:val="auto"/>
          <w:kern w:val="0"/>
          <w:sz w:val="32"/>
          <w:szCs w:val="32"/>
          <w:lang w:val="en-US" w:eastAsia="zh-CN" w:bidi="ar-SA"/>
        </w:rPr>
        <w:t>2.技能操作竞赛</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选手进入候考区→待考→检录→抽题、抽角色分工→备考→进入赛场→试题交给监考员→向评委报告题号→考试操作→操作结束→评委提问→宣布“考试时间到”→选手退出操作区→评委打分→监考员监督，记分员计分→引导员归还试题→选手离场→进入指定休息室→比赛结束统一离场。</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小组所有选手操作结束，统分、记分员、监督员、评委、评委组长签字→交给统分负责人员。</w:t>
      </w:r>
    </w:p>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黑体" w:hAnsi="黑体" w:eastAsia="黑体" w:cs="黑体"/>
          <w:snapToGrid w:val="0"/>
          <w:color w:val="auto"/>
          <w:kern w:val="0"/>
          <w:sz w:val="32"/>
          <w:szCs w:val="32"/>
          <w:lang w:val="en-US" w:eastAsia="zh-CN" w:bidi="ar-SA"/>
        </w:rPr>
      </w:pPr>
      <w:r>
        <w:rPr>
          <w:rFonts w:hint="eastAsia" w:ascii="黑体" w:hAnsi="黑体" w:eastAsia="黑体" w:cs="黑体"/>
          <w:snapToGrid w:val="0"/>
          <w:color w:val="auto"/>
          <w:kern w:val="0"/>
          <w:sz w:val="32"/>
          <w:szCs w:val="32"/>
          <w:lang w:val="en-US" w:eastAsia="zh-CN" w:bidi="ar-SA"/>
        </w:rPr>
        <w:t>六、竞赛规则</w:t>
      </w:r>
    </w:p>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 xml:space="preserve">   </w:t>
      </w:r>
      <w:r>
        <w:rPr>
          <w:rFonts w:hint="eastAsia" w:ascii="楷体" w:hAnsi="楷体" w:eastAsia="楷体" w:cs="楷体"/>
          <w:b/>
          <w:bCs/>
          <w:snapToGrid w:val="0"/>
          <w:color w:val="auto"/>
          <w:kern w:val="0"/>
          <w:sz w:val="32"/>
          <w:szCs w:val="32"/>
          <w:lang w:val="en-US" w:eastAsia="zh-CN" w:bidi="ar-SA"/>
        </w:rPr>
        <w:t>（一）参赛选手报名</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按照海南省教育厅规定的报名要求报名参赛。</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（二）召开赛前说明会</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比赛前一天，召开赛前说明会，宣布竞赛纪律和相关事宜。</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（三）正式比赛赛场规则</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1.参赛队的校领队抽取参赛出场顺序，并对抽签结果签字确认。</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2.参赛选手在比赛前30分钟到赛项制定地点接受检录，逾期15分钟未到视为自动放弃。参赛选手凭身份证和赛项执委会统一签发的参赛证、经学校注册的学生证，在引导员指引下提前进入指定的地点进行赛前准备，</w:t>
      </w:r>
      <w:r>
        <w:rPr>
          <w:rFonts w:hint="default" w:ascii="Times New Roman" w:hAnsi="Times New Roman" w:eastAsia="仿宋_GB2312" w:cs="Times New Roman"/>
          <w:sz w:val="32"/>
          <w:szCs w:val="32"/>
        </w:rPr>
        <w:t>选手所有证件的个人信息必须一致</w:t>
      </w:r>
      <w:r>
        <w:rPr>
          <w:rFonts w:hint="eastAsia" w:ascii="仿宋_GB2312" w:eastAsia="仿宋_GB2312" w:cs="Calibri"/>
          <w:snapToGrid w:val="0"/>
          <w:color w:val="auto"/>
          <w:kern w:val="0"/>
          <w:sz w:val="32"/>
          <w:szCs w:val="32"/>
          <w:lang w:val="en-US" w:eastAsia="zh-CN" w:bidi="ar-SA"/>
        </w:rPr>
        <w:t>。</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3.参赛选手应认真阅读竞赛须知,自觉遵守竞赛规则和赛场纪律不得携带任何通讯设备、袋包、纸质材料等物品进入候考区域和竞赛场地。比赛期间不得以任何方式公开参赛队及个人信息，违规者取消本次竞赛资格。</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4.参赛选手比赛期间必须严格遵守安全操作规程,确保人身安全。</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5.评委佩戴评委证，通讯工具统一管理，严格按照评分标准客观公正进行独立评分。</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6.赛场各类工作人员必须统一佩戴由赛项执委会印制的相应证件，着装整齐，进入工作岗位，遵守赛事规定，认真做好所负责的工作。</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7.各赛场除大赛组委会成员、赛项执委会成员、现场裁判、赛场配备的工作人员外，其他人员未经赛项执委会允许不得进入赛场。新闻媒体等进入赛场必须经过赛项执委会允许，并且听从现场工作人员的安排和指挥，不得影响竞赛正常进行。</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8.参赛选手竞赛开始、终止时间由计时裁判记录在案;比赛结束前2分钟给予不干扰提醒。比赛时间到，参赛选手停止比赛，按照要求有序地离开竞赛区域。参赛选手提前结束竞赛并示意后，不得再进行任何操作。</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9.裁判组和裁判员要严格按照竞赛规范和流程有序开展竞赛，客观公正准确评分，保证竞赛顺利按时完成。各裁判组长负责本赛评判工作和进程。裁判长负责竞赛总体评判工作和进程，做好巡视工作，严格把握评判质量和规范。</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（四）成绩评定与结果公布</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1.在赛项执委会领导下，裁判组负责各赛道的成绩评定，总裁判长负责赛项成绩的审核确认和公布。</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2.理论考试结束1小时后公布考试成绩，技能竞赛成绩现场公布。</w:t>
      </w:r>
    </w:p>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黑体" w:hAnsi="黑体" w:eastAsia="黑体" w:cs="黑体"/>
          <w:snapToGrid w:val="0"/>
          <w:color w:val="auto"/>
          <w:kern w:val="0"/>
          <w:sz w:val="32"/>
          <w:szCs w:val="32"/>
          <w:lang w:val="en-US" w:eastAsia="zh-CN" w:bidi="ar-SA"/>
        </w:rPr>
      </w:pPr>
      <w:r>
        <w:rPr>
          <w:rFonts w:hint="eastAsia" w:ascii="黑体" w:hAnsi="黑体" w:eastAsia="黑体" w:cs="黑体"/>
          <w:snapToGrid w:val="0"/>
          <w:color w:val="auto"/>
          <w:kern w:val="0"/>
          <w:sz w:val="32"/>
          <w:szCs w:val="32"/>
          <w:lang w:val="en-US" w:eastAsia="zh-CN" w:bidi="ar-SA"/>
        </w:rPr>
        <w:t>七、技术规范</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本赛项遵循的技术规范可参考如下：</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（一）专业教学标准要求：</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赛项根据教育部颁布的《高等职业学校康复治疗技术专业教学标准（2019）》和《职业教育专业简介（康复治疗类，2022年修订）》的素质、知识、能力和职业态度要求，符合专业核心课程《康复评定技术》《运动治疗技术》《物理因子治疗技术》《作业治疗技术》《常见疾病康复》等课程目标和教学内容的要求。</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（二）行业、职业技术标准</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《常用康复治疗技术操作规范（2012版）》（卫生部）；</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《2023年全国卫生专业技术资格考试康复医学治疗技术（士、师、中级）考试大纲》。</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（三）设备技术标准</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赛场配备康复评定与康复治疗的基本设备</w:t>
      </w:r>
      <w:r>
        <w:rPr>
          <w:rFonts w:hint="eastAsia" w:ascii="仿宋_GB2312" w:eastAsia="仿宋_GB2312" w:cs="Calibri"/>
          <w:snapToGrid w:val="0"/>
          <w:color w:val="auto"/>
          <w:kern w:val="0"/>
          <w:sz w:val="32"/>
          <w:szCs w:val="32"/>
          <w:highlight w:val="none"/>
          <w:lang w:val="en-US" w:eastAsia="zh-CN" w:bidi="ar-SA"/>
        </w:rPr>
        <w:t>包括握力计、捏力测定仪、通用量角器、多体位治疗床、可升降治疗床、PT凳、弹力带、沙袋、体操棒、抗阻肌力训练器、神经肌肉电刺激仪(含电极片)、经皮神经电刺激仪、中频电治疗仪(含电极若干)、超短波、作业治疗综合训练台、滚筒、插件类、手工类、日常生活活动类器具、作业类辅助器具、认知训练仪、吞咽治疗仪、言语治疗图卡等。</w:t>
      </w:r>
      <w:r>
        <w:rPr>
          <w:rFonts w:hint="eastAsia" w:ascii="仿宋_GB2312" w:eastAsia="仿宋_GB2312" w:cs="Calibri"/>
          <w:snapToGrid w:val="0"/>
          <w:color w:val="auto"/>
          <w:kern w:val="0"/>
          <w:sz w:val="32"/>
          <w:szCs w:val="32"/>
          <w:lang w:val="en-US" w:eastAsia="zh-CN" w:bidi="ar-SA"/>
        </w:rPr>
        <w:t>设备均符合国家卫健委《康复医疗中心基本标准(试行)》要求。</w:t>
      </w:r>
    </w:p>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黑体" w:hAnsi="黑体" w:eastAsia="黑体" w:cs="黑体"/>
          <w:snapToGrid w:val="0"/>
          <w:color w:val="auto"/>
          <w:kern w:val="0"/>
          <w:sz w:val="32"/>
          <w:szCs w:val="32"/>
          <w:lang w:val="en-US" w:eastAsia="zh-CN" w:bidi="ar-SA"/>
        </w:rPr>
      </w:pPr>
      <w:r>
        <w:rPr>
          <w:rFonts w:hint="eastAsia" w:ascii="黑体" w:hAnsi="黑体" w:eastAsia="黑体" w:cs="黑体"/>
          <w:snapToGrid w:val="0"/>
          <w:color w:val="auto"/>
          <w:kern w:val="0"/>
          <w:sz w:val="32"/>
          <w:szCs w:val="32"/>
          <w:lang w:val="en-US" w:eastAsia="zh-CN" w:bidi="ar-SA"/>
        </w:rPr>
        <w:t>八、技术环境</w:t>
      </w:r>
    </w:p>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 xml:space="preserve">  </w:t>
      </w:r>
      <w:r>
        <w:rPr>
          <w:rFonts w:hint="eastAsia" w:ascii="楷体" w:hAnsi="楷体" w:eastAsia="楷体" w:cs="楷体"/>
          <w:b/>
          <w:bCs/>
          <w:snapToGrid w:val="0"/>
          <w:color w:val="auto"/>
          <w:kern w:val="0"/>
          <w:sz w:val="32"/>
          <w:szCs w:val="32"/>
          <w:lang w:val="en-US" w:eastAsia="zh-CN" w:bidi="ar-SA"/>
        </w:rPr>
        <w:t>（一）竞赛环境</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竞赛场地要求通风、宽敞明亮，配备双线路供电系统和漏电保护装置，配备实况监控视频转播系统。在规定赛场内，须设置:</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highlight w:val="none"/>
          <w:lang w:val="en-US" w:eastAsia="zh-CN" w:bidi="ar-SA"/>
        </w:rPr>
        <w:t>1.理论考试竞赛区:标准单人单座考场。</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2.技能操作竞赛区:分候赛区、备赛区、技能竞赛区和休息区。</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（二）技术平台</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赛项的器材、物品均为全国职业院校康复治疗技术实训通用器材，比赛摄像及同步直播平台和网络平台由海南卫生健康职业学院提供。标准化病人（Standard Patient,SP）由专家组抽取，培训后上岗。</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本赛项使用标准化病人（Standard Patient,SP）配合案例展现。按照案例病种数和赛道数进行配比。SP的条件：具备良好的表演能力、理解能力、记忆力、沟通能力，同时有良好的体力和耐力，有足够时间参加培训及比赛。针对这一比赛，SP赛前接受同意标准化培训，掌握相关疾病的主要症状、功能障碍和特点，心理和社会问题的相关特征，能表现出案例要求的相应身体、情绪感受和体验，按照竞赛脚本要求配合完成选手的技术操作任务:要保证在同一案例中表演和配合一致性，为每一名选手提供公平一致的配合。SP培训前要签署保密责任书，服从大赛安排。</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（三）比赛器材和物品</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赛场配备康复评定与康复治疗的基本设备。</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b/>
          <w:bCs/>
          <w:snapToGrid w:val="0"/>
          <w:color w:val="auto"/>
          <w:kern w:val="0"/>
          <w:sz w:val="32"/>
          <w:szCs w:val="32"/>
          <w:lang w:val="en-US" w:eastAsia="zh-CN" w:bidi="ar-SA"/>
        </w:rPr>
        <w:t>1.康复评定</w:t>
      </w:r>
      <w:r>
        <w:rPr>
          <w:rFonts w:hint="eastAsia" w:ascii="仿宋_GB2312" w:eastAsia="仿宋_GB2312" w:cs="Calibri"/>
          <w:snapToGrid w:val="0"/>
          <w:color w:val="auto"/>
          <w:kern w:val="0"/>
          <w:sz w:val="32"/>
          <w:szCs w:val="32"/>
          <w:lang w:val="en-US" w:eastAsia="zh-CN" w:bidi="ar-SA"/>
        </w:rPr>
        <w:t xml:space="preserve"> 采用“标准化病人”进行操作。配备肌力、肌张力、关节活动度、平衡功能、认知、语言、吞咽和日常活动能力等评定量表和握力测定仪、捏力测定仪、通用量角器等相关器材。</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b/>
          <w:bCs/>
          <w:snapToGrid w:val="0"/>
          <w:color w:val="auto"/>
          <w:kern w:val="0"/>
          <w:sz w:val="32"/>
          <w:szCs w:val="32"/>
          <w:lang w:val="en-US" w:eastAsia="zh-CN" w:bidi="ar-SA"/>
        </w:rPr>
        <w:t>2.运动治疗</w:t>
      </w:r>
      <w:r>
        <w:rPr>
          <w:rFonts w:hint="eastAsia" w:ascii="仿宋_GB2312" w:eastAsia="仿宋_GB2312" w:cs="Calibri"/>
          <w:snapToGrid w:val="0"/>
          <w:color w:val="auto"/>
          <w:kern w:val="0"/>
          <w:sz w:val="32"/>
          <w:szCs w:val="32"/>
          <w:lang w:val="en-US" w:eastAsia="zh-CN" w:bidi="ar-SA"/>
        </w:rPr>
        <w:t xml:space="preserve"> 采用“标准化病人”进行操作。提供多体位治疗床可升降治疗床、PT凳、弹力带、沙袋、体操棒、抗阻肌力训练器等相关器材。</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b/>
          <w:bCs/>
          <w:snapToGrid w:val="0"/>
          <w:color w:val="auto"/>
          <w:kern w:val="0"/>
          <w:sz w:val="32"/>
          <w:szCs w:val="32"/>
          <w:lang w:val="en-US" w:eastAsia="zh-CN" w:bidi="ar-SA"/>
        </w:rPr>
        <w:t>3.物理因子治疗</w:t>
      </w:r>
      <w:r>
        <w:rPr>
          <w:rFonts w:hint="eastAsia" w:ascii="仿宋_GB2312" w:eastAsia="仿宋_GB2312" w:cs="Calibri"/>
          <w:snapToGrid w:val="0"/>
          <w:color w:val="auto"/>
          <w:kern w:val="0"/>
          <w:sz w:val="32"/>
          <w:szCs w:val="32"/>
          <w:lang w:val="en-US" w:eastAsia="zh-CN" w:bidi="ar-SA"/>
        </w:rPr>
        <w:t xml:space="preserve"> 采用“标准化病人”进行操作。提供神经肌肉电刺激仪(含电极片)、经皮神经电刺激仪、中频电治疗仪(含电极若干)、超短波等仪器。</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b/>
          <w:bCs/>
          <w:snapToGrid w:val="0"/>
          <w:color w:val="auto"/>
          <w:kern w:val="0"/>
          <w:sz w:val="32"/>
          <w:szCs w:val="32"/>
          <w:lang w:val="en-US" w:eastAsia="zh-CN" w:bidi="ar-SA"/>
        </w:rPr>
        <w:t>4.作业治疗</w:t>
      </w:r>
      <w:r>
        <w:rPr>
          <w:rFonts w:hint="eastAsia" w:ascii="仿宋_GB2312" w:eastAsia="仿宋_GB2312" w:cs="Calibri"/>
          <w:snapToGrid w:val="0"/>
          <w:color w:val="auto"/>
          <w:kern w:val="0"/>
          <w:sz w:val="32"/>
          <w:szCs w:val="32"/>
          <w:lang w:val="en-US" w:eastAsia="zh-CN" w:bidi="ar-SA"/>
        </w:rPr>
        <w:t xml:space="preserve"> 采用“标准化病人”进行操作。提供作业治疗综合训练台、滚筒、插件类、手工类、日常生活活动类器具、作业类辅助器具、认知训练仪等设备。</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b/>
          <w:bCs/>
          <w:snapToGrid w:val="0"/>
          <w:color w:val="auto"/>
          <w:kern w:val="0"/>
          <w:sz w:val="32"/>
          <w:szCs w:val="32"/>
          <w:lang w:val="en-US" w:eastAsia="zh-CN" w:bidi="ar-SA"/>
        </w:rPr>
        <w:t>5.言语吞咽治疗</w:t>
      </w:r>
      <w:r>
        <w:rPr>
          <w:rFonts w:hint="eastAsia" w:ascii="仿宋_GB2312" w:eastAsia="仿宋_GB2312" w:cs="Calibri"/>
          <w:snapToGrid w:val="0"/>
          <w:color w:val="auto"/>
          <w:kern w:val="0"/>
          <w:sz w:val="32"/>
          <w:szCs w:val="32"/>
          <w:lang w:val="en-US" w:eastAsia="zh-CN" w:bidi="ar-SA"/>
        </w:rPr>
        <w:t xml:space="preserve"> 采用“标准化病人”进行操作。提供冰棉签、吞咽治疗仪、言语治疗图卡等。</w:t>
      </w:r>
    </w:p>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黑体" w:hAnsi="黑体" w:eastAsia="黑体" w:cs="黑体"/>
          <w:snapToGrid w:val="0"/>
          <w:color w:val="auto"/>
          <w:kern w:val="0"/>
          <w:sz w:val="32"/>
          <w:szCs w:val="32"/>
          <w:lang w:val="en-US" w:eastAsia="zh-CN" w:bidi="ar-SA"/>
        </w:rPr>
      </w:pPr>
      <w:r>
        <w:rPr>
          <w:rFonts w:hint="eastAsia" w:ascii="黑体" w:hAnsi="黑体" w:eastAsia="黑体" w:cs="黑体"/>
          <w:snapToGrid w:val="0"/>
          <w:color w:val="auto"/>
          <w:kern w:val="0"/>
          <w:sz w:val="32"/>
          <w:szCs w:val="32"/>
          <w:lang w:val="en-US" w:eastAsia="zh-CN" w:bidi="ar-SA"/>
        </w:rPr>
        <w:t>九、竞赛样题</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highlight w:val="none"/>
          <w:lang w:val="en-US" w:eastAsia="zh-CN" w:bidi="ar-SA"/>
        </w:rPr>
      </w:pPr>
      <w:r>
        <w:rPr>
          <w:rFonts w:hint="eastAsia" w:ascii="仿宋_GB2312" w:eastAsia="仿宋_GB2312" w:cs="Calibri"/>
          <w:snapToGrid w:val="0"/>
          <w:color w:val="auto"/>
          <w:kern w:val="0"/>
          <w:sz w:val="32"/>
          <w:szCs w:val="32"/>
          <w:lang w:val="en-US" w:eastAsia="zh-CN" w:bidi="ar-SA"/>
        </w:rPr>
        <w:t>根据大赛赛题管理办法规定，建立理论考试题库和技能操作案例题库，由大赛组委会参考《全国卫生专业技术资格考试康复医学治疗技术(士、师、中级)考试大纲》组织出题，题库中70%在大赛网络信息平台公开，30%保密封存。</w:t>
      </w:r>
      <w:r>
        <w:rPr>
          <w:rFonts w:hint="eastAsia" w:ascii="仿宋_GB2312" w:eastAsia="仿宋_GB2312" w:cs="Calibri"/>
          <w:snapToGrid w:val="0"/>
          <w:color w:val="auto"/>
          <w:kern w:val="0"/>
          <w:sz w:val="32"/>
          <w:szCs w:val="32"/>
          <w:highlight w:val="none"/>
          <w:lang w:val="en-US" w:eastAsia="zh-CN" w:bidi="ar-SA"/>
        </w:rPr>
        <w:t>赛前由裁判长在省教育厅的监督下随机组3套试卷。赛前10分钟，由理论知识竞赛1号选手从1-3号套题中随机抽取考试试题套号。选手在规定时间内完成答题，理论考试结束1小时后公布成绩。</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样题如下：</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【理论知识竞赛样题】</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单选题（一下每一道考题下面有A、B、C、D、E五个备选答案。请从中选择一个最佳答案）</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1.脑卒中偏瘫患者下肢出现伸肌的协同运动，最不可能出现的是（    ）</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A.髋关节伸展    B.膝关节屈曲    C.踝关节内翻</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D.踝关节跖屈    E.趾背屈</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【技能操作案例样题】</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案例描述：</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某男性患者，48岁，出租车司机。因颈肩部疼痛伴右上肢放射性痛1周入院。患者1周前开始出现颈肩部疼痛，之后有反复发作1周前出现症状加重，伴右上肢放射性痛，同时伴有右上肢木，活动时疼痛加重，卧床休息后稍有缓解。无潮热、盗汗，无心慌、胸闷无恶心、呕吐等不适</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查体：神志清楚，发育正常，营养中等，步态正常，检查合作。生理反射存在，病理反射未引出。颈4~7棘突及右侧压痛，右臂丛牵拉试验（+），Hoffman征（-）。双侧上肢肌力、肌张力、腱反射均未见明显异常。X线示：C4~C7轻度骨质增生，生理曲度变直。</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参赛选手任务：（1、2、3题为操作演示题，4为口述题）</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1.请从康复治疗师的角度对这个患者进行问诊并总结问诊结果。</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2.针对本病例,请陈述康复评定的内容应包括哪些?并演示2个典型的评定方法。</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3.请为此患者设计一套康复治疗方案，并演示一种手法处理方法和一套治疗性运动。</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4.请陈述什么原因引致患者的这些症状和体征？患者有哪些功能受限？治疗的短期目标、长期目标、康复计划以及预后分别如何？</w:t>
      </w:r>
    </w:p>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黑体" w:hAnsi="黑体" w:eastAsia="黑体" w:cs="黑体"/>
          <w:snapToGrid w:val="0"/>
          <w:color w:val="auto"/>
          <w:kern w:val="0"/>
          <w:sz w:val="32"/>
          <w:szCs w:val="32"/>
          <w:lang w:val="en-US" w:eastAsia="zh-CN" w:bidi="ar-SA"/>
        </w:rPr>
      </w:pPr>
      <w:r>
        <w:rPr>
          <w:rFonts w:hint="eastAsia" w:ascii="黑体" w:hAnsi="黑体" w:eastAsia="黑体" w:cs="黑体"/>
          <w:snapToGrid w:val="0"/>
          <w:color w:val="auto"/>
          <w:kern w:val="0"/>
          <w:sz w:val="32"/>
          <w:szCs w:val="32"/>
          <w:lang w:val="en-US" w:eastAsia="zh-CN" w:bidi="ar-SA"/>
        </w:rPr>
        <w:t>十、成绩评定</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（一）评分标准制定原则</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评分标准由赛项专家组按照《全国职业院校技能大赛成绩管理办法》的相关要求进行制定。评分标准包括对学生的职业素养（包括专业态度、仪表、沟通能力等）、专业知识和技术的掌握运用、操作前的准备、操作过程的规范性、准确性及熟练程度的评价，全面考量学生分析问题和解决问题的实际应用能力，以及团队协作沟通及组织与管理能力，同时兼顾团队协作精神、价值观与态度、职业道德素养进行综合评价。</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（二）评分方法</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仿宋_GB2312" w:eastAsia="仿宋_GB2312" w:cs="Calibri"/>
          <w:b/>
          <w:bCs/>
          <w:snapToGrid w:val="0"/>
          <w:color w:val="auto"/>
          <w:kern w:val="0"/>
          <w:sz w:val="32"/>
          <w:szCs w:val="32"/>
          <w:lang w:val="en-US" w:eastAsia="zh-CN" w:bidi="ar-SA"/>
        </w:rPr>
      </w:pPr>
      <w:r>
        <w:rPr>
          <w:rFonts w:hint="eastAsia" w:ascii="仿宋_GB2312" w:eastAsia="仿宋_GB2312" w:cs="Calibri"/>
          <w:b/>
          <w:bCs/>
          <w:snapToGrid w:val="0"/>
          <w:color w:val="auto"/>
          <w:kern w:val="0"/>
          <w:sz w:val="32"/>
          <w:szCs w:val="32"/>
          <w:lang w:val="en-US" w:eastAsia="zh-CN" w:bidi="ar-SA"/>
        </w:rPr>
        <w:t>1.成绩评定</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1）竞赛成绩采用百分制计分：其中理论考试占15%，技能操作占85%。理论考试100分（单项选择50分，每题2分），取3名选手的平均分×15%计入团队总分（精确到小数点后两位，四舍五入）；技能操作100分（问诊20%，评定35%，治疗35%，回答问题10%），技能操作平均得分×85%计入团队总分（精确到小数点后两位，四舍五入）。</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（2）</w:t>
      </w:r>
      <w:r>
        <w:rPr>
          <w:rFonts w:hint="default" w:ascii="仿宋_GB2312" w:eastAsia="仿宋_GB2312" w:cs="Calibri"/>
          <w:snapToGrid w:val="0"/>
          <w:color w:val="auto"/>
          <w:kern w:val="0"/>
          <w:sz w:val="32"/>
          <w:szCs w:val="32"/>
          <w:lang w:val="en-US" w:eastAsia="zh-CN" w:bidi="ar-SA"/>
        </w:rPr>
        <w:t>理论考试按照评分标准评分</w:t>
      </w:r>
      <w:r>
        <w:rPr>
          <w:rFonts w:hint="eastAsia" w:ascii="仿宋_GB2312" w:eastAsia="仿宋_GB2312" w:cs="Calibri"/>
          <w:snapToGrid w:val="0"/>
          <w:color w:val="auto"/>
          <w:kern w:val="0"/>
          <w:sz w:val="32"/>
          <w:szCs w:val="32"/>
          <w:lang w:val="en-US" w:eastAsia="zh-CN" w:bidi="ar-SA"/>
        </w:rPr>
        <w:t>；</w:t>
      </w:r>
      <w:r>
        <w:rPr>
          <w:rFonts w:hint="default" w:ascii="仿宋_GB2312" w:eastAsia="仿宋_GB2312" w:cs="Calibri"/>
          <w:snapToGrid w:val="0"/>
          <w:color w:val="auto"/>
          <w:kern w:val="0"/>
          <w:sz w:val="32"/>
          <w:szCs w:val="32"/>
          <w:lang w:val="en-US" w:eastAsia="zh-CN" w:bidi="ar-SA"/>
        </w:rPr>
        <w:t>技能操作依据评分标准评分，去掉一个最高分和一个最低分，取其余裁判给分之和的算术平均值为参赛选手技能操作得分(精确到小数点后两位，四舍五入)</w:t>
      </w:r>
      <w:r>
        <w:rPr>
          <w:rFonts w:hint="eastAsia" w:ascii="仿宋_GB2312" w:eastAsia="仿宋_GB2312" w:cs="Calibri"/>
          <w:snapToGrid w:val="0"/>
          <w:color w:val="auto"/>
          <w:kern w:val="0"/>
          <w:sz w:val="32"/>
          <w:szCs w:val="32"/>
          <w:lang w:val="en-US" w:eastAsia="zh-CN" w:bidi="ar-SA"/>
        </w:rPr>
        <w:t>。</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仿宋_GB2312" w:eastAsia="仿宋_GB2312" w:cs="Calibri"/>
          <w:b/>
          <w:bCs/>
          <w:snapToGrid w:val="0"/>
          <w:color w:val="auto"/>
          <w:kern w:val="0"/>
          <w:sz w:val="32"/>
          <w:szCs w:val="32"/>
          <w:lang w:val="en-US" w:eastAsia="zh-CN" w:bidi="ar-SA"/>
        </w:rPr>
      </w:pPr>
      <w:r>
        <w:rPr>
          <w:rFonts w:hint="eastAsia" w:ascii="仿宋_GB2312" w:eastAsia="仿宋_GB2312" w:cs="Calibri"/>
          <w:b/>
          <w:bCs/>
          <w:snapToGrid w:val="0"/>
          <w:color w:val="auto"/>
          <w:kern w:val="0"/>
          <w:sz w:val="32"/>
          <w:szCs w:val="32"/>
          <w:lang w:val="en-US" w:eastAsia="zh-CN" w:bidi="ar-SA"/>
        </w:rPr>
        <w:t>2.成绩审核及公布方法</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（1）</w:t>
      </w:r>
      <w:r>
        <w:rPr>
          <w:rFonts w:hint="default" w:ascii="仿宋_GB2312" w:eastAsia="仿宋_GB2312" w:cs="Calibri"/>
          <w:snapToGrid w:val="0"/>
          <w:color w:val="auto"/>
          <w:kern w:val="0"/>
          <w:sz w:val="32"/>
          <w:szCs w:val="32"/>
          <w:lang w:val="en-US" w:eastAsia="zh-CN" w:bidi="ar-SA"/>
        </w:rPr>
        <w:t>成绩审核方法:为保障成绩评判的准确性，监督组对赛项总成绩排名前30%的所有参赛选手的成绩进行复核</w:t>
      </w:r>
      <w:r>
        <w:rPr>
          <w:rFonts w:hint="eastAsia" w:ascii="仿宋_GB2312" w:eastAsia="仿宋_GB2312" w:cs="Calibri"/>
          <w:snapToGrid w:val="0"/>
          <w:color w:val="auto"/>
          <w:kern w:val="0"/>
          <w:sz w:val="32"/>
          <w:szCs w:val="32"/>
          <w:lang w:val="en-US" w:eastAsia="zh-CN" w:bidi="ar-SA"/>
        </w:rPr>
        <w:t>；</w:t>
      </w:r>
      <w:r>
        <w:rPr>
          <w:rFonts w:hint="default" w:ascii="仿宋_GB2312" w:eastAsia="仿宋_GB2312" w:cs="Calibri"/>
          <w:snapToGrid w:val="0"/>
          <w:color w:val="auto"/>
          <w:kern w:val="0"/>
          <w:sz w:val="32"/>
          <w:szCs w:val="32"/>
          <w:lang w:val="en-US" w:eastAsia="zh-CN" w:bidi="ar-SA"/>
        </w:rPr>
        <w:t>对其余成绩进行抽检复核，抽检覆盖率不得低于15%。参赛选手的成绩经复核无误，由裁判长、监督人员和仲裁人员签字确认。</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（2）成绩公布方法:理论考试成绩在考试结束1小时后公布，技能操作成绩现场公布，赛项成绩在指定地点，以纸质或电子屏形式向全体参赛队进行公布。</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（3）参赛选手的成绩排序:依据竞赛成绩由高到低排列名次，成绩相同参赛选手名次并列，后续选手名次依次递增。</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（三）评分标准及评分细则</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仿宋_GB2312" w:eastAsia="仿宋_GB2312" w:cs="Calibri"/>
          <w:b/>
          <w:bCs/>
          <w:snapToGrid w:val="0"/>
          <w:color w:val="auto"/>
          <w:kern w:val="0"/>
          <w:sz w:val="32"/>
          <w:szCs w:val="32"/>
          <w:lang w:val="en-US" w:eastAsia="zh-CN" w:bidi="ar-SA"/>
        </w:rPr>
      </w:pPr>
      <w:r>
        <w:rPr>
          <w:rFonts w:hint="eastAsia" w:ascii="仿宋_GB2312" w:eastAsia="仿宋_GB2312" w:cs="Calibri"/>
          <w:b/>
          <w:bCs/>
          <w:snapToGrid w:val="0"/>
          <w:color w:val="auto"/>
          <w:kern w:val="0"/>
          <w:sz w:val="32"/>
          <w:szCs w:val="32"/>
          <w:lang w:val="en-US" w:eastAsia="zh-CN" w:bidi="ar-SA"/>
        </w:rPr>
        <w:t>1.问诊（100分）</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标准：学生需要表现出有良好的职业素质和很好的交流沟通技巧对于自身所进行的操作能够很好地把握，如自身操作时所处的姿势和患者在检测时的主观感受;意识到操作时患者的体位;询问病史:询问与患者病情相关的问题(举例如下但又不局限于此:可能包括呼吸短促的主诉，吸烟史，疼痛和其它有关的症状:家庭情况，生活方式或家庭支持情况，这些都会影响疾病患者的家庭环境、生活方式或家庭支持情况:相关的活动状态:有利于制定合理治疗计划的其他相关信息)。</w:t>
      </w:r>
    </w:p>
    <w:tbl>
      <w:tblPr>
        <w:tblStyle w:val="8"/>
        <w:tblW w:w="8977" w:type="dxa"/>
        <w:tblInd w:w="-2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946"/>
        <w:gridCol w:w="3381"/>
        <w:gridCol w:w="643"/>
        <w:gridCol w:w="643"/>
        <w:gridCol w:w="643"/>
        <w:gridCol w:w="643"/>
        <w:gridCol w:w="647"/>
        <w:gridCol w:w="5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900" w:type="dxa"/>
            <w:vMerge w:val="restart"/>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项目</w:t>
            </w:r>
          </w:p>
        </w:tc>
        <w:tc>
          <w:tcPr>
            <w:tcW w:w="946" w:type="dxa"/>
            <w:vMerge w:val="restart"/>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工作</w:t>
            </w:r>
          </w:p>
        </w:tc>
        <w:tc>
          <w:tcPr>
            <w:tcW w:w="3381" w:type="dxa"/>
            <w:vMerge w:val="restart"/>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技术操作要求</w:t>
            </w:r>
          </w:p>
        </w:tc>
        <w:tc>
          <w:tcPr>
            <w:tcW w:w="3219" w:type="dxa"/>
            <w:gridSpan w:val="5"/>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评分标准</w:t>
            </w:r>
          </w:p>
        </w:tc>
        <w:tc>
          <w:tcPr>
            <w:tcW w:w="531" w:type="dxa"/>
            <w:vMerge w:val="restart"/>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00"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pPr>
          </w:p>
        </w:tc>
        <w:tc>
          <w:tcPr>
            <w:tcW w:w="946"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pPr>
          </w:p>
        </w:tc>
        <w:tc>
          <w:tcPr>
            <w:tcW w:w="3381"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pP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A</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B</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C</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D</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E</w:t>
            </w:r>
          </w:p>
        </w:tc>
        <w:tc>
          <w:tcPr>
            <w:tcW w:w="531" w:type="dxa"/>
            <w:vMerge w:val="continue"/>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2" w:hRule="atLeast"/>
        </w:trPr>
        <w:tc>
          <w:tcPr>
            <w:tcW w:w="900" w:type="dxa"/>
            <w:vMerge w:val="restart"/>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项目1</w:t>
            </w:r>
          </w:p>
        </w:tc>
        <w:tc>
          <w:tcPr>
            <w:tcW w:w="946" w:type="dxa"/>
            <w:vMerge w:val="restart"/>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准备</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（10分）</w:t>
            </w: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1.1 治疗师准备</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（1）衣着整洁，修饰得体（1分）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（2）指甲修剪符合操作要求（2分）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（3）洗净双手，消毒（2分）</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5</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4</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w:t>
            </w:r>
          </w:p>
        </w:tc>
        <w:tc>
          <w:tcPr>
            <w:tcW w:w="531" w:type="dxa"/>
            <w:vMerge w:val="restart"/>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8" w:hRule="atLeast"/>
        </w:trPr>
        <w:tc>
          <w:tcPr>
            <w:tcW w:w="900"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pPr>
          </w:p>
        </w:tc>
        <w:tc>
          <w:tcPr>
            <w:tcW w:w="946"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pP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1.2环境准备</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（1）环境安静整洁（1分）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（2）光线充足（1分）</w:t>
            </w:r>
          </w:p>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（3）温湿度适宜（1分）</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2.5</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1.5</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w:t>
            </w:r>
          </w:p>
        </w:tc>
        <w:tc>
          <w:tcPr>
            <w:tcW w:w="531" w:type="dxa"/>
            <w:vMerge w:val="continue"/>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1" w:hRule="atLeast"/>
        </w:trPr>
        <w:tc>
          <w:tcPr>
            <w:tcW w:w="900"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pPr>
          </w:p>
        </w:tc>
        <w:tc>
          <w:tcPr>
            <w:tcW w:w="946"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pP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1.3患者准备</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患者体位放置合适（2分）</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1.5</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0.5</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0</w:t>
            </w:r>
          </w:p>
        </w:tc>
        <w:tc>
          <w:tcPr>
            <w:tcW w:w="53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6" w:hRule="atLeast"/>
        </w:trPr>
        <w:tc>
          <w:tcPr>
            <w:tcW w:w="900" w:type="dxa"/>
            <w:vMerge w:val="restart"/>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项目2</w:t>
            </w:r>
          </w:p>
        </w:tc>
        <w:tc>
          <w:tcPr>
            <w:tcW w:w="946" w:type="dxa"/>
            <w:vMerge w:val="restart"/>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沟通（10分）</w:t>
            </w: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2.1判断：</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（1）判断病患意识（1分）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（2）判断患者语言表达能力（1分）</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1.5</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0.5</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0</w:t>
            </w:r>
          </w:p>
        </w:tc>
        <w:tc>
          <w:tcPr>
            <w:tcW w:w="53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8" w:hRule="atLeast"/>
        </w:trPr>
        <w:tc>
          <w:tcPr>
            <w:tcW w:w="900" w:type="dxa"/>
            <w:vMerge w:val="continue"/>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p>
        </w:tc>
        <w:tc>
          <w:tcPr>
            <w:tcW w:w="946" w:type="dxa"/>
            <w:vMerge w:val="continue"/>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2.2询问：</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（1）是否愿意配合（1分）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（2）问诊前有无其他需要（1分）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（3）是否有无其他不适（1分）</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2.5</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1.5</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w:t>
            </w:r>
          </w:p>
        </w:tc>
        <w:tc>
          <w:tcPr>
            <w:tcW w:w="53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00" w:type="dxa"/>
            <w:vMerge w:val="continue"/>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p>
        </w:tc>
        <w:tc>
          <w:tcPr>
            <w:tcW w:w="946" w:type="dxa"/>
            <w:vMerge w:val="continue"/>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2.3讲解</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问诊目的和目标（3分）</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2.5</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1.5</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w:t>
            </w:r>
          </w:p>
        </w:tc>
        <w:tc>
          <w:tcPr>
            <w:tcW w:w="53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Merge w:val="continue"/>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p>
        </w:tc>
        <w:tc>
          <w:tcPr>
            <w:tcW w:w="946" w:type="dxa"/>
            <w:vMerge w:val="continue"/>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2.4语言</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（1）语言亲和有力（2分）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（2）语速适中，表达清晰（1分）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（3）声音大小恰当（1分）</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4</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3</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2</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1</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0</w:t>
            </w:r>
          </w:p>
        </w:tc>
        <w:tc>
          <w:tcPr>
            <w:tcW w:w="53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Merge w:val="restart"/>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项目3</w:t>
            </w:r>
          </w:p>
        </w:tc>
        <w:tc>
          <w:tcPr>
            <w:tcW w:w="946" w:type="dxa"/>
            <w:vMerge w:val="restart"/>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实施（60分）</w:t>
            </w: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3.1 询问病史</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（1）现病史（9分）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（2）既往史（7分）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（3）其他（8分）</w:t>
            </w:r>
          </w:p>
        </w:tc>
        <w:tc>
          <w:tcPr>
            <w:tcW w:w="643"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24</w:t>
            </w:r>
          </w:p>
        </w:tc>
        <w:tc>
          <w:tcPr>
            <w:tcW w:w="643"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18</w:t>
            </w:r>
          </w:p>
        </w:tc>
        <w:tc>
          <w:tcPr>
            <w:tcW w:w="643"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13</w:t>
            </w:r>
          </w:p>
        </w:tc>
        <w:tc>
          <w:tcPr>
            <w:tcW w:w="643"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8</w:t>
            </w:r>
          </w:p>
        </w:tc>
        <w:tc>
          <w:tcPr>
            <w:tcW w:w="647"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5</w:t>
            </w:r>
          </w:p>
        </w:tc>
        <w:tc>
          <w:tcPr>
            <w:tcW w:w="53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p>
        </w:tc>
        <w:tc>
          <w:tcPr>
            <w:tcW w:w="946"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3.2询问专科情况</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（1）功能障碍（15分）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（2）日常生活（10分）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（3）社会生活（5分）</w:t>
            </w:r>
          </w:p>
        </w:tc>
        <w:tc>
          <w:tcPr>
            <w:tcW w:w="643"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30</w:t>
            </w:r>
          </w:p>
        </w:tc>
        <w:tc>
          <w:tcPr>
            <w:tcW w:w="643"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20</w:t>
            </w:r>
          </w:p>
        </w:tc>
        <w:tc>
          <w:tcPr>
            <w:tcW w:w="643"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16</w:t>
            </w:r>
          </w:p>
        </w:tc>
        <w:tc>
          <w:tcPr>
            <w:tcW w:w="643"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12</w:t>
            </w:r>
          </w:p>
        </w:tc>
        <w:tc>
          <w:tcPr>
            <w:tcW w:w="647"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8</w:t>
            </w:r>
          </w:p>
        </w:tc>
        <w:tc>
          <w:tcPr>
            <w:tcW w:w="53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p>
        </w:tc>
        <w:tc>
          <w:tcPr>
            <w:tcW w:w="946"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3.3 询问居家情况</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（1）家属配合（1分）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（2）自我照料（1分）</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hAnsi="Arial"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hAnsi="Arial"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1.5</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hAnsi="Arial"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hAnsi="Arial"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0.5</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hAnsi="Arial"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0</w:t>
            </w:r>
          </w:p>
        </w:tc>
        <w:tc>
          <w:tcPr>
            <w:tcW w:w="53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00"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p>
        </w:tc>
        <w:tc>
          <w:tcPr>
            <w:tcW w:w="946"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3.4总结问诊结果（4）</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4</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0</w:t>
            </w:r>
          </w:p>
        </w:tc>
        <w:tc>
          <w:tcPr>
            <w:tcW w:w="53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项目4</w:t>
            </w:r>
          </w:p>
        </w:tc>
        <w:tc>
          <w:tcPr>
            <w:tcW w:w="946"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观察</w:t>
            </w:r>
            <w:r>
              <w:rPr>
                <w:rFonts w:hint="eastAsia" w:ascii="仿宋_GB2312" w:eastAsia="仿宋_GB2312" w:cs="Calibri"/>
                <w:snapToGrid w:val="0"/>
                <w:color w:val="auto"/>
                <w:kern w:val="0"/>
                <w:sz w:val="28"/>
                <w:szCs w:val="28"/>
                <w:vertAlign w:val="baseline"/>
                <w:lang w:val="en-US" w:eastAsia="zh-CN" w:bidi="ar-SA"/>
              </w:rPr>
              <w:t>（10分）</w:t>
            </w: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（1）病患反应（5分）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（2）病患感受（5分）</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10</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8</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6</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4</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w:t>
            </w:r>
          </w:p>
        </w:tc>
        <w:tc>
          <w:tcPr>
            <w:tcW w:w="53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6" w:type="dxa"/>
            <w:gridSpan w:val="2"/>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注意事项</w:t>
            </w:r>
          </w:p>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（10分）</w:t>
            </w: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21"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（1）操作过程中保护关爱病患（2分）没有保护意识不得分</w:t>
            </w:r>
          </w:p>
          <w:p>
            <w:pPr>
              <w:pStyle w:val="2"/>
              <w:keepNext w:val="0"/>
              <w:keepLines w:val="0"/>
              <w:pageBreakBefore w:val="0"/>
              <w:widowControl/>
              <w:kinsoku/>
              <w:wordWrap/>
              <w:overflowPunct/>
              <w:topLinePunct w:val="0"/>
              <w:autoSpaceDE w:val="0"/>
              <w:autoSpaceDN w:val="0"/>
              <w:bidi w:val="0"/>
              <w:adjustRightInd w:val="0"/>
              <w:snapToGrid w:val="0"/>
              <w:spacing w:line="221"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（2）适当的协助（1分）</w:t>
            </w:r>
          </w:p>
          <w:p>
            <w:pPr>
              <w:pStyle w:val="2"/>
              <w:keepNext w:val="0"/>
              <w:keepLines w:val="0"/>
              <w:pageBreakBefore w:val="0"/>
              <w:widowControl/>
              <w:kinsoku/>
              <w:wordWrap/>
              <w:overflowPunct/>
              <w:topLinePunct w:val="0"/>
              <w:autoSpaceDE w:val="0"/>
              <w:autoSpaceDN w:val="0"/>
              <w:bidi w:val="0"/>
              <w:adjustRightInd w:val="0"/>
              <w:snapToGrid w:val="0"/>
              <w:spacing w:line="221" w:lineRule="auto"/>
              <w:jc w:val="both"/>
              <w:textAlignment w:val="baseline"/>
              <w:rPr>
                <w:rFonts w:hint="eastAsia"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（3）尊重理解病患，鼓励病患及家属主动参与配合（1分）</w:t>
            </w:r>
          </w:p>
          <w:p>
            <w:pPr>
              <w:pStyle w:val="2"/>
              <w:keepNext w:val="0"/>
              <w:keepLines w:val="0"/>
              <w:pageBreakBefore w:val="0"/>
              <w:widowControl/>
              <w:kinsoku/>
              <w:wordWrap/>
              <w:overflowPunct/>
              <w:topLinePunct w:val="0"/>
              <w:autoSpaceDE w:val="0"/>
              <w:autoSpaceDN w:val="0"/>
              <w:bidi w:val="0"/>
              <w:adjustRightInd w:val="0"/>
              <w:snapToGrid w:val="0"/>
              <w:spacing w:line="221"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（4）问诊熟练、准确、无重复（6分）不熟练扣2分，不准确扣2分，欠规范扣2分</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10</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8</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6</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4</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w:t>
            </w:r>
          </w:p>
        </w:tc>
        <w:tc>
          <w:tcPr>
            <w:tcW w:w="53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6" w:type="dxa"/>
            <w:gridSpan w:val="2"/>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合计</w:t>
            </w:r>
          </w:p>
        </w:tc>
        <w:tc>
          <w:tcPr>
            <w:tcW w:w="3381"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221"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r>
              <w:rPr>
                <w:rFonts w:hint="eastAsia" w:ascii="仿宋_GB2312" w:eastAsia="仿宋_GB2312" w:cs="Calibri"/>
                <w:snapToGrid w:val="0"/>
                <w:color w:val="auto"/>
                <w:kern w:val="0"/>
                <w:sz w:val="32"/>
                <w:szCs w:val="32"/>
                <w:vertAlign w:val="baseline"/>
                <w:lang w:val="en-US" w:eastAsia="zh-CN" w:bidi="ar-SA"/>
              </w:rPr>
              <w:t>100分</w:t>
            </w:r>
          </w:p>
        </w:tc>
        <w:tc>
          <w:tcPr>
            <w:tcW w:w="3219" w:type="dxa"/>
            <w:gridSpan w:val="5"/>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实际得分</w:t>
            </w:r>
          </w:p>
        </w:tc>
        <w:tc>
          <w:tcPr>
            <w:tcW w:w="531"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vertAlign w:val="baseline"/>
                <w:lang w:val="en-US" w:eastAsia="zh-CN" w:bidi="ar-SA"/>
              </w:rPr>
            </w:pPr>
          </w:p>
        </w:tc>
      </w:tr>
    </w:tbl>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仿宋_GB2312" w:eastAsia="仿宋_GB2312" w:cs="Calibri"/>
          <w:b/>
          <w:bCs/>
          <w:snapToGrid w:val="0"/>
          <w:color w:val="auto"/>
          <w:kern w:val="0"/>
          <w:sz w:val="32"/>
          <w:szCs w:val="32"/>
          <w:lang w:val="en-US" w:eastAsia="zh-CN" w:bidi="ar-SA"/>
        </w:rPr>
      </w:pPr>
      <w:r>
        <w:rPr>
          <w:rFonts w:hint="eastAsia" w:ascii="仿宋_GB2312" w:eastAsia="仿宋_GB2312" w:cs="Calibri"/>
          <w:b/>
          <w:bCs/>
          <w:snapToGrid w:val="0"/>
          <w:color w:val="auto"/>
          <w:kern w:val="0"/>
          <w:sz w:val="32"/>
          <w:szCs w:val="32"/>
          <w:lang w:val="en-US" w:eastAsia="zh-CN" w:bidi="ar-SA"/>
        </w:rPr>
        <w:t>2.评定（100分）</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标准:学生需要表现出有良好的专业行为和很好的交流沟通技巧能意识到进行操作时自身所处的姿势和患者的体位，能根据体格检查的程序对患者进行恰当和精确的康复评估程序和内容(举例如下但又不局限于此:听诊技能，测试肺功能评估，测试氧饱和度，评估患者循环系统情况和筛查深静脉血栓;测量关节活动范围、肌张力和肌力</w:t>
      </w:r>
      <w:r>
        <w:rPr>
          <w:rFonts w:hint="eastAsia" w:ascii="仿宋_GB2312" w:eastAsia="仿宋_GB2312" w:cs="Calibri"/>
          <w:snapToGrid w:val="0"/>
          <w:color w:val="auto"/>
          <w:kern w:val="0"/>
          <w:sz w:val="32"/>
          <w:szCs w:val="32"/>
          <w:lang w:val="en-US" w:eastAsia="zh-CN" w:bidi="ar-SA"/>
        </w:rPr>
        <w:t>进行与关节稳定性有关的特定检查，使用VAS量表评定疼痛情况，评定呼吸障碍的情况等)</w:t>
      </w:r>
    </w:p>
    <w:tbl>
      <w:tblPr>
        <w:tblStyle w:val="8"/>
        <w:tblW w:w="8977" w:type="dxa"/>
        <w:tblInd w:w="-2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946"/>
        <w:gridCol w:w="3381"/>
        <w:gridCol w:w="643"/>
        <w:gridCol w:w="696"/>
        <w:gridCol w:w="590"/>
        <w:gridCol w:w="643"/>
        <w:gridCol w:w="647"/>
        <w:gridCol w:w="5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900" w:type="dxa"/>
            <w:vMerge w:val="restart"/>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项目</w:t>
            </w:r>
          </w:p>
        </w:tc>
        <w:tc>
          <w:tcPr>
            <w:tcW w:w="946" w:type="dxa"/>
            <w:vMerge w:val="restart"/>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工作</w:t>
            </w:r>
          </w:p>
        </w:tc>
        <w:tc>
          <w:tcPr>
            <w:tcW w:w="3381" w:type="dxa"/>
            <w:vMerge w:val="restart"/>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技术操作要求</w:t>
            </w:r>
          </w:p>
        </w:tc>
        <w:tc>
          <w:tcPr>
            <w:tcW w:w="3219" w:type="dxa"/>
            <w:gridSpan w:val="5"/>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评分标准</w:t>
            </w:r>
          </w:p>
        </w:tc>
        <w:tc>
          <w:tcPr>
            <w:tcW w:w="531" w:type="dxa"/>
            <w:vMerge w:val="restart"/>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00"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b/>
                <w:bCs/>
                <w:sz w:val="20"/>
                <w:szCs w:val="20"/>
              </w:rPr>
            </w:pPr>
          </w:p>
        </w:tc>
        <w:tc>
          <w:tcPr>
            <w:tcW w:w="946"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b/>
                <w:bCs/>
                <w:sz w:val="20"/>
                <w:szCs w:val="20"/>
              </w:rPr>
            </w:pPr>
          </w:p>
        </w:tc>
        <w:tc>
          <w:tcPr>
            <w:tcW w:w="3381"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b/>
                <w:bCs/>
                <w:sz w:val="20"/>
                <w:szCs w:val="20"/>
              </w:rPr>
            </w:pP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A</w:t>
            </w:r>
          </w:p>
        </w:tc>
        <w:tc>
          <w:tcPr>
            <w:tcW w:w="696"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B</w:t>
            </w:r>
          </w:p>
        </w:tc>
        <w:tc>
          <w:tcPr>
            <w:tcW w:w="590"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C</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D</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E</w:t>
            </w:r>
          </w:p>
        </w:tc>
        <w:tc>
          <w:tcPr>
            <w:tcW w:w="531" w:type="dxa"/>
            <w:vMerge w:val="continue"/>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2" w:hRule="atLeast"/>
        </w:trPr>
        <w:tc>
          <w:tcPr>
            <w:tcW w:w="900" w:type="dxa"/>
            <w:vMerge w:val="restart"/>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项目1</w:t>
            </w:r>
          </w:p>
        </w:tc>
        <w:tc>
          <w:tcPr>
            <w:tcW w:w="946" w:type="dxa"/>
            <w:vMerge w:val="restart"/>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准备</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（10分）</w:t>
            </w: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1.1 治疗师准备</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（1）衣着整洁，修饰得体（1分）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（2）指甲修剪符合操作要求（1分）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（3）洗净双手，消毒（1分）</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3</w:t>
            </w:r>
          </w:p>
        </w:tc>
        <w:tc>
          <w:tcPr>
            <w:tcW w:w="696"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2.5</w:t>
            </w:r>
          </w:p>
        </w:tc>
        <w:tc>
          <w:tcPr>
            <w:tcW w:w="590"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1.5</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w:t>
            </w:r>
          </w:p>
        </w:tc>
        <w:tc>
          <w:tcPr>
            <w:tcW w:w="531" w:type="dxa"/>
            <w:vMerge w:val="restart"/>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8" w:hRule="atLeast"/>
        </w:trPr>
        <w:tc>
          <w:tcPr>
            <w:tcW w:w="900"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sz w:val="20"/>
                <w:szCs w:val="20"/>
              </w:rPr>
            </w:pPr>
          </w:p>
        </w:tc>
        <w:tc>
          <w:tcPr>
            <w:tcW w:w="946"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sz w:val="20"/>
                <w:szCs w:val="20"/>
              </w:rPr>
            </w:pP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1.2患者准备</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（1）患者体位放置合适（2分）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（2）患者衣物暴露合适（1分）</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3</w:t>
            </w:r>
          </w:p>
        </w:tc>
        <w:tc>
          <w:tcPr>
            <w:tcW w:w="696"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2.5</w:t>
            </w:r>
          </w:p>
        </w:tc>
        <w:tc>
          <w:tcPr>
            <w:tcW w:w="590"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1.5</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w:t>
            </w:r>
          </w:p>
        </w:tc>
        <w:tc>
          <w:tcPr>
            <w:tcW w:w="531" w:type="dxa"/>
            <w:vMerge w:val="continue"/>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1" w:hRule="atLeast"/>
        </w:trPr>
        <w:tc>
          <w:tcPr>
            <w:tcW w:w="900"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sz w:val="20"/>
                <w:szCs w:val="20"/>
              </w:rPr>
            </w:pPr>
          </w:p>
        </w:tc>
        <w:tc>
          <w:tcPr>
            <w:tcW w:w="946"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sz w:val="20"/>
                <w:szCs w:val="20"/>
              </w:rPr>
            </w:pP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1.3物品准备</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（1）评定床凳的高低合适（2分）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（2）评定设备选取合理（2分）</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4</w:t>
            </w:r>
          </w:p>
        </w:tc>
        <w:tc>
          <w:tcPr>
            <w:tcW w:w="696"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3</w:t>
            </w:r>
          </w:p>
        </w:tc>
        <w:tc>
          <w:tcPr>
            <w:tcW w:w="590"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0</w:t>
            </w:r>
          </w:p>
        </w:tc>
        <w:tc>
          <w:tcPr>
            <w:tcW w:w="53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6" w:hRule="atLeast"/>
        </w:trPr>
        <w:tc>
          <w:tcPr>
            <w:tcW w:w="900" w:type="dxa"/>
            <w:vMerge w:val="restart"/>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项目2</w:t>
            </w:r>
          </w:p>
        </w:tc>
        <w:tc>
          <w:tcPr>
            <w:tcW w:w="946" w:type="dxa"/>
            <w:vMerge w:val="restart"/>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沟通（10分）</w:t>
            </w: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2.1判断：</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（1）判断病患意识（1分）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（2）判断患者语言表达能力（1分）</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696"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1.5</w:t>
            </w:r>
          </w:p>
        </w:tc>
        <w:tc>
          <w:tcPr>
            <w:tcW w:w="590"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0.5</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0</w:t>
            </w:r>
          </w:p>
        </w:tc>
        <w:tc>
          <w:tcPr>
            <w:tcW w:w="53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8" w:hRule="atLeast"/>
        </w:trPr>
        <w:tc>
          <w:tcPr>
            <w:tcW w:w="900" w:type="dxa"/>
            <w:vMerge w:val="continue"/>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946" w:type="dxa"/>
            <w:vMerge w:val="continue"/>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2.2询问：</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（1）是否愿意配合（1分）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（2）评定前有无其他需要（1分）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（3）是否有无其他不适（1分）</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3</w:t>
            </w:r>
          </w:p>
        </w:tc>
        <w:tc>
          <w:tcPr>
            <w:tcW w:w="696"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2.5</w:t>
            </w:r>
          </w:p>
        </w:tc>
        <w:tc>
          <w:tcPr>
            <w:tcW w:w="590"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1.5</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w:t>
            </w:r>
          </w:p>
        </w:tc>
        <w:tc>
          <w:tcPr>
            <w:tcW w:w="53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00" w:type="dxa"/>
            <w:vMerge w:val="continue"/>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946" w:type="dxa"/>
            <w:vMerge w:val="continue"/>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2.3讲解</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评定目的和目标</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696"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3</w:t>
            </w:r>
          </w:p>
        </w:tc>
        <w:tc>
          <w:tcPr>
            <w:tcW w:w="590"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0</w:t>
            </w:r>
          </w:p>
        </w:tc>
        <w:tc>
          <w:tcPr>
            <w:tcW w:w="53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Merge w:val="continue"/>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946" w:type="dxa"/>
            <w:vMerge w:val="continue"/>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2.4语言</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（1）语言亲和有力（1分）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（2）语速适中，表达清晰（1分）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（3）声音大小恰当（1分）</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w:t>
            </w:r>
          </w:p>
        </w:tc>
        <w:tc>
          <w:tcPr>
            <w:tcW w:w="696"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2.5</w:t>
            </w:r>
          </w:p>
        </w:tc>
        <w:tc>
          <w:tcPr>
            <w:tcW w:w="590"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1.5</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w:t>
            </w:r>
          </w:p>
        </w:tc>
        <w:tc>
          <w:tcPr>
            <w:tcW w:w="53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Merge w:val="restart"/>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项目3</w:t>
            </w:r>
          </w:p>
        </w:tc>
        <w:tc>
          <w:tcPr>
            <w:tcW w:w="946" w:type="dxa"/>
            <w:vMerge w:val="restart"/>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实施（60分）</w:t>
            </w: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3.1 口述评定内容</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（1）运动功能（8分）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（2）感觉功能（6分）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（3）其他（6分）</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20</w:t>
            </w:r>
          </w:p>
        </w:tc>
        <w:tc>
          <w:tcPr>
            <w:tcW w:w="696"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15</w:t>
            </w:r>
          </w:p>
        </w:tc>
        <w:tc>
          <w:tcPr>
            <w:tcW w:w="590"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10</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5</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0</w:t>
            </w:r>
          </w:p>
        </w:tc>
        <w:tc>
          <w:tcPr>
            <w:tcW w:w="53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946"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3.2演示康复评定</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（1）评定内容的典型性和重要性（5分）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（2）评定方法的准确性和规范性（8分）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（3）评定过程的熟练性和流畅性（8分）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（4）评定结果的有效性和合理性（5分）</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26</w:t>
            </w:r>
          </w:p>
        </w:tc>
        <w:tc>
          <w:tcPr>
            <w:tcW w:w="696"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20</w:t>
            </w:r>
          </w:p>
        </w:tc>
        <w:tc>
          <w:tcPr>
            <w:tcW w:w="590"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15</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10</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5</w:t>
            </w:r>
          </w:p>
        </w:tc>
        <w:tc>
          <w:tcPr>
            <w:tcW w:w="53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946"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3.3 医患配合</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（1）医患沟通充分（2分）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（2）医患配合默契（2分）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（3）医患体位姿势恰当（2分）</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6</w:t>
            </w:r>
          </w:p>
        </w:tc>
        <w:tc>
          <w:tcPr>
            <w:tcW w:w="696"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3</w:t>
            </w:r>
          </w:p>
        </w:tc>
        <w:tc>
          <w:tcPr>
            <w:tcW w:w="590"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0</w:t>
            </w:r>
          </w:p>
        </w:tc>
        <w:tc>
          <w:tcPr>
            <w:tcW w:w="53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946"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3.4物品设备处理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（1）物品设备使用合理正确（2分）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（2）物品设备用后整理到位（2分）</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4</w:t>
            </w:r>
          </w:p>
        </w:tc>
        <w:tc>
          <w:tcPr>
            <w:tcW w:w="696"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5</w:t>
            </w:r>
          </w:p>
        </w:tc>
        <w:tc>
          <w:tcPr>
            <w:tcW w:w="590"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4</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3</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53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00"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946"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3.5总结问诊结果（4）</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4</w:t>
            </w:r>
          </w:p>
        </w:tc>
        <w:tc>
          <w:tcPr>
            <w:tcW w:w="696"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3</w:t>
            </w:r>
          </w:p>
        </w:tc>
        <w:tc>
          <w:tcPr>
            <w:tcW w:w="590"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0</w:t>
            </w:r>
          </w:p>
        </w:tc>
        <w:tc>
          <w:tcPr>
            <w:tcW w:w="53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项目4</w:t>
            </w:r>
          </w:p>
        </w:tc>
        <w:tc>
          <w:tcPr>
            <w:tcW w:w="946"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观察</w:t>
            </w:r>
            <w:r>
              <w:rPr>
                <w:rFonts w:hint="eastAsia" w:ascii="仿宋_GB2312" w:eastAsia="仿宋_GB2312" w:cs="Calibri"/>
                <w:snapToGrid w:val="0"/>
                <w:color w:val="auto"/>
                <w:kern w:val="0"/>
                <w:sz w:val="24"/>
                <w:szCs w:val="24"/>
                <w:vertAlign w:val="baseline"/>
                <w:lang w:val="en-US" w:eastAsia="zh-CN" w:bidi="ar-SA"/>
              </w:rPr>
              <w:t>（10分）</w:t>
            </w: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（1）病患反应（5分）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（2）病患感受（5分）</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10</w:t>
            </w:r>
          </w:p>
        </w:tc>
        <w:tc>
          <w:tcPr>
            <w:tcW w:w="696"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8</w:t>
            </w:r>
          </w:p>
        </w:tc>
        <w:tc>
          <w:tcPr>
            <w:tcW w:w="590"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6</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4</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53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6" w:type="dxa"/>
            <w:gridSpan w:val="2"/>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注意事项</w:t>
            </w:r>
          </w:p>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（10分）</w:t>
            </w: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21"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（1）操作过程中保护关爱病患（2分）没有保护意识不得分</w:t>
            </w:r>
          </w:p>
          <w:p>
            <w:pPr>
              <w:pStyle w:val="2"/>
              <w:keepNext w:val="0"/>
              <w:keepLines w:val="0"/>
              <w:pageBreakBefore w:val="0"/>
              <w:widowControl/>
              <w:kinsoku/>
              <w:wordWrap/>
              <w:overflowPunct/>
              <w:topLinePunct w:val="0"/>
              <w:autoSpaceDE w:val="0"/>
              <w:autoSpaceDN w:val="0"/>
              <w:bidi w:val="0"/>
              <w:adjustRightInd w:val="0"/>
              <w:snapToGrid w:val="0"/>
              <w:spacing w:line="221"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（2）适当的协助（1分）</w:t>
            </w:r>
          </w:p>
          <w:p>
            <w:pPr>
              <w:pStyle w:val="2"/>
              <w:keepNext w:val="0"/>
              <w:keepLines w:val="0"/>
              <w:pageBreakBefore w:val="0"/>
              <w:widowControl/>
              <w:kinsoku/>
              <w:wordWrap/>
              <w:overflowPunct/>
              <w:topLinePunct w:val="0"/>
              <w:autoSpaceDE w:val="0"/>
              <w:autoSpaceDN w:val="0"/>
              <w:bidi w:val="0"/>
              <w:adjustRightInd w:val="0"/>
              <w:snapToGrid w:val="0"/>
              <w:spacing w:line="221"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（3）尊重理解病患，鼓励病患及家属主动参与配合（1分）</w:t>
            </w:r>
          </w:p>
          <w:p>
            <w:pPr>
              <w:pStyle w:val="2"/>
              <w:keepNext w:val="0"/>
              <w:keepLines w:val="0"/>
              <w:pageBreakBefore w:val="0"/>
              <w:widowControl/>
              <w:kinsoku/>
              <w:wordWrap/>
              <w:overflowPunct/>
              <w:topLinePunct w:val="0"/>
              <w:autoSpaceDE w:val="0"/>
              <w:autoSpaceDN w:val="0"/>
              <w:bidi w:val="0"/>
              <w:adjustRightInd w:val="0"/>
              <w:snapToGrid w:val="0"/>
              <w:spacing w:line="221"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（4）操作熟练、准确、无重复多余的动作（6分）</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10</w:t>
            </w:r>
          </w:p>
        </w:tc>
        <w:tc>
          <w:tcPr>
            <w:tcW w:w="696"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8</w:t>
            </w:r>
          </w:p>
        </w:tc>
        <w:tc>
          <w:tcPr>
            <w:tcW w:w="590"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6</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4</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53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6" w:type="dxa"/>
            <w:gridSpan w:val="2"/>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合计</w:t>
            </w:r>
          </w:p>
        </w:tc>
        <w:tc>
          <w:tcPr>
            <w:tcW w:w="3381"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221"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100分</w:t>
            </w:r>
          </w:p>
        </w:tc>
        <w:tc>
          <w:tcPr>
            <w:tcW w:w="3219" w:type="dxa"/>
            <w:gridSpan w:val="5"/>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实际得分</w:t>
            </w:r>
          </w:p>
        </w:tc>
        <w:tc>
          <w:tcPr>
            <w:tcW w:w="531"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bl>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3.治疗（100分）</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标准:学生需要表现出良好的专业行为和很好的交流沟通技巧，能意识到进行操作时自身所处的姿势和患者的体位，选择当的操作技术解决患者的问题，并提出有针对性的问题。希望能够执行对患者安全有效的操作技术，同时包括对患者进行教育</w:t>
      </w:r>
      <w:r>
        <w:rPr>
          <w:rFonts w:hint="eastAsia" w:ascii="仿宋_GB2312" w:eastAsia="仿宋_GB2312" w:cs="Calibri"/>
          <w:snapToGrid w:val="0"/>
          <w:color w:val="auto"/>
          <w:kern w:val="0"/>
          <w:sz w:val="32"/>
          <w:szCs w:val="32"/>
          <w:lang w:val="en-US" w:eastAsia="zh-CN" w:bidi="ar-SA"/>
        </w:rPr>
        <w:t>。</w:t>
      </w:r>
    </w:p>
    <w:tbl>
      <w:tblPr>
        <w:tblStyle w:val="8"/>
        <w:tblW w:w="8977" w:type="dxa"/>
        <w:tblInd w:w="-2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946"/>
        <w:gridCol w:w="3381"/>
        <w:gridCol w:w="643"/>
        <w:gridCol w:w="696"/>
        <w:gridCol w:w="590"/>
        <w:gridCol w:w="643"/>
        <w:gridCol w:w="647"/>
        <w:gridCol w:w="5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900" w:type="dxa"/>
            <w:vMerge w:val="restart"/>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项目</w:t>
            </w:r>
          </w:p>
        </w:tc>
        <w:tc>
          <w:tcPr>
            <w:tcW w:w="946" w:type="dxa"/>
            <w:vMerge w:val="restart"/>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工作</w:t>
            </w:r>
          </w:p>
        </w:tc>
        <w:tc>
          <w:tcPr>
            <w:tcW w:w="3381" w:type="dxa"/>
            <w:vMerge w:val="restart"/>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技术操作要求</w:t>
            </w:r>
          </w:p>
        </w:tc>
        <w:tc>
          <w:tcPr>
            <w:tcW w:w="3219" w:type="dxa"/>
            <w:gridSpan w:val="5"/>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评分标准</w:t>
            </w:r>
          </w:p>
        </w:tc>
        <w:tc>
          <w:tcPr>
            <w:tcW w:w="531" w:type="dxa"/>
            <w:vMerge w:val="restart"/>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00"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sz w:val="20"/>
                <w:szCs w:val="20"/>
              </w:rPr>
            </w:pPr>
          </w:p>
        </w:tc>
        <w:tc>
          <w:tcPr>
            <w:tcW w:w="946"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sz w:val="20"/>
                <w:szCs w:val="20"/>
              </w:rPr>
            </w:pPr>
          </w:p>
        </w:tc>
        <w:tc>
          <w:tcPr>
            <w:tcW w:w="3381"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sz w:val="20"/>
                <w:szCs w:val="20"/>
              </w:rPr>
            </w:pP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A</w:t>
            </w:r>
          </w:p>
        </w:tc>
        <w:tc>
          <w:tcPr>
            <w:tcW w:w="696"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B</w:t>
            </w:r>
          </w:p>
        </w:tc>
        <w:tc>
          <w:tcPr>
            <w:tcW w:w="590"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C</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D</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E</w:t>
            </w:r>
          </w:p>
        </w:tc>
        <w:tc>
          <w:tcPr>
            <w:tcW w:w="531" w:type="dxa"/>
            <w:vMerge w:val="continue"/>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2" w:hRule="atLeast"/>
        </w:trPr>
        <w:tc>
          <w:tcPr>
            <w:tcW w:w="900" w:type="dxa"/>
            <w:vMerge w:val="restart"/>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项目1</w:t>
            </w:r>
          </w:p>
        </w:tc>
        <w:tc>
          <w:tcPr>
            <w:tcW w:w="946" w:type="dxa"/>
            <w:vMerge w:val="restart"/>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准备</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（10分）</w:t>
            </w: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1.1 治疗师准备</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（1）衣着整洁，修饰得体（1分）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（2）指甲修剪符合操作要求（1分）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（3）洗净双手，消毒（1分）</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3</w:t>
            </w:r>
          </w:p>
        </w:tc>
        <w:tc>
          <w:tcPr>
            <w:tcW w:w="696"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2.5</w:t>
            </w:r>
          </w:p>
        </w:tc>
        <w:tc>
          <w:tcPr>
            <w:tcW w:w="590"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1.5</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w:t>
            </w:r>
          </w:p>
        </w:tc>
        <w:tc>
          <w:tcPr>
            <w:tcW w:w="531" w:type="dxa"/>
            <w:vMerge w:val="restart"/>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8" w:hRule="atLeast"/>
        </w:trPr>
        <w:tc>
          <w:tcPr>
            <w:tcW w:w="900"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sz w:val="20"/>
                <w:szCs w:val="20"/>
              </w:rPr>
            </w:pPr>
          </w:p>
        </w:tc>
        <w:tc>
          <w:tcPr>
            <w:tcW w:w="946"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sz w:val="20"/>
                <w:szCs w:val="20"/>
              </w:rPr>
            </w:pP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1.2患者准备</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（1）患者体位放置合适（2分）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（2）患者衣物暴露合适（1分）</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3</w:t>
            </w:r>
          </w:p>
        </w:tc>
        <w:tc>
          <w:tcPr>
            <w:tcW w:w="696"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2.5</w:t>
            </w:r>
          </w:p>
        </w:tc>
        <w:tc>
          <w:tcPr>
            <w:tcW w:w="590"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1.5</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w:t>
            </w:r>
          </w:p>
        </w:tc>
        <w:tc>
          <w:tcPr>
            <w:tcW w:w="531" w:type="dxa"/>
            <w:vMerge w:val="continue"/>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1" w:hRule="atLeast"/>
        </w:trPr>
        <w:tc>
          <w:tcPr>
            <w:tcW w:w="900"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sz w:val="20"/>
                <w:szCs w:val="20"/>
              </w:rPr>
            </w:pPr>
          </w:p>
        </w:tc>
        <w:tc>
          <w:tcPr>
            <w:tcW w:w="946"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sz w:val="20"/>
                <w:szCs w:val="20"/>
              </w:rPr>
            </w:pP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1.3物品准备</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（1）评定床凳的高低合适（2分）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（2）评定设备选取合理（2分）</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4</w:t>
            </w:r>
          </w:p>
        </w:tc>
        <w:tc>
          <w:tcPr>
            <w:tcW w:w="696"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3</w:t>
            </w:r>
          </w:p>
        </w:tc>
        <w:tc>
          <w:tcPr>
            <w:tcW w:w="590"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0</w:t>
            </w:r>
          </w:p>
        </w:tc>
        <w:tc>
          <w:tcPr>
            <w:tcW w:w="53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6" w:hRule="atLeast"/>
        </w:trPr>
        <w:tc>
          <w:tcPr>
            <w:tcW w:w="900" w:type="dxa"/>
            <w:vMerge w:val="restart"/>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项目2</w:t>
            </w:r>
          </w:p>
        </w:tc>
        <w:tc>
          <w:tcPr>
            <w:tcW w:w="946" w:type="dxa"/>
            <w:vMerge w:val="restart"/>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沟通（10分）</w:t>
            </w: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2.1判断：</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（1）判断病患意识（1分）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（2）判断患者语言表达能力（1分）</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696"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1.5</w:t>
            </w:r>
          </w:p>
        </w:tc>
        <w:tc>
          <w:tcPr>
            <w:tcW w:w="590"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0.5</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0</w:t>
            </w:r>
          </w:p>
        </w:tc>
        <w:tc>
          <w:tcPr>
            <w:tcW w:w="53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8" w:hRule="atLeast"/>
        </w:trPr>
        <w:tc>
          <w:tcPr>
            <w:tcW w:w="900" w:type="dxa"/>
            <w:vMerge w:val="continue"/>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946" w:type="dxa"/>
            <w:vMerge w:val="continue"/>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2.2询问：</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（1）是否愿意配合（1分）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（2）治疗前有无其他需要（1分）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（3）是否有无其他不适（1分）</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3</w:t>
            </w:r>
          </w:p>
        </w:tc>
        <w:tc>
          <w:tcPr>
            <w:tcW w:w="696"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2.5</w:t>
            </w:r>
          </w:p>
        </w:tc>
        <w:tc>
          <w:tcPr>
            <w:tcW w:w="590"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1.5</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w:t>
            </w:r>
          </w:p>
        </w:tc>
        <w:tc>
          <w:tcPr>
            <w:tcW w:w="53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00" w:type="dxa"/>
            <w:vMerge w:val="continue"/>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946" w:type="dxa"/>
            <w:vMerge w:val="continue"/>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2.3讲解</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治疗的目的</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696"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3</w:t>
            </w:r>
          </w:p>
        </w:tc>
        <w:tc>
          <w:tcPr>
            <w:tcW w:w="590"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0</w:t>
            </w:r>
          </w:p>
        </w:tc>
        <w:tc>
          <w:tcPr>
            <w:tcW w:w="53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Merge w:val="continue"/>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946" w:type="dxa"/>
            <w:vMerge w:val="continue"/>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2.4语言</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（1）语言亲和有力（1分）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（2）语速适中，表达清晰（1分）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（3）声音大小恰当（1分）</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w:t>
            </w:r>
          </w:p>
        </w:tc>
        <w:tc>
          <w:tcPr>
            <w:tcW w:w="696"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2.5</w:t>
            </w:r>
          </w:p>
        </w:tc>
        <w:tc>
          <w:tcPr>
            <w:tcW w:w="590"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1.5</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w:t>
            </w:r>
          </w:p>
        </w:tc>
        <w:tc>
          <w:tcPr>
            <w:tcW w:w="53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Merge w:val="restart"/>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项目3</w:t>
            </w:r>
          </w:p>
        </w:tc>
        <w:tc>
          <w:tcPr>
            <w:tcW w:w="946" w:type="dxa"/>
            <w:vMerge w:val="restart"/>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实施（60分）</w:t>
            </w: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3.1 口述治疗方案</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（1）康复目标（5分）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（2）康复方案制定的合理、恰当（5分）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（3）其他（6分）</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16</w:t>
            </w:r>
          </w:p>
        </w:tc>
        <w:tc>
          <w:tcPr>
            <w:tcW w:w="696"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12</w:t>
            </w:r>
          </w:p>
        </w:tc>
        <w:tc>
          <w:tcPr>
            <w:tcW w:w="590"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8</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5</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w:t>
            </w:r>
          </w:p>
        </w:tc>
        <w:tc>
          <w:tcPr>
            <w:tcW w:w="53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946"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3.2演示康复治疗</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（1）技术选取的合理性（5分）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（2）治疗方案的恰当性（5分）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（3）操作过程的流畅性（5分）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（4）治疗结果的高效性（5分）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（5）操作手法的熟练行（5分）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（6）引导指令的有效性（5分）</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30</w:t>
            </w:r>
          </w:p>
        </w:tc>
        <w:tc>
          <w:tcPr>
            <w:tcW w:w="696"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25</w:t>
            </w:r>
          </w:p>
        </w:tc>
        <w:tc>
          <w:tcPr>
            <w:tcW w:w="590"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20</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15</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10</w:t>
            </w:r>
          </w:p>
        </w:tc>
        <w:tc>
          <w:tcPr>
            <w:tcW w:w="53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946"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3.3 医患配合</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（1）医患沟通充分（2分）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（2）医患配合默契（2分）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（3）医患体位姿势恰当（2分）</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6</w:t>
            </w:r>
          </w:p>
        </w:tc>
        <w:tc>
          <w:tcPr>
            <w:tcW w:w="696"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3</w:t>
            </w:r>
          </w:p>
        </w:tc>
        <w:tc>
          <w:tcPr>
            <w:tcW w:w="590"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hAnsi="Arial"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0</w:t>
            </w:r>
          </w:p>
        </w:tc>
        <w:tc>
          <w:tcPr>
            <w:tcW w:w="53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946"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3.4物品设备处理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（1）物品设备使用合理正确（2分）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（2）物品设备用后整理到位（2分）</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highlight w:val="none"/>
                <w:vertAlign w:val="baseline"/>
                <w:lang w:val="en-US" w:eastAsia="zh-CN" w:bidi="ar-SA"/>
              </w:rPr>
            </w:pPr>
            <w:r>
              <w:rPr>
                <w:rFonts w:hint="eastAsia" w:ascii="仿宋_GB2312" w:eastAsia="仿宋_GB2312" w:cs="Calibri"/>
                <w:snapToGrid w:val="0"/>
                <w:color w:val="auto"/>
                <w:kern w:val="0"/>
                <w:sz w:val="24"/>
                <w:szCs w:val="24"/>
                <w:highlight w:val="none"/>
                <w:vertAlign w:val="baseline"/>
                <w:lang w:val="en-US" w:eastAsia="zh-CN" w:bidi="ar-SA"/>
              </w:rPr>
              <w:t>4</w:t>
            </w:r>
          </w:p>
        </w:tc>
        <w:tc>
          <w:tcPr>
            <w:tcW w:w="696"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highlight w:val="none"/>
                <w:vertAlign w:val="baseline"/>
                <w:lang w:val="en-US" w:eastAsia="zh-CN" w:bidi="ar-SA"/>
              </w:rPr>
            </w:pPr>
            <w:r>
              <w:rPr>
                <w:rFonts w:hint="eastAsia" w:ascii="仿宋_GB2312" w:eastAsia="仿宋_GB2312" w:cs="Calibri"/>
                <w:snapToGrid w:val="0"/>
                <w:color w:val="auto"/>
                <w:kern w:val="0"/>
                <w:sz w:val="24"/>
                <w:szCs w:val="24"/>
                <w:highlight w:val="none"/>
                <w:vertAlign w:val="baseline"/>
                <w:lang w:val="en-US" w:eastAsia="zh-CN" w:bidi="ar-SA"/>
              </w:rPr>
              <w:t>3</w:t>
            </w:r>
          </w:p>
        </w:tc>
        <w:tc>
          <w:tcPr>
            <w:tcW w:w="590"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highlight w:val="none"/>
                <w:vertAlign w:val="baseline"/>
                <w:lang w:val="en-US" w:eastAsia="zh-CN" w:bidi="ar-SA"/>
              </w:rPr>
            </w:pPr>
            <w:r>
              <w:rPr>
                <w:rFonts w:hint="eastAsia" w:ascii="仿宋_GB2312" w:eastAsia="仿宋_GB2312" w:cs="Calibri"/>
                <w:snapToGrid w:val="0"/>
                <w:color w:val="auto"/>
                <w:kern w:val="0"/>
                <w:sz w:val="24"/>
                <w:szCs w:val="24"/>
                <w:highlight w:val="none"/>
                <w:vertAlign w:val="baseline"/>
                <w:lang w:val="en-US" w:eastAsia="zh-CN" w:bidi="ar-SA"/>
              </w:rPr>
              <w:t>2</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highlight w:val="none"/>
                <w:vertAlign w:val="baseline"/>
                <w:lang w:val="en-US" w:eastAsia="zh-CN" w:bidi="ar-SA"/>
              </w:rPr>
            </w:pPr>
            <w:r>
              <w:rPr>
                <w:rFonts w:hint="eastAsia" w:ascii="仿宋_GB2312" w:eastAsia="仿宋_GB2312" w:cs="Calibri"/>
                <w:snapToGrid w:val="0"/>
                <w:color w:val="auto"/>
                <w:kern w:val="0"/>
                <w:sz w:val="24"/>
                <w:szCs w:val="24"/>
                <w:highlight w:val="none"/>
                <w:vertAlign w:val="baseline"/>
                <w:lang w:val="en-US" w:eastAsia="zh-CN" w:bidi="ar-SA"/>
              </w:rPr>
              <w:t>1</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highlight w:val="none"/>
                <w:vertAlign w:val="baseline"/>
                <w:lang w:val="en-US" w:eastAsia="zh-CN" w:bidi="ar-SA"/>
              </w:rPr>
            </w:pPr>
            <w:r>
              <w:rPr>
                <w:rFonts w:hint="eastAsia" w:ascii="仿宋_GB2312" w:eastAsia="仿宋_GB2312" w:cs="Calibri"/>
                <w:snapToGrid w:val="0"/>
                <w:color w:val="auto"/>
                <w:kern w:val="0"/>
                <w:sz w:val="24"/>
                <w:szCs w:val="24"/>
                <w:highlight w:val="none"/>
                <w:vertAlign w:val="baseline"/>
                <w:lang w:val="en-US" w:eastAsia="zh-CN" w:bidi="ar-SA"/>
              </w:rPr>
              <w:t>0</w:t>
            </w:r>
          </w:p>
        </w:tc>
        <w:tc>
          <w:tcPr>
            <w:tcW w:w="53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highlight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00"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946" w:type="dxa"/>
            <w:vMerge w:val="continue"/>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3.5总结问诊结果（4）</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4</w:t>
            </w:r>
          </w:p>
        </w:tc>
        <w:tc>
          <w:tcPr>
            <w:tcW w:w="696"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3</w:t>
            </w:r>
          </w:p>
        </w:tc>
        <w:tc>
          <w:tcPr>
            <w:tcW w:w="590"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0</w:t>
            </w:r>
          </w:p>
        </w:tc>
        <w:tc>
          <w:tcPr>
            <w:tcW w:w="53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项目4</w:t>
            </w:r>
          </w:p>
        </w:tc>
        <w:tc>
          <w:tcPr>
            <w:tcW w:w="946"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观察</w:t>
            </w:r>
            <w:r>
              <w:rPr>
                <w:rFonts w:hint="eastAsia" w:ascii="仿宋_GB2312" w:eastAsia="仿宋_GB2312" w:cs="Calibri"/>
                <w:snapToGrid w:val="0"/>
                <w:color w:val="auto"/>
                <w:kern w:val="0"/>
                <w:sz w:val="24"/>
                <w:szCs w:val="24"/>
                <w:vertAlign w:val="baseline"/>
                <w:lang w:val="en-US" w:eastAsia="zh-CN" w:bidi="ar-SA"/>
              </w:rPr>
              <w:t>（10分）</w:t>
            </w: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（1）病患反应（5分）</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（2）病患感受（5分）</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10</w:t>
            </w:r>
          </w:p>
        </w:tc>
        <w:tc>
          <w:tcPr>
            <w:tcW w:w="696"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8</w:t>
            </w:r>
          </w:p>
        </w:tc>
        <w:tc>
          <w:tcPr>
            <w:tcW w:w="590"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6</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4</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53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6" w:type="dxa"/>
            <w:gridSpan w:val="2"/>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注意事项</w:t>
            </w:r>
          </w:p>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（10分）</w:t>
            </w:r>
          </w:p>
        </w:tc>
        <w:tc>
          <w:tcPr>
            <w:tcW w:w="338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21"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（1）操作过程中保护关爱病患（2分）没有保护意识不得分</w:t>
            </w:r>
          </w:p>
          <w:p>
            <w:pPr>
              <w:pStyle w:val="2"/>
              <w:keepNext w:val="0"/>
              <w:keepLines w:val="0"/>
              <w:pageBreakBefore w:val="0"/>
              <w:widowControl/>
              <w:kinsoku/>
              <w:wordWrap/>
              <w:overflowPunct/>
              <w:topLinePunct w:val="0"/>
              <w:autoSpaceDE w:val="0"/>
              <w:autoSpaceDN w:val="0"/>
              <w:bidi w:val="0"/>
              <w:adjustRightInd w:val="0"/>
              <w:snapToGrid w:val="0"/>
              <w:spacing w:line="221"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（2）适当的协助（1分）</w:t>
            </w:r>
          </w:p>
          <w:p>
            <w:pPr>
              <w:pStyle w:val="2"/>
              <w:keepNext w:val="0"/>
              <w:keepLines w:val="0"/>
              <w:pageBreakBefore w:val="0"/>
              <w:widowControl/>
              <w:kinsoku/>
              <w:wordWrap/>
              <w:overflowPunct/>
              <w:topLinePunct w:val="0"/>
              <w:autoSpaceDE w:val="0"/>
              <w:autoSpaceDN w:val="0"/>
              <w:bidi w:val="0"/>
              <w:adjustRightInd w:val="0"/>
              <w:snapToGrid w:val="0"/>
              <w:spacing w:line="221" w:lineRule="auto"/>
              <w:jc w:val="both"/>
              <w:textAlignment w:val="baseline"/>
              <w:rPr>
                <w:rFonts w:hint="eastAsia"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（3）尊重理解病患，鼓励病患及家属主动参与配合（1分）</w:t>
            </w:r>
          </w:p>
          <w:p>
            <w:pPr>
              <w:pStyle w:val="2"/>
              <w:keepNext w:val="0"/>
              <w:keepLines w:val="0"/>
              <w:pageBreakBefore w:val="0"/>
              <w:widowControl/>
              <w:kinsoku/>
              <w:wordWrap/>
              <w:overflowPunct/>
              <w:topLinePunct w:val="0"/>
              <w:autoSpaceDE w:val="0"/>
              <w:autoSpaceDN w:val="0"/>
              <w:bidi w:val="0"/>
              <w:adjustRightInd w:val="0"/>
              <w:snapToGrid w:val="0"/>
              <w:spacing w:line="221"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（4）操作熟练、准确、无重复多余的动作（6分）</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10</w:t>
            </w:r>
          </w:p>
        </w:tc>
        <w:tc>
          <w:tcPr>
            <w:tcW w:w="696"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8</w:t>
            </w:r>
          </w:p>
        </w:tc>
        <w:tc>
          <w:tcPr>
            <w:tcW w:w="590"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6</w:t>
            </w:r>
          </w:p>
        </w:tc>
        <w:tc>
          <w:tcPr>
            <w:tcW w:w="64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4</w:t>
            </w:r>
          </w:p>
        </w:tc>
        <w:tc>
          <w:tcPr>
            <w:tcW w:w="64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2</w:t>
            </w:r>
          </w:p>
        </w:tc>
        <w:tc>
          <w:tcPr>
            <w:tcW w:w="531"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6" w:type="dxa"/>
            <w:gridSpan w:val="2"/>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合计</w:t>
            </w:r>
          </w:p>
        </w:tc>
        <w:tc>
          <w:tcPr>
            <w:tcW w:w="3381"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221"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100分</w:t>
            </w:r>
          </w:p>
        </w:tc>
        <w:tc>
          <w:tcPr>
            <w:tcW w:w="3219" w:type="dxa"/>
            <w:gridSpan w:val="5"/>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4"/>
                <w:szCs w:val="24"/>
                <w:vertAlign w:val="baseline"/>
                <w:lang w:val="en-US" w:eastAsia="zh-CN" w:bidi="ar-SA"/>
              </w:rPr>
            </w:pPr>
            <w:r>
              <w:rPr>
                <w:rFonts w:hint="eastAsia" w:ascii="仿宋_GB2312" w:eastAsia="仿宋_GB2312" w:cs="Calibri"/>
                <w:snapToGrid w:val="0"/>
                <w:color w:val="auto"/>
                <w:kern w:val="0"/>
                <w:sz w:val="24"/>
                <w:szCs w:val="24"/>
                <w:vertAlign w:val="baseline"/>
                <w:lang w:val="en-US" w:eastAsia="zh-CN" w:bidi="ar-SA"/>
              </w:rPr>
              <w:t>实际得分</w:t>
            </w:r>
          </w:p>
        </w:tc>
        <w:tc>
          <w:tcPr>
            <w:tcW w:w="531"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p>
        </w:tc>
      </w:tr>
    </w:tbl>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仿宋_GB2312" w:eastAsia="仿宋_GB2312" w:cs="Calibri"/>
          <w:b/>
          <w:bCs/>
          <w:snapToGrid w:val="0"/>
          <w:color w:val="auto"/>
          <w:kern w:val="0"/>
          <w:sz w:val="32"/>
          <w:szCs w:val="32"/>
          <w:lang w:val="en-US" w:eastAsia="zh-CN" w:bidi="ar-SA"/>
        </w:rPr>
      </w:pPr>
      <w:r>
        <w:rPr>
          <w:rFonts w:hint="eastAsia" w:ascii="仿宋_GB2312" w:eastAsia="仿宋_GB2312" w:cs="Calibri"/>
          <w:b/>
          <w:bCs/>
          <w:snapToGrid w:val="0"/>
          <w:color w:val="auto"/>
          <w:kern w:val="0"/>
          <w:sz w:val="32"/>
          <w:szCs w:val="32"/>
          <w:lang w:val="en-US" w:eastAsia="zh-CN" w:bidi="ar-SA"/>
        </w:rPr>
        <w:t>4.回答问题（100分）</w:t>
      </w:r>
    </w:p>
    <w:tbl>
      <w:tblPr>
        <w:tblStyle w:val="8"/>
        <w:tblW w:w="8988" w:type="dxa"/>
        <w:tblInd w:w="-2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2"/>
        <w:gridCol w:w="2497"/>
        <w:gridCol w:w="2377"/>
        <w:gridCol w:w="2203"/>
        <w:gridCol w:w="8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22"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标准</w:t>
            </w:r>
          </w:p>
        </w:tc>
        <w:tc>
          <w:tcPr>
            <w:tcW w:w="249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优秀（90%-100%）</w:t>
            </w:r>
          </w:p>
        </w:tc>
        <w:tc>
          <w:tcPr>
            <w:tcW w:w="2377"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良好（80%-90%）</w:t>
            </w:r>
          </w:p>
        </w:tc>
        <w:tc>
          <w:tcPr>
            <w:tcW w:w="2203"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差（70%-80%）</w:t>
            </w:r>
          </w:p>
        </w:tc>
        <w:tc>
          <w:tcPr>
            <w:tcW w:w="889"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赋分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回答问题</w:t>
            </w:r>
          </w:p>
        </w:tc>
        <w:tc>
          <w:tcPr>
            <w:tcW w:w="2497"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default" w:ascii="仿宋_GB2312" w:eastAsia="仿宋_GB2312" w:cs="Calibri"/>
                <w:snapToGrid w:val="0"/>
                <w:color w:val="auto"/>
                <w:kern w:val="0"/>
                <w:sz w:val="28"/>
                <w:szCs w:val="28"/>
                <w:vertAlign w:val="baseline"/>
                <w:lang w:val="en-US" w:eastAsia="zh-CN" w:bidi="ar-SA"/>
              </w:rPr>
              <w:t>语言表达流利，思路清晰，回答全面、专业知识技术应用正确熟练</w:t>
            </w:r>
          </w:p>
        </w:tc>
        <w:tc>
          <w:tcPr>
            <w:tcW w:w="2377"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default" w:ascii="仿宋_GB2312" w:eastAsia="仿宋_GB2312" w:cs="Calibri"/>
                <w:snapToGrid w:val="0"/>
                <w:color w:val="auto"/>
                <w:kern w:val="0"/>
                <w:sz w:val="28"/>
                <w:szCs w:val="28"/>
                <w:vertAlign w:val="baseline"/>
                <w:lang w:val="en-US" w:eastAsia="zh-CN" w:bidi="ar-SA"/>
              </w:rPr>
              <w:t>语言表达较流利</w:t>
            </w:r>
            <w:r>
              <w:rPr>
                <w:rFonts w:hint="eastAsia" w:ascii="仿宋_GB2312" w:eastAsia="仿宋_GB2312" w:cs="Calibri"/>
                <w:snapToGrid w:val="0"/>
                <w:color w:val="auto"/>
                <w:kern w:val="0"/>
                <w:sz w:val="28"/>
                <w:szCs w:val="28"/>
                <w:vertAlign w:val="baseline"/>
                <w:lang w:val="en-US" w:eastAsia="zh-CN" w:bidi="ar-SA"/>
              </w:rPr>
              <w:t>，思路清晰，回答较全面、专业知识技术应用较熟练</w:t>
            </w:r>
          </w:p>
        </w:tc>
        <w:tc>
          <w:tcPr>
            <w:tcW w:w="2203"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default" w:ascii="仿宋_GB2312" w:eastAsia="仿宋_GB2312" w:cs="Calibri"/>
                <w:snapToGrid w:val="0"/>
                <w:color w:val="auto"/>
                <w:kern w:val="0"/>
                <w:sz w:val="28"/>
                <w:szCs w:val="28"/>
                <w:vertAlign w:val="baseline"/>
                <w:lang w:val="en-US" w:eastAsia="zh-CN" w:bidi="ar-SA"/>
              </w:rPr>
              <w:t>语言表达不够流利，思路不够清晰</w:t>
            </w:r>
            <w:r>
              <w:rPr>
                <w:rFonts w:hint="eastAsia" w:ascii="仿宋_GB2312" w:eastAsia="仿宋_GB2312" w:cs="Calibri"/>
                <w:snapToGrid w:val="0"/>
                <w:color w:val="auto"/>
                <w:kern w:val="0"/>
                <w:sz w:val="28"/>
                <w:szCs w:val="28"/>
                <w:vertAlign w:val="baseline"/>
                <w:lang w:val="en-US" w:eastAsia="zh-CN" w:bidi="ar-SA"/>
              </w:rPr>
              <w:t>，</w:t>
            </w:r>
            <w:r>
              <w:rPr>
                <w:rFonts w:hint="default" w:ascii="仿宋_GB2312" w:eastAsia="仿宋_GB2312" w:cs="Calibri"/>
                <w:snapToGrid w:val="0"/>
                <w:color w:val="auto"/>
                <w:kern w:val="0"/>
                <w:sz w:val="28"/>
                <w:szCs w:val="28"/>
                <w:vertAlign w:val="baseline"/>
                <w:lang w:val="en-US" w:eastAsia="zh-CN" w:bidi="ar-SA"/>
              </w:rPr>
              <w:t>回答不够全面</w:t>
            </w:r>
            <w:r>
              <w:rPr>
                <w:rFonts w:hint="eastAsia" w:ascii="仿宋_GB2312" w:eastAsia="仿宋_GB2312" w:cs="Calibri"/>
                <w:snapToGrid w:val="0"/>
                <w:color w:val="auto"/>
                <w:kern w:val="0"/>
                <w:sz w:val="28"/>
                <w:szCs w:val="28"/>
                <w:vertAlign w:val="baseline"/>
                <w:lang w:val="en-US" w:eastAsia="zh-CN" w:bidi="ar-SA"/>
              </w:rPr>
              <w:t>、</w:t>
            </w:r>
            <w:r>
              <w:rPr>
                <w:rFonts w:hint="default" w:ascii="仿宋_GB2312" w:eastAsia="仿宋_GB2312" w:cs="Calibri"/>
                <w:snapToGrid w:val="0"/>
                <w:color w:val="auto"/>
                <w:kern w:val="0"/>
                <w:sz w:val="28"/>
                <w:szCs w:val="28"/>
                <w:vertAlign w:val="baseline"/>
                <w:lang w:val="en-US" w:eastAsia="zh-CN" w:bidi="ar-SA"/>
              </w:rPr>
              <w:t>专业知识技术应用不够熟练</w:t>
            </w:r>
          </w:p>
        </w:tc>
        <w:tc>
          <w:tcPr>
            <w:tcW w:w="889"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b/>
                <w:bCs/>
                <w:snapToGrid w:val="0"/>
                <w:color w:val="auto"/>
                <w:kern w:val="0"/>
                <w:sz w:val="28"/>
                <w:szCs w:val="28"/>
                <w:vertAlign w:val="baseline"/>
                <w:lang w:val="en-US" w:eastAsia="zh-CN" w:bidi="ar-SA"/>
              </w:rPr>
            </w:pPr>
            <w:r>
              <w:rPr>
                <w:rFonts w:hint="eastAsia" w:ascii="仿宋_GB2312" w:eastAsia="仿宋_GB2312" w:cs="Calibri"/>
                <w:b/>
                <w:bCs/>
                <w:snapToGrid w:val="0"/>
                <w:color w:val="auto"/>
                <w:kern w:val="0"/>
                <w:sz w:val="28"/>
                <w:szCs w:val="28"/>
                <w:vertAlign w:val="baseline"/>
                <w:lang w:val="en-US" w:eastAsia="zh-CN" w:bidi="ar-SA"/>
              </w:rPr>
              <w:t>反应能力</w:t>
            </w:r>
          </w:p>
        </w:tc>
        <w:tc>
          <w:tcPr>
            <w:tcW w:w="2497"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default" w:ascii="仿宋_GB2312" w:eastAsia="仿宋_GB2312" w:cs="Calibri"/>
                <w:snapToGrid w:val="0"/>
                <w:color w:val="auto"/>
                <w:kern w:val="0"/>
                <w:sz w:val="28"/>
                <w:szCs w:val="28"/>
                <w:vertAlign w:val="baseline"/>
                <w:lang w:val="en-US" w:eastAsia="zh-CN" w:bidi="ar-SA"/>
              </w:rPr>
              <w:t>回答问题反应迅速</w:t>
            </w:r>
            <w:r>
              <w:rPr>
                <w:rFonts w:hint="eastAsia" w:ascii="仿宋_GB2312" w:eastAsia="仿宋_GB2312" w:cs="Calibri"/>
                <w:snapToGrid w:val="0"/>
                <w:color w:val="auto"/>
                <w:kern w:val="0"/>
                <w:sz w:val="28"/>
                <w:szCs w:val="28"/>
                <w:vertAlign w:val="baseline"/>
                <w:lang w:val="en-US" w:eastAsia="zh-CN" w:bidi="ar-SA"/>
              </w:rPr>
              <w:t>，</w:t>
            </w:r>
            <w:r>
              <w:rPr>
                <w:rFonts w:hint="default" w:ascii="仿宋_GB2312" w:eastAsia="仿宋_GB2312" w:cs="Calibri"/>
                <w:snapToGrid w:val="0"/>
                <w:color w:val="auto"/>
                <w:kern w:val="0"/>
                <w:sz w:val="28"/>
                <w:szCs w:val="28"/>
                <w:vertAlign w:val="baseline"/>
                <w:lang w:val="en-US" w:eastAsia="zh-CN" w:bidi="ar-SA"/>
              </w:rPr>
              <w:t>逻辑性强</w:t>
            </w:r>
          </w:p>
        </w:tc>
        <w:tc>
          <w:tcPr>
            <w:tcW w:w="2377"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default" w:ascii="仿宋_GB2312" w:eastAsia="仿宋_GB2312" w:cs="Calibri"/>
                <w:snapToGrid w:val="0"/>
                <w:color w:val="auto"/>
                <w:kern w:val="0"/>
                <w:sz w:val="28"/>
                <w:szCs w:val="28"/>
                <w:vertAlign w:val="baseline"/>
                <w:lang w:val="en-US" w:eastAsia="zh-CN" w:bidi="ar-SA"/>
              </w:rPr>
              <w:t>回答问题反应较为迅速，逻辑性较强</w:t>
            </w:r>
          </w:p>
        </w:tc>
        <w:tc>
          <w:tcPr>
            <w:tcW w:w="2203" w:type="dxa"/>
            <w:noWrap w:val="0"/>
            <w:vAlign w:val="top"/>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default" w:ascii="仿宋_GB2312" w:eastAsia="仿宋_GB2312" w:cs="Calibri"/>
                <w:snapToGrid w:val="0"/>
                <w:color w:val="auto"/>
                <w:kern w:val="0"/>
                <w:sz w:val="28"/>
                <w:szCs w:val="28"/>
                <w:vertAlign w:val="baseline"/>
                <w:lang w:val="en-US" w:eastAsia="zh-CN" w:bidi="ar-SA"/>
              </w:rPr>
              <w:t>回答问题反应一般，逻辑性欠佳</w:t>
            </w:r>
          </w:p>
        </w:tc>
        <w:tc>
          <w:tcPr>
            <w:tcW w:w="889" w:type="dxa"/>
            <w:noWrap w:val="0"/>
            <w:vAlign w:val="center"/>
          </w:tcPr>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default" w:ascii="仿宋_GB2312" w:eastAsia="仿宋_GB2312" w:cs="Calibri"/>
                <w:snapToGrid w:val="0"/>
                <w:color w:val="auto"/>
                <w:kern w:val="0"/>
                <w:sz w:val="28"/>
                <w:szCs w:val="28"/>
                <w:vertAlign w:val="baseline"/>
                <w:lang w:val="en-US" w:eastAsia="zh-CN" w:bidi="ar-SA"/>
              </w:rPr>
            </w:pPr>
            <w:r>
              <w:rPr>
                <w:rFonts w:hint="eastAsia" w:ascii="仿宋_GB2312" w:eastAsia="仿宋_GB2312" w:cs="Calibri"/>
                <w:snapToGrid w:val="0"/>
                <w:color w:val="auto"/>
                <w:kern w:val="0"/>
                <w:sz w:val="28"/>
                <w:szCs w:val="28"/>
                <w:vertAlign w:val="baseline"/>
                <w:lang w:val="en-US" w:eastAsia="zh-CN" w:bidi="ar-SA"/>
              </w:rPr>
              <w:t>30</w:t>
            </w:r>
          </w:p>
        </w:tc>
      </w:tr>
    </w:tbl>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default"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（四）奖项设置</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本赛项奖项设置参照《2024年海南省职业院校职业技能大赛学生技能竞赛方案》（琼教职成〔2024〕48 号）文件执行。</w:t>
      </w:r>
    </w:p>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黑体" w:hAnsi="黑体" w:eastAsia="黑体" w:cs="黑体"/>
          <w:b w:val="0"/>
          <w:bCs w:val="0"/>
          <w:snapToGrid w:val="0"/>
          <w:color w:val="auto"/>
          <w:kern w:val="0"/>
          <w:sz w:val="32"/>
          <w:szCs w:val="32"/>
          <w:lang w:val="en-US" w:eastAsia="zh-CN" w:bidi="ar-SA"/>
        </w:rPr>
      </w:pPr>
      <w:r>
        <w:rPr>
          <w:rFonts w:hint="eastAsia" w:ascii="黑体" w:hAnsi="黑体" w:eastAsia="黑体" w:cs="黑体"/>
          <w:b w:val="0"/>
          <w:bCs w:val="0"/>
          <w:snapToGrid w:val="0"/>
          <w:color w:val="auto"/>
          <w:kern w:val="0"/>
          <w:sz w:val="32"/>
          <w:szCs w:val="32"/>
          <w:lang w:val="en-US" w:eastAsia="zh-CN" w:bidi="ar-SA"/>
        </w:rPr>
        <w:t>十一、赛项预案</w:t>
      </w:r>
    </w:p>
    <w:p>
      <w:pPr>
        <w:pStyle w:val="2"/>
        <w:keepNext w:val="0"/>
        <w:keepLines w:val="0"/>
        <w:pageBreakBefore w:val="0"/>
        <w:widowControl w:val="0"/>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比赛期间发生意外事故，发现者应第一时间报告执委会，同时采取措施避免事态扩大。执委会应立即启动预案予以解决并报告组委会办公室，事后执委会应向组委会报告详细情况。</w:t>
      </w:r>
    </w:p>
    <w:p>
      <w:pPr>
        <w:pStyle w:val="2"/>
        <w:keepNext w:val="0"/>
        <w:keepLines w:val="0"/>
        <w:pageBreakBefore w:val="0"/>
        <w:widowControl w:val="0"/>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（一）火灾安全事故紧急处理预案</w:t>
      </w:r>
    </w:p>
    <w:p>
      <w:pPr>
        <w:pStyle w:val="2"/>
        <w:keepNext w:val="0"/>
        <w:keepLines w:val="0"/>
        <w:pageBreakBefore w:val="0"/>
        <w:widowControl w:val="0"/>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若发生火灾，及时通知安保负责人,向消防部门119 报警，组织人员疏散、切断电源，将易燃易爆物品及时转移到安全地带，同时组织人员使用适宜的灭火器材灭火。对轻伤人员有医护人员进行处置:对重伤人员及时送往医院救治。</w:t>
      </w:r>
    </w:p>
    <w:p>
      <w:pPr>
        <w:pStyle w:val="2"/>
        <w:keepNext w:val="0"/>
        <w:keepLines w:val="0"/>
        <w:pageBreakBefore w:val="0"/>
        <w:widowControl w:val="0"/>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（二）电力供应事故紧急处理预案</w:t>
      </w:r>
    </w:p>
    <w:p>
      <w:pPr>
        <w:pStyle w:val="2"/>
        <w:keepNext w:val="0"/>
        <w:keepLines w:val="0"/>
        <w:pageBreakBefore w:val="0"/>
        <w:widowControl w:val="0"/>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若比赛过程中突发临时停电，安保负责人维持秩序的同时，积极调配专业电工，查明停电原因，采取相应措施。同时现场配有动力电，以备停电时使用</w:t>
      </w:r>
      <w:r>
        <w:rPr>
          <w:rFonts w:hint="eastAsia" w:ascii="仿宋_GB2312" w:eastAsia="仿宋_GB2312" w:cs="Calibri"/>
          <w:snapToGrid w:val="0"/>
          <w:color w:val="auto"/>
          <w:kern w:val="0"/>
          <w:sz w:val="32"/>
          <w:szCs w:val="32"/>
          <w:lang w:val="en-US" w:eastAsia="zh-CN" w:bidi="ar-SA"/>
        </w:rPr>
        <w:t>。</w:t>
      </w:r>
    </w:p>
    <w:p>
      <w:pPr>
        <w:pStyle w:val="2"/>
        <w:keepNext w:val="0"/>
        <w:keepLines w:val="0"/>
        <w:pageBreakBefore w:val="0"/>
        <w:widowControl w:val="0"/>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（三）赛场人员突发伤病紧急处理预案</w:t>
      </w:r>
    </w:p>
    <w:p>
      <w:pPr>
        <w:pStyle w:val="2"/>
        <w:keepNext w:val="0"/>
        <w:keepLines w:val="0"/>
        <w:pageBreakBefore w:val="0"/>
        <w:widowControl w:val="0"/>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赛场指定区域配备救护车和医护人员以及相应的药品，现场不能处理的及时送 120 急救中心</w:t>
      </w:r>
      <w:r>
        <w:rPr>
          <w:rFonts w:hint="eastAsia" w:ascii="仿宋_GB2312" w:eastAsia="仿宋_GB2312" w:cs="Calibri"/>
          <w:snapToGrid w:val="0"/>
          <w:color w:val="auto"/>
          <w:kern w:val="0"/>
          <w:sz w:val="32"/>
          <w:szCs w:val="32"/>
          <w:lang w:val="en-US" w:eastAsia="zh-CN" w:bidi="ar-SA"/>
        </w:rPr>
        <w:t>。</w:t>
      </w:r>
    </w:p>
    <w:p>
      <w:pPr>
        <w:pStyle w:val="2"/>
        <w:keepNext w:val="0"/>
        <w:keepLines w:val="0"/>
        <w:pageBreakBefore w:val="0"/>
        <w:widowControl w:val="0"/>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（四）设备事故紧急处理预案</w:t>
      </w:r>
    </w:p>
    <w:p>
      <w:pPr>
        <w:pStyle w:val="2"/>
        <w:keepNext w:val="0"/>
        <w:keepLines w:val="0"/>
        <w:pageBreakBefore w:val="0"/>
        <w:widowControl w:val="0"/>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正式开赛前，在监督人员的监示下，进行综合模拟演训，确保设备正常运行、预案可靠可行。赛前准备备用设备和备用赛场，若比赛过程中出现技术平台故障，技术人员立即汇报裁判长，暂停该赛室比赛，及时配合裁判长等相关人员，提出妥善的处置方案，对设备进行调试或更换。若需要更换设备，经专家组组长、裁判长批准后启动备用设备或备用赛场。</w:t>
      </w:r>
    </w:p>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黑体" w:hAnsi="黑体" w:eastAsia="黑体" w:cs="黑体"/>
          <w:snapToGrid w:val="0"/>
          <w:color w:val="auto"/>
          <w:kern w:val="0"/>
          <w:sz w:val="32"/>
          <w:szCs w:val="32"/>
          <w:lang w:val="en-US" w:eastAsia="zh-CN" w:bidi="ar-SA"/>
        </w:rPr>
      </w:pPr>
      <w:r>
        <w:rPr>
          <w:rFonts w:hint="eastAsia" w:ascii="黑体" w:hAnsi="黑体" w:eastAsia="黑体" w:cs="黑体"/>
          <w:snapToGrid w:val="0"/>
          <w:color w:val="auto"/>
          <w:kern w:val="0"/>
          <w:sz w:val="32"/>
          <w:szCs w:val="32"/>
          <w:lang w:val="en-US" w:eastAsia="zh-CN" w:bidi="ar-SA"/>
        </w:rPr>
        <w:t>十二、赛项安全</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（一）赛项安全管理</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竞赛所涉器材、设备均符合国家有关安全规定。赛项执委会将在赛前对本赛项全体裁判员、工作人员进行安全培训，并制定专门方案保证比赛命题、赛题保管、发放、回收和评判过程的安全。</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（二）比赛环境安全管理</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1.赛项执委会须在赛前组织专人对比赛现场和交通保障进行考察，并对安全工作提出明确要求。承办院校赛前、赛中、赛后按照赛项执委会要求进行安全巡查，排除安全隐患。</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2.赛场周围要设立警戒线，防止无关人员进入，避免发生意外事件。比赛现场内应参照相关职业岗位的要求为选手提供必要的劳动保护。</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3.竞赛期间，参赛选手应严格按照赛场指示的线路进行作业，并服从竞赛裁判员及工作人员的指挥</w:t>
      </w:r>
      <w:r>
        <w:rPr>
          <w:rFonts w:hint="eastAsia" w:ascii="仿宋_GB2312" w:eastAsia="仿宋_GB2312" w:cs="Calibri"/>
          <w:snapToGrid w:val="0"/>
          <w:color w:val="auto"/>
          <w:kern w:val="0"/>
          <w:sz w:val="32"/>
          <w:szCs w:val="32"/>
          <w:lang w:val="en-US" w:eastAsia="zh-CN" w:bidi="ar-SA"/>
        </w:rPr>
        <w:t>。</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4.参赛选手、赛项裁判、工作人员严禁携带通讯、摄录设备和未经许可的记录用具进入比赛区域；如确有需要，由赛项承办单位统一配置，统一管理。赛项可根据需要配置安检设备，对进入赛场重要区域的人员进行安检，可在赛场相关区域安放无线屏蔽设备。</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（三）医疗服务保障</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赛场设置医疗工作站，备</w:t>
      </w:r>
      <w:r>
        <w:rPr>
          <w:rFonts w:hint="eastAsia" w:ascii="仿宋_GB2312" w:eastAsia="仿宋_GB2312" w:cs="Calibri"/>
          <w:snapToGrid w:val="0"/>
          <w:color w:val="auto"/>
          <w:kern w:val="0"/>
          <w:sz w:val="32"/>
          <w:szCs w:val="32"/>
          <w:lang w:val="en-US" w:eastAsia="zh-CN" w:bidi="ar-SA"/>
        </w:rPr>
        <w:t>有</w:t>
      </w:r>
      <w:r>
        <w:rPr>
          <w:rFonts w:hint="default" w:ascii="仿宋_GB2312" w:eastAsia="仿宋_GB2312" w:cs="Calibri"/>
          <w:snapToGrid w:val="0"/>
          <w:color w:val="auto"/>
          <w:kern w:val="0"/>
          <w:sz w:val="32"/>
          <w:szCs w:val="32"/>
          <w:lang w:val="en-US" w:eastAsia="zh-CN" w:bidi="ar-SA"/>
        </w:rPr>
        <w:t>急救物品和相应药品。配备医疗救护专业人员，能够对选手、裁判、专家及工作人员等突发的紧急健康问题开展有效救护工作。</w:t>
      </w:r>
    </w:p>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黑体" w:hAnsi="黑体" w:eastAsia="黑体" w:cs="黑体"/>
          <w:snapToGrid w:val="0"/>
          <w:color w:val="auto"/>
          <w:kern w:val="0"/>
          <w:sz w:val="32"/>
          <w:szCs w:val="32"/>
          <w:lang w:val="en-US" w:eastAsia="zh-CN" w:bidi="ar-SA"/>
        </w:rPr>
      </w:pPr>
      <w:r>
        <w:rPr>
          <w:rFonts w:hint="eastAsia" w:ascii="黑体" w:hAnsi="黑体" w:eastAsia="黑体" w:cs="黑体"/>
          <w:snapToGrid w:val="0"/>
          <w:color w:val="auto"/>
          <w:kern w:val="0"/>
          <w:sz w:val="32"/>
          <w:szCs w:val="32"/>
          <w:lang w:val="en-US" w:eastAsia="zh-CN" w:bidi="ar-SA"/>
        </w:rPr>
        <w:t>十三、竞赛须知</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（一）参赛队须知</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1.参赛队统一使用规定的代表队名称。</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2.每支参赛队由领队、指导教师和参赛学生组成。</w:t>
      </w:r>
      <w:r>
        <w:rPr>
          <w:rFonts w:hint="eastAsia" w:ascii="仿宋_GB2312" w:eastAsia="仿宋_GB2312" w:cs="Calibri"/>
          <w:snapToGrid w:val="0"/>
          <w:color w:val="auto"/>
          <w:kern w:val="0"/>
          <w:sz w:val="32"/>
          <w:szCs w:val="32"/>
          <w:lang w:val="en-US" w:eastAsia="zh-CN" w:bidi="ar-SA"/>
        </w:rPr>
        <w:t>领队可以由指导教师担任。</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3.参赛选手必须与正式报名名单一致，不允许更换选手，允许缺员竞赛。</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4.参赛选手需购买人身意外险。保险费、交通费、食宿费由各参赛队自理。</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5.各参赛队领队负责比赛协调工作，应按赛项执委会要求参加领队会议，传达会议精神。应妥善管理好本参赛队人员的日常生活及安全。坚决执行赛项的各项规定，加强对参赛选手的管理，做好赛前准备工作。</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（二）参赛选手须知</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1.参赛选手须严格按照规定时间持本人身份证和参赛证、学生证进入比赛场地，证件不齐全者不准进入考场。不允许携带任何竞赛规程禁止使用的电子产品及通讯工具，以及其它与竞赛有关的资料和书籍，违规者取消本次竞赛资格。</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2.参赛选手按大赛要求统一着装进入赛场。着装不应出现院校及个人等涉及竞赛场上应该保密的信息，并符合安全及竞赛要求。</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3.竞赛开始、终止时间由工作人员记录在案；比赛时间到，选手停止撰写或实操，按照要求离开竞赛区域。参赛选手提前结束竞赛并示意后，不得再进行任何操作。</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4.参赛选手应该文明参赛，服从裁判统一指挥，尊重赛场工作人员，自觉维护赛场秩序。竞赛过程中如有特殊情况，需提交监考人员或裁判人员处理，不得擅自停止比赛或离开赛场，否则以弃权处理。</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5.参赛选手对于认为有影响个人比赛成绩的裁判行为或设备故障等问题，应向指导老师反映，由领队按大赛制度规定进行申诉。参赛选手不得利用比赛相关的微信群、QQ群、抖音等发表虚假信息和不当言论。</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6.参赛选手须严格遵守竞赛规程规定的安全操作流程，防止发生安全事故。</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7.参赛选手应该爱护赛场使用的设备、仪器等，不得人为损坏比赛所使用的仪器设备。</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8.比赛过程中如需去洗手间，应报告现场裁判，由裁判或赛场工作人员陪同离开赛场。</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（三）指导教师须知</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1.指导教师必须是参赛选手所在学校的在职专任教师，指导教师一经确定不得随意变更。</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2.指导教师应认真研究本赛项的技术规则和赛场要求，根据专业教学计划和赛项规程合理制定训练方案，培养学生的职业素养和综合能力，指导选手做好赛前的一切准备工作。克服功利思想，避免为赛而学、以赛代学。</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3.指导教师应自觉遵守赛项各项规定，尊重专家、裁判等各类工作人员。对比赛过程有争议的问题，要按大赛规定的申诉程序处理，不得采取过激行为，不得在微信</w:t>
      </w:r>
      <w:r>
        <w:rPr>
          <w:rFonts w:hint="eastAsia" w:ascii="仿宋_GB2312" w:eastAsia="仿宋_GB2312" w:cs="Calibri"/>
          <w:snapToGrid w:val="0"/>
          <w:color w:val="auto"/>
          <w:kern w:val="0"/>
          <w:sz w:val="32"/>
          <w:szCs w:val="32"/>
          <w:lang w:val="en-US" w:eastAsia="zh-CN" w:bidi="ar-SA"/>
        </w:rPr>
        <w:t>、QQ、抖音</w:t>
      </w:r>
      <w:r>
        <w:rPr>
          <w:rFonts w:hint="default" w:ascii="仿宋_GB2312" w:eastAsia="仿宋_GB2312" w:cs="Calibri"/>
          <w:snapToGrid w:val="0"/>
          <w:color w:val="auto"/>
          <w:kern w:val="0"/>
          <w:sz w:val="32"/>
          <w:szCs w:val="32"/>
          <w:lang w:val="en-US" w:eastAsia="zh-CN" w:bidi="ar-SA"/>
        </w:rPr>
        <w:t>等网络平台传播有待核实的信息和不当言论。</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4.对申诉的仲裁结果，领队和指导老师应带头服从和执行，并做好选手的思想工作。</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5.领队和指导老师应在赛后做好技术和工作总结。</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3" w:firstLineChars="200"/>
        <w:jc w:val="both"/>
        <w:textAlignment w:val="baseline"/>
        <w:rPr>
          <w:rFonts w:hint="eastAsia" w:ascii="楷体" w:hAnsi="楷体" w:eastAsia="楷体" w:cs="楷体"/>
          <w:b/>
          <w:bCs/>
          <w:snapToGrid w:val="0"/>
          <w:color w:val="auto"/>
          <w:kern w:val="0"/>
          <w:sz w:val="32"/>
          <w:szCs w:val="32"/>
          <w:lang w:val="en-US" w:eastAsia="zh-CN" w:bidi="ar-SA"/>
        </w:rPr>
      </w:pPr>
      <w:r>
        <w:rPr>
          <w:rFonts w:hint="eastAsia" w:ascii="楷体" w:hAnsi="楷体" w:eastAsia="楷体" w:cs="楷体"/>
          <w:b/>
          <w:bCs/>
          <w:snapToGrid w:val="0"/>
          <w:color w:val="auto"/>
          <w:kern w:val="0"/>
          <w:sz w:val="32"/>
          <w:szCs w:val="32"/>
          <w:lang w:val="en-US" w:eastAsia="zh-CN" w:bidi="ar-SA"/>
        </w:rPr>
        <w:t>（四）工作人员须知</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1.赛场各类工作人员必须统一佩戴由赛项执委会印制的相应证件，着装整齐，进入工作岗位。</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2.除赛项执委会成员、专家组成员、现场裁判、赛场配备的工作人员外，其他人员未经赛项执委会允许不得进入赛场</w:t>
      </w:r>
      <w:r>
        <w:rPr>
          <w:rFonts w:hint="eastAsia" w:ascii="仿宋_GB2312" w:eastAsia="仿宋_GB2312" w:cs="Calibri"/>
          <w:snapToGrid w:val="0"/>
          <w:color w:val="auto"/>
          <w:kern w:val="0"/>
          <w:sz w:val="32"/>
          <w:szCs w:val="32"/>
          <w:lang w:val="en-US" w:eastAsia="zh-CN" w:bidi="ar-SA"/>
        </w:rPr>
        <w:t>。</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3.新闻媒体人员等进入赛场必须经过赛项执委会允许，并且听从现场工作人员的安排和指挥，不得影响竞赛正常进行</w:t>
      </w:r>
      <w:r>
        <w:rPr>
          <w:rFonts w:hint="eastAsia" w:ascii="仿宋_GB2312" w:eastAsia="仿宋_GB2312" w:cs="Calibri"/>
          <w:snapToGrid w:val="0"/>
          <w:color w:val="auto"/>
          <w:kern w:val="0"/>
          <w:sz w:val="32"/>
          <w:szCs w:val="32"/>
          <w:lang w:val="en-US" w:eastAsia="zh-CN" w:bidi="ar-SA"/>
        </w:rPr>
        <w:t>。</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4.工作人员于赛前 60 分钟到达赛场，严守工作岗位，不迟到。不早退，不无故离岗。遇特殊情况需离开岗位，须向赛项执委会请假</w:t>
      </w:r>
      <w:r>
        <w:rPr>
          <w:rFonts w:hint="eastAsia" w:ascii="仿宋_GB2312" w:eastAsia="仿宋_GB2312" w:cs="Calibri"/>
          <w:snapToGrid w:val="0"/>
          <w:color w:val="auto"/>
          <w:kern w:val="0"/>
          <w:sz w:val="32"/>
          <w:szCs w:val="32"/>
          <w:lang w:val="en-US" w:eastAsia="zh-CN" w:bidi="ar-SA"/>
        </w:rPr>
        <w:t>。</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default" w:ascii="仿宋_GB2312" w:eastAsia="仿宋_GB2312" w:cs="Calibri"/>
          <w:snapToGrid w:val="0"/>
          <w:color w:val="auto"/>
          <w:kern w:val="0"/>
          <w:sz w:val="32"/>
          <w:szCs w:val="32"/>
          <w:lang w:val="en-US" w:eastAsia="zh-CN" w:bidi="ar-SA"/>
        </w:rPr>
        <w:t>5.熟悉竞赛规程，严格按照工作程序和有关规定办事，遇突发事件，按照安全工作预案，组织指挥人员疏散，确保人员安全</w:t>
      </w:r>
      <w:r>
        <w:rPr>
          <w:rFonts w:hint="eastAsia" w:ascii="仿宋_GB2312" w:eastAsia="仿宋_GB2312" w:cs="Calibri"/>
          <w:snapToGrid w:val="0"/>
          <w:color w:val="auto"/>
          <w:kern w:val="0"/>
          <w:sz w:val="32"/>
          <w:szCs w:val="32"/>
          <w:lang w:val="en-US" w:eastAsia="zh-CN" w:bidi="ar-SA"/>
        </w:rPr>
        <w:t>。</w:t>
      </w:r>
    </w:p>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黑体" w:hAnsi="黑体" w:eastAsia="黑体" w:cs="黑体"/>
          <w:snapToGrid w:val="0"/>
          <w:color w:val="auto"/>
          <w:kern w:val="0"/>
          <w:sz w:val="32"/>
          <w:szCs w:val="32"/>
          <w:lang w:val="en-US" w:eastAsia="zh-CN" w:bidi="ar-SA"/>
        </w:rPr>
      </w:pPr>
      <w:r>
        <w:rPr>
          <w:rFonts w:hint="eastAsia" w:ascii="黑体" w:hAnsi="黑体" w:eastAsia="黑体" w:cs="黑体"/>
          <w:snapToGrid w:val="0"/>
          <w:color w:val="auto"/>
          <w:kern w:val="0"/>
          <w:sz w:val="32"/>
          <w:szCs w:val="32"/>
          <w:lang w:val="en-US" w:eastAsia="zh-CN" w:bidi="ar-SA"/>
        </w:rPr>
        <w:t>十四、申诉与仲裁</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1.裁判组兼仲裁组。各参赛队对不符合大赛和赛项规程规定的仪器、设备、服装、竞赛使用耗材、用品，竞赛执裁、赛场管理，以及工作人员的不规范行为等，可向赛项仲裁组提出申诉。申诉主体为参赛队领队。</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2.仲裁人员的姓名、联系方式、工作地点在竞赛期间向参赛队和工作人员公示，确保信息畅通并同时接受大众监督。</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3.申诉启动时，由参赛队领队向赛项仲裁工作组递交亲笔签字同意的书面申诉报告。申诉报告应对申诉事件的现象、发生时间、涉及人员、申诉依据等进行充分、实事求是的叙述。非书面申诉不予受理。</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4.提出申诉的时间应在比赛结束后（选手赛场比赛内容全部完成）2 小时内。超过时效不予受理。</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5.赛项仲裁工作组在接到申诉报告后的2小时内组织复议，并及时将复议结果以书面形式告知申诉方。</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6.申诉方不得以任何理由拒绝接收仲裁结果。仲裁结果由申诉人签收，不能代收。</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7.如在约定时间和地点申诉人离开，视为自行放弃申诉；申诉方可随时提出放弃申诉。</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8.申诉方必须提供真实的申诉信息并严格遵守申诉程序，不得以任何理由采取过激行为扰乱赛场秩序。</w:t>
      </w:r>
    </w:p>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黑体" w:hAnsi="黑体" w:eastAsia="黑体" w:cs="黑体"/>
          <w:snapToGrid w:val="0"/>
          <w:color w:val="auto"/>
          <w:kern w:val="0"/>
          <w:sz w:val="32"/>
          <w:szCs w:val="32"/>
          <w:lang w:val="en-US" w:eastAsia="zh-CN" w:bidi="ar-SA"/>
        </w:rPr>
      </w:pPr>
      <w:r>
        <w:rPr>
          <w:rFonts w:hint="eastAsia" w:ascii="黑体" w:hAnsi="黑体" w:eastAsia="黑体" w:cs="黑体"/>
          <w:snapToGrid w:val="0"/>
          <w:color w:val="auto"/>
          <w:kern w:val="0"/>
          <w:sz w:val="32"/>
          <w:szCs w:val="32"/>
          <w:lang w:val="en-US" w:eastAsia="zh-CN" w:bidi="ar-SA"/>
        </w:rPr>
        <w:t>十五、竞赛观摩</w:t>
      </w: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r>
        <w:rPr>
          <w:rFonts w:hint="eastAsia" w:ascii="仿宋_GB2312" w:eastAsia="仿宋_GB2312" w:cs="Calibri"/>
          <w:snapToGrid w:val="0"/>
          <w:color w:val="auto"/>
          <w:kern w:val="0"/>
          <w:sz w:val="32"/>
          <w:szCs w:val="32"/>
          <w:lang w:val="en-US" w:eastAsia="zh-CN" w:bidi="ar-SA"/>
        </w:rPr>
        <w:t>比赛过程在不干扰比赛选手的前提下向各参赛队开放。各参赛队的领队、指导教师等只可以在本参赛队比赛的时间段凭证件进入赛场直播室进行观摩，其他比赛时间段谢绝进入，不得携带任何通讯、摄录设备。观摩人员不得违反赛项规定进入赛场，不得同参赛选手、裁判交流，不得传递信息，不得影响比赛的正常进行。</w:t>
      </w:r>
    </w:p>
    <w:p>
      <w:pPr>
        <w:pStyle w:val="2"/>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仿宋_GB2312" w:eastAsia="仿宋_GB2312" w:cs="Calibri"/>
          <w:snapToGrid w:val="0"/>
          <w:color w:val="auto"/>
          <w:kern w:val="0"/>
          <w:sz w:val="32"/>
          <w:szCs w:val="32"/>
          <w:lang w:val="en-US" w:eastAsia="zh-CN" w:bidi="ar-SA"/>
        </w:rPr>
      </w:pP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p>
    <w:p>
      <w:pPr>
        <w:pStyle w:val="2"/>
        <w:keepNext w:val="0"/>
        <w:keepLines w:val="0"/>
        <w:pageBreakBefore w:val="0"/>
        <w:widowControl w:val="0"/>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p>
    <w:p>
      <w:pPr>
        <w:pStyle w:val="2"/>
        <w:keepNext w:val="0"/>
        <w:keepLines w:val="0"/>
        <w:pageBreakBefore w:val="0"/>
        <w:widowControl/>
        <w:kinsoku/>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_GB2312" w:eastAsia="仿宋_GB2312" w:cs="Calibri"/>
          <w:snapToGrid w:val="0"/>
          <w:color w:val="auto"/>
          <w:kern w:val="0"/>
          <w:sz w:val="32"/>
          <w:szCs w:val="32"/>
          <w:lang w:val="en-US" w:eastAsia="zh-CN" w:bidi="ar-SA"/>
        </w:rPr>
      </w:pPr>
    </w:p>
    <w:sectPr>
      <w:footerReference r:id="rId6" w:type="first"/>
      <w:footerReference r:id="rId5" w:type="default"/>
      <w:pgSz w:w="11906" w:h="16838"/>
      <w:pgMar w:top="1440" w:right="1800" w:bottom="1440" w:left="1800" w:header="851" w:footer="992" w:gutter="0"/>
      <w:pgNumType w:fmt="decimal" w:start="1"/>
      <w:cols w:space="720"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593DA1E-EB14-4327-BD76-FE0A87E79AE7}"/>
  </w:font>
  <w:font w:name="黑体">
    <w:panose1 w:val="02010609060101010101"/>
    <w:charset w:val="86"/>
    <w:family w:val="auto"/>
    <w:pitch w:val="default"/>
    <w:sig w:usb0="800002BF" w:usb1="38CF7CFA" w:usb2="00000016" w:usb3="00000000" w:csb0="00040001" w:csb1="00000000"/>
    <w:embedRegular r:id="rId2" w:fontKey="{84D75D9E-9427-415D-BC09-07352711AE2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9E68E0F1-2D8A-4758-B7BB-850F0D1A7DFE}"/>
  </w:font>
  <w:font w:name="方正小标宋_GBK">
    <w:panose1 w:val="02000000000000000000"/>
    <w:charset w:val="86"/>
    <w:family w:val="auto"/>
    <w:pitch w:val="default"/>
    <w:sig w:usb0="00000001" w:usb1="080E0000" w:usb2="00000000" w:usb3="00000000" w:csb0="00040000" w:csb1="00000000"/>
    <w:embedRegular r:id="rId4" w:fontKey="{07D11772-F526-4319-BDB2-C9D00BBCB863}"/>
  </w:font>
  <w:font w:name="仿宋_GB2312">
    <w:panose1 w:val="02010609030101010101"/>
    <w:charset w:val="86"/>
    <w:family w:val="modern"/>
    <w:pitch w:val="default"/>
    <w:sig w:usb0="00000001" w:usb1="080E0000" w:usb2="00000000" w:usb3="00000000" w:csb0="00040000" w:csb1="00000000"/>
    <w:embedRegular r:id="rId5" w:fontKey="{29544837-4D83-4897-A15D-1E663BB61CED}"/>
  </w:font>
  <w:font w:name="仿宋">
    <w:panose1 w:val="02010609060101010101"/>
    <w:charset w:val="86"/>
    <w:family w:val="modern"/>
    <w:pitch w:val="default"/>
    <w:sig w:usb0="800002BF" w:usb1="38CF7CFA" w:usb2="00000016" w:usb3="00000000" w:csb0="00040001" w:csb1="00000000"/>
    <w:embedRegular r:id="rId6" w:fontKey="{EF0C8F4E-F991-45E5-9798-E3A9A3106411}"/>
  </w:font>
  <w:font w:name="楷体_GB2312">
    <w:panose1 w:val="02010609030101010101"/>
    <w:charset w:val="86"/>
    <w:family w:val="auto"/>
    <w:pitch w:val="default"/>
    <w:sig w:usb0="00000001" w:usb1="080E0000" w:usb2="00000000" w:usb3="00000000" w:csb0="00040000" w:csb1="00000000"/>
    <w:embedRegular r:id="rId7" w:fontKey="{1F28310F-8494-4744-B8C0-C538ACDF0F4E}"/>
  </w:font>
  <w:font w:name="楷体GB2312">
    <w:altName w:val="宋体"/>
    <w:panose1 w:val="00000000000000000000"/>
    <w:charset w:val="00"/>
    <w:family w:val="auto"/>
    <w:pitch w:val="default"/>
    <w:sig w:usb0="00000000" w:usb1="00000000" w:usb2="00000000" w:usb3="00000000" w:csb0="00040001" w:csb1="00000000"/>
    <w:embedRegular r:id="rId8" w:fontKey="{F7E5919F-D38F-4268-BBA4-F376FD8301A1}"/>
  </w:font>
  <w:font w:name="楷体">
    <w:panose1 w:val="02010609060101010101"/>
    <w:charset w:val="86"/>
    <w:family w:val="auto"/>
    <w:pitch w:val="default"/>
    <w:sig w:usb0="800002BF" w:usb1="38CF7CFA" w:usb2="00000016" w:usb3="00000000" w:csb0="00040001" w:csb1="00000000"/>
    <w:embedRegular r:id="rId9" w:fontKey="{6450A91F-38F9-4EC7-90BA-73323329B69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A0c4AgAAb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g7W1fuq&#10;e4AptCxs9NbymCZK5e3yECBtUjwK1KmCTsUD5jD17LIzcdD/PKeop/+Jx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z8DRzgCAABvBAAADgAAAAAAAAABACAAAAAfAQAAZHJzL2Uyb0RvYy54&#10;bWxQSwUGAAAAAAYABgBZAQAAyQU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jHpww4AgAAb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mMenDDgCAABvBAAADgAAAAAAAAABACAAAAAfAQAAZHJzL2Uyb0RvYy54&#10;bWxQSwUGAAAAAAYABgBZAQAAyQU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1CB6686"/>
    <w:multiLevelType w:val="singleLevel"/>
    <w:tmpl w:val="31CB6686"/>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RlZjg1NWQwNjRlNjFlNTVmNDVhYTk0ZDgwMTZiYWQifQ=="/>
  </w:docVars>
  <w:rsids>
    <w:rsidRoot w:val="00000000"/>
    <w:rsid w:val="0B8B05BE"/>
    <w:rsid w:val="115326CB"/>
    <w:rsid w:val="120E7E53"/>
    <w:rsid w:val="12C10A21"/>
    <w:rsid w:val="138B78D5"/>
    <w:rsid w:val="14870EA1"/>
    <w:rsid w:val="154C4F1A"/>
    <w:rsid w:val="1955156E"/>
    <w:rsid w:val="1CE76C97"/>
    <w:rsid w:val="200D799B"/>
    <w:rsid w:val="24927EC4"/>
    <w:rsid w:val="2C706301"/>
    <w:rsid w:val="2E13620B"/>
    <w:rsid w:val="2F3A598B"/>
    <w:rsid w:val="31BA3729"/>
    <w:rsid w:val="35373099"/>
    <w:rsid w:val="3BBD597A"/>
    <w:rsid w:val="3C99135D"/>
    <w:rsid w:val="3E833F2F"/>
    <w:rsid w:val="3FE51977"/>
    <w:rsid w:val="41B17D2F"/>
    <w:rsid w:val="47FC1774"/>
    <w:rsid w:val="4A9A085A"/>
    <w:rsid w:val="4F0B1BE8"/>
    <w:rsid w:val="59122C0E"/>
    <w:rsid w:val="5AC8787B"/>
    <w:rsid w:val="60B26BA1"/>
    <w:rsid w:val="60C70EC5"/>
    <w:rsid w:val="6A4E432F"/>
    <w:rsid w:val="7310405F"/>
    <w:rsid w:val="78287713"/>
    <w:rsid w:val="7ACD20AB"/>
    <w:rsid w:val="7DBC11B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9">
    <w:name w:val="Default Paragraph Font"/>
    <w:semiHidden/>
    <w:qFormat/>
    <w:uiPriority w:val="0"/>
  </w:style>
  <w:style w:type="table" w:default="1" w:styleId="7">
    <w:name w:val="Normal Table"/>
    <w:semiHidden/>
    <w:qFormat/>
    <w:uiPriority w:val="0"/>
    <w:tblPr>
      <w:tblStyle w:val="7"/>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Body Text Indent"/>
    <w:basedOn w:val="1"/>
    <w:qFormat/>
    <w:uiPriority w:val="0"/>
    <w:pPr>
      <w:spacing w:after="120"/>
      <w:ind w:left="420" w:leftChars="2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Body Text First Indent 2"/>
    <w:basedOn w:val="3"/>
    <w:qFormat/>
    <w:uiPriority w:val="0"/>
    <w:pPr>
      <w:ind w:firstLine="420" w:firstLineChars="200"/>
    </w:pPr>
  </w:style>
  <w:style w:type="table" w:styleId="8">
    <w:name w:val="Table Grid"/>
    <w:basedOn w:val="7"/>
    <w:qFormat/>
    <w:uiPriority w:val="0"/>
    <w:pPr>
      <w:widowControl w:val="0"/>
      <w:jc w:val="both"/>
    </w:pPr>
    <w:tblPr>
      <w:tblStyle w:val="7"/>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12286</Words>
  <Characters>12910</Characters>
  <Lines>0</Lines>
  <Paragraphs>0</Paragraphs>
  <TotalTime>30</TotalTime>
  <ScaleCrop>false</ScaleCrop>
  <LinksUpToDate>false</LinksUpToDate>
  <CharactersWithSpaces>12976</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2024-07-28T08:36:00Z</dcterms:created>
  <dc:creator>Administrator</dc:creator>
  <cp:lastModifiedBy></cp:lastModifiedBy>
  <dcterms:modified xsi:type="dcterms:W3CDTF">2024-08-01T02:36:42Z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1B23898358CE450C8A27D2FF416829E7_13</vt:lpwstr>
  </property>
</Properties>
</file>