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DCAC56">
      <w:pPr>
        <w:spacing w:before="100" w:line="197" w:lineRule="auto"/>
        <w:ind w:left="2449" w:right="18" w:hanging="2417"/>
        <w:rPr>
          <w:rFonts w:ascii="微软雅黑" w:hAnsi="微软雅黑" w:eastAsia="微软雅黑" w:cs="微软雅黑"/>
          <w:sz w:val="43"/>
          <w:szCs w:val="43"/>
        </w:rPr>
      </w:pPr>
      <w:r>
        <w:rPr>
          <w:rFonts w:ascii="微软雅黑" w:hAnsi="微软雅黑" w:eastAsia="微软雅黑" w:cs="微软雅黑"/>
          <w:spacing w:val="2"/>
          <w:sz w:val="43"/>
          <w:szCs w:val="43"/>
        </w:rPr>
        <w:t>202</w:t>
      </w:r>
      <w:r>
        <w:rPr>
          <w:rFonts w:hint="eastAsia" w:ascii="微软雅黑" w:hAnsi="微软雅黑" w:eastAsia="微软雅黑" w:cs="微软雅黑"/>
          <w:spacing w:val="2"/>
          <w:sz w:val="43"/>
          <w:szCs w:val="43"/>
          <w:lang w:val="en-US" w:eastAsia="zh-CN"/>
        </w:rPr>
        <w:t>4</w:t>
      </w:r>
      <w:r>
        <w:rPr>
          <w:rFonts w:ascii="微软雅黑" w:hAnsi="微软雅黑" w:eastAsia="微软雅黑" w:cs="微软雅黑"/>
          <w:spacing w:val="2"/>
          <w:sz w:val="43"/>
          <w:szCs w:val="43"/>
        </w:rPr>
        <w:t>年海南省职业院校技能大赛（高职组）</w:t>
      </w:r>
      <w:r>
        <w:rPr>
          <w:rFonts w:ascii="微软雅黑" w:hAnsi="微软雅黑" w:eastAsia="微软雅黑" w:cs="微软雅黑"/>
          <w:spacing w:val="8"/>
          <w:sz w:val="43"/>
          <w:szCs w:val="43"/>
        </w:rPr>
        <w:t xml:space="preserve"> </w:t>
      </w:r>
      <w:r>
        <w:rPr>
          <w:rFonts w:ascii="微软雅黑" w:hAnsi="微软雅黑" w:eastAsia="微软雅黑" w:cs="微软雅黑"/>
          <w:spacing w:val="9"/>
          <w:sz w:val="43"/>
          <w:szCs w:val="43"/>
        </w:rPr>
        <w:t>智慧物流赛项规程</w:t>
      </w:r>
    </w:p>
    <w:p w14:paraId="20D4331E">
      <w:pPr>
        <w:spacing w:line="245" w:lineRule="auto"/>
        <w:rPr>
          <w:rFonts w:ascii="Arial"/>
          <w:sz w:val="21"/>
        </w:rPr>
      </w:pPr>
    </w:p>
    <w:p w14:paraId="2D2796E6">
      <w:pPr>
        <w:spacing w:line="245" w:lineRule="auto"/>
        <w:rPr>
          <w:rFonts w:ascii="Arial"/>
          <w:sz w:val="21"/>
        </w:rPr>
      </w:pPr>
    </w:p>
    <w:p w14:paraId="1F53CAF7">
      <w:pPr>
        <w:spacing w:before="101" w:line="227" w:lineRule="auto"/>
        <w:ind w:left="48"/>
        <w:rPr>
          <w:rFonts w:ascii="黑体" w:hAnsi="黑体" w:eastAsia="黑体" w:cs="黑体"/>
          <w:sz w:val="31"/>
          <w:szCs w:val="31"/>
        </w:rPr>
      </w:pPr>
      <w:r>
        <w:rPr>
          <w:rFonts w:ascii="黑体" w:hAnsi="黑体" w:eastAsia="黑体" w:cs="黑体"/>
          <w:spacing w:val="7"/>
          <w:sz w:val="31"/>
          <w:szCs w:val="31"/>
        </w:rPr>
        <w:t>一、赛项名称</w:t>
      </w:r>
    </w:p>
    <w:p w14:paraId="17E2AE02">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赛项名称：智慧物流</w:t>
      </w:r>
    </w:p>
    <w:p w14:paraId="5337FF6F">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英文名称：Intelligent Logistics</w:t>
      </w:r>
    </w:p>
    <w:p w14:paraId="7D105683">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赛项组别：高等职业教育（学生赛）</w:t>
      </w:r>
    </w:p>
    <w:p w14:paraId="5B5CB1D8">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赛项归属产业：现代物流服务业</w:t>
      </w:r>
    </w:p>
    <w:p w14:paraId="37D8E095">
      <w:pPr>
        <w:spacing w:before="68" w:line="228" w:lineRule="auto"/>
        <w:ind w:left="47"/>
        <w:outlineLvl w:val="0"/>
        <w:rPr>
          <w:rFonts w:ascii="黑体" w:hAnsi="黑体" w:eastAsia="黑体" w:cs="黑体"/>
          <w:sz w:val="30"/>
          <w:szCs w:val="30"/>
        </w:rPr>
      </w:pPr>
      <w:r>
        <w:rPr>
          <w:rFonts w:ascii="黑体" w:hAnsi="黑体" w:eastAsia="黑体" w:cs="黑体"/>
          <w:spacing w:val="17"/>
          <w:sz w:val="30"/>
          <w:szCs w:val="30"/>
        </w:rPr>
        <w:t>二、竞赛目标</w:t>
      </w:r>
    </w:p>
    <w:p w14:paraId="76D522A4">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党的二十大明确指出,建设高效顺畅的流通体系，降低物流成本。推动现代服务业同先进制造业、现代农业深度融合。物流业在新时代背景下扮演着越来越重要的角色，中国物流业的新时代，将由智能物流引领开启，物流业借助互联网、物联网、大数据、云计算、人工智能、区块链等技术手段，正发生翻天覆地的变化。与之相对应，跨界融合的智慧物流人才呼之欲出。培养智慧物流人才，需要围绕生产物流、商贸物流、农村物流等不同应用场景，培养学生跨行业、跨学科、跨专业的综合能力以及实践能力与数字化思维。</w:t>
      </w:r>
    </w:p>
    <w:p w14:paraId="5EBFE6F0">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本赛项秉持供应链管理理念，以服务智能制造的生产物流为应用背景，目的是通过竞赛检验物流人才培养质量，创新物流人才培养模式,引领和促进高职院校物流类专业教学改革，激发和调动行业企业关注和参与物流类专业教学改革，提升培养物流类人才的市场匹配度。提升教师职业技能和工匠精神；展示参赛选手在运营管理、团队协作现场问题的分析与处理、工作效率、质量与成本控制、安全及文明生产等方面的职业素养。</w:t>
      </w:r>
    </w:p>
    <w:p w14:paraId="2D0BBAE3">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sectPr>
          <w:footerReference r:id="rId5" w:type="default"/>
          <w:pgSz w:w="11907" w:h="16840"/>
          <w:pgMar w:top="1394" w:right="1700" w:bottom="1344" w:left="1786" w:header="0" w:footer="1091" w:gutter="0"/>
          <w:pgNumType w:fmt="decimal"/>
          <w:cols w:space="720" w:num="1"/>
        </w:sectPr>
      </w:pPr>
    </w:p>
    <w:p w14:paraId="2CD84838">
      <w:pPr>
        <w:spacing w:before="62" w:line="228" w:lineRule="auto"/>
        <w:ind w:left="49"/>
        <w:outlineLvl w:val="0"/>
        <w:rPr>
          <w:rFonts w:ascii="黑体" w:hAnsi="黑体" w:eastAsia="黑体" w:cs="黑体"/>
          <w:sz w:val="30"/>
          <w:szCs w:val="30"/>
        </w:rPr>
      </w:pPr>
      <w:r>
        <w:rPr>
          <w:rFonts w:ascii="黑体" w:hAnsi="黑体" w:eastAsia="黑体" w:cs="黑体"/>
          <w:spacing w:val="17"/>
          <w:sz w:val="30"/>
          <w:szCs w:val="30"/>
        </w:rPr>
        <w:t>三、竞赛内容</w:t>
      </w:r>
    </w:p>
    <w:p w14:paraId="2684EAC2">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赛项以智慧物流系统规划设计、规划仿真建模与运行、智慧物流系统方案汇报答辩为主要工作任务，包括1+X物流职业素养测试、智慧物流系统规划仿真与方案设计、智慧物流系统方案汇报答辩三个模块。该赛项体现智慧物流的发展趋势，运用供应链思维，通过建模组合的方式搭建智慧物流系统，验证智慧物流系统规划方案的可行性、有效性。赛项重点考核选手的智慧物流系统规划设计与运行所需要的专业知识、标准规范、团队合作、精益管理、服务质量、安全意识、工匠精神、作业现场的应变能力、问题的处置能力以及归纳与表达能力。</w:t>
      </w:r>
    </w:p>
    <w:p w14:paraId="7067B9E9">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（一）1+X物流职业素养测试模块</w:t>
      </w:r>
    </w:p>
    <w:p w14:paraId="2CA0C89A">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该模块占总分15%，重点考核选手专业知识和对物流行业新技术、新工艺、新规范、新要求的理解和掌握，全面考核选手的现代物流与供应链管理职业能力水平和素养。</w:t>
      </w:r>
    </w:p>
    <w:p w14:paraId="3EB3466C">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（二）智慧物流系统规划仿真与方案设计模块</w:t>
      </w:r>
    </w:p>
    <w:p w14:paraId="02E5C4F0">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该模块占总分60%。参赛队依据背景资料和数据，完成生产物流系统需求分析、智能设施设备配置、智慧仓布局规划及作业环节设计，并进行仿真验证与分析。</w:t>
      </w:r>
    </w:p>
    <w:p w14:paraId="13E186D7">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（三）智慧物流系统方案汇报答辩模块</w:t>
      </w:r>
    </w:p>
    <w:p w14:paraId="379C33A2">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该模块占总分25%。参赛队根据智慧物流规划方案，基于智慧物流系统规划设计方案和展示材料，进行汇报和答辩。</w:t>
      </w:r>
    </w:p>
    <w:p w14:paraId="0A731A6B">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sectPr>
          <w:footerReference r:id="rId6" w:type="default"/>
          <w:pgSz w:w="11907" w:h="16840"/>
          <w:pgMar w:top="1392" w:right="1701" w:bottom="1344" w:left="1786" w:header="0" w:footer="1091" w:gutter="0"/>
          <w:pgNumType w:fmt="decimal"/>
          <w:cols w:space="720" w:num="1"/>
        </w:sectPr>
      </w:pPr>
    </w:p>
    <w:p w14:paraId="1D7C70C7">
      <w:pPr>
        <w:spacing w:before="228"/>
      </w:pPr>
    </w:p>
    <w:tbl>
      <w:tblPr>
        <w:tblStyle w:val="8"/>
        <w:tblW w:w="85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8"/>
        <w:gridCol w:w="1677"/>
        <w:gridCol w:w="3178"/>
        <w:gridCol w:w="1482"/>
        <w:gridCol w:w="1347"/>
      </w:tblGrid>
      <w:tr w14:paraId="790DA7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 w:hRule="atLeast"/>
        </w:trPr>
        <w:tc>
          <w:tcPr>
            <w:tcW w:w="2525" w:type="dxa"/>
            <w:gridSpan w:val="2"/>
            <w:vAlign w:val="top"/>
          </w:tcPr>
          <w:p w14:paraId="07C7B4C3">
            <w:pPr>
              <w:spacing w:before="26" w:line="296" w:lineRule="exact"/>
              <w:ind w:left="898"/>
              <w:jc w:val="lef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5"/>
                <w:w w:val="95"/>
                <w:position w:val="-1"/>
                <w:sz w:val="24"/>
                <w:szCs w:val="24"/>
              </w:rPr>
              <w:t>模块</w:t>
            </w:r>
          </w:p>
        </w:tc>
        <w:tc>
          <w:tcPr>
            <w:tcW w:w="3178" w:type="dxa"/>
            <w:vAlign w:val="top"/>
          </w:tcPr>
          <w:p w14:paraId="0B238811">
            <w:pPr>
              <w:spacing w:before="24" w:line="295" w:lineRule="exact"/>
              <w:ind w:left="1004"/>
              <w:jc w:val="lef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19"/>
                <w:w w:val="93"/>
                <w:position w:val="-1"/>
                <w:sz w:val="24"/>
                <w:szCs w:val="24"/>
              </w:rPr>
              <w:t>主要内容</w:t>
            </w:r>
          </w:p>
        </w:tc>
        <w:tc>
          <w:tcPr>
            <w:tcW w:w="1482" w:type="dxa"/>
            <w:vAlign w:val="top"/>
          </w:tcPr>
          <w:p w14:paraId="1D5A2CE0">
            <w:pPr>
              <w:spacing w:before="27" w:line="294" w:lineRule="exact"/>
              <w:ind w:left="249"/>
              <w:jc w:val="lef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6"/>
                <w:w w:val="85"/>
                <w:position w:val="-1"/>
                <w:sz w:val="24"/>
                <w:szCs w:val="24"/>
              </w:rPr>
              <w:t>比赛时长</w:t>
            </w:r>
          </w:p>
        </w:tc>
        <w:tc>
          <w:tcPr>
            <w:tcW w:w="1347" w:type="dxa"/>
            <w:vAlign w:val="top"/>
          </w:tcPr>
          <w:p w14:paraId="65C3E526">
            <w:pPr>
              <w:spacing w:before="26" w:line="293" w:lineRule="exact"/>
              <w:ind w:left="316"/>
              <w:jc w:val="lef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4"/>
                <w:w w:val="94"/>
                <w:position w:val="-1"/>
                <w:sz w:val="24"/>
                <w:szCs w:val="24"/>
              </w:rPr>
              <w:t>分值</w:t>
            </w:r>
          </w:p>
        </w:tc>
      </w:tr>
      <w:tr w14:paraId="6D1699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trPr>
        <w:tc>
          <w:tcPr>
            <w:tcW w:w="848" w:type="dxa"/>
            <w:vAlign w:val="center"/>
          </w:tcPr>
          <w:p w14:paraId="31935A5B">
            <w:pPr>
              <w:spacing w:before="329" w:line="296" w:lineRule="exact"/>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模块一</w:t>
            </w:r>
          </w:p>
        </w:tc>
        <w:tc>
          <w:tcPr>
            <w:tcW w:w="1677" w:type="dxa"/>
            <w:vAlign w:val="center"/>
          </w:tcPr>
          <w:p w14:paraId="130C47E6">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1+X物流职业素养测试</w:t>
            </w:r>
          </w:p>
        </w:tc>
        <w:tc>
          <w:tcPr>
            <w:tcW w:w="3178" w:type="dxa"/>
            <w:vAlign w:val="center"/>
          </w:tcPr>
          <w:p w14:paraId="1B2B0676">
            <w:pPr>
              <w:pStyle w:val="9"/>
              <w:spacing w:before="60" w:line="222" w:lineRule="auto"/>
              <w:ind w:left="124" w:right="115" w:firstLine="11"/>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参赛队根据提供的赛题完 成职业素养、生产安全、环境保护等方面的测试。</w:t>
            </w:r>
          </w:p>
        </w:tc>
        <w:tc>
          <w:tcPr>
            <w:tcW w:w="1482" w:type="dxa"/>
            <w:vAlign w:val="center"/>
          </w:tcPr>
          <w:p w14:paraId="4FE735F6">
            <w:pPr>
              <w:pStyle w:val="9"/>
              <w:spacing w:before="64" w:line="226" w:lineRule="auto"/>
              <w:ind w:left="123" w:right="40" w:firstLine="11"/>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40分钟</w:t>
            </w:r>
          </w:p>
        </w:tc>
        <w:tc>
          <w:tcPr>
            <w:tcW w:w="1347" w:type="dxa"/>
            <w:vAlign w:val="center"/>
          </w:tcPr>
          <w:p w14:paraId="18C7AC5B">
            <w:pPr>
              <w:pStyle w:val="9"/>
              <w:spacing w:before="64" w:line="226" w:lineRule="auto"/>
              <w:ind w:left="123" w:right="40" w:firstLine="11"/>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15%</w:t>
            </w:r>
          </w:p>
        </w:tc>
      </w:tr>
      <w:tr w14:paraId="3BB75E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0" w:hRule="atLeast"/>
        </w:trPr>
        <w:tc>
          <w:tcPr>
            <w:tcW w:w="848" w:type="dxa"/>
            <w:vAlign w:val="center"/>
          </w:tcPr>
          <w:p w14:paraId="59716EFB">
            <w:pPr>
              <w:spacing w:before="125" w:line="295" w:lineRule="exact"/>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模块二</w:t>
            </w:r>
          </w:p>
        </w:tc>
        <w:tc>
          <w:tcPr>
            <w:tcW w:w="1677" w:type="dxa"/>
            <w:vAlign w:val="center"/>
          </w:tcPr>
          <w:p w14:paraId="6C28FF1C">
            <w:pPr>
              <w:pStyle w:val="9"/>
              <w:spacing w:before="205"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智慧物流系统规划仿真与方案设计</w:t>
            </w:r>
          </w:p>
        </w:tc>
        <w:tc>
          <w:tcPr>
            <w:tcW w:w="3178" w:type="dxa"/>
            <w:vAlign w:val="center"/>
          </w:tcPr>
          <w:p w14:paraId="7C88F0CE">
            <w:pPr>
              <w:pStyle w:val="9"/>
              <w:spacing w:before="64" w:line="226" w:lineRule="auto"/>
              <w:ind w:left="123" w:right="40" w:firstLine="11"/>
              <w:jc w:val="center"/>
              <w:rPr>
                <w:rFonts w:hint="default"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参赛队根据提供的任务背景 及相关数据，完成智慧仓布 局规划、物流功能区域布局 设计，并运用系统完成仿真。</w:t>
            </w:r>
          </w:p>
        </w:tc>
        <w:tc>
          <w:tcPr>
            <w:tcW w:w="1482" w:type="dxa"/>
            <w:vAlign w:val="center"/>
          </w:tcPr>
          <w:p w14:paraId="78AAF50E">
            <w:pPr>
              <w:pStyle w:val="9"/>
              <w:spacing w:before="64" w:line="226" w:lineRule="auto"/>
              <w:ind w:left="123" w:right="40" w:firstLine="11"/>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240分钟</w:t>
            </w:r>
          </w:p>
        </w:tc>
        <w:tc>
          <w:tcPr>
            <w:tcW w:w="1347" w:type="dxa"/>
            <w:vAlign w:val="center"/>
          </w:tcPr>
          <w:p w14:paraId="57F5ED22">
            <w:pPr>
              <w:pStyle w:val="9"/>
              <w:spacing w:before="64" w:line="226" w:lineRule="auto"/>
              <w:ind w:left="123" w:right="40" w:firstLine="11"/>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60%</w:t>
            </w:r>
          </w:p>
        </w:tc>
      </w:tr>
      <w:tr w14:paraId="614251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8" w:hRule="atLeast"/>
        </w:trPr>
        <w:tc>
          <w:tcPr>
            <w:tcW w:w="848" w:type="dxa"/>
            <w:vAlign w:val="center"/>
          </w:tcPr>
          <w:p w14:paraId="48285B8B">
            <w:pPr>
              <w:spacing w:before="125" w:line="296" w:lineRule="exact"/>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模块三</w:t>
            </w:r>
          </w:p>
        </w:tc>
        <w:tc>
          <w:tcPr>
            <w:tcW w:w="1677" w:type="dxa"/>
            <w:vAlign w:val="center"/>
          </w:tcPr>
          <w:p w14:paraId="3E3C8D38">
            <w:pPr>
              <w:pStyle w:val="9"/>
              <w:spacing w:before="78" w:line="234" w:lineRule="auto"/>
              <w:ind w:right="162"/>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智物流系统方案汇报答辩</w:t>
            </w:r>
          </w:p>
        </w:tc>
        <w:tc>
          <w:tcPr>
            <w:tcW w:w="3178" w:type="dxa"/>
            <w:vAlign w:val="center"/>
          </w:tcPr>
          <w:p w14:paraId="4C5D6BFE">
            <w:pPr>
              <w:pStyle w:val="9"/>
              <w:spacing w:before="64" w:line="226" w:lineRule="auto"/>
              <w:ind w:left="123" w:right="40" w:firstLine="11"/>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方案汇报答辩参赛队对规划分析过程及设计仿真结果进行汇报答辩。</w:t>
            </w:r>
          </w:p>
        </w:tc>
        <w:tc>
          <w:tcPr>
            <w:tcW w:w="1482" w:type="dxa"/>
            <w:vAlign w:val="center"/>
          </w:tcPr>
          <w:p w14:paraId="406FCB87">
            <w:pPr>
              <w:pStyle w:val="9"/>
              <w:spacing w:before="64" w:line="226" w:lineRule="auto"/>
              <w:ind w:left="123" w:right="40" w:firstLine="11"/>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15分钟</w:t>
            </w:r>
          </w:p>
        </w:tc>
        <w:tc>
          <w:tcPr>
            <w:tcW w:w="1347" w:type="dxa"/>
            <w:vAlign w:val="center"/>
          </w:tcPr>
          <w:p w14:paraId="19A4AD0C">
            <w:pPr>
              <w:pStyle w:val="9"/>
              <w:spacing w:before="64" w:line="226" w:lineRule="auto"/>
              <w:ind w:left="123" w:right="40" w:firstLine="11"/>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25%</w:t>
            </w:r>
          </w:p>
        </w:tc>
      </w:tr>
    </w:tbl>
    <w:p w14:paraId="50A46531">
      <w:pPr>
        <w:spacing w:before="176" w:line="227" w:lineRule="auto"/>
        <w:ind w:left="177"/>
        <w:outlineLvl w:val="0"/>
        <w:rPr>
          <w:rFonts w:ascii="黑体" w:hAnsi="黑体" w:eastAsia="黑体" w:cs="黑体"/>
          <w:sz w:val="30"/>
          <w:szCs w:val="30"/>
        </w:rPr>
      </w:pPr>
      <w:r>
        <w:rPr>
          <w:rFonts w:ascii="黑体" w:hAnsi="黑体" w:eastAsia="黑体" w:cs="黑体"/>
          <w:spacing w:val="11"/>
          <w:sz w:val="30"/>
          <w:szCs w:val="30"/>
        </w:rPr>
        <w:t>四、竞赛方式</w:t>
      </w:r>
    </w:p>
    <w:p w14:paraId="2DE59EA6">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1.竞赛采用线下比赛形式组织实施，竞赛所有模块均以团队方式进行。</w:t>
      </w:r>
    </w:p>
    <w:p w14:paraId="121A3A33">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2.竞赛组队方式为团队赛，每队参赛选手4名，参赛学生为职业院校全日制在籍学生，参赛年龄不超过25周岁（即1999年7月1日及以后出生）, 具体以大赛报名通知为准。</w:t>
      </w:r>
    </w:p>
    <w:p w14:paraId="1950F320">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3.指导教师须为本校专兼职教师，团体赛每队限报2名指导教师。</w:t>
      </w:r>
    </w:p>
    <w:p w14:paraId="69540EB2">
      <w:pPr>
        <w:spacing w:line="266" w:lineRule="auto"/>
        <w:rPr>
          <w:rFonts w:ascii="Arial"/>
          <w:sz w:val="21"/>
        </w:rPr>
      </w:pPr>
    </w:p>
    <w:p w14:paraId="6CA2118B">
      <w:pPr>
        <w:spacing w:before="98" w:line="227" w:lineRule="auto"/>
        <w:ind w:left="155"/>
        <w:outlineLvl w:val="0"/>
        <w:rPr>
          <w:rFonts w:ascii="黑体" w:hAnsi="黑体" w:eastAsia="黑体" w:cs="黑体"/>
          <w:sz w:val="30"/>
          <w:szCs w:val="30"/>
        </w:rPr>
      </w:pPr>
      <w:r>
        <w:rPr>
          <w:rFonts w:ascii="黑体" w:hAnsi="黑体" w:eastAsia="黑体" w:cs="黑体"/>
          <w:spacing w:val="-13"/>
          <w:sz w:val="30"/>
          <w:szCs w:val="30"/>
        </w:rPr>
        <w:t>五、</w:t>
      </w:r>
      <w:r>
        <w:rPr>
          <w:rFonts w:ascii="黑体" w:hAnsi="黑体" w:eastAsia="黑体" w:cs="黑体"/>
          <w:spacing w:val="-72"/>
          <w:sz w:val="30"/>
          <w:szCs w:val="30"/>
        </w:rPr>
        <w:t xml:space="preserve"> </w:t>
      </w:r>
      <w:r>
        <w:rPr>
          <w:rFonts w:ascii="黑体" w:hAnsi="黑体" w:eastAsia="黑体" w:cs="黑体"/>
          <w:spacing w:val="-13"/>
          <w:sz w:val="30"/>
          <w:szCs w:val="30"/>
        </w:rPr>
        <w:t>竞赛流程</w:t>
      </w:r>
    </w:p>
    <w:p w14:paraId="549067FC">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比赛日期：2024年10月下旬（具体时间另行通知）。</w:t>
      </w:r>
    </w:p>
    <w:p w14:paraId="68EDCE14">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比赛时间安排：正式比赛时间1天，具体安排见竞赛日程表。</w:t>
      </w:r>
    </w:p>
    <w:p w14:paraId="43046DE9">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赛事持续进行1天。赛程由1+X物流职业素养测试、智慧物流系统规划仿真与方案设计、智慧物流系统方案汇报答辩三个模块组成，安排在不同的时间、同一个竞赛区域进行。模块进行的时间顺序：</w:t>
      </w:r>
    </w:p>
    <w:p w14:paraId="40456CBC">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首先进行物流职业素养测试模块竞赛；其次进行智慧物流系统规划仿真与方案设计模块竞赛；最后每组进行方案汇报答辩。</w:t>
      </w:r>
    </w:p>
    <w:p w14:paraId="5517A36B">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sectPr>
          <w:footerReference r:id="rId7" w:type="default"/>
          <w:pgSz w:w="11907" w:h="16840"/>
          <w:pgMar w:top="1431" w:right="1675" w:bottom="1344" w:left="1684" w:header="0" w:footer="1091" w:gutter="0"/>
          <w:pgNumType w:fmt="decimal"/>
          <w:cols w:space="720" w:num="1"/>
        </w:sectPr>
      </w:pPr>
    </w:p>
    <w:p w14:paraId="49792FC2">
      <w:pPr>
        <w:spacing w:before="57" w:line="222" w:lineRule="auto"/>
        <w:ind w:left="3589"/>
        <w:rPr>
          <w:rFonts w:ascii="黑体" w:hAnsi="黑体" w:eastAsia="黑体" w:cs="黑体"/>
          <w:sz w:val="28"/>
          <w:szCs w:val="28"/>
        </w:rPr>
      </w:pPr>
      <w:r>
        <w:rPr>
          <w:rFonts w:ascii="黑体" w:hAnsi="黑体" w:eastAsia="黑体" w:cs="黑体"/>
          <w:spacing w:val="-5"/>
          <w:sz w:val="28"/>
          <w:szCs w:val="28"/>
        </w:rPr>
        <w:t>竞赛日程表</w:t>
      </w:r>
    </w:p>
    <w:p w14:paraId="44E3EA96">
      <w:pPr>
        <w:spacing w:line="149" w:lineRule="exact"/>
      </w:pPr>
    </w:p>
    <w:tbl>
      <w:tblPr>
        <w:tblStyle w:val="8"/>
        <w:tblW w:w="853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07"/>
        <w:gridCol w:w="2594"/>
        <w:gridCol w:w="4529"/>
      </w:tblGrid>
      <w:tr w14:paraId="393986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407" w:type="dxa"/>
            <w:vAlign w:val="center"/>
          </w:tcPr>
          <w:p w14:paraId="239F3A43">
            <w:pPr>
              <w:spacing w:before="16" w:line="293" w:lineRule="exact"/>
              <w:jc w:val="center"/>
              <w:rPr>
                <w:rFonts w:hint="eastAsia"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日期</w:t>
            </w:r>
          </w:p>
        </w:tc>
        <w:tc>
          <w:tcPr>
            <w:tcW w:w="2594" w:type="dxa"/>
            <w:vAlign w:val="center"/>
          </w:tcPr>
          <w:p w14:paraId="3AC0C336">
            <w:pPr>
              <w:spacing w:before="16" w:line="293" w:lineRule="exact"/>
              <w:jc w:val="center"/>
              <w:rPr>
                <w:rFonts w:hint="eastAsia"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时间</w:t>
            </w:r>
          </w:p>
        </w:tc>
        <w:tc>
          <w:tcPr>
            <w:tcW w:w="4529" w:type="dxa"/>
            <w:vAlign w:val="center"/>
          </w:tcPr>
          <w:p w14:paraId="570AC7D1">
            <w:pPr>
              <w:spacing w:before="16" w:line="293" w:lineRule="exact"/>
              <w:jc w:val="center"/>
              <w:rPr>
                <w:rFonts w:hint="eastAsia"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内容</w:t>
            </w:r>
          </w:p>
        </w:tc>
      </w:tr>
      <w:tr w14:paraId="59EBE8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 w:hRule="atLeast"/>
        </w:trPr>
        <w:tc>
          <w:tcPr>
            <w:tcW w:w="1407" w:type="dxa"/>
            <w:vMerge w:val="restart"/>
            <w:vAlign w:val="center"/>
          </w:tcPr>
          <w:p w14:paraId="463471CB">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报到日</w:t>
            </w:r>
          </w:p>
        </w:tc>
        <w:tc>
          <w:tcPr>
            <w:tcW w:w="2594" w:type="dxa"/>
            <w:vAlign w:val="center"/>
          </w:tcPr>
          <w:p w14:paraId="08962F04">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15：00-15：10</w:t>
            </w:r>
          </w:p>
        </w:tc>
        <w:tc>
          <w:tcPr>
            <w:tcW w:w="4529" w:type="dxa"/>
            <w:vAlign w:val="center"/>
          </w:tcPr>
          <w:p w14:paraId="3DF07063">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参赛队报到</w:t>
            </w:r>
          </w:p>
        </w:tc>
      </w:tr>
      <w:tr w14:paraId="403B13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 w:hRule="atLeast"/>
        </w:trPr>
        <w:tc>
          <w:tcPr>
            <w:tcW w:w="1407" w:type="dxa"/>
            <w:vMerge w:val="continue"/>
            <w:vAlign w:val="center"/>
          </w:tcPr>
          <w:p w14:paraId="1971E1A9">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p>
        </w:tc>
        <w:tc>
          <w:tcPr>
            <w:tcW w:w="2594" w:type="dxa"/>
            <w:vAlign w:val="center"/>
          </w:tcPr>
          <w:p w14:paraId="17DFAD1C">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15：15-15：45</w:t>
            </w:r>
          </w:p>
        </w:tc>
        <w:tc>
          <w:tcPr>
            <w:tcW w:w="4529" w:type="dxa"/>
            <w:vAlign w:val="center"/>
          </w:tcPr>
          <w:p w14:paraId="1286F35D">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分组抽签</w:t>
            </w:r>
          </w:p>
        </w:tc>
      </w:tr>
      <w:tr w14:paraId="7C0853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407" w:type="dxa"/>
            <w:vMerge w:val="continue"/>
            <w:tcBorders>
              <w:bottom w:val="single" w:color="auto" w:sz="4" w:space="0"/>
            </w:tcBorders>
            <w:vAlign w:val="center"/>
          </w:tcPr>
          <w:p w14:paraId="61A7FB2D">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p>
        </w:tc>
        <w:tc>
          <w:tcPr>
            <w:tcW w:w="2594" w:type="dxa"/>
            <w:tcBorders>
              <w:bottom w:val="single" w:color="auto" w:sz="4" w:space="0"/>
            </w:tcBorders>
            <w:vAlign w:val="center"/>
          </w:tcPr>
          <w:p w14:paraId="139C4D16">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15：50-16：20</w:t>
            </w:r>
          </w:p>
        </w:tc>
        <w:tc>
          <w:tcPr>
            <w:tcW w:w="4529" w:type="dxa"/>
            <w:tcBorders>
              <w:bottom w:val="single" w:color="auto" w:sz="4" w:space="0"/>
            </w:tcBorders>
            <w:vAlign w:val="center"/>
          </w:tcPr>
          <w:p w14:paraId="5DBC01F3">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熟悉比赛场地</w:t>
            </w:r>
          </w:p>
        </w:tc>
      </w:tr>
      <w:tr w14:paraId="343908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407" w:type="dxa"/>
            <w:vMerge w:val="restart"/>
            <w:tcBorders>
              <w:top w:val="single" w:color="auto" w:sz="4" w:space="0"/>
              <w:left w:val="single" w:color="auto" w:sz="4" w:space="0"/>
            </w:tcBorders>
            <w:vAlign w:val="center"/>
          </w:tcPr>
          <w:p w14:paraId="09DEB63C">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竞赛日上午</w:t>
            </w:r>
          </w:p>
        </w:tc>
        <w:tc>
          <w:tcPr>
            <w:tcW w:w="2594" w:type="dxa"/>
            <w:tcBorders>
              <w:top w:val="single" w:color="auto" w:sz="4" w:space="0"/>
            </w:tcBorders>
            <w:vAlign w:val="center"/>
          </w:tcPr>
          <w:p w14:paraId="045BE40D">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07：00-07：30</w:t>
            </w:r>
          </w:p>
        </w:tc>
        <w:tc>
          <w:tcPr>
            <w:tcW w:w="4529" w:type="dxa"/>
            <w:tcBorders>
              <w:top w:val="single" w:color="auto" w:sz="4" w:space="0"/>
              <w:right w:val="single" w:color="auto" w:sz="4" w:space="0"/>
            </w:tcBorders>
            <w:vAlign w:val="center"/>
          </w:tcPr>
          <w:p w14:paraId="65FA87EF">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参赛队检录入场</w:t>
            </w:r>
          </w:p>
        </w:tc>
      </w:tr>
      <w:tr w14:paraId="734BF9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407" w:type="dxa"/>
            <w:vMerge w:val="continue"/>
            <w:tcBorders>
              <w:left w:val="single" w:color="auto" w:sz="4" w:space="0"/>
            </w:tcBorders>
            <w:vAlign w:val="center"/>
          </w:tcPr>
          <w:p w14:paraId="207B1501">
            <w:pPr>
              <w:jc w:val="center"/>
              <w:rPr>
                <w:rFonts w:hint="eastAsia" w:ascii="仿宋_GB2312" w:hAnsi="仿宋_GB2312" w:eastAsia="仿宋_GB2312" w:cs="仿宋_GB2312"/>
                <w:b w:val="0"/>
                <w:bCs w:val="0"/>
                <w:snapToGrid/>
                <w:color w:val="000000"/>
                <w:kern w:val="2"/>
                <w:sz w:val="21"/>
                <w:szCs w:val="21"/>
                <w:lang w:val="en-US" w:eastAsia="zh-CN" w:bidi="ar-SA"/>
              </w:rPr>
            </w:pPr>
          </w:p>
        </w:tc>
        <w:tc>
          <w:tcPr>
            <w:tcW w:w="2594" w:type="dxa"/>
            <w:vAlign w:val="center"/>
          </w:tcPr>
          <w:p w14:paraId="348D5F7F">
            <w:pPr>
              <w:spacing w:before="16" w:line="293" w:lineRule="exact"/>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07：40-08：20</w:t>
            </w:r>
          </w:p>
        </w:tc>
        <w:tc>
          <w:tcPr>
            <w:tcW w:w="4529" w:type="dxa"/>
            <w:tcBorders>
              <w:right w:val="single" w:color="auto" w:sz="4" w:space="0"/>
            </w:tcBorders>
            <w:vAlign w:val="center"/>
          </w:tcPr>
          <w:p w14:paraId="50F9FDDE">
            <w:pPr>
              <w:spacing w:before="36" w:line="207" w:lineRule="auto"/>
              <w:ind w:left="110" w:leftChars="0"/>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1+X物流职业素养测试模块比赛</w:t>
            </w:r>
          </w:p>
        </w:tc>
      </w:tr>
      <w:tr w14:paraId="032A88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2" w:hRule="atLeast"/>
        </w:trPr>
        <w:tc>
          <w:tcPr>
            <w:tcW w:w="1407" w:type="dxa"/>
            <w:vMerge w:val="continue"/>
            <w:tcBorders>
              <w:left w:val="single" w:color="auto" w:sz="4" w:space="0"/>
              <w:bottom w:val="single" w:color="auto" w:sz="4" w:space="0"/>
            </w:tcBorders>
            <w:vAlign w:val="center"/>
          </w:tcPr>
          <w:p w14:paraId="237B7029">
            <w:pPr>
              <w:jc w:val="center"/>
              <w:rPr>
                <w:rFonts w:hint="eastAsia" w:ascii="仿宋_GB2312" w:hAnsi="仿宋_GB2312" w:eastAsia="仿宋_GB2312" w:cs="仿宋_GB2312"/>
                <w:b w:val="0"/>
                <w:bCs w:val="0"/>
                <w:snapToGrid/>
                <w:color w:val="000000"/>
                <w:kern w:val="2"/>
                <w:sz w:val="21"/>
                <w:szCs w:val="21"/>
                <w:lang w:val="en-US" w:eastAsia="zh-CN" w:bidi="ar-SA"/>
              </w:rPr>
            </w:pPr>
          </w:p>
        </w:tc>
        <w:tc>
          <w:tcPr>
            <w:tcW w:w="2594" w:type="dxa"/>
            <w:tcBorders>
              <w:bottom w:val="single" w:color="auto" w:sz="4" w:space="0"/>
            </w:tcBorders>
            <w:vAlign w:val="center"/>
          </w:tcPr>
          <w:p w14:paraId="00D2EA1F">
            <w:pPr>
              <w:spacing w:before="16" w:line="293" w:lineRule="exact"/>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08：30-12：30</w:t>
            </w:r>
          </w:p>
        </w:tc>
        <w:tc>
          <w:tcPr>
            <w:tcW w:w="4529" w:type="dxa"/>
            <w:tcBorders>
              <w:bottom w:val="single" w:color="auto" w:sz="4" w:space="0"/>
              <w:right w:val="single" w:color="auto" w:sz="4" w:space="0"/>
            </w:tcBorders>
            <w:vAlign w:val="center"/>
          </w:tcPr>
          <w:p w14:paraId="7A202F05">
            <w:pPr>
              <w:spacing w:before="36" w:line="207" w:lineRule="auto"/>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智慧物流系统规划仿真与方案设计模块比赛</w:t>
            </w:r>
          </w:p>
        </w:tc>
      </w:tr>
      <w:tr w14:paraId="013DEA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407" w:type="dxa"/>
            <w:vMerge w:val="restart"/>
            <w:tcBorders>
              <w:top w:val="single" w:color="auto" w:sz="4" w:space="0"/>
            </w:tcBorders>
            <w:vAlign w:val="center"/>
          </w:tcPr>
          <w:p w14:paraId="7F4DF13B">
            <w:pPr>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en-US" w:bidi="ar-SA"/>
              </w:rPr>
              <w:t>竞赛日</w:t>
            </w:r>
            <w:r>
              <w:rPr>
                <w:rFonts w:hint="eastAsia" w:ascii="仿宋_GB2312" w:hAnsi="仿宋_GB2312" w:eastAsia="仿宋_GB2312" w:cs="仿宋_GB2312"/>
                <w:b w:val="0"/>
                <w:bCs w:val="0"/>
                <w:snapToGrid/>
                <w:color w:val="000000"/>
                <w:kern w:val="2"/>
                <w:sz w:val="21"/>
                <w:szCs w:val="21"/>
                <w:lang w:val="en-US" w:eastAsia="zh-CN" w:bidi="ar-SA"/>
              </w:rPr>
              <w:t>下午</w:t>
            </w:r>
          </w:p>
        </w:tc>
        <w:tc>
          <w:tcPr>
            <w:tcW w:w="2594" w:type="dxa"/>
            <w:tcBorders>
              <w:top w:val="single" w:color="auto" w:sz="4" w:space="0"/>
            </w:tcBorders>
            <w:vAlign w:val="center"/>
          </w:tcPr>
          <w:p w14:paraId="7833DB72">
            <w:pPr>
              <w:spacing w:before="16" w:line="293" w:lineRule="exact"/>
              <w:jc w:val="center"/>
              <w:rPr>
                <w:rFonts w:hint="eastAsia" w:ascii="仿宋_GB2312" w:hAnsi="仿宋_GB2312" w:eastAsia="仿宋_GB2312" w:cs="仿宋_GB2312"/>
                <w:b w:val="0"/>
                <w:bCs w:val="0"/>
                <w:snapToGrid/>
                <w:color w:val="000000"/>
                <w:kern w:val="2"/>
                <w:sz w:val="21"/>
                <w:szCs w:val="21"/>
                <w:lang w:val="en-US" w:eastAsia="en-US" w:bidi="ar-SA"/>
              </w:rPr>
            </w:pPr>
            <w:r>
              <w:rPr>
                <w:rFonts w:hint="eastAsia" w:ascii="仿宋_GB2312" w:hAnsi="仿宋_GB2312" w:eastAsia="仿宋_GB2312" w:cs="仿宋_GB2312"/>
                <w:b w:val="0"/>
                <w:bCs w:val="0"/>
                <w:snapToGrid/>
                <w:color w:val="000000"/>
                <w:kern w:val="2"/>
                <w:sz w:val="21"/>
                <w:szCs w:val="21"/>
                <w:lang w:val="en-US" w:eastAsia="zh-CN" w:bidi="ar-SA"/>
              </w:rPr>
              <w:t>14：00-14：20</w:t>
            </w:r>
          </w:p>
        </w:tc>
        <w:tc>
          <w:tcPr>
            <w:tcW w:w="4529" w:type="dxa"/>
            <w:tcBorders>
              <w:top w:val="single" w:color="auto" w:sz="4" w:space="0"/>
            </w:tcBorders>
            <w:vAlign w:val="center"/>
          </w:tcPr>
          <w:p w14:paraId="264B10CA">
            <w:pPr>
              <w:pStyle w:val="9"/>
              <w:spacing w:before="41" w:line="207" w:lineRule="auto"/>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参赛队检录入场+序号抽签</w:t>
            </w:r>
          </w:p>
        </w:tc>
      </w:tr>
      <w:tr w14:paraId="3E73F8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1407" w:type="dxa"/>
            <w:vMerge w:val="continue"/>
            <w:vAlign w:val="center"/>
          </w:tcPr>
          <w:p w14:paraId="54764776">
            <w:pPr>
              <w:jc w:val="center"/>
              <w:rPr>
                <w:rFonts w:hint="eastAsia" w:ascii="仿宋_GB2312" w:hAnsi="仿宋_GB2312" w:eastAsia="仿宋_GB2312" w:cs="仿宋_GB2312"/>
                <w:b w:val="0"/>
                <w:bCs w:val="0"/>
                <w:snapToGrid/>
                <w:color w:val="000000"/>
                <w:kern w:val="2"/>
                <w:sz w:val="21"/>
                <w:szCs w:val="21"/>
                <w:lang w:val="en-US" w:eastAsia="zh-CN" w:bidi="ar-SA"/>
              </w:rPr>
            </w:pPr>
          </w:p>
        </w:tc>
        <w:tc>
          <w:tcPr>
            <w:tcW w:w="2594" w:type="dxa"/>
            <w:vAlign w:val="center"/>
          </w:tcPr>
          <w:p w14:paraId="276668B6">
            <w:pPr>
              <w:spacing w:before="16" w:line="293" w:lineRule="exact"/>
              <w:jc w:val="center"/>
              <w:rPr>
                <w:rFonts w:hint="eastAsia" w:ascii="仿宋_GB2312" w:hAnsi="仿宋_GB2312" w:eastAsia="仿宋_GB2312" w:cs="仿宋_GB2312"/>
                <w:b w:val="0"/>
                <w:bCs w:val="0"/>
                <w:snapToGrid/>
                <w:color w:val="000000"/>
                <w:kern w:val="2"/>
                <w:sz w:val="21"/>
                <w:szCs w:val="21"/>
                <w:lang w:val="en-US" w:eastAsia="en-US" w:bidi="ar-SA"/>
              </w:rPr>
            </w:pPr>
            <w:r>
              <w:rPr>
                <w:rFonts w:hint="eastAsia" w:ascii="仿宋_GB2312" w:hAnsi="仿宋_GB2312" w:eastAsia="仿宋_GB2312" w:cs="仿宋_GB2312"/>
                <w:b w:val="0"/>
                <w:bCs w:val="0"/>
                <w:snapToGrid/>
                <w:color w:val="000000"/>
                <w:kern w:val="2"/>
                <w:sz w:val="21"/>
                <w:szCs w:val="21"/>
                <w:lang w:val="en-US" w:eastAsia="zh-CN" w:bidi="ar-SA"/>
              </w:rPr>
              <w:t>14：30-14：45 1队</w:t>
            </w:r>
          </w:p>
        </w:tc>
        <w:tc>
          <w:tcPr>
            <w:tcW w:w="4529" w:type="dxa"/>
            <w:vMerge w:val="restart"/>
            <w:vAlign w:val="center"/>
          </w:tcPr>
          <w:p w14:paraId="219D0FA3">
            <w:pPr>
              <w:pStyle w:val="9"/>
              <w:spacing w:before="42" w:line="207" w:lineRule="auto"/>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方案汇报答辩模块比赛</w:t>
            </w:r>
          </w:p>
        </w:tc>
      </w:tr>
      <w:tr w14:paraId="0ACF8D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1407" w:type="dxa"/>
            <w:vMerge w:val="continue"/>
            <w:vAlign w:val="center"/>
          </w:tcPr>
          <w:p w14:paraId="03DB6D8B">
            <w:pPr>
              <w:jc w:val="center"/>
              <w:rPr>
                <w:rFonts w:hint="eastAsia" w:ascii="方正仿宋_GB2312" w:hAnsi="方正仿宋_GB2312" w:eastAsia="方正仿宋_GB2312" w:cs="方正仿宋_GB2312"/>
                <w:sz w:val="21"/>
                <w:szCs w:val="21"/>
              </w:rPr>
            </w:pPr>
          </w:p>
        </w:tc>
        <w:tc>
          <w:tcPr>
            <w:tcW w:w="2594" w:type="dxa"/>
            <w:vAlign w:val="center"/>
          </w:tcPr>
          <w:p w14:paraId="226D7627">
            <w:pPr>
              <w:spacing w:before="16" w:line="293" w:lineRule="exact"/>
              <w:jc w:val="center"/>
              <w:rPr>
                <w:rFonts w:hint="eastAsia" w:ascii="仿宋_GB2312" w:hAnsi="仿宋_GB2312" w:eastAsia="仿宋_GB2312" w:cs="仿宋_GB2312"/>
                <w:b w:val="0"/>
                <w:bCs w:val="0"/>
                <w:snapToGrid/>
                <w:color w:val="000000"/>
                <w:kern w:val="2"/>
                <w:sz w:val="21"/>
                <w:szCs w:val="21"/>
                <w:lang w:val="en-US" w:eastAsia="en-US" w:bidi="ar-SA"/>
              </w:rPr>
            </w:pPr>
            <w:r>
              <w:rPr>
                <w:rFonts w:hint="eastAsia" w:ascii="仿宋_GB2312" w:hAnsi="仿宋_GB2312" w:eastAsia="仿宋_GB2312" w:cs="仿宋_GB2312"/>
                <w:b w:val="0"/>
                <w:bCs w:val="0"/>
                <w:snapToGrid/>
                <w:color w:val="000000"/>
                <w:kern w:val="2"/>
                <w:sz w:val="21"/>
                <w:szCs w:val="21"/>
                <w:lang w:val="en-US" w:eastAsia="zh-CN" w:bidi="ar-SA"/>
              </w:rPr>
              <w:t>14：50-15：05 2队</w:t>
            </w:r>
          </w:p>
        </w:tc>
        <w:tc>
          <w:tcPr>
            <w:tcW w:w="4529" w:type="dxa"/>
            <w:vMerge w:val="continue"/>
            <w:vAlign w:val="center"/>
          </w:tcPr>
          <w:p w14:paraId="22F0B63F">
            <w:pPr>
              <w:pStyle w:val="9"/>
              <w:spacing w:before="41" w:line="208" w:lineRule="auto"/>
              <w:ind w:left="155"/>
              <w:jc w:val="center"/>
              <w:rPr>
                <w:rFonts w:hint="eastAsia" w:ascii="方正仿宋_GB2312" w:hAnsi="方正仿宋_GB2312" w:eastAsia="方正仿宋_GB2312" w:cs="方正仿宋_GB2312"/>
                <w:sz w:val="21"/>
                <w:szCs w:val="21"/>
              </w:rPr>
            </w:pPr>
          </w:p>
        </w:tc>
      </w:tr>
      <w:tr w14:paraId="6F4985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trPr>
        <w:tc>
          <w:tcPr>
            <w:tcW w:w="1407" w:type="dxa"/>
            <w:vMerge w:val="continue"/>
            <w:vAlign w:val="center"/>
          </w:tcPr>
          <w:p w14:paraId="16B565C0">
            <w:pPr>
              <w:jc w:val="center"/>
              <w:rPr>
                <w:rFonts w:hint="eastAsia" w:ascii="方正仿宋_GB2312" w:hAnsi="方正仿宋_GB2312" w:eastAsia="方正仿宋_GB2312" w:cs="方正仿宋_GB2312"/>
                <w:sz w:val="21"/>
                <w:szCs w:val="21"/>
              </w:rPr>
            </w:pPr>
          </w:p>
        </w:tc>
        <w:tc>
          <w:tcPr>
            <w:tcW w:w="2594" w:type="dxa"/>
            <w:vAlign w:val="center"/>
          </w:tcPr>
          <w:p w14:paraId="6DC3B2CD">
            <w:pPr>
              <w:spacing w:before="16" w:line="293" w:lineRule="exact"/>
              <w:jc w:val="center"/>
              <w:rPr>
                <w:rFonts w:hint="eastAsia" w:ascii="仿宋_GB2312" w:hAnsi="仿宋_GB2312" w:eastAsia="仿宋_GB2312" w:cs="仿宋_GB2312"/>
                <w:b w:val="0"/>
                <w:bCs w:val="0"/>
                <w:snapToGrid/>
                <w:color w:val="000000"/>
                <w:kern w:val="2"/>
                <w:sz w:val="21"/>
                <w:szCs w:val="21"/>
                <w:lang w:val="en-US" w:eastAsia="en-US" w:bidi="ar-SA"/>
              </w:rPr>
            </w:pPr>
            <w:r>
              <w:rPr>
                <w:rFonts w:hint="eastAsia" w:ascii="仿宋_GB2312" w:hAnsi="仿宋_GB2312" w:eastAsia="仿宋_GB2312" w:cs="仿宋_GB2312"/>
                <w:b w:val="0"/>
                <w:bCs w:val="0"/>
                <w:snapToGrid/>
                <w:color w:val="000000"/>
                <w:kern w:val="2"/>
                <w:sz w:val="21"/>
                <w:szCs w:val="21"/>
                <w:lang w:val="en-US" w:eastAsia="zh-CN" w:bidi="ar-SA"/>
              </w:rPr>
              <w:t>15：10-15：25 3队</w:t>
            </w:r>
          </w:p>
        </w:tc>
        <w:tc>
          <w:tcPr>
            <w:tcW w:w="4529" w:type="dxa"/>
            <w:vMerge w:val="continue"/>
            <w:vAlign w:val="center"/>
          </w:tcPr>
          <w:p w14:paraId="7EC7D20A">
            <w:pPr>
              <w:pStyle w:val="9"/>
              <w:spacing w:before="38" w:line="208" w:lineRule="auto"/>
              <w:ind w:left="145"/>
              <w:jc w:val="center"/>
              <w:rPr>
                <w:rFonts w:hint="eastAsia" w:ascii="方正仿宋_GB2312" w:hAnsi="方正仿宋_GB2312" w:eastAsia="方正仿宋_GB2312" w:cs="方正仿宋_GB2312"/>
                <w:sz w:val="21"/>
                <w:szCs w:val="21"/>
              </w:rPr>
            </w:pPr>
          </w:p>
        </w:tc>
      </w:tr>
      <w:tr w14:paraId="0056E7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407" w:type="dxa"/>
            <w:vMerge w:val="continue"/>
            <w:vAlign w:val="center"/>
          </w:tcPr>
          <w:p w14:paraId="4C650BA6">
            <w:pPr>
              <w:jc w:val="center"/>
              <w:rPr>
                <w:rFonts w:hint="eastAsia" w:ascii="方正仿宋_GB2312" w:hAnsi="方正仿宋_GB2312" w:eastAsia="方正仿宋_GB2312" w:cs="方正仿宋_GB2312"/>
                <w:sz w:val="21"/>
                <w:szCs w:val="21"/>
              </w:rPr>
            </w:pPr>
          </w:p>
        </w:tc>
        <w:tc>
          <w:tcPr>
            <w:tcW w:w="2594" w:type="dxa"/>
            <w:vAlign w:val="center"/>
          </w:tcPr>
          <w:p w14:paraId="288D5634">
            <w:pPr>
              <w:spacing w:before="16" w:line="293" w:lineRule="exact"/>
              <w:jc w:val="center"/>
              <w:rPr>
                <w:rFonts w:hint="eastAsia" w:ascii="仿宋_GB2312" w:hAnsi="仿宋_GB2312" w:eastAsia="仿宋_GB2312" w:cs="仿宋_GB2312"/>
                <w:b w:val="0"/>
                <w:bCs w:val="0"/>
                <w:snapToGrid/>
                <w:color w:val="000000"/>
                <w:kern w:val="2"/>
                <w:sz w:val="21"/>
                <w:szCs w:val="21"/>
                <w:lang w:val="en-US" w:eastAsia="en-US" w:bidi="ar-SA"/>
              </w:rPr>
            </w:pPr>
            <w:r>
              <w:rPr>
                <w:rFonts w:hint="eastAsia" w:ascii="仿宋_GB2312" w:hAnsi="仿宋_GB2312" w:eastAsia="仿宋_GB2312" w:cs="仿宋_GB2312"/>
                <w:b w:val="0"/>
                <w:bCs w:val="0"/>
                <w:snapToGrid/>
                <w:color w:val="000000"/>
                <w:kern w:val="2"/>
                <w:sz w:val="21"/>
                <w:szCs w:val="21"/>
                <w:lang w:val="en-US" w:eastAsia="zh-CN" w:bidi="ar-SA"/>
              </w:rPr>
              <w:t>15：30-15：45 4队</w:t>
            </w:r>
          </w:p>
        </w:tc>
        <w:tc>
          <w:tcPr>
            <w:tcW w:w="4529" w:type="dxa"/>
            <w:vMerge w:val="continue"/>
            <w:vAlign w:val="center"/>
          </w:tcPr>
          <w:p w14:paraId="1E291AE0">
            <w:pPr>
              <w:pStyle w:val="9"/>
              <w:spacing w:before="41" w:line="207" w:lineRule="auto"/>
              <w:ind w:left="128"/>
              <w:jc w:val="center"/>
              <w:rPr>
                <w:rFonts w:hint="eastAsia" w:ascii="方正仿宋_GB2312" w:hAnsi="方正仿宋_GB2312" w:eastAsia="方正仿宋_GB2312" w:cs="方正仿宋_GB2312"/>
                <w:sz w:val="21"/>
                <w:szCs w:val="21"/>
              </w:rPr>
            </w:pPr>
          </w:p>
        </w:tc>
      </w:tr>
      <w:tr w14:paraId="1F0763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407" w:type="dxa"/>
            <w:vMerge w:val="continue"/>
            <w:vAlign w:val="center"/>
          </w:tcPr>
          <w:p w14:paraId="4CBA3849">
            <w:pPr>
              <w:jc w:val="center"/>
              <w:rPr>
                <w:rFonts w:hint="eastAsia" w:ascii="方正仿宋_GB2312" w:hAnsi="方正仿宋_GB2312" w:eastAsia="方正仿宋_GB2312" w:cs="方正仿宋_GB2312"/>
                <w:sz w:val="21"/>
                <w:szCs w:val="21"/>
              </w:rPr>
            </w:pPr>
          </w:p>
        </w:tc>
        <w:tc>
          <w:tcPr>
            <w:tcW w:w="2594" w:type="dxa"/>
            <w:vAlign w:val="center"/>
          </w:tcPr>
          <w:p w14:paraId="4069AD24">
            <w:pPr>
              <w:spacing w:before="16" w:line="293" w:lineRule="exact"/>
              <w:jc w:val="center"/>
              <w:rPr>
                <w:rFonts w:hint="eastAsia" w:ascii="仿宋_GB2312" w:hAnsi="仿宋_GB2312" w:eastAsia="仿宋_GB2312" w:cs="仿宋_GB2312"/>
                <w:b w:val="0"/>
                <w:bCs w:val="0"/>
                <w:snapToGrid/>
                <w:color w:val="000000"/>
                <w:kern w:val="2"/>
                <w:sz w:val="21"/>
                <w:szCs w:val="21"/>
                <w:lang w:val="en-US" w:eastAsia="en-US" w:bidi="ar-SA"/>
              </w:rPr>
            </w:pPr>
            <w:r>
              <w:rPr>
                <w:rFonts w:hint="eastAsia" w:ascii="仿宋_GB2312" w:hAnsi="仿宋_GB2312" w:eastAsia="仿宋_GB2312" w:cs="仿宋_GB2312"/>
                <w:b w:val="0"/>
                <w:bCs w:val="0"/>
                <w:snapToGrid/>
                <w:color w:val="000000"/>
                <w:kern w:val="2"/>
                <w:sz w:val="21"/>
                <w:szCs w:val="21"/>
                <w:lang w:val="en-US" w:eastAsia="zh-CN" w:bidi="ar-SA"/>
              </w:rPr>
              <w:t>15：50-16：05 5队</w:t>
            </w:r>
          </w:p>
        </w:tc>
        <w:tc>
          <w:tcPr>
            <w:tcW w:w="4529" w:type="dxa"/>
            <w:vMerge w:val="continue"/>
            <w:vAlign w:val="center"/>
          </w:tcPr>
          <w:p w14:paraId="0B2B108B">
            <w:pPr>
              <w:pStyle w:val="9"/>
              <w:spacing w:before="41" w:line="207" w:lineRule="auto"/>
              <w:ind w:left="128"/>
              <w:jc w:val="center"/>
              <w:rPr>
                <w:rFonts w:hint="eastAsia" w:ascii="方正仿宋_GB2312" w:hAnsi="方正仿宋_GB2312" w:eastAsia="方正仿宋_GB2312" w:cs="方正仿宋_GB2312"/>
                <w:sz w:val="21"/>
                <w:szCs w:val="21"/>
              </w:rPr>
            </w:pPr>
          </w:p>
        </w:tc>
      </w:tr>
      <w:tr w14:paraId="3E46F9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407" w:type="dxa"/>
            <w:vMerge w:val="continue"/>
            <w:vAlign w:val="center"/>
          </w:tcPr>
          <w:p w14:paraId="78D71116">
            <w:pPr>
              <w:jc w:val="center"/>
              <w:rPr>
                <w:rFonts w:hint="eastAsia" w:ascii="方正仿宋_GB2312" w:hAnsi="方正仿宋_GB2312" w:eastAsia="方正仿宋_GB2312" w:cs="方正仿宋_GB2312"/>
                <w:sz w:val="21"/>
                <w:szCs w:val="21"/>
              </w:rPr>
            </w:pPr>
          </w:p>
        </w:tc>
        <w:tc>
          <w:tcPr>
            <w:tcW w:w="2594" w:type="dxa"/>
            <w:vAlign w:val="center"/>
          </w:tcPr>
          <w:p w14:paraId="2C838471">
            <w:pPr>
              <w:spacing w:before="16" w:line="293" w:lineRule="exact"/>
              <w:jc w:val="center"/>
              <w:rPr>
                <w:rFonts w:hint="eastAsia" w:ascii="仿宋_GB2312" w:hAnsi="仿宋_GB2312" w:eastAsia="仿宋_GB2312" w:cs="仿宋_GB2312"/>
                <w:b w:val="0"/>
                <w:bCs w:val="0"/>
                <w:snapToGrid/>
                <w:color w:val="000000"/>
                <w:kern w:val="2"/>
                <w:sz w:val="21"/>
                <w:szCs w:val="21"/>
                <w:lang w:val="en-US" w:eastAsia="en-US" w:bidi="ar-SA"/>
              </w:rPr>
            </w:pPr>
            <w:r>
              <w:rPr>
                <w:rFonts w:hint="eastAsia" w:ascii="仿宋_GB2312" w:hAnsi="仿宋_GB2312" w:eastAsia="仿宋_GB2312" w:cs="仿宋_GB2312"/>
                <w:b w:val="0"/>
                <w:bCs w:val="0"/>
                <w:snapToGrid/>
                <w:color w:val="000000"/>
                <w:kern w:val="2"/>
                <w:sz w:val="21"/>
                <w:szCs w:val="21"/>
                <w:lang w:val="en-US" w:eastAsia="zh-CN" w:bidi="ar-SA"/>
              </w:rPr>
              <w:t>16：10-16：25 6队</w:t>
            </w:r>
          </w:p>
        </w:tc>
        <w:tc>
          <w:tcPr>
            <w:tcW w:w="4529" w:type="dxa"/>
            <w:vMerge w:val="continue"/>
            <w:vAlign w:val="center"/>
          </w:tcPr>
          <w:p w14:paraId="31A42B73">
            <w:pPr>
              <w:pStyle w:val="9"/>
              <w:spacing w:before="41" w:line="207" w:lineRule="auto"/>
              <w:ind w:left="128"/>
              <w:jc w:val="center"/>
              <w:rPr>
                <w:rFonts w:hint="eastAsia" w:ascii="方正仿宋_GB2312" w:hAnsi="方正仿宋_GB2312" w:eastAsia="方正仿宋_GB2312" w:cs="方正仿宋_GB2312"/>
                <w:sz w:val="21"/>
                <w:szCs w:val="21"/>
              </w:rPr>
            </w:pPr>
          </w:p>
        </w:tc>
      </w:tr>
      <w:tr w14:paraId="67A0BB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407" w:type="dxa"/>
            <w:vMerge w:val="continue"/>
            <w:vAlign w:val="center"/>
          </w:tcPr>
          <w:p w14:paraId="7A8E5F8F">
            <w:pPr>
              <w:jc w:val="center"/>
              <w:rPr>
                <w:rFonts w:hint="eastAsia" w:ascii="方正仿宋_GB2312" w:hAnsi="方正仿宋_GB2312" w:eastAsia="方正仿宋_GB2312" w:cs="方正仿宋_GB2312"/>
                <w:sz w:val="21"/>
                <w:szCs w:val="21"/>
              </w:rPr>
            </w:pPr>
          </w:p>
        </w:tc>
        <w:tc>
          <w:tcPr>
            <w:tcW w:w="2594" w:type="dxa"/>
            <w:vAlign w:val="center"/>
          </w:tcPr>
          <w:p w14:paraId="5D10A3B6">
            <w:pPr>
              <w:spacing w:before="16" w:line="293" w:lineRule="exact"/>
              <w:jc w:val="center"/>
              <w:rPr>
                <w:rFonts w:hint="eastAsia" w:ascii="仿宋_GB2312" w:hAnsi="仿宋_GB2312" w:eastAsia="仿宋_GB2312" w:cs="仿宋_GB2312"/>
                <w:b w:val="0"/>
                <w:bCs w:val="0"/>
                <w:snapToGrid/>
                <w:color w:val="000000"/>
                <w:kern w:val="2"/>
                <w:sz w:val="21"/>
                <w:szCs w:val="21"/>
                <w:lang w:val="en-US" w:eastAsia="en-US" w:bidi="ar-SA"/>
              </w:rPr>
            </w:pPr>
            <w:r>
              <w:rPr>
                <w:rFonts w:hint="eastAsia" w:ascii="仿宋_GB2312" w:hAnsi="仿宋_GB2312" w:eastAsia="仿宋_GB2312" w:cs="仿宋_GB2312"/>
                <w:b w:val="0"/>
                <w:bCs w:val="0"/>
                <w:snapToGrid/>
                <w:color w:val="000000"/>
                <w:kern w:val="2"/>
                <w:sz w:val="21"/>
                <w:szCs w:val="21"/>
                <w:lang w:val="en-US" w:eastAsia="zh-CN" w:bidi="ar-SA"/>
              </w:rPr>
              <w:t>16：30-16：45 7队</w:t>
            </w:r>
          </w:p>
        </w:tc>
        <w:tc>
          <w:tcPr>
            <w:tcW w:w="4529" w:type="dxa"/>
            <w:vMerge w:val="continue"/>
            <w:vAlign w:val="center"/>
          </w:tcPr>
          <w:p w14:paraId="4F0D5E11">
            <w:pPr>
              <w:pStyle w:val="9"/>
              <w:spacing w:before="41" w:line="207" w:lineRule="auto"/>
              <w:ind w:left="128"/>
              <w:jc w:val="center"/>
              <w:rPr>
                <w:rFonts w:hint="eastAsia" w:ascii="方正仿宋_GB2312" w:hAnsi="方正仿宋_GB2312" w:eastAsia="方正仿宋_GB2312" w:cs="方正仿宋_GB2312"/>
                <w:sz w:val="21"/>
                <w:szCs w:val="21"/>
              </w:rPr>
            </w:pPr>
          </w:p>
        </w:tc>
      </w:tr>
      <w:tr w14:paraId="243264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407" w:type="dxa"/>
            <w:vMerge w:val="continue"/>
            <w:vAlign w:val="center"/>
          </w:tcPr>
          <w:p w14:paraId="549038D1">
            <w:pPr>
              <w:jc w:val="center"/>
              <w:rPr>
                <w:rFonts w:hint="eastAsia" w:ascii="方正仿宋_GB2312" w:hAnsi="方正仿宋_GB2312" w:eastAsia="方正仿宋_GB2312" w:cs="方正仿宋_GB2312"/>
                <w:sz w:val="21"/>
                <w:szCs w:val="21"/>
              </w:rPr>
            </w:pPr>
          </w:p>
        </w:tc>
        <w:tc>
          <w:tcPr>
            <w:tcW w:w="2594" w:type="dxa"/>
            <w:vAlign w:val="center"/>
          </w:tcPr>
          <w:p w14:paraId="754C52EA">
            <w:pPr>
              <w:spacing w:before="16" w:line="293" w:lineRule="exact"/>
              <w:jc w:val="center"/>
              <w:rPr>
                <w:rFonts w:hint="eastAsia" w:ascii="仿宋_GB2312" w:hAnsi="仿宋_GB2312" w:eastAsia="仿宋_GB2312" w:cs="仿宋_GB2312"/>
                <w:b w:val="0"/>
                <w:bCs w:val="0"/>
                <w:snapToGrid/>
                <w:color w:val="000000"/>
                <w:kern w:val="2"/>
                <w:sz w:val="21"/>
                <w:szCs w:val="21"/>
                <w:lang w:val="en-US" w:eastAsia="en-US" w:bidi="ar-SA"/>
              </w:rPr>
            </w:pPr>
            <w:r>
              <w:rPr>
                <w:rFonts w:hint="eastAsia" w:ascii="仿宋_GB2312" w:hAnsi="仿宋_GB2312" w:eastAsia="仿宋_GB2312" w:cs="仿宋_GB2312"/>
                <w:b w:val="0"/>
                <w:bCs w:val="0"/>
                <w:snapToGrid/>
                <w:color w:val="000000"/>
                <w:kern w:val="2"/>
                <w:sz w:val="21"/>
                <w:szCs w:val="21"/>
                <w:lang w:val="en-US" w:eastAsia="zh-CN" w:bidi="ar-SA"/>
              </w:rPr>
              <w:t>16：50-17：05 8队</w:t>
            </w:r>
          </w:p>
        </w:tc>
        <w:tc>
          <w:tcPr>
            <w:tcW w:w="4529" w:type="dxa"/>
            <w:vMerge w:val="continue"/>
            <w:vAlign w:val="center"/>
          </w:tcPr>
          <w:p w14:paraId="56F5551C">
            <w:pPr>
              <w:pStyle w:val="9"/>
              <w:spacing w:before="41" w:line="207" w:lineRule="auto"/>
              <w:ind w:left="128"/>
              <w:jc w:val="center"/>
              <w:rPr>
                <w:rFonts w:hint="eastAsia" w:ascii="方正仿宋_GB2312" w:hAnsi="方正仿宋_GB2312" w:eastAsia="方正仿宋_GB2312" w:cs="方正仿宋_GB2312"/>
                <w:sz w:val="21"/>
                <w:szCs w:val="21"/>
              </w:rPr>
            </w:pPr>
          </w:p>
        </w:tc>
      </w:tr>
      <w:tr w14:paraId="74866A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407" w:type="dxa"/>
            <w:vMerge w:val="continue"/>
            <w:vAlign w:val="center"/>
          </w:tcPr>
          <w:p w14:paraId="2851DEC7">
            <w:pPr>
              <w:jc w:val="center"/>
              <w:rPr>
                <w:rFonts w:hint="eastAsia" w:ascii="方正仿宋_GB2312" w:hAnsi="方正仿宋_GB2312" w:eastAsia="方正仿宋_GB2312" w:cs="方正仿宋_GB2312"/>
                <w:sz w:val="21"/>
                <w:szCs w:val="21"/>
              </w:rPr>
            </w:pPr>
          </w:p>
        </w:tc>
        <w:tc>
          <w:tcPr>
            <w:tcW w:w="2594" w:type="dxa"/>
            <w:vAlign w:val="center"/>
          </w:tcPr>
          <w:p w14:paraId="0EA65C72">
            <w:pPr>
              <w:spacing w:before="16" w:line="293" w:lineRule="exact"/>
              <w:jc w:val="center"/>
              <w:rPr>
                <w:rFonts w:hint="eastAsia" w:ascii="仿宋_GB2312" w:hAnsi="仿宋_GB2312" w:eastAsia="仿宋_GB2312" w:cs="仿宋_GB2312"/>
                <w:b w:val="0"/>
                <w:bCs w:val="0"/>
                <w:snapToGrid/>
                <w:color w:val="000000"/>
                <w:kern w:val="2"/>
                <w:sz w:val="21"/>
                <w:szCs w:val="21"/>
                <w:lang w:val="en-US" w:eastAsia="en-US" w:bidi="ar-SA"/>
              </w:rPr>
            </w:pPr>
            <w:r>
              <w:rPr>
                <w:rFonts w:hint="eastAsia" w:ascii="仿宋_GB2312" w:hAnsi="仿宋_GB2312" w:eastAsia="仿宋_GB2312" w:cs="仿宋_GB2312"/>
                <w:b w:val="0"/>
                <w:bCs w:val="0"/>
                <w:snapToGrid/>
                <w:color w:val="000000"/>
                <w:kern w:val="2"/>
                <w:sz w:val="21"/>
                <w:szCs w:val="21"/>
                <w:lang w:val="en-US" w:eastAsia="zh-CN" w:bidi="ar-SA"/>
              </w:rPr>
              <w:t>17：10-17：25 9队</w:t>
            </w:r>
          </w:p>
        </w:tc>
        <w:tc>
          <w:tcPr>
            <w:tcW w:w="4529" w:type="dxa"/>
            <w:vMerge w:val="continue"/>
            <w:vAlign w:val="center"/>
          </w:tcPr>
          <w:p w14:paraId="79A2B226">
            <w:pPr>
              <w:pStyle w:val="9"/>
              <w:spacing w:before="41" w:line="207" w:lineRule="auto"/>
              <w:ind w:left="128"/>
              <w:jc w:val="center"/>
              <w:rPr>
                <w:rFonts w:hint="eastAsia" w:ascii="方正仿宋_GB2312" w:hAnsi="方正仿宋_GB2312" w:eastAsia="方正仿宋_GB2312" w:cs="方正仿宋_GB2312"/>
                <w:sz w:val="21"/>
                <w:szCs w:val="21"/>
              </w:rPr>
            </w:pPr>
          </w:p>
        </w:tc>
      </w:tr>
      <w:tr w14:paraId="7F762D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407" w:type="dxa"/>
            <w:vMerge w:val="continue"/>
            <w:vAlign w:val="center"/>
          </w:tcPr>
          <w:p w14:paraId="27AE16BE">
            <w:pPr>
              <w:jc w:val="center"/>
              <w:rPr>
                <w:rFonts w:hint="eastAsia" w:ascii="方正仿宋_GB2312" w:hAnsi="方正仿宋_GB2312" w:eastAsia="方正仿宋_GB2312" w:cs="方正仿宋_GB2312"/>
                <w:sz w:val="21"/>
                <w:szCs w:val="21"/>
              </w:rPr>
            </w:pPr>
          </w:p>
        </w:tc>
        <w:tc>
          <w:tcPr>
            <w:tcW w:w="2594" w:type="dxa"/>
            <w:vAlign w:val="center"/>
          </w:tcPr>
          <w:p w14:paraId="433B25A4">
            <w:pPr>
              <w:spacing w:before="16" w:line="293" w:lineRule="exact"/>
              <w:jc w:val="center"/>
              <w:rPr>
                <w:rFonts w:hint="eastAsia" w:ascii="仿宋_GB2312" w:hAnsi="仿宋_GB2312" w:eastAsia="仿宋_GB2312" w:cs="仿宋_GB2312"/>
                <w:b w:val="0"/>
                <w:bCs w:val="0"/>
                <w:snapToGrid/>
                <w:color w:val="000000"/>
                <w:kern w:val="2"/>
                <w:sz w:val="21"/>
                <w:szCs w:val="21"/>
                <w:lang w:val="en-US" w:eastAsia="en-US" w:bidi="ar-SA"/>
              </w:rPr>
            </w:pPr>
            <w:r>
              <w:rPr>
                <w:rFonts w:hint="eastAsia" w:ascii="仿宋_GB2312" w:hAnsi="仿宋_GB2312" w:eastAsia="仿宋_GB2312" w:cs="仿宋_GB2312"/>
                <w:b w:val="0"/>
                <w:bCs w:val="0"/>
                <w:snapToGrid/>
                <w:color w:val="000000"/>
                <w:kern w:val="2"/>
                <w:sz w:val="21"/>
                <w:szCs w:val="21"/>
                <w:lang w:val="en-US" w:eastAsia="zh-CN" w:bidi="ar-SA"/>
              </w:rPr>
              <w:t>17：30-17：45 10队</w:t>
            </w:r>
          </w:p>
        </w:tc>
        <w:tc>
          <w:tcPr>
            <w:tcW w:w="4529" w:type="dxa"/>
            <w:vMerge w:val="continue"/>
            <w:vAlign w:val="center"/>
          </w:tcPr>
          <w:p w14:paraId="580B71F5">
            <w:pPr>
              <w:pStyle w:val="9"/>
              <w:spacing w:before="41" w:line="207" w:lineRule="auto"/>
              <w:ind w:left="128"/>
              <w:jc w:val="center"/>
              <w:rPr>
                <w:rFonts w:hint="eastAsia" w:ascii="方正仿宋_GB2312" w:hAnsi="方正仿宋_GB2312" w:eastAsia="方正仿宋_GB2312" w:cs="方正仿宋_GB2312"/>
                <w:sz w:val="21"/>
                <w:szCs w:val="21"/>
              </w:rPr>
            </w:pPr>
          </w:p>
        </w:tc>
      </w:tr>
      <w:tr w14:paraId="55D02C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407" w:type="dxa"/>
            <w:vMerge w:val="continue"/>
            <w:vAlign w:val="center"/>
          </w:tcPr>
          <w:p w14:paraId="4F15490A">
            <w:pPr>
              <w:jc w:val="center"/>
              <w:rPr>
                <w:rFonts w:hint="eastAsia" w:ascii="方正仿宋_GB2312" w:hAnsi="方正仿宋_GB2312" w:eastAsia="方正仿宋_GB2312" w:cs="方正仿宋_GB2312"/>
                <w:sz w:val="21"/>
                <w:szCs w:val="21"/>
              </w:rPr>
            </w:pPr>
          </w:p>
        </w:tc>
        <w:tc>
          <w:tcPr>
            <w:tcW w:w="2594" w:type="dxa"/>
            <w:vAlign w:val="center"/>
          </w:tcPr>
          <w:p w14:paraId="40272D2D">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17：50-18：05 11队</w:t>
            </w:r>
          </w:p>
        </w:tc>
        <w:tc>
          <w:tcPr>
            <w:tcW w:w="4529" w:type="dxa"/>
            <w:vMerge w:val="continue"/>
            <w:vAlign w:val="center"/>
          </w:tcPr>
          <w:p w14:paraId="210C0B29">
            <w:pPr>
              <w:pStyle w:val="9"/>
              <w:spacing w:before="41" w:line="207" w:lineRule="auto"/>
              <w:ind w:left="128"/>
              <w:jc w:val="center"/>
              <w:rPr>
                <w:rFonts w:hint="eastAsia" w:ascii="方正仿宋_GB2312" w:hAnsi="方正仿宋_GB2312" w:eastAsia="方正仿宋_GB2312" w:cs="方正仿宋_GB2312"/>
                <w:sz w:val="21"/>
                <w:szCs w:val="21"/>
              </w:rPr>
            </w:pPr>
          </w:p>
        </w:tc>
      </w:tr>
      <w:tr w14:paraId="40C23F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407" w:type="dxa"/>
            <w:vMerge w:val="continue"/>
            <w:vAlign w:val="center"/>
          </w:tcPr>
          <w:p w14:paraId="19657C57">
            <w:pPr>
              <w:jc w:val="center"/>
              <w:rPr>
                <w:rFonts w:hint="eastAsia" w:ascii="方正仿宋_GB2312" w:hAnsi="方正仿宋_GB2312" w:eastAsia="方正仿宋_GB2312" w:cs="方正仿宋_GB2312"/>
                <w:sz w:val="21"/>
                <w:szCs w:val="21"/>
              </w:rPr>
            </w:pPr>
          </w:p>
        </w:tc>
        <w:tc>
          <w:tcPr>
            <w:tcW w:w="2594" w:type="dxa"/>
            <w:vAlign w:val="center"/>
          </w:tcPr>
          <w:p w14:paraId="2E04B9C6">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18：10-18：25 12队</w:t>
            </w:r>
          </w:p>
        </w:tc>
        <w:tc>
          <w:tcPr>
            <w:tcW w:w="4529" w:type="dxa"/>
            <w:vMerge w:val="continue"/>
            <w:vAlign w:val="center"/>
          </w:tcPr>
          <w:p w14:paraId="3A91D87C">
            <w:pPr>
              <w:pStyle w:val="9"/>
              <w:spacing w:before="41" w:line="207" w:lineRule="auto"/>
              <w:ind w:left="128"/>
              <w:jc w:val="center"/>
              <w:rPr>
                <w:rFonts w:hint="eastAsia" w:ascii="方正仿宋_GB2312" w:hAnsi="方正仿宋_GB2312" w:eastAsia="方正仿宋_GB2312" w:cs="方正仿宋_GB2312"/>
                <w:sz w:val="21"/>
                <w:szCs w:val="21"/>
              </w:rPr>
            </w:pPr>
          </w:p>
        </w:tc>
      </w:tr>
      <w:tr w14:paraId="79A99A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407" w:type="dxa"/>
            <w:vMerge w:val="continue"/>
            <w:vAlign w:val="center"/>
          </w:tcPr>
          <w:p w14:paraId="535E81AF">
            <w:pPr>
              <w:jc w:val="center"/>
              <w:rPr>
                <w:rFonts w:hint="eastAsia" w:ascii="方正仿宋_GB2312" w:hAnsi="方正仿宋_GB2312" w:eastAsia="方正仿宋_GB2312" w:cs="方正仿宋_GB2312"/>
                <w:sz w:val="21"/>
                <w:szCs w:val="21"/>
              </w:rPr>
            </w:pPr>
          </w:p>
        </w:tc>
        <w:tc>
          <w:tcPr>
            <w:tcW w:w="7123" w:type="dxa"/>
            <w:gridSpan w:val="2"/>
            <w:vAlign w:val="center"/>
          </w:tcPr>
          <w:p w14:paraId="6B4BA70F">
            <w:pPr>
              <w:pStyle w:val="9"/>
              <w:spacing w:before="41" w:line="207" w:lineRule="auto"/>
              <w:ind w:left="128"/>
              <w:jc w:val="center"/>
              <w:rPr>
                <w:rFonts w:hint="eastAsia" w:ascii="方正仿宋_GB2312" w:hAnsi="方正仿宋_GB2312" w:eastAsia="方正仿宋_GB2312" w:cs="方正仿宋_GB2312"/>
                <w:sz w:val="21"/>
                <w:szCs w:val="21"/>
                <w:lang w:val="en-US" w:eastAsia="zh-CN"/>
              </w:rPr>
            </w:pPr>
            <w:r>
              <w:rPr>
                <w:rFonts w:hint="eastAsia" w:ascii="仿宋_GB2312" w:hAnsi="仿宋_GB2312" w:eastAsia="仿宋_GB2312" w:cs="仿宋_GB2312"/>
                <w:b w:val="0"/>
                <w:bCs w:val="0"/>
                <w:snapToGrid/>
                <w:color w:val="000000"/>
                <w:kern w:val="2"/>
                <w:sz w:val="21"/>
                <w:szCs w:val="21"/>
                <w:lang w:val="en-US" w:eastAsia="zh-CN" w:bidi="ar-SA"/>
              </w:rPr>
              <w:t>公布成绩</w:t>
            </w:r>
          </w:p>
        </w:tc>
      </w:tr>
    </w:tbl>
    <w:p w14:paraId="5C82CBBF">
      <w:pPr>
        <w:rPr>
          <w:rFonts w:ascii="Arial"/>
          <w:sz w:val="21"/>
        </w:rPr>
      </w:pPr>
    </w:p>
    <w:p w14:paraId="78FCE64D">
      <w:pPr>
        <w:spacing w:line="90" w:lineRule="auto"/>
        <w:rPr>
          <w:rFonts w:ascii="Arial"/>
          <w:sz w:val="2"/>
        </w:rPr>
      </w:pPr>
    </w:p>
    <w:p w14:paraId="0BE15C91">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方正仿宋_GB2312" w:hAnsi="方正仿宋_GB2312" w:eastAsia="方正仿宋_GB2312" w:cs="方正仿宋_GB2312"/>
          <w:spacing w:val="-6"/>
          <w:sz w:val="32"/>
          <w:szCs w:val="32"/>
          <w:lang w:eastAsia="zh-CN"/>
        </w:rPr>
      </w:pPr>
      <w:r>
        <w:rPr>
          <w:rFonts w:hint="eastAsia" w:ascii="仿宋_GB2312" w:hAnsi="仿宋_GB2312" w:eastAsia="仿宋_GB2312" w:cs="仿宋_GB2312"/>
          <w:b w:val="0"/>
          <w:bCs w:val="0"/>
          <w:snapToGrid/>
          <w:kern w:val="2"/>
          <w:sz w:val="32"/>
          <w:szCs w:val="32"/>
          <w:lang w:val="en-US" w:eastAsia="zh-CN" w:bidi="ar-SA"/>
        </w:rPr>
        <w:t>注：方案汇报答辩模块，每轮1个参赛队比赛，竞赛用时为15分钟。</w:t>
      </w:r>
    </w:p>
    <w:p w14:paraId="57379C31">
      <w:pPr>
        <w:spacing w:before="179" w:line="228" w:lineRule="auto"/>
        <w:ind w:left="57"/>
        <w:rPr>
          <w:rFonts w:ascii="黑体" w:hAnsi="黑体" w:eastAsia="黑体" w:cs="黑体"/>
          <w:sz w:val="30"/>
          <w:szCs w:val="30"/>
        </w:rPr>
      </w:pPr>
      <w:r>
        <w:rPr>
          <w:rFonts w:ascii="黑体" w:hAnsi="黑体" w:eastAsia="黑体" w:cs="黑体"/>
          <w:spacing w:val="-13"/>
          <w:sz w:val="30"/>
          <w:szCs w:val="30"/>
        </w:rPr>
        <w:t>六、</w:t>
      </w:r>
      <w:r>
        <w:rPr>
          <w:rFonts w:ascii="黑体" w:hAnsi="黑体" w:eastAsia="黑体" w:cs="黑体"/>
          <w:spacing w:val="-78"/>
          <w:sz w:val="30"/>
          <w:szCs w:val="30"/>
        </w:rPr>
        <w:t xml:space="preserve"> </w:t>
      </w:r>
      <w:r>
        <w:rPr>
          <w:rFonts w:ascii="黑体" w:hAnsi="黑体" w:eastAsia="黑体" w:cs="黑体"/>
          <w:spacing w:val="-13"/>
          <w:sz w:val="30"/>
          <w:szCs w:val="30"/>
        </w:rPr>
        <w:t>竞赛规则</w:t>
      </w:r>
    </w:p>
    <w:p w14:paraId="0759BCDD">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（一）选手报名</w:t>
      </w:r>
    </w:p>
    <w:p w14:paraId="023F5462">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1.参赛队及参赛选手资格：参赛学生为职业院校全日制在籍学生，参赛学生为职业院校全日制在籍学生，参赛年龄不超过25周岁（即1999年7月1日及以后出生），每个学校限报3支队伍，具体以大赛报名通知为准。</w:t>
      </w:r>
    </w:p>
    <w:p w14:paraId="49554224">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2.组队要求：每个参赛队4名选手，参赛选手为同一学校，不允许跨校组队。</w:t>
      </w:r>
    </w:p>
    <w:p w14:paraId="73DAA0FA">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3.参赛要求：每队限报2名指导教师，指导教师须为本校专兼职教师。</w:t>
      </w:r>
    </w:p>
    <w:p w14:paraId="7EF7D074">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（二）热悉场地</w:t>
      </w:r>
    </w:p>
    <w:p w14:paraId="02E61A3C">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方正仿宋_GB2312" w:hAnsi="方正仿宋_GB2312" w:eastAsia="方正仿宋_GB2312" w:cs="方正仿宋_GB2312"/>
          <w:spacing w:val="-6"/>
          <w:sz w:val="32"/>
          <w:szCs w:val="32"/>
        </w:rPr>
      </w:pPr>
      <w:r>
        <w:rPr>
          <w:rFonts w:hint="eastAsia" w:ascii="仿宋_GB2312" w:hAnsi="仿宋_GB2312" w:eastAsia="仿宋_GB2312" w:cs="仿宋_GB2312"/>
          <w:b w:val="0"/>
          <w:bCs w:val="0"/>
          <w:snapToGrid/>
          <w:kern w:val="2"/>
          <w:sz w:val="32"/>
          <w:szCs w:val="32"/>
          <w:lang w:val="en-US" w:eastAsia="zh-CN" w:bidi="ar-SA"/>
        </w:rPr>
        <w:t>开幕式前1天，各参赛队到参赛场地熟悉设备，按顺序每队限时1小时。</w:t>
      </w:r>
    </w:p>
    <w:p w14:paraId="2E25D5FE">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（三）入场规则</w:t>
      </w:r>
    </w:p>
    <w:p w14:paraId="07B3B678">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1.按照《海南省职业院校技能大赛制度汇编》要求，进行检录、一次加密及解密等工作。</w:t>
      </w:r>
    </w:p>
    <w:p w14:paraId="4EA59D3D">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2.各参赛队须提前30分钟进行检录，在比赛期间实行封闭管理，参赛队迟到5分钟以弃权论。</w:t>
      </w:r>
    </w:p>
    <w:p w14:paraId="34F2083B">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（四）赛场规则</w:t>
      </w:r>
    </w:p>
    <w:p w14:paraId="76C17862">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1.参赛选手不允许带任何参赛队及个人信息入场比赛，不允许携带任何通讯及存储设备、纸质材料等物品进入赛场，赛场内提供必需用品。</w:t>
      </w:r>
    </w:p>
    <w:p w14:paraId="68C1E166">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2.参赛选手进入赛场必须听从现场裁判人员的统一布置和安排，比赛期间必须严格遵守安全操作规程，确保人身和设备安全。</w:t>
      </w:r>
    </w:p>
    <w:p w14:paraId="54C3ED31">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3.赛项安排在比赛当天抽签，确定各参赛队的“抽签顺序号”和“参赛组号”。每天各场次比赛前，同场次参赛队现场抽签，确定比赛工位。</w:t>
      </w:r>
    </w:p>
    <w:p w14:paraId="662857F8">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4.参赛队提交的所有文件、单据等，凡要求参赛选手签字确认的，均签参赛队参赛抽签序号。</w:t>
      </w:r>
    </w:p>
    <w:p w14:paraId="76933237">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5.参赛队在智慧物流系统规划仿真与方案设计模块所完成的方案及所有相关竞赛成果文件，均以电子版的形式由参赛选手上传到大赛要求指定系统，同时由参赛选手拷贝至U盘中放入指定文件袋，并自行密封上交。</w:t>
      </w:r>
    </w:p>
    <w:p w14:paraId="6E4BCC20">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6.其它未涉及事项或突发事件，由大赛组委会负责解释或决定。</w:t>
      </w:r>
    </w:p>
    <w:p w14:paraId="11BFAC5C">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（五）离场规则</w:t>
      </w:r>
    </w:p>
    <w:p w14:paraId="7BDF509A">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比赛结束前15分钟，裁判长提醒比赛即将结束，当宣布比赛结束后,参赛选手必须马上停止一切操作，按要求位置站立等候撤离比赛工位指令。</w:t>
      </w:r>
    </w:p>
    <w:p w14:paraId="7901CBE8">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（六）成绩评定与结果公布</w:t>
      </w:r>
    </w:p>
    <w:p w14:paraId="7F238837">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1.大赛在赛项执委会领导下，赛项裁判组负责赛项成绩评定工作，参赛队成绩通过“三级审核”，确保比赛成绩准确无误。</w:t>
      </w:r>
    </w:p>
    <w:p w14:paraId="6246FE47">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2.物流职业素养测试模块由计算机评分，自动生成考核分数；智慧物流系统规划仿真与方案设计、智慧物流系统方案汇报答辩由裁判组打分。总成绩=物流职业素养测试成绩×15%+智慧物流系统规划仿真与方案设计成绩×60%+智慧物流系统方案汇报答辩成绩×25%。</w:t>
      </w:r>
    </w:p>
    <w:p w14:paraId="4491080B">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3.最终成绩由监督仲裁组抽查复核后公示。</w:t>
      </w:r>
    </w:p>
    <w:p w14:paraId="22876436">
      <w:pPr>
        <w:spacing w:line="265" w:lineRule="auto"/>
        <w:rPr>
          <w:rFonts w:ascii="Arial"/>
          <w:sz w:val="21"/>
        </w:rPr>
      </w:pPr>
    </w:p>
    <w:p w14:paraId="2CCA03C0">
      <w:pPr>
        <w:spacing w:before="98" w:line="229" w:lineRule="auto"/>
        <w:ind w:left="34"/>
        <w:rPr>
          <w:rFonts w:ascii="黑体" w:hAnsi="黑体" w:eastAsia="黑体" w:cs="黑体"/>
          <w:sz w:val="30"/>
          <w:szCs w:val="30"/>
        </w:rPr>
      </w:pPr>
      <w:r>
        <w:rPr>
          <w:rFonts w:ascii="黑体" w:hAnsi="黑体" w:eastAsia="黑体" w:cs="黑体"/>
          <w:spacing w:val="19"/>
          <w:sz w:val="30"/>
          <w:szCs w:val="30"/>
        </w:rPr>
        <w:t>七、技术规范</w:t>
      </w:r>
    </w:p>
    <w:p w14:paraId="47AB753B">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（一）法律法规</w:t>
      </w:r>
    </w:p>
    <w:p w14:paraId="319598D4">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《中华人民共和国安全生产法》</w:t>
      </w:r>
    </w:p>
    <w:p w14:paraId="64A719D2">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（二）技术标准</w:t>
      </w:r>
    </w:p>
    <w:p w14:paraId="6FD9B983">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 《物流术语》（GB/T 18354-2021）</w:t>
      </w:r>
    </w:p>
    <w:p w14:paraId="0DFACCCB">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2. 《智慧物流服务指南》（GB/T 41834-2022）</w:t>
      </w:r>
    </w:p>
    <w:p w14:paraId="7D43FB06">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3. 《数字化仓库基本要求》（WB/T 1118-2022）</w:t>
      </w:r>
    </w:p>
    <w:p w14:paraId="6FFE7B7F">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4. 《数字化仓库评估规范》（WB/T 1119-2022）</w:t>
      </w:r>
    </w:p>
    <w:p w14:paraId="6EBB5AE3">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5. 《智能工厂通用技术要求》（GB/T 41255-2022）</w:t>
      </w:r>
    </w:p>
    <w:p w14:paraId="4DD17E2C">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6. 《企业物流成本构成与计算》（GB/T20523-2006）</w:t>
      </w:r>
    </w:p>
    <w:p w14:paraId="7F6E1A19">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7. 《仓储从业人员职业资质》（GB/T21070-2007）</w:t>
      </w:r>
    </w:p>
    <w:p w14:paraId="2CC0B924">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8. 《仓储服务质量要求》（GB/T21071-2007）</w:t>
      </w:r>
    </w:p>
    <w:p w14:paraId="6572ABE0">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9. 《通用仓库等级》（GB/T21072-2007）</w:t>
      </w:r>
    </w:p>
    <w:p w14:paraId="5F5FE9F5">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10.《仓储物流自动化系统功能安全规范》（GB/T 32828-2016）</w:t>
      </w:r>
    </w:p>
    <w:p w14:paraId="2D8D67FD">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11.《智能仓储成套设备：技术要求》（T/GZLPA 001-2021）</w:t>
      </w:r>
    </w:p>
    <w:p w14:paraId="08D84433">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12.《物流中心作业通用规范》（GB/T22126-2008）</w:t>
      </w:r>
    </w:p>
    <w:p w14:paraId="3C26AD02">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13.《计算机软件质量保证计划规范》（GB/T 12504-90）</w:t>
      </w:r>
    </w:p>
    <w:p w14:paraId="1F7519F4">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 xml:space="preserve">14.《物流设施设备的选用参数要求》（GB/T 39660-2020） </w:t>
      </w:r>
    </w:p>
    <w:p w14:paraId="7C6F4657">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 xml:space="preserve">15.《通用仓库及库区规划设计参数》（GB/T 28581-2012） </w:t>
      </w:r>
    </w:p>
    <w:p w14:paraId="406760CA">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16.《建筑设计防火规范》（GB 50016—2018）</w:t>
      </w:r>
    </w:p>
    <w:p w14:paraId="15EF5682">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 xml:space="preserve">17.《物流管理“1+X”职业技能等级标准》（标准代码：530001） </w:t>
      </w:r>
    </w:p>
    <w:p w14:paraId="61012B70">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18.《供应链运营“1+X”职业技能等级标准》（标准代码：530057）</w:t>
      </w:r>
    </w:p>
    <w:p w14:paraId="6852092A">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 xml:space="preserve">19.《企业安全生产标准化基本规范》（GB/T 33000-2016） </w:t>
      </w:r>
    </w:p>
    <w:p w14:paraId="30C200BC">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20.《制造业信息化技术术语》（GB/T18725-2008）</w:t>
      </w:r>
    </w:p>
    <w:p w14:paraId="622801D9">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 xml:space="preserve">21.《物流服务师国家职业技能标准（职业编码：4-02-06-03）》 </w:t>
      </w:r>
    </w:p>
    <w:p w14:paraId="15839EE5">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22.《供应链管理师国家职业技能标准（职业编码：4-02-06-05）》</w:t>
      </w:r>
    </w:p>
    <w:p w14:paraId="059C96A5">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（三）专业教学标准</w:t>
      </w:r>
    </w:p>
    <w:p w14:paraId="5CC0A475">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1.高等职业教育现代流管理专科专业简介（530802）</w:t>
      </w:r>
    </w:p>
    <w:p w14:paraId="541EC01E">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fldChar w:fldCharType="begin"/>
      </w:r>
      <w:r>
        <w:rPr>
          <w:rFonts w:hint="eastAsia" w:ascii="仿宋_GB2312" w:hAnsi="仿宋_GB2312" w:eastAsia="仿宋_GB2312" w:cs="仿宋_GB2312"/>
          <w:b w:val="0"/>
          <w:bCs w:val="0"/>
          <w:snapToGrid/>
          <w:kern w:val="2"/>
          <w:sz w:val="32"/>
          <w:szCs w:val="32"/>
          <w:lang w:val="en-US" w:eastAsia="zh-CN" w:bidi="ar-SA"/>
        </w:rPr>
        <w:instrText xml:space="preserve"> HYPERLINK "http://www.moe.gov.cn/s78/A07/zcs_ztzl/2017_zt06/17zt06_bznr/bznr_zdzyxxzyml/gaozhiben/" </w:instrText>
      </w:r>
      <w:r>
        <w:rPr>
          <w:rFonts w:hint="eastAsia" w:ascii="仿宋_GB2312" w:hAnsi="仿宋_GB2312" w:eastAsia="仿宋_GB2312" w:cs="仿宋_GB2312"/>
          <w:b w:val="0"/>
          <w:bCs w:val="0"/>
          <w:snapToGrid/>
          <w:kern w:val="2"/>
          <w:sz w:val="32"/>
          <w:szCs w:val="32"/>
          <w:lang w:val="en-US" w:eastAsia="zh-CN" w:bidi="ar-SA"/>
        </w:rPr>
        <w:fldChar w:fldCharType="separate"/>
      </w:r>
      <w:r>
        <w:rPr>
          <w:rFonts w:hint="eastAsia" w:ascii="仿宋_GB2312" w:hAnsi="仿宋_GB2312" w:eastAsia="仿宋_GB2312" w:cs="仿宋_GB2312"/>
          <w:b w:val="0"/>
          <w:bCs w:val="0"/>
          <w:snapToGrid/>
          <w:kern w:val="2"/>
          <w:sz w:val="32"/>
          <w:szCs w:val="32"/>
          <w:lang w:val="en-US" w:eastAsia="zh-CN" w:bidi="ar-SA"/>
        </w:rPr>
        <w:t>2.高等职业教育现代物流管理本科专业简介</w:t>
      </w:r>
      <w:r>
        <w:rPr>
          <w:rFonts w:hint="eastAsia" w:ascii="仿宋_GB2312" w:hAnsi="仿宋_GB2312" w:eastAsia="仿宋_GB2312" w:cs="仿宋_GB2312"/>
          <w:b w:val="0"/>
          <w:bCs w:val="0"/>
          <w:snapToGrid/>
          <w:kern w:val="2"/>
          <w:sz w:val="32"/>
          <w:szCs w:val="32"/>
          <w:lang w:val="en-US" w:eastAsia="zh-CN" w:bidi="ar-SA"/>
        </w:rPr>
        <w:fldChar w:fldCharType="end"/>
      </w:r>
      <w:r>
        <w:rPr>
          <w:rFonts w:hint="eastAsia" w:ascii="仿宋_GB2312" w:hAnsi="仿宋_GB2312" w:eastAsia="仿宋_GB2312" w:cs="仿宋_GB2312"/>
          <w:b w:val="0"/>
          <w:bCs w:val="0"/>
          <w:snapToGrid/>
          <w:kern w:val="2"/>
          <w:sz w:val="32"/>
          <w:szCs w:val="32"/>
          <w:lang w:val="en-US" w:eastAsia="zh-CN" w:bidi="ar-SA"/>
        </w:rPr>
        <w:t>（330802）</w:t>
      </w:r>
    </w:p>
    <w:p w14:paraId="4FB2D5F2">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3.高等职业学校物流管理专业教学标准（630903）</w:t>
      </w:r>
    </w:p>
    <w:p w14:paraId="5FA064FB">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4.《高等职业学校物流管理专业实训教学条件建设标准》</w:t>
      </w:r>
    </w:p>
    <w:p w14:paraId="47AE958E">
      <w:pPr>
        <w:spacing w:before="98" w:line="228" w:lineRule="auto"/>
        <w:ind w:left="38"/>
        <w:rPr>
          <w:rFonts w:ascii="黑体" w:hAnsi="黑体" w:eastAsia="黑体" w:cs="黑体"/>
          <w:sz w:val="30"/>
          <w:szCs w:val="30"/>
        </w:rPr>
      </w:pPr>
      <w:r>
        <w:rPr>
          <w:rFonts w:ascii="黑体" w:hAnsi="黑体" w:eastAsia="黑体" w:cs="黑体"/>
          <w:spacing w:val="19"/>
          <w:sz w:val="30"/>
          <w:szCs w:val="30"/>
        </w:rPr>
        <w:t>八、技术环境</w:t>
      </w:r>
    </w:p>
    <w:p w14:paraId="000A1094">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（一）竞赛环境</w:t>
      </w:r>
    </w:p>
    <w:p w14:paraId="4E87F5B5">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1.物流职业素养测试模块、智慧物流系统规划仿真与方案设计模块环境：每人有独立使用的计算机，保证各队在设计时的独立性，不受外界干扰。</w:t>
      </w:r>
    </w:p>
    <w:p w14:paraId="338D366D">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2.方案汇报答辩环境：竞赛场地面积不小于100平米，配备多媒体设备1套、计时设备，空间宽敞明亮、通风良好。</w:t>
      </w:r>
    </w:p>
    <w:p w14:paraId="4ADF6E08">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3.竞赛场地设有裁判休息室和工作室：休息室和工作室分设；有50人开、闭赛式场地；具有能满足参赛队休息的休息室。</w:t>
      </w:r>
    </w:p>
    <w:p w14:paraId="5C804EED">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（二）技术平台</w:t>
      </w:r>
    </w:p>
    <w:p w14:paraId="44D231DE">
      <w:pPr>
        <w:spacing w:line="28" w:lineRule="auto"/>
        <w:rPr>
          <w:rFonts w:ascii="Arial"/>
          <w:sz w:val="2"/>
        </w:rPr>
      </w:pPr>
    </w:p>
    <w:tbl>
      <w:tblPr>
        <w:tblStyle w:val="8"/>
        <w:tblW w:w="852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2"/>
        <w:gridCol w:w="1270"/>
        <w:gridCol w:w="5665"/>
        <w:gridCol w:w="770"/>
      </w:tblGrid>
      <w:tr w14:paraId="38FB20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 w:hRule="atLeast"/>
        </w:trPr>
        <w:tc>
          <w:tcPr>
            <w:tcW w:w="822" w:type="dxa"/>
            <w:vAlign w:val="center"/>
          </w:tcPr>
          <w:p w14:paraId="5836662F">
            <w:pPr>
              <w:spacing w:before="102" w:line="293" w:lineRule="exact"/>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序号</w:t>
            </w:r>
          </w:p>
        </w:tc>
        <w:tc>
          <w:tcPr>
            <w:tcW w:w="1270" w:type="dxa"/>
            <w:vAlign w:val="center"/>
          </w:tcPr>
          <w:p w14:paraId="11E28175">
            <w:pPr>
              <w:spacing w:before="99" w:line="296" w:lineRule="exact"/>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名称</w:t>
            </w:r>
          </w:p>
        </w:tc>
        <w:tc>
          <w:tcPr>
            <w:tcW w:w="5665" w:type="dxa"/>
            <w:vAlign w:val="center"/>
          </w:tcPr>
          <w:p w14:paraId="4BF70F8E">
            <w:pPr>
              <w:spacing w:before="101" w:line="295" w:lineRule="exact"/>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规格要求</w:t>
            </w:r>
          </w:p>
        </w:tc>
        <w:tc>
          <w:tcPr>
            <w:tcW w:w="770" w:type="dxa"/>
            <w:vAlign w:val="center"/>
          </w:tcPr>
          <w:p w14:paraId="4828366D">
            <w:pPr>
              <w:spacing w:before="103" w:line="294" w:lineRule="exact"/>
              <w:ind w:left="134"/>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数量</w:t>
            </w:r>
          </w:p>
        </w:tc>
      </w:tr>
      <w:tr w14:paraId="46770D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0" w:hRule="atLeast"/>
        </w:trPr>
        <w:tc>
          <w:tcPr>
            <w:tcW w:w="822" w:type="dxa"/>
            <w:vAlign w:val="center"/>
          </w:tcPr>
          <w:p w14:paraId="1854551F">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1</w:t>
            </w:r>
          </w:p>
        </w:tc>
        <w:tc>
          <w:tcPr>
            <w:tcW w:w="1270" w:type="dxa"/>
            <w:vAlign w:val="center"/>
          </w:tcPr>
          <w:p w14:paraId="6A284D1B">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服务器</w:t>
            </w:r>
          </w:p>
        </w:tc>
        <w:tc>
          <w:tcPr>
            <w:tcW w:w="5665" w:type="dxa"/>
            <w:vAlign w:val="center"/>
          </w:tcPr>
          <w:p w14:paraId="2509BAC5">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1.结构：5U</w:t>
            </w:r>
          </w:p>
          <w:p w14:paraId="40162294">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2.CPU：Intel Xeon 3106</w:t>
            </w:r>
          </w:p>
          <w:p w14:paraId="31CCA43D">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3.内存：32GB（16*2）</w:t>
            </w:r>
          </w:p>
          <w:p w14:paraId="526B69D3">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4.硬盘：2*300GB SAS 10K 2.5 寸</w:t>
            </w:r>
          </w:p>
          <w:p w14:paraId="02365753">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5.电源：1*550w 电源</w:t>
            </w:r>
          </w:p>
          <w:p w14:paraId="62BB7DCF">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6.网卡：2 个以上标配千兆网卡端口</w:t>
            </w:r>
          </w:p>
          <w:p w14:paraId="3E3DD5A0">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7.光驱： DVD光驱</w:t>
            </w:r>
          </w:p>
        </w:tc>
        <w:tc>
          <w:tcPr>
            <w:tcW w:w="770" w:type="dxa"/>
            <w:vAlign w:val="center"/>
          </w:tcPr>
          <w:p w14:paraId="35D5B903">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1台</w:t>
            </w:r>
          </w:p>
        </w:tc>
      </w:tr>
      <w:tr w14:paraId="76EECA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4" w:hRule="atLeast"/>
        </w:trPr>
        <w:tc>
          <w:tcPr>
            <w:tcW w:w="822" w:type="dxa"/>
            <w:vAlign w:val="center"/>
          </w:tcPr>
          <w:p w14:paraId="5756FFA9">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2</w:t>
            </w:r>
          </w:p>
        </w:tc>
        <w:tc>
          <w:tcPr>
            <w:tcW w:w="1270" w:type="dxa"/>
            <w:vAlign w:val="center"/>
          </w:tcPr>
          <w:p w14:paraId="7F95BFCB">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智慧物流</w:t>
            </w:r>
          </w:p>
          <w:p w14:paraId="7D2B0754">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规划仿真</w:t>
            </w:r>
          </w:p>
          <w:p w14:paraId="7AF78FE9">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系统</w:t>
            </w:r>
          </w:p>
        </w:tc>
        <w:tc>
          <w:tcPr>
            <w:tcW w:w="5665" w:type="dxa"/>
            <w:vAlign w:val="center"/>
          </w:tcPr>
          <w:p w14:paraId="1750F1E4">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基于虚拟仿真技术，进行智慧物流系统三维场景构建、流程设计、模拟仿真、可视化数据搭建。</w:t>
            </w:r>
          </w:p>
          <w:p w14:paraId="77117B71">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具备以下功能：</w:t>
            </w:r>
          </w:p>
          <w:p w14:paraId="3AC60DE5">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1.场景构建</w:t>
            </w:r>
          </w:p>
          <w:p w14:paraId="18CD89C0">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可进行智慧物流系统三维场景布局设计，包括场内物流 路径网络布局、点位设计、动线设计、网络绑定、坐标系显示、实体属性调参等。</w:t>
            </w:r>
          </w:p>
          <w:p w14:paraId="60C459AA">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2.流程设计</w:t>
            </w:r>
          </w:p>
          <w:p w14:paraId="7E86DA46">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可进行智慧物流系统业务流程设计，包括流程节点拖拽、连接交互、属性调参等。</w:t>
            </w:r>
          </w:p>
          <w:p w14:paraId="47BBF64F">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3.模拟仿真</w:t>
            </w:r>
          </w:p>
          <w:p w14:paraId="45C3CBC0">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基于智慧物流系统作业订单，进行模拟仿真，测算作业效率和相关KPI指标。</w:t>
            </w:r>
          </w:p>
          <w:p w14:paraId="1574F78D">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4.数据可视化</w:t>
            </w:r>
          </w:p>
          <w:p w14:paraId="2BFEDD54">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可进行仿真结果展示和分析，包括呈现数据选择、呈现数据布局、呈现数据预览等。</w:t>
            </w:r>
          </w:p>
        </w:tc>
        <w:tc>
          <w:tcPr>
            <w:tcW w:w="770" w:type="dxa"/>
            <w:vAlign w:val="center"/>
          </w:tcPr>
          <w:p w14:paraId="7E18E1D0">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p>
          <w:p w14:paraId="77E098F9">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p>
          <w:p w14:paraId="6E69517B">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p>
          <w:p w14:paraId="2C448109">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1套</w:t>
            </w:r>
          </w:p>
        </w:tc>
      </w:tr>
    </w:tbl>
    <w:p w14:paraId="7D3EDF25">
      <w:pPr>
        <w:spacing w:line="274" w:lineRule="auto"/>
        <w:rPr>
          <w:rFonts w:ascii="Arial"/>
          <w:sz w:val="21"/>
        </w:rPr>
      </w:pPr>
    </w:p>
    <w:p w14:paraId="355E9B22">
      <w:pPr>
        <w:pStyle w:val="2"/>
      </w:pPr>
    </w:p>
    <w:p w14:paraId="468EAADD">
      <w:pPr>
        <w:spacing w:line="275" w:lineRule="auto"/>
        <w:rPr>
          <w:rFonts w:ascii="Arial"/>
          <w:sz w:val="21"/>
        </w:rPr>
      </w:pPr>
    </w:p>
    <w:p w14:paraId="2F59F756">
      <w:pPr>
        <w:spacing w:before="97" w:line="228" w:lineRule="auto"/>
        <w:ind w:left="152"/>
        <w:rPr>
          <w:rFonts w:ascii="黑体" w:hAnsi="黑体" w:eastAsia="黑体" w:cs="黑体"/>
          <w:sz w:val="30"/>
          <w:szCs w:val="30"/>
        </w:rPr>
      </w:pPr>
      <w:r>
        <w:rPr>
          <w:rFonts w:ascii="黑体" w:hAnsi="黑体" w:eastAsia="黑体" w:cs="黑体"/>
          <w:spacing w:val="-13"/>
          <w:sz w:val="30"/>
          <w:szCs w:val="30"/>
        </w:rPr>
        <w:t>九、</w:t>
      </w:r>
      <w:r>
        <w:rPr>
          <w:rFonts w:ascii="黑体" w:hAnsi="黑体" w:eastAsia="黑体" w:cs="黑体"/>
          <w:spacing w:val="87"/>
          <w:sz w:val="30"/>
          <w:szCs w:val="30"/>
        </w:rPr>
        <w:t xml:space="preserve"> </w:t>
      </w:r>
      <w:r>
        <w:rPr>
          <w:rFonts w:ascii="黑体" w:hAnsi="黑体" w:eastAsia="黑体" w:cs="黑体"/>
          <w:spacing w:val="-13"/>
          <w:sz w:val="30"/>
          <w:szCs w:val="30"/>
        </w:rPr>
        <w:t>竞赛样题</w:t>
      </w:r>
    </w:p>
    <w:p w14:paraId="4ED7B631">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（一）1+X物流职业素养测试模块</w:t>
      </w:r>
    </w:p>
    <w:p w14:paraId="33350313">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1.参赛队根据提供的赛题完成职业素养、生产安全、环境保护等方面的测试。</w:t>
      </w:r>
    </w:p>
    <w:p w14:paraId="62723E47">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2.样题</w:t>
      </w:r>
    </w:p>
    <w:p w14:paraId="51D61B1F">
      <w:pPr>
        <w:spacing w:before="17"/>
      </w:pPr>
    </w:p>
    <w:tbl>
      <w:tblPr>
        <w:tblStyle w:val="8"/>
        <w:tblW w:w="8301" w:type="dxa"/>
        <w:tblInd w:w="1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9"/>
        <w:gridCol w:w="714"/>
        <w:gridCol w:w="3676"/>
        <w:gridCol w:w="2081"/>
        <w:gridCol w:w="1111"/>
      </w:tblGrid>
      <w:tr w14:paraId="4BAF25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719" w:type="dxa"/>
            <w:vAlign w:val="center"/>
          </w:tcPr>
          <w:p w14:paraId="4A24D6FD">
            <w:pPr>
              <w:spacing w:before="74" w:line="293" w:lineRule="exact"/>
              <w:ind w:left="101"/>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序号</w:t>
            </w:r>
          </w:p>
        </w:tc>
        <w:tc>
          <w:tcPr>
            <w:tcW w:w="714" w:type="dxa"/>
            <w:vAlign w:val="center"/>
          </w:tcPr>
          <w:p w14:paraId="7C8E142F">
            <w:pPr>
              <w:spacing w:before="77" w:line="292" w:lineRule="exact"/>
              <w:ind w:left="102"/>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题型</w:t>
            </w:r>
          </w:p>
        </w:tc>
        <w:tc>
          <w:tcPr>
            <w:tcW w:w="3676" w:type="dxa"/>
            <w:vAlign w:val="center"/>
          </w:tcPr>
          <w:p w14:paraId="46AA0970">
            <w:pPr>
              <w:spacing w:before="72" w:line="295" w:lineRule="exact"/>
              <w:ind w:left="1342"/>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题目内容</w:t>
            </w:r>
          </w:p>
        </w:tc>
        <w:tc>
          <w:tcPr>
            <w:tcW w:w="2081" w:type="dxa"/>
            <w:vAlign w:val="center"/>
          </w:tcPr>
          <w:p w14:paraId="7A76EDC8">
            <w:pPr>
              <w:spacing w:before="76" w:line="294" w:lineRule="exact"/>
              <w:ind w:left="546"/>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题目选项</w:t>
            </w:r>
          </w:p>
        </w:tc>
        <w:tc>
          <w:tcPr>
            <w:tcW w:w="1111" w:type="dxa"/>
            <w:vAlign w:val="center"/>
          </w:tcPr>
          <w:p w14:paraId="757C5C70">
            <w:pPr>
              <w:spacing w:before="74" w:line="295" w:lineRule="exact"/>
              <w:ind w:left="62"/>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题目答案</w:t>
            </w:r>
          </w:p>
        </w:tc>
      </w:tr>
      <w:tr w14:paraId="5B944D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6" w:hRule="atLeast"/>
        </w:trPr>
        <w:tc>
          <w:tcPr>
            <w:tcW w:w="719" w:type="dxa"/>
            <w:vAlign w:val="center"/>
          </w:tcPr>
          <w:p w14:paraId="7D52D3DB">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1</w:t>
            </w:r>
          </w:p>
        </w:tc>
        <w:tc>
          <w:tcPr>
            <w:tcW w:w="714" w:type="dxa"/>
            <w:vAlign w:val="center"/>
          </w:tcPr>
          <w:p w14:paraId="6833B5B9">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单选</w:t>
            </w:r>
          </w:p>
        </w:tc>
        <w:tc>
          <w:tcPr>
            <w:tcW w:w="3676" w:type="dxa"/>
            <w:vAlign w:val="center"/>
          </w:tcPr>
          <w:p w14:paraId="68B9CB92">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  ）是指配送中心在拣选出库时将整箱商品拆散、选取一件或多件散件进行出库的作业。</w:t>
            </w:r>
          </w:p>
        </w:tc>
        <w:tc>
          <w:tcPr>
            <w:tcW w:w="2081" w:type="dxa"/>
            <w:vAlign w:val="center"/>
          </w:tcPr>
          <w:p w14:paraId="7B23C9AC">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A、拆零商品品种</w:t>
            </w:r>
          </w:p>
          <w:p w14:paraId="225A137E">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B、拆零订单</w:t>
            </w:r>
          </w:p>
          <w:p w14:paraId="1DC7DF62">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C、拆零量</w:t>
            </w:r>
          </w:p>
          <w:p w14:paraId="12935A47">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D、拆零作业</w:t>
            </w:r>
          </w:p>
        </w:tc>
        <w:tc>
          <w:tcPr>
            <w:tcW w:w="1111" w:type="dxa"/>
            <w:vAlign w:val="center"/>
          </w:tcPr>
          <w:p w14:paraId="05AE0ABB">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p>
          <w:p w14:paraId="10439E38">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D</w:t>
            </w:r>
          </w:p>
        </w:tc>
      </w:tr>
      <w:tr w14:paraId="083A59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6" w:hRule="atLeast"/>
        </w:trPr>
        <w:tc>
          <w:tcPr>
            <w:tcW w:w="719" w:type="dxa"/>
            <w:vAlign w:val="center"/>
          </w:tcPr>
          <w:p w14:paraId="0CA19631">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en-US" w:bidi="ar-SA"/>
              </w:rPr>
            </w:pPr>
            <w:r>
              <w:rPr>
                <w:rFonts w:hint="eastAsia" w:ascii="仿宋_GB2312" w:hAnsi="仿宋_GB2312" w:eastAsia="仿宋_GB2312" w:cs="仿宋_GB2312"/>
                <w:b w:val="0"/>
                <w:bCs w:val="0"/>
                <w:snapToGrid/>
                <w:color w:val="000000"/>
                <w:kern w:val="2"/>
                <w:sz w:val="21"/>
                <w:szCs w:val="21"/>
                <w:lang w:val="en-US" w:eastAsia="zh-CN" w:bidi="ar-SA"/>
              </w:rPr>
              <w:t>2</w:t>
            </w:r>
          </w:p>
        </w:tc>
        <w:tc>
          <w:tcPr>
            <w:tcW w:w="714" w:type="dxa"/>
            <w:vAlign w:val="center"/>
          </w:tcPr>
          <w:p w14:paraId="3361A68F">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en-US" w:bidi="ar-SA"/>
              </w:rPr>
            </w:pPr>
            <w:r>
              <w:rPr>
                <w:rFonts w:hint="eastAsia" w:ascii="仿宋_GB2312" w:hAnsi="仿宋_GB2312" w:eastAsia="仿宋_GB2312" w:cs="仿宋_GB2312"/>
                <w:b w:val="0"/>
                <w:bCs w:val="0"/>
                <w:snapToGrid/>
                <w:color w:val="000000"/>
                <w:kern w:val="2"/>
                <w:sz w:val="21"/>
                <w:szCs w:val="21"/>
                <w:lang w:val="en-US" w:eastAsia="zh-CN" w:bidi="ar-SA"/>
              </w:rPr>
              <w:t>单选</w:t>
            </w:r>
          </w:p>
        </w:tc>
        <w:tc>
          <w:tcPr>
            <w:tcW w:w="3676" w:type="dxa"/>
            <w:vAlign w:val="center"/>
          </w:tcPr>
          <w:p w14:paraId="338DFCD5">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  ）是配送企业根据客户的要求或 自身经营的需要从供应商处集中商品、储存商品的过程，是配送的前提和基础，目的是为配送商品提供货源保证。</w:t>
            </w:r>
          </w:p>
        </w:tc>
        <w:tc>
          <w:tcPr>
            <w:tcW w:w="2081" w:type="dxa"/>
            <w:vAlign w:val="center"/>
          </w:tcPr>
          <w:p w14:paraId="1A84B960">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p>
          <w:p w14:paraId="1F8FA3F1">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en-US" w:bidi="ar-SA"/>
              </w:rPr>
            </w:pPr>
            <w:r>
              <w:rPr>
                <w:rFonts w:hint="eastAsia" w:ascii="仿宋_GB2312" w:hAnsi="仿宋_GB2312" w:eastAsia="仿宋_GB2312" w:cs="仿宋_GB2312"/>
                <w:b w:val="0"/>
                <w:bCs w:val="0"/>
                <w:snapToGrid/>
                <w:color w:val="000000"/>
                <w:kern w:val="2"/>
                <w:sz w:val="21"/>
                <w:szCs w:val="21"/>
                <w:lang w:val="en-US" w:eastAsia="zh-CN" w:bidi="ar-SA"/>
              </w:rPr>
              <w:t>A、收货 B、验货 C、拣货 D、备货</w:t>
            </w:r>
          </w:p>
        </w:tc>
        <w:tc>
          <w:tcPr>
            <w:tcW w:w="1111" w:type="dxa"/>
            <w:vAlign w:val="center"/>
          </w:tcPr>
          <w:p w14:paraId="72166EC0">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p>
          <w:p w14:paraId="1242CB99">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p>
          <w:p w14:paraId="52BFDD1B">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p>
          <w:p w14:paraId="553E3090">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en-US" w:bidi="ar-SA"/>
              </w:rPr>
            </w:pPr>
            <w:r>
              <w:rPr>
                <w:rFonts w:hint="eastAsia" w:ascii="仿宋_GB2312" w:hAnsi="仿宋_GB2312" w:eastAsia="仿宋_GB2312" w:cs="仿宋_GB2312"/>
                <w:b w:val="0"/>
                <w:bCs w:val="0"/>
                <w:snapToGrid/>
                <w:color w:val="000000"/>
                <w:kern w:val="2"/>
                <w:sz w:val="21"/>
                <w:szCs w:val="21"/>
                <w:lang w:val="en-US" w:eastAsia="zh-CN" w:bidi="ar-SA"/>
              </w:rPr>
              <w:t>D</w:t>
            </w:r>
          </w:p>
        </w:tc>
      </w:tr>
      <w:tr w14:paraId="2E835F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6" w:hRule="atLeast"/>
        </w:trPr>
        <w:tc>
          <w:tcPr>
            <w:tcW w:w="719" w:type="dxa"/>
            <w:vAlign w:val="center"/>
          </w:tcPr>
          <w:p w14:paraId="313BA03F">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en-US" w:bidi="ar-SA"/>
              </w:rPr>
            </w:pPr>
            <w:r>
              <w:rPr>
                <w:rFonts w:hint="eastAsia" w:ascii="仿宋_GB2312" w:hAnsi="仿宋_GB2312" w:eastAsia="仿宋_GB2312" w:cs="仿宋_GB2312"/>
                <w:b w:val="0"/>
                <w:bCs w:val="0"/>
                <w:snapToGrid/>
                <w:color w:val="000000"/>
                <w:kern w:val="2"/>
                <w:sz w:val="21"/>
                <w:szCs w:val="21"/>
                <w:lang w:val="en-US" w:eastAsia="zh-CN" w:bidi="ar-SA"/>
              </w:rPr>
              <w:t>3</w:t>
            </w:r>
          </w:p>
        </w:tc>
        <w:tc>
          <w:tcPr>
            <w:tcW w:w="714" w:type="dxa"/>
            <w:vAlign w:val="center"/>
          </w:tcPr>
          <w:p w14:paraId="4DD51685">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en-US" w:bidi="ar-SA"/>
              </w:rPr>
            </w:pPr>
            <w:r>
              <w:rPr>
                <w:rFonts w:hint="eastAsia" w:ascii="仿宋_GB2312" w:hAnsi="仿宋_GB2312" w:eastAsia="仿宋_GB2312" w:cs="仿宋_GB2312"/>
                <w:b w:val="0"/>
                <w:bCs w:val="0"/>
                <w:snapToGrid/>
                <w:color w:val="000000"/>
                <w:kern w:val="2"/>
                <w:sz w:val="21"/>
                <w:szCs w:val="21"/>
                <w:lang w:val="en-US" w:eastAsia="zh-CN" w:bidi="ar-SA"/>
              </w:rPr>
              <w:t>多选</w:t>
            </w:r>
          </w:p>
        </w:tc>
        <w:tc>
          <w:tcPr>
            <w:tcW w:w="3676" w:type="dxa"/>
            <w:vAlign w:val="center"/>
          </w:tcPr>
          <w:p w14:paraId="4C4444D8">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OTP 订单到人作业模式适用于（ ）传统仓业务的升级改造。</w:t>
            </w:r>
          </w:p>
        </w:tc>
        <w:tc>
          <w:tcPr>
            <w:tcW w:w="2081" w:type="dxa"/>
            <w:vAlign w:val="center"/>
          </w:tcPr>
          <w:p w14:paraId="7F33EDA5">
            <w:pPr>
              <w:pStyle w:val="9"/>
              <w:numPr>
                <w:ilvl w:val="0"/>
                <w:numId w:val="1"/>
              </w:numPr>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仓库面积较大</w:t>
            </w:r>
          </w:p>
          <w:p w14:paraId="31867371">
            <w:pPr>
              <w:pStyle w:val="9"/>
              <w:numPr>
                <w:ilvl w:val="0"/>
                <w:numId w:val="1"/>
              </w:numPr>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订单量较大</w:t>
            </w:r>
          </w:p>
          <w:p w14:paraId="33550DA4">
            <w:pPr>
              <w:pStyle w:val="9"/>
              <w:numPr>
                <w:ilvl w:val="0"/>
                <w:numId w:val="1"/>
              </w:numPr>
              <w:spacing w:before="44" w:line="221" w:lineRule="auto"/>
              <w:jc w:val="both"/>
              <w:rPr>
                <w:rFonts w:hint="eastAsia" w:ascii="仿宋_GB2312" w:hAnsi="仿宋_GB2312" w:eastAsia="仿宋_GB2312" w:cs="仿宋_GB2312"/>
                <w:b w:val="0"/>
                <w:bCs w:val="0"/>
                <w:snapToGrid/>
                <w:color w:val="000000"/>
                <w:kern w:val="2"/>
                <w:sz w:val="21"/>
                <w:szCs w:val="21"/>
                <w:lang w:val="en-US" w:eastAsia="en-US" w:bidi="ar-SA"/>
              </w:rPr>
            </w:pPr>
            <w:r>
              <w:rPr>
                <w:rFonts w:hint="eastAsia" w:ascii="仿宋_GB2312" w:hAnsi="仿宋_GB2312" w:eastAsia="仿宋_GB2312" w:cs="仿宋_GB2312"/>
                <w:b w:val="0"/>
                <w:bCs w:val="0"/>
                <w:snapToGrid/>
                <w:color w:val="000000"/>
                <w:kern w:val="2"/>
                <w:sz w:val="21"/>
                <w:szCs w:val="21"/>
                <w:lang w:val="en-US" w:eastAsia="zh-CN" w:bidi="ar-SA"/>
              </w:rPr>
              <w:t>波次中的商品复 拣率比较低</w:t>
            </w:r>
          </w:p>
          <w:p w14:paraId="09B3D737">
            <w:pPr>
              <w:pStyle w:val="9"/>
              <w:numPr>
                <w:ilvl w:val="0"/>
                <w:numId w:val="1"/>
              </w:numPr>
              <w:spacing w:before="44" w:line="221" w:lineRule="auto"/>
              <w:jc w:val="both"/>
              <w:rPr>
                <w:rFonts w:hint="eastAsia" w:ascii="仿宋_GB2312" w:hAnsi="仿宋_GB2312" w:eastAsia="仿宋_GB2312" w:cs="仿宋_GB2312"/>
                <w:b w:val="0"/>
                <w:bCs w:val="0"/>
                <w:snapToGrid/>
                <w:color w:val="000000"/>
                <w:kern w:val="2"/>
                <w:sz w:val="21"/>
                <w:szCs w:val="21"/>
                <w:lang w:val="en-US" w:eastAsia="en-US" w:bidi="ar-SA"/>
              </w:rPr>
            </w:pPr>
            <w:r>
              <w:rPr>
                <w:rFonts w:hint="eastAsia" w:ascii="仿宋_GB2312" w:hAnsi="仿宋_GB2312" w:eastAsia="仿宋_GB2312" w:cs="仿宋_GB2312"/>
                <w:b w:val="0"/>
                <w:bCs w:val="0"/>
                <w:snapToGrid/>
                <w:color w:val="000000"/>
                <w:kern w:val="2"/>
                <w:sz w:val="21"/>
                <w:szCs w:val="21"/>
                <w:lang w:val="en-US" w:eastAsia="zh-CN" w:bidi="ar-SA"/>
              </w:rPr>
              <w:t>订单的波次包含 的订单数量较少</w:t>
            </w:r>
          </w:p>
        </w:tc>
        <w:tc>
          <w:tcPr>
            <w:tcW w:w="1111" w:type="dxa"/>
            <w:vAlign w:val="center"/>
          </w:tcPr>
          <w:p w14:paraId="1D20E208">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p>
          <w:p w14:paraId="0C06B783">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p>
          <w:p w14:paraId="02E101EB">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p>
          <w:p w14:paraId="36BC5082">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en-US" w:bidi="ar-SA"/>
              </w:rPr>
            </w:pPr>
            <w:r>
              <w:rPr>
                <w:rFonts w:hint="eastAsia" w:ascii="仿宋_GB2312" w:hAnsi="仿宋_GB2312" w:eastAsia="仿宋_GB2312" w:cs="仿宋_GB2312"/>
                <w:b w:val="0"/>
                <w:bCs w:val="0"/>
                <w:snapToGrid/>
                <w:color w:val="000000"/>
                <w:kern w:val="2"/>
                <w:sz w:val="21"/>
                <w:szCs w:val="21"/>
                <w:lang w:val="en-US" w:eastAsia="zh-CN" w:bidi="ar-SA"/>
              </w:rPr>
              <w:t>AB</w:t>
            </w:r>
          </w:p>
        </w:tc>
      </w:tr>
      <w:tr w14:paraId="18CFD4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6" w:hRule="atLeast"/>
        </w:trPr>
        <w:tc>
          <w:tcPr>
            <w:tcW w:w="719" w:type="dxa"/>
            <w:vAlign w:val="center"/>
          </w:tcPr>
          <w:p w14:paraId="0274A453">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p>
          <w:p w14:paraId="0C834E33">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en-US" w:bidi="ar-SA"/>
              </w:rPr>
            </w:pPr>
            <w:r>
              <w:rPr>
                <w:rFonts w:hint="eastAsia" w:ascii="仿宋_GB2312" w:hAnsi="仿宋_GB2312" w:eastAsia="仿宋_GB2312" w:cs="仿宋_GB2312"/>
                <w:b w:val="0"/>
                <w:bCs w:val="0"/>
                <w:snapToGrid/>
                <w:color w:val="000000"/>
                <w:kern w:val="2"/>
                <w:sz w:val="21"/>
                <w:szCs w:val="21"/>
                <w:lang w:val="en-US" w:eastAsia="zh-CN" w:bidi="ar-SA"/>
              </w:rPr>
              <w:t>4</w:t>
            </w:r>
          </w:p>
        </w:tc>
        <w:tc>
          <w:tcPr>
            <w:tcW w:w="714" w:type="dxa"/>
            <w:vAlign w:val="center"/>
          </w:tcPr>
          <w:p w14:paraId="2C639BDD">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p>
          <w:p w14:paraId="0D72A8AA">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en-US" w:bidi="ar-SA"/>
              </w:rPr>
            </w:pPr>
            <w:r>
              <w:rPr>
                <w:rFonts w:hint="eastAsia" w:ascii="仿宋_GB2312" w:hAnsi="仿宋_GB2312" w:eastAsia="仿宋_GB2312" w:cs="仿宋_GB2312"/>
                <w:b w:val="0"/>
                <w:bCs w:val="0"/>
                <w:snapToGrid/>
                <w:color w:val="000000"/>
                <w:kern w:val="2"/>
                <w:sz w:val="21"/>
                <w:szCs w:val="21"/>
                <w:lang w:val="en-US" w:eastAsia="zh-CN" w:bidi="ar-SA"/>
              </w:rPr>
              <w:t>多选</w:t>
            </w:r>
          </w:p>
        </w:tc>
        <w:tc>
          <w:tcPr>
            <w:tcW w:w="3676" w:type="dxa"/>
            <w:vAlign w:val="center"/>
          </w:tcPr>
          <w:p w14:paraId="0BA1CB95">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进行运输线路选择时，需要考虑的因素包括（ ）。</w:t>
            </w:r>
          </w:p>
        </w:tc>
        <w:tc>
          <w:tcPr>
            <w:tcW w:w="2081" w:type="dxa"/>
            <w:vAlign w:val="center"/>
          </w:tcPr>
          <w:p w14:paraId="37FCE117">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A、实际道路情况</w:t>
            </w:r>
          </w:p>
          <w:p w14:paraId="2A97978D">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B、车辆装载情况</w:t>
            </w:r>
          </w:p>
          <w:p w14:paraId="297F192F">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C、各个卸货点之间的距离以及每个卸货点的卸货时间</w:t>
            </w:r>
          </w:p>
          <w:p w14:paraId="79EE08CA">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en-US" w:bidi="ar-SA"/>
              </w:rPr>
            </w:pPr>
            <w:r>
              <w:rPr>
                <w:rFonts w:hint="eastAsia" w:ascii="仿宋_GB2312" w:hAnsi="仿宋_GB2312" w:eastAsia="仿宋_GB2312" w:cs="仿宋_GB2312"/>
                <w:b w:val="0"/>
                <w:bCs w:val="0"/>
                <w:snapToGrid/>
                <w:color w:val="000000"/>
                <w:kern w:val="2"/>
                <w:sz w:val="21"/>
                <w:szCs w:val="21"/>
                <w:lang w:val="en-US" w:eastAsia="zh-CN" w:bidi="ar-SA"/>
              </w:rPr>
              <w:t>D、运输任务的具体到 货时间</w:t>
            </w:r>
          </w:p>
        </w:tc>
        <w:tc>
          <w:tcPr>
            <w:tcW w:w="1111" w:type="dxa"/>
            <w:vAlign w:val="center"/>
          </w:tcPr>
          <w:p w14:paraId="488EE666">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p>
          <w:p w14:paraId="650E342E">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p>
          <w:p w14:paraId="3C9E5EA4">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p>
          <w:p w14:paraId="0C4144F8">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en-US" w:bidi="ar-SA"/>
              </w:rPr>
            </w:pPr>
            <w:r>
              <w:rPr>
                <w:rFonts w:hint="eastAsia" w:ascii="仿宋_GB2312" w:hAnsi="仿宋_GB2312" w:eastAsia="仿宋_GB2312" w:cs="仿宋_GB2312"/>
                <w:b w:val="0"/>
                <w:bCs w:val="0"/>
                <w:snapToGrid/>
                <w:color w:val="000000"/>
                <w:kern w:val="2"/>
                <w:sz w:val="21"/>
                <w:szCs w:val="21"/>
                <w:lang w:val="en-US" w:eastAsia="zh-CN" w:bidi="ar-SA"/>
              </w:rPr>
              <w:t>ABCD</w:t>
            </w:r>
          </w:p>
        </w:tc>
      </w:tr>
      <w:tr w14:paraId="09C17E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6" w:hRule="atLeast"/>
        </w:trPr>
        <w:tc>
          <w:tcPr>
            <w:tcW w:w="719" w:type="dxa"/>
            <w:vAlign w:val="center"/>
          </w:tcPr>
          <w:p w14:paraId="3041179E">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en-US" w:bidi="ar-SA"/>
              </w:rPr>
            </w:pPr>
            <w:r>
              <w:rPr>
                <w:rFonts w:hint="eastAsia" w:ascii="仿宋_GB2312" w:hAnsi="仿宋_GB2312" w:eastAsia="仿宋_GB2312" w:cs="仿宋_GB2312"/>
                <w:b w:val="0"/>
                <w:bCs w:val="0"/>
                <w:snapToGrid/>
                <w:color w:val="000000"/>
                <w:kern w:val="2"/>
                <w:sz w:val="21"/>
                <w:szCs w:val="21"/>
                <w:lang w:val="en-US" w:eastAsia="zh-CN" w:bidi="ar-SA"/>
              </w:rPr>
              <w:t>5</w:t>
            </w:r>
          </w:p>
        </w:tc>
        <w:tc>
          <w:tcPr>
            <w:tcW w:w="714" w:type="dxa"/>
            <w:vAlign w:val="center"/>
          </w:tcPr>
          <w:p w14:paraId="11AD99F2">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en-US" w:bidi="ar-SA"/>
              </w:rPr>
            </w:pPr>
            <w:r>
              <w:rPr>
                <w:rFonts w:hint="eastAsia" w:ascii="仿宋_GB2312" w:hAnsi="仿宋_GB2312" w:eastAsia="仿宋_GB2312" w:cs="仿宋_GB2312"/>
                <w:b w:val="0"/>
                <w:bCs w:val="0"/>
                <w:snapToGrid/>
                <w:color w:val="000000"/>
                <w:kern w:val="2"/>
                <w:sz w:val="21"/>
                <w:szCs w:val="21"/>
                <w:lang w:val="en-US" w:eastAsia="zh-CN" w:bidi="ar-SA"/>
              </w:rPr>
              <w:t>判断</w:t>
            </w:r>
          </w:p>
        </w:tc>
        <w:tc>
          <w:tcPr>
            <w:tcW w:w="3676" w:type="dxa"/>
            <w:vAlign w:val="center"/>
          </w:tcPr>
          <w:p w14:paraId="48A654FA">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r>
              <w:rPr>
                <w:rFonts w:hint="eastAsia" w:ascii="仿宋_GB2312" w:hAnsi="仿宋_GB2312" w:eastAsia="仿宋_GB2312" w:cs="仿宋_GB2312"/>
                <w:b w:val="0"/>
                <w:bCs w:val="0"/>
                <w:snapToGrid/>
                <w:color w:val="000000"/>
                <w:kern w:val="2"/>
                <w:sz w:val="21"/>
                <w:szCs w:val="21"/>
                <w:lang w:val="en-US" w:eastAsia="zh-CN" w:bidi="ar-SA"/>
              </w:rPr>
              <w:t>仓库建设规划流程包括规划准备阶段、系统规划设计阶段、方案评估决策阶段。局部规划设计阶段以及计划执行等五个阶段。</w:t>
            </w:r>
          </w:p>
        </w:tc>
        <w:tc>
          <w:tcPr>
            <w:tcW w:w="2081" w:type="dxa"/>
            <w:vAlign w:val="center"/>
          </w:tcPr>
          <w:p w14:paraId="5E25869B">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zh-CN" w:bidi="ar-SA"/>
              </w:rPr>
            </w:pPr>
          </w:p>
          <w:p w14:paraId="6EB3DFE4">
            <w:pPr>
              <w:pStyle w:val="9"/>
              <w:spacing w:before="44" w:line="221" w:lineRule="auto"/>
              <w:jc w:val="both"/>
              <w:rPr>
                <w:rFonts w:hint="eastAsia" w:ascii="仿宋_GB2312" w:hAnsi="仿宋_GB2312" w:eastAsia="仿宋_GB2312" w:cs="仿宋_GB2312"/>
                <w:b w:val="0"/>
                <w:bCs w:val="0"/>
                <w:snapToGrid/>
                <w:color w:val="000000"/>
                <w:kern w:val="2"/>
                <w:sz w:val="21"/>
                <w:szCs w:val="21"/>
                <w:lang w:val="en-US" w:eastAsia="en-US" w:bidi="ar-SA"/>
              </w:rPr>
            </w:pPr>
            <w:r>
              <w:rPr>
                <w:rFonts w:hint="eastAsia" w:ascii="仿宋_GB2312" w:hAnsi="仿宋_GB2312" w:eastAsia="仿宋_GB2312" w:cs="仿宋_GB2312"/>
                <w:b w:val="0"/>
                <w:bCs w:val="0"/>
                <w:snapToGrid/>
                <w:color w:val="000000"/>
                <w:kern w:val="2"/>
                <w:sz w:val="21"/>
                <w:szCs w:val="21"/>
                <w:lang w:val="en-US" w:eastAsia="zh-CN" w:bidi="ar-SA"/>
              </w:rPr>
              <w:t>A.正确 B.错误</w:t>
            </w:r>
          </w:p>
        </w:tc>
        <w:tc>
          <w:tcPr>
            <w:tcW w:w="1111" w:type="dxa"/>
            <w:vAlign w:val="center"/>
          </w:tcPr>
          <w:p w14:paraId="74097098">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zh-CN" w:bidi="ar-SA"/>
              </w:rPr>
            </w:pPr>
          </w:p>
          <w:p w14:paraId="5A0A7BA7">
            <w:pPr>
              <w:pStyle w:val="9"/>
              <w:spacing w:before="44" w:line="221" w:lineRule="auto"/>
              <w:jc w:val="center"/>
              <w:rPr>
                <w:rFonts w:hint="eastAsia" w:ascii="仿宋_GB2312" w:hAnsi="仿宋_GB2312" w:eastAsia="仿宋_GB2312" w:cs="仿宋_GB2312"/>
                <w:b w:val="0"/>
                <w:bCs w:val="0"/>
                <w:snapToGrid/>
                <w:color w:val="000000"/>
                <w:kern w:val="2"/>
                <w:sz w:val="21"/>
                <w:szCs w:val="21"/>
                <w:lang w:val="en-US" w:eastAsia="en-US" w:bidi="ar-SA"/>
              </w:rPr>
            </w:pPr>
            <w:r>
              <w:rPr>
                <w:rFonts w:hint="eastAsia" w:ascii="仿宋_GB2312" w:hAnsi="仿宋_GB2312" w:eastAsia="仿宋_GB2312" w:cs="仿宋_GB2312"/>
                <w:b w:val="0"/>
                <w:bCs w:val="0"/>
                <w:snapToGrid/>
                <w:color w:val="000000"/>
                <w:kern w:val="2"/>
                <w:sz w:val="21"/>
                <w:szCs w:val="21"/>
                <w:lang w:val="en-US" w:eastAsia="zh-CN" w:bidi="ar-SA"/>
              </w:rPr>
              <w:t>A</w:t>
            </w:r>
          </w:p>
        </w:tc>
      </w:tr>
    </w:tbl>
    <w:p w14:paraId="4FB17676">
      <w:pPr>
        <w:rPr>
          <w:rFonts w:ascii="Arial"/>
          <w:sz w:val="21"/>
        </w:rPr>
      </w:pPr>
    </w:p>
    <w:p w14:paraId="3180FF64">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（二）智慧物流系统规划仿真与方案设计模块</w:t>
      </w:r>
    </w:p>
    <w:p w14:paraId="5F58A2AF">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1.参赛队按要求完成智慧物流系统需求分析、智能设施设备配置、智慧仓布局规划、生产物流作业环节设计，进行仿真验证与分析，并制作规划方案。</w:t>
      </w:r>
    </w:p>
    <w:p w14:paraId="0FF79CC2">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2.样题</w:t>
      </w:r>
    </w:p>
    <w:p w14:paraId="5A03F795">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（1）任务背景</w:t>
      </w:r>
    </w:p>
    <w:p w14:paraId="2FD990C8">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世纪科技是一家创意小家电研发、设计、生产和销售的实业型企业,主营产品包括智能音箱、可视化门铃、智能摄像头等产品。在数字化及服务型制造转型发展背景趋势下，公司于安徽省合肥市新建“智能制造 2025”示范工厂，占地面积约6400平方米，年产量超过80万件。</w:t>
      </w:r>
    </w:p>
    <w:p w14:paraId="0DE5EF11">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为了有效提升公司生产运营效率、改善产品质量，较好服务客户需求，公司现计划对原有生产车间改造升级，计划占地面积为10米*20米,包含原材料存储库与装配车间，目前已初步确定未来计划投入使用 的主要硬件设备种类，具体为：</w:t>
      </w:r>
    </w:p>
    <w:p w14:paraId="0FBDA687">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原材料存储库（10米*10米）：采用货到人（GTP）作业模式与搬运机器人（AGV），主要用于原材料的存储与搬运；</w:t>
      </w:r>
    </w:p>
    <w:p w14:paraId="7C13972C">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装配车间（10米*10 米）：采用点到点（P2P）作业模式与搬运机器人（AGV），主要用于装配车间原材料补给。</w:t>
      </w:r>
    </w:p>
    <w:p w14:paraId="543F30E1">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（2）项目任务书</w:t>
      </w:r>
    </w:p>
    <w:p w14:paraId="5A43C379">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任务描述：结合公司存储/装配车间信息及生产物流等任务基础数据，完成智慧物流系统规划方案。</w:t>
      </w:r>
    </w:p>
    <w:p w14:paraId="4E0758C8">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①智能生产场景规划分析</w:t>
      </w:r>
    </w:p>
    <w:p w14:paraId="7EC96819">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结合物料需求、产品属性、存储能力、设备配置等关键参数，完成原材料存储搬运及产成品存储搬运典型生产物流场景的规划设计。</w:t>
      </w:r>
    </w:p>
    <w:p w14:paraId="57944942">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具体任务要求如下：</w:t>
      </w:r>
    </w:p>
    <w:p w14:paraId="7287C9BD">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（a）原材料供应分析：根据原材料供应商能力评估标准，在给定供应商中，对其进行综合多维度评估，选择合适的供应商进行合作。</w:t>
      </w:r>
    </w:p>
    <w:p w14:paraId="546DEFB6">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（b）原材料需求分析：根据企业产能和产线规划，计算各原材料所需数量。</w:t>
      </w:r>
    </w:p>
    <w:p w14:paraId="23D24B80">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（c）原材料存储情况分析：根据原材料存储信息，确定原材料存储所需货架与料箱数量。</w:t>
      </w:r>
    </w:p>
    <w:p w14:paraId="09B429DA">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（d）智能设施设备需求分析：根据生产运作效率，计算原材料存储库AGV数量、工作站数量（入库+出库）、充电桩数量等。</w:t>
      </w:r>
    </w:p>
    <w:p w14:paraId="58ACEAB7">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②智慧物流功能区域布局设计</w:t>
      </w:r>
    </w:p>
    <w:p w14:paraId="2E062A48">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结合背景资料中给出的物流设施设备，结合相应参数，完成生产物流系统相应功能区域、设施设备动线及站节点的布局设计。</w:t>
      </w:r>
    </w:p>
    <w:p w14:paraId="3EDE80E6">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具体任务要求如下：</w:t>
      </w:r>
    </w:p>
    <w:p w14:paraId="64BF7230">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（a）完成物流功能区域规划设计。</w:t>
      </w:r>
    </w:p>
    <w:p w14:paraId="0D8B4B9E">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（b）完成设施设备站节点在不同功能区域的点位设计，并完成路 径规划。</w:t>
      </w:r>
    </w:p>
    <w:p w14:paraId="6A817CD2">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（c）输出相应布局规划结果，以截图方式保存有路径规划的地图。</w:t>
      </w:r>
    </w:p>
    <w:p w14:paraId="4FB44109">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③智慧物流作业环节设计</w:t>
      </w:r>
    </w:p>
    <w:p w14:paraId="0366F365">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根据不同生产及物流节拍，完成原材料存储及搬运、原料库至产线配送、产成品下线搬运及存储等作业环节设计。</w:t>
      </w:r>
    </w:p>
    <w:p w14:paraId="735904C5">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具体任务要求如下：</w:t>
      </w:r>
    </w:p>
    <w:p w14:paraId="7D61E862">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（a）生产物流作业节拍设计：根据生产及物流数据，完成作业环节分析，并进行节拍设计,以保证生产及物流全流程的有效运营。</w:t>
      </w:r>
    </w:p>
    <w:p w14:paraId="2FF3649E">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（b）原材料运输作业设计：根据原材料供货需求，结合供应商位置等信息，进行合理的运输路径规划。</w:t>
      </w:r>
    </w:p>
    <w:p w14:paraId="075AD223">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④智慧物流系统仿真与报告编制</w:t>
      </w:r>
    </w:p>
    <w:p w14:paraId="4946CC35">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结合原材料存储信息表、出入库任务信息等，完成系统配置、仿真，并对仿真数据分析。</w:t>
      </w:r>
    </w:p>
    <w:p w14:paraId="64F38EDE">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具体任务要求如下：</w:t>
      </w:r>
    </w:p>
    <w:p w14:paraId="4A4E86DC">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（a）物流仿真：对上述各任务分项中的场景规划、布局设计等进行仿真验证，并输出及留存相应技术文件。</w:t>
      </w:r>
    </w:p>
    <w:p w14:paraId="75509055">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（b）数据分析：综合整体规划设计及仿真结果，对仿真运行的数据进行分析，提出优化改进方案，并编制智慧物流系统规划方案和展示 PPT。</w:t>
      </w:r>
    </w:p>
    <w:p w14:paraId="5083CED1">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（三）智慧物流系统规划方案汇报答辩模块</w:t>
      </w:r>
    </w:p>
    <w:p w14:paraId="247733C3">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参赛队按要求基于智慧物流系统规划方案，进行汇报和答辩。</w:t>
      </w:r>
    </w:p>
    <w:p w14:paraId="4B8D5FD6">
      <w:pPr>
        <w:spacing w:line="256" w:lineRule="auto"/>
        <w:rPr>
          <w:rFonts w:ascii="Arial"/>
          <w:sz w:val="21"/>
        </w:rPr>
      </w:pPr>
    </w:p>
    <w:p w14:paraId="170E00B6">
      <w:pPr>
        <w:spacing w:before="97" w:line="228" w:lineRule="auto"/>
        <w:ind w:left="44"/>
        <w:outlineLvl w:val="0"/>
        <w:rPr>
          <w:rFonts w:ascii="黑体" w:hAnsi="黑体" w:eastAsia="黑体" w:cs="黑体"/>
          <w:sz w:val="30"/>
          <w:szCs w:val="30"/>
        </w:rPr>
      </w:pPr>
      <w:r>
        <w:rPr>
          <w:rFonts w:ascii="黑体" w:hAnsi="黑体" w:eastAsia="黑体" w:cs="黑体"/>
          <w:spacing w:val="17"/>
          <w:sz w:val="30"/>
          <w:szCs w:val="30"/>
        </w:rPr>
        <w:t>十、赛项安全</w:t>
      </w:r>
    </w:p>
    <w:p w14:paraId="10BC3E24">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赛事安全是赛项一切工作顺利开展的先决条件，是赛事筹备和运行工作必须考虑的核心问题。赛项执委会采取切实有效措施保证大赛期间 参赛选手、指导教师、工作人员等的人身安全。</w:t>
      </w:r>
    </w:p>
    <w:p w14:paraId="13EA5BFC">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（一）组织机构</w:t>
      </w:r>
    </w:p>
    <w:p w14:paraId="386FB4A4">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1.成立大赛突发安全事故应急工作领导小组，由赛点总指挥任组长，副总指挥任副组长，成员由安保组组长、后勤保障组组长等人员组成。</w:t>
      </w:r>
    </w:p>
    <w:p w14:paraId="0509DBDF">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2.大赛突发安全事故应急工作领导小组职责：</w:t>
      </w:r>
    </w:p>
    <w:p w14:paraId="23A38BA8">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统一指挥、协调和组织大赛期间突发安全事故的应急处理工作。</w:t>
      </w:r>
    </w:p>
    <w:p w14:paraId="15B8A383">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制定各类突发事故的应对措施，重点做好火灾安全事故、交通安全事故、食物中毒安全事故、用电安全事故、医疗紧急病情的防范工作，设备故障，组织各种突发事件的紧急处理，最大程度地避免次生事故，及时报告上级有关部门，做好各种事件的善后工作。</w:t>
      </w:r>
    </w:p>
    <w:p w14:paraId="083BC854">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（二）安全事故报告及处理程序</w:t>
      </w:r>
    </w:p>
    <w:p w14:paraId="7D922543">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1.大赛过程中如遇突发安全事故，有关人员必须立即向领导小组报告。</w:t>
      </w:r>
    </w:p>
    <w:p w14:paraId="2D523BA1">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2.大赛过程中如遇突发安全事故后，本着“先控制、后处置、救人第一，减少损失”的原则，领导小组应果断处理，指导现场参赛师生离 开危险区域，保护好大赛区域内的贵重物品，认真维护现场秩序，做好事故现场保护工作，做好善后处理工作。</w:t>
      </w:r>
    </w:p>
    <w:p w14:paraId="0E0E3BF7">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3.安全事故应急领导小组接到报告，要第一时间到达事故现场，迅速组织处置，并根据事故情况及时向上级部门汇报。</w:t>
      </w:r>
    </w:p>
    <w:p w14:paraId="02E96601">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4.有关人员按赛场疏散图指示，由指定专人指引、带领及时做好疏散。</w:t>
      </w:r>
    </w:p>
    <w:p w14:paraId="665C56FB">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（三）比赛环境</w:t>
      </w:r>
    </w:p>
    <w:p w14:paraId="0B16F0BB">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执委会须在赛前组织专人对比赛现场、住宿场所和交通保障进行考察，并对安全工作提出明确要求。赛场的布置，赛场内的器材、设备应符合国家有关安全规定。赛前进行赛场全负荷模拟测试，以发现可能出现的问题，及时排除安全隐患。</w:t>
      </w:r>
    </w:p>
    <w:p w14:paraId="054FA807">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赛场周围要设立警戒线，无关人员不得进入。比赛现场内应参照相关职业岗位的要求为选手提供必要的劳动保护。在具有危险性的操作环节，裁判员要严防选手出现错误操作。</w:t>
      </w:r>
    </w:p>
    <w:p w14:paraId="5273DDE1">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参赛选手、赛事裁判、工作人员进入赛场区域内，严禁携带通讯、照相摄录设备、记录用具。赛项需要配置安检设备对进入赛场人员进行安检。</w:t>
      </w:r>
    </w:p>
    <w:p w14:paraId="13B21313">
      <w:pPr>
        <w:rPr>
          <w:rFonts w:ascii="Arial"/>
          <w:sz w:val="21"/>
        </w:rPr>
      </w:pPr>
    </w:p>
    <w:p w14:paraId="0C5F0D59">
      <w:pPr>
        <w:spacing w:before="97" w:line="228" w:lineRule="auto"/>
        <w:ind w:left="44"/>
        <w:rPr>
          <w:rFonts w:ascii="黑体" w:hAnsi="黑体" w:eastAsia="黑体" w:cs="黑体"/>
          <w:sz w:val="30"/>
          <w:szCs w:val="30"/>
        </w:rPr>
      </w:pPr>
      <w:r>
        <w:rPr>
          <w:rFonts w:ascii="黑体" w:hAnsi="黑体" w:eastAsia="黑体" w:cs="黑体"/>
          <w:spacing w:val="14"/>
          <w:sz w:val="30"/>
          <w:szCs w:val="30"/>
        </w:rPr>
        <w:t>十一、成绩评定</w:t>
      </w:r>
    </w:p>
    <w:p w14:paraId="07F45E1D">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（一）评分标准</w:t>
      </w:r>
    </w:p>
    <w:p w14:paraId="7662CCF6">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3" w:firstLineChars="200"/>
        <w:jc w:val="both"/>
        <w:textAlignment w:val="baseline"/>
        <w:rPr>
          <w:rFonts w:hint="eastAsia" w:ascii="仿宋_GB2312" w:hAnsi="仿宋_GB2312" w:eastAsia="仿宋_GB2312" w:cs="仿宋_GB2312"/>
          <w:b/>
          <w:bCs/>
          <w:snapToGrid/>
          <w:kern w:val="2"/>
          <w:sz w:val="32"/>
          <w:szCs w:val="32"/>
          <w:lang w:val="en-US" w:eastAsia="zh-CN" w:bidi="ar-SA"/>
        </w:rPr>
      </w:pPr>
      <w:r>
        <w:rPr>
          <w:rFonts w:hint="eastAsia" w:ascii="仿宋_GB2312" w:hAnsi="仿宋_GB2312" w:eastAsia="仿宋_GB2312" w:cs="仿宋_GB2312"/>
          <w:b/>
          <w:bCs/>
          <w:snapToGrid/>
          <w:kern w:val="2"/>
          <w:sz w:val="32"/>
          <w:szCs w:val="32"/>
          <w:lang w:val="en-US" w:eastAsia="zh-CN" w:bidi="ar-SA"/>
        </w:rPr>
        <w:t>1.制订原则</w:t>
      </w:r>
    </w:p>
    <w:p w14:paraId="1DBB45BC">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采用过程评价与结果评价相结合、能力评价与职业素养评价相结合的评价方式，评分标准以“公平、公正、公开”为原则。</w:t>
      </w:r>
    </w:p>
    <w:p w14:paraId="64AD4B61">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3"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bCs/>
          <w:snapToGrid/>
          <w:kern w:val="2"/>
          <w:sz w:val="32"/>
          <w:szCs w:val="32"/>
          <w:lang w:val="en-US" w:eastAsia="zh-CN" w:bidi="ar-SA"/>
        </w:rPr>
        <w:t>2.组织分工</w:t>
      </w:r>
    </w:p>
    <w:p w14:paraId="505C459A">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成立由检录组、裁判组、监督仲裁组组成的成绩管理组织机构。参照《全国职业院校技能大赛专家和裁判工作管理办法》的有关要求，要求裁判人员分别来自企业、非参赛院校、非赛项合作企业。裁判数量3人，其中裁判长1人、现场裁判2人。裁判要求如下：</w:t>
      </w:r>
    </w:p>
    <w:tbl>
      <w:tblPr>
        <w:tblStyle w:val="8"/>
        <w:tblW w:w="852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3"/>
        <w:gridCol w:w="1247"/>
        <w:gridCol w:w="3210"/>
        <w:gridCol w:w="1536"/>
        <w:gridCol w:w="1541"/>
      </w:tblGrid>
      <w:tr w14:paraId="067BDF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5" w:hRule="atLeast"/>
        </w:trPr>
        <w:tc>
          <w:tcPr>
            <w:tcW w:w="993" w:type="dxa"/>
            <w:vAlign w:val="center"/>
          </w:tcPr>
          <w:p w14:paraId="6F3FE3B1">
            <w:pPr>
              <w:spacing w:before="125" w:line="293" w:lineRule="exact"/>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5"/>
                <w:w w:val="94"/>
                <w:position w:val="-1"/>
                <w:sz w:val="24"/>
                <w:szCs w:val="24"/>
              </w:rPr>
              <w:t>序号</w:t>
            </w:r>
          </w:p>
        </w:tc>
        <w:tc>
          <w:tcPr>
            <w:tcW w:w="1247" w:type="dxa"/>
            <w:vAlign w:val="center"/>
          </w:tcPr>
          <w:p w14:paraId="3F098C08">
            <w:pPr>
              <w:spacing w:before="233" w:line="300" w:lineRule="exact"/>
              <w:ind w:right="139"/>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2"/>
                <w:position w:val="1"/>
                <w:sz w:val="21"/>
                <w:szCs w:val="21"/>
              </w:rPr>
              <w:t>专业技术</w:t>
            </w:r>
            <w:r>
              <w:rPr>
                <w:rFonts w:hint="eastAsia" w:ascii="方正仿宋_GB2312" w:hAnsi="方正仿宋_GB2312" w:eastAsia="方正仿宋_GB2312" w:cs="方正仿宋_GB2312"/>
                <w:color w:val="auto"/>
                <w:spacing w:val="1"/>
                <w:position w:val="1"/>
                <w:sz w:val="21"/>
                <w:szCs w:val="21"/>
              </w:rPr>
              <w:t xml:space="preserve"> </w:t>
            </w:r>
            <w:r>
              <w:rPr>
                <w:rFonts w:hint="eastAsia" w:ascii="方正仿宋_GB2312" w:hAnsi="方正仿宋_GB2312" w:eastAsia="方正仿宋_GB2312" w:cs="方正仿宋_GB2312"/>
                <w:color w:val="auto"/>
                <w:spacing w:val="-22"/>
                <w:position w:val="-1"/>
                <w:sz w:val="24"/>
                <w:szCs w:val="24"/>
              </w:rPr>
              <w:t>方向</w:t>
            </w:r>
          </w:p>
        </w:tc>
        <w:tc>
          <w:tcPr>
            <w:tcW w:w="3210" w:type="dxa"/>
            <w:vAlign w:val="center"/>
          </w:tcPr>
          <w:p w14:paraId="3DF291E7">
            <w:pPr>
              <w:spacing w:before="124" w:line="295" w:lineRule="exact"/>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6"/>
                <w:w w:val="88"/>
                <w:position w:val="-1"/>
                <w:sz w:val="24"/>
                <w:szCs w:val="24"/>
              </w:rPr>
              <w:t>知识能力要求</w:t>
            </w:r>
          </w:p>
        </w:tc>
        <w:tc>
          <w:tcPr>
            <w:tcW w:w="1536" w:type="dxa"/>
            <w:vAlign w:val="center"/>
          </w:tcPr>
          <w:p w14:paraId="433C2156">
            <w:pPr>
              <w:spacing w:before="229" w:line="301" w:lineRule="exact"/>
              <w:ind w:right="50"/>
              <w:jc w:val="center"/>
              <w:rPr>
                <w:rFonts w:hint="eastAsia" w:ascii="方正仿宋_GB2312" w:hAnsi="方正仿宋_GB2312" w:eastAsia="方正仿宋_GB2312" w:cs="方正仿宋_GB2312"/>
                <w:color w:val="auto"/>
                <w:sz w:val="24"/>
                <w:szCs w:val="24"/>
                <w:lang w:val="en-US" w:eastAsia="zh-CN"/>
              </w:rPr>
            </w:pPr>
            <w:r>
              <w:rPr>
                <w:rFonts w:hint="eastAsia" w:ascii="方正仿宋_GB2312" w:hAnsi="方正仿宋_GB2312" w:eastAsia="方正仿宋_GB2312" w:cs="方正仿宋_GB2312"/>
                <w:color w:val="auto"/>
                <w:sz w:val="24"/>
                <w:szCs w:val="24"/>
                <w:lang w:val="en-US" w:eastAsia="zh-CN"/>
              </w:rPr>
              <w:t>经验要求</w:t>
            </w:r>
          </w:p>
          <w:p w14:paraId="37620F33">
            <w:pPr>
              <w:pStyle w:val="2"/>
              <w:jc w:val="center"/>
              <w:rPr>
                <w:rFonts w:hint="eastAsia"/>
              </w:rPr>
            </w:pPr>
          </w:p>
        </w:tc>
        <w:tc>
          <w:tcPr>
            <w:tcW w:w="1541" w:type="dxa"/>
            <w:vAlign w:val="center"/>
          </w:tcPr>
          <w:p w14:paraId="55D17B3E">
            <w:pPr>
              <w:spacing w:before="73" w:line="240" w:lineRule="auto"/>
              <w:ind w:right="136"/>
              <w:jc w:val="center"/>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7"/>
                <w:w w:val="87"/>
                <w:sz w:val="24"/>
                <w:szCs w:val="24"/>
              </w:rPr>
              <w:t>专业技术职</w:t>
            </w:r>
            <w:r>
              <w:rPr>
                <w:rFonts w:hint="eastAsia" w:ascii="方正仿宋_GB2312" w:hAnsi="方正仿宋_GB2312" w:eastAsia="方正仿宋_GB2312" w:cs="方正仿宋_GB2312"/>
                <w:color w:val="auto"/>
                <w:spacing w:val="-7"/>
                <w:w w:val="91"/>
                <w:sz w:val="24"/>
                <w:szCs w:val="24"/>
              </w:rPr>
              <w:t>称</w:t>
            </w:r>
            <w:r>
              <w:rPr>
                <w:rFonts w:hint="eastAsia" w:ascii="方正仿宋_GB2312" w:hAnsi="方正仿宋_GB2312" w:eastAsia="方正仿宋_GB2312" w:cs="方正仿宋_GB2312"/>
                <w:color w:val="auto"/>
                <w:spacing w:val="37"/>
                <w:sz w:val="24"/>
                <w:szCs w:val="24"/>
              </w:rPr>
              <w:t xml:space="preserve"> </w:t>
            </w:r>
            <w:r>
              <w:rPr>
                <w:rFonts w:hint="eastAsia" w:ascii="方正仿宋_GB2312" w:hAnsi="方正仿宋_GB2312" w:eastAsia="方正仿宋_GB2312" w:cs="方正仿宋_GB2312"/>
                <w:color w:val="auto"/>
                <w:spacing w:val="-7"/>
                <w:w w:val="91"/>
                <w:sz w:val="24"/>
                <w:szCs w:val="24"/>
                <w:lang w:eastAsia="zh-CN"/>
              </w:rPr>
              <w:t>（</w:t>
            </w:r>
            <w:r>
              <w:rPr>
                <w:rFonts w:hint="eastAsia" w:ascii="方正仿宋_GB2312" w:hAnsi="方正仿宋_GB2312" w:eastAsia="方正仿宋_GB2312" w:cs="方正仿宋_GB2312"/>
                <w:color w:val="auto"/>
                <w:spacing w:val="-7"/>
                <w:w w:val="91"/>
                <w:sz w:val="24"/>
                <w:szCs w:val="24"/>
              </w:rPr>
              <w:t>职业资</w:t>
            </w:r>
            <w:r>
              <w:rPr>
                <w:rFonts w:hint="eastAsia" w:ascii="方正仿宋_GB2312" w:hAnsi="方正仿宋_GB2312" w:eastAsia="方正仿宋_GB2312" w:cs="方正仿宋_GB2312"/>
                <w:color w:val="auto"/>
                <w:spacing w:val="20"/>
                <w:sz w:val="24"/>
                <w:szCs w:val="24"/>
              </w:rPr>
              <w:t>格等级</w:t>
            </w:r>
            <w:r>
              <w:rPr>
                <w:rFonts w:hint="eastAsia" w:ascii="方正仿宋_GB2312" w:hAnsi="方正仿宋_GB2312" w:eastAsia="方正仿宋_GB2312" w:cs="方正仿宋_GB2312"/>
                <w:color w:val="auto"/>
                <w:spacing w:val="20"/>
                <w:sz w:val="24"/>
                <w:szCs w:val="24"/>
                <w:lang w:eastAsia="zh-CN"/>
              </w:rPr>
              <w:t>）</w:t>
            </w:r>
          </w:p>
        </w:tc>
      </w:tr>
      <w:tr w14:paraId="420A63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5" w:hRule="atLeast"/>
        </w:trPr>
        <w:tc>
          <w:tcPr>
            <w:tcW w:w="993" w:type="dxa"/>
            <w:vAlign w:val="center"/>
          </w:tcPr>
          <w:p w14:paraId="11E95EEC">
            <w:pPr>
              <w:spacing w:line="264" w:lineRule="auto"/>
              <w:jc w:val="center"/>
              <w:rPr>
                <w:rFonts w:hint="eastAsia" w:ascii="仿宋_GB2312" w:hAnsi="仿宋_GB2312" w:eastAsia="仿宋_GB2312" w:cs="仿宋_GB2312"/>
                <w:b w:val="0"/>
                <w:bCs w:val="0"/>
                <w:snapToGrid/>
                <w:color w:val="000000"/>
                <w:kern w:val="2"/>
                <w:sz w:val="24"/>
                <w:szCs w:val="24"/>
                <w:lang w:val="en-US" w:eastAsia="zh-CN" w:bidi="ar-SA"/>
              </w:rPr>
            </w:pPr>
            <w:r>
              <w:rPr>
                <w:rFonts w:hint="eastAsia" w:ascii="仿宋_GB2312" w:hAnsi="仿宋_GB2312" w:eastAsia="仿宋_GB2312" w:cs="仿宋_GB2312"/>
                <w:b w:val="0"/>
                <w:bCs w:val="0"/>
                <w:snapToGrid/>
                <w:color w:val="000000"/>
                <w:kern w:val="2"/>
                <w:sz w:val="24"/>
                <w:szCs w:val="24"/>
                <w:lang w:val="en-US" w:eastAsia="zh-CN" w:bidi="ar-SA"/>
              </w:rPr>
              <w:t>1</w:t>
            </w:r>
          </w:p>
        </w:tc>
        <w:tc>
          <w:tcPr>
            <w:tcW w:w="1247" w:type="dxa"/>
            <w:vAlign w:val="center"/>
          </w:tcPr>
          <w:p w14:paraId="5D21DE0E">
            <w:pPr>
              <w:spacing w:line="264" w:lineRule="auto"/>
              <w:jc w:val="center"/>
              <w:rPr>
                <w:rFonts w:hint="eastAsia" w:ascii="仿宋_GB2312" w:hAnsi="仿宋_GB2312" w:eastAsia="仿宋_GB2312" w:cs="仿宋_GB2312"/>
                <w:b w:val="0"/>
                <w:bCs w:val="0"/>
                <w:snapToGrid/>
                <w:color w:val="000000"/>
                <w:kern w:val="2"/>
                <w:sz w:val="24"/>
                <w:szCs w:val="24"/>
                <w:lang w:val="en-US" w:eastAsia="zh-CN" w:bidi="ar-SA"/>
              </w:rPr>
            </w:pPr>
            <w:r>
              <w:rPr>
                <w:rFonts w:hint="eastAsia" w:ascii="仿宋_GB2312" w:hAnsi="仿宋_GB2312" w:eastAsia="仿宋_GB2312" w:cs="仿宋_GB2312"/>
                <w:b w:val="0"/>
                <w:bCs w:val="0"/>
                <w:snapToGrid/>
                <w:color w:val="000000"/>
                <w:kern w:val="2"/>
                <w:sz w:val="24"/>
                <w:szCs w:val="24"/>
                <w:lang w:val="en-US" w:eastAsia="zh-CN" w:bidi="ar-SA"/>
              </w:rPr>
              <w:t>智慧物流</w:t>
            </w:r>
          </w:p>
        </w:tc>
        <w:tc>
          <w:tcPr>
            <w:tcW w:w="3210" w:type="dxa"/>
            <w:vAlign w:val="center"/>
          </w:tcPr>
          <w:p w14:paraId="26EF5331">
            <w:pPr>
              <w:spacing w:line="264" w:lineRule="auto"/>
              <w:jc w:val="center"/>
              <w:rPr>
                <w:rFonts w:hint="eastAsia" w:ascii="仿宋_GB2312" w:hAnsi="仿宋_GB2312" w:eastAsia="仿宋_GB2312" w:cs="仿宋_GB2312"/>
                <w:b w:val="0"/>
                <w:bCs w:val="0"/>
                <w:snapToGrid/>
                <w:color w:val="000000"/>
                <w:kern w:val="2"/>
                <w:sz w:val="24"/>
                <w:szCs w:val="24"/>
                <w:lang w:val="en-US" w:eastAsia="zh-CN" w:bidi="ar-SA"/>
              </w:rPr>
            </w:pPr>
            <w:r>
              <w:rPr>
                <w:rFonts w:hint="eastAsia" w:ascii="仿宋_GB2312" w:hAnsi="仿宋_GB2312" w:eastAsia="仿宋_GB2312" w:cs="仿宋_GB2312"/>
                <w:b w:val="0"/>
                <w:bCs w:val="0"/>
                <w:snapToGrid/>
                <w:color w:val="000000"/>
                <w:kern w:val="2"/>
                <w:sz w:val="24"/>
                <w:szCs w:val="24"/>
                <w:lang w:val="en-US" w:eastAsia="zh-CN" w:bidi="ar-SA"/>
              </w:rPr>
              <w:t>掌握智慧物流作业流程及规范；能熟练进行智慧物流作业活动；能熟练操作各种物流设施设备；掌握智慧物流作业过程的安全防护措施；较熟练的操作计算机；能进行物流规划与实施的管理活动。</w:t>
            </w:r>
          </w:p>
        </w:tc>
        <w:tc>
          <w:tcPr>
            <w:tcW w:w="1536" w:type="dxa"/>
            <w:vAlign w:val="center"/>
          </w:tcPr>
          <w:p w14:paraId="077BB5D8">
            <w:pPr>
              <w:spacing w:line="264" w:lineRule="auto"/>
              <w:jc w:val="center"/>
              <w:rPr>
                <w:rFonts w:hint="eastAsia" w:ascii="仿宋_GB2312" w:hAnsi="仿宋_GB2312" w:eastAsia="仿宋_GB2312" w:cs="仿宋_GB2312"/>
                <w:b w:val="0"/>
                <w:bCs w:val="0"/>
                <w:snapToGrid/>
                <w:color w:val="000000"/>
                <w:kern w:val="2"/>
                <w:sz w:val="24"/>
                <w:szCs w:val="24"/>
                <w:lang w:val="en-US" w:eastAsia="zh-CN" w:bidi="ar-SA"/>
              </w:rPr>
            </w:pPr>
            <w:r>
              <w:rPr>
                <w:rFonts w:hint="eastAsia" w:ascii="仿宋_GB2312" w:hAnsi="仿宋_GB2312" w:eastAsia="仿宋_GB2312" w:cs="仿宋_GB2312"/>
                <w:b w:val="0"/>
                <w:bCs w:val="0"/>
                <w:snapToGrid/>
                <w:color w:val="000000"/>
                <w:kern w:val="2"/>
                <w:sz w:val="24"/>
                <w:szCs w:val="24"/>
                <w:lang w:val="en-US" w:eastAsia="zh-CN" w:bidi="ar-SA"/>
              </w:rPr>
              <w:t>8年及以上相 关经验</w:t>
            </w:r>
          </w:p>
        </w:tc>
        <w:tc>
          <w:tcPr>
            <w:tcW w:w="1541" w:type="dxa"/>
            <w:vAlign w:val="center"/>
          </w:tcPr>
          <w:p w14:paraId="5ABDFBAB">
            <w:pPr>
              <w:spacing w:line="264" w:lineRule="auto"/>
              <w:jc w:val="center"/>
              <w:rPr>
                <w:rFonts w:hint="eastAsia" w:ascii="仿宋_GB2312" w:hAnsi="仿宋_GB2312" w:eastAsia="仿宋_GB2312" w:cs="仿宋_GB2312"/>
                <w:b w:val="0"/>
                <w:bCs w:val="0"/>
                <w:snapToGrid/>
                <w:color w:val="000000"/>
                <w:kern w:val="2"/>
                <w:sz w:val="24"/>
                <w:szCs w:val="24"/>
                <w:lang w:val="en-US" w:eastAsia="zh-CN" w:bidi="ar-SA"/>
              </w:rPr>
            </w:pPr>
            <w:r>
              <w:rPr>
                <w:rFonts w:hint="eastAsia" w:ascii="仿宋_GB2312" w:hAnsi="仿宋_GB2312" w:eastAsia="仿宋_GB2312" w:cs="仿宋_GB2312"/>
                <w:b w:val="0"/>
                <w:bCs w:val="0"/>
                <w:snapToGrid/>
                <w:color w:val="000000"/>
                <w:kern w:val="2"/>
                <w:sz w:val="24"/>
                <w:szCs w:val="24"/>
                <w:lang w:val="en-US" w:eastAsia="zh-CN" w:bidi="ar-SA"/>
              </w:rPr>
              <w:t>高级职称</w:t>
            </w:r>
          </w:p>
        </w:tc>
      </w:tr>
      <w:tr w14:paraId="1AB165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4" w:hRule="atLeast"/>
        </w:trPr>
        <w:tc>
          <w:tcPr>
            <w:tcW w:w="993" w:type="dxa"/>
            <w:vAlign w:val="center"/>
          </w:tcPr>
          <w:p w14:paraId="039C7F92">
            <w:pPr>
              <w:spacing w:line="264" w:lineRule="auto"/>
              <w:jc w:val="center"/>
              <w:rPr>
                <w:rFonts w:hint="eastAsia" w:ascii="仿宋_GB2312" w:hAnsi="仿宋_GB2312" w:eastAsia="仿宋_GB2312" w:cs="仿宋_GB2312"/>
                <w:b w:val="0"/>
                <w:bCs w:val="0"/>
                <w:snapToGrid/>
                <w:color w:val="000000"/>
                <w:kern w:val="2"/>
                <w:sz w:val="24"/>
                <w:szCs w:val="24"/>
                <w:lang w:val="en-US" w:eastAsia="zh-CN" w:bidi="ar-SA"/>
              </w:rPr>
            </w:pPr>
            <w:r>
              <w:rPr>
                <w:rFonts w:hint="eastAsia" w:ascii="仿宋_GB2312" w:hAnsi="仿宋_GB2312" w:eastAsia="仿宋_GB2312" w:cs="仿宋_GB2312"/>
                <w:b w:val="0"/>
                <w:bCs w:val="0"/>
                <w:snapToGrid/>
                <w:color w:val="000000"/>
                <w:kern w:val="2"/>
                <w:sz w:val="24"/>
                <w:szCs w:val="24"/>
                <w:lang w:val="en-US" w:eastAsia="zh-CN" w:bidi="ar-SA"/>
              </w:rPr>
              <w:t>2</w:t>
            </w:r>
          </w:p>
        </w:tc>
        <w:tc>
          <w:tcPr>
            <w:tcW w:w="1247" w:type="dxa"/>
            <w:vAlign w:val="center"/>
          </w:tcPr>
          <w:p w14:paraId="0A52BC76">
            <w:pPr>
              <w:spacing w:line="264" w:lineRule="auto"/>
              <w:jc w:val="center"/>
              <w:rPr>
                <w:rFonts w:hint="eastAsia" w:ascii="仿宋_GB2312" w:hAnsi="仿宋_GB2312" w:eastAsia="仿宋_GB2312" w:cs="仿宋_GB2312"/>
                <w:b w:val="0"/>
                <w:bCs w:val="0"/>
                <w:snapToGrid/>
                <w:color w:val="000000"/>
                <w:kern w:val="2"/>
                <w:sz w:val="24"/>
                <w:szCs w:val="24"/>
                <w:lang w:val="en-US" w:eastAsia="zh-CN" w:bidi="ar-SA"/>
              </w:rPr>
            </w:pPr>
            <w:r>
              <w:rPr>
                <w:rFonts w:hint="eastAsia" w:ascii="仿宋_GB2312" w:hAnsi="仿宋_GB2312" w:eastAsia="仿宋_GB2312" w:cs="仿宋_GB2312"/>
                <w:b w:val="0"/>
                <w:bCs w:val="0"/>
                <w:snapToGrid/>
                <w:color w:val="000000"/>
                <w:kern w:val="2"/>
                <w:sz w:val="24"/>
                <w:szCs w:val="24"/>
                <w:lang w:val="en-US" w:eastAsia="zh-CN" w:bidi="ar-SA"/>
              </w:rPr>
              <w:t>物流及企业管理</w:t>
            </w:r>
          </w:p>
        </w:tc>
        <w:tc>
          <w:tcPr>
            <w:tcW w:w="3210" w:type="dxa"/>
            <w:vAlign w:val="center"/>
          </w:tcPr>
          <w:p w14:paraId="47CC45CD">
            <w:pPr>
              <w:spacing w:line="264" w:lineRule="auto"/>
              <w:jc w:val="center"/>
              <w:rPr>
                <w:rFonts w:hint="eastAsia" w:ascii="仿宋_GB2312" w:hAnsi="仿宋_GB2312" w:eastAsia="仿宋_GB2312" w:cs="仿宋_GB2312"/>
                <w:b w:val="0"/>
                <w:bCs w:val="0"/>
                <w:snapToGrid/>
                <w:color w:val="000000"/>
                <w:kern w:val="2"/>
                <w:sz w:val="24"/>
                <w:szCs w:val="24"/>
                <w:lang w:val="en-US" w:eastAsia="zh-CN" w:bidi="ar-SA"/>
              </w:rPr>
            </w:pPr>
            <w:r>
              <w:rPr>
                <w:rFonts w:hint="eastAsia" w:ascii="仿宋_GB2312" w:hAnsi="仿宋_GB2312" w:eastAsia="仿宋_GB2312" w:cs="仿宋_GB2312"/>
                <w:b w:val="0"/>
                <w:bCs w:val="0"/>
                <w:snapToGrid/>
                <w:color w:val="000000"/>
                <w:kern w:val="2"/>
                <w:sz w:val="24"/>
                <w:szCs w:val="24"/>
                <w:lang w:val="en-US" w:eastAsia="zh-CN" w:bidi="ar-SA"/>
              </w:rPr>
              <w:t>熟悉作业质量标准、物流标准 规范、生产企业管理系统等；具 备物流生产作业计划编制、人力资源管理、过程控制和质量 管理、运作成本核算、信息处理等能力；具备组织领导能力、项目管理能力，能应对和处理突发事件。</w:t>
            </w:r>
          </w:p>
        </w:tc>
        <w:tc>
          <w:tcPr>
            <w:tcW w:w="1536" w:type="dxa"/>
            <w:vAlign w:val="center"/>
          </w:tcPr>
          <w:p w14:paraId="1128D3A4">
            <w:pPr>
              <w:spacing w:line="264" w:lineRule="auto"/>
              <w:jc w:val="center"/>
              <w:rPr>
                <w:rFonts w:hint="eastAsia" w:ascii="仿宋_GB2312" w:hAnsi="仿宋_GB2312" w:eastAsia="仿宋_GB2312" w:cs="仿宋_GB2312"/>
                <w:b w:val="0"/>
                <w:bCs w:val="0"/>
                <w:snapToGrid/>
                <w:color w:val="000000"/>
                <w:kern w:val="2"/>
                <w:sz w:val="24"/>
                <w:szCs w:val="24"/>
                <w:lang w:val="en-US" w:eastAsia="zh-CN" w:bidi="ar-SA"/>
              </w:rPr>
            </w:pPr>
            <w:r>
              <w:rPr>
                <w:rFonts w:hint="eastAsia" w:ascii="仿宋_GB2312" w:hAnsi="仿宋_GB2312" w:eastAsia="仿宋_GB2312" w:cs="仿宋_GB2312"/>
                <w:b w:val="0"/>
                <w:bCs w:val="0"/>
                <w:snapToGrid/>
                <w:color w:val="000000"/>
                <w:kern w:val="2"/>
                <w:sz w:val="24"/>
                <w:szCs w:val="24"/>
                <w:lang w:val="en-US" w:eastAsia="zh-CN" w:bidi="ar-SA"/>
              </w:rPr>
              <w:t>8年及以上相 关经验</w:t>
            </w:r>
          </w:p>
        </w:tc>
        <w:tc>
          <w:tcPr>
            <w:tcW w:w="1541" w:type="dxa"/>
            <w:vAlign w:val="center"/>
          </w:tcPr>
          <w:p w14:paraId="0325C470">
            <w:pPr>
              <w:spacing w:line="264" w:lineRule="auto"/>
              <w:jc w:val="center"/>
              <w:rPr>
                <w:rFonts w:hint="eastAsia" w:ascii="仿宋_GB2312" w:hAnsi="仿宋_GB2312" w:eastAsia="仿宋_GB2312" w:cs="仿宋_GB2312"/>
                <w:b w:val="0"/>
                <w:bCs w:val="0"/>
                <w:snapToGrid/>
                <w:color w:val="000000"/>
                <w:kern w:val="2"/>
                <w:sz w:val="24"/>
                <w:szCs w:val="24"/>
                <w:lang w:val="en-US" w:eastAsia="zh-CN" w:bidi="ar-SA"/>
              </w:rPr>
            </w:pPr>
            <w:r>
              <w:rPr>
                <w:rFonts w:hint="eastAsia" w:ascii="仿宋_GB2312" w:hAnsi="仿宋_GB2312" w:eastAsia="仿宋_GB2312" w:cs="仿宋_GB2312"/>
                <w:b w:val="0"/>
                <w:bCs w:val="0"/>
                <w:snapToGrid/>
                <w:color w:val="000000"/>
                <w:kern w:val="2"/>
                <w:sz w:val="24"/>
                <w:szCs w:val="24"/>
                <w:lang w:val="en-US" w:eastAsia="zh-CN" w:bidi="ar-SA"/>
              </w:rPr>
              <w:t>高级职称</w:t>
            </w:r>
          </w:p>
        </w:tc>
      </w:tr>
      <w:tr w14:paraId="1A8ED7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2" w:hRule="atLeast"/>
        </w:trPr>
        <w:tc>
          <w:tcPr>
            <w:tcW w:w="993" w:type="dxa"/>
            <w:vAlign w:val="center"/>
          </w:tcPr>
          <w:p w14:paraId="00533B11">
            <w:pPr>
              <w:pStyle w:val="9"/>
              <w:spacing w:before="78" w:line="180" w:lineRule="auto"/>
              <w:jc w:val="center"/>
              <w:rPr>
                <w:rFonts w:hint="eastAsia" w:ascii="仿宋_GB2312" w:hAnsi="仿宋_GB2312" w:eastAsia="仿宋_GB2312" w:cs="仿宋_GB2312"/>
                <w:b w:val="0"/>
                <w:bCs w:val="0"/>
                <w:snapToGrid/>
                <w:color w:val="000000"/>
                <w:kern w:val="2"/>
                <w:sz w:val="24"/>
                <w:szCs w:val="24"/>
                <w:lang w:val="en-US" w:eastAsia="zh-CN" w:bidi="ar-SA"/>
              </w:rPr>
            </w:pPr>
            <w:r>
              <w:rPr>
                <w:rFonts w:hint="eastAsia" w:ascii="仿宋_GB2312" w:hAnsi="仿宋_GB2312" w:eastAsia="仿宋_GB2312" w:cs="仿宋_GB2312"/>
                <w:b w:val="0"/>
                <w:bCs w:val="0"/>
                <w:snapToGrid/>
                <w:color w:val="000000"/>
                <w:kern w:val="2"/>
                <w:sz w:val="24"/>
                <w:szCs w:val="24"/>
                <w:lang w:val="en-US" w:eastAsia="zh-CN" w:bidi="ar-SA"/>
              </w:rPr>
              <w:t>3</w:t>
            </w:r>
          </w:p>
        </w:tc>
        <w:tc>
          <w:tcPr>
            <w:tcW w:w="1247" w:type="dxa"/>
            <w:vAlign w:val="center"/>
          </w:tcPr>
          <w:p w14:paraId="3D878391">
            <w:pPr>
              <w:pStyle w:val="9"/>
              <w:spacing w:before="78" w:line="258" w:lineRule="auto"/>
              <w:ind w:right="100"/>
              <w:jc w:val="center"/>
              <w:rPr>
                <w:rFonts w:hint="eastAsia" w:ascii="仿宋_GB2312" w:hAnsi="仿宋_GB2312" w:eastAsia="仿宋_GB2312" w:cs="仿宋_GB2312"/>
                <w:b w:val="0"/>
                <w:bCs w:val="0"/>
                <w:snapToGrid/>
                <w:color w:val="000000"/>
                <w:kern w:val="2"/>
                <w:sz w:val="24"/>
                <w:szCs w:val="24"/>
                <w:lang w:val="en-US" w:eastAsia="zh-CN" w:bidi="ar-SA"/>
              </w:rPr>
            </w:pPr>
            <w:r>
              <w:rPr>
                <w:rFonts w:hint="eastAsia" w:ascii="仿宋_GB2312" w:hAnsi="仿宋_GB2312" w:eastAsia="仿宋_GB2312" w:cs="仿宋_GB2312"/>
                <w:b w:val="0"/>
                <w:bCs w:val="0"/>
                <w:snapToGrid/>
                <w:color w:val="000000"/>
                <w:kern w:val="2"/>
                <w:sz w:val="24"/>
                <w:szCs w:val="24"/>
                <w:lang w:val="en-US" w:eastAsia="zh-CN" w:bidi="ar-SA"/>
              </w:rPr>
              <w:t>供应链管理</w:t>
            </w:r>
          </w:p>
        </w:tc>
        <w:tc>
          <w:tcPr>
            <w:tcW w:w="3210" w:type="dxa"/>
            <w:vAlign w:val="center"/>
          </w:tcPr>
          <w:p w14:paraId="60B1A0FE">
            <w:pPr>
              <w:pStyle w:val="9"/>
              <w:spacing w:before="204" w:line="295" w:lineRule="auto"/>
              <w:jc w:val="center"/>
              <w:rPr>
                <w:rFonts w:hint="eastAsia" w:ascii="仿宋_GB2312" w:hAnsi="仿宋_GB2312" w:eastAsia="仿宋_GB2312" w:cs="仿宋_GB2312"/>
                <w:b w:val="0"/>
                <w:bCs w:val="0"/>
                <w:snapToGrid/>
                <w:color w:val="000000"/>
                <w:kern w:val="2"/>
                <w:sz w:val="24"/>
                <w:szCs w:val="24"/>
                <w:lang w:val="en-US" w:eastAsia="zh-CN" w:bidi="ar-SA"/>
              </w:rPr>
            </w:pPr>
            <w:r>
              <w:rPr>
                <w:rFonts w:hint="eastAsia" w:ascii="仿宋_GB2312" w:hAnsi="仿宋_GB2312" w:eastAsia="仿宋_GB2312" w:cs="仿宋_GB2312"/>
                <w:b w:val="0"/>
                <w:bCs w:val="0"/>
                <w:snapToGrid/>
                <w:color w:val="000000"/>
                <w:kern w:val="2"/>
                <w:sz w:val="24"/>
                <w:szCs w:val="24"/>
                <w:lang w:val="en-US" w:eastAsia="zh-CN" w:bidi="ar-SA"/>
              </w:rPr>
              <w:t>具备先进的现代化企业管理理念和能力;熟悉生产质量标准、质量管理体系流程和生产规程等；对运营中订单、计划、选购、虚拟仓储等各个职能模块均有较深入的熟悉；了解供应商的评估和询价系统，有丰富的供应商开发和管理经验;具有丰富的选购管理、物流管理、成本掌握、质量管理等方面的经验。</w:t>
            </w:r>
          </w:p>
        </w:tc>
        <w:tc>
          <w:tcPr>
            <w:tcW w:w="1536" w:type="dxa"/>
            <w:vAlign w:val="center"/>
          </w:tcPr>
          <w:p w14:paraId="51BE4FA7">
            <w:pPr>
              <w:pStyle w:val="9"/>
              <w:spacing w:before="78" w:line="250" w:lineRule="auto"/>
              <w:ind w:right="87"/>
              <w:jc w:val="center"/>
              <w:rPr>
                <w:rFonts w:hint="eastAsia" w:ascii="仿宋_GB2312" w:hAnsi="仿宋_GB2312" w:eastAsia="仿宋_GB2312" w:cs="仿宋_GB2312"/>
                <w:b w:val="0"/>
                <w:bCs w:val="0"/>
                <w:snapToGrid/>
                <w:color w:val="000000"/>
                <w:kern w:val="2"/>
                <w:sz w:val="24"/>
                <w:szCs w:val="24"/>
                <w:lang w:val="en-US" w:eastAsia="zh-CN" w:bidi="ar-SA"/>
              </w:rPr>
            </w:pPr>
            <w:r>
              <w:rPr>
                <w:rFonts w:hint="eastAsia" w:ascii="仿宋_GB2312" w:hAnsi="仿宋_GB2312" w:eastAsia="仿宋_GB2312" w:cs="仿宋_GB2312"/>
                <w:b w:val="0"/>
                <w:bCs w:val="0"/>
                <w:snapToGrid/>
                <w:color w:val="000000"/>
                <w:kern w:val="2"/>
                <w:sz w:val="24"/>
                <w:szCs w:val="24"/>
                <w:lang w:val="en-US" w:eastAsia="zh-CN" w:bidi="ar-SA"/>
              </w:rPr>
              <w:t>8年及以上相 关经验</w:t>
            </w:r>
          </w:p>
        </w:tc>
        <w:tc>
          <w:tcPr>
            <w:tcW w:w="1541" w:type="dxa"/>
            <w:vAlign w:val="center"/>
          </w:tcPr>
          <w:p w14:paraId="4AD292E8">
            <w:pPr>
              <w:pStyle w:val="9"/>
              <w:spacing w:before="78" w:line="221" w:lineRule="auto"/>
              <w:jc w:val="center"/>
              <w:rPr>
                <w:rFonts w:hint="eastAsia" w:ascii="仿宋_GB2312" w:hAnsi="仿宋_GB2312" w:eastAsia="仿宋_GB2312" w:cs="仿宋_GB2312"/>
                <w:b w:val="0"/>
                <w:bCs w:val="0"/>
                <w:snapToGrid/>
                <w:color w:val="000000"/>
                <w:kern w:val="2"/>
                <w:sz w:val="24"/>
                <w:szCs w:val="24"/>
                <w:lang w:val="en-US" w:eastAsia="zh-CN" w:bidi="ar-SA"/>
              </w:rPr>
            </w:pPr>
            <w:r>
              <w:rPr>
                <w:rFonts w:hint="eastAsia" w:ascii="仿宋_GB2312" w:hAnsi="仿宋_GB2312" w:eastAsia="仿宋_GB2312" w:cs="仿宋_GB2312"/>
                <w:b w:val="0"/>
                <w:bCs w:val="0"/>
                <w:snapToGrid/>
                <w:color w:val="000000"/>
                <w:kern w:val="2"/>
                <w:sz w:val="24"/>
                <w:szCs w:val="24"/>
                <w:lang w:val="en-US" w:eastAsia="zh-CN" w:bidi="ar-SA"/>
              </w:rPr>
              <w:t>高级职称</w:t>
            </w:r>
          </w:p>
        </w:tc>
      </w:tr>
    </w:tbl>
    <w:p w14:paraId="3C2A557F">
      <w:pPr>
        <w:spacing w:line="303" w:lineRule="auto"/>
        <w:rPr>
          <w:rFonts w:ascii="Arial"/>
          <w:sz w:val="21"/>
        </w:rPr>
      </w:pPr>
    </w:p>
    <w:p w14:paraId="386AC5CD">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具体要求与分工如下：</w:t>
      </w:r>
    </w:p>
    <w:p w14:paraId="11E0BFFD">
      <w:pPr>
        <w:pStyle w:val="2"/>
        <w:keepNext w:val="0"/>
        <w:keepLines w:val="0"/>
        <w:pageBreakBefore w:val="0"/>
        <w:widowControl/>
        <w:numPr>
          <w:ilvl w:val="0"/>
          <w:numId w:val="2"/>
        </w:numPr>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检录工作人员负责对参赛选手进行点名登记、身份核对等工作。检录工作由赛项承办院校工作人员承担。</w:t>
      </w:r>
    </w:p>
    <w:p w14:paraId="0CD65825">
      <w:pPr>
        <w:pStyle w:val="2"/>
        <w:keepNext w:val="0"/>
        <w:keepLines w:val="0"/>
        <w:pageBreakBefore w:val="0"/>
        <w:widowControl/>
        <w:numPr>
          <w:ilvl w:val="0"/>
          <w:numId w:val="2"/>
        </w:numPr>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裁判组实行“裁判长负责制”，全面负责赛项的裁判管理工作并处理比赛中出现的争议问题。</w:t>
      </w:r>
    </w:p>
    <w:p w14:paraId="631852F9">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（3）裁判报到后实行封闭管理。比赛前通过抽签方式，确定裁判执裁工位，原则上现场裁判不能执裁同省参赛队。</w:t>
      </w:r>
    </w:p>
    <w:p w14:paraId="1AAD2E54">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（4）裁判员根据比赛需要分为加密裁判、现场裁判、评分裁判。</w:t>
      </w:r>
    </w:p>
    <w:p w14:paraId="6A41D60E">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加密裁判：负责组织参赛选手抽签，对参赛队信息、抽签号等进行加密；各赛项加密裁判由赛区执委会根据赛项要求确定。同一赛项的加密裁判来自不同单位，且不得参与评分、统分和核分工作。</w:t>
      </w:r>
    </w:p>
    <w:p w14:paraId="40E9D300">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现场裁判：按规定做好赛场记录，维护赛场纪律，评判参赛选手的现场作业情况。</w:t>
      </w:r>
    </w:p>
    <w:p w14:paraId="6B0D7C1A">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评分裁判：负责对参赛选手的成果文件按赛项评分标准进行评定，并负责核分和统分工作。</w:t>
      </w:r>
    </w:p>
    <w:p w14:paraId="15A529BF">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（5）监督仲裁组对裁判组的工作进行全程监督，并对竞赛成绩抽检复核。</w:t>
      </w:r>
    </w:p>
    <w:p w14:paraId="4C528C14">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（6）监督仲裁组负责接受由参赛队领队提出的对裁判结果的申诉,组织复议并及时反馈复议结果。</w:t>
      </w:r>
    </w:p>
    <w:p w14:paraId="073AB515">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3" w:firstLineChars="200"/>
        <w:jc w:val="both"/>
        <w:textAlignment w:val="baseline"/>
        <w:rPr>
          <w:rFonts w:hint="eastAsia" w:ascii="仿宋_GB2312" w:hAnsi="仿宋_GB2312" w:eastAsia="仿宋_GB2312" w:cs="仿宋_GB2312"/>
          <w:b/>
          <w:bCs/>
          <w:snapToGrid/>
          <w:kern w:val="2"/>
          <w:sz w:val="32"/>
          <w:szCs w:val="32"/>
          <w:lang w:val="en-US" w:eastAsia="zh-CN" w:bidi="ar-SA"/>
        </w:rPr>
      </w:pPr>
      <w:r>
        <w:rPr>
          <w:rFonts w:hint="eastAsia" w:ascii="仿宋_GB2312" w:hAnsi="仿宋_GB2312" w:eastAsia="仿宋_GB2312" w:cs="仿宋_GB2312"/>
          <w:b/>
          <w:bCs/>
          <w:snapToGrid/>
          <w:kern w:val="2"/>
          <w:sz w:val="32"/>
          <w:szCs w:val="32"/>
          <w:lang w:val="en-US" w:eastAsia="zh-CN" w:bidi="ar-SA"/>
        </w:rPr>
        <w:t>3.成绩管理程序</w:t>
      </w:r>
    </w:p>
    <w:p w14:paraId="22D23D26">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按照全国职业院校技能大赛执委会的明确要求，参赛选手的成绩评定与管理按照严密的程序进行，见成绩管理流程图。</w:t>
      </w:r>
    </w:p>
    <w:p w14:paraId="3D5CBA94">
      <w:pPr>
        <w:spacing w:before="104" w:line="4764" w:lineRule="exact"/>
        <w:ind w:firstLine="1305"/>
      </w:pPr>
      <w:r>
        <w:rPr>
          <w:position w:val="-95"/>
        </w:rPr>
        <w:drawing>
          <wp:inline distT="0" distB="0" distL="0" distR="0">
            <wp:extent cx="3989705" cy="302514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0"/>
                    <a:stretch>
                      <a:fillRect/>
                    </a:stretch>
                  </pic:blipFill>
                  <pic:spPr>
                    <a:xfrm>
                      <a:off x="0" y="0"/>
                      <a:ext cx="3989832" cy="3025140"/>
                    </a:xfrm>
                    <a:prstGeom prst="rect">
                      <a:avLst/>
                    </a:prstGeom>
                  </pic:spPr>
                </pic:pic>
              </a:graphicData>
            </a:graphic>
          </wp:inline>
        </w:drawing>
      </w:r>
    </w:p>
    <w:p w14:paraId="08C82E6B">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3" w:firstLineChars="200"/>
        <w:jc w:val="both"/>
        <w:textAlignment w:val="baseline"/>
        <w:rPr>
          <w:rFonts w:hint="eastAsia" w:ascii="仿宋_GB2312" w:hAnsi="仿宋_GB2312" w:eastAsia="仿宋_GB2312" w:cs="仿宋_GB2312"/>
          <w:b/>
          <w:bCs/>
          <w:snapToGrid/>
          <w:kern w:val="2"/>
          <w:sz w:val="32"/>
          <w:szCs w:val="32"/>
          <w:lang w:val="en-US" w:eastAsia="zh-CN" w:bidi="ar-SA"/>
        </w:rPr>
      </w:pPr>
      <w:r>
        <w:rPr>
          <w:rFonts w:hint="eastAsia" w:ascii="仿宋_GB2312" w:hAnsi="仿宋_GB2312" w:eastAsia="仿宋_GB2312" w:cs="仿宋_GB2312"/>
          <w:b/>
          <w:bCs/>
          <w:snapToGrid/>
          <w:kern w:val="2"/>
          <w:sz w:val="32"/>
          <w:szCs w:val="32"/>
          <w:lang w:val="en-US" w:eastAsia="zh-CN" w:bidi="ar-SA"/>
        </w:rPr>
        <w:t>4.成绩评分</w:t>
      </w:r>
    </w:p>
    <w:p w14:paraId="22644E60">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（1）过程评判</w:t>
      </w:r>
    </w:p>
    <w:p w14:paraId="229DFF0E">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现场裁判依据现场评判表进行评判。评判结果由裁判员、裁判长签字确认。</w:t>
      </w:r>
    </w:p>
    <w:p w14:paraId="0DFFF1FA">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（2）结果评判</w:t>
      </w:r>
    </w:p>
    <w:p w14:paraId="7377318B">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评分裁判根据参赛队提交的成果文件，依据评分标准进行评分、统分和核分。</w:t>
      </w:r>
    </w:p>
    <w:p w14:paraId="1CAE02EE">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（3）解密</w:t>
      </w:r>
    </w:p>
    <w:p w14:paraId="292AC7BF">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在监督仲裁组监督下，由裁判长指定解密裁判启封检录抽签一次加密档案，找出各参赛队与场次工位对应关系；将竞赛结果分别由场次工位号转换为参赛队，然后进行分值排序，打印封装。</w:t>
      </w:r>
    </w:p>
    <w:p w14:paraId="2F9EE4A0">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（4）总成绩排序</w:t>
      </w:r>
    </w:p>
    <w:p w14:paraId="3E7E5EBB">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总成绩=物流职业素养测试成绩×15%+智慧物流系统规划仿真与方案设计成绩×60%+方案汇报答辩成绩×25%。</w:t>
      </w:r>
    </w:p>
    <w:p w14:paraId="13AF7703">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总成绩保留到小数点后两位，由高到低排序。竞赛成绩相同时，按智慧物流系统规划仿真与方案设计模块成绩进行排序确定；竞赛成绩再相同时，按方案汇报答辩成绩进行排序确定。</w:t>
      </w:r>
    </w:p>
    <w:p w14:paraId="56BE1F4A">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（5）抽检复核</w:t>
      </w:r>
    </w:p>
    <w:p w14:paraId="47FBAC45">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为保障成绩统计的准确性，监督仲裁组对赛项总成绩排名前30%的所有参赛队伍的成绩进行复核；对其余成绩进行抽检复核，抽检覆盖率不得低于15%。监督仲裁组将复检中发现的错误通过书面方式及时告知裁判长，由裁判长更正成绩并签字确认。错误率超过5%的，则认定为非小概率事件，裁判组需对所有成绩进行复核。</w:t>
      </w:r>
    </w:p>
    <w:p w14:paraId="6303231D">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3" w:firstLineChars="200"/>
        <w:jc w:val="both"/>
        <w:textAlignment w:val="baseline"/>
        <w:rPr>
          <w:rFonts w:hint="eastAsia" w:ascii="仿宋_GB2312" w:hAnsi="仿宋_GB2312" w:eastAsia="仿宋_GB2312" w:cs="仿宋_GB2312"/>
          <w:b/>
          <w:bCs/>
          <w:snapToGrid/>
          <w:kern w:val="2"/>
          <w:sz w:val="32"/>
          <w:szCs w:val="32"/>
          <w:lang w:val="en-US" w:eastAsia="zh-CN" w:bidi="ar-SA"/>
        </w:rPr>
      </w:pPr>
      <w:r>
        <w:rPr>
          <w:rFonts w:hint="eastAsia" w:ascii="仿宋_GB2312" w:hAnsi="仿宋_GB2312" w:eastAsia="仿宋_GB2312" w:cs="仿宋_GB2312"/>
          <w:b/>
          <w:bCs/>
          <w:snapToGrid/>
          <w:kern w:val="2"/>
          <w:sz w:val="32"/>
          <w:szCs w:val="32"/>
          <w:lang w:val="en-US" w:eastAsia="zh-CN" w:bidi="ar-SA"/>
        </w:rPr>
        <w:t>5.成绩公布</w:t>
      </w:r>
    </w:p>
    <w:p w14:paraId="4E387DE1">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（1）公示。竞赛成绩在所有竞赛完毕2小时后公示。所有竞赛结束后记分员将解密后的各参赛队成绩汇总成最终成绩单，经裁判长、监督仲裁长签字后进行公示。</w:t>
      </w:r>
    </w:p>
    <w:p w14:paraId="60835CDB">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（2）录入。成绩公示2小时无异议后，由赛务信息员将赛项总成绩的最终结果录入赛务管理系统。</w:t>
      </w:r>
    </w:p>
    <w:p w14:paraId="71D45CCB">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（3）审核。赛务信息员对成绩数据审核后，将赛务系统中录入的成绩导出打印，经裁判长、监督仲裁长审核签字。</w:t>
      </w:r>
    </w:p>
    <w:p w14:paraId="2AEF77D0">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（4）公布。由裁判长在闭幕式上宣布最终竞赛成绩。</w:t>
      </w:r>
    </w:p>
    <w:p w14:paraId="129E6861">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（5）报送。由赛务信息员将签字的纸质打印成绩单报送赛项执委会和大赛执委会办公室。</w:t>
      </w:r>
    </w:p>
    <w:p w14:paraId="051970C9">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（二）评分方法</w:t>
      </w:r>
    </w:p>
    <w:p w14:paraId="085FFC42">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本次竞赛设立裁判组，由1名裁判长、若干名裁判员组成。裁判长负责组织裁判员培训、安排裁判员分工、开展技术点评。裁判员按照公平工作原则和裁判组分工，承担比赛执裁和评分工作，本着廉洁、诚信 的原则履行职责，确保大赛公平、公正、公开、透明。</w:t>
      </w:r>
    </w:p>
    <w:p w14:paraId="212B543C">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设立各模块裁判小组，严格按照评分细则进行评分，最后进行成绩汇总，并由小组组长审核确认签字，移交裁判长。由裁判长指定其中2名裁判员，对分数复查确认，最终生成参赛选手总成绩表，由裁判长及监督仲裁长签字确认后移交竞赛组委会。</w:t>
      </w:r>
    </w:p>
    <w:p w14:paraId="365C7814">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40" w:lineRule="exact"/>
        <w:ind w:left="697"/>
        <w:textAlignment w:val="baseline"/>
        <w:outlineLvl w:val="1"/>
        <w:rPr>
          <w:rFonts w:hint="eastAsia" w:ascii="方正仿宋_GB2312" w:hAnsi="方正仿宋_GB2312" w:eastAsia="方正仿宋_GB2312" w:cs="方正仿宋_GB2312"/>
          <w:color w:val="auto"/>
          <w:spacing w:val="0"/>
          <w:w w:val="100"/>
          <w:position w:val="-1"/>
          <w:sz w:val="28"/>
          <w:szCs w:val="28"/>
        </w:rPr>
      </w:pPr>
      <w:r>
        <w:rPr>
          <w:rFonts w:hint="eastAsia" w:ascii="楷体_GB2312" w:hAnsi="楷体_GB2312" w:eastAsia="楷体_GB2312" w:cs="楷体_GB2312"/>
          <w:snapToGrid/>
          <w:kern w:val="2"/>
          <w:sz w:val="32"/>
          <w:szCs w:val="32"/>
          <w:lang w:val="en-US" w:eastAsia="zh-CN"/>
        </w:rPr>
        <w:t>（三） 评分细则</w:t>
      </w:r>
    </w:p>
    <w:p w14:paraId="015EEB57">
      <w:pPr>
        <w:spacing w:before="232" w:line="221" w:lineRule="auto"/>
        <w:ind w:left="2342"/>
        <w:rPr>
          <w:rFonts w:ascii="黑体" w:hAnsi="黑体" w:eastAsia="黑体" w:cs="黑体"/>
          <w:sz w:val="24"/>
          <w:szCs w:val="24"/>
        </w:rPr>
      </w:pPr>
      <w:r>
        <w:rPr>
          <w:rFonts w:ascii="黑体" w:hAnsi="黑体" w:eastAsia="黑体" w:cs="黑体"/>
          <w:spacing w:val="-7"/>
          <w:sz w:val="24"/>
          <w:szCs w:val="24"/>
        </w:rPr>
        <w:t>表</w:t>
      </w:r>
      <w:r>
        <w:rPr>
          <w:rFonts w:ascii="黑体" w:hAnsi="黑体" w:eastAsia="黑体" w:cs="黑体"/>
          <w:spacing w:val="-28"/>
          <w:sz w:val="24"/>
          <w:szCs w:val="24"/>
        </w:rPr>
        <w:t xml:space="preserve"> </w:t>
      </w:r>
      <w:r>
        <w:rPr>
          <w:rFonts w:ascii="黑体" w:hAnsi="黑体" w:eastAsia="黑体" w:cs="黑体"/>
          <w:spacing w:val="-7"/>
          <w:sz w:val="24"/>
          <w:szCs w:val="24"/>
        </w:rPr>
        <w:t>1 物流职业素养测试模块评分细则</w:t>
      </w:r>
    </w:p>
    <w:p w14:paraId="62BB431B">
      <w:pPr>
        <w:spacing w:line="127" w:lineRule="exact"/>
      </w:pPr>
    </w:p>
    <w:tbl>
      <w:tblPr>
        <w:tblStyle w:val="8"/>
        <w:tblW w:w="852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34"/>
        <w:gridCol w:w="1628"/>
        <w:gridCol w:w="3731"/>
        <w:gridCol w:w="1534"/>
      </w:tblGrid>
      <w:tr w14:paraId="4E332F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1634" w:type="dxa"/>
            <w:vAlign w:val="center"/>
          </w:tcPr>
          <w:p w14:paraId="7D11AD7A">
            <w:pPr>
              <w:spacing w:before="73" w:line="293" w:lineRule="exact"/>
              <w:ind w:left="559"/>
              <w:jc w:val="both"/>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5"/>
                <w:w w:val="95"/>
                <w:position w:val="-1"/>
                <w:sz w:val="24"/>
                <w:szCs w:val="24"/>
              </w:rPr>
              <w:t>序号</w:t>
            </w:r>
          </w:p>
        </w:tc>
        <w:tc>
          <w:tcPr>
            <w:tcW w:w="1628" w:type="dxa"/>
            <w:vAlign w:val="center"/>
          </w:tcPr>
          <w:p w14:paraId="290B3C01">
            <w:pPr>
              <w:spacing w:before="72" w:line="295" w:lineRule="exact"/>
              <w:ind w:left="315"/>
              <w:jc w:val="both"/>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4"/>
                <w:w w:val="89"/>
                <w:position w:val="-1"/>
                <w:sz w:val="24"/>
                <w:szCs w:val="24"/>
              </w:rPr>
              <w:t>评分指标</w:t>
            </w:r>
          </w:p>
        </w:tc>
        <w:tc>
          <w:tcPr>
            <w:tcW w:w="3731" w:type="dxa"/>
            <w:vAlign w:val="center"/>
          </w:tcPr>
          <w:p w14:paraId="4C6FC402">
            <w:pPr>
              <w:spacing w:before="72" w:line="294" w:lineRule="exact"/>
              <w:ind w:left="1372"/>
              <w:jc w:val="both"/>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5"/>
                <w:w w:val="88"/>
                <w:position w:val="-1"/>
                <w:sz w:val="24"/>
                <w:szCs w:val="24"/>
              </w:rPr>
              <w:t>评分细则</w:t>
            </w:r>
          </w:p>
        </w:tc>
        <w:tc>
          <w:tcPr>
            <w:tcW w:w="1534" w:type="dxa"/>
            <w:vAlign w:val="center"/>
          </w:tcPr>
          <w:p w14:paraId="44F73BC9">
            <w:pPr>
              <w:spacing w:before="72" w:line="293" w:lineRule="exact"/>
              <w:ind w:left="518"/>
              <w:jc w:val="both"/>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4"/>
                <w:w w:val="95"/>
                <w:position w:val="-1"/>
                <w:sz w:val="24"/>
                <w:szCs w:val="24"/>
              </w:rPr>
              <w:t>分值</w:t>
            </w:r>
          </w:p>
        </w:tc>
      </w:tr>
      <w:tr w14:paraId="29BA4C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1634" w:type="dxa"/>
            <w:vAlign w:val="center"/>
          </w:tcPr>
          <w:p w14:paraId="019D8762">
            <w:pPr>
              <w:pStyle w:val="9"/>
              <w:spacing w:before="161" w:line="178" w:lineRule="auto"/>
              <w:ind w:left="802"/>
              <w:jc w:val="both"/>
            </w:pPr>
            <w:r>
              <w:t>1</w:t>
            </w:r>
          </w:p>
        </w:tc>
        <w:tc>
          <w:tcPr>
            <w:tcW w:w="1628" w:type="dxa"/>
            <w:vAlign w:val="center"/>
          </w:tcPr>
          <w:p w14:paraId="6C1CB718">
            <w:pPr>
              <w:pStyle w:val="9"/>
              <w:spacing w:before="121" w:line="209" w:lineRule="auto"/>
              <w:ind w:left="486"/>
              <w:jc w:val="both"/>
            </w:pPr>
            <w:r>
              <w:rPr>
                <w:spacing w:val="-10"/>
              </w:rPr>
              <w:t>判断题</w:t>
            </w:r>
          </w:p>
        </w:tc>
        <w:tc>
          <w:tcPr>
            <w:tcW w:w="3731" w:type="dxa"/>
            <w:vAlign w:val="center"/>
          </w:tcPr>
          <w:p w14:paraId="25B47BF7">
            <w:pPr>
              <w:pStyle w:val="9"/>
              <w:spacing w:before="121" w:line="209" w:lineRule="auto"/>
              <w:ind w:left="138"/>
              <w:jc w:val="center"/>
            </w:pPr>
            <w:r>
              <w:rPr>
                <w:spacing w:val="-8"/>
              </w:rPr>
              <w:t>共20题，每题</w:t>
            </w:r>
            <w:r>
              <w:rPr>
                <w:spacing w:val="-57"/>
              </w:rPr>
              <w:t xml:space="preserve"> </w:t>
            </w:r>
            <w:r>
              <w:rPr>
                <w:spacing w:val="-8"/>
              </w:rPr>
              <w:t>1分。</w:t>
            </w:r>
          </w:p>
        </w:tc>
        <w:tc>
          <w:tcPr>
            <w:tcW w:w="1534" w:type="dxa"/>
            <w:vAlign w:val="center"/>
          </w:tcPr>
          <w:p w14:paraId="108C2FEF">
            <w:pPr>
              <w:pStyle w:val="9"/>
              <w:spacing w:before="162" w:line="177" w:lineRule="auto"/>
              <w:ind w:left="672"/>
              <w:jc w:val="both"/>
            </w:pPr>
            <w:r>
              <w:rPr>
                <w:spacing w:val="-6"/>
              </w:rPr>
              <w:t>20</w:t>
            </w:r>
          </w:p>
        </w:tc>
      </w:tr>
      <w:tr w14:paraId="0BBBC6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634" w:type="dxa"/>
            <w:vAlign w:val="center"/>
          </w:tcPr>
          <w:p w14:paraId="4BD76601">
            <w:pPr>
              <w:pStyle w:val="9"/>
              <w:spacing w:before="162" w:line="178" w:lineRule="auto"/>
              <w:ind w:left="782"/>
              <w:jc w:val="both"/>
            </w:pPr>
            <w:r>
              <w:t>2</w:t>
            </w:r>
          </w:p>
        </w:tc>
        <w:tc>
          <w:tcPr>
            <w:tcW w:w="1628" w:type="dxa"/>
            <w:vAlign w:val="center"/>
          </w:tcPr>
          <w:p w14:paraId="424693F0">
            <w:pPr>
              <w:pStyle w:val="9"/>
              <w:spacing w:before="123" w:line="208" w:lineRule="auto"/>
              <w:ind w:left="485"/>
              <w:jc w:val="both"/>
            </w:pPr>
            <w:r>
              <w:rPr>
                <w:spacing w:val="-10"/>
              </w:rPr>
              <w:t>单选题</w:t>
            </w:r>
          </w:p>
        </w:tc>
        <w:tc>
          <w:tcPr>
            <w:tcW w:w="3731" w:type="dxa"/>
            <w:vAlign w:val="center"/>
          </w:tcPr>
          <w:p w14:paraId="6A5D3266">
            <w:pPr>
              <w:pStyle w:val="9"/>
              <w:spacing w:before="123" w:line="208" w:lineRule="auto"/>
              <w:ind w:left="138"/>
              <w:jc w:val="center"/>
            </w:pPr>
            <w:r>
              <w:rPr>
                <w:spacing w:val="-12"/>
              </w:rPr>
              <w:t>共</w:t>
            </w:r>
            <w:r>
              <w:rPr>
                <w:spacing w:val="-65"/>
              </w:rPr>
              <w:t xml:space="preserve"> </w:t>
            </w:r>
            <w:r>
              <w:rPr>
                <w:spacing w:val="-12"/>
              </w:rPr>
              <w:t>50题，每题</w:t>
            </w:r>
            <w:r>
              <w:rPr>
                <w:spacing w:val="-65"/>
              </w:rPr>
              <w:t xml:space="preserve"> </w:t>
            </w:r>
            <w:r>
              <w:rPr>
                <w:spacing w:val="-12"/>
              </w:rPr>
              <w:t>1分。</w:t>
            </w:r>
          </w:p>
        </w:tc>
        <w:tc>
          <w:tcPr>
            <w:tcW w:w="1534" w:type="dxa"/>
            <w:vAlign w:val="center"/>
          </w:tcPr>
          <w:p w14:paraId="60100303">
            <w:pPr>
              <w:pStyle w:val="9"/>
              <w:spacing w:before="165" w:line="176" w:lineRule="auto"/>
              <w:ind w:left="679"/>
              <w:jc w:val="both"/>
            </w:pPr>
            <w:r>
              <w:rPr>
                <w:spacing w:val="-7"/>
              </w:rPr>
              <w:t>50</w:t>
            </w:r>
          </w:p>
        </w:tc>
      </w:tr>
      <w:tr w14:paraId="61451A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634" w:type="dxa"/>
            <w:vAlign w:val="center"/>
          </w:tcPr>
          <w:p w14:paraId="3A5952C1">
            <w:pPr>
              <w:pStyle w:val="9"/>
              <w:spacing w:before="166" w:line="175" w:lineRule="auto"/>
              <w:ind w:left="794"/>
              <w:jc w:val="both"/>
            </w:pPr>
            <w:r>
              <w:t>3</w:t>
            </w:r>
          </w:p>
        </w:tc>
        <w:tc>
          <w:tcPr>
            <w:tcW w:w="1628" w:type="dxa"/>
            <w:vAlign w:val="center"/>
          </w:tcPr>
          <w:p w14:paraId="55833A41">
            <w:pPr>
              <w:pStyle w:val="9"/>
              <w:spacing w:before="127" w:line="205" w:lineRule="auto"/>
              <w:ind w:left="499"/>
              <w:jc w:val="both"/>
            </w:pPr>
            <w:r>
              <w:rPr>
                <w:spacing w:val="-14"/>
              </w:rPr>
              <w:t>多选题</w:t>
            </w:r>
          </w:p>
        </w:tc>
        <w:tc>
          <w:tcPr>
            <w:tcW w:w="3731" w:type="dxa"/>
            <w:vAlign w:val="center"/>
          </w:tcPr>
          <w:p w14:paraId="1059ACD6">
            <w:pPr>
              <w:pStyle w:val="9"/>
              <w:spacing w:before="127" w:line="205" w:lineRule="auto"/>
              <w:ind w:left="138"/>
              <w:jc w:val="center"/>
            </w:pPr>
            <w:r>
              <w:rPr>
                <w:spacing w:val="-8"/>
              </w:rPr>
              <w:t>共20题，每题</w:t>
            </w:r>
            <w:r>
              <w:rPr>
                <w:spacing w:val="-57"/>
              </w:rPr>
              <w:t xml:space="preserve"> </w:t>
            </w:r>
            <w:r>
              <w:rPr>
                <w:spacing w:val="-8"/>
              </w:rPr>
              <w:t>1分。</w:t>
            </w:r>
          </w:p>
        </w:tc>
        <w:tc>
          <w:tcPr>
            <w:tcW w:w="1534" w:type="dxa"/>
            <w:vAlign w:val="center"/>
          </w:tcPr>
          <w:p w14:paraId="01CF9F4D">
            <w:pPr>
              <w:pStyle w:val="9"/>
              <w:spacing w:before="166" w:line="175" w:lineRule="auto"/>
              <w:ind w:left="672"/>
              <w:jc w:val="both"/>
            </w:pPr>
            <w:r>
              <w:rPr>
                <w:spacing w:val="-6"/>
              </w:rPr>
              <w:t>20</w:t>
            </w:r>
          </w:p>
        </w:tc>
      </w:tr>
      <w:tr w14:paraId="4D9BBC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1634" w:type="dxa"/>
            <w:vAlign w:val="center"/>
          </w:tcPr>
          <w:p w14:paraId="31C8B6F1">
            <w:pPr>
              <w:pStyle w:val="9"/>
              <w:spacing w:before="166" w:line="173" w:lineRule="auto"/>
              <w:ind w:left="778"/>
              <w:jc w:val="both"/>
            </w:pPr>
            <w:r>
              <w:t>4</w:t>
            </w:r>
          </w:p>
        </w:tc>
        <w:tc>
          <w:tcPr>
            <w:tcW w:w="1628" w:type="dxa"/>
            <w:vAlign w:val="center"/>
          </w:tcPr>
          <w:p w14:paraId="2D66E97C">
            <w:pPr>
              <w:pStyle w:val="9"/>
              <w:spacing w:before="124" w:line="205" w:lineRule="auto"/>
              <w:ind w:left="245"/>
              <w:jc w:val="both"/>
            </w:pPr>
            <w:r>
              <w:rPr>
                <w:spacing w:val="-9"/>
              </w:rPr>
              <w:t>综合实务题</w:t>
            </w:r>
          </w:p>
        </w:tc>
        <w:tc>
          <w:tcPr>
            <w:tcW w:w="3731" w:type="dxa"/>
            <w:vAlign w:val="center"/>
          </w:tcPr>
          <w:p w14:paraId="28877FFC">
            <w:pPr>
              <w:pStyle w:val="9"/>
              <w:spacing w:before="124" w:line="205" w:lineRule="auto"/>
              <w:ind w:left="138"/>
              <w:jc w:val="center"/>
            </w:pPr>
            <w:r>
              <w:rPr>
                <w:spacing w:val="-13"/>
              </w:rPr>
              <w:t>共</w:t>
            </w:r>
            <w:r>
              <w:rPr>
                <w:spacing w:val="-55"/>
              </w:rPr>
              <w:t xml:space="preserve"> </w:t>
            </w:r>
            <w:r>
              <w:rPr>
                <w:spacing w:val="-13"/>
              </w:rPr>
              <w:t>10题，每题</w:t>
            </w:r>
            <w:r>
              <w:rPr>
                <w:spacing w:val="-65"/>
              </w:rPr>
              <w:t xml:space="preserve"> </w:t>
            </w:r>
            <w:r>
              <w:rPr>
                <w:spacing w:val="-13"/>
              </w:rPr>
              <w:t>1分。</w:t>
            </w:r>
          </w:p>
        </w:tc>
        <w:tc>
          <w:tcPr>
            <w:tcW w:w="1534" w:type="dxa"/>
            <w:vAlign w:val="center"/>
          </w:tcPr>
          <w:p w14:paraId="132AD238">
            <w:pPr>
              <w:pStyle w:val="9"/>
              <w:spacing w:before="164" w:line="174" w:lineRule="auto"/>
              <w:ind w:left="694"/>
              <w:jc w:val="both"/>
            </w:pPr>
            <w:r>
              <w:rPr>
                <w:spacing w:val="-14"/>
              </w:rPr>
              <w:t>10</w:t>
            </w:r>
          </w:p>
        </w:tc>
      </w:tr>
      <w:tr w14:paraId="202157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6993" w:type="dxa"/>
            <w:gridSpan w:val="3"/>
            <w:vAlign w:val="center"/>
          </w:tcPr>
          <w:p w14:paraId="37D8C784">
            <w:pPr>
              <w:pStyle w:val="9"/>
              <w:spacing w:before="130" w:line="208" w:lineRule="auto"/>
              <w:ind w:left="3289"/>
              <w:jc w:val="both"/>
            </w:pPr>
            <w:r>
              <w:rPr>
                <w:spacing w:val="-12"/>
              </w:rPr>
              <w:t>合计</w:t>
            </w:r>
          </w:p>
        </w:tc>
        <w:tc>
          <w:tcPr>
            <w:tcW w:w="1534" w:type="dxa"/>
            <w:vAlign w:val="center"/>
          </w:tcPr>
          <w:p w14:paraId="38F9FDD4">
            <w:pPr>
              <w:pStyle w:val="9"/>
              <w:spacing w:before="169" w:line="178" w:lineRule="auto"/>
              <w:ind w:left="634"/>
              <w:jc w:val="both"/>
            </w:pPr>
            <w:r>
              <w:rPr>
                <w:spacing w:val="-10"/>
              </w:rPr>
              <w:t>100</w:t>
            </w:r>
          </w:p>
        </w:tc>
      </w:tr>
    </w:tbl>
    <w:p w14:paraId="2358F6DF">
      <w:pPr>
        <w:spacing w:before="206" w:line="221" w:lineRule="auto"/>
        <w:ind w:left="1982"/>
        <w:rPr>
          <w:rFonts w:ascii="黑体" w:hAnsi="黑体" w:eastAsia="黑体" w:cs="黑体"/>
          <w:sz w:val="24"/>
          <w:szCs w:val="24"/>
        </w:rPr>
      </w:pPr>
      <w:r>
        <w:rPr>
          <w:rFonts w:ascii="黑体" w:hAnsi="黑体" w:eastAsia="黑体" w:cs="黑体"/>
          <w:spacing w:val="-2"/>
          <w:sz w:val="24"/>
          <w:szCs w:val="24"/>
        </w:rPr>
        <w:t xml:space="preserve">表2 </w:t>
      </w:r>
      <w:r>
        <w:rPr>
          <w:rFonts w:hint="eastAsia" w:ascii="黑体" w:hAnsi="黑体" w:eastAsia="黑体" w:cs="黑体"/>
          <w:spacing w:val="-2"/>
          <w:sz w:val="24"/>
          <w:szCs w:val="24"/>
          <w:lang w:eastAsia="zh-CN"/>
        </w:rPr>
        <w:t>智慧物流系统规划仿真与方案设计</w:t>
      </w:r>
      <w:r>
        <w:rPr>
          <w:rFonts w:ascii="黑体" w:hAnsi="黑体" w:eastAsia="黑体" w:cs="黑体"/>
          <w:spacing w:val="-2"/>
          <w:sz w:val="24"/>
          <w:szCs w:val="24"/>
        </w:rPr>
        <w:t>模块评分细则</w:t>
      </w:r>
    </w:p>
    <w:p w14:paraId="3FD0F103">
      <w:pPr>
        <w:spacing w:line="130" w:lineRule="exact"/>
      </w:pPr>
    </w:p>
    <w:tbl>
      <w:tblPr>
        <w:tblStyle w:val="8"/>
        <w:tblW w:w="8340" w:type="dxa"/>
        <w:tblInd w:w="9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1"/>
        <w:gridCol w:w="1599"/>
        <w:gridCol w:w="4257"/>
        <w:gridCol w:w="808"/>
        <w:gridCol w:w="815"/>
      </w:tblGrid>
      <w:tr w14:paraId="11A31D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861" w:type="dxa"/>
            <w:vAlign w:val="center"/>
          </w:tcPr>
          <w:p w14:paraId="10A479AD">
            <w:pPr>
              <w:spacing w:before="90" w:line="293" w:lineRule="exact"/>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5"/>
                <w:w w:val="95"/>
                <w:position w:val="-1"/>
                <w:sz w:val="24"/>
                <w:szCs w:val="24"/>
              </w:rPr>
              <w:t>序号</w:t>
            </w:r>
          </w:p>
        </w:tc>
        <w:tc>
          <w:tcPr>
            <w:tcW w:w="1599" w:type="dxa"/>
            <w:vAlign w:val="center"/>
          </w:tcPr>
          <w:p w14:paraId="0B68B63B">
            <w:pPr>
              <w:spacing w:before="89" w:line="295" w:lineRule="exact"/>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5"/>
                <w:w w:val="90"/>
                <w:position w:val="-1"/>
                <w:sz w:val="24"/>
                <w:szCs w:val="24"/>
              </w:rPr>
              <w:t>评价指标</w:t>
            </w:r>
          </w:p>
        </w:tc>
        <w:tc>
          <w:tcPr>
            <w:tcW w:w="4257" w:type="dxa"/>
            <w:vAlign w:val="center"/>
          </w:tcPr>
          <w:p w14:paraId="7A542246">
            <w:pPr>
              <w:spacing w:before="89" w:line="294" w:lineRule="exact"/>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5"/>
                <w:w w:val="89"/>
                <w:position w:val="-1"/>
                <w:sz w:val="24"/>
                <w:szCs w:val="24"/>
              </w:rPr>
              <w:t>评分细则</w:t>
            </w:r>
          </w:p>
        </w:tc>
        <w:tc>
          <w:tcPr>
            <w:tcW w:w="808" w:type="dxa"/>
            <w:vAlign w:val="center"/>
          </w:tcPr>
          <w:p w14:paraId="4FD69417">
            <w:pPr>
              <w:spacing w:before="90" w:line="293" w:lineRule="exact"/>
              <w:ind w:left="155"/>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4"/>
                <w:w w:val="94"/>
                <w:position w:val="-1"/>
                <w:sz w:val="24"/>
                <w:szCs w:val="24"/>
              </w:rPr>
              <w:t>分值</w:t>
            </w:r>
          </w:p>
        </w:tc>
        <w:tc>
          <w:tcPr>
            <w:tcW w:w="815" w:type="dxa"/>
            <w:vAlign w:val="center"/>
          </w:tcPr>
          <w:p w14:paraId="26AB93CF">
            <w:pPr>
              <w:spacing w:before="93" w:line="289" w:lineRule="exact"/>
              <w:ind w:left="153"/>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7"/>
                <w:w w:val="97"/>
                <w:position w:val="-1"/>
                <w:sz w:val="24"/>
                <w:szCs w:val="24"/>
              </w:rPr>
              <w:t>小计</w:t>
            </w:r>
          </w:p>
        </w:tc>
      </w:tr>
      <w:tr w14:paraId="4BD44C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61" w:type="dxa"/>
            <w:vMerge w:val="restart"/>
            <w:tcBorders>
              <w:bottom w:val="nil"/>
            </w:tcBorders>
            <w:vAlign w:val="center"/>
          </w:tcPr>
          <w:p w14:paraId="21008A82">
            <w:pPr>
              <w:pStyle w:val="9"/>
              <w:spacing w:before="78" w:line="181" w:lineRule="auto"/>
              <w:jc w:val="center"/>
            </w:pPr>
            <w:r>
              <w:t>1</w:t>
            </w:r>
          </w:p>
        </w:tc>
        <w:tc>
          <w:tcPr>
            <w:tcW w:w="1599" w:type="dxa"/>
            <w:vMerge w:val="restart"/>
            <w:tcBorders>
              <w:bottom w:val="nil"/>
            </w:tcBorders>
            <w:vAlign w:val="center"/>
          </w:tcPr>
          <w:p w14:paraId="2D5A01FB">
            <w:pPr>
              <w:pStyle w:val="9"/>
              <w:spacing w:before="78" w:line="308" w:lineRule="auto"/>
              <w:ind w:right="93"/>
              <w:jc w:val="center"/>
            </w:pPr>
            <w:r>
              <w:rPr>
                <w:spacing w:val="-6"/>
              </w:rPr>
              <w:t>智能生产场景</w:t>
            </w:r>
            <w:r>
              <w:t xml:space="preserve"> </w:t>
            </w:r>
            <w:r>
              <w:rPr>
                <w:spacing w:val="-9"/>
              </w:rPr>
              <w:t>规划分析</w:t>
            </w:r>
          </w:p>
        </w:tc>
        <w:tc>
          <w:tcPr>
            <w:tcW w:w="4257" w:type="dxa"/>
            <w:vAlign w:val="center"/>
          </w:tcPr>
          <w:p w14:paraId="1C6C46B9">
            <w:pPr>
              <w:pStyle w:val="9"/>
              <w:spacing w:before="66" w:line="220" w:lineRule="auto"/>
              <w:ind w:left="45"/>
              <w:jc w:val="center"/>
            </w:pPr>
            <w:r>
              <w:rPr>
                <w:spacing w:val="-6"/>
              </w:rPr>
              <w:t>原材料供应分析</w:t>
            </w:r>
          </w:p>
        </w:tc>
        <w:tc>
          <w:tcPr>
            <w:tcW w:w="808" w:type="dxa"/>
            <w:vAlign w:val="center"/>
          </w:tcPr>
          <w:p w14:paraId="03008142">
            <w:pPr>
              <w:pStyle w:val="9"/>
              <w:spacing w:before="107" w:line="179" w:lineRule="auto"/>
              <w:ind w:left="376"/>
              <w:jc w:val="both"/>
            </w:pPr>
            <w:r>
              <w:t>5</w:t>
            </w:r>
          </w:p>
        </w:tc>
        <w:tc>
          <w:tcPr>
            <w:tcW w:w="815" w:type="dxa"/>
            <w:vMerge w:val="restart"/>
            <w:tcBorders>
              <w:bottom w:val="nil"/>
            </w:tcBorders>
            <w:vAlign w:val="center"/>
          </w:tcPr>
          <w:p w14:paraId="6F123462">
            <w:pPr>
              <w:spacing w:line="241" w:lineRule="auto"/>
              <w:jc w:val="center"/>
              <w:rPr>
                <w:rFonts w:ascii="Arial"/>
                <w:sz w:val="21"/>
              </w:rPr>
            </w:pPr>
          </w:p>
          <w:p w14:paraId="521C50B6">
            <w:pPr>
              <w:spacing w:line="241" w:lineRule="auto"/>
              <w:jc w:val="center"/>
              <w:rPr>
                <w:rFonts w:ascii="Arial"/>
                <w:sz w:val="21"/>
              </w:rPr>
            </w:pPr>
          </w:p>
          <w:p w14:paraId="4F99630C">
            <w:pPr>
              <w:pStyle w:val="9"/>
              <w:spacing w:before="78" w:line="180" w:lineRule="auto"/>
              <w:jc w:val="center"/>
            </w:pPr>
            <w:r>
              <w:rPr>
                <w:spacing w:val="-4"/>
              </w:rPr>
              <w:t>44</w:t>
            </w:r>
          </w:p>
        </w:tc>
      </w:tr>
      <w:tr w14:paraId="232A04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861" w:type="dxa"/>
            <w:vMerge w:val="continue"/>
            <w:tcBorders>
              <w:top w:val="nil"/>
              <w:bottom w:val="nil"/>
            </w:tcBorders>
            <w:vAlign w:val="center"/>
          </w:tcPr>
          <w:p w14:paraId="30240F01">
            <w:pPr>
              <w:jc w:val="center"/>
              <w:rPr>
                <w:rFonts w:ascii="Arial"/>
                <w:sz w:val="21"/>
              </w:rPr>
            </w:pPr>
          </w:p>
        </w:tc>
        <w:tc>
          <w:tcPr>
            <w:tcW w:w="1599" w:type="dxa"/>
            <w:vMerge w:val="continue"/>
            <w:tcBorders>
              <w:top w:val="nil"/>
              <w:bottom w:val="nil"/>
            </w:tcBorders>
            <w:vAlign w:val="center"/>
          </w:tcPr>
          <w:p w14:paraId="012CA3B0">
            <w:pPr>
              <w:jc w:val="center"/>
              <w:rPr>
                <w:rFonts w:ascii="Arial"/>
                <w:sz w:val="21"/>
              </w:rPr>
            </w:pPr>
          </w:p>
        </w:tc>
        <w:tc>
          <w:tcPr>
            <w:tcW w:w="4257" w:type="dxa"/>
            <w:vAlign w:val="center"/>
          </w:tcPr>
          <w:p w14:paraId="482FA008">
            <w:pPr>
              <w:pStyle w:val="9"/>
              <w:spacing w:before="65" w:line="220" w:lineRule="auto"/>
              <w:ind w:left="45"/>
              <w:jc w:val="center"/>
            </w:pPr>
            <w:r>
              <w:rPr>
                <w:spacing w:val="-8"/>
              </w:rPr>
              <w:t>原材料需求分析</w:t>
            </w:r>
          </w:p>
        </w:tc>
        <w:tc>
          <w:tcPr>
            <w:tcW w:w="808" w:type="dxa"/>
            <w:vAlign w:val="center"/>
          </w:tcPr>
          <w:p w14:paraId="6930278D">
            <w:pPr>
              <w:pStyle w:val="9"/>
              <w:spacing w:before="102" w:line="180" w:lineRule="auto"/>
              <w:ind w:left="309"/>
              <w:jc w:val="both"/>
            </w:pPr>
            <w:r>
              <w:rPr>
                <w:spacing w:val="-6"/>
              </w:rPr>
              <w:t>24</w:t>
            </w:r>
          </w:p>
        </w:tc>
        <w:tc>
          <w:tcPr>
            <w:tcW w:w="815" w:type="dxa"/>
            <w:vMerge w:val="continue"/>
            <w:tcBorders>
              <w:top w:val="nil"/>
              <w:bottom w:val="nil"/>
            </w:tcBorders>
            <w:vAlign w:val="center"/>
          </w:tcPr>
          <w:p w14:paraId="34A51A00">
            <w:pPr>
              <w:jc w:val="center"/>
              <w:rPr>
                <w:rFonts w:ascii="Arial"/>
                <w:sz w:val="21"/>
              </w:rPr>
            </w:pPr>
          </w:p>
        </w:tc>
      </w:tr>
      <w:tr w14:paraId="51146B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61" w:type="dxa"/>
            <w:vMerge w:val="continue"/>
            <w:tcBorders>
              <w:top w:val="nil"/>
              <w:bottom w:val="nil"/>
            </w:tcBorders>
            <w:vAlign w:val="center"/>
          </w:tcPr>
          <w:p w14:paraId="088EC0B4">
            <w:pPr>
              <w:jc w:val="center"/>
              <w:rPr>
                <w:rFonts w:ascii="Arial"/>
                <w:sz w:val="21"/>
              </w:rPr>
            </w:pPr>
          </w:p>
        </w:tc>
        <w:tc>
          <w:tcPr>
            <w:tcW w:w="1599" w:type="dxa"/>
            <w:vMerge w:val="continue"/>
            <w:tcBorders>
              <w:top w:val="nil"/>
              <w:bottom w:val="nil"/>
            </w:tcBorders>
            <w:vAlign w:val="center"/>
          </w:tcPr>
          <w:p w14:paraId="6CAE0729">
            <w:pPr>
              <w:jc w:val="center"/>
              <w:rPr>
                <w:rFonts w:ascii="Arial"/>
                <w:sz w:val="21"/>
              </w:rPr>
            </w:pPr>
          </w:p>
        </w:tc>
        <w:tc>
          <w:tcPr>
            <w:tcW w:w="4257" w:type="dxa"/>
            <w:vAlign w:val="center"/>
          </w:tcPr>
          <w:p w14:paraId="2C0990E5">
            <w:pPr>
              <w:pStyle w:val="9"/>
              <w:spacing w:before="66" w:line="219" w:lineRule="auto"/>
              <w:ind w:left="45"/>
              <w:jc w:val="center"/>
            </w:pPr>
            <w:r>
              <w:rPr>
                <w:spacing w:val="-6"/>
              </w:rPr>
              <w:t>原材料存储情况分析</w:t>
            </w:r>
          </w:p>
        </w:tc>
        <w:tc>
          <w:tcPr>
            <w:tcW w:w="808" w:type="dxa"/>
            <w:vAlign w:val="center"/>
          </w:tcPr>
          <w:p w14:paraId="47D88F95">
            <w:pPr>
              <w:pStyle w:val="9"/>
              <w:spacing w:before="105" w:line="180" w:lineRule="auto"/>
              <w:ind w:left="366"/>
              <w:jc w:val="both"/>
            </w:pPr>
            <w:r>
              <w:t>4</w:t>
            </w:r>
          </w:p>
        </w:tc>
        <w:tc>
          <w:tcPr>
            <w:tcW w:w="815" w:type="dxa"/>
            <w:vMerge w:val="continue"/>
            <w:tcBorders>
              <w:top w:val="nil"/>
              <w:bottom w:val="nil"/>
            </w:tcBorders>
            <w:vAlign w:val="center"/>
          </w:tcPr>
          <w:p w14:paraId="6929520F">
            <w:pPr>
              <w:jc w:val="center"/>
              <w:rPr>
                <w:rFonts w:ascii="Arial"/>
                <w:sz w:val="21"/>
              </w:rPr>
            </w:pPr>
          </w:p>
        </w:tc>
      </w:tr>
      <w:tr w14:paraId="4B8663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0" w:hRule="atLeast"/>
        </w:trPr>
        <w:tc>
          <w:tcPr>
            <w:tcW w:w="861" w:type="dxa"/>
            <w:vMerge w:val="continue"/>
            <w:tcBorders>
              <w:top w:val="nil"/>
            </w:tcBorders>
            <w:vAlign w:val="center"/>
          </w:tcPr>
          <w:p w14:paraId="0F0A99BF">
            <w:pPr>
              <w:jc w:val="center"/>
              <w:rPr>
                <w:rFonts w:ascii="Arial"/>
                <w:sz w:val="21"/>
              </w:rPr>
            </w:pPr>
          </w:p>
        </w:tc>
        <w:tc>
          <w:tcPr>
            <w:tcW w:w="1599" w:type="dxa"/>
            <w:vMerge w:val="continue"/>
            <w:tcBorders>
              <w:top w:val="nil"/>
            </w:tcBorders>
            <w:vAlign w:val="center"/>
          </w:tcPr>
          <w:p w14:paraId="02E7AE61">
            <w:pPr>
              <w:jc w:val="center"/>
              <w:rPr>
                <w:rFonts w:ascii="Arial"/>
                <w:sz w:val="21"/>
              </w:rPr>
            </w:pPr>
          </w:p>
        </w:tc>
        <w:tc>
          <w:tcPr>
            <w:tcW w:w="4257" w:type="dxa"/>
            <w:vAlign w:val="center"/>
          </w:tcPr>
          <w:p w14:paraId="6A979BCA">
            <w:pPr>
              <w:pStyle w:val="9"/>
              <w:spacing w:before="89" w:line="222" w:lineRule="auto"/>
              <w:ind w:left="33"/>
              <w:jc w:val="center"/>
            </w:pPr>
            <w:r>
              <w:rPr>
                <w:spacing w:val="-4"/>
              </w:rPr>
              <w:t>智能设施设备需求分析</w:t>
            </w:r>
          </w:p>
        </w:tc>
        <w:tc>
          <w:tcPr>
            <w:tcW w:w="808" w:type="dxa"/>
            <w:vAlign w:val="center"/>
          </w:tcPr>
          <w:p w14:paraId="0A918EF1">
            <w:pPr>
              <w:pStyle w:val="9"/>
              <w:spacing w:before="123" w:line="181" w:lineRule="auto"/>
              <w:ind w:left="331"/>
              <w:jc w:val="both"/>
            </w:pPr>
            <w:r>
              <w:rPr>
                <w:spacing w:val="-14"/>
              </w:rPr>
              <w:t>11</w:t>
            </w:r>
          </w:p>
        </w:tc>
        <w:tc>
          <w:tcPr>
            <w:tcW w:w="815" w:type="dxa"/>
            <w:vMerge w:val="continue"/>
            <w:tcBorders>
              <w:top w:val="nil"/>
            </w:tcBorders>
            <w:vAlign w:val="center"/>
          </w:tcPr>
          <w:p w14:paraId="7D9430AD">
            <w:pPr>
              <w:jc w:val="center"/>
              <w:rPr>
                <w:rFonts w:ascii="Arial"/>
                <w:sz w:val="21"/>
              </w:rPr>
            </w:pPr>
          </w:p>
        </w:tc>
      </w:tr>
      <w:tr w14:paraId="7A013E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861" w:type="dxa"/>
            <w:vMerge w:val="restart"/>
            <w:tcBorders>
              <w:bottom w:val="nil"/>
            </w:tcBorders>
            <w:vAlign w:val="center"/>
          </w:tcPr>
          <w:p w14:paraId="2DDDE73E">
            <w:pPr>
              <w:pStyle w:val="9"/>
              <w:spacing w:before="78" w:line="180" w:lineRule="auto"/>
              <w:jc w:val="center"/>
            </w:pPr>
            <w:r>
              <w:t>2</w:t>
            </w:r>
          </w:p>
        </w:tc>
        <w:tc>
          <w:tcPr>
            <w:tcW w:w="1599" w:type="dxa"/>
            <w:vMerge w:val="restart"/>
            <w:tcBorders>
              <w:bottom w:val="nil"/>
            </w:tcBorders>
            <w:vAlign w:val="center"/>
          </w:tcPr>
          <w:p w14:paraId="5E59A418">
            <w:pPr>
              <w:pStyle w:val="9"/>
              <w:spacing w:before="308" w:line="305" w:lineRule="auto"/>
              <w:ind w:right="93"/>
              <w:jc w:val="center"/>
            </w:pPr>
            <w:r>
              <w:rPr>
                <w:spacing w:val="-6"/>
              </w:rPr>
              <w:t>智慧物流功能</w:t>
            </w:r>
            <w:r>
              <w:t xml:space="preserve"> </w:t>
            </w:r>
            <w:r>
              <w:rPr>
                <w:spacing w:val="-17"/>
              </w:rPr>
              <w:t>区域布局设计</w:t>
            </w:r>
          </w:p>
        </w:tc>
        <w:tc>
          <w:tcPr>
            <w:tcW w:w="4257" w:type="dxa"/>
            <w:vAlign w:val="center"/>
          </w:tcPr>
          <w:p w14:paraId="1F3CCEA9">
            <w:pPr>
              <w:pStyle w:val="9"/>
              <w:spacing w:before="65" w:line="219" w:lineRule="auto"/>
              <w:ind w:left="34"/>
              <w:jc w:val="center"/>
            </w:pPr>
            <w:r>
              <w:rPr>
                <w:spacing w:val="-5"/>
              </w:rPr>
              <w:t>存储区货架布局</w:t>
            </w:r>
          </w:p>
        </w:tc>
        <w:tc>
          <w:tcPr>
            <w:tcW w:w="808" w:type="dxa"/>
            <w:vAlign w:val="center"/>
          </w:tcPr>
          <w:p w14:paraId="73A1D295">
            <w:pPr>
              <w:pStyle w:val="9"/>
              <w:spacing w:before="106" w:line="180" w:lineRule="auto"/>
              <w:ind w:left="372"/>
              <w:jc w:val="both"/>
            </w:pPr>
            <w:r>
              <w:t>8</w:t>
            </w:r>
          </w:p>
        </w:tc>
        <w:tc>
          <w:tcPr>
            <w:tcW w:w="815" w:type="dxa"/>
            <w:vMerge w:val="restart"/>
            <w:tcBorders>
              <w:bottom w:val="nil"/>
            </w:tcBorders>
            <w:vAlign w:val="center"/>
          </w:tcPr>
          <w:p w14:paraId="45E977EA">
            <w:pPr>
              <w:spacing w:line="241" w:lineRule="auto"/>
              <w:jc w:val="center"/>
              <w:rPr>
                <w:rFonts w:ascii="仿宋" w:hAnsi="仿宋" w:eastAsia="仿宋" w:cs="仿宋"/>
                <w:snapToGrid w:val="0"/>
                <w:color w:val="000000"/>
                <w:spacing w:val="-4"/>
                <w:kern w:val="0"/>
                <w:sz w:val="24"/>
                <w:szCs w:val="24"/>
                <w:lang w:val="en-US" w:eastAsia="en-US" w:bidi="ar-SA"/>
              </w:rPr>
            </w:pPr>
            <w:r>
              <w:rPr>
                <w:rFonts w:ascii="仿宋" w:hAnsi="仿宋" w:eastAsia="仿宋" w:cs="仿宋"/>
                <w:snapToGrid w:val="0"/>
                <w:color w:val="000000"/>
                <w:spacing w:val="-4"/>
                <w:kern w:val="0"/>
                <w:sz w:val="24"/>
                <w:szCs w:val="24"/>
                <w:lang w:val="en-US" w:eastAsia="en-US" w:bidi="ar-SA"/>
              </w:rPr>
              <w:t>20</w:t>
            </w:r>
          </w:p>
        </w:tc>
      </w:tr>
      <w:tr w14:paraId="2043E8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861" w:type="dxa"/>
            <w:vMerge w:val="continue"/>
            <w:tcBorders>
              <w:top w:val="nil"/>
              <w:bottom w:val="nil"/>
            </w:tcBorders>
            <w:vAlign w:val="center"/>
          </w:tcPr>
          <w:p w14:paraId="1573904B">
            <w:pPr>
              <w:jc w:val="center"/>
              <w:rPr>
                <w:rFonts w:ascii="Arial"/>
                <w:sz w:val="21"/>
              </w:rPr>
            </w:pPr>
          </w:p>
        </w:tc>
        <w:tc>
          <w:tcPr>
            <w:tcW w:w="1599" w:type="dxa"/>
            <w:vMerge w:val="continue"/>
            <w:tcBorders>
              <w:top w:val="nil"/>
              <w:bottom w:val="nil"/>
            </w:tcBorders>
            <w:vAlign w:val="center"/>
          </w:tcPr>
          <w:p w14:paraId="5EA639F5">
            <w:pPr>
              <w:jc w:val="center"/>
              <w:rPr>
                <w:rFonts w:ascii="Arial"/>
                <w:sz w:val="21"/>
              </w:rPr>
            </w:pPr>
          </w:p>
        </w:tc>
        <w:tc>
          <w:tcPr>
            <w:tcW w:w="4257" w:type="dxa"/>
            <w:vAlign w:val="center"/>
          </w:tcPr>
          <w:p w14:paraId="4D6A171D">
            <w:pPr>
              <w:pStyle w:val="9"/>
              <w:spacing w:before="68" w:line="219" w:lineRule="auto"/>
              <w:ind w:left="34"/>
              <w:jc w:val="center"/>
            </w:pPr>
            <w:r>
              <w:rPr>
                <w:spacing w:val="-5"/>
              </w:rPr>
              <w:t>存储区动线设计</w:t>
            </w:r>
          </w:p>
        </w:tc>
        <w:tc>
          <w:tcPr>
            <w:tcW w:w="808" w:type="dxa"/>
            <w:vAlign w:val="center"/>
          </w:tcPr>
          <w:p w14:paraId="1A9018B3">
            <w:pPr>
              <w:pStyle w:val="9"/>
              <w:spacing w:before="110" w:line="179" w:lineRule="auto"/>
              <w:ind w:left="377"/>
              <w:jc w:val="both"/>
            </w:pPr>
            <w:r>
              <w:t>7</w:t>
            </w:r>
          </w:p>
        </w:tc>
        <w:tc>
          <w:tcPr>
            <w:tcW w:w="815" w:type="dxa"/>
            <w:vMerge w:val="continue"/>
            <w:tcBorders>
              <w:top w:val="nil"/>
              <w:bottom w:val="nil"/>
            </w:tcBorders>
            <w:vAlign w:val="center"/>
          </w:tcPr>
          <w:p w14:paraId="1455E510">
            <w:pPr>
              <w:jc w:val="center"/>
              <w:rPr>
                <w:rFonts w:ascii="仿宋" w:hAnsi="仿宋" w:eastAsia="仿宋" w:cs="仿宋"/>
                <w:snapToGrid w:val="0"/>
                <w:color w:val="000000"/>
                <w:spacing w:val="-4"/>
                <w:kern w:val="0"/>
                <w:sz w:val="24"/>
                <w:szCs w:val="24"/>
                <w:lang w:val="en-US" w:eastAsia="en-US" w:bidi="ar-SA"/>
              </w:rPr>
            </w:pPr>
          </w:p>
        </w:tc>
      </w:tr>
      <w:tr w14:paraId="18042A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 w:hRule="atLeast"/>
        </w:trPr>
        <w:tc>
          <w:tcPr>
            <w:tcW w:w="861" w:type="dxa"/>
            <w:vMerge w:val="continue"/>
            <w:tcBorders>
              <w:top w:val="nil"/>
            </w:tcBorders>
            <w:vAlign w:val="center"/>
          </w:tcPr>
          <w:p w14:paraId="56F1FBA9">
            <w:pPr>
              <w:jc w:val="center"/>
              <w:rPr>
                <w:rFonts w:ascii="Arial"/>
                <w:sz w:val="21"/>
              </w:rPr>
            </w:pPr>
          </w:p>
        </w:tc>
        <w:tc>
          <w:tcPr>
            <w:tcW w:w="1599" w:type="dxa"/>
            <w:vMerge w:val="continue"/>
            <w:tcBorders>
              <w:top w:val="nil"/>
            </w:tcBorders>
            <w:vAlign w:val="center"/>
          </w:tcPr>
          <w:p w14:paraId="7A090D23">
            <w:pPr>
              <w:jc w:val="center"/>
              <w:rPr>
                <w:rFonts w:ascii="Arial"/>
                <w:sz w:val="21"/>
              </w:rPr>
            </w:pPr>
          </w:p>
        </w:tc>
        <w:tc>
          <w:tcPr>
            <w:tcW w:w="4257" w:type="dxa"/>
            <w:vAlign w:val="center"/>
          </w:tcPr>
          <w:p w14:paraId="39DB69D7">
            <w:pPr>
              <w:pStyle w:val="9"/>
              <w:spacing w:before="69" w:line="219" w:lineRule="auto"/>
              <w:ind w:left="34"/>
              <w:jc w:val="center"/>
            </w:pPr>
            <w:r>
              <w:rPr>
                <w:spacing w:val="-5"/>
              </w:rPr>
              <w:t>存储区点位布局</w:t>
            </w:r>
          </w:p>
        </w:tc>
        <w:tc>
          <w:tcPr>
            <w:tcW w:w="808" w:type="dxa"/>
            <w:vAlign w:val="center"/>
          </w:tcPr>
          <w:p w14:paraId="7E2E56FE">
            <w:pPr>
              <w:pStyle w:val="9"/>
              <w:spacing w:before="109" w:line="179" w:lineRule="auto"/>
              <w:ind w:left="376"/>
              <w:jc w:val="both"/>
            </w:pPr>
            <w:r>
              <w:t>5</w:t>
            </w:r>
          </w:p>
        </w:tc>
        <w:tc>
          <w:tcPr>
            <w:tcW w:w="815" w:type="dxa"/>
            <w:vMerge w:val="continue"/>
            <w:tcBorders>
              <w:top w:val="nil"/>
            </w:tcBorders>
            <w:vAlign w:val="center"/>
          </w:tcPr>
          <w:p w14:paraId="5C2CA0E4">
            <w:pPr>
              <w:jc w:val="center"/>
              <w:rPr>
                <w:rFonts w:ascii="仿宋" w:hAnsi="仿宋" w:eastAsia="仿宋" w:cs="仿宋"/>
                <w:snapToGrid w:val="0"/>
                <w:color w:val="000000"/>
                <w:spacing w:val="-4"/>
                <w:kern w:val="0"/>
                <w:sz w:val="24"/>
                <w:szCs w:val="24"/>
                <w:lang w:val="en-US" w:eastAsia="en-US" w:bidi="ar-SA"/>
              </w:rPr>
            </w:pPr>
          </w:p>
        </w:tc>
      </w:tr>
      <w:tr w14:paraId="6968B6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5" w:hRule="atLeast"/>
        </w:trPr>
        <w:tc>
          <w:tcPr>
            <w:tcW w:w="861" w:type="dxa"/>
            <w:vMerge w:val="restart"/>
            <w:tcBorders>
              <w:bottom w:val="nil"/>
            </w:tcBorders>
            <w:vAlign w:val="center"/>
          </w:tcPr>
          <w:p w14:paraId="755EC745">
            <w:pPr>
              <w:pStyle w:val="9"/>
              <w:spacing w:before="78" w:line="180" w:lineRule="auto"/>
              <w:jc w:val="center"/>
            </w:pPr>
            <w:r>
              <w:t>3</w:t>
            </w:r>
          </w:p>
        </w:tc>
        <w:tc>
          <w:tcPr>
            <w:tcW w:w="1599" w:type="dxa"/>
            <w:vMerge w:val="restart"/>
            <w:tcBorders>
              <w:bottom w:val="nil"/>
            </w:tcBorders>
            <w:vAlign w:val="center"/>
          </w:tcPr>
          <w:p w14:paraId="45532EFA">
            <w:pPr>
              <w:pStyle w:val="9"/>
              <w:spacing w:before="83" w:line="308" w:lineRule="auto"/>
              <w:ind w:right="93"/>
              <w:jc w:val="center"/>
            </w:pPr>
            <w:r>
              <w:rPr>
                <w:spacing w:val="-6"/>
              </w:rPr>
              <w:t>智慧物流作业</w:t>
            </w:r>
            <w:r>
              <w:t xml:space="preserve"> </w:t>
            </w:r>
            <w:r>
              <w:rPr>
                <w:spacing w:val="-6"/>
              </w:rPr>
              <w:t>环节设计</w:t>
            </w:r>
          </w:p>
        </w:tc>
        <w:tc>
          <w:tcPr>
            <w:tcW w:w="4257" w:type="dxa"/>
            <w:vAlign w:val="center"/>
          </w:tcPr>
          <w:p w14:paraId="4CB582C8">
            <w:pPr>
              <w:pStyle w:val="9"/>
              <w:spacing w:before="71" w:line="220" w:lineRule="auto"/>
              <w:ind w:left="64"/>
              <w:jc w:val="center"/>
            </w:pPr>
            <w:r>
              <w:rPr>
                <w:spacing w:val="-8"/>
              </w:rPr>
              <w:t>生产物流作业节拍设计</w:t>
            </w:r>
          </w:p>
        </w:tc>
        <w:tc>
          <w:tcPr>
            <w:tcW w:w="808" w:type="dxa"/>
            <w:vAlign w:val="center"/>
          </w:tcPr>
          <w:p w14:paraId="561AF3E2">
            <w:pPr>
              <w:pStyle w:val="9"/>
              <w:spacing w:before="112" w:line="179" w:lineRule="auto"/>
              <w:ind w:left="376"/>
              <w:jc w:val="both"/>
            </w:pPr>
            <w:r>
              <w:t>5</w:t>
            </w:r>
          </w:p>
        </w:tc>
        <w:tc>
          <w:tcPr>
            <w:tcW w:w="815" w:type="dxa"/>
            <w:vMerge w:val="restart"/>
            <w:tcBorders>
              <w:bottom w:val="nil"/>
            </w:tcBorders>
            <w:vAlign w:val="center"/>
          </w:tcPr>
          <w:p w14:paraId="50E94D55">
            <w:pPr>
              <w:spacing w:line="241" w:lineRule="auto"/>
              <w:jc w:val="center"/>
              <w:rPr>
                <w:rFonts w:ascii="仿宋" w:hAnsi="仿宋" w:eastAsia="仿宋" w:cs="仿宋"/>
                <w:snapToGrid w:val="0"/>
                <w:color w:val="000000"/>
                <w:spacing w:val="-4"/>
                <w:kern w:val="0"/>
                <w:sz w:val="24"/>
                <w:szCs w:val="24"/>
                <w:lang w:val="en-US" w:eastAsia="en-US" w:bidi="ar-SA"/>
              </w:rPr>
            </w:pPr>
            <w:r>
              <w:rPr>
                <w:rFonts w:ascii="仿宋" w:hAnsi="仿宋" w:eastAsia="仿宋" w:cs="仿宋"/>
                <w:snapToGrid w:val="0"/>
                <w:color w:val="000000"/>
                <w:spacing w:val="-4"/>
                <w:kern w:val="0"/>
                <w:sz w:val="24"/>
                <w:szCs w:val="24"/>
                <w:lang w:val="en-US" w:eastAsia="en-US" w:bidi="ar-SA"/>
              </w:rPr>
              <w:t>11</w:t>
            </w:r>
          </w:p>
        </w:tc>
      </w:tr>
      <w:tr w14:paraId="625F75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trPr>
        <w:tc>
          <w:tcPr>
            <w:tcW w:w="861" w:type="dxa"/>
            <w:vMerge w:val="continue"/>
            <w:tcBorders>
              <w:top w:val="nil"/>
            </w:tcBorders>
            <w:vAlign w:val="center"/>
          </w:tcPr>
          <w:p w14:paraId="48D7CDB9">
            <w:pPr>
              <w:jc w:val="center"/>
              <w:rPr>
                <w:rFonts w:ascii="Arial"/>
                <w:sz w:val="21"/>
              </w:rPr>
            </w:pPr>
          </w:p>
        </w:tc>
        <w:tc>
          <w:tcPr>
            <w:tcW w:w="1599" w:type="dxa"/>
            <w:vMerge w:val="continue"/>
            <w:tcBorders>
              <w:top w:val="nil"/>
            </w:tcBorders>
            <w:vAlign w:val="center"/>
          </w:tcPr>
          <w:p w14:paraId="7491F89A">
            <w:pPr>
              <w:jc w:val="center"/>
              <w:rPr>
                <w:rFonts w:ascii="Arial"/>
                <w:sz w:val="21"/>
              </w:rPr>
            </w:pPr>
          </w:p>
        </w:tc>
        <w:tc>
          <w:tcPr>
            <w:tcW w:w="4257" w:type="dxa"/>
            <w:vAlign w:val="center"/>
          </w:tcPr>
          <w:p w14:paraId="5EC43FD9">
            <w:pPr>
              <w:pStyle w:val="9"/>
              <w:spacing w:before="69" w:line="220" w:lineRule="auto"/>
              <w:ind w:left="45"/>
              <w:jc w:val="center"/>
            </w:pPr>
            <w:r>
              <w:rPr>
                <w:spacing w:val="-6"/>
              </w:rPr>
              <w:t>原材料运输作业设计</w:t>
            </w:r>
          </w:p>
        </w:tc>
        <w:tc>
          <w:tcPr>
            <w:tcW w:w="808" w:type="dxa"/>
            <w:vAlign w:val="center"/>
          </w:tcPr>
          <w:p w14:paraId="379D72A8">
            <w:pPr>
              <w:pStyle w:val="9"/>
              <w:spacing w:before="108" w:line="180" w:lineRule="auto"/>
              <w:ind w:left="373"/>
              <w:jc w:val="both"/>
            </w:pPr>
            <w:r>
              <w:t>6</w:t>
            </w:r>
          </w:p>
        </w:tc>
        <w:tc>
          <w:tcPr>
            <w:tcW w:w="815" w:type="dxa"/>
            <w:vMerge w:val="continue"/>
            <w:tcBorders>
              <w:top w:val="nil"/>
            </w:tcBorders>
            <w:vAlign w:val="center"/>
          </w:tcPr>
          <w:p w14:paraId="00F7D65A">
            <w:pPr>
              <w:jc w:val="center"/>
              <w:rPr>
                <w:rFonts w:ascii="Arial"/>
                <w:sz w:val="21"/>
              </w:rPr>
            </w:pPr>
          </w:p>
        </w:tc>
      </w:tr>
      <w:tr w14:paraId="5BF48E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 w:hRule="atLeast"/>
        </w:trPr>
        <w:tc>
          <w:tcPr>
            <w:tcW w:w="861" w:type="dxa"/>
            <w:vMerge w:val="restart"/>
            <w:tcBorders>
              <w:bottom w:val="nil"/>
            </w:tcBorders>
            <w:vAlign w:val="center"/>
          </w:tcPr>
          <w:p w14:paraId="6F793728">
            <w:pPr>
              <w:pStyle w:val="9"/>
              <w:spacing w:before="78" w:line="180" w:lineRule="auto"/>
              <w:jc w:val="center"/>
            </w:pPr>
            <w:r>
              <w:t>4</w:t>
            </w:r>
          </w:p>
        </w:tc>
        <w:tc>
          <w:tcPr>
            <w:tcW w:w="1599" w:type="dxa"/>
            <w:vMerge w:val="restart"/>
            <w:tcBorders>
              <w:bottom w:val="nil"/>
            </w:tcBorders>
            <w:vAlign w:val="center"/>
          </w:tcPr>
          <w:p w14:paraId="16C0ECDF">
            <w:pPr>
              <w:pStyle w:val="9"/>
              <w:spacing w:before="284" w:line="221" w:lineRule="auto"/>
              <w:jc w:val="center"/>
            </w:pPr>
            <w:r>
              <w:rPr>
                <w:spacing w:val="-6"/>
              </w:rPr>
              <w:t>智慧物流系统</w:t>
            </w:r>
            <w:r>
              <w:rPr>
                <w:spacing w:val="-7"/>
              </w:rPr>
              <w:t>仿真与优化分</w:t>
            </w:r>
            <w:r>
              <w:t>析</w:t>
            </w:r>
          </w:p>
        </w:tc>
        <w:tc>
          <w:tcPr>
            <w:tcW w:w="4257" w:type="dxa"/>
            <w:vAlign w:val="center"/>
          </w:tcPr>
          <w:p w14:paraId="6054D900">
            <w:pPr>
              <w:pStyle w:val="9"/>
              <w:spacing w:before="73" w:line="198" w:lineRule="auto"/>
              <w:ind w:left="33"/>
              <w:jc w:val="center"/>
            </w:pPr>
            <w:r>
              <w:rPr>
                <w:spacing w:val="-5"/>
              </w:rPr>
              <w:t>智慧物流系统仿真</w:t>
            </w:r>
          </w:p>
        </w:tc>
        <w:tc>
          <w:tcPr>
            <w:tcW w:w="808" w:type="dxa"/>
            <w:vAlign w:val="center"/>
          </w:tcPr>
          <w:p w14:paraId="0ED07EA8">
            <w:pPr>
              <w:pStyle w:val="9"/>
              <w:spacing w:before="110" w:line="170" w:lineRule="auto"/>
              <w:ind w:left="331"/>
              <w:jc w:val="center"/>
            </w:pPr>
            <w:r>
              <w:rPr>
                <w:spacing w:val="-14"/>
              </w:rPr>
              <w:t>10</w:t>
            </w:r>
          </w:p>
        </w:tc>
        <w:tc>
          <w:tcPr>
            <w:tcW w:w="815" w:type="dxa"/>
            <w:vMerge w:val="restart"/>
            <w:tcBorders>
              <w:bottom w:val="nil"/>
            </w:tcBorders>
            <w:vAlign w:val="center"/>
          </w:tcPr>
          <w:p w14:paraId="30DA945F">
            <w:pPr>
              <w:pStyle w:val="9"/>
              <w:spacing w:before="78" w:line="180" w:lineRule="auto"/>
              <w:jc w:val="center"/>
            </w:pPr>
            <w:r>
              <w:rPr>
                <w:spacing w:val="-6"/>
              </w:rPr>
              <w:t>25</w:t>
            </w:r>
          </w:p>
        </w:tc>
      </w:tr>
      <w:tr w14:paraId="2D3801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 w:hRule="atLeast"/>
        </w:trPr>
        <w:tc>
          <w:tcPr>
            <w:tcW w:w="861" w:type="dxa"/>
            <w:vMerge w:val="continue"/>
            <w:tcBorders>
              <w:top w:val="nil"/>
              <w:bottom w:val="nil"/>
            </w:tcBorders>
            <w:vAlign w:val="center"/>
          </w:tcPr>
          <w:p w14:paraId="15CA15D8">
            <w:pPr>
              <w:jc w:val="center"/>
              <w:rPr>
                <w:rFonts w:ascii="Arial"/>
                <w:sz w:val="21"/>
              </w:rPr>
            </w:pPr>
          </w:p>
        </w:tc>
        <w:tc>
          <w:tcPr>
            <w:tcW w:w="1599" w:type="dxa"/>
            <w:vMerge w:val="continue"/>
            <w:tcBorders>
              <w:top w:val="nil"/>
              <w:bottom w:val="nil"/>
            </w:tcBorders>
            <w:vAlign w:val="center"/>
          </w:tcPr>
          <w:p w14:paraId="20E32CD4">
            <w:pPr>
              <w:jc w:val="center"/>
              <w:rPr>
                <w:rFonts w:ascii="Arial"/>
                <w:sz w:val="21"/>
              </w:rPr>
            </w:pPr>
          </w:p>
        </w:tc>
        <w:tc>
          <w:tcPr>
            <w:tcW w:w="4257" w:type="dxa"/>
            <w:vAlign w:val="center"/>
          </w:tcPr>
          <w:p w14:paraId="62DDFE1A">
            <w:pPr>
              <w:pStyle w:val="9"/>
              <w:spacing w:before="152" w:line="221" w:lineRule="auto"/>
              <w:ind w:left="33"/>
              <w:jc w:val="center"/>
            </w:pPr>
            <w:r>
              <w:rPr>
                <w:spacing w:val="-3"/>
              </w:rPr>
              <w:t>智慧物流系统仿真报告及优化分析</w:t>
            </w:r>
          </w:p>
        </w:tc>
        <w:tc>
          <w:tcPr>
            <w:tcW w:w="808" w:type="dxa"/>
            <w:vAlign w:val="center"/>
          </w:tcPr>
          <w:p w14:paraId="10BE82F3">
            <w:pPr>
              <w:pStyle w:val="9"/>
              <w:spacing w:before="188" w:line="181" w:lineRule="auto"/>
              <w:ind w:left="331"/>
              <w:jc w:val="center"/>
            </w:pPr>
            <w:r>
              <w:rPr>
                <w:spacing w:val="-14"/>
              </w:rPr>
              <w:t>10</w:t>
            </w:r>
          </w:p>
        </w:tc>
        <w:tc>
          <w:tcPr>
            <w:tcW w:w="815" w:type="dxa"/>
            <w:vMerge w:val="continue"/>
            <w:tcBorders>
              <w:top w:val="nil"/>
              <w:bottom w:val="nil"/>
            </w:tcBorders>
            <w:vAlign w:val="center"/>
          </w:tcPr>
          <w:p w14:paraId="09D43D2C">
            <w:pPr>
              <w:jc w:val="center"/>
              <w:rPr>
                <w:rFonts w:ascii="Arial"/>
                <w:sz w:val="21"/>
              </w:rPr>
            </w:pPr>
          </w:p>
        </w:tc>
      </w:tr>
      <w:tr w14:paraId="06B66D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 w:hRule="atLeast"/>
        </w:trPr>
        <w:tc>
          <w:tcPr>
            <w:tcW w:w="861" w:type="dxa"/>
            <w:vMerge w:val="continue"/>
            <w:tcBorders>
              <w:top w:val="nil"/>
            </w:tcBorders>
            <w:vAlign w:val="center"/>
          </w:tcPr>
          <w:p w14:paraId="1574AA13">
            <w:pPr>
              <w:jc w:val="center"/>
              <w:rPr>
                <w:rFonts w:ascii="Arial"/>
                <w:sz w:val="21"/>
              </w:rPr>
            </w:pPr>
          </w:p>
        </w:tc>
        <w:tc>
          <w:tcPr>
            <w:tcW w:w="1599" w:type="dxa"/>
            <w:vMerge w:val="continue"/>
            <w:tcBorders>
              <w:top w:val="nil"/>
            </w:tcBorders>
            <w:vAlign w:val="center"/>
          </w:tcPr>
          <w:p w14:paraId="105A2BC5">
            <w:pPr>
              <w:jc w:val="center"/>
              <w:rPr>
                <w:rFonts w:ascii="Arial"/>
                <w:sz w:val="21"/>
              </w:rPr>
            </w:pPr>
          </w:p>
        </w:tc>
        <w:tc>
          <w:tcPr>
            <w:tcW w:w="4257" w:type="dxa"/>
            <w:vAlign w:val="center"/>
          </w:tcPr>
          <w:p w14:paraId="3A6718B7">
            <w:pPr>
              <w:pStyle w:val="9"/>
              <w:spacing w:before="153" w:line="220" w:lineRule="auto"/>
              <w:ind w:left="39"/>
              <w:jc w:val="center"/>
            </w:pPr>
            <w:r>
              <w:rPr>
                <w:spacing w:val="-5"/>
              </w:rPr>
              <w:t>规划与仿真方案规范性</w:t>
            </w:r>
          </w:p>
        </w:tc>
        <w:tc>
          <w:tcPr>
            <w:tcW w:w="808" w:type="dxa"/>
            <w:vAlign w:val="center"/>
          </w:tcPr>
          <w:p w14:paraId="4E88D10E">
            <w:pPr>
              <w:pStyle w:val="9"/>
              <w:spacing w:before="193" w:line="179" w:lineRule="auto"/>
              <w:ind w:left="376"/>
              <w:jc w:val="center"/>
            </w:pPr>
            <w:r>
              <w:t>5</w:t>
            </w:r>
          </w:p>
        </w:tc>
        <w:tc>
          <w:tcPr>
            <w:tcW w:w="815" w:type="dxa"/>
            <w:vMerge w:val="continue"/>
            <w:tcBorders>
              <w:top w:val="nil"/>
            </w:tcBorders>
            <w:vAlign w:val="center"/>
          </w:tcPr>
          <w:p w14:paraId="4FE0AEA1">
            <w:pPr>
              <w:jc w:val="center"/>
              <w:rPr>
                <w:rFonts w:ascii="Arial"/>
                <w:sz w:val="21"/>
              </w:rPr>
            </w:pPr>
          </w:p>
        </w:tc>
      </w:tr>
      <w:tr w14:paraId="0A44AA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 w:hRule="atLeast"/>
        </w:trPr>
        <w:tc>
          <w:tcPr>
            <w:tcW w:w="6717" w:type="dxa"/>
            <w:gridSpan w:val="3"/>
            <w:vAlign w:val="center"/>
          </w:tcPr>
          <w:p w14:paraId="28AF4163">
            <w:pPr>
              <w:pStyle w:val="9"/>
              <w:spacing w:before="76" w:line="222" w:lineRule="auto"/>
              <w:ind w:left="3152"/>
              <w:jc w:val="center"/>
            </w:pPr>
            <w:r>
              <w:rPr>
                <w:spacing w:val="-12"/>
              </w:rPr>
              <w:t>合计</w:t>
            </w:r>
          </w:p>
        </w:tc>
        <w:tc>
          <w:tcPr>
            <w:tcW w:w="1623" w:type="dxa"/>
            <w:gridSpan w:val="2"/>
            <w:vAlign w:val="center"/>
          </w:tcPr>
          <w:p w14:paraId="73ACF6FA">
            <w:pPr>
              <w:pStyle w:val="9"/>
              <w:spacing w:before="111" w:line="181" w:lineRule="auto"/>
              <w:ind w:left="677"/>
              <w:jc w:val="center"/>
            </w:pPr>
            <w:r>
              <w:rPr>
                <w:spacing w:val="-10"/>
              </w:rPr>
              <w:t>100</w:t>
            </w:r>
          </w:p>
        </w:tc>
      </w:tr>
    </w:tbl>
    <w:p w14:paraId="3533BDC0">
      <w:pPr>
        <w:spacing w:line="15" w:lineRule="exact"/>
        <w:rPr>
          <w:rFonts w:ascii="Arial"/>
          <w:sz w:val="2"/>
        </w:rPr>
      </w:pPr>
    </w:p>
    <w:p w14:paraId="5B78C192">
      <w:pPr>
        <w:spacing w:before="295" w:line="221" w:lineRule="auto"/>
        <w:ind w:left="2728"/>
        <w:rPr>
          <w:rFonts w:ascii="黑体" w:hAnsi="黑体" w:eastAsia="黑体" w:cs="黑体"/>
          <w:sz w:val="24"/>
          <w:szCs w:val="24"/>
        </w:rPr>
      </w:pPr>
      <w:r>
        <w:rPr>
          <w:rFonts w:ascii="黑体" w:hAnsi="黑体" w:eastAsia="黑体" w:cs="黑体"/>
          <w:spacing w:val="-3"/>
          <w:sz w:val="24"/>
          <w:szCs w:val="24"/>
        </w:rPr>
        <w:t>表3 方案汇报答辩评分细则</w:t>
      </w:r>
    </w:p>
    <w:p w14:paraId="3A4CB6AD">
      <w:pPr>
        <w:spacing w:line="131" w:lineRule="exact"/>
      </w:pPr>
    </w:p>
    <w:tbl>
      <w:tblPr>
        <w:tblStyle w:val="8"/>
        <w:tblW w:w="834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3"/>
        <w:gridCol w:w="1280"/>
        <w:gridCol w:w="4574"/>
        <w:gridCol w:w="808"/>
        <w:gridCol w:w="817"/>
      </w:tblGrid>
      <w:tr w14:paraId="7C6B19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63" w:type="dxa"/>
            <w:vAlign w:val="center"/>
          </w:tcPr>
          <w:p w14:paraId="09FEDB6A">
            <w:pPr>
              <w:spacing w:before="90" w:line="293" w:lineRule="exact"/>
              <w:jc w:val="center"/>
              <w:rPr>
                <w:rFonts w:hint="eastAsia" w:ascii="方正仿宋_GB2312" w:hAnsi="方正仿宋_GB2312" w:eastAsia="方正仿宋_GB2312" w:cs="方正仿宋_GB2312"/>
                <w:color w:val="auto"/>
                <w:spacing w:val="-5"/>
                <w:w w:val="95"/>
                <w:position w:val="-1"/>
                <w:sz w:val="24"/>
                <w:szCs w:val="24"/>
              </w:rPr>
            </w:pPr>
            <w:r>
              <w:rPr>
                <w:rFonts w:hint="eastAsia" w:ascii="方正仿宋_GB2312" w:hAnsi="方正仿宋_GB2312" w:eastAsia="方正仿宋_GB2312" w:cs="方正仿宋_GB2312"/>
                <w:color w:val="auto"/>
                <w:spacing w:val="-5"/>
                <w:w w:val="95"/>
                <w:position w:val="-1"/>
                <w:sz w:val="24"/>
                <w:szCs w:val="24"/>
              </w:rPr>
              <w:t>序号</w:t>
            </w:r>
          </w:p>
        </w:tc>
        <w:tc>
          <w:tcPr>
            <w:tcW w:w="1280" w:type="dxa"/>
            <w:vAlign w:val="center"/>
          </w:tcPr>
          <w:p w14:paraId="7CE6DCC3">
            <w:pPr>
              <w:spacing w:before="90" w:line="293" w:lineRule="exact"/>
              <w:jc w:val="center"/>
              <w:rPr>
                <w:rFonts w:hint="eastAsia" w:ascii="方正仿宋_GB2312" w:hAnsi="方正仿宋_GB2312" w:eastAsia="方正仿宋_GB2312" w:cs="方正仿宋_GB2312"/>
                <w:color w:val="auto"/>
                <w:spacing w:val="-5"/>
                <w:w w:val="95"/>
                <w:position w:val="-1"/>
                <w:sz w:val="24"/>
                <w:szCs w:val="24"/>
              </w:rPr>
            </w:pPr>
            <w:r>
              <w:rPr>
                <w:rFonts w:hint="eastAsia" w:ascii="方正仿宋_GB2312" w:hAnsi="方正仿宋_GB2312" w:eastAsia="方正仿宋_GB2312" w:cs="方正仿宋_GB2312"/>
                <w:color w:val="auto"/>
                <w:spacing w:val="-5"/>
                <w:w w:val="95"/>
                <w:position w:val="-1"/>
                <w:sz w:val="24"/>
                <w:szCs w:val="24"/>
              </w:rPr>
              <w:t>评价指标</w:t>
            </w:r>
          </w:p>
        </w:tc>
        <w:tc>
          <w:tcPr>
            <w:tcW w:w="4574" w:type="dxa"/>
            <w:vAlign w:val="center"/>
          </w:tcPr>
          <w:p w14:paraId="6C21B82E">
            <w:pPr>
              <w:spacing w:before="90" w:line="293" w:lineRule="exact"/>
              <w:jc w:val="center"/>
              <w:rPr>
                <w:rFonts w:hint="eastAsia" w:ascii="方正仿宋_GB2312" w:hAnsi="方正仿宋_GB2312" w:eastAsia="方正仿宋_GB2312" w:cs="方正仿宋_GB2312"/>
                <w:color w:val="auto"/>
                <w:spacing w:val="-5"/>
                <w:w w:val="95"/>
                <w:position w:val="-1"/>
                <w:sz w:val="24"/>
                <w:szCs w:val="24"/>
              </w:rPr>
            </w:pPr>
            <w:r>
              <w:rPr>
                <w:rFonts w:hint="eastAsia" w:ascii="方正仿宋_GB2312" w:hAnsi="方正仿宋_GB2312" w:eastAsia="方正仿宋_GB2312" w:cs="方正仿宋_GB2312"/>
                <w:color w:val="auto"/>
                <w:spacing w:val="-5"/>
                <w:w w:val="95"/>
                <w:position w:val="-1"/>
                <w:sz w:val="24"/>
                <w:szCs w:val="24"/>
              </w:rPr>
              <w:t>评分细则</w:t>
            </w:r>
          </w:p>
        </w:tc>
        <w:tc>
          <w:tcPr>
            <w:tcW w:w="808" w:type="dxa"/>
            <w:vAlign w:val="center"/>
          </w:tcPr>
          <w:p w14:paraId="14073882">
            <w:pPr>
              <w:spacing w:before="90" w:line="293" w:lineRule="exact"/>
              <w:jc w:val="center"/>
              <w:rPr>
                <w:rFonts w:hint="eastAsia" w:ascii="方正仿宋_GB2312" w:hAnsi="方正仿宋_GB2312" w:eastAsia="方正仿宋_GB2312" w:cs="方正仿宋_GB2312"/>
                <w:color w:val="auto"/>
                <w:spacing w:val="-5"/>
                <w:w w:val="95"/>
                <w:position w:val="-1"/>
                <w:sz w:val="24"/>
                <w:szCs w:val="24"/>
              </w:rPr>
            </w:pPr>
            <w:r>
              <w:rPr>
                <w:rFonts w:hint="eastAsia" w:ascii="方正仿宋_GB2312" w:hAnsi="方正仿宋_GB2312" w:eastAsia="方正仿宋_GB2312" w:cs="方正仿宋_GB2312"/>
                <w:color w:val="auto"/>
                <w:spacing w:val="-5"/>
                <w:w w:val="95"/>
                <w:position w:val="-1"/>
                <w:sz w:val="24"/>
                <w:szCs w:val="24"/>
              </w:rPr>
              <w:t>分值</w:t>
            </w:r>
          </w:p>
        </w:tc>
        <w:tc>
          <w:tcPr>
            <w:tcW w:w="817" w:type="dxa"/>
            <w:vAlign w:val="center"/>
          </w:tcPr>
          <w:p w14:paraId="4690FFDD">
            <w:pPr>
              <w:spacing w:before="90" w:line="293" w:lineRule="exact"/>
              <w:jc w:val="center"/>
              <w:rPr>
                <w:rFonts w:hint="eastAsia" w:ascii="方正仿宋_GB2312" w:hAnsi="方正仿宋_GB2312" w:eastAsia="方正仿宋_GB2312" w:cs="方正仿宋_GB2312"/>
                <w:color w:val="auto"/>
                <w:spacing w:val="-5"/>
                <w:w w:val="95"/>
                <w:position w:val="-1"/>
                <w:sz w:val="24"/>
                <w:szCs w:val="24"/>
              </w:rPr>
            </w:pPr>
            <w:r>
              <w:rPr>
                <w:rFonts w:hint="eastAsia" w:ascii="方正仿宋_GB2312" w:hAnsi="方正仿宋_GB2312" w:eastAsia="方正仿宋_GB2312" w:cs="方正仿宋_GB2312"/>
                <w:color w:val="auto"/>
                <w:spacing w:val="-5"/>
                <w:w w:val="95"/>
                <w:position w:val="-1"/>
                <w:sz w:val="24"/>
                <w:szCs w:val="24"/>
              </w:rPr>
              <w:t>小计</w:t>
            </w:r>
          </w:p>
        </w:tc>
      </w:tr>
      <w:tr w14:paraId="6ACCCB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863" w:type="dxa"/>
            <w:vMerge w:val="restart"/>
            <w:tcBorders>
              <w:bottom w:val="nil"/>
            </w:tcBorders>
            <w:vAlign w:val="center"/>
          </w:tcPr>
          <w:p w14:paraId="700804B1">
            <w:pPr>
              <w:pStyle w:val="9"/>
              <w:spacing w:before="78" w:line="181" w:lineRule="auto"/>
              <w:jc w:val="center"/>
            </w:pPr>
            <w:r>
              <w:t>1</w:t>
            </w:r>
          </w:p>
        </w:tc>
        <w:tc>
          <w:tcPr>
            <w:tcW w:w="1280" w:type="dxa"/>
            <w:vMerge w:val="restart"/>
            <w:tcBorders>
              <w:bottom w:val="nil"/>
            </w:tcBorders>
            <w:vAlign w:val="center"/>
          </w:tcPr>
          <w:p w14:paraId="37EEA8CE">
            <w:pPr>
              <w:pStyle w:val="9"/>
              <w:spacing w:before="78" w:line="222" w:lineRule="auto"/>
              <w:jc w:val="center"/>
            </w:pPr>
            <w:r>
              <w:rPr>
                <w:spacing w:val="-13"/>
              </w:rPr>
              <w:t>PPT</w:t>
            </w:r>
            <w:r>
              <w:rPr>
                <w:spacing w:val="8"/>
              </w:rPr>
              <w:t xml:space="preserve"> </w:t>
            </w:r>
            <w:r>
              <w:rPr>
                <w:spacing w:val="-13"/>
              </w:rPr>
              <w:t>内容</w:t>
            </w:r>
          </w:p>
        </w:tc>
        <w:tc>
          <w:tcPr>
            <w:tcW w:w="4574" w:type="dxa"/>
            <w:vAlign w:val="center"/>
          </w:tcPr>
          <w:p w14:paraId="665ABB75">
            <w:pPr>
              <w:pStyle w:val="9"/>
              <w:spacing w:before="43" w:line="219" w:lineRule="auto"/>
              <w:ind w:left="116"/>
              <w:jc w:val="center"/>
            </w:pPr>
            <w:r>
              <w:rPr>
                <w:spacing w:val="-5"/>
              </w:rPr>
              <w:t>PPT</w:t>
            </w:r>
            <w:r>
              <w:rPr>
                <w:spacing w:val="-51"/>
              </w:rPr>
              <w:t xml:space="preserve"> </w:t>
            </w:r>
            <w:r>
              <w:rPr>
                <w:spacing w:val="-5"/>
              </w:rPr>
              <w:t>制作精美，表现形式丰富多样</w:t>
            </w:r>
          </w:p>
        </w:tc>
        <w:tc>
          <w:tcPr>
            <w:tcW w:w="808" w:type="dxa"/>
            <w:vAlign w:val="center"/>
          </w:tcPr>
          <w:p w14:paraId="10E6F141">
            <w:pPr>
              <w:pStyle w:val="9"/>
              <w:spacing w:before="80" w:line="181" w:lineRule="auto"/>
              <w:jc w:val="center"/>
            </w:pPr>
            <w:r>
              <w:rPr>
                <w:spacing w:val="-14"/>
              </w:rPr>
              <w:t>10</w:t>
            </w:r>
          </w:p>
        </w:tc>
        <w:tc>
          <w:tcPr>
            <w:tcW w:w="817" w:type="dxa"/>
            <w:vMerge w:val="restart"/>
            <w:tcBorders>
              <w:bottom w:val="nil"/>
            </w:tcBorders>
            <w:vAlign w:val="center"/>
          </w:tcPr>
          <w:p w14:paraId="7E37FC91">
            <w:pPr>
              <w:pStyle w:val="9"/>
              <w:spacing w:before="78" w:line="180" w:lineRule="auto"/>
              <w:jc w:val="center"/>
            </w:pPr>
            <w:r>
              <w:rPr>
                <w:spacing w:val="-7"/>
              </w:rPr>
              <w:t>30</w:t>
            </w:r>
          </w:p>
        </w:tc>
      </w:tr>
      <w:tr w14:paraId="0F27B2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 w:hRule="atLeast"/>
        </w:trPr>
        <w:tc>
          <w:tcPr>
            <w:tcW w:w="863" w:type="dxa"/>
            <w:vMerge w:val="continue"/>
            <w:tcBorders>
              <w:top w:val="nil"/>
              <w:bottom w:val="nil"/>
            </w:tcBorders>
            <w:vAlign w:val="center"/>
          </w:tcPr>
          <w:p w14:paraId="61D4ACCB">
            <w:pPr>
              <w:jc w:val="center"/>
              <w:rPr>
                <w:rFonts w:ascii="Arial"/>
                <w:sz w:val="21"/>
              </w:rPr>
            </w:pPr>
          </w:p>
        </w:tc>
        <w:tc>
          <w:tcPr>
            <w:tcW w:w="1280" w:type="dxa"/>
            <w:vMerge w:val="continue"/>
            <w:tcBorders>
              <w:top w:val="nil"/>
              <w:bottom w:val="nil"/>
            </w:tcBorders>
            <w:vAlign w:val="center"/>
          </w:tcPr>
          <w:p w14:paraId="600B807E">
            <w:pPr>
              <w:jc w:val="center"/>
              <w:rPr>
                <w:rFonts w:ascii="Arial"/>
                <w:sz w:val="21"/>
              </w:rPr>
            </w:pPr>
          </w:p>
        </w:tc>
        <w:tc>
          <w:tcPr>
            <w:tcW w:w="4574" w:type="dxa"/>
            <w:vAlign w:val="center"/>
          </w:tcPr>
          <w:p w14:paraId="78BAE7E7">
            <w:pPr>
              <w:pStyle w:val="9"/>
              <w:spacing w:before="148" w:line="220" w:lineRule="auto"/>
              <w:jc w:val="center"/>
            </w:pPr>
            <w:r>
              <w:rPr>
                <w:spacing w:val="-19"/>
              </w:rPr>
              <w:t>问题把握准确，针对性强，重点突出</w:t>
            </w:r>
          </w:p>
        </w:tc>
        <w:tc>
          <w:tcPr>
            <w:tcW w:w="808" w:type="dxa"/>
            <w:vAlign w:val="center"/>
          </w:tcPr>
          <w:p w14:paraId="3B136DCD">
            <w:pPr>
              <w:pStyle w:val="9"/>
              <w:spacing w:before="186" w:line="181" w:lineRule="auto"/>
              <w:jc w:val="center"/>
            </w:pPr>
            <w:r>
              <w:rPr>
                <w:spacing w:val="-14"/>
              </w:rPr>
              <w:t>10</w:t>
            </w:r>
          </w:p>
        </w:tc>
        <w:tc>
          <w:tcPr>
            <w:tcW w:w="817" w:type="dxa"/>
            <w:vMerge w:val="continue"/>
            <w:tcBorders>
              <w:top w:val="nil"/>
              <w:bottom w:val="nil"/>
            </w:tcBorders>
            <w:vAlign w:val="center"/>
          </w:tcPr>
          <w:p w14:paraId="4D3FAC53">
            <w:pPr>
              <w:jc w:val="center"/>
              <w:rPr>
                <w:rFonts w:ascii="Arial"/>
                <w:sz w:val="21"/>
              </w:rPr>
            </w:pPr>
          </w:p>
        </w:tc>
      </w:tr>
      <w:tr w14:paraId="477FA5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863" w:type="dxa"/>
            <w:vMerge w:val="continue"/>
            <w:tcBorders>
              <w:top w:val="nil"/>
            </w:tcBorders>
            <w:vAlign w:val="center"/>
          </w:tcPr>
          <w:p w14:paraId="0242AFBF">
            <w:pPr>
              <w:jc w:val="center"/>
              <w:rPr>
                <w:rFonts w:ascii="Arial"/>
                <w:sz w:val="21"/>
              </w:rPr>
            </w:pPr>
          </w:p>
        </w:tc>
        <w:tc>
          <w:tcPr>
            <w:tcW w:w="1280" w:type="dxa"/>
            <w:vMerge w:val="continue"/>
            <w:tcBorders>
              <w:top w:val="nil"/>
            </w:tcBorders>
            <w:vAlign w:val="center"/>
          </w:tcPr>
          <w:p w14:paraId="7C2DA673">
            <w:pPr>
              <w:jc w:val="center"/>
              <w:rPr>
                <w:rFonts w:ascii="Arial"/>
                <w:sz w:val="21"/>
              </w:rPr>
            </w:pPr>
          </w:p>
        </w:tc>
        <w:tc>
          <w:tcPr>
            <w:tcW w:w="4574" w:type="dxa"/>
            <w:vAlign w:val="center"/>
          </w:tcPr>
          <w:p w14:paraId="09C1FEEB">
            <w:pPr>
              <w:pStyle w:val="9"/>
              <w:spacing w:before="45" w:line="219" w:lineRule="auto"/>
              <w:jc w:val="center"/>
            </w:pPr>
            <w:r>
              <w:rPr>
                <w:spacing w:val="-9"/>
              </w:rPr>
              <w:t>内容具体、完整，逻辑性和系统性强</w:t>
            </w:r>
          </w:p>
        </w:tc>
        <w:tc>
          <w:tcPr>
            <w:tcW w:w="808" w:type="dxa"/>
            <w:vAlign w:val="center"/>
          </w:tcPr>
          <w:p w14:paraId="688B28DC">
            <w:pPr>
              <w:pStyle w:val="9"/>
              <w:spacing w:before="82" w:line="181" w:lineRule="auto"/>
              <w:jc w:val="center"/>
            </w:pPr>
            <w:r>
              <w:rPr>
                <w:spacing w:val="-14"/>
              </w:rPr>
              <w:t>10</w:t>
            </w:r>
          </w:p>
        </w:tc>
        <w:tc>
          <w:tcPr>
            <w:tcW w:w="817" w:type="dxa"/>
            <w:vMerge w:val="continue"/>
            <w:tcBorders>
              <w:top w:val="nil"/>
            </w:tcBorders>
            <w:vAlign w:val="center"/>
          </w:tcPr>
          <w:p w14:paraId="63207058">
            <w:pPr>
              <w:jc w:val="center"/>
              <w:rPr>
                <w:rFonts w:ascii="Arial"/>
                <w:sz w:val="21"/>
              </w:rPr>
            </w:pPr>
          </w:p>
        </w:tc>
      </w:tr>
      <w:tr w14:paraId="5AA69C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trPr>
        <w:tc>
          <w:tcPr>
            <w:tcW w:w="863" w:type="dxa"/>
            <w:vMerge w:val="restart"/>
            <w:tcBorders>
              <w:bottom w:val="nil"/>
            </w:tcBorders>
            <w:vAlign w:val="center"/>
          </w:tcPr>
          <w:p w14:paraId="14F31018">
            <w:pPr>
              <w:pStyle w:val="9"/>
              <w:spacing w:before="78" w:line="180" w:lineRule="auto"/>
              <w:jc w:val="center"/>
            </w:pPr>
            <w:r>
              <w:t>2</w:t>
            </w:r>
          </w:p>
        </w:tc>
        <w:tc>
          <w:tcPr>
            <w:tcW w:w="1280" w:type="dxa"/>
            <w:vMerge w:val="restart"/>
            <w:tcBorders>
              <w:bottom w:val="nil"/>
            </w:tcBorders>
            <w:vAlign w:val="center"/>
          </w:tcPr>
          <w:p w14:paraId="704E4553">
            <w:pPr>
              <w:pStyle w:val="9"/>
              <w:spacing w:before="78" w:line="222" w:lineRule="auto"/>
              <w:jc w:val="center"/>
            </w:pPr>
            <w:r>
              <w:t>PPT</w:t>
            </w:r>
            <w:r>
              <w:rPr>
                <w:spacing w:val="2"/>
              </w:rPr>
              <w:t>讲解</w:t>
            </w:r>
          </w:p>
        </w:tc>
        <w:tc>
          <w:tcPr>
            <w:tcW w:w="4574" w:type="dxa"/>
            <w:vAlign w:val="center"/>
          </w:tcPr>
          <w:p w14:paraId="0FDE0D83">
            <w:pPr>
              <w:pStyle w:val="9"/>
              <w:spacing w:before="71" w:line="237" w:lineRule="auto"/>
              <w:ind w:right="137"/>
              <w:jc w:val="center"/>
            </w:pPr>
            <w:r>
              <w:rPr>
                <w:spacing w:val="-5"/>
              </w:rPr>
              <w:t>内容简洁凝练，突出生产物流系统规划方</w:t>
            </w:r>
            <w:r>
              <w:rPr>
                <w:spacing w:val="-12"/>
              </w:rPr>
              <w:t>法论</w:t>
            </w:r>
          </w:p>
        </w:tc>
        <w:tc>
          <w:tcPr>
            <w:tcW w:w="808" w:type="dxa"/>
            <w:vAlign w:val="center"/>
          </w:tcPr>
          <w:p w14:paraId="1DE3238F">
            <w:pPr>
              <w:pStyle w:val="9"/>
              <w:spacing w:before="262" w:line="181" w:lineRule="auto"/>
              <w:jc w:val="center"/>
            </w:pPr>
            <w:r>
              <w:rPr>
                <w:spacing w:val="-14"/>
              </w:rPr>
              <w:t>10</w:t>
            </w:r>
          </w:p>
        </w:tc>
        <w:tc>
          <w:tcPr>
            <w:tcW w:w="817" w:type="dxa"/>
            <w:vMerge w:val="restart"/>
            <w:tcBorders>
              <w:bottom w:val="nil"/>
            </w:tcBorders>
            <w:vAlign w:val="center"/>
          </w:tcPr>
          <w:p w14:paraId="0CCC92E6">
            <w:pPr>
              <w:pStyle w:val="9"/>
              <w:spacing w:before="78" w:line="180" w:lineRule="auto"/>
              <w:jc w:val="center"/>
            </w:pPr>
            <w:r>
              <w:rPr>
                <w:spacing w:val="-7"/>
              </w:rPr>
              <w:t>30</w:t>
            </w:r>
          </w:p>
        </w:tc>
      </w:tr>
      <w:tr w14:paraId="6C33EE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trPr>
        <w:tc>
          <w:tcPr>
            <w:tcW w:w="863" w:type="dxa"/>
            <w:vMerge w:val="continue"/>
            <w:tcBorders>
              <w:top w:val="nil"/>
              <w:bottom w:val="nil"/>
            </w:tcBorders>
            <w:vAlign w:val="center"/>
          </w:tcPr>
          <w:p w14:paraId="236103D1">
            <w:pPr>
              <w:jc w:val="center"/>
              <w:rPr>
                <w:rFonts w:ascii="Arial"/>
                <w:sz w:val="21"/>
              </w:rPr>
            </w:pPr>
          </w:p>
        </w:tc>
        <w:tc>
          <w:tcPr>
            <w:tcW w:w="1280" w:type="dxa"/>
            <w:vMerge w:val="continue"/>
            <w:tcBorders>
              <w:top w:val="nil"/>
              <w:bottom w:val="nil"/>
            </w:tcBorders>
            <w:vAlign w:val="center"/>
          </w:tcPr>
          <w:p w14:paraId="67D11C7C">
            <w:pPr>
              <w:jc w:val="center"/>
              <w:rPr>
                <w:rFonts w:ascii="Arial"/>
                <w:sz w:val="21"/>
              </w:rPr>
            </w:pPr>
          </w:p>
        </w:tc>
        <w:tc>
          <w:tcPr>
            <w:tcW w:w="4574" w:type="dxa"/>
            <w:vAlign w:val="center"/>
          </w:tcPr>
          <w:p w14:paraId="21B54FF0">
            <w:pPr>
              <w:pStyle w:val="9"/>
              <w:spacing w:before="157" w:line="222" w:lineRule="auto"/>
              <w:jc w:val="center"/>
            </w:pPr>
            <w:r>
              <w:rPr>
                <w:spacing w:val="-3"/>
              </w:rPr>
              <w:t>表述准确明了，富有感染力和说服力</w:t>
            </w:r>
          </w:p>
        </w:tc>
        <w:tc>
          <w:tcPr>
            <w:tcW w:w="808" w:type="dxa"/>
            <w:vAlign w:val="center"/>
          </w:tcPr>
          <w:p w14:paraId="1CA7DBA8">
            <w:pPr>
              <w:pStyle w:val="9"/>
              <w:spacing w:before="190" w:line="181" w:lineRule="auto"/>
              <w:jc w:val="center"/>
            </w:pPr>
            <w:r>
              <w:rPr>
                <w:spacing w:val="-14"/>
              </w:rPr>
              <w:t>10</w:t>
            </w:r>
          </w:p>
        </w:tc>
        <w:tc>
          <w:tcPr>
            <w:tcW w:w="817" w:type="dxa"/>
            <w:vMerge w:val="continue"/>
            <w:tcBorders>
              <w:top w:val="nil"/>
              <w:bottom w:val="nil"/>
            </w:tcBorders>
            <w:vAlign w:val="center"/>
          </w:tcPr>
          <w:p w14:paraId="468380B8">
            <w:pPr>
              <w:jc w:val="center"/>
              <w:rPr>
                <w:rFonts w:ascii="Arial"/>
                <w:sz w:val="21"/>
              </w:rPr>
            </w:pPr>
          </w:p>
        </w:tc>
      </w:tr>
      <w:tr w14:paraId="67DED9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863" w:type="dxa"/>
            <w:vMerge w:val="continue"/>
            <w:tcBorders>
              <w:top w:val="nil"/>
            </w:tcBorders>
            <w:vAlign w:val="center"/>
          </w:tcPr>
          <w:p w14:paraId="093D63BD">
            <w:pPr>
              <w:jc w:val="center"/>
              <w:rPr>
                <w:rFonts w:ascii="Arial"/>
                <w:sz w:val="21"/>
              </w:rPr>
            </w:pPr>
          </w:p>
        </w:tc>
        <w:tc>
          <w:tcPr>
            <w:tcW w:w="1280" w:type="dxa"/>
            <w:vMerge w:val="continue"/>
            <w:tcBorders>
              <w:top w:val="nil"/>
            </w:tcBorders>
            <w:vAlign w:val="center"/>
          </w:tcPr>
          <w:p w14:paraId="7B6C9492">
            <w:pPr>
              <w:jc w:val="center"/>
              <w:rPr>
                <w:rFonts w:ascii="Arial"/>
                <w:sz w:val="21"/>
              </w:rPr>
            </w:pPr>
          </w:p>
        </w:tc>
        <w:tc>
          <w:tcPr>
            <w:tcW w:w="4574" w:type="dxa"/>
            <w:vAlign w:val="center"/>
          </w:tcPr>
          <w:p w14:paraId="7A2F5277">
            <w:pPr>
              <w:pStyle w:val="9"/>
              <w:spacing w:before="156" w:line="222" w:lineRule="auto"/>
              <w:jc w:val="center"/>
            </w:pPr>
            <w:r>
              <w:rPr>
                <w:spacing w:val="-3"/>
              </w:rPr>
              <w:t>表现大方得体、着装整洁、精神饱满</w:t>
            </w:r>
          </w:p>
        </w:tc>
        <w:tc>
          <w:tcPr>
            <w:tcW w:w="808" w:type="dxa"/>
            <w:vAlign w:val="center"/>
          </w:tcPr>
          <w:p w14:paraId="79778F73">
            <w:pPr>
              <w:pStyle w:val="9"/>
              <w:spacing w:before="189" w:line="181" w:lineRule="auto"/>
              <w:jc w:val="center"/>
            </w:pPr>
            <w:r>
              <w:rPr>
                <w:spacing w:val="-14"/>
              </w:rPr>
              <w:t>10</w:t>
            </w:r>
          </w:p>
        </w:tc>
        <w:tc>
          <w:tcPr>
            <w:tcW w:w="817" w:type="dxa"/>
            <w:vMerge w:val="continue"/>
            <w:tcBorders>
              <w:top w:val="nil"/>
            </w:tcBorders>
            <w:vAlign w:val="center"/>
          </w:tcPr>
          <w:p w14:paraId="5A49F1A6">
            <w:pPr>
              <w:jc w:val="center"/>
              <w:rPr>
                <w:rFonts w:ascii="Arial"/>
                <w:sz w:val="21"/>
              </w:rPr>
            </w:pPr>
          </w:p>
        </w:tc>
      </w:tr>
      <w:tr w14:paraId="505B66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0" w:hRule="atLeast"/>
        </w:trPr>
        <w:tc>
          <w:tcPr>
            <w:tcW w:w="863" w:type="dxa"/>
            <w:vMerge w:val="restart"/>
            <w:tcBorders>
              <w:bottom w:val="nil"/>
            </w:tcBorders>
            <w:vAlign w:val="center"/>
          </w:tcPr>
          <w:p w14:paraId="4F613710">
            <w:pPr>
              <w:pStyle w:val="9"/>
              <w:spacing w:before="78" w:line="180" w:lineRule="auto"/>
              <w:jc w:val="center"/>
            </w:pPr>
            <w:r>
              <w:t>3</w:t>
            </w:r>
          </w:p>
        </w:tc>
        <w:tc>
          <w:tcPr>
            <w:tcW w:w="1280" w:type="dxa"/>
            <w:vMerge w:val="restart"/>
            <w:tcBorders>
              <w:bottom w:val="nil"/>
            </w:tcBorders>
            <w:vAlign w:val="center"/>
          </w:tcPr>
          <w:p w14:paraId="42A9B884">
            <w:pPr>
              <w:pStyle w:val="9"/>
              <w:spacing w:before="78" w:line="223" w:lineRule="auto"/>
              <w:jc w:val="center"/>
            </w:pPr>
            <w:r>
              <w:rPr>
                <w:spacing w:val="-8"/>
              </w:rPr>
              <w:t>答辩</w:t>
            </w:r>
          </w:p>
        </w:tc>
        <w:tc>
          <w:tcPr>
            <w:tcW w:w="4574" w:type="dxa"/>
            <w:vAlign w:val="center"/>
          </w:tcPr>
          <w:p w14:paraId="57BEAA87">
            <w:pPr>
              <w:pStyle w:val="9"/>
              <w:spacing w:before="74" w:line="220" w:lineRule="auto"/>
              <w:jc w:val="center"/>
            </w:pPr>
            <w:r>
              <w:rPr>
                <w:spacing w:val="-20"/>
              </w:rPr>
              <w:t>准确理解问题，回答具有针对性，深入问</w:t>
            </w:r>
            <w:r>
              <w:rPr>
                <w:spacing w:val="-9"/>
              </w:rPr>
              <w:t>题本质</w:t>
            </w:r>
          </w:p>
        </w:tc>
        <w:tc>
          <w:tcPr>
            <w:tcW w:w="808" w:type="dxa"/>
            <w:vAlign w:val="center"/>
          </w:tcPr>
          <w:p w14:paraId="7DDA6870">
            <w:pPr>
              <w:pStyle w:val="9"/>
              <w:spacing w:before="269" w:line="180" w:lineRule="auto"/>
              <w:jc w:val="center"/>
            </w:pPr>
            <w:r>
              <w:rPr>
                <w:spacing w:val="-6"/>
              </w:rPr>
              <w:t>20</w:t>
            </w:r>
          </w:p>
        </w:tc>
        <w:tc>
          <w:tcPr>
            <w:tcW w:w="817" w:type="dxa"/>
            <w:vMerge w:val="restart"/>
            <w:tcBorders>
              <w:bottom w:val="nil"/>
            </w:tcBorders>
            <w:vAlign w:val="center"/>
          </w:tcPr>
          <w:p w14:paraId="3A39CF25">
            <w:pPr>
              <w:pStyle w:val="9"/>
              <w:spacing w:before="78" w:line="180" w:lineRule="auto"/>
              <w:jc w:val="center"/>
            </w:pPr>
            <w:r>
              <w:rPr>
                <w:spacing w:val="-4"/>
              </w:rPr>
              <w:t>40</w:t>
            </w:r>
          </w:p>
        </w:tc>
      </w:tr>
      <w:tr w14:paraId="34E612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63" w:type="dxa"/>
            <w:vMerge w:val="continue"/>
            <w:tcBorders>
              <w:top w:val="nil"/>
              <w:bottom w:val="nil"/>
            </w:tcBorders>
            <w:vAlign w:val="center"/>
          </w:tcPr>
          <w:p w14:paraId="6D0310FC">
            <w:pPr>
              <w:jc w:val="center"/>
              <w:rPr>
                <w:rFonts w:ascii="Arial"/>
                <w:sz w:val="21"/>
              </w:rPr>
            </w:pPr>
          </w:p>
        </w:tc>
        <w:tc>
          <w:tcPr>
            <w:tcW w:w="1280" w:type="dxa"/>
            <w:vMerge w:val="continue"/>
            <w:tcBorders>
              <w:top w:val="nil"/>
              <w:bottom w:val="nil"/>
            </w:tcBorders>
            <w:vAlign w:val="center"/>
          </w:tcPr>
          <w:p w14:paraId="5A317E30">
            <w:pPr>
              <w:jc w:val="center"/>
              <w:rPr>
                <w:rFonts w:ascii="Arial"/>
                <w:sz w:val="21"/>
              </w:rPr>
            </w:pPr>
          </w:p>
        </w:tc>
        <w:tc>
          <w:tcPr>
            <w:tcW w:w="4574" w:type="dxa"/>
            <w:vAlign w:val="center"/>
          </w:tcPr>
          <w:p w14:paraId="2520E9F0">
            <w:pPr>
              <w:pStyle w:val="9"/>
              <w:spacing w:before="156" w:line="219" w:lineRule="auto"/>
              <w:jc w:val="center"/>
            </w:pPr>
            <w:r>
              <w:rPr>
                <w:spacing w:val="-6"/>
              </w:rPr>
              <w:t>思路清晰，逻辑严密，语言简洁流畅</w:t>
            </w:r>
          </w:p>
        </w:tc>
        <w:tc>
          <w:tcPr>
            <w:tcW w:w="808" w:type="dxa"/>
            <w:vAlign w:val="center"/>
          </w:tcPr>
          <w:p w14:paraId="3FF677A1">
            <w:pPr>
              <w:pStyle w:val="9"/>
              <w:spacing w:before="191" w:line="181" w:lineRule="auto"/>
              <w:jc w:val="center"/>
            </w:pPr>
            <w:r>
              <w:rPr>
                <w:spacing w:val="-14"/>
              </w:rPr>
              <w:t>10</w:t>
            </w:r>
          </w:p>
        </w:tc>
        <w:tc>
          <w:tcPr>
            <w:tcW w:w="817" w:type="dxa"/>
            <w:vMerge w:val="continue"/>
            <w:tcBorders>
              <w:top w:val="nil"/>
              <w:bottom w:val="nil"/>
            </w:tcBorders>
            <w:vAlign w:val="center"/>
          </w:tcPr>
          <w:p w14:paraId="165A0380">
            <w:pPr>
              <w:jc w:val="center"/>
              <w:rPr>
                <w:rFonts w:ascii="Arial"/>
                <w:sz w:val="21"/>
              </w:rPr>
            </w:pPr>
          </w:p>
        </w:tc>
      </w:tr>
      <w:tr w14:paraId="064171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863" w:type="dxa"/>
            <w:vMerge w:val="continue"/>
            <w:tcBorders>
              <w:top w:val="nil"/>
            </w:tcBorders>
            <w:vAlign w:val="center"/>
          </w:tcPr>
          <w:p w14:paraId="04484534">
            <w:pPr>
              <w:jc w:val="center"/>
              <w:rPr>
                <w:rFonts w:ascii="Arial"/>
                <w:sz w:val="21"/>
              </w:rPr>
            </w:pPr>
          </w:p>
        </w:tc>
        <w:tc>
          <w:tcPr>
            <w:tcW w:w="1280" w:type="dxa"/>
            <w:vMerge w:val="continue"/>
            <w:tcBorders>
              <w:top w:val="nil"/>
            </w:tcBorders>
            <w:vAlign w:val="center"/>
          </w:tcPr>
          <w:p w14:paraId="1C418981">
            <w:pPr>
              <w:jc w:val="center"/>
              <w:rPr>
                <w:rFonts w:ascii="Arial"/>
                <w:sz w:val="21"/>
              </w:rPr>
            </w:pPr>
          </w:p>
        </w:tc>
        <w:tc>
          <w:tcPr>
            <w:tcW w:w="4574" w:type="dxa"/>
            <w:vAlign w:val="center"/>
          </w:tcPr>
          <w:p w14:paraId="2DFA6D02">
            <w:pPr>
              <w:pStyle w:val="9"/>
              <w:spacing w:before="160" w:line="220" w:lineRule="auto"/>
              <w:jc w:val="center"/>
            </w:pPr>
            <w:r>
              <w:rPr>
                <w:spacing w:val="-11"/>
              </w:rPr>
              <w:t>团队配合默契，协作高效</w:t>
            </w:r>
          </w:p>
        </w:tc>
        <w:tc>
          <w:tcPr>
            <w:tcW w:w="808" w:type="dxa"/>
            <w:vAlign w:val="center"/>
          </w:tcPr>
          <w:p w14:paraId="7E53259F">
            <w:pPr>
              <w:pStyle w:val="9"/>
              <w:spacing w:before="198" w:line="181" w:lineRule="auto"/>
              <w:jc w:val="center"/>
            </w:pPr>
            <w:r>
              <w:rPr>
                <w:spacing w:val="-14"/>
              </w:rPr>
              <w:t>10</w:t>
            </w:r>
          </w:p>
        </w:tc>
        <w:tc>
          <w:tcPr>
            <w:tcW w:w="817" w:type="dxa"/>
            <w:vMerge w:val="continue"/>
            <w:tcBorders>
              <w:top w:val="nil"/>
            </w:tcBorders>
            <w:vAlign w:val="center"/>
          </w:tcPr>
          <w:p w14:paraId="66438C38">
            <w:pPr>
              <w:jc w:val="center"/>
              <w:rPr>
                <w:rFonts w:ascii="Arial"/>
                <w:sz w:val="21"/>
              </w:rPr>
            </w:pPr>
          </w:p>
        </w:tc>
      </w:tr>
      <w:tr w14:paraId="7C0269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717" w:type="dxa"/>
            <w:gridSpan w:val="3"/>
            <w:vAlign w:val="center"/>
          </w:tcPr>
          <w:p w14:paraId="76B0A9A1">
            <w:pPr>
              <w:pStyle w:val="9"/>
              <w:spacing w:before="163" w:line="222" w:lineRule="auto"/>
              <w:jc w:val="center"/>
            </w:pPr>
            <w:r>
              <w:rPr>
                <w:spacing w:val="-12"/>
              </w:rPr>
              <w:t>合计</w:t>
            </w:r>
          </w:p>
        </w:tc>
        <w:tc>
          <w:tcPr>
            <w:tcW w:w="1625" w:type="dxa"/>
            <w:gridSpan w:val="2"/>
            <w:vAlign w:val="center"/>
          </w:tcPr>
          <w:p w14:paraId="6D957B9E">
            <w:pPr>
              <w:pStyle w:val="9"/>
              <w:spacing w:before="199" w:line="181" w:lineRule="auto"/>
              <w:jc w:val="center"/>
            </w:pPr>
            <w:r>
              <w:rPr>
                <w:spacing w:val="-10"/>
              </w:rPr>
              <w:t>100</w:t>
            </w:r>
          </w:p>
        </w:tc>
      </w:tr>
    </w:tbl>
    <w:p w14:paraId="2FF7C699">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（四）违规扣分</w:t>
      </w:r>
    </w:p>
    <w:p w14:paraId="2F81FF01">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1.在完成作答的过程中，因操作不当导致人身或设备安全事故总成绩扣10分，直至取消比赛资格。</w:t>
      </w:r>
    </w:p>
    <w:p w14:paraId="47419C7D">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2.损坏赛场提供的设备，污染赛场环境等不符合职业规范的行为总成绩扣5分。</w:t>
      </w:r>
    </w:p>
    <w:p w14:paraId="40893B36">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3.在竞赛时段，参赛选手有不服从裁判扰乱赛场秩序、有作弊行为的、裁判宣布竞赛时间到仍强行作答的，取消参赛队奖项评比资格。</w:t>
      </w:r>
    </w:p>
    <w:p w14:paraId="73E559C8">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4.选手提交的参赛文件上留有本参赛队信息的标识、符号、文字，视同作弊，取消参赛队奖项评比资格。</w:t>
      </w:r>
    </w:p>
    <w:p w14:paraId="78D764DF">
      <w:pPr>
        <w:spacing w:line="257" w:lineRule="auto"/>
        <w:rPr>
          <w:rFonts w:ascii="Arial"/>
          <w:sz w:val="21"/>
        </w:rPr>
      </w:pPr>
    </w:p>
    <w:p w14:paraId="152029A6">
      <w:pPr>
        <w:spacing w:before="99" w:line="228" w:lineRule="auto"/>
        <w:ind w:left="45"/>
        <w:outlineLvl w:val="0"/>
        <w:rPr>
          <w:rFonts w:ascii="黑体" w:hAnsi="黑体" w:eastAsia="黑体" w:cs="黑体"/>
          <w:sz w:val="30"/>
          <w:szCs w:val="30"/>
        </w:rPr>
      </w:pPr>
      <w:r>
        <w:rPr>
          <w:rFonts w:ascii="黑体" w:hAnsi="黑体" w:eastAsia="黑体" w:cs="黑体"/>
          <w:spacing w:val="19"/>
          <w:sz w:val="30"/>
          <w:szCs w:val="30"/>
        </w:rPr>
        <w:t>十二、奖项设置</w:t>
      </w:r>
    </w:p>
    <w:p w14:paraId="6B8FF615">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参照省教育厅技能大赛文件执行。</w:t>
      </w:r>
    </w:p>
    <w:p w14:paraId="3D4AE398">
      <w:pPr>
        <w:spacing w:before="255" w:line="228" w:lineRule="auto"/>
        <w:ind w:left="45"/>
        <w:rPr>
          <w:rFonts w:ascii="黑体" w:hAnsi="黑体" w:eastAsia="黑体" w:cs="黑体"/>
          <w:sz w:val="30"/>
          <w:szCs w:val="30"/>
        </w:rPr>
      </w:pPr>
      <w:r>
        <w:rPr>
          <w:rFonts w:ascii="黑体" w:hAnsi="黑体" w:eastAsia="黑体" w:cs="黑体"/>
          <w:spacing w:val="19"/>
          <w:sz w:val="30"/>
          <w:szCs w:val="30"/>
        </w:rPr>
        <w:t>十三、赛项预案</w:t>
      </w:r>
    </w:p>
    <w:p w14:paraId="0033530C">
      <w:pPr>
        <w:spacing w:line="228" w:lineRule="auto"/>
        <w:rPr>
          <w:rFonts w:ascii="黑体" w:hAnsi="黑体" w:eastAsia="黑体" w:cs="黑体"/>
          <w:sz w:val="30"/>
          <w:szCs w:val="30"/>
        </w:rPr>
      </w:pPr>
    </w:p>
    <w:p w14:paraId="1DF67D80">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按照《全国职业院校技能大赛制度汇编》中相关制度执行。</w:t>
      </w:r>
    </w:p>
    <w:p w14:paraId="0CAB3B70">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1.赛场配备技术人员，当计算机、设备等出现问题时，技术人员可第一时间提供专业技术支持。</w:t>
      </w:r>
    </w:p>
    <w:p w14:paraId="5819022C">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2.竞赛现场配置安全通道，当出现火情或其他灾害情况，工作人员应立即向保卫组汇报，保卫组接报后要火速到达现场并配合消防队员和公安干警，指挥人员疏散到安全区域并及时处置现场状况。</w:t>
      </w:r>
    </w:p>
    <w:p w14:paraId="7E33D181">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3.竞赛过程中出现设备断电、故障等意外时，现场裁判需及时确认情况，安排技术支持人员进行处理，现场裁判登记详细情况，填写补时登记表，报裁判长批准后，可安排延长补足相应选手的比赛时间。</w:t>
      </w:r>
    </w:p>
    <w:p w14:paraId="5192E7F1">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4.赛场设有应急医疗点，用于参赛选手突发身体不适（如发热、咳嗽等）或出现碰伤、划伤等意外情况的应急处理；如应急医疗点诊断参赛选手可以继续比赛的，经裁判长确认予以安排原工位或备用工位进行比赛。如参赛选手不能继续参加比赛的，必要时可联系120急救车。</w:t>
      </w:r>
    </w:p>
    <w:p w14:paraId="15723CA2">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5.比赛期间发生意外事故，发现者应第一时间报告执委会，同时 采取措施避免事态扩大。赛项出现重大安全问题可以停赛，是否停赛由执委会决定。事后执委会应向组委会报告详细情况。</w:t>
      </w:r>
    </w:p>
    <w:p w14:paraId="0248FB85">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default"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7.未能预知的其他问题的预案。裁判长根据裁判的报告，根据现场实际情况，做出裁定。</w:t>
      </w:r>
    </w:p>
    <w:p w14:paraId="72AA892C">
      <w:pPr>
        <w:spacing w:before="91" w:line="227" w:lineRule="auto"/>
        <w:ind w:left="44"/>
        <w:rPr>
          <w:rFonts w:ascii="黑体" w:hAnsi="黑体" w:eastAsia="黑体" w:cs="黑体"/>
          <w:sz w:val="30"/>
          <w:szCs w:val="30"/>
        </w:rPr>
      </w:pPr>
      <w:r>
        <w:rPr>
          <w:rFonts w:ascii="黑体" w:hAnsi="黑体" w:eastAsia="黑体" w:cs="黑体"/>
          <w:spacing w:val="19"/>
          <w:sz w:val="30"/>
          <w:szCs w:val="30"/>
        </w:rPr>
        <w:t>十四、竞赛须知</w:t>
      </w:r>
    </w:p>
    <w:p w14:paraId="5D58938B">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（一）参赛队须知</w:t>
      </w:r>
    </w:p>
    <w:p w14:paraId="2F3371A3">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1.参赛队名称统一使用规定的地区代表队名称，不使用学校或其他组织、团体名称；不接受跨校组队报名。</w:t>
      </w:r>
    </w:p>
    <w:p w14:paraId="17713D30">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2.参赛队员在报名获得审核确认后，原则上不再更换，如筹备过程中，队员因故不能参赛，须由省级教育行政部门于开赛10个工作日之前出具书面说明，经大赛执委会办公室核实后予以更换；竞赛开始后，参赛队不得更换参赛队员，允许队员缺席比赛。</w:t>
      </w:r>
    </w:p>
    <w:p w14:paraId="19510014">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3.参赛队按照大赛赛程安排，凭有效证件，按时参加检录和竞赛，如不能按时参赛以自动弃权处理。凭大赛组委会颁发的参赛证和有效身 份证件参加比赛及相关活动。</w:t>
      </w:r>
    </w:p>
    <w:p w14:paraId="50011D4C">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4.参赛队员统一着装，须符合安全生产及竞赛要求。</w:t>
      </w:r>
    </w:p>
    <w:p w14:paraId="08BC548B">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5.参赛队员应自觉遵守赛场纪律，服从裁判、听从指挥、文明竞赛；持证进入赛场，禁止将通讯工具、自编电子或文字资料带入赛场。</w:t>
      </w:r>
    </w:p>
    <w:p w14:paraId="29B18F80">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6.参赛队在进入现场之前需完成分工。</w:t>
      </w:r>
    </w:p>
    <w:p w14:paraId="1D5B0E28">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7.参赛选手报到后，应注明队长身份，队长身份应保持竞赛始终，中途不可更换。若队长缺席，可临时指定负责人。</w:t>
      </w:r>
    </w:p>
    <w:p w14:paraId="27C5EC51">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8.在比赛过程中，各参赛选手限定在自己的工作区域和岗位完成比赛任务。比赛过程中，选手休息、饮水或去卫生间等所用时间，一律计算在操作时间内。</w:t>
      </w:r>
    </w:p>
    <w:p w14:paraId="4AD8115B">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9.参赛队欲提前结束比赛，应向裁判员举手示意，比赛终止时间由裁判员记录，参赛队结束比赛后不得再进行任何操作。</w:t>
      </w:r>
    </w:p>
    <w:p w14:paraId="7C5A3FEB">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default"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10.参赛选手不得在赛场内外吸烟，不听劝阻者给予通报批评或清退比赛现场，造成严重后果的将依法处理。</w:t>
      </w:r>
    </w:p>
    <w:p w14:paraId="4B0E448B">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11.参赛选手参加实际操作竞赛前，应由参赛校进行安全教育。如发现问题应及时解决，无法解决的问题应及时向裁判员报告，裁判员视  情况予以判定，并协调处理。对选手未发现的安全隐患或违章操作行为，裁判员应及时指出并予以纠正。</w:t>
      </w:r>
    </w:p>
    <w:p w14:paraId="4A89173C">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13.参赛选手在参赛期间应由派出校为选手购买意外伤害保险。</w:t>
      </w:r>
    </w:p>
    <w:p w14:paraId="532827A5">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（二）指导教师须知</w:t>
      </w:r>
    </w:p>
    <w:p w14:paraId="6F236D14">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1.指导教师经报名、审核后确定，一经确定不得更换。允许指导教师缺席比赛。</w:t>
      </w:r>
    </w:p>
    <w:p w14:paraId="78494DD3">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2.指导教师在进入比赛现场观摩时，应遵守赛场管理须知和赛场纪律。</w:t>
      </w:r>
    </w:p>
    <w:p w14:paraId="75A13D0A">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3.准时参加赛前领队会议，并认真传达落实会议精神，确保准确及时召集本队人员按时到达赛场。</w:t>
      </w:r>
    </w:p>
    <w:p w14:paraId="1DA5DD8D">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4.熟悉竞赛规程和赛项须知，领队负责做好本参赛队比赛期间的管理与组织工作。</w:t>
      </w:r>
    </w:p>
    <w:p w14:paraId="6299D10A">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5.各参赛队领队、指导教师在比赛期间需保持通信畅通。</w:t>
      </w:r>
    </w:p>
    <w:p w14:paraId="603010E9">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6.贯彻执行大赛各项规定，各参赛队领队、指导教师在比赛前和比赛期间不允许私自接触裁判、与裁判谈论与比赛有关的内容，不得以任何形式影响裁判人员的评判。</w:t>
      </w:r>
    </w:p>
    <w:p w14:paraId="5C7C66B6">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7.对申诉的仲裁结果，指导教师应带头服从和执行，还应说服选手服从和执行。</w:t>
      </w:r>
    </w:p>
    <w:p w14:paraId="1D44D4C2">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8.指导教师应认真研究和掌握本赛项比赛的技术规则和赛场要求，对参赛选手做好安全和纪律教育。</w:t>
      </w:r>
    </w:p>
    <w:p w14:paraId="4FC2E5DC">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（三）参赛选手须知</w:t>
      </w:r>
    </w:p>
    <w:p w14:paraId="56E27294">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1.严格遵守技能竞赛规则、技能竞赛纪律和安全操作规程，尊重裁判和赛场工作人员，自觉维护赛场秩序。</w:t>
      </w:r>
    </w:p>
    <w:p w14:paraId="5ED1FC20">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2.佩带参赛证件，着工装进入比赛场地，并接受裁判的检查。</w:t>
      </w:r>
    </w:p>
    <w:p w14:paraId="147EB147">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3.进入赛场前须将手机等通讯工具交赛场相关人员妥善保管。选手不得携带任何纸质资料、通讯工具、电子书、存储设备、照相及录像设备等进赛场，若一经发现取消参赛资格。</w:t>
      </w:r>
    </w:p>
    <w:p w14:paraId="16B45C72">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4.选手在收到开赛信号前不得开始作答，竞赛过程中不准擅自离开赛场。竞赛结束时间到达，应立即停止编制计划和操作，不得拖延竞赛时间。竞赛完成后必须按裁判要求迅速离开赛场，不得在赛场内滞留。</w:t>
      </w:r>
    </w:p>
    <w:p w14:paraId="2B679A0B">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5.严禁作弊行为。</w:t>
      </w:r>
    </w:p>
    <w:p w14:paraId="56746369">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6.爱护竞赛场所的设备、仪器等，不得人为损坏竞赛用仪器设备。</w:t>
      </w:r>
    </w:p>
    <w:p w14:paraId="26F5684C">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7.比赛过程中，参赛选手须严格遵守操作过程和相关准则，保证设备及人身安全，并接受裁判员的监督和警示；若因设备故障导致选手中断或终止比赛，由大赛裁判长视具体情况做出裁决。</w:t>
      </w:r>
    </w:p>
    <w:p w14:paraId="0270B4A9">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8.在比赛过程中，参赛选手由于操作失误导致设备不能正常工作，或造成安全事故不能进行比赛的，将被终止比赛。</w:t>
      </w:r>
    </w:p>
    <w:p w14:paraId="1FDFA96D">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 xml:space="preserve">9.尊重其他参赛队选手，体现“准物流人”的职业道德和修养。 </w:t>
      </w:r>
    </w:p>
    <w:p w14:paraId="3E254F9C">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（四）工作人员须知</w:t>
      </w:r>
    </w:p>
    <w:p w14:paraId="78E1DBB7">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1.工作人员必须服从统一领导，严格遵守竞赛纪律及时间安排，严守工作岗位，不得无故离岗。</w:t>
      </w:r>
    </w:p>
    <w:p w14:paraId="483B5B1D">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2.工作人员必须着装整齐，统一佩戴由大赛组委会签发的相应证件, 精神饱满、热情服务。</w:t>
      </w:r>
    </w:p>
    <w:p w14:paraId="21C69B63">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3.熟悉赛项指南，严格按照工作程序和有关规定办事，遇突发事件, 按照安全工作预案，组织指挥人员疏散，确保人员安全。</w:t>
      </w:r>
    </w:p>
    <w:p w14:paraId="7E8C4E55">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4.工作人员未经允许不得随意进入比赛现场。</w:t>
      </w:r>
    </w:p>
    <w:p w14:paraId="3920F3C5">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5.选手提问，经允许后，可以提问不清楚的问题，裁判人员须正面回答。</w:t>
      </w:r>
    </w:p>
    <w:p w14:paraId="24BA2D15">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6.赛场内保持安静，不准吸烟。</w:t>
      </w:r>
    </w:p>
    <w:p w14:paraId="76FB6C82">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7.各赛场除裁判、赛场配备的工作人员以外，其他人员在竞赛时未经允许不得进入赛场。</w:t>
      </w:r>
    </w:p>
    <w:p w14:paraId="425FE93C">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8.新闻媒体等进入赛场必须经过大赛组委会允许，并且听从现场工作人员的安排和管理，不能影响竞赛进行。</w:t>
      </w:r>
    </w:p>
    <w:p w14:paraId="2F091FD4">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spacing w:val="-6"/>
        </w:rPr>
      </w:pPr>
      <w:r>
        <w:rPr>
          <w:rFonts w:hint="eastAsia" w:ascii="仿宋_GB2312" w:hAnsi="仿宋_GB2312" w:eastAsia="仿宋_GB2312" w:cs="仿宋_GB2312"/>
          <w:b w:val="0"/>
          <w:bCs w:val="0"/>
          <w:snapToGrid/>
          <w:kern w:val="2"/>
          <w:sz w:val="32"/>
          <w:szCs w:val="32"/>
          <w:lang w:val="en-US" w:eastAsia="zh-CN" w:bidi="ar-SA"/>
        </w:rPr>
        <w:t>9.负责各自赛区的裁判员和工作人员不得随意进入其它赛区。</w:t>
      </w:r>
    </w:p>
    <w:p w14:paraId="4703FD64">
      <w:pPr>
        <w:spacing w:before="38" w:line="226" w:lineRule="auto"/>
        <w:ind w:left="44"/>
        <w:outlineLvl w:val="0"/>
        <w:rPr>
          <w:rFonts w:ascii="黑体" w:hAnsi="黑体" w:eastAsia="黑体" w:cs="黑体"/>
          <w:sz w:val="30"/>
          <w:szCs w:val="30"/>
        </w:rPr>
      </w:pPr>
      <w:r>
        <w:rPr>
          <w:rFonts w:ascii="黑体" w:hAnsi="黑体" w:eastAsia="黑体" w:cs="黑体"/>
          <w:spacing w:val="20"/>
          <w:sz w:val="30"/>
          <w:szCs w:val="30"/>
        </w:rPr>
        <w:t>十五、申诉与仲裁</w:t>
      </w:r>
    </w:p>
    <w:p w14:paraId="50EDB916">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本赛项在比赛过程中若出现有失公正或有关人员违规等现象，参赛队领队可在当日比赛结束后2小时内向监督仲裁组提出申诉。赛项监督仲裁组在接到申诉后的2小时内组织复议，并及时反馈复议结果。申诉方对复议结果仍有异议，可由领队向赛区仲裁委员会提出申诉。赛区仲裁委员会的仲裁结果为最终结果。</w:t>
      </w:r>
    </w:p>
    <w:p w14:paraId="1E9A94DC">
      <w:pPr>
        <w:spacing w:before="87" w:line="227" w:lineRule="auto"/>
        <w:ind w:left="44"/>
        <w:outlineLvl w:val="0"/>
        <w:rPr>
          <w:rFonts w:ascii="黑体" w:hAnsi="黑体" w:eastAsia="黑体" w:cs="黑体"/>
          <w:sz w:val="30"/>
          <w:szCs w:val="30"/>
        </w:rPr>
      </w:pPr>
      <w:r>
        <w:rPr>
          <w:rFonts w:ascii="黑体" w:hAnsi="黑体" w:eastAsia="黑体" w:cs="黑体"/>
          <w:spacing w:val="19"/>
          <w:sz w:val="30"/>
          <w:szCs w:val="30"/>
        </w:rPr>
        <w:t>十六、竞赛观摩</w:t>
      </w:r>
    </w:p>
    <w:p w14:paraId="0A26CA3B">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640" w:firstLineChars="200"/>
        <w:jc w:val="both"/>
        <w:textAlignment w:val="baseline"/>
        <w:rPr>
          <w:rFonts w:hint="eastAsia" w:ascii="仿宋_GB2312" w:hAnsi="仿宋_GB2312" w:eastAsia="仿宋_GB2312" w:cs="仿宋_GB2312"/>
          <w:b w:val="0"/>
          <w:bCs w:val="0"/>
          <w:snapToGrid/>
          <w:kern w:val="2"/>
          <w:sz w:val="32"/>
          <w:szCs w:val="32"/>
          <w:lang w:val="en-US" w:eastAsia="zh-CN" w:bidi="ar-SA"/>
        </w:rPr>
      </w:pPr>
      <w:r>
        <w:rPr>
          <w:rFonts w:hint="eastAsia" w:ascii="仿宋_GB2312" w:hAnsi="仿宋_GB2312" w:eastAsia="仿宋_GB2312" w:cs="仿宋_GB2312"/>
          <w:b w:val="0"/>
          <w:bCs w:val="0"/>
          <w:snapToGrid/>
          <w:kern w:val="2"/>
          <w:sz w:val="32"/>
          <w:szCs w:val="32"/>
          <w:lang w:val="en-US" w:eastAsia="zh-CN" w:bidi="ar-SA"/>
        </w:rPr>
        <w:t>根据国家疫情防控要求，为避免人员聚集，竞赛采取“适度集中、有限开放”的办赛模式，竞赛现场观摩限流开放。也可采用竞赛直播等形式。</w:t>
      </w:r>
      <w:bookmarkStart w:id="0" w:name="_GoBack"/>
      <w:bookmarkEnd w:id="0"/>
    </w:p>
    <w:sectPr>
      <w:footerReference r:id="rId8" w:type="default"/>
      <w:pgSz w:w="11907" w:h="16840"/>
      <w:pgMar w:top="1431" w:right="1716" w:bottom="1344" w:left="1786" w:header="0" w:footer="1091"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F0DD924-2374-49CC-93CA-D76FE2DF0CAC}"/>
  </w:font>
  <w:font w:name="黑体">
    <w:panose1 w:val="02010609060101010101"/>
    <w:charset w:val="86"/>
    <w:family w:val="auto"/>
    <w:pitch w:val="default"/>
    <w:sig w:usb0="800002BF" w:usb1="38CF7CFA" w:usb2="00000016" w:usb3="00000000" w:csb0="00040001" w:csb1="00000000"/>
    <w:embedRegular r:id="rId2" w:fontKey="{4DED6DE7-D9DD-437F-8D03-080764A8A34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embedRegular r:id="rId3" w:fontKey="{753D491F-B908-4FE9-A04C-5D249B906C98}"/>
  </w:font>
  <w:font w:name="微软雅黑">
    <w:panose1 w:val="020B0503020204020204"/>
    <w:charset w:val="86"/>
    <w:family w:val="auto"/>
    <w:pitch w:val="default"/>
    <w:sig w:usb0="80000287" w:usb1="2ACF3C50" w:usb2="00000016" w:usb3="00000000" w:csb0="0004001F" w:csb1="00000000"/>
    <w:embedRegular r:id="rId4" w:fontKey="{73DB40AB-4B3C-4CCB-B206-26AAB4DA66BA}"/>
  </w:font>
  <w:font w:name="仿宋_GB2312">
    <w:altName w:val="仿宋"/>
    <w:panose1 w:val="02010609030101010101"/>
    <w:charset w:val="86"/>
    <w:family w:val="modern"/>
    <w:pitch w:val="default"/>
    <w:sig w:usb0="00000000" w:usb1="00000000" w:usb2="00000000" w:usb3="00000000" w:csb0="00040000" w:csb1="00000000"/>
    <w:embedRegular r:id="rId5" w:fontKey="{883AE978-C15A-48A5-A705-28BCCA4023F6}"/>
  </w:font>
  <w:font w:name="楷体_GB2312">
    <w:altName w:val="楷体"/>
    <w:panose1 w:val="02010609030101010101"/>
    <w:charset w:val="86"/>
    <w:family w:val="auto"/>
    <w:pitch w:val="default"/>
    <w:sig w:usb0="00000000" w:usb1="00000000" w:usb2="00000000" w:usb3="00000000" w:csb0="00040000" w:csb1="00000000"/>
    <w:embedRegular r:id="rId6" w:fontKey="{BA57E967-0F30-4F75-AEB1-F1C678F615F3}"/>
  </w:font>
  <w:font w:name="方正仿宋_GB2312">
    <w:panose1 w:val="02000000000000000000"/>
    <w:charset w:val="86"/>
    <w:family w:val="auto"/>
    <w:pitch w:val="default"/>
    <w:sig w:usb0="A00002BF" w:usb1="184F6CFA" w:usb2="00000012" w:usb3="00000000" w:csb0="00040001" w:csb1="00000000"/>
    <w:embedRegular r:id="rId7" w:fontKey="{1BCB1724-5FFB-478D-B1EA-CD9D1B3776B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36E5A">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1D1B404">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PRhHJN0CAAAkBgAADgAAAAAAAAABACAAAAAfAQAAZHJzL2Uyb0RvYy54bWxQSwUG&#10;AAAAAAYABgBZAQAAbgYAAAAA&#10;">
              <v:fill on="f" focussize="0,0"/>
              <v:stroke on="f" weight="0.5pt"/>
              <v:imagedata o:title=""/>
              <o:lock v:ext="edit" aspectratio="f"/>
              <v:textbox inset="0mm,0mm,0mm,0mm" style="mso-fit-shape-to-text:t;">
                <w:txbxContent>
                  <w:p w14:paraId="41D1B404">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9F403">
    <w:pPr>
      <w:spacing w:line="181" w:lineRule="auto"/>
      <w:ind w:left="4166"/>
      <w:rPr>
        <w:rFonts w:ascii="Times New Roman" w:hAnsi="Times New Roman" w:eastAsia="Times New Roman" w:cs="Times New Roman"/>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5D6F75D">
                          <w:pPr>
                            <w:pStyle w:val="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mF77c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AqZhe+3AIAACQGAAAOAAAAAAAAAAEAIAAAAB8BAABkcnMvZTJvRG9jLnhtbFBLBQYA&#10;AAAABgAGAFkBAABtBgAAAAA=&#10;">
              <v:fill on="f" focussize="0,0"/>
              <v:stroke on="f" weight="0.5pt"/>
              <v:imagedata o:title=""/>
              <o:lock v:ext="edit" aspectratio="f"/>
              <v:textbox inset="0mm,0mm,0mm,0mm" style="mso-fit-shape-to-text:t;">
                <w:txbxContent>
                  <w:p w14:paraId="25D6F75D">
                    <w:pPr>
                      <w:pStyle w:val="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0B034">
    <w:pPr>
      <w:spacing w:line="181" w:lineRule="auto"/>
      <w:ind w:left="4277"/>
      <w:rPr>
        <w:rFonts w:ascii="Times New Roman" w:hAnsi="Times New Roman" w:eastAsia="Times New Roman" w:cs="Times New Roman"/>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02B7735">
                          <w:pPr>
                            <w:pStyle w:val="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J0wnyN0CAAAkBgAADgAAAAAAAAABACAAAAAfAQAAZHJzL2Uyb0RvYy54bWxQSwUG&#10;AAAAAAYABgBZAQAAbgYAAAAA&#10;">
              <v:fill on="f" focussize="0,0"/>
              <v:stroke on="f" weight="0.5pt"/>
              <v:imagedata o:title=""/>
              <o:lock v:ext="edit" aspectratio="f"/>
              <v:textbox inset="0mm,0mm,0mm,0mm" style="mso-fit-shape-to-text:t;">
                <w:txbxContent>
                  <w:p w14:paraId="502B7735">
                    <w:pPr>
                      <w:pStyle w:val="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BEBFD8">
    <w:pPr>
      <w:pStyle w:val="4"/>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3ACEB4E">
                          <w:pPr>
                            <w:pStyle w:val="4"/>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ApVbcAgAAJA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CvwKVW3AIAACQGAAAOAAAAAAAAAAEAIAAAAB8BAABkcnMvZTJvRG9jLnhtbFBLBQYA&#10;AAAABgAGAFkBAABtBgAAAAA=&#10;">
              <v:fill on="f" focussize="0,0"/>
              <v:stroke on="f" weight="0.5pt"/>
              <v:imagedata o:title=""/>
              <o:lock v:ext="edit" aspectratio="f"/>
              <v:textbox inset="0mm,0mm,0mm,0mm" style="mso-fit-shape-to-text:t;">
                <w:txbxContent>
                  <w:p w14:paraId="03ACEB4E">
                    <w:pPr>
                      <w:pStyle w:val="4"/>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AE58B3"/>
    <w:multiLevelType w:val="singleLevel"/>
    <w:tmpl w:val="B6AE58B3"/>
    <w:lvl w:ilvl="0" w:tentative="0">
      <w:start w:val="1"/>
      <w:numFmt w:val="decimal"/>
      <w:suff w:val="nothing"/>
      <w:lvlText w:val="（%1）"/>
      <w:lvlJc w:val="left"/>
    </w:lvl>
  </w:abstractNum>
  <w:abstractNum w:abstractNumId="1">
    <w:nsid w:val="399828D7"/>
    <w:multiLevelType w:val="singleLevel"/>
    <w:tmpl w:val="399828D7"/>
    <w:lvl w:ilvl="0" w:tentative="0">
      <w:start w:val="1"/>
      <w:numFmt w:val="upperLetter"/>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isplayBackgroundShape w:val="1"/>
  <w:embedTrueTypeFonts/>
  <w:saveSubsetFonts/>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Yzg1ZWRmOGE2ZjgyNjA1NWUzYjVjODlmYTI3ODI3YmIifQ=="/>
  </w:docVars>
  <w:rsids>
    <w:rsidRoot w:val="00000000"/>
    <w:rsid w:val="09704A52"/>
    <w:rsid w:val="0ADF4703"/>
    <w:rsid w:val="0CBB4B8B"/>
    <w:rsid w:val="0E1275C5"/>
    <w:rsid w:val="13B12973"/>
    <w:rsid w:val="14164D9C"/>
    <w:rsid w:val="16842491"/>
    <w:rsid w:val="1BD36403"/>
    <w:rsid w:val="1EDF6DFF"/>
    <w:rsid w:val="1F171126"/>
    <w:rsid w:val="22C73E32"/>
    <w:rsid w:val="2EC708BB"/>
    <w:rsid w:val="339E473B"/>
    <w:rsid w:val="33D068BE"/>
    <w:rsid w:val="340B388E"/>
    <w:rsid w:val="3AC52989"/>
    <w:rsid w:val="410F2584"/>
    <w:rsid w:val="435F5B2A"/>
    <w:rsid w:val="4557342D"/>
    <w:rsid w:val="45927E77"/>
    <w:rsid w:val="4856022F"/>
    <w:rsid w:val="4AA06B93"/>
    <w:rsid w:val="52043EAB"/>
    <w:rsid w:val="52F263F9"/>
    <w:rsid w:val="54976171"/>
    <w:rsid w:val="552705DC"/>
    <w:rsid w:val="597B08CA"/>
    <w:rsid w:val="5CCC1A69"/>
    <w:rsid w:val="5E30530D"/>
    <w:rsid w:val="65A8200F"/>
    <w:rsid w:val="6DF37226"/>
    <w:rsid w:val="742779EC"/>
    <w:rsid w:val="7B840974"/>
    <w:rsid w:val="7ED63768"/>
    <w:rsid w:val="7F1F1372"/>
    <w:rsid w:val="7F4253B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楷体" w:hAnsi="楷体" w:eastAsia="楷体" w:cs="楷体"/>
      <w:sz w:val="28"/>
      <w:szCs w:val="28"/>
      <w:lang w:val="en-US" w:eastAsia="en-US" w:bidi="ar-SA"/>
    </w:r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8">
    <w:name w:val="Table Normal"/>
    <w:semiHidden/>
    <w:unhideWhenUsed/>
    <w:qFormat/>
    <w:uiPriority w:val="0"/>
    <w:tblPr>
      <w:tblCellMar>
        <w:top w:w="0" w:type="dxa"/>
        <w:left w:w="0" w:type="dxa"/>
        <w:bottom w:w="0" w:type="dxa"/>
        <w:right w:w="0" w:type="dxa"/>
      </w:tblCellMar>
    </w:tblPr>
  </w:style>
  <w:style w:type="paragraph" w:customStyle="1" w:styleId="9">
    <w:name w:val="Table Text"/>
    <w:basedOn w:val="1"/>
    <w:semiHidden/>
    <w:qFormat/>
    <w:uiPriority w:val="0"/>
    <w:rPr>
      <w:rFonts w:ascii="仿宋" w:hAnsi="仿宋" w:eastAsia="仿宋" w:cs="仿宋"/>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24</Pages>
  <Words>11454</Words>
  <Characters>12178</Characters>
  <TotalTime>34</TotalTime>
  <ScaleCrop>false</ScaleCrop>
  <LinksUpToDate>false</LinksUpToDate>
  <CharactersWithSpaces>12290</CharactersWithSpaces>
  <Application>WPS Office_12.1.0.17147_F1E327BC-269C-435d-A152-05C5408002CA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2023-08-06T14:20:00Z</dcterms:created>
  <dc:creator>且听风吟</dc:creator>
  <cp:lastModifiedBy>且听风吟</cp:lastModifiedBy>
  <dcterms:modified xsi:type="dcterms:W3CDTF">2024-08-10T14:09:22Z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2024-07-28T11:30:32Z</vt:filetime>
  </property>
  <property fmtid="{D5CDD505-2E9C-101B-9397-08002B2CF9AE}" pid="4" name="KSOProductBuildVer">
    <vt:lpwstr>2052-12.1.0.17147</vt:lpwstr>
  </property>
  <property fmtid="{D5CDD505-2E9C-101B-9397-08002B2CF9AE}" pid="5" name="ICV">
    <vt:lpwstr>93E79DE06E2B4C589492DC2EC8F37C8A_12</vt:lpwstr>
  </property>
</Properties>
</file>