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3E0DB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_GBK" w:hAnsi="方正小标宋_GBK" w:eastAsia="方正小标宋_GBK" w:cs="方正小标宋_GBK"/>
          <w:b w:val="0"/>
          <w:bCs/>
          <w:kern w:val="2"/>
          <w:sz w:val="44"/>
          <w:szCs w:val="44"/>
        </w:rPr>
      </w:pPr>
      <w:r>
        <w:rPr>
          <w:rFonts w:hint="eastAsia" w:ascii="方正小标宋_GBK" w:hAnsi="方正小标宋_GBK" w:eastAsia="方正小标宋_GBK" w:cs="方正小标宋_GBK"/>
          <w:b w:val="0"/>
          <w:bCs/>
          <w:kern w:val="2"/>
          <w:sz w:val="44"/>
          <w:szCs w:val="44"/>
        </w:rPr>
        <w:t>2025年海南省职业院校技能大赛（高职组）</w:t>
      </w:r>
    </w:p>
    <w:p w14:paraId="38A08B5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_GBK" w:hAnsi="方正小标宋_GBK" w:eastAsia="方正小标宋_GBK" w:cs="方正小标宋_GBK"/>
          <w:b w:val="0"/>
          <w:bCs/>
          <w:kern w:val="2"/>
          <w:sz w:val="44"/>
          <w:szCs w:val="44"/>
        </w:rPr>
      </w:pPr>
      <w:r>
        <w:rPr>
          <w:rFonts w:hint="eastAsia" w:ascii="方正小标宋_GBK" w:hAnsi="方正小标宋_GBK" w:eastAsia="方正小标宋_GBK" w:cs="方正小标宋_GBK"/>
          <w:b w:val="0"/>
          <w:bCs/>
          <w:kern w:val="2"/>
          <w:sz w:val="44"/>
          <w:szCs w:val="44"/>
        </w:rPr>
        <w:t>大数据应用开发赛项规程</w:t>
      </w:r>
    </w:p>
    <w:p w14:paraId="40F8035E">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_GBK" w:hAnsi="方正小标宋_GBK" w:eastAsia="方正小标宋_GBK" w:cs="方正小标宋_GBK"/>
          <w:b w:val="0"/>
          <w:bCs/>
          <w:kern w:val="2"/>
          <w:sz w:val="44"/>
          <w:szCs w:val="44"/>
        </w:rPr>
      </w:pPr>
    </w:p>
    <w:p w14:paraId="020E06A9">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一、赛项名称</w:t>
      </w:r>
    </w:p>
    <w:p w14:paraId="6F223F8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赛项名称：大数据应用开发</w:t>
      </w:r>
    </w:p>
    <w:p w14:paraId="0FEB4E5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赛项组别：高职组</w:t>
      </w:r>
    </w:p>
    <w:p w14:paraId="5128868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赛项归属产业：电子信息产业</w:t>
      </w:r>
    </w:p>
    <w:p w14:paraId="1ABD50E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赛项归属赛道：新一代信息技术赛道</w:t>
      </w:r>
    </w:p>
    <w:p w14:paraId="6BD60E7A">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二、竞赛目标</w:t>
      </w:r>
    </w:p>
    <w:p w14:paraId="0DF646A0">
      <w:pPr>
        <w:spacing w:line="500" w:lineRule="exact"/>
        <w:ind w:firstLine="640" w:firstLineChars="20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为适应大数据产业对高素质技术技能型人才的职业需求，赛项以大数据技术与应用为核心内容和工作基础，重点考查参赛选手基于Hadoop、Spark、Flink平台环境下，充分利用Spark Core、Spark SQL、Flume、Kafka、Flink、Hive、HBase、Redis、MySQL等相关技术的特点，基于Scala、JavaScript等开发语言，综合软件开发相关技术，解决实际问题的能力，激发学生对大数据相关知识和技术的学习兴趣，提升学生职业素养和职业技能，努力为中国大数据产业的发展储备及输送新鲜血液。</w:t>
      </w:r>
    </w:p>
    <w:p w14:paraId="3C00159B">
      <w:pPr>
        <w:tabs>
          <w:tab w:val="left" w:pos="567"/>
        </w:tabs>
        <w:snapToGrid w:val="0"/>
        <w:spacing w:line="560" w:lineRule="exact"/>
        <w:ind w:firstLine="627" w:firstLineChars="196"/>
        <w:rPr>
          <w:rFonts w:hint="eastAsia" w:ascii="仿宋_GB2312" w:hAnsi="仿宋" w:eastAsia="仿宋_GB2312" w:cs="楷体"/>
          <w:snapToGrid w:val="0"/>
          <w:kern w:val="0"/>
          <w:sz w:val="32"/>
          <w:szCs w:val="32"/>
        </w:rPr>
      </w:pPr>
      <w:r>
        <w:rPr>
          <w:rFonts w:hint="eastAsia" w:ascii="仿宋_GB2312" w:hAnsi="仿宋" w:eastAsia="仿宋_GB2312" w:cs="仿宋_GB2312"/>
          <w:snapToGrid w:val="0"/>
          <w:kern w:val="0"/>
          <w:sz w:val="32"/>
          <w:szCs w:val="32"/>
        </w:rPr>
        <w:t>通过举办本赛项，可以搭建校企合作的平台，提升大数据技术专业及其他相关专业毕业生能力素质，满足企业用人需求，促进校企合作协同育人，对接产业发展，实现行业资源、企业资源与教学资源的有机融合，使高职院校在专业建设、课程建设、人才培养方案和人才培养模式等方面，跟踪社会发展的最新需要，缩小人才培养与行业需求差距，引领职业院校专业建设与课程改革。</w:t>
      </w:r>
    </w:p>
    <w:p w14:paraId="6A49BEF6">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三、竞赛内容</w:t>
      </w:r>
    </w:p>
    <w:p w14:paraId="2A2FD389">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赛项以大数据技术与应用为核心内容和工作基础，重点考查参赛选手基于Hadoop、Spark、Flink平台环境下，充分利用Spark Core、Spark SQL、Flume、Kafka、Flink、Hive、HBase、Redis、MySQL等技术的特点，综合软件开发相关技术，解决实际问题的能力，具体包括：</w:t>
      </w:r>
    </w:p>
    <w:p w14:paraId="07D30564">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1.掌握Hadoop平台、基于Spark的离线分析平台、基于Flink的实时分析平台，在容器环境下，按照项目需求安装相关技术组件并按照需求进行合理配置；</w:t>
      </w:r>
    </w:p>
    <w:p w14:paraId="45827FE8">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2.掌握基于Spark的离线数据采集方式方法，完成指定数据的抽取并写入Hive分区表中。掌握基于Flume的实时数据采集，将数据写入Kafka中；</w:t>
      </w:r>
    </w:p>
    <w:p w14:paraId="3A71B20F">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综合利用Flink、Kafka、Hive、Redis、HBase等技术，使用Scala开发语言，完成某电商系统的实时数据处理，包括使用Flink处理Kafka中的数据、实时数据仓库、将数据备份至HBase中、建立Hive外表、将数据处理结果存入Redis中等操作；</w:t>
      </w:r>
    </w:p>
    <w:p w14:paraId="36C8CDEE">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综合利用Spark、Hive、MySQL、HBase等相关技术，使用Scala开发语言，完成某电商系统的离线数据处理，包括Hive数据仓库、使用Spark处理离线数据、数据合并、去重、排序、数据类型转换、将数据处理结果存入MySQL、HBase、Hive中等操作；</w:t>
      </w:r>
    </w:p>
    <w:p w14:paraId="5090ED31">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5.综合运用HTML、CSS、JavaScript等开发技术，结合Vue、ECharts数据可视化组件，利用后端数据接口或</w:t>
      </w:r>
      <w:r>
        <w:rPr>
          <w:rFonts w:hint="eastAsia" w:ascii="仿宋_GB2312" w:hAnsi="仿宋" w:eastAsia="仿宋_GB2312" w:cs="微软雅黑"/>
          <w:snapToGrid w:val="0"/>
          <w:kern w:val="0"/>
          <w:sz w:val="32"/>
          <w:szCs w:val="32"/>
        </w:rPr>
        <w:t>静态</w:t>
      </w:r>
      <w:r>
        <w:rPr>
          <w:rFonts w:hint="eastAsia" w:ascii="仿宋_GB2312" w:hAnsi="仿宋" w:eastAsia="仿宋_GB2312" w:cs="仿宋_GB2312"/>
          <w:snapToGrid w:val="0"/>
          <w:kern w:val="0"/>
          <w:sz w:val="32"/>
          <w:szCs w:val="32"/>
        </w:rPr>
        <w:t>数据文件完成数据可视化；</w:t>
      </w:r>
    </w:p>
    <w:p w14:paraId="62E84073">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6.根据竞赛过程，完成综合分析报告的编写；</w:t>
      </w:r>
    </w:p>
    <w:p w14:paraId="02FD58D8">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7.竞赛时间6小时，竞赛连续进行。</w:t>
      </w:r>
    </w:p>
    <w:p w14:paraId="4C45FA82">
      <w:pPr>
        <w:tabs>
          <w:tab w:val="left" w:pos="567"/>
        </w:tabs>
        <w:snapToGrid w:val="0"/>
        <w:spacing w:line="560" w:lineRule="exact"/>
        <w:ind w:firstLine="627" w:firstLineChars="196"/>
        <w:rPr>
          <w:rFonts w:ascii="仿宋" w:hAnsi="仿宋" w:eastAsia="仿宋" w:cs="仿宋_GB2312"/>
          <w:snapToGrid w:val="0"/>
          <w:kern w:val="0"/>
          <w:sz w:val="32"/>
          <w:szCs w:val="32"/>
        </w:rPr>
      </w:pPr>
      <w:r>
        <w:rPr>
          <w:rFonts w:hint="eastAsia" w:ascii="仿宋_GB2312" w:hAnsi="仿宋" w:eastAsia="仿宋_GB2312" w:cs="仿宋_GB2312"/>
          <w:snapToGrid w:val="0"/>
          <w:kern w:val="0"/>
          <w:sz w:val="32"/>
          <w:szCs w:val="32"/>
        </w:rPr>
        <w:t>竞赛内容构成如下：</w:t>
      </w:r>
    </w:p>
    <w:tbl>
      <w:tblPr>
        <w:tblStyle w:val="13"/>
        <w:tblpPr w:leftFromText="180" w:rightFromText="180" w:vertAnchor="text" w:horzAnchor="page" w:tblpXSpec="center" w:tblpY="479"/>
        <w:tblOverlap w:val="never"/>
        <w:tblW w:w="5000" w:type="pct"/>
        <w:jc w:val="center"/>
        <w:shd w:val="clear" w:color="auto" w:fill="FFFFFF"/>
        <w:tblLayout w:type="autofit"/>
        <w:tblCellMar>
          <w:top w:w="0" w:type="dxa"/>
          <w:left w:w="0" w:type="dxa"/>
          <w:bottom w:w="0" w:type="dxa"/>
          <w:right w:w="0" w:type="dxa"/>
        </w:tblCellMar>
      </w:tblPr>
      <w:tblGrid>
        <w:gridCol w:w="2000"/>
        <w:gridCol w:w="6342"/>
      </w:tblGrid>
      <w:tr w14:paraId="71D06BDA">
        <w:tblPrEx>
          <w:shd w:val="clear" w:color="auto" w:fill="FFFFFF"/>
          <w:tblCellMar>
            <w:top w:w="0" w:type="dxa"/>
            <w:left w:w="0" w:type="dxa"/>
            <w:bottom w:w="0" w:type="dxa"/>
            <w:right w:w="0" w:type="dxa"/>
          </w:tblCellMar>
        </w:tblPrEx>
        <w:trPr>
          <w:trHeight w:val="20" w:hRule="atLeast"/>
          <w:jc w:val="center"/>
        </w:trPr>
        <w:tc>
          <w:tcPr>
            <w:tcW w:w="1199" w:type="pct"/>
            <w:tcBorders>
              <w:top w:val="single" w:color="auto" w:sz="4" w:space="0"/>
              <w:left w:val="single" w:color="auto" w:sz="4" w:space="0"/>
              <w:bottom w:val="single" w:color="auto" w:sz="4" w:space="0"/>
              <w:right w:val="single" w:color="auto" w:sz="4" w:space="0"/>
            </w:tcBorders>
            <w:shd w:val="clear" w:color="auto" w:fill="D8D8D8"/>
            <w:tcMar>
              <w:top w:w="15" w:type="dxa"/>
              <w:left w:w="15" w:type="dxa"/>
              <w:bottom w:w="0" w:type="dxa"/>
              <w:right w:w="15" w:type="dxa"/>
            </w:tcMar>
            <w:vAlign w:val="center"/>
          </w:tcPr>
          <w:p w14:paraId="33A8353B">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考核环节</w:t>
            </w:r>
          </w:p>
        </w:tc>
        <w:tc>
          <w:tcPr>
            <w:tcW w:w="3801" w:type="pct"/>
            <w:tcBorders>
              <w:top w:val="single" w:color="auto" w:sz="4" w:space="0"/>
              <w:left w:val="single" w:color="auto" w:sz="4" w:space="0"/>
              <w:bottom w:val="single" w:color="auto" w:sz="4" w:space="0"/>
              <w:right w:val="single" w:color="auto" w:sz="4" w:space="0"/>
            </w:tcBorders>
            <w:shd w:val="clear" w:color="auto" w:fill="D8D8D8"/>
            <w:tcMar>
              <w:top w:w="15" w:type="dxa"/>
              <w:left w:w="15" w:type="dxa"/>
              <w:bottom w:w="0" w:type="dxa"/>
              <w:right w:w="15" w:type="dxa"/>
            </w:tcMar>
            <w:vAlign w:val="center"/>
          </w:tcPr>
          <w:p w14:paraId="570EE768">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考核知识点和技能点</w:t>
            </w:r>
          </w:p>
        </w:tc>
      </w:tr>
      <w:tr w14:paraId="71A84757">
        <w:tblPrEx>
          <w:tblCellMar>
            <w:top w:w="0" w:type="dxa"/>
            <w:left w:w="0" w:type="dxa"/>
            <w:bottom w:w="0" w:type="dxa"/>
            <w:right w:w="0" w:type="dxa"/>
          </w:tblCellMar>
        </w:tblPrEx>
        <w:trPr>
          <w:trHeight w:val="612" w:hRule="atLeast"/>
          <w:jc w:val="center"/>
        </w:trPr>
        <w:tc>
          <w:tcPr>
            <w:tcW w:w="1199" w:type="pct"/>
            <w:vMerge w:val="restart"/>
            <w:tcBorders>
              <w:top w:val="single" w:color="auto" w:sz="4" w:space="0"/>
              <w:left w:val="single" w:color="auto" w:sz="4" w:space="0"/>
              <w:right w:val="single" w:color="auto" w:sz="4" w:space="0"/>
            </w:tcBorders>
            <w:shd w:val="clear" w:color="auto" w:fill="FFFFFF"/>
            <w:vAlign w:val="center"/>
          </w:tcPr>
          <w:p w14:paraId="63C679B0">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大数据平台环境搭建</w:t>
            </w: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50373991">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Docker基本操作</w:t>
            </w:r>
          </w:p>
        </w:tc>
      </w:tr>
      <w:tr w14:paraId="700F952B">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right w:val="single" w:color="auto" w:sz="4" w:space="0"/>
            </w:tcBorders>
            <w:shd w:val="clear" w:color="auto" w:fill="FFFFFF"/>
            <w:vAlign w:val="center"/>
          </w:tcPr>
          <w:p w14:paraId="5FC5C260">
            <w:pPr>
              <w:adjustRightInd w:val="0"/>
              <w:snapToGrid w:val="0"/>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40BEBAC3">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Hadoop完全分布式安装配置</w:t>
            </w:r>
          </w:p>
        </w:tc>
      </w:tr>
      <w:tr w14:paraId="77DB68E5">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right w:val="single" w:color="auto" w:sz="4" w:space="0"/>
            </w:tcBorders>
            <w:shd w:val="clear" w:color="auto" w:fill="FFFFFF"/>
            <w:vAlign w:val="center"/>
          </w:tcPr>
          <w:p w14:paraId="20DA73A8">
            <w:pPr>
              <w:adjustRightInd w:val="0"/>
              <w:snapToGrid w:val="0"/>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7793B032">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Spark安装配置</w:t>
            </w:r>
          </w:p>
        </w:tc>
      </w:tr>
      <w:tr w14:paraId="66F6A849">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right w:val="single" w:color="auto" w:sz="4" w:space="0"/>
            </w:tcBorders>
            <w:shd w:val="clear" w:color="auto" w:fill="FFFFFF"/>
            <w:vAlign w:val="center"/>
          </w:tcPr>
          <w:p w14:paraId="37540769">
            <w:pPr>
              <w:adjustRightInd w:val="0"/>
              <w:snapToGrid w:val="0"/>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2DAD287A">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Flink安装配置</w:t>
            </w:r>
          </w:p>
        </w:tc>
      </w:tr>
      <w:tr w14:paraId="6745C154">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right w:val="single" w:color="auto" w:sz="4" w:space="0"/>
            </w:tcBorders>
            <w:shd w:val="clear" w:color="auto" w:fill="FFFFFF"/>
            <w:vAlign w:val="center"/>
          </w:tcPr>
          <w:p w14:paraId="1FA2DBCD">
            <w:pPr>
              <w:adjustRightInd w:val="0"/>
              <w:snapToGrid w:val="0"/>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45D714CC">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Hive安装配置</w:t>
            </w:r>
          </w:p>
        </w:tc>
      </w:tr>
      <w:tr w14:paraId="32713277">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right w:val="single" w:color="auto" w:sz="4" w:space="0"/>
            </w:tcBorders>
            <w:shd w:val="clear" w:color="auto" w:fill="FFFFFF"/>
            <w:vAlign w:val="center"/>
          </w:tcPr>
          <w:p w14:paraId="7A16B0F1">
            <w:pPr>
              <w:adjustRightInd w:val="0"/>
              <w:snapToGrid w:val="0"/>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538F104D">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Kafka安装配置</w:t>
            </w:r>
          </w:p>
        </w:tc>
      </w:tr>
      <w:tr w14:paraId="7BF01B02">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right w:val="single" w:color="auto" w:sz="4" w:space="0"/>
            </w:tcBorders>
            <w:shd w:val="clear" w:color="auto" w:fill="FFFFFF"/>
            <w:vAlign w:val="center"/>
          </w:tcPr>
          <w:p w14:paraId="3BA9C690">
            <w:pPr>
              <w:adjustRightInd w:val="0"/>
              <w:snapToGrid w:val="0"/>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7B335927">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Flume安装配置</w:t>
            </w:r>
          </w:p>
        </w:tc>
      </w:tr>
      <w:tr w14:paraId="7324486D">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bottom w:val="single" w:color="auto" w:sz="4" w:space="0"/>
              <w:right w:val="single" w:color="auto" w:sz="4" w:space="0"/>
            </w:tcBorders>
            <w:shd w:val="clear" w:color="auto" w:fill="FFFFFF"/>
            <w:vAlign w:val="center"/>
          </w:tcPr>
          <w:p w14:paraId="45492705">
            <w:pPr>
              <w:adjustRightInd w:val="0"/>
              <w:snapToGrid w:val="0"/>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226AB812">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HBase安装配置</w:t>
            </w:r>
          </w:p>
        </w:tc>
      </w:tr>
      <w:tr w14:paraId="7E13FDBB">
        <w:tblPrEx>
          <w:tblCellMar>
            <w:top w:w="0" w:type="dxa"/>
            <w:left w:w="0" w:type="dxa"/>
            <w:bottom w:w="0" w:type="dxa"/>
            <w:right w:w="0" w:type="dxa"/>
          </w:tblCellMar>
        </w:tblPrEx>
        <w:trPr>
          <w:trHeight w:val="612" w:hRule="atLeast"/>
          <w:jc w:val="center"/>
        </w:trPr>
        <w:tc>
          <w:tcPr>
            <w:tcW w:w="1199" w:type="pct"/>
            <w:vMerge w:val="restart"/>
            <w:tcBorders>
              <w:top w:val="single" w:color="auto" w:sz="4" w:space="0"/>
              <w:left w:val="single" w:color="auto" w:sz="4" w:space="0"/>
              <w:right w:val="single" w:color="auto" w:sz="4" w:space="0"/>
            </w:tcBorders>
            <w:shd w:val="clear" w:color="auto" w:fill="FFFFFF"/>
            <w:tcMar>
              <w:top w:w="15" w:type="dxa"/>
              <w:left w:w="15" w:type="dxa"/>
              <w:bottom w:w="0" w:type="dxa"/>
              <w:right w:w="15" w:type="dxa"/>
            </w:tcMar>
            <w:vAlign w:val="center"/>
          </w:tcPr>
          <w:p w14:paraId="51FB7F26">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数据采集</w:t>
            </w: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3849B0E4">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使用Spark抽取MySQL指定数据表中的增量数据到ods层的指定的分区表中。</w:t>
            </w:r>
          </w:p>
        </w:tc>
      </w:tr>
      <w:tr w14:paraId="1FBC6359">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right w:val="single" w:color="auto" w:sz="4" w:space="0"/>
            </w:tcBorders>
            <w:shd w:val="clear" w:color="auto" w:fill="FFFFFF"/>
            <w:vAlign w:val="center"/>
          </w:tcPr>
          <w:p w14:paraId="5FF9E625">
            <w:pPr>
              <w:adjustRightInd w:val="0"/>
              <w:snapToGrid w:val="0"/>
              <w:jc w:val="center"/>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10FEF2FC">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使用Flume采集某端口的实时数据流并存入Kafka指定的Topic中</w:t>
            </w:r>
          </w:p>
        </w:tc>
      </w:tr>
      <w:tr w14:paraId="46D78701">
        <w:tblPrEx>
          <w:tblCellMar>
            <w:top w:w="0" w:type="dxa"/>
            <w:left w:w="0" w:type="dxa"/>
            <w:bottom w:w="0" w:type="dxa"/>
            <w:right w:w="0" w:type="dxa"/>
          </w:tblCellMar>
        </w:tblPrEx>
        <w:trPr>
          <w:trHeight w:val="612" w:hRule="atLeast"/>
          <w:jc w:val="center"/>
        </w:trPr>
        <w:tc>
          <w:tcPr>
            <w:tcW w:w="1199" w:type="pct"/>
            <w:vMerge w:val="restart"/>
            <w:tcBorders>
              <w:top w:val="single" w:color="auto" w:sz="4" w:space="0"/>
              <w:left w:val="single" w:color="auto" w:sz="4" w:space="0"/>
              <w:right w:val="single" w:color="auto" w:sz="4" w:space="0"/>
            </w:tcBorders>
            <w:shd w:val="clear" w:color="auto" w:fill="FFFFFF"/>
            <w:tcMar>
              <w:top w:w="15" w:type="dxa"/>
              <w:left w:w="15" w:type="dxa"/>
              <w:bottom w:w="0" w:type="dxa"/>
              <w:right w:w="15" w:type="dxa"/>
            </w:tcMar>
            <w:vAlign w:val="center"/>
          </w:tcPr>
          <w:p w14:paraId="193C10D8">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实时数据处理</w:t>
            </w: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305EFB32">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使用Flink消费Kafka中的数据并将数据分发至Kafka的dwd层中</w:t>
            </w:r>
          </w:p>
        </w:tc>
      </w:tr>
      <w:tr w14:paraId="6BAEA69E">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right w:val="single" w:color="auto" w:sz="4" w:space="0"/>
            </w:tcBorders>
            <w:shd w:val="clear" w:color="auto" w:fill="FFFFFF"/>
            <w:tcMar>
              <w:top w:w="15" w:type="dxa"/>
              <w:left w:w="15" w:type="dxa"/>
              <w:bottom w:w="0" w:type="dxa"/>
              <w:right w:w="15" w:type="dxa"/>
            </w:tcMar>
            <w:vAlign w:val="center"/>
          </w:tcPr>
          <w:p w14:paraId="55630309">
            <w:pPr>
              <w:adjustRightInd w:val="0"/>
              <w:snapToGrid w:val="0"/>
              <w:jc w:val="center"/>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527849A8">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使用Flink消费Kafka中的数据的同时能够将数据备份至HBase中，同时建立Hive外表</w:t>
            </w:r>
          </w:p>
        </w:tc>
      </w:tr>
      <w:tr w14:paraId="2417E737">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right w:val="single" w:color="auto" w:sz="4" w:space="0"/>
            </w:tcBorders>
            <w:shd w:val="clear" w:color="auto" w:fill="FFFFFF"/>
            <w:tcMar>
              <w:top w:w="15" w:type="dxa"/>
              <w:left w:w="15" w:type="dxa"/>
              <w:bottom w:w="0" w:type="dxa"/>
              <w:right w:w="15" w:type="dxa"/>
            </w:tcMar>
            <w:vAlign w:val="center"/>
          </w:tcPr>
          <w:p w14:paraId="263AED84">
            <w:pPr>
              <w:adjustRightInd w:val="0"/>
              <w:snapToGrid w:val="0"/>
              <w:jc w:val="center"/>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3DB6AD01">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使用Flink对实时数据进行处理并将处理计算结果存入Redis中</w:t>
            </w:r>
          </w:p>
        </w:tc>
      </w:tr>
      <w:tr w14:paraId="0AEFAF89">
        <w:tblPrEx>
          <w:tblCellMar>
            <w:top w:w="0" w:type="dxa"/>
            <w:left w:w="0" w:type="dxa"/>
            <w:bottom w:w="0" w:type="dxa"/>
            <w:right w:w="0" w:type="dxa"/>
          </w:tblCellMar>
        </w:tblPrEx>
        <w:trPr>
          <w:trHeight w:val="612" w:hRule="atLeast"/>
          <w:jc w:val="center"/>
        </w:trPr>
        <w:tc>
          <w:tcPr>
            <w:tcW w:w="1199" w:type="pct"/>
            <w:vMerge w:val="restart"/>
            <w:tcBorders>
              <w:top w:val="single" w:color="auto" w:sz="4" w:space="0"/>
              <w:left w:val="single" w:color="auto" w:sz="4" w:space="0"/>
              <w:right w:val="single" w:color="auto" w:sz="4" w:space="0"/>
            </w:tcBorders>
            <w:shd w:val="clear" w:color="auto" w:fill="FFFFFF"/>
            <w:vAlign w:val="center"/>
          </w:tcPr>
          <w:p w14:paraId="440DF961">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离线数据处理</w:t>
            </w: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6724D441">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使用Spark对ods层中的离线数据进行清洗，包括数据合并、去重、排序、数据类型转换等操作</w:t>
            </w:r>
          </w:p>
        </w:tc>
      </w:tr>
      <w:tr w14:paraId="42CDDB35">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right w:val="single" w:color="auto" w:sz="4" w:space="0"/>
            </w:tcBorders>
            <w:shd w:val="clear" w:color="auto" w:fill="FFFFFF"/>
            <w:vAlign w:val="center"/>
          </w:tcPr>
          <w:p w14:paraId="282DE028">
            <w:pPr>
              <w:adjustRightInd w:val="0"/>
              <w:snapToGrid w:val="0"/>
              <w:jc w:val="center"/>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02FD19A7">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将清洗完的数据存入dwd层中</w:t>
            </w:r>
          </w:p>
        </w:tc>
      </w:tr>
      <w:tr w14:paraId="7BF71856">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right w:val="single" w:color="auto" w:sz="4" w:space="0"/>
            </w:tcBorders>
            <w:shd w:val="clear" w:color="auto" w:fill="FFFFFF"/>
            <w:vAlign w:val="center"/>
          </w:tcPr>
          <w:p w14:paraId="6E5F5B4B">
            <w:pPr>
              <w:adjustRightInd w:val="0"/>
              <w:snapToGrid w:val="0"/>
              <w:jc w:val="center"/>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5B3E3153">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根据dwd层的数据使用Spark对数据进行处理计算，并将计算结果存入MySQL中</w:t>
            </w:r>
          </w:p>
        </w:tc>
      </w:tr>
      <w:tr w14:paraId="62AEC236">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right w:val="single" w:color="auto" w:sz="4" w:space="0"/>
            </w:tcBorders>
            <w:shd w:val="clear" w:color="auto" w:fill="FFFFFF"/>
            <w:vAlign w:val="center"/>
          </w:tcPr>
          <w:p w14:paraId="516D9D9E">
            <w:pPr>
              <w:adjustRightInd w:val="0"/>
              <w:snapToGrid w:val="0"/>
              <w:jc w:val="center"/>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75449255">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根据dwd层的数据使用Spark对数据进行处理计算，并将计算结果存入HBase中</w:t>
            </w:r>
          </w:p>
        </w:tc>
      </w:tr>
      <w:tr w14:paraId="679AFD9C">
        <w:tblPrEx>
          <w:tblCellMar>
            <w:top w:w="0" w:type="dxa"/>
            <w:left w:w="0" w:type="dxa"/>
            <w:bottom w:w="0" w:type="dxa"/>
            <w:right w:w="0" w:type="dxa"/>
          </w:tblCellMar>
        </w:tblPrEx>
        <w:trPr>
          <w:trHeight w:val="612" w:hRule="atLeast"/>
          <w:jc w:val="center"/>
        </w:trPr>
        <w:tc>
          <w:tcPr>
            <w:tcW w:w="1199" w:type="pct"/>
            <w:vMerge w:val="continue"/>
            <w:tcBorders>
              <w:left w:val="single" w:color="auto" w:sz="4" w:space="0"/>
              <w:bottom w:val="single" w:color="auto" w:sz="4" w:space="0"/>
              <w:right w:val="single" w:color="auto" w:sz="4" w:space="0"/>
            </w:tcBorders>
            <w:shd w:val="clear" w:color="auto" w:fill="FFFFFF"/>
            <w:vAlign w:val="center"/>
          </w:tcPr>
          <w:p w14:paraId="655D6ADB">
            <w:pPr>
              <w:adjustRightInd w:val="0"/>
              <w:snapToGrid w:val="0"/>
              <w:jc w:val="center"/>
              <w:rPr>
                <w:rFonts w:hint="eastAsia" w:ascii="仿宋_GB2312" w:hAnsi="仿宋" w:eastAsia="仿宋_GB2312" w:cs="仿宋_GB2312"/>
                <w:snapToGrid w:val="0"/>
                <w:kern w:val="0"/>
                <w:sz w:val="32"/>
                <w:szCs w:val="32"/>
              </w:rPr>
            </w:pP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4BD93A36">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根据dwd层的数据使用Spark对数据进行处理计算，并将计算结果存入Hive中</w:t>
            </w:r>
          </w:p>
        </w:tc>
      </w:tr>
      <w:tr w14:paraId="4B164512">
        <w:tblPrEx>
          <w:tblCellMar>
            <w:top w:w="0" w:type="dxa"/>
            <w:left w:w="0" w:type="dxa"/>
            <w:bottom w:w="0" w:type="dxa"/>
            <w:right w:w="0" w:type="dxa"/>
          </w:tblCellMar>
        </w:tblPrEx>
        <w:trPr>
          <w:trHeight w:val="612" w:hRule="atLeast"/>
          <w:jc w:val="center"/>
        </w:trPr>
        <w:tc>
          <w:tcPr>
            <w:tcW w:w="1199" w:type="pct"/>
            <w:tcBorders>
              <w:left w:val="single" w:color="auto" w:sz="4" w:space="0"/>
              <w:right w:val="single" w:color="auto" w:sz="4" w:space="0"/>
            </w:tcBorders>
            <w:shd w:val="clear" w:color="auto" w:fill="FFFFFF"/>
            <w:vAlign w:val="center"/>
          </w:tcPr>
          <w:p w14:paraId="40003B43">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数据可视化</w:t>
            </w: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63EE6143">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根据后端数据接口或静态数据文件，基于Vue、ECharts的数据可视化编码（柱状图、折线图、饼状图等）</w:t>
            </w:r>
          </w:p>
        </w:tc>
      </w:tr>
      <w:tr w14:paraId="443BE2A0">
        <w:tblPrEx>
          <w:tblCellMar>
            <w:top w:w="0" w:type="dxa"/>
            <w:left w:w="0" w:type="dxa"/>
            <w:bottom w:w="0" w:type="dxa"/>
            <w:right w:w="0" w:type="dxa"/>
          </w:tblCellMar>
        </w:tblPrEx>
        <w:trPr>
          <w:trHeight w:val="612" w:hRule="atLeast"/>
          <w:jc w:val="center"/>
        </w:trPr>
        <w:tc>
          <w:tcPr>
            <w:tcW w:w="1199"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30649570">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综合分析报告</w:t>
            </w:r>
          </w:p>
        </w:tc>
        <w:tc>
          <w:tcPr>
            <w:tcW w:w="3801" w:type="pct"/>
            <w:tcBorders>
              <w:top w:val="single" w:color="auto" w:sz="4"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1DC5B19F">
            <w:pPr>
              <w:adjustRightInd w:val="0"/>
              <w:snapToGrid w:val="0"/>
              <w:rPr>
                <w:rFonts w:hint="eastAsia" w:ascii="仿宋_GB2312" w:hAnsi="仿宋_GB2312" w:eastAsia="仿宋_GB2312" w:cs="仿宋_GB2312"/>
                <w:b w:val="0"/>
                <w:bCs w:val="0"/>
                <w:kern w:val="2"/>
                <w:sz w:val="32"/>
                <w:szCs w:val="32"/>
                <w:lang w:eastAsia="zh-CN"/>
              </w:rPr>
            </w:pPr>
            <w:r>
              <w:rPr>
                <w:rFonts w:hint="eastAsia" w:ascii="仿宋_GB2312" w:hAnsi="仿宋_GB2312" w:eastAsia="仿宋_GB2312" w:cs="仿宋_GB2312"/>
                <w:b w:val="0"/>
                <w:bCs w:val="0"/>
                <w:kern w:val="2"/>
                <w:sz w:val="32"/>
                <w:szCs w:val="32"/>
                <w:lang w:eastAsia="zh-CN"/>
              </w:rPr>
              <w:t>文档能力、综合分析能力</w:t>
            </w:r>
          </w:p>
        </w:tc>
      </w:tr>
    </w:tbl>
    <w:p w14:paraId="4871E100">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竞赛各阶段分值权重和时间分布如下：</w:t>
      </w:r>
    </w:p>
    <w:tbl>
      <w:tblPr>
        <w:tblStyle w:val="13"/>
        <w:tblW w:w="8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1"/>
        <w:gridCol w:w="1560"/>
        <w:gridCol w:w="2285"/>
      </w:tblGrid>
      <w:tr w14:paraId="03C46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531" w:type="dxa"/>
            <w:shd w:val="clear" w:color="auto" w:fill="D8D8D8"/>
            <w:vAlign w:val="center"/>
          </w:tcPr>
          <w:p w14:paraId="53D1A4C6">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阶段</w:t>
            </w:r>
          </w:p>
        </w:tc>
        <w:tc>
          <w:tcPr>
            <w:tcW w:w="1560" w:type="dxa"/>
            <w:shd w:val="clear" w:color="auto" w:fill="D8D8D8"/>
            <w:vAlign w:val="center"/>
          </w:tcPr>
          <w:p w14:paraId="2CAB2FB9">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竞赛时间</w:t>
            </w:r>
          </w:p>
        </w:tc>
        <w:tc>
          <w:tcPr>
            <w:tcW w:w="2285" w:type="dxa"/>
            <w:shd w:val="clear" w:color="auto" w:fill="D8D8D8"/>
            <w:vAlign w:val="center"/>
          </w:tcPr>
          <w:p w14:paraId="3E52A659">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分值权重</w:t>
            </w:r>
          </w:p>
        </w:tc>
      </w:tr>
      <w:tr w14:paraId="4B91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215D6FDC">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大数据平台环境搭建</w:t>
            </w:r>
          </w:p>
        </w:tc>
        <w:tc>
          <w:tcPr>
            <w:tcW w:w="1560" w:type="dxa"/>
            <w:vMerge w:val="restart"/>
            <w:vAlign w:val="center"/>
          </w:tcPr>
          <w:p w14:paraId="18991AA6">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6小时</w:t>
            </w:r>
          </w:p>
        </w:tc>
        <w:tc>
          <w:tcPr>
            <w:tcW w:w="2285" w:type="dxa"/>
            <w:vAlign w:val="center"/>
          </w:tcPr>
          <w:p w14:paraId="44A00FF9">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权重10%</w:t>
            </w:r>
          </w:p>
        </w:tc>
      </w:tr>
      <w:tr w14:paraId="1603B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295E0009">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数据采集</w:t>
            </w:r>
          </w:p>
        </w:tc>
        <w:tc>
          <w:tcPr>
            <w:tcW w:w="1560" w:type="dxa"/>
            <w:vMerge w:val="continue"/>
            <w:vAlign w:val="center"/>
          </w:tcPr>
          <w:p w14:paraId="16343416">
            <w:pPr>
              <w:adjustRightInd w:val="0"/>
              <w:snapToGrid w:val="0"/>
              <w:jc w:val="center"/>
              <w:rPr>
                <w:rFonts w:hint="eastAsia" w:ascii="仿宋_GB2312" w:hAnsi="仿宋" w:eastAsia="仿宋_GB2312" w:cs="仿宋_GB2312"/>
                <w:snapToGrid w:val="0"/>
                <w:kern w:val="0"/>
                <w:sz w:val="32"/>
                <w:szCs w:val="32"/>
              </w:rPr>
            </w:pPr>
          </w:p>
        </w:tc>
        <w:tc>
          <w:tcPr>
            <w:tcW w:w="2285" w:type="dxa"/>
            <w:vAlign w:val="center"/>
          </w:tcPr>
          <w:p w14:paraId="6BBEE929">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权重15%</w:t>
            </w:r>
          </w:p>
        </w:tc>
      </w:tr>
      <w:tr w14:paraId="64A52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28142DEF">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实时数据处理</w:t>
            </w:r>
          </w:p>
        </w:tc>
        <w:tc>
          <w:tcPr>
            <w:tcW w:w="1560" w:type="dxa"/>
            <w:vMerge w:val="continue"/>
            <w:vAlign w:val="center"/>
          </w:tcPr>
          <w:p w14:paraId="2932FC19">
            <w:pPr>
              <w:adjustRightInd w:val="0"/>
              <w:snapToGrid w:val="0"/>
              <w:jc w:val="center"/>
              <w:rPr>
                <w:rFonts w:hint="eastAsia" w:ascii="仿宋_GB2312" w:hAnsi="仿宋" w:eastAsia="仿宋_GB2312" w:cs="仿宋_GB2312"/>
                <w:snapToGrid w:val="0"/>
                <w:kern w:val="0"/>
                <w:sz w:val="32"/>
                <w:szCs w:val="32"/>
              </w:rPr>
            </w:pPr>
          </w:p>
        </w:tc>
        <w:tc>
          <w:tcPr>
            <w:tcW w:w="2285" w:type="dxa"/>
            <w:vAlign w:val="center"/>
          </w:tcPr>
          <w:p w14:paraId="23FE0F7E">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权重25%</w:t>
            </w:r>
          </w:p>
        </w:tc>
      </w:tr>
      <w:tr w14:paraId="74EAB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2F0B7971">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离线数据处理</w:t>
            </w:r>
          </w:p>
        </w:tc>
        <w:tc>
          <w:tcPr>
            <w:tcW w:w="1560" w:type="dxa"/>
            <w:vMerge w:val="continue"/>
            <w:vAlign w:val="center"/>
          </w:tcPr>
          <w:p w14:paraId="663EBA37">
            <w:pPr>
              <w:adjustRightInd w:val="0"/>
              <w:snapToGrid w:val="0"/>
              <w:jc w:val="center"/>
              <w:rPr>
                <w:rFonts w:hint="eastAsia" w:ascii="仿宋_GB2312" w:hAnsi="仿宋" w:eastAsia="仿宋_GB2312" w:cs="仿宋_GB2312"/>
                <w:snapToGrid w:val="0"/>
                <w:kern w:val="0"/>
                <w:sz w:val="32"/>
                <w:szCs w:val="32"/>
              </w:rPr>
            </w:pPr>
          </w:p>
        </w:tc>
        <w:tc>
          <w:tcPr>
            <w:tcW w:w="2285" w:type="dxa"/>
            <w:vAlign w:val="center"/>
          </w:tcPr>
          <w:p w14:paraId="0F7ACBD7">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权重20%</w:t>
            </w:r>
          </w:p>
        </w:tc>
      </w:tr>
      <w:tr w14:paraId="59015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6B11B71E">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数据可视化</w:t>
            </w:r>
          </w:p>
        </w:tc>
        <w:tc>
          <w:tcPr>
            <w:tcW w:w="1560" w:type="dxa"/>
            <w:vMerge w:val="continue"/>
            <w:vAlign w:val="center"/>
          </w:tcPr>
          <w:p w14:paraId="21AAD8D6">
            <w:pPr>
              <w:adjustRightInd w:val="0"/>
              <w:snapToGrid w:val="0"/>
              <w:jc w:val="center"/>
              <w:rPr>
                <w:rFonts w:hint="eastAsia" w:ascii="仿宋_GB2312" w:hAnsi="仿宋" w:eastAsia="仿宋_GB2312" w:cs="仿宋_GB2312"/>
                <w:snapToGrid w:val="0"/>
                <w:kern w:val="0"/>
                <w:sz w:val="32"/>
                <w:szCs w:val="32"/>
              </w:rPr>
            </w:pPr>
          </w:p>
        </w:tc>
        <w:tc>
          <w:tcPr>
            <w:tcW w:w="2285" w:type="dxa"/>
            <w:vAlign w:val="center"/>
          </w:tcPr>
          <w:p w14:paraId="324D429D">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权重15%</w:t>
            </w:r>
          </w:p>
        </w:tc>
      </w:tr>
      <w:tr w14:paraId="58A59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2341BDF9">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综合分析报告</w:t>
            </w:r>
          </w:p>
        </w:tc>
        <w:tc>
          <w:tcPr>
            <w:tcW w:w="1560" w:type="dxa"/>
            <w:vMerge w:val="continue"/>
            <w:vAlign w:val="center"/>
          </w:tcPr>
          <w:p w14:paraId="2C21BC4B">
            <w:pPr>
              <w:adjustRightInd w:val="0"/>
              <w:snapToGrid w:val="0"/>
              <w:jc w:val="center"/>
              <w:rPr>
                <w:rFonts w:hint="eastAsia" w:ascii="仿宋_GB2312" w:hAnsi="仿宋" w:eastAsia="仿宋_GB2312" w:cs="仿宋_GB2312"/>
                <w:snapToGrid w:val="0"/>
                <w:kern w:val="0"/>
                <w:sz w:val="32"/>
                <w:szCs w:val="32"/>
              </w:rPr>
            </w:pPr>
          </w:p>
        </w:tc>
        <w:tc>
          <w:tcPr>
            <w:tcW w:w="2285" w:type="dxa"/>
            <w:vAlign w:val="center"/>
          </w:tcPr>
          <w:p w14:paraId="254163FC">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权重10%</w:t>
            </w:r>
          </w:p>
        </w:tc>
      </w:tr>
      <w:tr w14:paraId="3367F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31" w:type="dxa"/>
            <w:vAlign w:val="center"/>
          </w:tcPr>
          <w:p w14:paraId="63098DD5">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团队分工明确合理、操作规范、文明竞赛</w:t>
            </w:r>
          </w:p>
        </w:tc>
        <w:tc>
          <w:tcPr>
            <w:tcW w:w="1560" w:type="dxa"/>
            <w:vMerge w:val="continue"/>
            <w:vAlign w:val="center"/>
          </w:tcPr>
          <w:p w14:paraId="00931D78">
            <w:pPr>
              <w:adjustRightInd w:val="0"/>
              <w:snapToGrid w:val="0"/>
              <w:jc w:val="center"/>
              <w:rPr>
                <w:rFonts w:hint="eastAsia" w:ascii="仿宋_GB2312" w:hAnsi="仿宋" w:eastAsia="仿宋_GB2312" w:cs="仿宋_GB2312"/>
                <w:snapToGrid w:val="0"/>
                <w:kern w:val="0"/>
                <w:sz w:val="32"/>
                <w:szCs w:val="32"/>
              </w:rPr>
            </w:pPr>
          </w:p>
        </w:tc>
        <w:tc>
          <w:tcPr>
            <w:tcW w:w="2285" w:type="dxa"/>
            <w:vAlign w:val="center"/>
          </w:tcPr>
          <w:p w14:paraId="26DE2617">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权重5%</w:t>
            </w:r>
          </w:p>
        </w:tc>
      </w:tr>
    </w:tbl>
    <w:p w14:paraId="371EA2C0">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四、竞赛方式</w:t>
      </w:r>
    </w:p>
    <w:p w14:paraId="2D566F70">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参赛选手须为全日制正式学籍的在校生。根据2026年世界职业院校技能大赛选拔参赛选手的要求，参赛选手年龄不超过25周岁（即2001年5月1日及以后出生）。五年制学生报名参赛的，四、五年级学生可参加本次大赛。在近两年世界职业院校技能大赛中获金奖的学生，不再参加同一项目（同一组别）的全省竞赛。</w:t>
      </w:r>
    </w:p>
    <w:p w14:paraId="67FDE903">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2.比赛以3人组队的方式进行，不得跨校组队，同一学校的报名参赛队伍不超过3支。</w:t>
      </w:r>
    </w:p>
    <w:p w14:paraId="12E10351">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3.每个参赛队由1名领队（可由指导教师兼任）、3名学生、2名指导教师(须为本校专兼职教师)组成，参赛选手和指导教师报名获得确认后不得随意更换。</w:t>
      </w:r>
    </w:p>
    <w:p w14:paraId="5D48EB21">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4.竞赛时间6小时。</w:t>
      </w:r>
    </w:p>
    <w:p w14:paraId="51712D60">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五、竞赛流程</w:t>
      </w:r>
    </w:p>
    <w:p w14:paraId="7DE69449">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根据竞赛任务要求，参赛队伍在6小时竞赛时间内须完成竞赛任务，每项任务用时可自行掌握。</w:t>
      </w:r>
      <w:bookmarkStart w:id="0" w:name="_Toc13745"/>
    </w:p>
    <w:p w14:paraId="11D3C19D">
      <w:pPr>
        <w:pStyle w:val="31"/>
        <w:spacing w:line="500" w:lineRule="exact"/>
        <w:ind w:firstLine="470" w:firstLineChars="147"/>
        <w:outlineLvl w:val="1"/>
        <w:rPr>
          <w:rFonts w:hint="eastAsia" w:ascii="楷体_GB2312" w:hAnsi="楷体_GB2312" w:eastAsia="楷体_GB2312" w:cs="楷体_GB2312"/>
          <w:kern w:val="2"/>
          <w:sz w:val="32"/>
          <w:szCs w:val="32"/>
          <w:lang w:val="en-US" w:eastAsia="zh-CN" w:bidi="ar-SA"/>
        </w:rPr>
      </w:pPr>
      <w:r>
        <w:rPr>
          <w:rFonts w:hint="eastAsia" w:ascii="楷体_GB2312" w:hAnsi="楷体_GB2312" w:eastAsia="楷体_GB2312" w:cs="楷体_GB2312"/>
          <w:kern w:val="2"/>
          <w:sz w:val="32"/>
          <w:szCs w:val="32"/>
          <w:lang w:val="en-US" w:eastAsia="zh-CN" w:bidi="ar-SA"/>
        </w:rPr>
        <w:t>（一）竞赛时间安排</w:t>
      </w:r>
      <w:bookmarkEnd w:id="0"/>
    </w:p>
    <w:tbl>
      <w:tblPr>
        <w:tblStyle w:val="13"/>
        <w:tblW w:w="7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6"/>
        <w:gridCol w:w="4804"/>
      </w:tblGrid>
      <w:tr w14:paraId="5A879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2446" w:type="dxa"/>
            <w:shd w:val="clear" w:color="auto" w:fill="D8D8D8"/>
            <w:vAlign w:val="center"/>
          </w:tcPr>
          <w:p w14:paraId="03B758B7">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时间</w:t>
            </w:r>
          </w:p>
        </w:tc>
        <w:tc>
          <w:tcPr>
            <w:tcW w:w="4804" w:type="dxa"/>
            <w:shd w:val="clear" w:color="auto" w:fill="D8D8D8"/>
            <w:vAlign w:val="center"/>
          </w:tcPr>
          <w:p w14:paraId="2BD30C32">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内容</w:t>
            </w:r>
          </w:p>
        </w:tc>
      </w:tr>
      <w:tr w14:paraId="36CA5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46" w:type="dxa"/>
            <w:vAlign w:val="center"/>
          </w:tcPr>
          <w:p w14:paraId="1EDE4C68">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14:00-18:00</w:t>
            </w:r>
          </w:p>
        </w:tc>
        <w:tc>
          <w:tcPr>
            <w:tcW w:w="4804" w:type="dxa"/>
            <w:vAlign w:val="center"/>
          </w:tcPr>
          <w:p w14:paraId="5125EB8D">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各参赛队报到</w:t>
            </w:r>
          </w:p>
        </w:tc>
      </w:tr>
      <w:tr w14:paraId="4588B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46" w:type="dxa"/>
            <w:vAlign w:val="center"/>
          </w:tcPr>
          <w:p w14:paraId="0C300683">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15:00-16:00</w:t>
            </w:r>
          </w:p>
        </w:tc>
        <w:tc>
          <w:tcPr>
            <w:tcW w:w="4804" w:type="dxa"/>
            <w:vAlign w:val="center"/>
          </w:tcPr>
          <w:p w14:paraId="297696EC">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领队会、赛前说明</w:t>
            </w:r>
          </w:p>
        </w:tc>
      </w:tr>
      <w:tr w14:paraId="07F0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46" w:type="dxa"/>
            <w:vAlign w:val="center"/>
          </w:tcPr>
          <w:p w14:paraId="28379F40">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16:00-16:30</w:t>
            </w:r>
          </w:p>
        </w:tc>
        <w:tc>
          <w:tcPr>
            <w:tcW w:w="4804" w:type="dxa"/>
            <w:vAlign w:val="center"/>
          </w:tcPr>
          <w:p w14:paraId="78E518AA">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选手熟悉赛场</w:t>
            </w:r>
          </w:p>
        </w:tc>
      </w:tr>
      <w:tr w14:paraId="47D52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46" w:type="dxa"/>
            <w:vAlign w:val="center"/>
          </w:tcPr>
          <w:p w14:paraId="20BD09F4">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8:00-9:00</w:t>
            </w:r>
          </w:p>
        </w:tc>
        <w:tc>
          <w:tcPr>
            <w:tcW w:w="4804" w:type="dxa"/>
            <w:vAlign w:val="center"/>
          </w:tcPr>
          <w:p w14:paraId="0F338DD7">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赛场检录，竞赛选手进入赛位</w:t>
            </w:r>
          </w:p>
        </w:tc>
      </w:tr>
      <w:tr w14:paraId="69E75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2446" w:type="dxa"/>
            <w:vAlign w:val="center"/>
          </w:tcPr>
          <w:p w14:paraId="583C6A8A">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9:00-15:00</w:t>
            </w:r>
          </w:p>
        </w:tc>
        <w:tc>
          <w:tcPr>
            <w:tcW w:w="4804" w:type="dxa"/>
            <w:vAlign w:val="center"/>
          </w:tcPr>
          <w:p w14:paraId="20D015F6">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竞赛选手完成竞赛任务</w:t>
            </w:r>
          </w:p>
        </w:tc>
      </w:tr>
      <w:tr w14:paraId="56563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46" w:type="dxa"/>
            <w:vAlign w:val="center"/>
          </w:tcPr>
          <w:p w14:paraId="6A5264E2">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16:00-19:00</w:t>
            </w:r>
          </w:p>
        </w:tc>
        <w:tc>
          <w:tcPr>
            <w:tcW w:w="4804" w:type="dxa"/>
            <w:vAlign w:val="center"/>
          </w:tcPr>
          <w:p w14:paraId="75F515E7">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对选手提交的结果文件进行评分</w:t>
            </w:r>
          </w:p>
        </w:tc>
      </w:tr>
    </w:tbl>
    <w:p w14:paraId="6EF5BF89">
      <w:pPr>
        <w:jc w:val="center"/>
        <w:rPr>
          <w:rFonts w:hint="eastAsia" w:ascii="仿宋_GB2312" w:hAnsi="仿宋" w:eastAsia="仿宋_GB2312"/>
          <w:snapToGrid w:val="0"/>
          <w:kern w:val="0"/>
        </w:rPr>
      </w:pPr>
      <w:bookmarkStart w:id="1" w:name="_Toc24338"/>
    </w:p>
    <w:p w14:paraId="0E16E4FA">
      <w:pPr>
        <w:pStyle w:val="31"/>
        <w:spacing w:line="500" w:lineRule="exact"/>
        <w:ind w:firstLine="470" w:firstLineChars="147"/>
        <w:outlineLvl w:val="1"/>
        <w:rPr>
          <w:rFonts w:hint="eastAsia" w:ascii="楷体_GB2312" w:hAnsi="楷体_GB2312" w:eastAsia="楷体_GB2312" w:cs="楷体_GB2312"/>
          <w:kern w:val="2"/>
          <w:sz w:val="32"/>
          <w:szCs w:val="32"/>
          <w:lang w:val="en-US" w:eastAsia="zh-CN" w:bidi="ar-SA"/>
        </w:rPr>
      </w:pPr>
      <w:r>
        <w:rPr>
          <w:rFonts w:hint="eastAsia" w:ascii="楷体_GB2312" w:hAnsi="楷体_GB2312" w:eastAsia="楷体_GB2312" w:cs="楷体_GB2312"/>
          <w:kern w:val="2"/>
          <w:sz w:val="32"/>
          <w:szCs w:val="32"/>
          <w:lang w:val="en-US" w:eastAsia="zh-CN" w:bidi="ar-SA"/>
        </w:rPr>
        <w:t>（二）竞赛流程</w:t>
      </w:r>
      <w:bookmarkEnd w:id="1"/>
    </w:p>
    <w:p w14:paraId="456FDDA1">
      <w:pPr>
        <w:jc w:val="center"/>
        <w:rPr>
          <w:rFonts w:hint="eastAsia" w:ascii="仿宋_GB2312" w:hAnsi="仿宋" w:eastAsia="仿宋_GB2312"/>
          <w:snapToGrid w:val="0"/>
          <w:kern w:val="0"/>
          <w:sz w:val="32"/>
          <w:szCs w:val="32"/>
        </w:rPr>
      </w:pPr>
      <w:r>
        <w:rPr>
          <w:rFonts w:hint="eastAsia" w:ascii="仿宋_GB2312" w:hAnsi="仿宋" w:eastAsia="仿宋_GB2312"/>
          <w:snapToGrid w:val="0"/>
          <w:kern w:val="0"/>
        </w:rPr>
        <w:drawing>
          <wp:inline distT="0" distB="0" distL="0" distR="0">
            <wp:extent cx="2850515" cy="3200400"/>
            <wp:effectExtent l="0" t="0" r="6985" b="0"/>
            <wp:docPr id="2" name="图片 3" descr="1"/>
            <wp:cNvGraphicFramePr/>
            <a:graphic xmlns:a="http://schemas.openxmlformats.org/drawingml/2006/main">
              <a:graphicData uri="http://schemas.openxmlformats.org/drawingml/2006/picture">
                <pic:pic xmlns:pic="http://schemas.openxmlformats.org/drawingml/2006/picture">
                  <pic:nvPicPr>
                    <pic:cNvPr id="2" name="图片 3" descr="1"/>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850515" cy="3200400"/>
                    </a:xfrm>
                    <a:prstGeom prst="rect">
                      <a:avLst/>
                    </a:prstGeom>
                    <a:noFill/>
                    <a:ln>
                      <a:noFill/>
                    </a:ln>
                  </pic:spPr>
                </pic:pic>
              </a:graphicData>
            </a:graphic>
          </wp:inline>
        </w:drawing>
      </w:r>
    </w:p>
    <w:p w14:paraId="6F964A25">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六、竞赛规则</w:t>
      </w:r>
    </w:p>
    <w:p w14:paraId="73A7536A">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参赛选手须为全日制正式学籍的在校生。根据2026年世界职业院校技能大赛选拔参赛选手的要求，参赛选手年龄不超过25周岁（即2001年5月1日及以后出生）。五年制学生报名参赛的，四、五年级学生可参加本次大赛。在近两年世界职业院校技能大赛中获金奖的学生，不再参加同一项目（同一组别）的全省竞赛。</w:t>
      </w:r>
    </w:p>
    <w:p w14:paraId="753811F3">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2.竞赛前1日安排各参赛队领队、参赛选手熟悉赛场。</w:t>
      </w:r>
    </w:p>
    <w:p w14:paraId="03158EA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3.严禁参赛选手、赛项裁判、工作人员私自携带通讯、摄录设备进入比赛场地。</w:t>
      </w:r>
    </w:p>
    <w:p w14:paraId="662D49B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4.参赛选手所需的硬件、软件和辅助工具统一提供，参赛队不得使用自带的任何有存储功能的设备，如硬盘、光盘、U盘、手机、平板电脑等。</w:t>
      </w:r>
    </w:p>
    <w:p w14:paraId="49F15C39">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5.所有参赛选手都必须携带参赛证件进行检录。</w:t>
      </w:r>
    </w:p>
    <w:p w14:paraId="4B6BD20B">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6.参赛队在赛前领取比赛任务并进入比赛工位，比赛正式开始后方可进行相关操作。</w:t>
      </w:r>
    </w:p>
    <w:p w14:paraId="0265D9F3">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7.比赛过程中，选手须严格遵守操作规程，确保人身及设备安全，并接受裁判员的监督和指示。因选手原因造成设备故障或损坏而无法继续比赛的，裁判长有权决定中止该队比赛；非因选手个人原因造成设备故障的，由裁判长视具体情况作出裁决。</w:t>
      </w:r>
    </w:p>
    <w:p w14:paraId="1866EC9D">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8.竞赛开始时统一发放本阶段赛卷，竞赛结束后，参赛选手要确认已成功提交竞赛要求的配置文件和文档，裁判员与参赛选手一起签字确认，参赛选手在确认后不得再进行任何操作。</w:t>
      </w:r>
    </w:p>
    <w:p w14:paraId="3F8FF264">
      <w:pPr>
        <w:tabs>
          <w:tab w:val="left" w:pos="567"/>
        </w:tabs>
        <w:snapToGrid w:val="0"/>
        <w:spacing w:line="560" w:lineRule="exact"/>
        <w:ind w:firstLine="627" w:firstLineChars="196"/>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9.赛项成绩解密后，在指定地点，以纸质形式向全体参赛队进行公布，成绩无异议后，在闭赛式上予以宣布。</w:t>
      </w:r>
    </w:p>
    <w:p w14:paraId="1052CF61">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七、技术规范</w:t>
      </w:r>
    </w:p>
    <w:p w14:paraId="53EA890A">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本赛项的技术规范将包括：相关专业的教育教学要求、行业、职业技术标准，以及根据高职目录修订后的大数据技术相关专业人才培养标准和规范，适时地修订本赛项遵循的技术规范。</w:t>
      </w:r>
    </w:p>
    <w:p w14:paraId="6798257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（一）基础标准</w:t>
      </w:r>
    </w:p>
    <w:tbl>
      <w:tblPr>
        <w:tblStyle w:val="13"/>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2861"/>
        <w:gridCol w:w="5503"/>
      </w:tblGrid>
      <w:tr w14:paraId="3068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D8D8D8"/>
            <w:vAlign w:val="center"/>
          </w:tcPr>
          <w:p w14:paraId="52E12D9A">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标 准</w:t>
            </w:r>
          </w:p>
        </w:tc>
        <w:tc>
          <w:tcPr>
            <w:tcW w:w="5503" w:type="dxa"/>
            <w:tcBorders>
              <w:top w:val="single" w:color="auto" w:sz="4" w:space="0"/>
              <w:left w:val="single" w:color="auto" w:sz="4" w:space="0"/>
              <w:bottom w:val="single" w:color="auto" w:sz="4" w:space="0"/>
              <w:right w:val="single" w:color="auto" w:sz="4" w:space="0"/>
            </w:tcBorders>
            <w:shd w:val="clear" w:color="auto" w:fill="D8D8D8"/>
            <w:vAlign w:val="center"/>
          </w:tcPr>
          <w:p w14:paraId="239F46B6">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内 容</w:t>
            </w:r>
          </w:p>
        </w:tc>
      </w:tr>
      <w:tr w14:paraId="59D72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33D61BCD">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11457-2006</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37F55553">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信息技术、软件工程术语</w:t>
            </w:r>
          </w:p>
        </w:tc>
      </w:tr>
      <w:tr w14:paraId="37495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2D03D62F">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GB8566-88</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073C81B9">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计算机软件开发规范</w:t>
            </w:r>
          </w:p>
        </w:tc>
      </w:tr>
      <w:tr w14:paraId="384CC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1373FB0A">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12991-2008</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63727058">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信息技术数据库语言SQL第1部分：框架</w:t>
            </w:r>
          </w:p>
        </w:tc>
      </w:tr>
      <w:tr w14:paraId="330F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7438D815">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21025-2007</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43C68CAC">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XML使用指南</w:t>
            </w:r>
          </w:p>
        </w:tc>
      </w:tr>
      <w:tr w14:paraId="14D3D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7540C0E3">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20009-2005</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5034CE1C">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信息安全技术数据库管理系统安全评估准则已发布</w:t>
            </w:r>
          </w:p>
        </w:tc>
      </w:tr>
      <w:tr w14:paraId="0FDFF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1DB5343B">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20273-2006</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4BA18E61">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信息安全技术数据库管理系统安全技术要求</w:t>
            </w:r>
          </w:p>
        </w:tc>
      </w:tr>
      <w:tr w14:paraId="5C40F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2861" w:type="dxa"/>
            <w:tcBorders>
              <w:top w:val="single" w:color="auto" w:sz="4" w:space="0"/>
              <w:left w:val="single" w:color="auto" w:sz="4" w:space="0"/>
              <w:bottom w:val="single" w:color="auto" w:sz="4" w:space="0"/>
              <w:right w:val="single" w:color="auto" w:sz="4" w:space="0"/>
            </w:tcBorders>
            <w:shd w:val="clear" w:color="auto" w:fill="FFFFFF"/>
            <w:vAlign w:val="center"/>
          </w:tcPr>
          <w:p w14:paraId="1ED360E5">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20100383-T-469</w:t>
            </w:r>
          </w:p>
        </w:tc>
        <w:tc>
          <w:tcPr>
            <w:tcW w:w="5503" w:type="dxa"/>
            <w:tcBorders>
              <w:top w:val="single" w:color="auto" w:sz="4" w:space="0"/>
              <w:left w:val="single" w:color="auto" w:sz="4" w:space="0"/>
              <w:bottom w:val="single" w:color="auto" w:sz="4" w:space="0"/>
              <w:right w:val="single" w:color="auto" w:sz="4" w:space="0"/>
            </w:tcBorders>
            <w:shd w:val="clear" w:color="auto" w:fill="FFFFFF"/>
            <w:vAlign w:val="center"/>
          </w:tcPr>
          <w:p w14:paraId="2E390350">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信息技术安全技术信息安全管理体系实施指南</w:t>
            </w:r>
          </w:p>
        </w:tc>
      </w:tr>
    </w:tbl>
    <w:p w14:paraId="4266836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（二）软件开发标准</w:t>
      </w:r>
    </w:p>
    <w:tbl>
      <w:tblPr>
        <w:tblStyle w:val="13"/>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3003"/>
        <w:gridCol w:w="5361"/>
      </w:tblGrid>
      <w:tr w14:paraId="72902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95"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D8D8D8"/>
            <w:vAlign w:val="center"/>
          </w:tcPr>
          <w:p w14:paraId="71CC6DDE">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标 准</w:t>
            </w:r>
          </w:p>
        </w:tc>
        <w:tc>
          <w:tcPr>
            <w:tcW w:w="5361" w:type="dxa"/>
            <w:tcBorders>
              <w:top w:val="single" w:color="auto" w:sz="4" w:space="0"/>
              <w:left w:val="single" w:color="auto" w:sz="4" w:space="0"/>
              <w:bottom w:val="single" w:color="auto" w:sz="4" w:space="0"/>
              <w:right w:val="single" w:color="auto" w:sz="4" w:space="0"/>
            </w:tcBorders>
            <w:shd w:val="clear" w:color="auto" w:fill="D8D8D8"/>
            <w:vAlign w:val="center"/>
          </w:tcPr>
          <w:p w14:paraId="4A9FE139">
            <w:pPr>
              <w:adjustRightInd w:val="0"/>
              <w:snapToGrid w:val="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内 容</w:t>
            </w:r>
          </w:p>
        </w:tc>
      </w:tr>
      <w:tr w14:paraId="21A6B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FFFFFF"/>
            <w:vAlign w:val="center"/>
          </w:tcPr>
          <w:p w14:paraId="1E2A4C1F">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8566 -2001</w:t>
            </w:r>
          </w:p>
        </w:tc>
        <w:tc>
          <w:tcPr>
            <w:tcW w:w="5361" w:type="dxa"/>
            <w:tcBorders>
              <w:top w:val="single" w:color="auto" w:sz="4" w:space="0"/>
              <w:left w:val="single" w:color="auto" w:sz="4" w:space="0"/>
              <w:bottom w:val="single" w:color="auto" w:sz="4" w:space="0"/>
              <w:right w:val="single" w:color="auto" w:sz="4" w:space="0"/>
            </w:tcBorders>
            <w:shd w:val="clear" w:color="auto" w:fill="FFFFFF"/>
            <w:vAlign w:val="center"/>
          </w:tcPr>
          <w:p w14:paraId="57B6FA22">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信息技术 软件生存周期过程</w:t>
            </w:r>
          </w:p>
        </w:tc>
      </w:tr>
      <w:tr w14:paraId="6486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FFFFFF"/>
            <w:vAlign w:val="center"/>
          </w:tcPr>
          <w:p w14:paraId="14FB0666">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15853 -1995</w:t>
            </w:r>
          </w:p>
        </w:tc>
        <w:tc>
          <w:tcPr>
            <w:tcW w:w="5361" w:type="dxa"/>
            <w:tcBorders>
              <w:top w:val="single" w:color="auto" w:sz="4" w:space="0"/>
              <w:left w:val="single" w:color="auto" w:sz="4" w:space="0"/>
              <w:bottom w:val="single" w:color="auto" w:sz="4" w:space="0"/>
              <w:right w:val="single" w:color="auto" w:sz="4" w:space="0"/>
            </w:tcBorders>
            <w:shd w:val="clear" w:color="auto" w:fill="FFFFFF"/>
            <w:vAlign w:val="center"/>
          </w:tcPr>
          <w:p w14:paraId="7D3139E3">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软件支持环境</w:t>
            </w:r>
          </w:p>
        </w:tc>
      </w:tr>
      <w:tr w14:paraId="2FA7A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FFFFFF"/>
            <w:vAlign w:val="center"/>
          </w:tcPr>
          <w:p w14:paraId="1FB02551">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14079 -1993</w:t>
            </w:r>
          </w:p>
        </w:tc>
        <w:tc>
          <w:tcPr>
            <w:tcW w:w="5361" w:type="dxa"/>
            <w:tcBorders>
              <w:top w:val="single" w:color="auto" w:sz="4" w:space="0"/>
              <w:left w:val="single" w:color="auto" w:sz="4" w:space="0"/>
              <w:bottom w:val="single" w:color="auto" w:sz="4" w:space="0"/>
              <w:right w:val="single" w:color="auto" w:sz="4" w:space="0"/>
            </w:tcBorders>
            <w:shd w:val="clear" w:color="auto" w:fill="FFFFFF"/>
            <w:vAlign w:val="center"/>
          </w:tcPr>
          <w:p w14:paraId="439469B2">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软件维护指南</w:t>
            </w:r>
          </w:p>
        </w:tc>
      </w:tr>
      <w:tr w14:paraId="3B0C5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003" w:type="dxa"/>
            <w:tcBorders>
              <w:top w:val="single" w:color="auto" w:sz="4" w:space="0"/>
              <w:left w:val="single" w:color="auto" w:sz="4" w:space="0"/>
              <w:bottom w:val="single" w:color="auto" w:sz="4" w:space="0"/>
              <w:right w:val="single" w:color="auto" w:sz="4" w:space="0"/>
            </w:tcBorders>
            <w:shd w:val="clear" w:color="auto" w:fill="FFFFFF"/>
            <w:vAlign w:val="center"/>
          </w:tcPr>
          <w:p w14:paraId="4CBC18EF">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GB/T 17544-1998</w:t>
            </w:r>
          </w:p>
        </w:tc>
        <w:tc>
          <w:tcPr>
            <w:tcW w:w="5361" w:type="dxa"/>
            <w:tcBorders>
              <w:top w:val="single" w:color="auto" w:sz="4" w:space="0"/>
              <w:left w:val="single" w:color="auto" w:sz="4" w:space="0"/>
              <w:bottom w:val="single" w:color="auto" w:sz="4" w:space="0"/>
              <w:right w:val="single" w:color="auto" w:sz="4" w:space="0"/>
            </w:tcBorders>
            <w:shd w:val="clear" w:color="auto" w:fill="FFFFFF"/>
            <w:vAlign w:val="center"/>
          </w:tcPr>
          <w:p w14:paraId="6715668F">
            <w:pPr>
              <w:adjustRightInd w:val="0"/>
              <w:snapToGrid w:val="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信息技术 软件包 质量要求和测试</w:t>
            </w:r>
          </w:p>
        </w:tc>
      </w:tr>
    </w:tbl>
    <w:p w14:paraId="3AC78485">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p>
    <w:p w14:paraId="044B4378">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八、技术环境</w:t>
      </w:r>
    </w:p>
    <w:p w14:paraId="566800A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（一）竞赛设备</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
        <w:gridCol w:w="1551"/>
        <w:gridCol w:w="895"/>
        <w:gridCol w:w="5472"/>
      </w:tblGrid>
      <w:tr w14:paraId="03DE6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D1D1D1" w:themeFill="background2" w:themeFillShade="E6"/>
            <w:vAlign w:val="center"/>
          </w:tcPr>
          <w:p w14:paraId="6EEEBB85">
            <w:pPr>
              <w:jc w:val="cente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类型</w:t>
            </w:r>
          </w:p>
        </w:tc>
        <w:tc>
          <w:tcPr>
            <w:tcW w:w="0" w:type="auto"/>
            <w:shd w:val="clear" w:color="auto" w:fill="D1D1D1" w:themeFill="background2" w:themeFillShade="E6"/>
            <w:vAlign w:val="center"/>
          </w:tcPr>
          <w:p w14:paraId="579CD2E1">
            <w:pPr>
              <w:jc w:val="cente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设备名称</w:t>
            </w:r>
          </w:p>
        </w:tc>
        <w:tc>
          <w:tcPr>
            <w:tcW w:w="895" w:type="dxa"/>
            <w:shd w:val="clear" w:color="auto" w:fill="D1D1D1" w:themeFill="background2" w:themeFillShade="E6"/>
            <w:vAlign w:val="center"/>
          </w:tcPr>
          <w:p w14:paraId="3652DB6E">
            <w:pPr>
              <w:jc w:val="cente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数</w:t>
            </w:r>
            <w:r>
              <w:rPr>
                <w:rFonts w:hint="eastAsia" w:ascii="仿宋_GB2312" w:hAnsi="仿宋" w:eastAsia="仿宋_GB2312"/>
                <w:snapToGrid w:val="0"/>
                <w:kern w:val="0"/>
                <w:sz w:val="32"/>
                <w:szCs w:val="32"/>
              </w:rPr>
              <w:t>量</w:t>
            </w:r>
          </w:p>
        </w:tc>
        <w:tc>
          <w:tcPr>
            <w:tcW w:w="5472" w:type="dxa"/>
            <w:shd w:val="clear" w:color="auto" w:fill="D1D1D1" w:themeFill="background2" w:themeFillShade="E6"/>
            <w:vAlign w:val="center"/>
          </w:tcPr>
          <w:p w14:paraId="23B8CEB3">
            <w:pPr>
              <w:jc w:val="cente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备</w:t>
            </w:r>
            <w:r>
              <w:rPr>
                <w:rFonts w:hint="eastAsia" w:ascii="仿宋_GB2312" w:hAnsi="仿宋" w:eastAsia="仿宋_GB2312"/>
                <w:snapToGrid w:val="0"/>
                <w:kern w:val="0"/>
                <w:sz w:val="32"/>
                <w:szCs w:val="32"/>
              </w:rPr>
              <w:t>注</w:t>
            </w:r>
          </w:p>
        </w:tc>
      </w:tr>
      <w:tr w14:paraId="1325F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jc w:val="center"/>
        </w:trPr>
        <w:tc>
          <w:tcPr>
            <w:tcW w:w="0" w:type="auto"/>
            <w:vMerge w:val="restart"/>
            <w:vAlign w:val="center"/>
          </w:tcPr>
          <w:p w14:paraId="05BA8517">
            <w:pPr>
              <w:jc w:val="cente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硬</w:t>
            </w:r>
            <w:r>
              <w:rPr>
                <w:rFonts w:hint="eastAsia" w:ascii="仿宋_GB2312" w:hAnsi="仿宋" w:eastAsia="仿宋_GB2312" w:cs="___WRD_EMBED_SUB_50"/>
                <w:snapToGrid w:val="0"/>
                <w:kern w:val="0"/>
                <w:sz w:val="32"/>
                <w:szCs w:val="32"/>
              </w:rPr>
              <w:t>件</w:t>
            </w:r>
          </w:p>
        </w:tc>
        <w:tc>
          <w:tcPr>
            <w:tcW w:w="0" w:type="auto"/>
          </w:tcPr>
          <w:p w14:paraId="5F906FC9">
            <w:pP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PC机</w:t>
            </w:r>
          </w:p>
        </w:tc>
        <w:tc>
          <w:tcPr>
            <w:tcW w:w="895" w:type="dxa"/>
            <w:vAlign w:val="center"/>
          </w:tcPr>
          <w:p w14:paraId="431D6735">
            <w:pPr>
              <w:jc w:val="cente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每</w:t>
            </w:r>
            <w:r>
              <w:rPr>
                <w:rFonts w:hint="eastAsia" w:ascii="仿宋_GB2312" w:hAnsi="仿宋" w:eastAsia="仿宋_GB2312" w:cs="___WRD_EMBED_SUB_50"/>
                <w:snapToGrid w:val="0"/>
                <w:kern w:val="0"/>
                <w:sz w:val="32"/>
                <w:szCs w:val="32"/>
              </w:rPr>
              <w:t>组</w:t>
            </w:r>
            <w:r>
              <w:rPr>
                <w:rFonts w:hint="eastAsia" w:ascii="仿宋_GB2312" w:hAnsi="仿宋" w:eastAsia="仿宋_GB2312"/>
                <w:snapToGrid w:val="0"/>
                <w:kern w:val="0"/>
                <w:sz w:val="32"/>
                <w:szCs w:val="32"/>
              </w:rPr>
              <w:t>每</w:t>
            </w:r>
            <w:r>
              <w:rPr>
                <w:rFonts w:hint="eastAsia" w:ascii="仿宋_GB2312" w:hAnsi="仿宋" w:eastAsia="仿宋_GB2312" w:cs="___WRD_EMBED_SUB_50"/>
                <w:snapToGrid w:val="0"/>
                <w:kern w:val="0"/>
                <w:sz w:val="32"/>
                <w:szCs w:val="32"/>
              </w:rPr>
              <w:t>人</w:t>
            </w:r>
            <w:r>
              <w:rPr>
                <w:rFonts w:hint="eastAsia" w:ascii="仿宋_GB2312" w:hAnsi="仿宋" w:eastAsia="仿宋_GB2312" w:cs="楷体_GB2312"/>
                <w:snapToGrid w:val="0"/>
                <w:kern w:val="0"/>
                <w:sz w:val="32"/>
                <w:szCs w:val="32"/>
              </w:rPr>
              <w:t>1</w:t>
            </w:r>
            <w:r>
              <w:rPr>
                <w:rFonts w:hint="eastAsia" w:ascii="仿宋_GB2312" w:hAnsi="仿宋" w:eastAsia="仿宋_GB2312"/>
                <w:snapToGrid w:val="0"/>
                <w:kern w:val="0"/>
                <w:sz w:val="32"/>
                <w:szCs w:val="32"/>
              </w:rPr>
              <w:t>台</w:t>
            </w:r>
          </w:p>
        </w:tc>
        <w:tc>
          <w:tcPr>
            <w:tcW w:w="5472" w:type="dxa"/>
          </w:tcPr>
          <w:p w14:paraId="5A0D3963">
            <w:pP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主</w:t>
            </w:r>
            <w:r>
              <w:rPr>
                <w:rFonts w:hint="eastAsia" w:ascii="仿宋_GB2312" w:hAnsi="仿宋" w:eastAsia="仿宋_GB2312" w:cs="___WRD_EMBED_SUB_50"/>
                <w:snapToGrid w:val="0"/>
                <w:kern w:val="0"/>
                <w:sz w:val="32"/>
                <w:szCs w:val="32"/>
              </w:rPr>
              <w:t>机参数：</w:t>
            </w:r>
            <w:r>
              <w:rPr>
                <w:rFonts w:hint="eastAsia" w:ascii="仿宋_GB2312" w:hAnsi="仿宋" w:eastAsia="仿宋_GB2312" w:cs="楷体_GB2312"/>
                <w:snapToGrid w:val="0"/>
                <w:kern w:val="0"/>
                <w:sz w:val="32"/>
                <w:szCs w:val="32"/>
              </w:rPr>
              <w:t>i7-11700/8G/256GB+1TB/</w:t>
            </w:r>
            <w:r>
              <w:rPr>
                <w:rFonts w:hint="eastAsia" w:ascii="仿宋_GB2312" w:hAnsi="仿宋" w:eastAsia="仿宋_GB2312"/>
                <w:snapToGrid w:val="0"/>
                <w:kern w:val="0"/>
                <w:sz w:val="32"/>
                <w:szCs w:val="32"/>
              </w:rPr>
              <w:t>集显</w:t>
            </w:r>
          </w:p>
          <w:p w14:paraId="485F82B3">
            <w:pP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操</w:t>
            </w:r>
            <w:r>
              <w:rPr>
                <w:rFonts w:hint="eastAsia" w:ascii="仿宋_GB2312" w:hAnsi="仿宋" w:eastAsia="仿宋_GB2312" w:cs="___WRD_EMBED_SUB_50"/>
                <w:snapToGrid w:val="0"/>
                <w:kern w:val="0"/>
                <w:sz w:val="32"/>
                <w:szCs w:val="32"/>
              </w:rPr>
              <w:t>作</w:t>
            </w:r>
            <w:r>
              <w:rPr>
                <w:rFonts w:hint="eastAsia" w:ascii="仿宋_GB2312" w:hAnsi="仿宋" w:eastAsia="仿宋_GB2312"/>
                <w:snapToGrid w:val="0"/>
                <w:kern w:val="0"/>
                <w:sz w:val="32"/>
                <w:szCs w:val="32"/>
              </w:rPr>
              <w:t>系统</w:t>
            </w:r>
            <w:r>
              <w:rPr>
                <w:rFonts w:hint="eastAsia" w:ascii="仿宋_GB2312" w:hAnsi="仿宋" w:eastAsia="仿宋_GB2312" w:cs="___WRD_EMBED_SUB_50"/>
                <w:snapToGrid w:val="0"/>
                <w:kern w:val="0"/>
                <w:sz w:val="32"/>
                <w:szCs w:val="32"/>
              </w:rPr>
              <w:t>：</w:t>
            </w:r>
            <w:r>
              <w:rPr>
                <w:rFonts w:hint="eastAsia" w:ascii="仿宋_GB2312" w:hAnsi="仿宋" w:eastAsia="仿宋_GB2312" w:cs="楷体_GB2312"/>
                <w:snapToGrid w:val="0"/>
                <w:kern w:val="0"/>
                <w:sz w:val="32"/>
                <w:szCs w:val="32"/>
              </w:rPr>
              <w:t>Win10/win7 64</w:t>
            </w:r>
            <w:r>
              <w:rPr>
                <w:rFonts w:hint="eastAsia" w:ascii="仿宋_GB2312" w:hAnsi="仿宋" w:eastAsia="仿宋_GB2312"/>
                <w:snapToGrid w:val="0"/>
                <w:kern w:val="0"/>
                <w:sz w:val="32"/>
                <w:szCs w:val="32"/>
              </w:rPr>
              <w:t>位;</w:t>
            </w:r>
            <w:r>
              <w:rPr>
                <w:rFonts w:hint="eastAsia" w:ascii="仿宋_GB2312" w:hAnsi="仿宋" w:eastAsia="仿宋_GB2312" w:cs="楷体_GB2312"/>
                <w:snapToGrid w:val="0"/>
                <w:kern w:val="0"/>
                <w:sz w:val="32"/>
                <w:szCs w:val="32"/>
              </w:rPr>
              <w:t>CPU</w:t>
            </w:r>
            <w:r>
              <w:rPr>
                <w:rFonts w:hint="eastAsia" w:ascii="仿宋_GB2312" w:hAnsi="仿宋" w:eastAsia="仿宋_GB2312" w:cs="Cambria Math"/>
                <w:snapToGrid w:val="0"/>
                <w:kern w:val="0"/>
                <w:sz w:val="32"/>
                <w:szCs w:val="32"/>
              </w:rPr>
              <w:t>≥</w:t>
            </w:r>
            <w:r>
              <w:rPr>
                <w:rFonts w:hint="eastAsia" w:ascii="仿宋_GB2312" w:hAnsi="仿宋" w:eastAsia="仿宋_GB2312" w:cs="楷体_GB2312"/>
                <w:snapToGrid w:val="0"/>
                <w:kern w:val="0"/>
                <w:sz w:val="32"/>
                <w:szCs w:val="32"/>
              </w:rPr>
              <w:t>4核;内</w:t>
            </w:r>
            <w:r>
              <w:rPr>
                <w:rFonts w:hint="eastAsia" w:ascii="仿宋_GB2312" w:hAnsi="仿宋" w:eastAsia="仿宋_GB2312"/>
                <w:snapToGrid w:val="0"/>
                <w:kern w:val="0"/>
                <w:sz w:val="32"/>
                <w:szCs w:val="32"/>
              </w:rPr>
              <w:t>存≥</w:t>
            </w:r>
            <w:r>
              <w:rPr>
                <w:rFonts w:hint="eastAsia" w:ascii="仿宋_GB2312" w:hAnsi="仿宋" w:eastAsia="仿宋_GB2312" w:cs="楷体_GB2312"/>
                <w:snapToGrid w:val="0"/>
                <w:kern w:val="0"/>
                <w:sz w:val="32"/>
                <w:szCs w:val="32"/>
              </w:rPr>
              <w:t>8G;</w:t>
            </w:r>
            <w:r>
              <w:rPr>
                <w:rFonts w:hint="eastAsia" w:ascii="仿宋_GB2312" w:hAnsi="仿宋" w:eastAsia="仿宋_GB2312"/>
                <w:snapToGrid w:val="0"/>
                <w:kern w:val="0"/>
                <w:sz w:val="32"/>
                <w:szCs w:val="32"/>
              </w:rPr>
              <w:t>显示</w:t>
            </w:r>
            <w:r>
              <w:rPr>
                <w:rFonts w:hint="eastAsia" w:ascii="仿宋_GB2312" w:hAnsi="仿宋" w:eastAsia="仿宋_GB2312" w:cs="___WRD_EMBED_SUB_50"/>
                <w:snapToGrid w:val="0"/>
                <w:kern w:val="0"/>
                <w:sz w:val="32"/>
                <w:szCs w:val="32"/>
              </w:rPr>
              <w:t>器分</w:t>
            </w:r>
            <w:r>
              <w:rPr>
                <w:rFonts w:hint="eastAsia" w:ascii="仿宋_GB2312" w:hAnsi="仿宋" w:eastAsia="仿宋_GB2312"/>
                <w:snapToGrid w:val="0"/>
                <w:kern w:val="0"/>
                <w:sz w:val="32"/>
                <w:szCs w:val="32"/>
              </w:rPr>
              <w:t>辨率≥</w:t>
            </w:r>
            <w:r>
              <w:rPr>
                <w:rFonts w:hint="eastAsia" w:ascii="仿宋_GB2312" w:hAnsi="仿宋" w:eastAsia="仿宋_GB2312" w:cs="楷体_GB2312"/>
                <w:snapToGrid w:val="0"/>
                <w:kern w:val="0"/>
                <w:sz w:val="32"/>
                <w:szCs w:val="32"/>
              </w:rPr>
              <w:t>1366x768</w:t>
            </w:r>
          </w:p>
        </w:tc>
      </w:tr>
      <w:tr w14:paraId="1B68B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0" w:type="auto"/>
            <w:vMerge w:val="continue"/>
            <w:vAlign w:val="center"/>
          </w:tcPr>
          <w:p w14:paraId="3197D2FE">
            <w:pPr>
              <w:jc w:val="center"/>
              <w:rPr>
                <w:rFonts w:hint="eastAsia" w:ascii="仿宋_GB2312" w:hAnsi="仿宋" w:eastAsia="仿宋_GB2312" w:cs="楷体_GB2312"/>
                <w:snapToGrid w:val="0"/>
                <w:kern w:val="0"/>
                <w:sz w:val="32"/>
                <w:szCs w:val="32"/>
              </w:rPr>
            </w:pPr>
          </w:p>
        </w:tc>
        <w:tc>
          <w:tcPr>
            <w:tcW w:w="0" w:type="auto"/>
          </w:tcPr>
          <w:p w14:paraId="28862487">
            <w:pP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键盘</w:t>
            </w:r>
            <w:r>
              <w:rPr>
                <w:rFonts w:hint="eastAsia" w:ascii="仿宋_GB2312" w:hAnsi="仿宋" w:eastAsia="仿宋_GB2312" w:cs="___WRD_EMBED_SUB_50"/>
                <w:snapToGrid w:val="0"/>
                <w:kern w:val="0"/>
                <w:sz w:val="32"/>
                <w:szCs w:val="32"/>
              </w:rPr>
              <w:t>、</w:t>
            </w:r>
            <w:r>
              <w:rPr>
                <w:rFonts w:hint="eastAsia" w:ascii="仿宋_GB2312" w:hAnsi="仿宋" w:eastAsia="仿宋_GB2312"/>
                <w:snapToGrid w:val="0"/>
                <w:kern w:val="0"/>
                <w:sz w:val="32"/>
                <w:szCs w:val="32"/>
              </w:rPr>
              <w:t>鼠</w:t>
            </w:r>
            <w:r>
              <w:rPr>
                <w:rFonts w:hint="eastAsia" w:ascii="仿宋_GB2312" w:hAnsi="仿宋" w:eastAsia="仿宋_GB2312" w:cs="___WRD_EMBED_SUB_50"/>
                <w:snapToGrid w:val="0"/>
                <w:kern w:val="0"/>
                <w:sz w:val="32"/>
                <w:szCs w:val="32"/>
              </w:rPr>
              <w:t>标</w:t>
            </w:r>
          </w:p>
        </w:tc>
        <w:tc>
          <w:tcPr>
            <w:tcW w:w="895" w:type="dxa"/>
            <w:vAlign w:val="center"/>
          </w:tcPr>
          <w:p w14:paraId="3D34291B">
            <w:pPr>
              <w:jc w:val="cente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每</w:t>
            </w:r>
            <w:r>
              <w:rPr>
                <w:rFonts w:hint="eastAsia" w:ascii="仿宋_GB2312" w:hAnsi="仿宋" w:eastAsia="仿宋_GB2312" w:cs="___WRD_EMBED_SUB_50"/>
                <w:snapToGrid w:val="0"/>
                <w:kern w:val="0"/>
                <w:sz w:val="32"/>
                <w:szCs w:val="32"/>
              </w:rPr>
              <w:t>组</w:t>
            </w:r>
            <w:r>
              <w:rPr>
                <w:rFonts w:hint="eastAsia" w:ascii="仿宋_GB2312" w:hAnsi="仿宋" w:eastAsia="仿宋_GB2312"/>
                <w:snapToGrid w:val="0"/>
                <w:kern w:val="0"/>
                <w:sz w:val="32"/>
                <w:szCs w:val="32"/>
              </w:rPr>
              <w:t>每</w:t>
            </w:r>
            <w:r>
              <w:rPr>
                <w:rFonts w:hint="eastAsia" w:ascii="仿宋_GB2312" w:hAnsi="仿宋" w:eastAsia="仿宋_GB2312" w:cs="___WRD_EMBED_SUB_50"/>
                <w:snapToGrid w:val="0"/>
                <w:kern w:val="0"/>
                <w:sz w:val="32"/>
                <w:szCs w:val="32"/>
              </w:rPr>
              <w:t>人</w:t>
            </w:r>
            <w:r>
              <w:rPr>
                <w:rFonts w:hint="eastAsia" w:ascii="仿宋_GB2312" w:hAnsi="仿宋" w:eastAsia="仿宋_GB2312" w:cs="楷体_GB2312"/>
                <w:snapToGrid w:val="0"/>
                <w:kern w:val="0"/>
                <w:sz w:val="32"/>
                <w:szCs w:val="32"/>
              </w:rPr>
              <w:t>1</w:t>
            </w:r>
            <w:r>
              <w:rPr>
                <w:rFonts w:hint="eastAsia" w:ascii="仿宋_GB2312" w:hAnsi="仿宋" w:eastAsia="仿宋_GB2312"/>
                <w:snapToGrid w:val="0"/>
                <w:kern w:val="0"/>
                <w:sz w:val="32"/>
                <w:szCs w:val="32"/>
              </w:rPr>
              <w:t>套</w:t>
            </w:r>
          </w:p>
        </w:tc>
        <w:tc>
          <w:tcPr>
            <w:tcW w:w="5472" w:type="dxa"/>
          </w:tcPr>
          <w:p w14:paraId="1519D763">
            <w:pP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标准</w:t>
            </w:r>
          </w:p>
        </w:tc>
      </w:tr>
      <w:tr w14:paraId="60C8E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vAlign w:val="center"/>
          </w:tcPr>
          <w:p w14:paraId="1C4D88A0">
            <w:pPr>
              <w:jc w:val="cente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软件</w:t>
            </w:r>
          </w:p>
        </w:tc>
        <w:tc>
          <w:tcPr>
            <w:tcW w:w="0" w:type="auto"/>
          </w:tcPr>
          <w:p w14:paraId="657F2350">
            <w:pP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TipDM大数据竞赛</w:t>
            </w:r>
            <w:r>
              <w:rPr>
                <w:rFonts w:hint="eastAsia" w:ascii="仿宋_GB2312" w:hAnsi="仿宋" w:eastAsia="仿宋_GB2312"/>
                <w:snapToGrid w:val="0"/>
                <w:kern w:val="0"/>
                <w:sz w:val="32"/>
                <w:szCs w:val="32"/>
              </w:rPr>
              <w:t>平台</w:t>
            </w:r>
          </w:p>
        </w:tc>
        <w:tc>
          <w:tcPr>
            <w:tcW w:w="895" w:type="dxa"/>
            <w:vAlign w:val="center"/>
          </w:tcPr>
          <w:p w14:paraId="597A8EF3">
            <w:pPr>
              <w:jc w:val="cente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每</w:t>
            </w:r>
            <w:r>
              <w:rPr>
                <w:rFonts w:hint="eastAsia" w:ascii="仿宋_GB2312" w:hAnsi="仿宋" w:eastAsia="仿宋_GB2312" w:cs="___WRD_EMBED_SUB_50"/>
                <w:snapToGrid w:val="0"/>
                <w:kern w:val="0"/>
                <w:sz w:val="32"/>
                <w:szCs w:val="32"/>
              </w:rPr>
              <w:t>人</w:t>
            </w:r>
            <w:r>
              <w:rPr>
                <w:rFonts w:hint="eastAsia" w:ascii="仿宋_GB2312" w:hAnsi="仿宋" w:eastAsia="仿宋_GB2312" w:cs="楷体_GB2312"/>
                <w:snapToGrid w:val="0"/>
                <w:kern w:val="0"/>
                <w:sz w:val="32"/>
                <w:szCs w:val="32"/>
              </w:rPr>
              <w:t>1</w:t>
            </w:r>
            <w:r>
              <w:rPr>
                <w:rFonts w:hint="eastAsia" w:ascii="仿宋_GB2312" w:hAnsi="仿宋" w:eastAsia="仿宋_GB2312"/>
                <w:snapToGrid w:val="0"/>
                <w:kern w:val="0"/>
                <w:sz w:val="32"/>
                <w:szCs w:val="32"/>
              </w:rPr>
              <w:t>套</w:t>
            </w:r>
          </w:p>
        </w:tc>
        <w:tc>
          <w:tcPr>
            <w:tcW w:w="5472" w:type="dxa"/>
          </w:tcPr>
          <w:p w14:paraId="4DCAE6C7">
            <w:pP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泰迪智能</w:t>
            </w:r>
            <w:r>
              <w:rPr>
                <w:rFonts w:hint="eastAsia" w:ascii="仿宋_GB2312" w:hAnsi="仿宋" w:eastAsia="仿宋_GB2312" w:cs="___WRD_EMBED_SUB_50"/>
                <w:snapToGrid w:val="0"/>
                <w:kern w:val="0"/>
                <w:sz w:val="32"/>
                <w:szCs w:val="32"/>
              </w:rPr>
              <w:t>大数据竞赛</w:t>
            </w:r>
            <w:r>
              <w:rPr>
                <w:rFonts w:hint="eastAsia" w:ascii="仿宋_GB2312" w:hAnsi="仿宋" w:eastAsia="仿宋_GB2312"/>
                <w:snapToGrid w:val="0"/>
                <w:kern w:val="0"/>
                <w:sz w:val="32"/>
                <w:szCs w:val="32"/>
              </w:rPr>
              <w:t>平台</w:t>
            </w:r>
            <w:r>
              <w:rPr>
                <w:rFonts w:hint="eastAsia" w:ascii="仿宋_GB2312" w:hAnsi="仿宋" w:eastAsia="仿宋_GB2312" w:cs="___WRD_EMBED_SUB_50"/>
                <w:snapToGrid w:val="0"/>
                <w:kern w:val="0"/>
                <w:sz w:val="32"/>
                <w:szCs w:val="32"/>
              </w:rPr>
              <w:t>：</w:t>
            </w:r>
            <w:r>
              <w:rPr>
                <w:rFonts w:hint="eastAsia" w:ascii="仿宋_GB2312" w:hAnsi="仿宋" w:eastAsia="仿宋_GB2312"/>
                <w:snapToGrid w:val="0"/>
                <w:kern w:val="0"/>
                <w:sz w:val="32"/>
                <w:szCs w:val="32"/>
              </w:rPr>
              <w:t>该系统</w:t>
            </w:r>
            <w:r>
              <w:rPr>
                <w:rFonts w:hint="eastAsia" w:ascii="仿宋_GB2312" w:hAnsi="仿宋" w:eastAsia="仿宋_GB2312" w:cs="___WRD_EMBED_SUB_50"/>
                <w:snapToGrid w:val="0"/>
                <w:kern w:val="0"/>
                <w:sz w:val="32"/>
                <w:szCs w:val="32"/>
              </w:rPr>
              <w:t>基</w:t>
            </w:r>
            <w:r>
              <w:rPr>
                <w:rFonts w:hint="eastAsia" w:ascii="仿宋_GB2312" w:hAnsi="仿宋" w:eastAsia="仿宋_GB2312"/>
                <w:snapToGrid w:val="0"/>
                <w:kern w:val="0"/>
                <w:sz w:val="32"/>
                <w:szCs w:val="32"/>
              </w:rPr>
              <w:t>于</w:t>
            </w:r>
            <w:r>
              <w:rPr>
                <w:rFonts w:hint="eastAsia" w:ascii="仿宋_GB2312" w:hAnsi="仿宋" w:eastAsia="仿宋_GB2312" w:cs="楷体_GB2312"/>
                <w:snapToGrid w:val="0"/>
                <w:kern w:val="0"/>
                <w:sz w:val="32"/>
                <w:szCs w:val="32"/>
              </w:rPr>
              <w:t>B/S</w:t>
            </w:r>
            <w:r>
              <w:rPr>
                <w:rFonts w:hint="eastAsia" w:ascii="仿宋_GB2312" w:hAnsi="仿宋" w:eastAsia="仿宋_GB2312"/>
                <w:snapToGrid w:val="0"/>
                <w:kern w:val="0"/>
                <w:sz w:val="32"/>
                <w:szCs w:val="32"/>
              </w:rPr>
              <w:t>架构，</w:t>
            </w:r>
            <w:r>
              <w:rPr>
                <w:rFonts w:hint="eastAsia" w:ascii="仿宋_GB2312" w:hAnsi="仿宋" w:eastAsia="仿宋_GB2312" w:cs="___WRD_EMBED_SUB_50"/>
                <w:snapToGrid w:val="0"/>
                <w:kern w:val="0"/>
                <w:sz w:val="32"/>
                <w:szCs w:val="32"/>
              </w:rPr>
              <w:t>提</w:t>
            </w:r>
            <w:r>
              <w:rPr>
                <w:rFonts w:hint="eastAsia" w:ascii="仿宋_GB2312" w:hAnsi="仿宋" w:eastAsia="仿宋_GB2312"/>
                <w:snapToGrid w:val="0"/>
                <w:kern w:val="0"/>
                <w:sz w:val="32"/>
                <w:szCs w:val="32"/>
              </w:rPr>
              <w:t>供</w:t>
            </w:r>
            <w:r>
              <w:rPr>
                <w:rFonts w:hint="eastAsia" w:ascii="仿宋_GB2312" w:hAnsi="仿宋" w:eastAsia="仿宋_GB2312" w:cs="___WRD_EMBED_SUB_50"/>
                <w:snapToGrid w:val="0"/>
                <w:kern w:val="0"/>
                <w:sz w:val="32"/>
                <w:szCs w:val="32"/>
              </w:rPr>
              <w:t>大数据竞赛安排</w:t>
            </w:r>
            <w:r>
              <w:rPr>
                <w:rFonts w:hint="eastAsia" w:ascii="仿宋_GB2312" w:hAnsi="仿宋" w:eastAsia="仿宋_GB2312"/>
                <w:snapToGrid w:val="0"/>
                <w:kern w:val="0"/>
                <w:sz w:val="32"/>
                <w:szCs w:val="32"/>
              </w:rPr>
              <w:t>与管理</w:t>
            </w:r>
            <w:r>
              <w:rPr>
                <w:rFonts w:hint="eastAsia" w:ascii="仿宋_GB2312" w:hAnsi="仿宋" w:eastAsia="仿宋_GB2312" w:cs="___WRD_EMBED_SUB_50"/>
                <w:snapToGrid w:val="0"/>
                <w:kern w:val="0"/>
                <w:sz w:val="32"/>
                <w:szCs w:val="32"/>
              </w:rPr>
              <w:t>、大数据分</w:t>
            </w:r>
            <w:r>
              <w:rPr>
                <w:rFonts w:hint="eastAsia" w:ascii="仿宋_GB2312" w:hAnsi="仿宋" w:eastAsia="仿宋_GB2312"/>
                <w:snapToGrid w:val="0"/>
                <w:kern w:val="0"/>
                <w:sz w:val="32"/>
                <w:szCs w:val="32"/>
              </w:rPr>
              <w:t>析</w:t>
            </w:r>
            <w:r>
              <w:rPr>
                <w:rFonts w:hint="eastAsia" w:ascii="仿宋_GB2312" w:hAnsi="仿宋" w:eastAsia="仿宋_GB2312" w:cs="___WRD_EMBED_SUB_50"/>
                <w:snapToGrid w:val="0"/>
                <w:kern w:val="0"/>
                <w:sz w:val="32"/>
                <w:szCs w:val="32"/>
              </w:rPr>
              <w:t>竞赛环境、大数据开发竞赛环境</w:t>
            </w:r>
            <w:r>
              <w:rPr>
                <w:rFonts w:hint="eastAsia" w:ascii="仿宋_GB2312" w:hAnsi="仿宋" w:eastAsia="仿宋_GB2312"/>
                <w:snapToGrid w:val="0"/>
                <w:kern w:val="0"/>
                <w:sz w:val="32"/>
                <w:szCs w:val="32"/>
              </w:rPr>
              <w:t>等。</w:t>
            </w:r>
          </w:p>
          <w:p w14:paraId="7C044CB6">
            <w:pP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管理后台支持</w:t>
            </w:r>
            <w:r>
              <w:rPr>
                <w:rFonts w:hint="eastAsia" w:ascii="仿宋_GB2312" w:hAnsi="仿宋" w:eastAsia="仿宋_GB2312" w:cs="___WRD_EMBED_SUB_50"/>
                <w:snapToGrid w:val="0"/>
                <w:kern w:val="0"/>
                <w:sz w:val="32"/>
                <w:szCs w:val="32"/>
              </w:rPr>
              <w:t>竞赛</w:t>
            </w:r>
            <w:r>
              <w:rPr>
                <w:rFonts w:hint="eastAsia" w:ascii="仿宋_GB2312" w:hAnsi="仿宋" w:eastAsia="仿宋_GB2312"/>
                <w:snapToGrid w:val="0"/>
                <w:kern w:val="0"/>
                <w:sz w:val="32"/>
                <w:szCs w:val="32"/>
              </w:rPr>
              <w:t>计划</w:t>
            </w:r>
            <w:r>
              <w:rPr>
                <w:rFonts w:hint="eastAsia" w:ascii="仿宋_GB2312" w:hAnsi="仿宋" w:eastAsia="仿宋_GB2312" w:cs="___WRD_EMBED_SUB_50"/>
                <w:snapToGrid w:val="0"/>
                <w:kern w:val="0"/>
                <w:sz w:val="32"/>
                <w:szCs w:val="32"/>
              </w:rPr>
              <w:t>、选手信息、选手</w:t>
            </w:r>
            <w:r>
              <w:rPr>
                <w:rFonts w:hint="eastAsia" w:ascii="仿宋_GB2312" w:hAnsi="仿宋" w:eastAsia="仿宋_GB2312"/>
                <w:snapToGrid w:val="0"/>
                <w:kern w:val="0"/>
                <w:sz w:val="32"/>
                <w:szCs w:val="32"/>
              </w:rPr>
              <w:t>报</w:t>
            </w:r>
            <w:r>
              <w:rPr>
                <w:rFonts w:hint="eastAsia" w:ascii="仿宋_GB2312" w:hAnsi="仿宋" w:eastAsia="仿宋_GB2312" w:cs="___WRD_EMBED_SUB_50"/>
                <w:snapToGrid w:val="0"/>
                <w:kern w:val="0"/>
                <w:sz w:val="32"/>
                <w:szCs w:val="32"/>
              </w:rPr>
              <w:t>名信息、竞赛安排</w:t>
            </w:r>
            <w:r>
              <w:rPr>
                <w:rFonts w:hint="eastAsia" w:ascii="仿宋_GB2312" w:hAnsi="仿宋" w:eastAsia="仿宋_GB2312"/>
                <w:snapToGrid w:val="0"/>
                <w:kern w:val="0"/>
                <w:sz w:val="32"/>
                <w:szCs w:val="32"/>
              </w:rPr>
              <w:t>状态</w:t>
            </w:r>
            <w:r>
              <w:rPr>
                <w:rFonts w:hint="eastAsia" w:ascii="仿宋_GB2312" w:hAnsi="仿宋" w:eastAsia="仿宋_GB2312" w:cs="___WRD_EMBED_SUB_50"/>
                <w:snapToGrid w:val="0"/>
                <w:kern w:val="0"/>
                <w:sz w:val="32"/>
                <w:szCs w:val="32"/>
              </w:rPr>
              <w:t>、</w:t>
            </w:r>
            <w:r>
              <w:rPr>
                <w:rFonts w:hint="eastAsia" w:ascii="仿宋_GB2312" w:hAnsi="仿宋" w:eastAsia="仿宋_GB2312"/>
                <w:snapToGrid w:val="0"/>
                <w:kern w:val="0"/>
                <w:sz w:val="32"/>
                <w:szCs w:val="32"/>
              </w:rPr>
              <w:t>配置</w:t>
            </w:r>
            <w:r>
              <w:rPr>
                <w:rFonts w:hint="eastAsia" w:ascii="仿宋_GB2312" w:hAnsi="仿宋" w:eastAsia="仿宋_GB2312" w:cs="___WRD_EMBED_SUB_50"/>
                <w:snapToGrid w:val="0"/>
                <w:kern w:val="0"/>
                <w:sz w:val="32"/>
                <w:szCs w:val="32"/>
              </w:rPr>
              <w:t>赛题</w:t>
            </w:r>
            <w:r>
              <w:rPr>
                <w:rFonts w:hint="eastAsia" w:ascii="仿宋_GB2312" w:hAnsi="仿宋" w:eastAsia="仿宋_GB2312"/>
                <w:snapToGrid w:val="0"/>
                <w:kern w:val="0"/>
                <w:sz w:val="32"/>
                <w:szCs w:val="32"/>
              </w:rPr>
              <w:t>；</w:t>
            </w:r>
          </w:p>
          <w:p w14:paraId="4BFFDBF3">
            <w:pP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模拟</w:t>
            </w:r>
            <w:r>
              <w:rPr>
                <w:rFonts w:hint="eastAsia" w:ascii="仿宋_GB2312" w:hAnsi="仿宋" w:eastAsia="仿宋_GB2312" w:cs="___WRD_EMBED_SUB_50"/>
                <w:snapToGrid w:val="0"/>
                <w:kern w:val="0"/>
                <w:sz w:val="32"/>
                <w:szCs w:val="32"/>
              </w:rPr>
              <w:t>环境</w:t>
            </w:r>
            <w:r>
              <w:rPr>
                <w:rFonts w:hint="eastAsia" w:ascii="仿宋_GB2312" w:hAnsi="仿宋" w:eastAsia="仿宋_GB2312"/>
                <w:snapToGrid w:val="0"/>
                <w:kern w:val="0"/>
                <w:sz w:val="32"/>
                <w:szCs w:val="32"/>
              </w:rPr>
              <w:t>支持进行</w:t>
            </w:r>
            <w:r>
              <w:rPr>
                <w:rFonts w:hint="eastAsia" w:ascii="仿宋_GB2312" w:hAnsi="仿宋" w:eastAsia="仿宋_GB2312" w:cs="___WRD_EMBED_SUB_50"/>
                <w:snapToGrid w:val="0"/>
                <w:kern w:val="0"/>
                <w:sz w:val="32"/>
                <w:szCs w:val="32"/>
              </w:rPr>
              <w:t>数据</w:t>
            </w:r>
            <w:r>
              <w:rPr>
                <w:rFonts w:hint="eastAsia" w:ascii="仿宋_GB2312" w:hAnsi="仿宋" w:eastAsia="仿宋_GB2312"/>
                <w:snapToGrid w:val="0"/>
                <w:kern w:val="0"/>
                <w:sz w:val="32"/>
                <w:szCs w:val="32"/>
              </w:rPr>
              <w:t>爬取</w:t>
            </w:r>
            <w:r>
              <w:rPr>
                <w:rFonts w:hint="eastAsia" w:ascii="仿宋_GB2312" w:hAnsi="仿宋" w:eastAsia="仿宋_GB2312" w:cs="___WRD_EMBED_SUB_50"/>
                <w:snapToGrid w:val="0"/>
                <w:kern w:val="0"/>
                <w:sz w:val="32"/>
                <w:szCs w:val="32"/>
              </w:rPr>
              <w:t>、数据</w:t>
            </w:r>
            <w:r>
              <w:rPr>
                <w:rFonts w:hint="eastAsia" w:ascii="仿宋_GB2312" w:hAnsi="仿宋" w:eastAsia="仿宋_GB2312"/>
                <w:snapToGrid w:val="0"/>
                <w:kern w:val="0"/>
                <w:sz w:val="32"/>
                <w:szCs w:val="32"/>
              </w:rPr>
              <w:t>处理</w:t>
            </w:r>
            <w:r>
              <w:rPr>
                <w:rFonts w:hint="eastAsia" w:ascii="仿宋_GB2312" w:hAnsi="仿宋" w:eastAsia="仿宋_GB2312" w:cs="___WRD_EMBED_SUB_50"/>
                <w:snapToGrid w:val="0"/>
                <w:kern w:val="0"/>
                <w:sz w:val="32"/>
                <w:szCs w:val="32"/>
              </w:rPr>
              <w:t>、数据分</w:t>
            </w:r>
            <w:r>
              <w:rPr>
                <w:rFonts w:hint="eastAsia" w:ascii="仿宋_GB2312" w:hAnsi="仿宋" w:eastAsia="仿宋_GB2312"/>
                <w:snapToGrid w:val="0"/>
                <w:kern w:val="0"/>
                <w:sz w:val="32"/>
                <w:szCs w:val="32"/>
              </w:rPr>
              <w:t>析挖掘</w:t>
            </w:r>
            <w:r>
              <w:rPr>
                <w:rFonts w:hint="eastAsia" w:ascii="仿宋_GB2312" w:hAnsi="仿宋" w:eastAsia="仿宋_GB2312" w:cs="___WRD_EMBED_SUB_50"/>
                <w:snapToGrid w:val="0"/>
                <w:kern w:val="0"/>
                <w:sz w:val="32"/>
                <w:szCs w:val="32"/>
              </w:rPr>
              <w:t>、数据</w:t>
            </w:r>
            <w:r>
              <w:rPr>
                <w:rFonts w:hint="eastAsia" w:ascii="仿宋_GB2312" w:hAnsi="仿宋" w:eastAsia="仿宋_GB2312"/>
                <w:snapToGrid w:val="0"/>
                <w:kern w:val="0"/>
                <w:sz w:val="32"/>
                <w:szCs w:val="32"/>
              </w:rPr>
              <w:t>可</w:t>
            </w:r>
            <w:r>
              <w:rPr>
                <w:rFonts w:hint="eastAsia" w:ascii="仿宋_GB2312" w:hAnsi="仿宋" w:eastAsia="仿宋_GB2312" w:cs="___WRD_EMBED_SUB_50"/>
                <w:snapToGrid w:val="0"/>
                <w:kern w:val="0"/>
                <w:sz w:val="32"/>
                <w:szCs w:val="32"/>
              </w:rPr>
              <w:t>视</w:t>
            </w:r>
            <w:r>
              <w:rPr>
                <w:rFonts w:hint="eastAsia" w:ascii="仿宋_GB2312" w:hAnsi="仿宋" w:eastAsia="仿宋_GB2312"/>
                <w:snapToGrid w:val="0"/>
                <w:kern w:val="0"/>
                <w:sz w:val="32"/>
                <w:szCs w:val="32"/>
              </w:rPr>
              <w:t>化的</w:t>
            </w:r>
            <w:r>
              <w:rPr>
                <w:rFonts w:hint="eastAsia" w:ascii="仿宋_GB2312" w:hAnsi="仿宋" w:eastAsia="仿宋_GB2312" w:cs="___WRD_EMBED_SUB_50"/>
                <w:snapToGrid w:val="0"/>
                <w:kern w:val="0"/>
                <w:sz w:val="32"/>
                <w:szCs w:val="32"/>
              </w:rPr>
              <w:t>竞赛</w:t>
            </w:r>
            <w:r>
              <w:rPr>
                <w:rFonts w:hint="eastAsia" w:ascii="仿宋_GB2312" w:hAnsi="仿宋" w:eastAsia="仿宋_GB2312"/>
                <w:snapToGrid w:val="0"/>
                <w:kern w:val="0"/>
                <w:sz w:val="32"/>
                <w:szCs w:val="32"/>
              </w:rPr>
              <w:t>训练；</w:t>
            </w:r>
          </w:p>
          <w:p w14:paraId="31A5E09B">
            <w:pP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竞赛环境预</w:t>
            </w:r>
            <w:r>
              <w:rPr>
                <w:rFonts w:hint="eastAsia" w:ascii="仿宋_GB2312" w:hAnsi="仿宋" w:eastAsia="仿宋_GB2312"/>
                <w:snapToGrid w:val="0"/>
                <w:kern w:val="0"/>
                <w:sz w:val="32"/>
                <w:szCs w:val="32"/>
              </w:rPr>
              <w:t>装常</w:t>
            </w:r>
            <w:r>
              <w:rPr>
                <w:rFonts w:hint="eastAsia" w:ascii="仿宋_GB2312" w:hAnsi="仿宋" w:eastAsia="仿宋_GB2312" w:cs="___WRD_EMBED_SUB_50"/>
                <w:snapToGrid w:val="0"/>
                <w:kern w:val="0"/>
                <w:sz w:val="32"/>
                <w:szCs w:val="32"/>
              </w:rPr>
              <w:t>用</w:t>
            </w:r>
            <w:r>
              <w:rPr>
                <w:rFonts w:hint="eastAsia" w:ascii="仿宋_GB2312" w:hAnsi="仿宋" w:eastAsia="仿宋_GB2312" w:cs="楷体_GB2312"/>
                <w:snapToGrid w:val="0"/>
                <w:kern w:val="0"/>
                <w:sz w:val="32"/>
                <w:szCs w:val="32"/>
              </w:rPr>
              <w:t>Python</w:t>
            </w:r>
            <w:r>
              <w:rPr>
                <w:rFonts w:hint="eastAsia" w:ascii="仿宋_GB2312" w:hAnsi="仿宋" w:eastAsia="仿宋_GB2312"/>
                <w:snapToGrid w:val="0"/>
                <w:kern w:val="0"/>
                <w:sz w:val="32"/>
                <w:szCs w:val="32"/>
              </w:rPr>
              <w:t>的</w:t>
            </w:r>
            <w:r>
              <w:rPr>
                <w:rFonts w:hint="eastAsia" w:ascii="仿宋_GB2312" w:hAnsi="仿宋" w:eastAsia="仿宋_GB2312" w:cs="楷体_GB2312"/>
                <w:snapToGrid w:val="0"/>
                <w:kern w:val="0"/>
                <w:sz w:val="32"/>
                <w:szCs w:val="32"/>
              </w:rPr>
              <w:t>IDE</w:t>
            </w:r>
            <w:r>
              <w:rPr>
                <w:rFonts w:hint="eastAsia" w:ascii="仿宋_GB2312" w:hAnsi="仿宋" w:eastAsia="仿宋_GB2312"/>
                <w:snapToGrid w:val="0"/>
                <w:kern w:val="0"/>
                <w:sz w:val="32"/>
                <w:szCs w:val="32"/>
              </w:rPr>
              <w:t>集</w:t>
            </w:r>
            <w:r>
              <w:rPr>
                <w:rFonts w:hint="eastAsia" w:ascii="仿宋_GB2312" w:hAnsi="仿宋" w:eastAsia="仿宋_GB2312" w:cs="___WRD_EMBED_SUB_50"/>
                <w:snapToGrid w:val="0"/>
                <w:kern w:val="0"/>
                <w:sz w:val="32"/>
                <w:szCs w:val="32"/>
              </w:rPr>
              <w:t>成环境</w:t>
            </w:r>
            <w:r>
              <w:rPr>
                <w:rFonts w:hint="eastAsia" w:ascii="仿宋_GB2312" w:hAnsi="仿宋" w:eastAsia="仿宋_GB2312"/>
                <w:snapToGrid w:val="0"/>
                <w:kern w:val="0"/>
                <w:sz w:val="32"/>
                <w:szCs w:val="32"/>
              </w:rPr>
              <w:t>如</w:t>
            </w:r>
            <w:r>
              <w:rPr>
                <w:rFonts w:hint="eastAsia" w:ascii="仿宋_GB2312" w:hAnsi="仿宋" w:eastAsia="仿宋_GB2312" w:cs="楷体_GB2312"/>
                <w:snapToGrid w:val="0"/>
                <w:kern w:val="0"/>
                <w:sz w:val="32"/>
                <w:szCs w:val="32"/>
              </w:rPr>
              <w:t>IDLE、Jupyter Notebook</w:t>
            </w:r>
            <w:r>
              <w:rPr>
                <w:rFonts w:hint="eastAsia" w:ascii="仿宋_GB2312" w:hAnsi="仿宋" w:eastAsia="仿宋_GB2312"/>
                <w:snapToGrid w:val="0"/>
                <w:kern w:val="0"/>
                <w:sz w:val="32"/>
                <w:szCs w:val="32"/>
              </w:rPr>
              <w:t>或</w:t>
            </w:r>
            <w:r>
              <w:rPr>
                <w:rFonts w:hint="eastAsia" w:ascii="仿宋_GB2312" w:hAnsi="仿宋" w:eastAsia="仿宋_GB2312" w:cs="楷体_GB2312"/>
                <w:snapToGrid w:val="0"/>
                <w:kern w:val="0"/>
                <w:sz w:val="32"/>
                <w:szCs w:val="32"/>
              </w:rPr>
              <w:t>JupyterLab</w:t>
            </w:r>
            <w:r>
              <w:rPr>
                <w:rFonts w:hint="eastAsia" w:ascii="仿宋_GB2312" w:hAnsi="仿宋" w:eastAsia="仿宋_GB2312"/>
                <w:snapToGrid w:val="0"/>
                <w:kern w:val="0"/>
                <w:sz w:val="32"/>
                <w:szCs w:val="32"/>
              </w:rPr>
              <w:t>等，以</w:t>
            </w:r>
            <w:r>
              <w:rPr>
                <w:rFonts w:hint="eastAsia" w:ascii="仿宋_GB2312" w:hAnsi="仿宋" w:eastAsia="仿宋_GB2312" w:cs="___WRD_EMBED_SUB_50"/>
                <w:snapToGrid w:val="0"/>
                <w:kern w:val="0"/>
                <w:sz w:val="32"/>
                <w:szCs w:val="32"/>
              </w:rPr>
              <w:t>及</w:t>
            </w:r>
            <w:r>
              <w:rPr>
                <w:rFonts w:hint="eastAsia" w:ascii="仿宋_GB2312" w:hAnsi="仿宋" w:eastAsia="仿宋_GB2312"/>
                <w:snapToGrid w:val="0"/>
                <w:kern w:val="0"/>
                <w:sz w:val="32"/>
                <w:szCs w:val="32"/>
              </w:rPr>
              <w:t>各类</w:t>
            </w:r>
            <w:r>
              <w:rPr>
                <w:rFonts w:hint="eastAsia" w:ascii="仿宋_GB2312" w:hAnsi="仿宋" w:eastAsia="仿宋_GB2312" w:cs="___WRD_EMBED_SUB_50"/>
                <w:snapToGrid w:val="0"/>
                <w:kern w:val="0"/>
                <w:sz w:val="32"/>
                <w:szCs w:val="32"/>
              </w:rPr>
              <w:t>开发</w:t>
            </w:r>
            <w:r>
              <w:rPr>
                <w:rFonts w:hint="eastAsia" w:ascii="仿宋_GB2312" w:hAnsi="仿宋" w:eastAsia="仿宋_GB2312"/>
                <w:snapToGrid w:val="0"/>
                <w:kern w:val="0"/>
                <w:sz w:val="32"/>
                <w:szCs w:val="32"/>
              </w:rPr>
              <w:t>库，</w:t>
            </w:r>
            <w:r>
              <w:rPr>
                <w:rFonts w:hint="eastAsia" w:ascii="仿宋_GB2312" w:hAnsi="仿宋" w:eastAsia="仿宋_GB2312" w:cs="___WRD_EMBED_SUB_50"/>
                <w:snapToGrid w:val="0"/>
                <w:kern w:val="0"/>
                <w:sz w:val="32"/>
                <w:szCs w:val="32"/>
              </w:rPr>
              <w:t>内</w:t>
            </w:r>
            <w:r>
              <w:rPr>
                <w:rFonts w:hint="eastAsia" w:ascii="仿宋_GB2312" w:hAnsi="仿宋" w:eastAsia="仿宋_GB2312"/>
                <w:snapToGrid w:val="0"/>
                <w:kern w:val="0"/>
                <w:sz w:val="32"/>
                <w:szCs w:val="32"/>
              </w:rPr>
              <w:t>置</w:t>
            </w:r>
            <w:r>
              <w:rPr>
                <w:rFonts w:hint="eastAsia" w:ascii="仿宋_GB2312" w:hAnsi="仿宋" w:eastAsia="仿宋_GB2312" w:cs="___WRD_EMBED_SUB_50"/>
                <w:snapToGrid w:val="0"/>
                <w:kern w:val="0"/>
                <w:sz w:val="32"/>
                <w:szCs w:val="32"/>
              </w:rPr>
              <w:t>数据</w:t>
            </w:r>
            <w:r>
              <w:rPr>
                <w:rFonts w:hint="eastAsia" w:ascii="仿宋_GB2312" w:hAnsi="仿宋" w:eastAsia="仿宋_GB2312"/>
                <w:snapToGrid w:val="0"/>
                <w:kern w:val="0"/>
                <w:sz w:val="32"/>
                <w:szCs w:val="32"/>
              </w:rPr>
              <w:t>库</w:t>
            </w:r>
            <w:r>
              <w:rPr>
                <w:rFonts w:hint="eastAsia" w:ascii="仿宋_GB2312" w:hAnsi="仿宋" w:eastAsia="仿宋_GB2312" w:cs="___WRD_EMBED_SUB_50"/>
                <w:snapToGrid w:val="0"/>
                <w:kern w:val="0"/>
                <w:sz w:val="32"/>
                <w:szCs w:val="32"/>
              </w:rPr>
              <w:t>软件</w:t>
            </w:r>
            <w:r>
              <w:rPr>
                <w:rFonts w:hint="eastAsia" w:ascii="仿宋_GB2312" w:hAnsi="仿宋" w:eastAsia="仿宋_GB2312" w:cs="楷体_GB2312"/>
                <w:snapToGrid w:val="0"/>
                <w:kern w:val="0"/>
                <w:sz w:val="32"/>
                <w:szCs w:val="32"/>
              </w:rPr>
              <w:t>MySQL</w:t>
            </w:r>
            <w:r>
              <w:rPr>
                <w:rFonts w:hint="eastAsia" w:ascii="仿宋_GB2312" w:hAnsi="仿宋" w:eastAsia="仿宋_GB2312"/>
                <w:snapToGrid w:val="0"/>
                <w:kern w:val="0"/>
                <w:sz w:val="32"/>
                <w:szCs w:val="32"/>
              </w:rPr>
              <w:t>，支持训练</w:t>
            </w:r>
            <w:r>
              <w:rPr>
                <w:rFonts w:hint="eastAsia" w:ascii="仿宋_GB2312" w:hAnsi="仿宋" w:eastAsia="仿宋_GB2312" w:cs="___WRD_EMBED_SUB_50"/>
                <w:snapToGrid w:val="0"/>
                <w:kern w:val="0"/>
                <w:sz w:val="32"/>
                <w:szCs w:val="32"/>
              </w:rPr>
              <w:t>环境</w:t>
            </w:r>
            <w:r>
              <w:rPr>
                <w:rFonts w:hint="eastAsia" w:ascii="仿宋_GB2312" w:hAnsi="仿宋" w:eastAsia="仿宋_GB2312"/>
                <w:snapToGrid w:val="0"/>
                <w:kern w:val="0"/>
                <w:sz w:val="32"/>
                <w:szCs w:val="32"/>
              </w:rPr>
              <w:t>与本地进行文</w:t>
            </w:r>
            <w:r>
              <w:rPr>
                <w:rFonts w:hint="eastAsia" w:ascii="仿宋_GB2312" w:hAnsi="仿宋" w:eastAsia="仿宋_GB2312" w:cs="___WRD_EMBED_SUB_50"/>
                <w:snapToGrid w:val="0"/>
                <w:kern w:val="0"/>
                <w:sz w:val="32"/>
                <w:szCs w:val="32"/>
              </w:rPr>
              <w:t>件</w:t>
            </w:r>
            <w:r>
              <w:rPr>
                <w:rFonts w:hint="eastAsia" w:ascii="仿宋_GB2312" w:hAnsi="仿宋" w:eastAsia="仿宋_GB2312"/>
                <w:snapToGrid w:val="0"/>
                <w:kern w:val="0"/>
                <w:sz w:val="32"/>
                <w:szCs w:val="32"/>
              </w:rPr>
              <w:t>传输，支持传输所有文</w:t>
            </w:r>
            <w:r>
              <w:rPr>
                <w:rFonts w:hint="eastAsia" w:ascii="仿宋_GB2312" w:hAnsi="仿宋" w:eastAsia="仿宋_GB2312" w:cs="___WRD_EMBED_SUB_50"/>
                <w:snapToGrid w:val="0"/>
                <w:kern w:val="0"/>
                <w:sz w:val="32"/>
                <w:szCs w:val="32"/>
              </w:rPr>
              <w:t>件</w:t>
            </w:r>
            <w:r>
              <w:rPr>
                <w:rFonts w:hint="eastAsia" w:ascii="仿宋_GB2312" w:hAnsi="仿宋" w:eastAsia="仿宋_GB2312"/>
                <w:snapToGrid w:val="0"/>
                <w:kern w:val="0"/>
                <w:sz w:val="32"/>
                <w:szCs w:val="32"/>
              </w:rPr>
              <w:t>类型，且支持批量传输；</w:t>
            </w:r>
          </w:p>
          <w:p w14:paraId="43A6604B">
            <w:pP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竞赛环境</w:t>
            </w:r>
            <w:r>
              <w:rPr>
                <w:rFonts w:hint="eastAsia" w:ascii="仿宋_GB2312" w:hAnsi="仿宋" w:eastAsia="仿宋_GB2312"/>
                <w:snapToGrid w:val="0"/>
                <w:kern w:val="0"/>
                <w:sz w:val="32"/>
                <w:szCs w:val="32"/>
              </w:rPr>
              <w:t>支持进行</w:t>
            </w:r>
            <w:r>
              <w:rPr>
                <w:rFonts w:hint="eastAsia" w:ascii="仿宋_GB2312" w:hAnsi="仿宋" w:eastAsia="仿宋_GB2312" w:cs="___WRD_EMBED_SUB_50"/>
                <w:snapToGrid w:val="0"/>
                <w:kern w:val="0"/>
                <w:sz w:val="32"/>
                <w:szCs w:val="32"/>
              </w:rPr>
              <w:t>大数据</w:t>
            </w:r>
            <w:r>
              <w:rPr>
                <w:rFonts w:hint="eastAsia" w:ascii="仿宋_GB2312" w:hAnsi="仿宋" w:eastAsia="仿宋_GB2312"/>
                <w:snapToGrid w:val="0"/>
                <w:kern w:val="0"/>
                <w:sz w:val="32"/>
                <w:szCs w:val="32"/>
              </w:rPr>
              <w:t>采集处理</w:t>
            </w:r>
            <w:r>
              <w:rPr>
                <w:rFonts w:hint="eastAsia" w:ascii="仿宋_GB2312" w:hAnsi="仿宋" w:eastAsia="仿宋_GB2312" w:cs="___WRD_EMBED_SUB_50"/>
                <w:snapToGrid w:val="0"/>
                <w:kern w:val="0"/>
                <w:sz w:val="32"/>
                <w:szCs w:val="32"/>
              </w:rPr>
              <w:t>、大数据</w:t>
            </w:r>
            <w:r>
              <w:rPr>
                <w:rFonts w:hint="eastAsia" w:ascii="仿宋_GB2312" w:hAnsi="仿宋" w:eastAsia="仿宋_GB2312"/>
                <w:snapToGrid w:val="0"/>
                <w:kern w:val="0"/>
                <w:sz w:val="32"/>
                <w:szCs w:val="32"/>
              </w:rPr>
              <w:t>存储</w:t>
            </w:r>
            <w:r>
              <w:rPr>
                <w:rFonts w:hint="eastAsia" w:ascii="仿宋_GB2312" w:hAnsi="仿宋" w:eastAsia="仿宋_GB2312" w:cs="___WRD_EMBED_SUB_50"/>
                <w:snapToGrid w:val="0"/>
                <w:kern w:val="0"/>
                <w:sz w:val="32"/>
                <w:szCs w:val="32"/>
              </w:rPr>
              <w:t>、大数据</w:t>
            </w:r>
            <w:r>
              <w:rPr>
                <w:rFonts w:hint="eastAsia" w:ascii="仿宋_GB2312" w:hAnsi="仿宋" w:eastAsia="仿宋_GB2312"/>
                <w:snapToGrid w:val="0"/>
                <w:kern w:val="0"/>
                <w:sz w:val="32"/>
                <w:szCs w:val="32"/>
              </w:rPr>
              <w:t>离线计算</w:t>
            </w:r>
            <w:r>
              <w:rPr>
                <w:rFonts w:hint="eastAsia" w:ascii="仿宋_GB2312" w:hAnsi="仿宋" w:eastAsia="仿宋_GB2312" w:cs="___WRD_EMBED_SUB_50"/>
                <w:snapToGrid w:val="0"/>
                <w:kern w:val="0"/>
                <w:sz w:val="32"/>
                <w:szCs w:val="32"/>
              </w:rPr>
              <w:t>、大数据流</w:t>
            </w:r>
            <w:r>
              <w:rPr>
                <w:rFonts w:hint="eastAsia" w:ascii="仿宋_GB2312" w:hAnsi="仿宋" w:eastAsia="仿宋_GB2312"/>
                <w:snapToGrid w:val="0"/>
                <w:kern w:val="0"/>
                <w:sz w:val="32"/>
                <w:szCs w:val="32"/>
              </w:rPr>
              <w:t>式计算</w:t>
            </w:r>
            <w:r>
              <w:rPr>
                <w:rFonts w:hint="eastAsia" w:ascii="仿宋_GB2312" w:hAnsi="仿宋" w:eastAsia="仿宋_GB2312" w:cs="___WRD_EMBED_SUB_50"/>
                <w:snapToGrid w:val="0"/>
                <w:kern w:val="0"/>
                <w:sz w:val="32"/>
                <w:szCs w:val="32"/>
              </w:rPr>
              <w:t>、大数据</w:t>
            </w:r>
            <w:r>
              <w:rPr>
                <w:rFonts w:hint="eastAsia" w:ascii="仿宋_GB2312" w:hAnsi="仿宋" w:eastAsia="仿宋_GB2312"/>
                <w:snapToGrid w:val="0"/>
                <w:kern w:val="0"/>
                <w:sz w:val="32"/>
                <w:szCs w:val="32"/>
              </w:rPr>
              <w:t>系统运维等</w:t>
            </w:r>
            <w:r>
              <w:rPr>
                <w:rFonts w:hint="eastAsia" w:ascii="仿宋_GB2312" w:hAnsi="仿宋" w:eastAsia="仿宋_GB2312" w:cs="___WRD_EMBED_SUB_50"/>
                <w:snapToGrid w:val="0"/>
                <w:kern w:val="0"/>
                <w:sz w:val="32"/>
                <w:szCs w:val="32"/>
              </w:rPr>
              <w:t>竞赛</w:t>
            </w:r>
            <w:r>
              <w:rPr>
                <w:rFonts w:hint="eastAsia" w:ascii="仿宋_GB2312" w:hAnsi="仿宋" w:eastAsia="仿宋_GB2312"/>
                <w:snapToGrid w:val="0"/>
                <w:kern w:val="0"/>
                <w:sz w:val="32"/>
                <w:szCs w:val="32"/>
              </w:rPr>
              <w:t>操</w:t>
            </w:r>
            <w:r>
              <w:rPr>
                <w:rFonts w:hint="eastAsia" w:ascii="仿宋_GB2312" w:hAnsi="仿宋" w:eastAsia="仿宋_GB2312" w:cs="___WRD_EMBED_SUB_50"/>
                <w:snapToGrid w:val="0"/>
                <w:kern w:val="0"/>
                <w:sz w:val="32"/>
                <w:szCs w:val="32"/>
              </w:rPr>
              <w:t>作</w:t>
            </w:r>
            <w:r>
              <w:rPr>
                <w:rFonts w:hint="eastAsia" w:ascii="仿宋_GB2312" w:hAnsi="仿宋" w:eastAsia="仿宋_GB2312"/>
                <w:snapToGrid w:val="0"/>
                <w:kern w:val="0"/>
                <w:sz w:val="32"/>
                <w:szCs w:val="32"/>
              </w:rPr>
              <w:t>，</w:t>
            </w:r>
            <w:r>
              <w:rPr>
                <w:rFonts w:hint="eastAsia" w:ascii="仿宋_GB2312" w:hAnsi="仿宋" w:eastAsia="仿宋_GB2312" w:cs="___WRD_EMBED_SUB_50"/>
                <w:snapToGrid w:val="0"/>
                <w:kern w:val="0"/>
                <w:sz w:val="32"/>
                <w:szCs w:val="32"/>
              </w:rPr>
              <w:t>内</w:t>
            </w:r>
            <w:r>
              <w:rPr>
                <w:rFonts w:hint="eastAsia" w:ascii="仿宋_GB2312" w:hAnsi="仿宋" w:eastAsia="仿宋_GB2312"/>
                <w:snapToGrid w:val="0"/>
                <w:kern w:val="0"/>
                <w:sz w:val="32"/>
                <w:szCs w:val="32"/>
              </w:rPr>
              <w:t>置</w:t>
            </w:r>
            <w:r>
              <w:rPr>
                <w:rFonts w:hint="eastAsia" w:ascii="仿宋_GB2312" w:hAnsi="仿宋" w:eastAsia="仿宋_GB2312" w:cs="楷体_GB2312"/>
                <w:snapToGrid w:val="0"/>
                <w:kern w:val="0"/>
                <w:sz w:val="32"/>
                <w:szCs w:val="32"/>
              </w:rPr>
              <w:t>Hadoop、Spark、Flume</w:t>
            </w:r>
            <w:r>
              <w:rPr>
                <w:rFonts w:hint="eastAsia" w:ascii="仿宋_GB2312" w:hAnsi="仿宋" w:eastAsia="仿宋_GB2312"/>
                <w:snapToGrid w:val="0"/>
                <w:kern w:val="0"/>
                <w:sz w:val="32"/>
                <w:szCs w:val="32"/>
              </w:rPr>
              <w:t>等</w:t>
            </w:r>
            <w:r>
              <w:rPr>
                <w:rFonts w:hint="eastAsia" w:ascii="仿宋_GB2312" w:hAnsi="仿宋" w:eastAsia="仿宋_GB2312" w:cs="___WRD_EMBED_SUB_50"/>
                <w:snapToGrid w:val="0"/>
                <w:kern w:val="0"/>
                <w:sz w:val="32"/>
                <w:szCs w:val="32"/>
              </w:rPr>
              <w:t>竞赛</w:t>
            </w:r>
            <w:r>
              <w:rPr>
                <w:rFonts w:hint="eastAsia" w:ascii="仿宋_GB2312" w:hAnsi="仿宋" w:eastAsia="仿宋_GB2312"/>
                <w:snapToGrid w:val="0"/>
                <w:kern w:val="0"/>
                <w:sz w:val="32"/>
                <w:szCs w:val="32"/>
              </w:rPr>
              <w:t>所需的</w:t>
            </w:r>
            <w:r>
              <w:rPr>
                <w:rFonts w:hint="eastAsia" w:ascii="仿宋_GB2312" w:hAnsi="仿宋" w:eastAsia="仿宋_GB2312" w:cs="___WRD_EMBED_SUB_50"/>
                <w:snapToGrid w:val="0"/>
                <w:kern w:val="0"/>
                <w:sz w:val="32"/>
                <w:szCs w:val="32"/>
              </w:rPr>
              <w:t>大数据开发组件</w:t>
            </w:r>
            <w:r>
              <w:rPr>
                <w:rFonts w:hint="eastAsia" w:ascii="仿宋_GB2312" w:hAnsi="仿宋" w:eastAsia="仿宋_GB2312"/>
                <w:snapToGrid w:val="0"/>
                <w:kern w:val="0"/>
                <w:sz w:val="32"/>
                <w:szCs w:val="32"/>
              </w:rPr>
              <w:t>。</w:t>
            </w:r>
          </w:p>
        </w:tc>
      </w:tr>
      <w:tr w14:paraId="3CB6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Pr>
          <w:p w14:paraId="16BC2FB0">
            <w:pPr>
              <w:rPr>
                <w:rFonts w:hint="eastAsia" w:ascii="仿宋_GB2312" w:hAnsi="仿宋" w:eastAsia="仿宋_GB2312" w:cs="楷体_GB2312"/>
                <w:snapToGrid w:val="0"/>
                <w:kern w:val="0"/>
                <w:sz w:val="32"/>
                <w:szCs w:val="32"/>
              </w:rPr>
            </w:pPr>
          </w:p>
        </w:tc>
        <w:tc>
          <w:tcPr>
            <w:tcW w:w="0" w:type="auto"/>
          </w:tcPr>
          <w:p w14:paraId="4C7E2A9C">
            <w:pP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浏览</w:t>
            </w:r>
            <w:r>
              <w:rPr>
                <w:rFonts w:hint="eastAsia" w:ascii="仿宋_GB2312" w:hAnsi="仿宋" w:eastAsia="仿宋_GB2312" w:cs="___WRD_EMBED_SUB_50"/>
                <w:snapToGrid w:val="0"/>
                <w:kern w:val="0"/>
                <w:sz w:val="32"/>
                <w:szCs w:val="32"/>
              </w:rPr>
              <w:t>器</w:t>
            </w:r>
          </w:p>
        </w:tc>
        <w:tc>
          <w:tcPr>
            <w:tcW w:w="895" w:type="dxa"/>
            <w:vMerge w:val="restart"/>
            <w:vAlign w:val="center"/>
          </w:tcPr>
          <w:p w14:paraId="1F357AF1">
            <w:pPr>
              <w:jc w:val="cente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每</w:t>
            </w:r>
            <w:r>
              <w:rPr>
                <w:rFonts w:hint="eastAsia" w:ascii="仿宋_GB2312" w:hAnsi="仿宋" w:eastAsia="仿宋_GB2312" w:cs="___WRD_EMBED_SUB_50"/>
                <w:snapToGrid w:val="0"/>
                <w:kern w:val="0"/>
                <w:sz w:val="32"/>
                <w:szCs w:val="32"/>
              </w:rPr>
              <w:t>人</w:t>
            </w:r>
            <w:r>
              <w:rPr>
                <w:rFonts w:hint="eastAsia" w:ascii="仿宋_GB2312" w:hAnsi="仿宋" w:eastAsia="仿宋_GB2312" w:cs="楷体_GB2312"/>
                <w:snapToGrid w:val="0"/>
                <w:kern w:val="0"/>
                <w:sz w:val="32"/>
                <w:szCs w:val="32"/>
              </w:rPr>
              <w:t>1</w:t>
            </w:r>
            <w:r>
              <w:rPr>
                <w:rFonts w:hint="eastAsia" w:ascii="仿宋_GB2312" w:hAnsi="仿宋" w:eastAsia="仿宋_GB2312"/>
                <w:snapToGrid w:val="0"/>
                <w:kern w:val="0"/>
                <w:sz w:val="32"/>
                <w:szCs w:val="32"/>
              </w:rPr>
              <w:t>套</w:t>
            </w:r>
          </w:p>
        </w:tc>
        <w:tc>
          <w:tcPr>
            <w:tcW w:w="5472" w:type="dxa"/>
          </w:tcPr>
          <w:p w14:paraId="61BA21FA">
            <w:pP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Chrome</w:t>
            </w:r>
          </w:p>
        </w:tc>
      </w:tr>
      <w:tr w14:paraId="7EF6A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Pr>
          <w:p w14:paraId="3A356DE7">
            <w:pPr>
              <w:rPr>
                <w:rFonts w:hint="eastAsia" w:ascii="仿宋_GB2312" w:hAnsi="仿宋" w:eastAsia="仿宋_GB2312" w:cs="楷体_GB2312"/>
                <w:snapToGrid w:val="0"/>
                <w:kern w:val="0"/>
                <w:sz w:val="32"/>
                <w:szCs w:val="32"/>
              </w:rPr>
            </w:pPr>
          </w:p>
        </w:tc>
        <w:tc>
          <w:tcPr>
            <w:tcW w:w="0" w:type="auto"/>
          </w:tcPr>
          <w:p w14:paraId="2EC5FFE6">
            <w:pP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截图</w:t>
            </w:r>
            <w:r>
              <w:rPr>
                <w:rFonts w:hint="eastAsia" w:ascii="仿宋_GB2312" w:hAnsi="仿宋" w:eastAsia="仿宋_GB2312" w:cs="___WRD_EMBED_SUB_50"/>
                <w:snapToGrid w:val="0"/>
                <w:kern w:val="0"/>
                <w:sz w:val="32"/>
                <w:szCs w:val="32"/>
              </w:rPr>
              <w:t>工</w:t>
            </w:r>
            <w:r>
              <w:rPr>
                <w:rFonts w:hint="eastAsia" w:ascii="仿宋_GB2312" w:hAnsi="仿宋" w:eastAsia="仿宋_GB2312"/>
                <w:snapToGrid w:val="0"/>
                <w:kern w:val="0"/>
                <w:sz w:val="32"/>
                <w:szCs w:val="32"/>
              </w:rPr>
              <w:t>具</w:t>
            </w:r>
          </w:p>
        </w:tc>
        <w:tc>
          <w:tcPr>
            <w:tcW w:w="895" w:type="dxa"/>
            <w:vMerge w:val="continue"/>
          </w:tcPr>
          <w:p w14:paraId="7CF6F13E">
            <w:pPr>
              <w:rPr>
                <w:rFonts w:hint="eastAsia" w:ascii="仿宋_GB2312" w:hAnsi="仿宋" w:eastAsia="仿宋_GB2312" w:cs="楷体_GB2312"/>
                <w:snapToGrid w:val="0"/>
                <w:kern w:val="0"/>
                <w:sz w:val="32"/>
                <w:szCs w:val="32"/>
              </w:rPr>
            </w:pPr>
          </w:p>
        </w:tc>
        <w:tc>
          <w:tcPr>
            <w:tcW w:w="5472" w:type="dxa"/>
          </w:tcPr>
          <w:p w14:paraId="2891DDCC">
            <w:pP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Snipaste或系统自带截图软件</w:t>
            </w:r>
          </w:p>
        </w:tc>
      </w:tr>
      <w:tr w14:paraId="6523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Pr>
          <w:p w14:paraId="56A8C10E">
            <w:pPr>
              <w:rPr>
                <w:rFonts w:hint="eastAsia" w:ascii="仿宋_GB2312" w:hAnsi="仿宋" w:eastAsia="仿宋_GB2312" w:cs="楷体_GB2312"/>
                <w:snapToGrid w:val="0"/>
                <w:kern w:val="0"/>
                <w:sz w:val="32"/>
                <w:szCs w:val="32"/>
              </w:rPr>
            </w:pPr>
          </w:p>
        </w:tc>
        <w:tc>
          <w:tcPr>
            <w:tcW w:w="0" w:type="auto"/>
          </w:tcPr>
          <w:p w14:paraId="230322CF">
            <w:pP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文档编辑</w:t>
            </w:r>
            <w:r>
              <w:rPr>
                <w:rFonts w:hint="eastAsia" w:ascii="仿宋_GB2312" w:hAnsi="仿宋" w:eastAsia="仿宋_GB2312" w:cs="___WRD_EMBED_SUB_50"/>
                <w:snapToGrid w:val="0"/>
                <w:kern w:val="0"/>
                <w:sz w:val="32"/>
                <w:szCs w:val="32"/>
              </w:rPr>
              <w:t>器</w:t>
            </w:r>
          </w:p>
        </w:tc>
        <w:tc>
          <w:tcPr>
            <w:tcW w:w="895" w:type="dxa"/>
            <w:vMerge w:val="continue"/>
          </w:tcPr>
          <w:p w14:paraId="4A5B282E">
            <w:pPr>
              <w:rPr>
                <w:rFonts w:hint="eastAsia" w:ascii="仿宋_GB2312" w:hAnsi="仿宋" w:eastAsia="仿宋_GB2312" w:cs="楷体_GB2312"/>
                <w:snapToGrid w:val="0"/>
                <w:kern w:val="0"/>
                <w:sz w:val="32"/>
                <w:szCs w:val="32"/>
              </w:rPr>
            </w:pPr>
          </w:p>
        </w:tc>
        <w:tc>
          <w:tcPr>
            <w:tcW w:w="5472" w:type="dxa"/>
          </w:tcPr>
          <w:p w14:paraId="26214368">
            <w:pPr>
              <w:rPr>
                <w:rFonts w:hint="eastAsia" w:ascii="仿宋_GB2312" w:hAnsi="仿宋" w:eastAsia="仿宋_GB2312" w:cs="楷体_GB2312"/>
                <w:snapToGrid w:val="0"/>
                <w:kern w:val="0"/>
                <w:sz w:val="32"/>
                <w:szCs w:val="32"/>
              </w:rPr>
            </w:pPr>
            <w:r>
              <w:rPr>
                <w:rFonts w:hint="eastAsia" w:ascii="仿宋_GB2312" w:hAnsi="仿宋" w:eastAsia="仿宋_GB2312" w:cs="楷体_GB2312"/>
                <w:snapToGrid w:val="0"/>
                <w:kern w:val="0"/>
                <w:sz w:val="32"/>
                <w:szCs w:val="32"/>
              </w:rPr>
              <w:t>WPS</w:t>
            </w:r>
            <w:r>
              <w:rPr>
                <w:rFonts w:hint="eastAsia" w:ascii="仿宋_GB2312" w:hAnsi="仿宋" w:eastAsia="仿宋_GB2312"/>
                <w:snapToGrid w:val="0"/>
                <w:kern w:val="0"/>
                <w:sz w:val="32"/>
                <w:szCs w:val="32"/>
              </w:rPr>
              <w:t>或</w:t>
            </w:r>
            <w:r>
              <w:rPr>
                <w:rFonts w:hint="eastAsia" w:ascii="仿宋_GB2312" w:hAnsi="仿宋" w:eastAsia="仿宋_GB2312" w:cs="楷体_GB2312"/>
                <w:snapToGrid w:val="0"/>
                <w:kern w:val="0"/>
                <w:sz w:val="32"/>
                <w:szCs w:val="32"/>
              </w:rPr>
              <w:t>Office</w:t>
            </w:r>
          </w:p>
        </w:tc>
      </w:tr>
      <w:tr w14:paraId="403EF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Pr>
          <w:p w14:paraId="23B0AB2D">
            <w:pPr>
              <w:rPr>
                <w:rFonts w:hint="eastAsia" w:ascii="仿宋_GB2312" w:hAnsi="仿宋" w:eastAsia="仿宋_GB2312" w:cs="楷体_GB2312"/>
                <w:snapToGrid w:val="0"/>
                <w:kern w:val="0"/>
                <w:sz w:val="32"/>
                <w:szCs w:val="32"/>
              </w:rPr>
            </w:pPr>
          </w:p>
        </w:tc>
        <w:tc>
          <w:tcPr>
            <w:tcW w:w="0" w:type="auto"/>
          </w:tcPr>
          <w:p w14:paraId="4BA39BD6">
            <w:pP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输入</w:t>
            </w:r>
            <w:r>
              <w:rPr>
                <w:rFonts w:hint="eastAsia" w:ascii="仿宋_GB2312" w:hAnsi="仿宋" w:eastAsia="仿宋_GB2312" w:cs="___WRD_EMBED_SUB_50"/>
                <w:snapToGrid w:val="0"/>
                <w:kern w:val="0"/>
                <w:sz w:val="32"/>
                <w:szCs w:val="32"/>
              </w:rPr>
              <w:t>法</w:t>
            </w:r>
          </w:p>
        </w:tc>
        <w:tc>
          <w:tcPr>
            <w:tcW w:w="895" w:type="dxa"/>
            <w:vMerge w:val="continue"/>
          </w:tcPr>
          <w:p w14:paraId="5E9E4D50">
            <w:pPr>
              <w:rPr>
                <w:rFonts w:hint="eastAsia" w:ascii="仿宋_GB2312" w:hAnsi="仿宋" w:eastAsia="仿宋_GB2312" w:cs="楷体_GB2312"/>
                <w:snapToGrid w:val="0"/>
                <w:kern w:val="0"/>
                <w:sz w:val="32"/>
                <w:szCs w:val="32"/>
              </w:rPr>
            </w:pPr>
          </w:p>
        </w:tc>
        <w:tc>
          <w:tcPr>
            <w:tcW w:w="5472" w:type="dxa"/>
          </w:tcPr>
          <w:p w14:paraId="7A08D777">
            <w:pPr>
              <w:rPr>
                <w:rFonts w:hint="eastAsia" w:ascii="仿宋_GB2312" w:hAnsi="仿宋" w:eastAsia="仿宋_GB2312" w:cs="楷体_GB2312"/>
                <w:snapToGrid w:val="0"/>
                <w:kern w:val="0"/>
                <w:sz w:val="32"/>
                <w:szCs w:val="32"/>
              </w:rPr>
            </w:pPr>
            <w:r>
              <w:rPr>
                <w:rFonts w:hint="eastAsia" w:ascii="仿宋_GB2312" w:hAnsi="仿宋" w:eastAsia="仿宋_GB2312"/>
                <w:snapToGrid w:val="0"/>
                <w:kern w:val="0"/>
                <w:sz w:val="32"/>
                <w:szCs w:val="32"/>
              </w:rPr>
              <w:t>搜狗拼音输入</w:t>
            </w:r>
            <w:r>
              <w:rPr>
                <w:rFonts w:hint="eastAsia" w:ascii="仿宋_GB2312" w:hAnsi="仿宋" w:eastAsia="仿宋_GB2312" w:cs="___WRD_EMBED_SUB_50"/>
                <w:snapToGrid w:val="0"/>
                <w:kern w:val="0"/>
                <w:sz w:val="32"/>
                <w:szCs w:val="32"/>
              </w:rPr>
              <w:t>法</w:t>
            </w:r>
          </w:p>
        </w:tc>
      </w:tr>
    </w:tbl>
    <w:p w14:paraId="4A5E1B4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2"/>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（二）软件环境</w:t>
      </w:r>
    </w:p>
    <w:tbl>
      <w:tblPr>
        <w:tblStyle w:val="14"/>
        <w:tblW w:w="8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3"/>
        <w:gridCol w:w="2691"/>
        <w:gridCol w:w="3626"/>
      </w:tblGrid>
      <w:tr w14:paraId="6C6EA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983" w:type="dxa"/>
            <w:shd w:val="clear" w:color="auto" w:fill="D1D1D1" w:themeFill="background2" w:themeFillShade="E6"/>
          </w:tcPr>
          <w:p w14:paraId="17494777">
            <w:pPr>
              <w:autoSpaceDE w:val="0"/>
              <w:jc w:val="center"/>
              <w:rPr>
                <w:rFonts w:hint="eastAsia" w:ascii="仿宋_GB2312" w:hAnsi="仿宋" w:eastAsia="仿宋_GB2312"/>
                <w:snapToGrid w:val="0"/>
                <w:kern w:val="0"/>
                <w:sz w:val="32"/>
                <w:szCs w:val="32"/>
              </w:rPr>
            </w:pPr>
            <w:r>
              <w:rPr>
                <w:rFonts w:hint="eastAsia" w:ascii="仿宋_GB2312" w:hAnsi="仿宋" w:eastAsia="仿宋_GB2312"/>
                <w:snapToGrid w:val="0"/>
                <w:spacing w:val="7"/>
                <w:kern w:val="0"/>
                <w:sz w:val="32"/>
                <w:szCs w:val="32"/>
              </w:rPr>
              <w:t>类型</w:t>
            </w:r>
          </w:p>
        </w:tc>
        <w:tc>
          <w:tcPr>
            <w:tcW w:w="2691" w:type="dxa"/>
            <w:shd w:val="clear" w:color="auto" w:fill="D1D1D1" w:themeFill="background2" w:themeFillShade="E6"/>
          </w:tcPr>
          <w:p w14:paraId="71475D72">
            <w:pPr>
              <w:autoSpaceDE w:val="0"/>
              <w:jc w:val="center"/>
              <w:rPr>
                <w:rFonts w:hint="eastAsia" w:ascii="仿宋_GB2312" w:hAnsi="仿宋" w:eastAsia="仿宋_GB2312"/>
                <w:snapToGrid w:val="0"/>
                <w:kern w:val="0"/>
                <w:sz w:val="32"/>
                <w:szCs w:val="32"/>
              </w:rPr>
            </w:pPr>
            <w:r>
              <w:rPr>
                <w:rFonts w:hint="eastAsia" w:ascii="仿宋_GB2312" w:hAnsi="仿宋" w:eastAsia="仿宋_GB2312"/>
                <w:snapToGrid w:val="0"/>
                <w:spacing w:val="7"/>
                <w:kern w:val="0"/>
                <w:sz w:val="32"/>
                <w:szCs w:val="32"/>
              </w:rPr>
              <w:t>软</w:t>
            </w:r>
            <w:r>
              <w:rPr>
                <w:rFonts w:hint="eastAsia" w:ascii="仿宋_GB2312" w:hAnsi="仿宋" w:eastAsia="仿宋_GB2312"/>
                <w:snapToGrid w:val="0"/>
                <w:spacing w:val="6"/>
                <w:kern w:val="0"/>
                <w:sz w:val="32"/>
                <w:szCs w:val="32"/>
              </w:rPr>
              <w:t>件类别</w:t>
            </w:r>
          </w:p>
        </w:tc>
        <w:tc>
          <w:tcPr>
            <w:tcW w:w="3626" w:type="dxa"/>
            <w:shd w:val="clear" w:color="auto" w:fill="D1D1D1" w:themeFill="background2" w:themeFillShade="E6"/>
          </w:tcPr>
          <w:p w14:paraId="59D8C79D">
            <w:pPr>
              <w:autoSpaceDE w:val="0"/>
              <w:jc w:val="center"/>
              <w:rPr>
                <w:rFonts w:hint="eastAsia" w:ascii="仿宋_GB2312" w:hAnsi="仿宋" w:eastAsia="仿宋_GB2312"/>
                <w:snapToGrid w:val="0"/>
                <w:kern w:val="0"/>
                <w:sz w:val="32"/>
                <w:szCs w:val="32"/>
              </w:rPr>
            </w:pPr>
            <w:r>
              <w:rPr>
                <w:rFonts w:hint="eastAsia" w:ascii="仿宋_GB2312" w:hAnsi="仿宋" w:eastAsia="仿宋_GB2312"/>
                <w:snapToGrid w:val="0"/>
                <w:spacing w:val="14"/>
                <w:kern w:val="0"/>
                <w:sz w:val="32"/>
                <w:szCs w:val="32"/>
              </w:rPr>
              <w:t>软</w:t>
            </w:r>
            <w:r>
              <w:rPr>
                <w:rFonts w:hint="eastAsia" w:ascii="仿宋_GB2312" w:hAnsi="仿宋" w:eastAsia="仿宋_GB2312"/>
                <w:snapToGrid w:val="0"/>
                <w:spacing w:val="8"/>
                <w:kern w:val="0"/>
                <w:sz w:val="32"/>
                <w:szCs w:val="32"/>
              </w:rPr>
              <w:t>件名称、版本号</w:t>
            </w:r>
          </w:p>
        </w:tc>
      </w:tr>
      <w:tr w14:paraId="45EF8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983" w:type="dxa"/>
            <w:vMerge w:val="restart"/>
            <w:vAlign w:val="center"/>
          </w:tcPr>
          <w:p w14:paraId="6CE7007E">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6"/>
                <w:kern w:val="0"/>
                <w:sz w:val="32"/>
                <w:szCs w:val="32"/>
              </w:rPr>
              <w:t>竞赛平台云服务</w:t>
            </w:r>
          </w:p>
        </w:tc>
        <w:tc>
          <w:tcPr>
            <w:tcW w:w="2691" w:type="dxa"/>
            <w:vAlign w:val="center"/>
          </w:tcPr>
          <w:p w14:paraId="750AD695">
            <w:pPr>
              <w:autoSpaceDE w:val="0"/>
              <w:jc w:val="left"/>
              <w:rPr>
                <w:rFonts w:hint="eastAsia" w:ascii="仿宋_GB2312" w:hAnsi="仿宋" w:eastAsia="仿宋_GB2312"/>
                <w:snapToGrid w:val="0"/>
                <w:kern w:val="0"/>
                <w:sz w:val="32"/>
                <w:szCs w:val="32"/>
              </w:rPr>
            </w:pPr>
            <w:r>
              <w:rPr>
                <w:rFonts w:hint="eastAsia" w:ascii="仿宋_GB2312" w:hAnsi="仿宋" w:eastAsia="仿宋_GB2312"/>
                <w:snapToGrid w:val="0"/>
                <w:spacing w:val="8"/>
                <w:kern w:val="0"/>
                <w:sz w:val="32"/>
                <w:szCs w:val="32"/>
              </w:rPr>
              <w:t>大数据集群操作系</w:t>
            </w:r>
            <w:r>
              <w:rPr>
                <w:rFonts w:hint="eastAsia" w:ascii="仿宋_GB2312" w:hAnsi="仿宋" w:eastAsia="仿宋_GB2312"/>
                <w:snapToGrid w:val="0"/>
                <w:spacing w:val="6"/>
                <w:kern w:val="0"/>
                <w:sz w:val="32"/>
                <w:szCs w:val="32"/>
              </w:rPr>
              <w:t>统</w:t>
            </w:r>
          </w:p>
        </w:tc>
        <w:tc>
          <w:tcPr>
            <w:tcW w:w="3626" w:type="dxa"/>
          </w:tcPr>
          <w:p w14:paraId="3BD7193A">
            <w:pPr>
              <w:autoSpaceDE w:val="0"/>
              <w:jc w:val="left"/>
              <w:rPr>
                <w:rFonts w:hint="eastAsia" w:ascii="仿宋_GB2312" w:hAnsi="仿宋" w:eastAsia="仿宋_GB2312"/>
                <w:snapToGrid w:val="0"/>
                <w:kern w:val="0"/>
                <w:sz w:val="32"/>
                <w:szCs w:val="32"/>
              </w:rPr>
            </w:pPr>
            <w:r>
              <w:rPr>
                <w:rFonts w:hint="eastAsia" w:ascii="仿宋_GB2312" w:hAnsi="仿宋" w:eastAsia="仿宋_GB2312"/>
                <w:snapToGrid w:val="0"/>
                <w:kern w:val="0"/>
                <w:position w:val="1"/>
                <w:sz w:val="32"/>
                <w:szCs w:val="32"/>
              </w:rPr>
              <w:t>CentOS</w:t>
            </w:r>
            <w:r>
              <w:rPr>
                <w:rFonts w:hint="eastAsia" w:ascii="仿宋_GB2312" w:hAnsi="仿宋" w:eastAsia="仿宋_GB2312"/>
                <w:snapToGrid w:val="0"/>
                <w:spacing w:val="23"/>
                <w:kern w:val="0"/>
                <w:position w:val="1"/>
                <w:sz w:val="32"/>
                <w:szCs w:val="32"/>
              </w:rPr>
              <w:t xml:space="preserve"> </w:t>
            </w:r>
            <w:r>
              <w:rPr>
                <w:rFonts w:hint="eastAsia" w:ascii="仿宋_GB2312" w:hAnsi="仿宋" w:eastAsia="仿宋_GB2312"/>
                <w:snapToGrid w:val="0"/>
                <w:spacing w:val="22"/>
                <w:kern w:val="0"/>
                <w:position w:val="1"/>
                <w:sz w:val="32"/>
                <w:szCs w:val="32"/>
              </w:rPr>
              <w:t>7.9</w:t>
            </w:r>
          </w:p>
        </w:tc>
      </w:tr>
      <w:tr w14:paraId="4B153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83" w:type="dxa"/>
            <w:vMerge w:val="continue"/>
            <w:vAlign w:val="center"/>
          </w:tcPr>
          <w:p w14:paraId="11F6A06D">
            <w:pPr>
              <w:widowControl/>
              <w:jc w:val="left"/>
              <w:rPr>
                <w:rFonts w:hint="eastAsia" w:ascii="仿宋_GB2312" w:hAnsi="仿宋" w:eastAsia="仿宋_GB2312"/>
                <w:snapToGrid w:val="0"/>
                <w:kern w:val="0"/>
                <w:sz w:val="32"/>
                <w:szCs w:val="32"/>
              </w:rPr>
            </w:pPr>
          </w:p>
        </w:tc>
        <w:tc>
          <w:tcPr>
            <w:tcW w:w="2691" w:type="dxa"/>
            <w:vAlign w:val="center"/>
          </w:tcPr>
          <w:p w14:paraId="3D753BCE">
            <w:pPr>
              <w:autoSpaceDE w:val="0"/>
              <w:jc w:val="left"/>
              <w:rPr>
                <w:rFonts w:hint="eastAsia" w:ascii="仿宋_GB2312" w:hAnsi="仿宋" w:eastAsia="仿宋_GB2312"/>
                <w:snapToGrid w:val="0"/>
                <w:kern w:val="0"/>
                <w:sz w:val="32"/>
                <w:szCs w:val="32"/>
              </w:rPr>
            </w:pPr>
            <w:r>
              <w:rPr>
                <w:rFonts w:hint="eastAsia" w:ascii="仿宋_GB2312" w:hAnsi="仿宋" w:eastAsia="仿宋_GB2312"/>
                <w:snapToGrid w:val="0"/>
                <w:spacing w:val="8"/>
                <w:kern w:val="0"/>
                <w:sz w:val="32"/>
                <w:szCs w:val="32"/>
              </w:rPr>
              <w:t>容</w:t>
            </w:r>
            <w:r>
              <w:rPr>
                <w:rFonts w:hint="eastAsia" w:ascii="仿宋_GB2312" w:hAnsi="仿宋" w:eastAsia="仿宋_GB2312"/>
                <w:snapToGrid w:val="0"/>
                <w:spacing w:val="6"/>
                <w:kern w:val="0"/>
                <w:sz w:val="32"/>
                <w:szCs w:val="32"/>
              </w:rPr>
              <w:t>器环境</w:t>
            </w:r>
          </w:p>
        </w:tc>
        <w:tc>
          <w:tcPr>
            <w:tcW w:w="3626" w:type="dxa"/>
          </w:tcPr>
          <w:p w14:paraId="55842F3E">
            <w:pPr>
              <w:autoSpaceDE w:val="0"/>
              <w:jc w:val="left"/>
              <w:rPr>
                <w:rFonts w:hint="eastAsia" w:ascii="仿宋_GB2312" w:hAnsi="仿宋" w:eastAsia="仿宋_GB2312"/>
                <w:snapToGrid w:val="0"/>
                <w:kern w:val="0"/>
                <w:sz w:val="32"/>
                <w:szCs w:val="32"/>
              </w:rPr>
            </w:pPr>
            <w:r>
              <w:rPr>
                <w:rFonts w:hint="eastAsia" w:ascii="仿宋_GB2312" w:hAnsi="仿宋" w:eastAsia="仿宋_GB2312"/>
                <w:snapToGrid w:val="0"/>
                <w:kern w:val="0"/>
                <w:position w:val="1"/>
                <w:sz w:val="32"/>
                <w:szCs w:val="32"/>
              </w:rPr>
              <w:t>Docker</w:t>
            </w:r>
            <w:r>
              <w:rPr>
                <w:rFonts w:hint="eastAsia" w:ascii="仿宋_GB2312" w:hAnsi="仿宋" w:eastAsia="仿宋_GB2312"/>
                <w:snapToGrid w:val="0"/>
                <w:spacing w:val="10"/>
                <w:kern w:val="0"/>
                <w:position w:val="1"/>
                <w:sz w:val="32"/>
                <w:szCs w:val="32"/>
              </w:rPr>
              <w:t xml:space="preserve"> 19.3.15</w:t>
            </w:r>
          </w:p>
        </w:tc>
      </w:tr>
      <w:tr w14:paraId="0AC62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983" w:type="dxa"/>
            <w:vMerge w:val="continue"/>
            <w:vAlign w:val="center"/>
          </w:tcPr>
          <w:p w14:paraId="08BD33AB">
            <w:pPr>
              <w:widowControl/>
              <w:jc w:val="left"/>
              <w:rPr>
                <w:rFonts w:hint="eastAsia" w:ascii="仿宋_GB2312" w:hAnsi="仿宋" w:eastAsia="仿宋_GB2312"/>
                <w:snapToGrid w:val="0"/>
                <w:kern w:val="0"/>
                <w:sz w:val="32"/>
                <w:szCs w:val="32"/>
              </w:rPr>
            </w:pPr>
          </w:p>
        </w:tc>
        <w:tc>
          <w:tcPr>
            <w:tcW w:w="2691" w:type="dxa"/>
            <w:vMerge w:val="restart"/>
            <w:vAlign w:val="center"/>
          </w:tcPr>
          <w:p w14:paraId="5D73CE75">
            <w:pPr>
              <w:autoSpaceDE w:val="0"/>
              <w:jc w:val="left"/>
              <w:rPr>
                <w:rFonts w:hint="eastAsia" w:ascii="仿宋_GB2312" w:hAnsi="仿宋" w:eastAsia="仿宋_GB2312"/>
                <w:snapToGrid w:val="0"/>
                <w:kern w:val="0"/>
                <w:sz w:val="32"/>
                <w:szCs w:val="32"/>
              </w:rPr>
            </w:pPr>
            <w:r>
              <w:rPr>
                <w:rFonts w:hint="eastAsia" w:ascii="仿宋_GB2312" w:hAnsi="仿宋" w:eastAsia="仿宋_GB2312"/>
                <w:snapToGrid w:val="0"/>
                <w:spacing w:val="8"/>
                <w:kern w:val="0"/>
                <w:sz w:val="32"/>
                <w:szCs w:val="32"/>
              </w:rPr>
              <w:t>大</w:t>
            </w:r>
            <w:r>
              <w:rPr>
                <w:rFonts w:hint="eastAsia" w:ascii="仿宋_GB2312" w:hAnsi="仿宋" w:eastAsia="仿宋_GB2312"/>
                <w:snapToGrid w:val="0"/>
                <w:spacing w:val="7"/>
                <w:kern w:val="0"/>
                <w:sz w:val="32"/>
                <w:szCs w:val="32"/>
              </w:rPr>
              <w:t>数据平台组件</w:t>
            </w:r>
          </w:p>
        </w:tc>
        <w:tc>
          <w:tcPr>
            <w:tcW w:w="3626" w:type="dxa"/>
          </w:tcPr>
          <w:p w14:paraId="3EC44634">
            <w:pPr>
              <w:autoSpaceDE w:val="0"/>
              <w:jc w:val="left"/>
              <w:rPr>
                <w:rFonts w:hint="eastAsia" w:ascii="仿宋_GB2312" w:hAnsi="仿宋" w:eastAsia="仿宋_GB2312"/>
                <w:snapToGrid w:val="0"/>
                <w:kern w:val="0"/>
                <w:sz w:val="32"/>
                <w:szCs w:val="32"/>
              </w:rPr>
            </w:pPr>
            <w:r>
              <w:rPr>
                <w:rFonts w:hint="eastAsia" w:ascii="仿宋_GB2312" w:hAnsi="仿宋" w:eastAsia="仿宋_GB2312"/>
                <w:snapToGrid w:val="0"/>
                <w:kern w:val="0"/>
                <w:sz w:val="32"/>
                <w:szCs w:val="32"/>
              </w:rPr>
              <w:t>Hadoop</w:t>
            </w:r>
            <w:r>
              <w:rPr>
                <w:rFonts w:hint="eastAsia" w:ascii="仿宋_GB2312" w:hAnsi="仿宋" w:eastAsia="仿宋_GB2312"/>
                <w:snapToGrid w:val="0"/>
                <w:spacing w:val="12"/>
                <w:kern w:val="0"/>
                <w:sz w:val="32"/>
                <w:szCs w:val="32"/>
              </w:rPr>
              <w:t xml:space="preserve"> 3.1.</w:t>
            </w:r>
            <w:r>
              <w:rPr>
                <w:rFonts w:hint="eastAsia" w:ascii="仿宋_GB2312" w:hAnsi="仿宋" w:eastAsia="仿宋_GB2312"/>
                <w:snapToGrid w:val="0"/>
                <w:spacing w:val="10"/>
                <w:kern w:val="0"/>
                <w:sz w:val="32"/>
                <w:szCs w:val="32"/>
              </w:rPr>
              <w:t>4</w:t>
            </w:r>
          </w:p>
        </w:tc>
      </w:tr>
      <w:tr w14:paraId="081DF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83" w:type="dxa"/>
            <w:vMerge w:val="continue"/>
            <w:vAlign w:val="center"/>
          </w:tcPr>
          <w:p w14:paraId="6E0847BD">
            <w:pPr>
              <w:widowControl/>
              <w:jc w:val="left"/>
              <w:rPr>
                <w:rFonts w:hint="eastAsia" w:ascii="仿宋_GB2312" w:hAnsi="仿宋" w:eastAsia="仿宋_GB2312"/>
                <w:snapToGrid w:val="0"/>
                <w:kern w:val="0"/>
                <w:sz w:val="32"/>
                <w:szCs w:val="32"/>
              </w:rPr>
            </w:pPr>
          </w:p>
        </w:tc>
        <w:tc>
          <w:tcPr>
            <w:tcW w:w="2691" w:type="dxa"/>
            <w:vMerge w:val="continue"/>
            <w:vAlign w:val="center"/>
          </w:tcPr>
          <w:p w14:paraId="4EB50AD5">
            <w:pPr>
              <w:widowControl/>
              <w:jc w:val="left"/>
              <w:rPr>
                <w:rFonts w:hint="eastAsia" w:ascii="仿宋_GB2312" w:hAnsi="仿宋" w:eastAsia="仿宋_GB2312"/>
                <w:snapToGrid w:val="0"/>
                <w:kern w:val="0"/>
                <w:sz w:val="32"/>
                <w:szCs w:val="32"/>
              </w:rPr>
            </w:pPr>
          </w:p>
        </w:tc>
        <w:tc>
          <w:tcPr>
            <w:tcW w:w="3626" w:type="dxa"/>
          </w:tcPr>
          <w:p w14:paraId="126D59E2">
            <w:pPr>
              <w:autoSpaceDE w:val="0"/>
              <w:jc w:val="left"/>
              <w:rPr>
                <w:rFonts w:hint="eastAsia" w:ascii="仿宋_GB2312" w:hAnsi="仿宋" w:eastAsia="仿宋_GB2312"/>
                <w:snapToGrid w:val="0"/>
                <w:kern w:val="0"/>
                <w:sz w:val="32"/>
                <w:szCs w:val="32"/>
              </w:rPr>
            </w:pPr>
            <w:r>
              <w:rPr>
                <w:rFonts w:hint="eastAsia" w:ascii="仿宋_GB2312" w:hAnsi="仿宋" w:eastAsia="仿宋_GB2312"/>
                <w:snapToGrid w:val="0"/>
                <w:kern w:val="0"/>
                <w:position w:val="1"/>
                <w:sz w:val="32"/>
                <w:szCs w:val="32"/>
              </w:rPr>
              <w:t>Yarn</w:t>
            </w:r>
            <w:r>
              <w:rPr>
                <w:rFonts w:hint="eastAsia" w:ascii="仿宋_GB2312" w:hAnsi="仿宋" w:eastAsia="仿宋_GB2312"/>
                <w:snapToGrid w:val="0"/>
                <w:spacing w:val="13"/>
                <w:kern w:val="0"/>
                <w:position w:val="1"/>
                <w:sz w:val="32"/>
                <w:szCs w:val="32"/>
              </w:rPr>
              <w:t xml:space="preserve"> </w:t>
            </w:r>
            <w:r>
              <w:rPr>
                <w:rFonts w:hint="eastAsia" w:ascii="仿宋_GB2312" w:hAnsi="仿宋" w:eastAsia="仿宋_GB2312"/>
                <w:snapToGrid w:val="0"/>
                <w:spacing w:val="10"/>
                <w:kern w:val="0"/>
                <w:position w:val="1"/>
                <w:sz w:val="32"/>
                <w:szCs w:val="32"/>
              </w:rPr>
              <w:t>3.1.4</w:t>
            </w:r>
          </w:p>
        </w:tc>
      </w:tr>
      <w:tr w14:paraId="4D672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983" w:type="dxa"/>
            <w:vMerge w:val="continue"/>
            <w:vAlign w:val="center"/>
          </w:tcPr>
          <w:p w14:paraId="00C14F4F">
            <w:pPr>
              <w:widowControl/>
              <w:jc w:val="left"/>
              <w:rPr>
                <w:rFonts w:hint="eastAsia" w:ascii="仿宋_GB2312" w:hAnsi="仿宋" w:eastAsia="仿宋_GB2312"/>
                <w:snapToGrid w:val="0"/>
                <w:kern w:val="0"/>
                <w:sz w:val="32"/>
                <w:szCs w:val="32"/>
              </w:rPr>
            </w:pPr>
          </w:p>
        </w:tc>
        <w:tc>
          <w:tcPr>
            <w:tcW w:w="2691" w:type="dxa"/>
            <w:vMerge w:val="continue"/>
            <w:vAlign w:val="center"/>
          </w:tcPr>
          <w:p w14:paraId="130C3B9B">
            <w:pPr>
              <w:widowControl/>
              <w:jc w:val="left"/>
              <w:rPr>
                <w:rFonts w:hint="eastAsia" w:ascii="仿宋_GB2312" w:hAnsi="仿宋" w:eastAsia="仿宋_GB2312"/>
                <w:snapToGrid w:val="0"/>
                <w:kern w:val="0"/>
                <w:sz w:val="32"/>
                <w:szCs w:val="32"/>
              </w:rPr>
            </w:pPr>
          </w:p>
        </w:tc>
        <w:tc>
          <w:tcPr>
            <w:tcW w:w="3626" w:type="dxa"/>
          </w:tcPr>
          <w:p w14:paraId="57575BBC">
            <w:pPr>
              <w:autoSpaceDE w:val="0"/>
              <w:jc w:val="left"/>
              <w:rPr>
                <w:rFonts w:hint="eastAsia" w:ascii="仿宋_GB2312" w:hAnsi="仿宋" w:eastAsia="仿宋_GB2312"/>
                <w:snapToGrid w:val="0"/>
                <w:kern w:val="0"/>
                <w:sz w:val="32"/>
                <w:szCs w:val="32"/>
              </w:rPr>
            </w:pPr>
            <w:r>
              <w:rPr>
                <w:rFonts w:hint="eastAsia" w:ascii="仿宋_GB2312" w:hAnsi="仿宋" w:eastAsia="仿宋_GB2312"/>
                <w:snapToGrid w:val="0"/>
                <w:kern w:val="0"/>
                <w:sz w:val="32"/>
                <w:szCs w:val="32"/>
              </w:rPr>
              <w:t>ZooKeeper</w:t>
            </w:r>
            <w:r>
              <w:rPr>
                <w:rFonts w:hint="eastAsia" w:ascii="仿宋_GB2312" w:hAnsi="仿宋" w:eastAsia="仿宋_GB2312"/>
                <w:snapToGrid w:val="0"/>
                <w:spacing w:val="14"/>
                <w:kern w:val="0"/>
                <w:sz w:val="32"/>
                <w:szCs w:val="32"/>
              </w:rPr>
              <w:t xml:space="preserve"> 3.6.3</w:t>
            </w:r>
          </w:p>
        </w:tc>
      </w:tr>
      <w:tr w14:paraId="3D31C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83" w:type="dxa"/>
            <w:vMerge w:val="continue"/>
            <w:vAlign w:val="center"/>
          </w:tcPr>
          <w:p w14:paraId="09C33D56">
            <w:pPr>
              <w:widowControl/>
              <w:jc w:val="left"/>
              <w:rPr>
                <w:rFonts w:hint="eastAsia" w:ascii="仿宋_GB2312" w:hAnsi="仿宋" w:eastAsia="仿宋_GB2312"/>
                <w:snapToGrid w:val="0"/>
                <w:kern w:val="0"/>
                <w:sz w:val="32"/>
                <w:szCs w:val="32"/>
              </w:rPr>
            </w:pPr>
          </w:p>
        </w:tc>
        <w:tc>
          <w:tcPr>
            <w:tcW w:w="2691" w:type="dxa"/>
            <w:vMerge w:val="continue"/>
            <w:vAlign w:val="center"/>
          </w:tcPr>
          <w:p w14:paraId="2214BEF9">
            <w:pPr>
              <w:widowControl/>
              <w:jc w:val="left"/>
              <w:rPr>
                <w:rFonts w:hint="eastAsia" w:ascii="仿宋_GB2312" w:hAnsi="仿宋" w:eastAsia="仿宋_GB2312"/>
                <w:snapToGrid w:val="0"/>
                <w:kern w:val="0"/>
                <w:sz w:val="32"/>
                <w:szCs w:val="32"/>
              </w:rPr>
            </w:pPr>
          </w:p>
        </w:tc>
        <w:tc>
          <w:tcPr>
            <w:tcW w:w="3626" w:type="dxa"/>
          </w:tcPr>
          <w:p w14:paraId="10EF08D0">
            <w:pPr>
              <w:autoSpaceDE w:val="0"/>
              <w:jc w:val="left"/>
              <w:rPr>
                <w:rFonts w:hint="eastAsia" w:ascii="仿宋_GB2312" w:hAnsi="仿宋" w:eastAsia="仿宋_GB2312"/>
                <w:snapToGrid w:val="0"/>
                <w:kern w:val="0"/>
                <w:sz w:val="32"/>
                <w:szCs w:val="32"/>
              </w:rPr>
            </w:pPr>
            <w:r>
              <w:rPr>
                <w:rFonts w:hint="eastAsia" w:ascii="仿宋_GB2312" w:hAnsi="仿宋" w:eastAsia="仿宋_GB2312"/>
                <w:snapToGrid w:val="0"/>
                <w:kern w:val="0"/>
                <w:position w:val="1"/>
                <w:sz w:val="32"/>
                <w:szCs w:val="32"/>
              </w:rPr>
              <w:t>Hive</w:t>
            </w:r>
            <w:r>
              <w:rPr>
                <w:rFonts w:hint="eastAsia" w:ascii="仿宋_GB2312" w:hAnsi="仿宋" w:eastAsia="仿宋_GB2312"/>
                <w:snapToGrid w:val="0"/>
                <w:spacing w:val="11"/>
                <w:kern w:val="0"/>
                <w:position w:val="1"/>
                <w:sz w:val="32"/>
                <w:szCs w:val="32"/>
              </w:rPr>
              <w:t xml:space="preserve"> </w:t>
            </w:r>
            <w:r>
              <w:rPr>
                <w:rFonts w:hint="eastAsia" w:ascii="仿宋_GB2312" w:hAnsi="仿宋" w:eastAsia="仿宋_GB2312"/>
                <w:snapToGrid w:val="0"/>
                <w:spacing w:val="8"/>
                <w:kern w:val="0"/>
                <w:position w:val="1"/>
                <w:sz w:val="32"/>
                <w:szCs w:val="32"/>
              </w:rPr>
              <w:t>3.1.2</w:t>
            </w:r>
          </w:p>
        </w:tc>
      </w:tr>
      <w:tr w14:paraId="4767B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983" w:type="dxa"/>
            <w:vMerge w:val="continue"/>
            <w:vAlign w:val="center"/>
          </w:tcPr>
          <w:p w14:paraId="3A09982B">
            <w:pPr>
              <w:widowControl/>
              <w:jc w:val="left"/>
              <w:rPr>
                <w:rFonts w:hint="eastAsia" w:ascii="仿宋_GB2312" w:hAnsi="仿宋" w:eastAsia="仿宋_GB2312"/>
                <w:snapToGrid w:val="0"/>
                <w:kern w:val="0"/>
                <w:sz w:val="32"/>
                <w:szCs w:val="32"/>
              </w:rPr>
            </w:pPr>
          </w:p>
        </w:tc>
        <w:tc>
          <w:tcPr>
            <w:tcW w:w="2691" w:type="dxa"/>
            <w:vMerge w:val="continue"/>
            <w:vAlign w:val="center"/>
          </w:tcPr>
          <w:p w14:paraId="1D1F723B">
            <w:pPr>
              <w:widowControl/>
              <w:jc w:val="left"/>
              <w:rPr>
                <w:rFonts w:hint="eastAsia" w:ascii="仿宋_GB2312" w:hAnsi="仿宋" w:eastAsia="仿宋_GB2312"/>
                <w:snapToGrid w:val="0"/>
                <w:kern w:val="0"/>
                <w:sz w:val="32"/>
                <w:szCs w:val="32"/>
              </w:rPr>
            </w:pPr>
          </w:p>
        </w:tc>
        <w:tc>
          <w:tcPr>
            <w:tcW w:w="3626" w:type="dxa"/>
          </w:tcPr>
          <w:p w14:paraId="5A6DF548">
            <w:pPr>
              <w:rPr>
                <w:rFonts w:hint="eastAsia" w:ascii="仿宋_GB2312" w:hAnsi="仿宋" w:eastAsia="仿宋_GB2312"/>
                <w:snapToGrid w:val="0"/>
                <w:kern w:val="0"/>
                <w:sz w:val="32"/>
                <w:szCs w:val="32"/>
              </w:rPr>
            </w:pPr>
            <w:r>
              <w:rPr>
                <w:rFonts w:hint="eastAsia" w:ascii="仿宋_GB2312" w:hAnsi="仿宋" w:eastAsia="仿宋_GB2312"/>
                <w:snapToGrid w:val="0"/>
                <w:kern w:val="0"/>
                <w:sz w:val="32"/>
                <w:szCs w:val="32"/>
              </w:rPr>
              <w:t>JDK</w:t>
            </w:r>
            <w:r>
              <w:rPr>
                <w:rFonts w:hint="eastAsia" w:ascii="仿宋_GB2312" w:hAnsi="仿宋" w:eastAsia="仿宋_GB2312"/>
                <w:snapToGrid w:val="0"/>
                <w:spacing w:val="8"/>
                <w:kern w:val="0"/>
                <w:sz w:val="32"/>
                <w:szCs w:val="32"/>
              </w:rPr>
              <w:t xml:space="preserve"> 1.8</w:t>
            </w:r>
          </w:p>
        </w:tc>
      </w:tr>
      <w:tr w14:paraId="5E62F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983" w:type="dxa"/>
            <w:vMerge w:val="continue"/>
            <w:vAlign w:val="center"/>
          </w:tcPr>
          <w:p w14:paraId="7230EE44">
            <w:pPr>
              <w:widowControl/>
              <w:jc w:val="left"/>
              <w:rPr>
                <w:rFonts w:hint="eastAsia" w:ascii="仿宋_GB2312" w:hAnsi="仿宋" w:eastAsia="仿宋_GB2312"/>
                <w:snapToGrid w:val="0"/>
                <w:kern w:val="0"/>
                <w:sz w:val="32"/>
                <w:szCs w:val="32"/>
              </w:rPr>
            </w:pPr>
          </w:p>
        </w:tc>
        <w:tc>
          <w:tcPr>
            <w:tcW w:w="2691" w:type="dxa"/>
            <w:vMerge w:val="continue"/>
            <w:vAlign w:val="center"/>
          </w:tcPr>
          <w:p w14:paraId="5A319D2A">
            <w:pPr>
              <w:widowControl/>
              <w:jc w:val="left"/>
              <w:rPr>
                <w:rFonts w:hint="eastAsia" w:ascii="仿宋_GB2312" w:hAnsi="仿宋" w:eastAsia="仿宋_GB2312"/>
                <w:snapToGrid w:val="0"/>
                <w:kern w:val="0"/>
                <w:sz w:val="32"/>
                <w:szCs w:val="32"/>
              </w:rPr>
            </w:pPr>
          </w:p>
        </w:tc>
        <w:tc>
          <w:tcPr>
            <w:tcW w:w="3626" w:type="dxa"/>
          </w:tcPr>
          <w:p w14:paraId="3C6734D7">
            <w:pPr>
              <w:rPr>
                <w:rFonts w:hint="eastAsia" w:ascii="仿宋_GB2312" w:hAnsi="仿宋" w:eastAsia="仿宋_GB2312"/>
                <w:snapToGrid w:val="0"/>
                <w:kern w:val="0"/>
                <w:sz w:val="32"/>
                <w:szCs w:val="32"/>
              </w:rPr>
            </w:pPr>
            <w:r>
              <w:rPr>
                <w:rFonts w:hint="eastAsia" w:ascii="仿宋_GB2312" w:hAnsi="仿宋" w:eastAsia="仿宋_GB2312"/>
                <w:snapToGrid w:val="0"/>
                <w:kern w:val="0"/>
                <w:position w:val="1"/>
                <w:sz w:val="32"/>
                <w:szCs w:val="32"/>
              </w:rPr>
              <w:t>Flume</w:t>
            </w:r>
            <w:r>
              <w:rPr>
                <w:rFonts w:hint="eastAsia" w:ascii="仿宋_GB2312" w:hAnsi="仿宋" w:eastAsia="仿宋_GB2312"/>
                <w:snapToGrid w:val="0"/>
                <w:spacing w:val="11"/>
                <w:kern w:val="0"/>
                <w:position w:val="1"/>
                <w:sz w:val="32"/>
                <w:szCs w:val="32"/>
              </w:rPr>
              <w:t xml:space="preserve"> 1.9.0</w:t>
            </w:r>
          </w:p>
        </w:tc>
      </w:tr>
      <w:tr w14:paraId="30AD8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983" w:type="dxa"/>
            <w:vMerge w:val="continue"/>
            <w:vAlign w:val="center"/>
          </w:tcPr>
          <w:p w14:paraId="16486DAA">
            <w:pPr>
              <w:widowControl/>
              <w:jc w:val="left"/>
              <w:rPr>
                <w:rFonts w:hint="eastAsia" w:ascii="仿宋_GB2312" w:hAnsi="仿宋" w:eastAsia="仿宋_GB2312"/>
                <w:snapToGrid w:val="0"/>
                <w:kern w:val="0"/>
                <w:sz w:val="32"/>
                <w:szCs w:val="32"/>
              </w:rPr>
            </w:pPr>
          </w:p>
        </w:tc>
        <w:tc>
          <w:tcPr>
            <w:tcW w:w="2691" w:type="dxa"/>
            <w:vMerge w:val="continue"/>
            <w:vAlign w:val="center"/>
          </w:tcPr>
          <w:p w14:paraId="73A3DC56">
            <w:pPr>
              <w:widowControl/>
              <w:jc w:val="left"/>
              <w:rPr>
                <w:rFonts w:hint="eastAsia" w:ascii="仿宋_GB2312" w:hAnsi="仿宋" w:eastAsia="仿宋_GB2312"/>
                <w:snapToGrid w:val="0"/>
                <w:kern w:val="0"/>
                <w:sz w:val="32"/>
                <w:szCs w:val="32"/>
              </w:rPr>
            </w:pPr>
          </w:p>
        </w:tc>
        <w:tc>
          <w:tcPr>
            <w:tcW w:w="3626" w:type="dxa"/>
          </w:tcPr>
          <w:p w14:paraId="7048B751">
            <w:pPr>
              <w:rPr>
                <w:rFonts w:hint="eastAsia" w:ascii="仿宋_GB2312" w:hAnsi="仿宋" w:eastAsia="仿宋_GB2312"/>
                <w:snapToGrid w:val="0"/>
                <w:kern w:val="0"/>
                <w:sz w:val="32"/>
                <w:szCs w:val="32"/>
              </w:rPr>
            </w:pPr>
            <w:r>
              <w:rPr>
                <w:rFonts w:hint="eastAsia" w:ascii="仿宋_GB2312" w:hAnsi="仿宋" w:eastAsia="仿宋_GB2312"/>
                <w:snapToGrid w:val="0"/>
                <w:kern w:val="0"/>
                <w:position w:val="1"/>
                <w:sz w:val="32"/>
                <w:szCs w:val="32"/>
              </w:rPr>
              <w:t>Kafka</w:t>
            </w:r>
            <w:r>
              <w:rPr>
                <w:rFonts w:hint="eastAsia" w:ascii="仿宋_GB2312" w:hAnsi="仿宋" w:eastAsia="仿宋_GB2312"/>
                <w:snapToGrid w:val="0"/>
                <w:spacing w:val="11"/>
                <w:kern w:val="0"/>
                <w:position w:val="1"/>
                <w:sz w:val="32"/>
                <w:szCs w:val="32"/>
              </w:rPr>
              <w:t xml:space="preserve"> 2.12</w:t>
            </w:r>
          </w:p>
        </w:tc>
      </w:tr>
      <w:tr w14:paraId="33E4B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83" w:type="dxa"/>
            <w:vMerge w:val="continue"/>
            <w:vAlign w:val="center"/>
          </w:tcPr>
          <w:p w14:paraId="0BA6468A">
            <w:pPr>
              <w:widowControl/>
              <w:jc w:val="left"/>
              <w:rPr>
                <w:rFonts w:hint="eastAsia" w:ascii="仿宋_GB2312" w:hAnsi="仿宋" w:eastAsia="仿宋_GB2312"/>
                <w:snapToGrid w:val="0"/>
                <w:kern w:val="0"/>
                <w:sz w:val="32"/>
                <w:szCs w:val="32"/>
              </w:rPr>
            </w:pPr>
          </w:p>
        </w:tc>
        <w:tc>
          <w:tcPr>
            <w:tcW w:w="2691" w:type="dxa"/>
            <w:vMerge w:val="continue"/>
            <w:vAlign w:val="center"/>
          </w:tcPr>
          <w:p w14:paraId="04ECC14D">
            <w:pPr>
              <w:widowControl/>
              <w:jc w:val="left"/>
              <w:rPr>
                <w:rFonts w:hint="eastAsia" w:ascii="仿宋_GB2312" w:hAnsi="仿宋" w:eastAsia="仿宋_GB2312"/>
                <w:snapToGrid w:val="0"/>
                <w:kern w:val="0"/>
                <w:sz w:val="32"/>
                <w:szCs w:val="32"/>
              </w:rPr>
            </w:pPr>
          </w:p>
        </w:tc>
        <w:tc>
          <w:tcPr>
            <w:tcW w:w="3626" w:type="dxa"/>
          </w:tcPr>
          <w:p w14:paraId="09C05E0C">
            <w:pPr>
              <w:rPr>
                <w:rFonts w:hint="eastAsia" w:ascii="仿宋_GB2312" w:hAnsi="仿宋" w:eastAsia="仿宋_GB2312"/>
                <w:snapToGrid w:val="0"/>
                <w:kern w:val="0"/>
                <w:sz w:val="32"/>
                <w:szCs w:val="32"/>
              </w:rPr>
            </w:pPr>
            <w:r>
              <w:rPr>
                <w:rFonts w:hint="eastAsia" w:ascii="仿宋_GB2312" w:hAnsi="仿宋" w:eastAsia="仿宋_GB2312"/>
                <w:snapToGrid w:val="0"/>
                <w:kern w:val="0"/>
                <w:sz w:val="32"/>
                <w:szCs w:val="32"/>
              </w:rPr>
              <w:t>Spark</w:t>
            </w:r>
            <w:r>
              <w:rPr>
                <w:rFonts w:hint="eastAsia" w:ascii="仿宋_GB2312" w:hAnsi="仿宋" w:eastAsia="仿宋_GB2312"/>
                <w:snapToGrid w:val="0"/>
                <w:spacing w:val="13"/>
                <w:kern w:val="0"/>
                <w:sz w:val="32"/>
                <w:szCs w:val="32"/>
              </w:rPr>
              <w:t xml:space="preserve"> </w:t>
            </w:r>
            <w:r>
              <w:rPr>
                <w:rFonts w:hint="eastAsia" w:ascii="仿宋_GB2312" w:hAnsi="仿宋" w:eastAsia="仿宋_GB2312"/>
                <w:snapToGrid w:val="0"/>
                <w:spacing w:val="9"/>
                <w:kern w:val="0"/>
                <w:sz w:val="32"/>
                <w:szCs w:val="32"/>
              </w:rPr>
              <w:t>3.2.1</w:t>
            </w:r>
          </w:p>
        </w:tc>
      </w:tr>
      <w:tr w14:paraId="6732B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83" w:type="dxa"/>
            <w:vMerge w:val="continue"/>
            <w:vAlign w:val="center"/>
          </w:tcPr>
          <w:p w14:paraId="68A352EB">
            <w:pPr>
              <w:widowControl/>
              <w:jc w:val="left"/>
              <w:rPr>
                <w:rFonts w:hint="eastAsia" w:ascii="仿宋_GB2312" w:hAnsi="仿宋" w:eastAsia="仿宋_GB2312"/>
                <w:snapToGrid w:val="0"/>
                <w:kern w:val="0"/>
                <w:sz w:val="32"/>
                <w:szCs w:val="32"/>
              </w:rPr>
            </w:pPr>
          </w:p>
        </w:tc>
        <w:tc>
          <w:tcPr>
            <w:tcW w:w="2691" w:type="dxa"/>
            <w:vMerge w:val="continue"/>
            <w:vAlign w:val="center"/>
          </w:tcPr>
          <w:p w14:paraId="5CB0E194">
            <w:pPr>
              <w:widowControl/>
              <w:jc w:val="left"/>
              <w:rPr>
                <w:rFonts w:hint="eastAsia" w:ascii="仿宋_GB2312" w:hAnsi="仿宋" w:eastAsia="仿宋_GB2312"/>
                <w:snapToGrid w:val="0"/>
                <w:kern w:val="0"/>
                <w:sz w:val="32"/>
                <w:szCs w:val="32"/>
              </w:rPr>
            </w:pPr>
          </w:p>
        </w:tc>
        <w:tc>
          <w:tcPr>
            <w:tcW w:w="3626" w:type="dxa"/>
          </w:tcPr>
          <w:p w14:paraId="08CACD4D">
            <w:pPr>
              <w:rPr>
                <w:rFonts w:hint="eastAsia" w:ascii="仿宋_GB2312" w:hAnsi="仿宋" w:eastAsia="仿宋_GB2312"/>
                <w:snapToGrid w:val="0"/>
                <w:kern w:val="0"/>
                <w:sz w:val="32"/>
                <w:szCs w:val="32"/>
              </w:rPr>
            </w:pPr>
            <w:r>
              <w:rPr>
                <w:rFonts w:hint="eastAsia" w:ascii="仿宋_GB2312" w:hAnsi="仿宋" w:eastAsia="仿宋_GB2312"/>
                <w:snapToGrid w:val="0"/>
                <w:kern w:val="0"/>
                <w:position w:val="1"/>
                <w:sz w:val="32"/>
                <w:szCs w:val="32"/>
              </w:rPr>
              <w:t>Flink</w:t>
            </w:r>
            <w:r>
              <w:rPr>
                <w:rFonts w:hint="eastAsia" w:ascii="仿宋_GB2312" w:hAnsi="仿宋" w:eastAsia="仿宋_GB2312"/>
                <w:snapToGrid w:val="0"/>
                <w:spacing w:val="10"/>
                <w:kern w:val="0"/>
                <w:position w:val="1"/>
                <w:sz w:val="32"/>
                <w:szCs w:val="32"/>
              </w:rPr>
              <w:t xml:space="preserve"> 1.10.1/1.14.0</w:t>
            </w:r>
          </w:p>
        </w:tc>
      </w:tr>
      <w:tr w14:paraId="34261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983" w:type="dxa"/>
            <w:vMerge w:val="continue"/>
            <w:vAlign w:val="center"/>
          </w:tcPr>
          <w:p w14:paraId="1EBC54E4">
            <w:pPr>
              <w:widowControl/>
              <w:jc w:val="left"/>
              <w:rPr>
                <w:rFonts w:hint="eastAsia" w:ascii="仿宋_GB2312" w:hAnsi="仿宋" w:eastAsia="仿宋_GB2312"/>
                <w:snapToGrid w:val="0"/>
                <w:kern w:val="0"/>
                <w:sz w:val="32"/>
                <w:szCs w:val="32"/>
              </w:rPr>
            </w:pPr>
          </w:p>
        </w:tc>
        <w:tc>
          <w:tcPr>
            <w:tcW w:w="2691" w:type="dxa"/>
            <w:vMerge w:val="continue"/>
            <w:vAlign w:val="center"/>
          </w:tcPr>
          <w:p w14:paraId="3A118226">
            <w:pPr>
              <w:widowControl/>
              <w:jc w:val="left"/>
              <w:rPr>
                <w:rFonts w:hint="eastAsia" w:ascii="仿宋_GB2312" w:hAnsi="仿宋" w:eastAsia="仿宋_GB2312"/>
                <w:snapToGrid w:val="0"/>
                <w:kern w:val="0"/>
                <w:sz w:val="32"/>
                <w:szCs w:val="32"/>
              </w:rPr>
            </w:pPr>
          </w:p>
        </w:tc>
        <w:tc>
          <w:tcPr>
            <w:tcW w:w="3626" w:type="dxa"/>
          </w:tcPr>
          <w:p w14:paraId="4CBAC50B">
            <w:pPr>
              <w:rPr>
                <w:rFonts w:hint="eastAsia" w:ascii="仿宋_GB2312" w:hAnsi="仿宋" w:eastAsia="仿宋_GB2312"/>
                <w:snapToGrid w:val="0"/>
                <w:kern w:val="0"/>
                <w:position w:val="1"/>
                <w:sz w:val="32"/>
                <w:szCs w:val="32"/>
              </w:rPr>
            </w:pPr>
            <w:r>
              <w:rPr>
                <w:rFonts w:hint="eastAsia" w:ascii="仿宋_GB2312" w:hAnsi="仿宋" w:eastAsia="仿宋_GB2312"/>
                <w:snapToGrid w:val="0"/>
                <w:kern w:val="0"/>
                <w:position w:val="1"/>
                <w:sz w:val="32"/>
                <w:szCs w:val="32"/>
              </w:rPr>
              <w:t>Sqoop 1.4.7</w:t>
            </w:r>
          </w:p>
        </w:tc>
      </w:tr>
      <w:tr w14:paraId="075E0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983" w:type="dxa"/>
            <w:vMerge w:val="continue"/>
            <w:vAlign w:val="center"/>
          </w:tcPr>
          <w:p w14:paraId="354C3D4D">
            <w:pPr>
              <w:widowControl/>
              <w:jc w:val="left"/>
              <w:rPr>
                <w:rFonts w:hint="eastAsia" w:ascii="仿宋_GB2312" w:hAnsi="仿宋" w:eastAsia="仿宋_GB2312"/>
                <w:snapToGrid w:val="0"/>
                <w:kern w:val="0"/>
                <w:sz w:val="32"/>
                <w:szCs w:val="32"/>
              </w:rPr>
            </w:pPr>
          </w:p>
        </w:tc>
        <w:tc>
          <w:tcPr>
            <w:tcW w:w="2691" w:type="dxa"/>
            <w:vMerge w:val="continue"/>
            <w:vAlign w:val="center"/>
          </w:tcPr>
          <w:p w14:paraId="48D87E33">
            <w:pPr>
              <w:widowControl/>
              <w:jc w:val="left"/>
              <w:rPr>
                <w:rFonts w:hint="eastAsia" w:ascii="仿宋_GB2312" w:hAnsi="仿宋" w:eastAsia="仿宋_GB2312"/>
                <w:snapToGrid w:val="0"/>
                <w:kern w:val="0"/>
                <w:sz w:val="32"/>
                <w:szCs w:val="32"/>
              </w:rPr>
            </w:pPr>
          </w:p>
        </w:tc>
        <w:tc>
          <w:tcPr>
            <w:tcW w:w="3626" w:type="dxa"/>
          </w:tcPr>
          <w:p w14:paraId="346E5274">
            <w:pPr>
              <w:rPr>
                <w:rFonts w:hint="eastAsia" w:ascii="仿宋_GB2312" w:hAnsi="仿宋" w:eastAsia="仿宋_GB2312"/>
                <w:snapToGrid w:val="0"/>
                <w:kern w:val="0"/>
                <w:sz w:val="32"/>
                <w:szCs w:val="32"/>
              </w:rPr>
            </w:pPr>
            <w:r>
              <w:rPr>
                <w:rFonts w:hint="eastAsia" w:ascii="仿宋_GB2312" w:hAnsi="仿宋" w:eastAsia="仿宋_GB2312"/>
                <w:snapToGrid w:val="0"/>
                <w:kern w:val="0"/>
                <w:position w:val="1"/>
                <w:sz w:val="32"/>
                <w:szCs w:val="32"/>
              </w:rPr>
              <w:t>HBase</w:t>
            </w:r>
            <w:r>
              <w:rPr>
                <w:rFonts w:hint="eastAsia" w:ascii="仿宋_GB2312" w:hAnsi="仿宋" w:eastAsia="仿宋_GB2312"/>
                <w:snapToGrid w:val="0"/>
                <w:spacing w:val="11"/>
                <w:kern w:val="0"/>
                <w:position w:val="1"/>
                <w:sz w:val="32"/>
                <w:szCs w:val="32"/>
              </w:rPr>
              <w:t xml:space="preserve"> 2.4.11</w:t>
            </w:r>
          </w:p>
        </w:tc>
      </w:tr>
      <w:tr w14:paraId="62A36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983" w:type="dxa"/>
            <w:vMerge w:val="continue"/>
            <w:vAlign w:val="center"/>
          </w:tcPr>
          <w:p w14:paraId="3CB96420">
            <w:pPr>
              <w:widowControl/>
              <w:jc w:val="left"/>
              <w:rPr>
                <w:rFonts w:hint="eastAsia" w:ascii="仿宋_GB2312" w:hAnsi="仿宋" w:eastAsia="仿宋_GB2312"/>
                <w:snapToGrid w:val="0"/>
                <w:kern w:val="0"/>
                <w:sz w:val="32"/>
                <w:szCs w:val="32"/>
              </w:rPr>
            </w:pPr>
          </w:p>
        </w:tc>
        <w:tc>
          <w:tcPr>
            <w:tcW w:w="2691" w:type="dxa"/>
            <w:vAlign w:val="center"/>
          </w:tcPr>
          <w:p w14:paraId="2F42E78F">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10"/>
                <w:kern w:val="0"/>
                <w:sz w:val="32"/>
                <w:szCs w:val="32"/>
              </w:rPr>
              <w:t>关</w:t>
            </w:r>
            <w:r>
              <w:rPr>
                <w:rFonts w:hint="eastAsia" w:ascii="仿宋_GB2312" w:hAnsi="仿宋" w:eastAsia="仿宋_GB2312"/>
                <w:snapToGrid w:val="0"/>
                <w:spacing w:val="6"/>
                <w:kern w:val="0"/>
                <w:sz w:val="32"/>
                <w:szCs w:val="32"/>
              </w:rPr>
              <w:t>系型数据库</w:t>
            </w:r>
          </w:p>
        </w:tc>
        <w:tc>
          <w:tcPr>
            <w:tcW w:w="3626" w:type="dxa"/>
          </w:tcPr>
          <w:p w14:paraId="34BA1AD0">
            <w:pPr>
              <w:jc w:val="left"/>
              <w:rPr>
                <w:rFonts w:hint="eastAsia" w:ascii="仿宋_GB2312" w:hAnsi="仿宋" w:eastAsia="仿宋_GB2312"/>
                <w:snapToGrid w:val="0"/>
                <w:kern w:val="0"/>
                <w:sz w:val="32"/>
                <w:szCs w:val="32"/>
              </w:rPr>
            </w:pPr>
            <w:r>
              <w:rPr>
                <w:rFonts w:hint="eastAsia" w:ascii="仿宋_GB2312" w:hAnsi="仿宋" w:eastAsia="仿宋_GB2312"/>
                <w:snapToGrid w:val="0"/>
                <w:kern w:val="0"/>
                <w:sz w:val="32"/>
                <w:szCs w:val="32"/>
              </w:rPr>
              <w:t>MySQL 8</w:t>
            </w:r>
          </w:p>
        </w:tc>
      </w:tr>
      <w:tr w14:paraId="3A81A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983" w:type="dxa"/>
            <w:vMerge w:val="continue"/>
            <w:vAlign w:val="center"/>
          </w:tcPr>
          <w:p w14:paraId="32373277">
            <w:pPr>
              <w:widowControl/>
              <w:jc w:val="left"/>
              <w:rPr>
                <w:rFonts w:hint="eastAsia" w:ascii="仿宋_GB2312" w:hAnsi="仿宋" w:eastAsia="仿宋_GB2312"/>
                <w:snapToGrid w:val="0"/>
                <w:kern w:val="0"/>
                <w:sz w:val="32"/>
                <w:szCs w:val="32"/>
              </w:rPr>
            </w:pPr>
          </w:p>
        </w:tc>
        <w:tc>
          <w:tcPr>
            <w:tcW w:w="2691" w:type="dxa"/>
            <w:vMerge w:val="restart"/>
            <w:vAlign w:val="center"/>
          </w:tcPr>
          <w:p w14:paraId="0A97C8AA">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8"/>
                <w:kern w:val="0"/>
                <w:sz w:val="32"/>
                <w:szCs w:val="32"/>
              </w:rPr>
              <w:t>开</w:t>
            </w:r>
            <w:r>
              <w:rPr>
                <w:rFonts w:hint="eastAsia" w:ascii="仿宋_GB2312" w:hAnsi="仿宋" w:eastAsia="仿宋_GB2312"/>
                <w:snapToGrid w:val="0"/>
                <w:spacing w:val="5"/>
                <w:kern w:val="0"/>
                <w:sz w:val="32"/>
                <w:szCs w:val="32"/>
              </w:rPr>
              <w:t>发语言</w:t>
            </w:r>
          </w:p>
        </w:tc>
        <w:tc>
          <w:tcPr>
            <w:tcW w:w="3626" w:type="dxa"/>
          </w:tcPr>
          <w:p w14:paraId="7BF9D588">
            <w:pPr>
              <w:jc w:val="left"/>
              <w:rPr>
                <w:rFonts w:hint="eastAsia" w:ascii="仿宋_GB2312" w:hAnsi="仿宋" w:eastAsia="仿宋_GB2312"/>
                <w:snapToGrid w:val="0"/>
                <w:kern w:val="0"/>
                <w:sz w:val="32"/>
                <w:szCs w:val="32"/>
              </w:rPr>
            </w:pPr>
            <w:r>
              <w:rPr>
                <w:rFonts w:hint="eastAsia" w:ascii="仿宋_GB2312" w:hAnsi="仿宋" w:eastAsia="仿宋_GB2312"/>
                <w:snapToGrid w:val="0"/>
                <w:kern w:val="0"/>
                <w:position w:val="1"/>
                <w:sz w:val="32"/>
                <w:szCs w:val="32"/>
              </w:rPr>
              <w:t>Scala</w:t>
            </w:r>
            <w:r>
              <w:rPr>
                <w:rFonts w:hint="eastAsia" w:ascii="仿宋_GB2312" w:hAnsi="仿宋" w:eastAsia="仿宋_GB2312"/>
                <w:snapToGrid w:val="0"/>
                <w:spacing w:val="7"/>
                <w:kern w:val="0"/>
                <w:position w:val="1"/>
                <w:sz w:val="32"/>
                <w:szCs w:val="32"/>
              </w:rPr>
              <w:t xml:space="preserve"> 2.1</w:t>
            </w:r>
            <w:r>
              <w:rPr>
                <w:rFonts w:hint="eastAsia" w:ascii="仿宋_GB2312" w:hAnsi="仿宋" w:eastAsia="仿宋_GB2312"/>
                <w:snapToGrid w:val="0"/>
                <w:spacing w:val="6"/>
                <w:kern w:val="0"/>
                <w:position w:val="1"/>
                <w:sz w:val="32"/>
                <w:szCs w:val="32"/>
              </w:rPr>
              <w:t>2</w:t>
            </w:r>
          </w:p>
        </w:tc>
      </w:tr>
      <w:tr w14:paraId="6F381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983" w:type="dxa"/>
            <w:vMerge w:val="continue"/>
            <w:vAlign w:val="center"/>
          </w:tcPr>
          <w:p w14:paraId="1C47ECB3">
            <w:pPr>
              <w:widowControl/>
              <w:jc w:val="left"/>
              <w:rPr>
                <w:rFonts w:hint="eastAsia" w:ascii="仿宋_GB2312" w:hAnsi="仿宋" w:eastAsia="仿宋_GB2312"/>
                <w:snapToGrid w:val="0"/>
                <w:kern w:val="0"/>
                <w:sz w:val="32"/>
                <w:szCs w:val="32"/>
              </w:rPr>
            </w:pPr>
          </w:p>
        </w:tc>
        <w:tc>
          <w:tcPr>
            <w:tcW w:w="2691" w:type="dxa"/>
            <w:vMerge w:val="continue"/>
            <w:vAlign w:val="center"/>
          </w:tcPr>
          <w:p w14:paraId="0E504654">
            <w:pPr>
              <w:widowControl/>
              <w:jc w:val="left"/>
              <w:rPr>
                <w:rFonts w:hint="eastAsia" w:ascii="仿宋_GB2312" w:hAnsi="仿宋" w:eastAsia="仿宋_GB2312"/>
                <w:snapToGrid w:val="0"/>
                <w:kern w:val="0"/>
                <w:sz w:val="32"/>
                <w:szCs w:val="32"/>
              </w:rPr>
            </w:pPr>
          </w:p>
        </w:tc>
        <w:tc>
          <w:tcPr>
            <w:tcW w:w="3626" w:type="dxa"/>
          </w:tcPr>
          <w:p w14:paraId="38A6B9F1">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5"/>
                <w:kern w:val="0"/>
                <w:sz w:val="32"/>
                <w:szCs w:val="32"/>
              </w:rPr>
              <w:t>J</w:t>
            </w:r>
            <w:r>
              <w:rPr>
                <w:rFonts w:hint="eastAsia" w:ascii="仿宋_GB2312" w:hAnsi="仿宋" w:eastAsia="仿宋_GB2312"/>
                <w:snapToGrid w:val="0"/>
                <w:spacing w:val="3"/>
                <w:kern w:val="0"/>
                <w:sz w:val="32"/>
                <w:szCs w:val="32"/>
              </w:rPr>
              <w:t>avaScript</w:t>
            </w:r>
          </w:p>
        </w:tc>
      </w:tr>
      <w:tr w14:paraId="14200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983" w:type="dxa"/>
            <w:vMerge w:val="continue"/>
            <w:vAlign w:val="center"/>
          </w:tcPr>
          <w:p w14:paraId="563A4A76">
            <w:pPr>
              <w:widowControl/>
              <w:jc w:val="left"/>
              <w:rPr>
                <w:rFonts w:hint="eastAsia" w:ascii="仿宋_GB2312" w:hAnsi="仿宋" w:eastAsia="仿宋_GB2312"/>
                <w:snapToGrid w:val="0"/>
                <w:kern w:val="0"/>
                <w:sz w:val="32"/>
                <w:szCs w:val="32"/>
              </w:rPr>
            </w:pPr>
          </w:p>
        </w:tc>
        <w:tc>
          <w:tcPr>
            <w:tcW w:w="2691" w:type="dxa"/>
            <w:vMerge w:val="restart"/>
            <w:vAlign w:val="center"/>
          </w:tcPr>
          <w:p w14:paraId="154768E9">
            <w:pPr>
              <w:jc w:val="left"/>
              <w:rPr>
                <w:rFonts w:hint="eastAsia" w:ascii="仿宋_GB2312" w:hAnsi="仿宋" w:eastAsia="仿宋_GB2312"/>
                <w:snapToGrid w:val="0"/>
                <w:spacing w:val="10"/>
                <w:kern w:val="0"/>
                <w:sz w:val="32"/>
                <w:szCs w:val="32"/>
              </w:rPr>
            </w:pPr>
            <w:r>
              <w:rPr>
                <w:rFonts w:hint="eastAsia" w:ascii="仿宋_GB2312" w:hAnsi="仿宋" w:eastAsia="仿宋_GB2312"/>
                <w:snapToGrid w:val="0"/>
                <w:spacing w:val="12"/>
                <w:kern w:val="0"/>
                <w:sz w:val="32"/>
                <w:szCs w:val="32"/>
              </w:rPr>
              <w:t>数</w:t>
            </w:r>
            <w:r>
              <w:rPr>
                <w:rFonts w:hint="eastAsia" w:ascii="仿宋_GB2312" w:hAnsi="仿宋" w:eastAsia="仿宋_GB2312"/>
                <w:snapToGrid w:val="0"/>
                <w:spacing w:val="8"/>
                <w:kern w:val="0"/>
                <w:sz w:val="32"/>
                <w:szCs w:val="32"/>
              </w:rPr>
              <w:t>据可视化</w:t>
            </w:r>
          </w:p>
        </w:tc>
        <w:tc>
          <w:tcPr>
            <w:tcW w:w="3626" w:type="dxa"/>
          </w:tcPr>
          <w:p w14:paraId="6F907687">
            <w:pPr>
              <w:jc w:val="left"/>
              <w:rPr>
                <w:rFonts w:hint="eastAsia" w:ascii="仿宋_GB2312" w:hAnsi="仿宋" w:eastAsia="仿宋_GB2312"/>
                <w:snapToGrid w:val="0"/>
                <w:kern w:val="0"/>
                <w:position w:val="1"/>
                <w:sz w:val="32"/>
                <w:szCs w:val="32"/>
              </w:rPr>
            </w:pPr>
            <w:r>
              <w:rPr>
                <w:rFonts w:hint="eastAsia" w:ascii="仿宋_GB2312" w:hAnsi="仿宋" w:eastAsia="仿宋_GB2312"/>
                <w:snapToGrid w:val="0"/>
                <w:kern w:val="0"/>
                <w:position w:val="1"/>
                <w:sz w:val="32"/>
                <w:szCs w:val="32"/>
              </w:rPr>
              <w:t>Vue</w:t>
            </w:r>
            <w:r>
              <w:rPr>
                <w:rFonts w:hint="eastAsia" w:ascii="仿宋_GB2312" w:hAnsi="仿宋" w:eastAsia="仿宋_GB2312"/>
                <w:snapToGrid w:val="0"/>
                <w:spacing w:val="11"/>
                <w:kern w:val="0"/>
                <w:position w:val="1"/>
                <w:sz w:val="32"/>
                <w:szCs w:val="32"/>
              </w:rPr>
              <w:t>.</w:t>
            </w:r>
            <w:r>
              <w:rPr>
                <w:rFonts w:hint="eastAsia" w:ascii="仿宋_GB2312" w:hAnsi="仿宋" w:eastAsia="仿宋_GB2312"/>
                <w:snapToGrid w:val="0"/>
                <w:kern w:val="0"/>
                <w:position w:val="1"/>
                <w:sz w:val="32"/>
                <w:szCs w:val="32"/>
              </w:rPr>
              <w:t>js</w:t>
            </w:r>
            <w:r>
              <w:rPr>
                <w:rFonts w:hint="eastAsia" w:ascii="仿宋_GB2312" w:hAnsi="仿宋" w:eastAsia="仿宋_GB2312"/>
                <w:snapToGrid w:val="0"/>
                <w:spacing w:val="11"/>
                <w:kern w:val="0"/>
                <w:position w:val="1"/>
                <w:sz w:val="32"/>
                <w:szCs w:val="32"/>
              </w:rPr>
              <w:t xml:space="preserve"> 3.2</w:t>
            </w:r>
          </w:p>
        </w:tc>
      </w:tr>
      <w:tr w14:paraId="6BE2D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983" w:type="dxa"/>
            <w:vMerge w:val="continue"/>
            <w:vAlign w:val="center"/>
          </w:tcPr>
          <w:p w14:paraId="2BF73458">
            <w:pPr>
              <w:widowControl/>
              <w:jc w:val="left"/>
              <w:rPr>
                <w:rFonts w:hint="eastAsia" w:ascii="仿宋_GB2312" w:hAnsi="仿宋" w:eastAsia="仿宋_GB2312"/>
                <w:snapToGrid w:val="0"/>
                <w:kern w:val="0"/>
                <w:sz w:val="32"/>
                <w:szCs w:val="32"/>
              </w:rPr>
            </w:pPr>
          </w:p>
        </w:tc>
        <w:tc>
          <w:tcPr>
            <w:tcW w:w="2691" w:type="dxa"/>
            <w:vMerge w:val="continue"/>
            <w:vAlign w:val="center"/>
          </w:tcPr>
          <w:p w14:paraId="459FEE7B">
            <w:pPr>
              <w:widowControl/>
              <w:jc w:val="left"/>
              <w:rPr>
                <w:rFonts w:hint="eastAsia" w:ascii="仿宋_GB2312" w:hAnsi="仿宋" w:eastAsia="仿宋_GB2312"/>
                <w:snapToGrid w:val="0"/>
                <w:spacing w:val="10"/>
                <w:kern w:val="0"/>
                <w:sz w:val="32"/>
                <w:szCs w:val="32"/>
              </w:rPr>
            </w:pPr>
          </w:p>
        </w:tc>
        <w:tc>
          <w:tcPr>
            <w:tcW w:w="3626" w:type="dxa"/>
          </w:tcPr>
          <w:p w14:paraId="238CCEB6">
            <w:pPr>
              <w:jc w:val="left"/>
              <w:rPr>
                <w:rFonts w:hint="eastAsia" w:ascii="仿宋_GB2312" w:hAnsi="仿宋" w:eastAsia="仿宋_GB2312"/>
                <w:snapToGrid w:val="0"/>
                <w:kern w:val="0"/>
                <w:position w:val="1"/>
                <w:sz w:val="32"/>
                <w:szCs w:val="32"/>
              </w:rPr>
            </w:pPr>
            <w:r>
              <w:rPr>
                <w:rFonts w:hint="eastAsia" w:ascii="仿宋_GB2312" w:hAnsi="仿宋" w:eastAsia="仿宋_GB2312"/>
                <w:snapToGrid w:val="0"/>
                <w:kern w:val="0"/>
                <w:position w:val="1"/>
                <w:sz w:val="32"/>
                <w:szCs w:val="32"/>
              </w:rPr>
              <w:t>ECharts</w:t>
            </w:r>
            <w:r>
              <w:rPr>
                <w:rFonts w:hint="eastAsia" w:ascii="仿宋_GB2312" w:hAnsi="仿宋" w:eastAsia="仿宋_GB2312"/>
                <w:snapToGrid w:val="0"/>
                <w:spacing w:val="16"/>
                <w:kern w:val="0"/>
                <w:position w:val="1"/>
                <w:sz w:val="32"/>
                <w:szCs w:val="32"/>
              </w:rPr>
              <w:t xml:space="preserve"> 5.1</w:t>
            </w:r>
          </w:p>
        </w:tc>
      </w:tr>
      <w:tr w14:paraId="2C387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983" w:type="dxa"/>
            <w:vMerge w:val="continue"/>
            <w:vAlign w:val="center"/>
          </w:tcPr>
          <w:p w14:paraId="77626A77">
            <w:pPr>
              <w:widowControl/>
              <w:jc w:val="left"/>
              <w:rPr>
                <w:rFonts w:hint="eastAsia" w:ascii="仿宋_GB2312" w:hAnsi="仿宋" w:eastAsia="仿宋_GB2312"/>
                <w:snapToGrid w:val="0"/>
                <w:kern w:val="0"/>
                <w:sz w:val="32"/>
                <w:szCs w:val="32"/>
              </w:rPr>
            </w:pPr>
          </w:p>
        </w:tc>
        <w:tc>
          <w:tcPr>
            <w:tcW w:w="2691" w:type="dxa"/>
            <w:vMerge w:val="restart"/>
            <w:vAlign w:val="center"/>
          </w:tcPr>
          <w:p w14:paraId="159B5018">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8"/>
                <w:kern w:val="0"/>
                <w:sz w:val="32"/>
                <w:szCs w:val="32"/>
              </w:rPr>
              <w:t>开</w:t>
            </w:r>
            <w:r>
              <w:rPr>
                <w:rFonts w:hint="eastAsia" w:ascii="仿宋_GB2312" w:hAnsi="仿宋" w:eastAsia="仿宋_GB2312"/>
                <w:snapToGrid w:val="0"/>
                <w:spacing w:val="5"/>
                <w:kern w:val="0"/>
                <w:sz w:val="32"/>
                <w:szCs w:val="32"/>
              </w:rPr>
              <w:t>发工具</w:t>
            </w:r>
          </w:p>
        </w:tc>
        <w:tc>
          <w:tcPr>
            <w:tcW w:w="3626" w:type="dxa"/>
          </w:tcPr>
          <w:p w14:paraId="025C5BC0">
            <w:pPr>
              <w:jc w:val="left"/>
              <w:rPr>
                <w:rFonts w:hint="eastAsia" w:ascii="仿宋_GB2312" w:hAnsi="仿宋" w:eastAsia="仿宋_GB2312"/>
                <w:snapToGrid w:val="0"/>
                <w:kern w:val="0"/>
                <w:sz w:val="32"/>
                <w:szCs w:val="32"/>
              </w:rPr>
            </w:pPr>
            <w:r>
              <w:rPr>
                <w:rFonts w:hint="eastAsia" w:ascii="仿宋_GB2312" w:hAnsi="仿宋" w:eastAsia="仿宋_GB2312"/>
                <w:snapToGrid w:val="0"/>
                <w:kern w:val="0"/>
                <w:sz w:val="32"/>
                <w:szCs w:val="32"/>
              </w:rPr>
              <w:t>IDEA 2022（Community）</w:t>
            </w:r>
          </w:p>
        </w:tc>
      </w:tr>
      <w:tr w14:paraId="48997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983" w:type="dxa"/>
            <w:vMerge w:val="continue"/>
            <w:vAlign w:val="center"/>
          </w:tcPr>
          <w:p w14:paraId="0E115ECB">
            <w:pPr>
              <w:widowControl/>
              <w:jc w:val="left"/>
              <w:rPr>
                <w:rFonts w:hint="eastAsia" w:ascii="仿宋_GB2312" w:hAnsi="仿宋" w:eastAsia="仿宋_GB2312"/>
                <w:snapToGrid w:val="0"/>
                <w:kern w:val="0"/>
                <w:sz w:val="32"/>
                <w:szCs w:val="32"/>
              </w:rPr>
            </w:pPr>
          </w:p>
        </w:tc>
        <w:tc>
          <w:tcPr>
            <w:tcW w:w="2691" w:type="dxa"/>
            <w:vMerge w:val="continue"/>
          </w:tcPr>
          <w:p w14:paraId="4B6E4E5D">
            <w:pPr>
              <w:widowControl/>
              <w:jc w:val="left"/>
              <w:rPr>
                <w:rFonts w:hint="eastAsia" w:ascii="仿宋_GB2312" w:hAnsi="仿宋" w:eastAsia="仿宋_GB2312"/>
                <w:snapToGrid w:val="0"/>
                <w:kern w:val="0"/>
                <w:sz w:val="32"/>
                <w:szCs w:val="32"/>
              </w:rPr>
            </w:pPr>
          </w:p>
        </w:tc>
        <w:tc>
          <w:tcPr>
            <w:tcW w:w="3626" w:type="dxa"/>
          </w:tcPr>
          <w:p w14:paraId="61C11D99">
            <w:pPr>
              <w:jc w:val="left"/>
              <w:rPr>
                <w:rFonts w:hint="eastAsia" w:ascii="仿宋_GB2312" w:hAnsi="仿宋" w:eastAsia="仿宋_GB2312"/>
                <w:snapToGrid w:val="0"/>
                <w:kern w:val="0"/>
                <w:position w:val="1"/>
                <w:sz w:val="32"/>
                <w:szCs w:val="32"/>
              </w:rPr>
            </w:pPr>
            <w:r>
              <w:rPr>
                <w:rFonts w:hint="eastAsia" w:ascii="仿宋_GB2312" w:hAnsi="仿宋" w:eastAsia="仿宋_GB2312"/>
                <w:snapToGrid w:val="0"/>
                <w:kern w:val="0"/>
                <w:sz w:val="32"/>
                <w:szCs w:val="32"/>
              </w:rPr>
              <w:t>Visual studio code 1.69</w:t>
            </w:r>
          </w:p>
        </w:tc>
      </w:tr>
      <w:tr w14:paraId="2C56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83" w:type="dxa"/>
            <w:vMerge w:val="restart"/>
            <w:vAlign w:val="center"/>
          </w:tcPr>
          <w:p w14:paraId="41C25673">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11"/>
                <w:kern w:val="0"/>
                <w:sz w:val="32"/>
                <w:szCs w:val="32"/>
              </w:rPr>
              <w:t>PC机</w:t>
            </w:r>
          </w:p>
        </w:tc>
        <w:tc>
          <w:tcPr>
            <w:tcW w:w="2691" w:type="dxa"/>
          </w:tcPr>
          <w:p w14:paraId="577B6440">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2"/>
                <w:kern w:val="0"/>
                <w:sz w:val="32"/>
                <w:szCs w:val="32"/>
              </w:rPr>
              <w:t>PC操作系统</w:t>
            </w:r>
          </w:p>
        </w:tc>
        <w:tc>
          <w:tcPr>
            <w:tcW w:w="3626" w:type="dxa"/>
          </w:tcPr>
          <w:p w14:paraId="33C1C95C">
            <w:pPr>
              <w:jc w:val="left"/>
              <w:rPr>
                <w:rFonts w:hint="eastAsia" w:ascii="仿宋_GB2312" w:hAnsi="仿宋" w:eastAsia="仿宋_GB2312"/>
                <w:snapToGrid w:val="0"/>
                <w:kern w:val="0"/>
                <w:sz w:val="32"/>
                <w:szCs w:val="32"/>
              </w:rPr>
            </w:pPr>
            <w:r>
              <w:rPr>
                <w:rFonts w:hint="eastAsia" w:ascii="仿宋_GB2312" w:hAnsi="仿宋" w:eastAsia="仿宋_GB2312"/>
                <w:snapToGrid w:val="0"/>
                <w:kern w:val="0"/>
                <w:sz w:val="32"/>
                <w:szCs w:val="32"/>
              </w:rPr>
              <w:t>Windows</w:t>
            </w:r>
          </w:p>
        </w:tc>
      </w:tr>
      <w:tr w14:paraId="7FE3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983" w:type="dxa"/>
            <w:vMerge w:val="continue"/>
          </w:tcPr>
          <w:p w14:paraId="1450DAB4">
            <w:pPr>
              <w:widowControl/>
              <w:jc w:val="left"/>
              <w:rPr>
                <w:rFonts w:hint="eastAsia" w:ascii="仿宋_GB2312" w:hAnsi="仿宋" w:eastAsia="仿宋_GB2312"/>
                <w:snapToGrid w:val="0"/>
                <w:kern w:val="0"/>
                <w:sz w:val="32"/>
                <w:szCs w:val="32"/>
              </w:rPr>
            </w:pPr>
          </w:p>
        </w:tc>
        <w:tc>
          <w:tcPr>
            <w:tcW w:w="2691" w:type="dxa"/>
          </w:tcPr>
          <w:p w14:paraId="7CE2E89B">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2"/>
                <w:kern w:val="0"/>
                <w:sz w:val="32"/>
                <w:szCs w:val="32"/>
              </w:rPr>
              <w:t>浏览器</w:t>
            </w:r>
          </w:p>
        </w:tc>
        <w:tc>
          <w:tcPr>
            <w:tcW w:w="3626" w:type="dxa"/>
          </w:tcPr>
          <w:p w14:paraId="28026B82">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4"/>
                <w:kern w:val="0"/>
                <w:position w:val="1"/>
                <w:sz w:val="32"/>
                <w:szCs w:val="32"/>
              </w:rPr>
              <w:t>C</w:t>
            </w:r>
            <w:r>
              <w:rPr>
                <w:rFonts w:hint="eastAsia" w:ascii="仿宋_GB2312" w:hAnsi="仿宋" w:eastAsia="仿宋_GB2312"/>
                <w:snapToGrid w:val="0"/>
                <w:spacing w:val="3"/>
                <w:kern w:val="0"/>
                <w:position w:val="1"/>
                <w:sz w:val="32"/>
                <w:szCs w:val="32"/>
              </w:rPr>
              <w:t>hrome</w:t>
            </w:r>
          </w:p>
        </w:tc>
      </w:tr>
      <w:tr w14:paraId="417B9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983" w:type="dxa"/>
            <w:vMerge w:val="continue"/>
          </w:tcPr>
          <w:p w14:paraId="4A73C04C">
            <w:pPr>
              <w:widowControl/>
              <w:jc w:val="left"/>
              <w:rPr>
                <w:rFonts w:hint="eastAsia" w:ascii="仿宋_GB2312" w:hAnsi="仿宋" w:eastAsia="仿宋_GB2312"/>
                <w:snapToGrid w:val="0"/>
                <w:kern w:val="0"/>
                <w:sz w:val="32"/>
                <w:szCs w:val="32"/>
              </w:rPr>
            </w:pPr>
          </w:p>
        </w:tc>
        <w:tc>
          <w:tcPr>
            <w:tcW w:w="2691" w:type="dxa"/>
          </w:tcPr>
          <w:p w14:paraId="55A4F20F">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8"/>
                <w:kern w:val="0"/>
                <w:sz w:val="32"/>
                <w:szCs w:val="32"/>
              </w:rPr>
              <w:t>截</w:t>
            </w:r>
            <w:r>
              <w:rPr>
                <w:rFonts w:hint="eastAsia" w:ascii="仿宋_GB2312" w:hAnsi="仿宋" w:eastAsia="仿宋_GB2312"/>
                <w:snapToGrid w:val="0"/>
                <w:spacing w:val="6"/>
                <w:kern w:val="0"/>
                <w:sz w:val="32"/>
                <w:szCs w:val="32"/>
              </w:rPr>
              <w:t>图工具</w:t>
            </w:r>
          </w:p>
        </w:tc>
        <w:tc>
          <w:tcPr>
            <w:tcW w:w="3626" w:type="dxa"/>
          </w:tcPr>
          <w:p w14:paraId="33E70A1C">
            <w:pPr>
              <w:jc w:val="left"/>
              <w:rPr>
                <w:rFonts w:hint="eastAsia" w:ascii="仿宋_GB2312" w:hAnsi="仿宋" w:eastAsia="仿宋_GB2312"/>
                <w:snapToGrid w:val="0"/>
                <w:kern w:val="0"/>
                <w:sz w:val="32"/>
                <w:szCs w:val="32"/>
              </w:rPr>
            </w:pPr>
            <w:r>
              <w:rPr>
                <w:rFonts w:hint="eastAsia" w:ascii="仿宋_GB2312" w:hAnsi="仿宋" w:eastAsia="仿宋_GB2312"/>
                <w:snapToGrid w:val="0"/>
                <w:kern w:val="0"/>
                <w:sz w:val="32"/>
                <w:szCs w:val="32"/>
              </w:rPr>
              <w:t>Windows</w:t>
            </w:r>
            <w:r>
              <w:rPr>
                <w:rFonts w:hint="eastAsia" w:ascii="仿宋_GB2312" w:hAnsi="仿宋" w:eastAsia="仿宋_GB2312"/>
                <w:snapToGrid w:val="0"/>
                <w:spacing w:val="1"/>
                <w:kern w:val="0"/>
                <w:sz w:val="32"/>
                <w:szCs w:val="32"/>
              </w:rPr>
              <w:t>系统自带</w:t>
            </w:r>
          </w:p>
        </w:tc>
      </w:tr>
      <w:tr w14:paraId="534A2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983" w:type="dxa"/>
            <w:vMerge w:val="continue"/>
          </w:tcPr>
          <w:p w14:paraId="3CE16807">
            <w:pPr>
              <w:widowControl/>
              <w:jc w:val="left"/>
              <w:rPr>
                <w:rFonts w:hint="eastAsia" w:ascii="仿宋_GB2312" w:hAnsi="仿宋" w:eastAsia="仿宋_GB2312"/>
                <w:snapToGrid w:val="0"/>
                <w:kern w:val="0"/>
                <w:sz w:val="32"/>
                <w:szCs w:val="32"/>
              </w:rPr>
            </w:pPr>
          </w:p>
        </w:tc>
        <w:tc>
          <w:tcPr>
            <w:tcW w:w="2691" w:type="dxa"/>
          </w:tcPr>
          <w:p w14:paraId="2E609E80">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6"/>
                <w:kern w:val="0"/>
                <w:sz w:val="32"/>
                <w:szCs w:val="32"/>
              </w:rPr>
              <w:t>文档编辑器</w:t>
            </w:r>
          </w:p>
        </w:tc>
        <w:tc>
          <w:tcPr>
            <w:tcW w:w="3626" w:type="dxa"/>
          </w:tcPr>
          <w:p w14:paraId="4BAD52B1">
            <w:pPr>
              <w:jc w:val="left"/>
              <w:rPr>
                <w:rFonts w:hint="eastAsia" w:ascii="仿宋_GB2312" w:hAnsi="仿宋" w:eastAsia="仿宋_GB2312"/>
                <w:snapToGrid w:val="0"/>
                <w:kern w:val="0"/>
                <w:sz w:val="32"/>
                <w:szCs w:val="32"/>
              </w:rPr>
            </w:pPr>
            <w:r>
              <w:rPr>
                <w:rFonts w:hint="eastAsia" w:ascii="仿宋_GB2312" w:hAnsi="仿宋" w:eastAsia="仿宋_GB2312"/>
                <w:snapToGrid w:val="0"/>
                <w:kern w:val="0"/>
                <w:sz w:val="32"/>
                <w:szCs w:val="32"/>
              </w:rPr>
              <w:t>WPS或office</w:t>
            </w:r>
          </w:p>
        </w:tc>
      </w:tr>
      <w:tr w14:paraId="04AE8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983" w:type="dxa"/>
            <w:vMerge w:val="continue"/>
          </w:tcPr>
          <w:p w14:paraId="5DE0C887">
            <w:pPr>
              <w:widowControl/>
              <w:jc w:val="left"/>
              <w:rPr>
                <w:rFonts w:hint="eastAsia" w:ascii="仿宋_GB2312" w:hAnsi="仿宋" w:eastAsia="仿宋_GB2312"/>
                <w:snapToGrid w:val="0"/>
                <w:kern w:val="0"/>
                <w:sz w:val="32"/>
                <w:szCs w:val="32"/>
              </w:rPr>
            </w:pPr>
          </w:p>
        </w:tc>
        <w:tc>
          <w:tcPr>
            <w:tcW w:w="2691" w:type="dxa"/>
          </w:tcPr>
          <w:p w14:paraId="1379C07B">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6"/>
                <w:kern w:val="0"/>
                <w:sz w:val="32"/>
                <w:szCs w:val="32"/>
              </w:rPr>
              <w:t>输入</w:t>
            </w:r>
            <w:r>
              <w:rPr>
                <w:rFonts w:hint="eastAsia" w:ascii="仿宋_GB2312" w:hAnsi="仿宋" w:eastAsia="仿宋_GB2312"/>
                <w:snapToGrid w:val="0"/>
                <w:spacing w:val="5"/>
                <w:kern w:val="0"/>
                <w:sz w:val="32"/>
                <w:szCs w:val="32"/>
              </w:rPr>
              <w:t>法</w:t>
            </w:r>
          </w:p>
        </w:tc>
        <w:tc>
          <w:tcPr>
            <w:tcW w:w="3626" w:type="dxa"/>
          </w:tcPr>
          <w:p w14:paraId="40D9F591">
            <w:pPr>
              <w:jc w:val="left"/>
              <w:rPr>
                <w:rFonts w:hint="eastAsia" w:ascii="仿宋_GB2312" w:hAnsi="仿宋" w:eastAsia="仿宋_GB2312"/>
                <w:snapToGrid w:val="0"/>
                <w:kern w:val="0"/>
                <w:sz w:val="32"/>
                <w:szCs w:val="32"/>
              </w:rPr>
            </w:pPr>
            <w:r>
              <w:rPr>
                <w:rFonts w:hint="eastAsia" w:ascii="仿宋_GB2312" w:hAnsi="仿宋" w:eastAsia="仿宋_GB2312"/>
                <w:snapToGrid w:val="0"/>
                <w:spacing w:val="6"/>
                <w:kern w:val="0"/>
                <w:sz w:val="32"/>
                <w:szCs w:val="32"/>
              </w:rPr>
              <w:t>搜</w:t>
            </w:r>
            <w:r>
              <w:rPr>
                <w:rFonts w:hint="eastAsia" w:ascii="仿宋_GB2312" w:hAnsi="仿宋" w:eastAsia="仿宋_GB2312"/>
                <w:snapToGrid w:val="0"/>
                <w:spacing w:val="4"/>
                <w:kern w:val="0"/>
                <w:sz w:val="32"/>
                <w:szCs w:val="32"/>
              </w:rPr>
              <w:t>狗拼音输入法</w:t>
            </w:r>
          </w:p>
        </w:tc>
      </w:tr>
    </w:tbl>
    <w:p w14:paraId="37B385BF">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九、竞赛样题</w:t>
      </w:r>
    </w:p>
    <w:p w14:paraId="7D1ED2E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（一）竞赛时间、内容及总成绩</w:t>
      </w:r>
    </w:p>
    <w:p w14:paraId="228E55BE">
      <w:pPr>
        <w:pStyle w:val="31"/>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outlineLvl w:val="2"/>
        <w:rPr>
          <w:rFonts w:hint="eastAsia" w:ascii="仿宋_GB2312" w:hAnsi="仿宋" w:eastAsia="仿宋_GB2312"/>
          <w:b/>
          <w:bCs/>
          <w:kern w:val="0"/>
          <w:sz w:val="32"/>
          <w:szCs w:val="32"/>
        </w:rPr>
      </w:pPr>
      <w:bookmarkStart w:id="2" w:name="_Toc19771"/>
      <w:r>
        <w:rPr>
          <w:rFonts w:hint="eastAsia" w:ascii="仿宋_GB2312" w:hAnsi="仿宋" w:eastAsia="仿宋_GB2312"/>
          <w:b/>
          <w:bCs/>
          <w:kern w:val="0"/>
          <w:sz w:val="32"/>
          <w:szCs w:val="32"/>
        </w:rPr>
        <w:t>1.竞赛时间</w:t>
      </w:r>
      <w:bookmarkEnd w:id="2"/>
    </w:p>
    <w:p w14:paraId="497C21E1">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竞赛时间共为6小时，参赛队自行安排任务进度，休息、饮水、如厕等不设专门用时，统一含在竞赛时间内。</w:t>
      </w:r>
    </w:p>
    <w:p w14:paraId="3A2C95FF">
      <w:pPr>
        <w:pStyle w:val="31"/>
        <w:spacing w:line="500" w:lineRule="exact"/>
        <w:ind w:firstLine="643"/>
        <w:outlineLvl w:val="2"/>
        <w:rPr>
          <w:rFonts w:hint="eastAsia" w:ascii="仿宋_GB2312" w:hAnsi="仿宋" w:eastAsia="仿宋_GB2312"/>
          <w:b/>
          <w:bCs/>
          <w:snapToGrid w:val="0"/>
          <w:kern w:val="0"/>
          <w:sz w:val="32"/>
          <w:szCs w:val="32"/>
        </w:rPr>
      </w:pPr>
      <w:bookmarkStart w:id="3" w:name="_Toc25089"/>
      <w:r>
        <w:rPr>
          <w:rFonts w:hint="eastAsia" w:ascii="仿宋_GB2312" w:hAnsi="仿宋" w:eastAsia="仿宋_GB2312"/>
          <w:b/>
          <w:bCs/>
          <w:snapToGrid w:val="0"/>
          <w:kern w:val="0"/>
          <w:sz w:val="32"/>
          <w:szCs w:val="32"/>
        </w:rPr>
        <w:t>2.竞赛内容概述</w:t>
      </w:r>
      <w:bookmarkEnd w:id="3"/>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1526"/>
        <w:gridCol w:w="1844"/>
        <w:gridCol w:w="5158"/>
      </w:tblGrid>
      <w:tr w14:paraId="18C58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675" w:hRule="atLeast"/>
        </w:trPr>
        <w:tc>
          <w:tcPr>
            <w:tcW w:w="895" w:type="pct"/>
            <w:shd w:val="clear" w:color="auto" w:fill="D8D8D8"/>
            <w:vAlign w:val="center"/>
          </w:tcPr>
          <w:p w14:paraId="5B8328A2">
            <w:pPr>
              <w:tabs>
                <w:tab w:val="left" w:pos="567"/>
              </w:tabs>
              <w:snapToGrid w:val="0"/>
              <w:spacing w:line="560" w:lineRule="exact"/>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序号</w:t>
            </w:r>
          </w:p>
        </w:tc>
        <w:tc>
          <w:tcPr>
            <w:tcW w:w="1081" w:type="pct"/>
            <w:shd w:val="clear" w:color="auto" w:fill="D8D8D8"/>
            <w:vAlign w:val="center"/>
          </w:tcPr>
          <w:p w14:paraId="51BAB640">
            <w:pPr>
              <w:tabs>
                <w:tab w:val="left" w:pos="567"/>
              </w:tabs>
              <w:snapToGrid w:val="0"/>
              <w:spacing w:line="560" w:lineRule="exact"/>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任务名称</w:t>
            </w:r>
          </w:p>
        </w:tc>
        <w:tc>
          <w:tcPr>
            <w:tcW w:w="3025" w:type="pct"/>
            <w:shd w:val="clear" w:color="auto" w:fill="D8D8D8"/>
            <w:vAlign w:val="center"/>
          </w:tcPr>
          <w:p w14:paraId="02EEA892">
            <w:pPr>
              <w:tabs>
                <w:tab w:val="left" w:pos="567"/>
              </w:tabs>
              <w:snapToGrid w:val="0"/>
              <w:spacing w:line="560" w:lineRule="exact"/>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具体内容</w:t>
            </w:r>
          </w:p>
        </w:tc>
      </w:tr>
      <w:tr w14:paraId="44320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895" w:type="pct"/>
            <w:shd w:val="clear" w:color="auto" w:fill="FFFFFF"/>
            <w:vAlign w:val="center"/>
          </w:tcPr>
          <w:p w14:paraId="6D7483C2">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任务一</w:t>
            </w:r>
          </w:p>
        </w:tc>
        <w:tc>
          <w:tcPr>
            <w:tcW w:w="1081" w:type="pct"/>
            <w:shd w:val="clear" w:color="auto" w:fill="FFFFFF"/>
            <w:vAlign w:val="center"/>
          </w:tcPr>
          <w:p w14:paraId="29EF9AFF">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大数据平台环境搭建</w:t>
            </w:r>
          </w:p>
        </w:tc>
        <w:tc>
          <w:tcPr>
            <w:tcW w:w="3025" w:type="pct"/>
            <w:shd w:val="clear" w:color="auto" w:fill="FFFFFF"/>
            <w:vAlign w:val="center"/>
          </w:tcPr>
          <w:p w14:paraId="6819E34E">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按照任务书要求，需要基于Docker环境完成Hadoop完全分布式、Spark安装配置、Flink安装配置、Hive安装配置、Kafka安装配置、Flume安装配置、HBase安装配置等中的任意三个组件的安装配置</w:t>
            </w:r>
          </w:p>
        </w:tc>
      </w:tr>
      <w:tr w14:paraId="5A011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895" w:type="pct"/>
            <w:shd w:val="clear" w:color="auto" w:fill="FFFFFF"/>
            <w:vAlign w:val="center"/>
          </w:tcPr>
          <w:p w14:paraId="4EAE7E25">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任务二</w:t>
            </w:r>
          </w:p>
        </w:tc>
        <w:tc>
          <w:tcPr>
            <w:tcW w:w="1081" w:type="pct"/>
            <w:shd w:val="clear" w:color="auto" w:fill="FFFFFF"/>
            <w:vAlign w:val="center"/>
          </w:tcPr>
          <w:p w14:paraId="172A43A3">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数据采集</w:t>
            </w:r>
          </w:p>
        </w:tc>
        <w:tc>
          <w:tcPr>
            <w:tcW w:w="3025" w:type="pct"/>
            <w:shd w:val="clear" w:color="auto" w:fill="FFFFFF"/>
            <w:vAlign w:val="center"/>
          </w:tcPr>
          <w:p w14:paraId="4B7170CC">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按照任务书要求基于Scala语言基于Spark完成离线数据采集，将数据存入Hive的ods层中；按照要求使用Linux命令，利用Flume、Kafka等工具完成实时数据采集</w:t>
            </w:r>
          </w:p>
        </w:tc>
      </w:tr>
      <w:tr w14:paraId="4FDBB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95" w:type="pct"/>
            <w:shd w:val="clear" w:color="auto" w:fill="FFFFFF"/>
            <w:vAlign w:val="center"/>
          </w:tcPr>
          <w:p w14:paraId="780A25E7">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任务三</w:t>
            </w:r>
          </w:p>
        </w:tc>
        <w:tc>
          <w:tcPr>
            <w:tcW w:w="1081" w:type="pct"/>
            <w:shd w:val="clear" w:color="auto" w:fill="FFFFFF"/>
            <w:vAlign w:val="center"/>
          </w:tcPr>
          <w:p w14:paraId="385D0767">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实时数据处理</w:t>
            </w:r>
          </w:p>
        </w:tc>
        <w:tc>
          <w:tcPr>
            <w:tcW w:w="3025" w:type="pct"/>
            <w:shd w:val="clear" w:color="auto" w:fill="FFFFFF"/>
            <w:vAlign w:val="center"/>
          </w:tcPr>
          <w:p w14:paraId="63F1D741">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按照任务书要求使用Scala语言基于Flink完成Kafka中的数据消费，将数据分发至Kafka的dwd层中，并在HBase中进行备份同时建立Hive外表，基于Flink完成相关的数据指标计算并将计算结果存入Redis、Hive、HBase、MySQL中</w:t>
            </w:r>
          </w:p>
        </w:tc>
      </w:tr>
      <w:tr w14:paraId="52F46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95" w:type="pct"/>
            <w:shd w:val="clear" w:color="auto" w:fill="FFFFFF"/>
            <w:vAlign w:val="center"/>
          </w:tcPr>
          <w:p w14:paraId="3AA77A52">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任务四</w:t>
            </w:r>
          </w:p>
        </w:tc>
        <w:tc>
          <w:tcPr>
            <w:tcW w:w="1081" w:type="pct"/>
            <w:shd w:val="clear" w:color="auto" w:fill="FFFFFF"/>
            <w:vAlign w:val="center"/>
          </w:tcPr>
          <w:p w14:paraId="460C7900">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离线数据处理</w:t>
            </w:r>
          </w:p>
        </w:tc>
        <w:tc>
          <w:tcPr>
            <w:tcW w:w="3025" w:type="pct"/>
            <w:shd w:val="clear" w:color="auto" w:fill="FFFFFF"/>
            <w:vAlign w:val="center"/>
          </w:tcPr>
          <w:p w14:paraId="678ACD57">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按照任务书要求使用Scala语言基于Spark完成离线数据清洗、处理、计算，包括数据的合并、去重、排序、数据类型转换等并将计算结果存入MySQL、HBase、Hive中</w:t>
            </w:r>
          </w:p>
        </w:tc>
      </w:tr>
      <w:tr w14:paraId="2DE81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895" w:type="pct"/>
            <w:shd w:val="clear" w:color="auto" w:fill="FFFFFF"/>
            <w:vAlign w:val="center"/>
          </w:tcPr>
          <w:p w14:paraId="046E68E0">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任务五</w:t>
            </w:r>
          </w:p>
        </w:tc>
        <w:tc>
          <w:tcPr>
            <w:tcW w:w="1081" w:type="pct"/>
            <w:shd w:val="clear" w:color="auto" w:fill="FFFFFF"/>
            <w:vAlign w:val="center"/>
          </w:tcPr>
          <w:p w14:paraId="1AB9F9BF">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数据可视化</w:t>
            </w:r>
          </w:p>
        </w:tc>
        <w:tc>
          <w:tcPr>
            <w:tcW w:w="3025" w:type="pct"/>
            <w:shd w:val="clear" w:color="auto" w:fill="FFFFFF"/>
            <w:vAlign w:val="center"/>
          </w:tcPr>
          <w:p w14:paraId="6BAED9D8">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按照任务书要求编写前端代码，调用后台数据接口或</w:t>
            </w:r>
            <w:r>
              <w:rPr>
                <w:rFonts w:hint="eastAsia" w:ascii="仿宋_GB2312" w:hAnsi="仿宋" w:eastAsia="仿宋_GB2312" w:cs="微软雅黑"/>
                <w:snapToGrid w:val="0"/>
                <w:kern w:val="0"/>
                <w:sz w:val="32"/>
                <w:szCs w:val="32"/>
              </w:rPr>
              <w:t>静态数据文件</w:t>
            </w:r>
            <w:r>
              <w:rPr>
                <w:rFonts w:hint="eastAsia" w:ascii="仿宋_GB2312" w:hAnsi="仿宋" w:eastAsia="仿宋_GB2312" w:cs="仿宋_GB2312"/>
                <w:snapToGrid w:val="0"/>
                <w:kern w:val="0"/>
                <w:sz w:val="32"/>
                <w:szCs w:val="32"/>
              </w:rPr>
              <w:t>，使用Vue、echarts完成数据可视化</w:t>
            </w:r>
          </w:p>
        </w:tc>
      </w:tr>
      <w:tr w14:paraId="449EA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895" w:type="pct"/>
            <w:shd w:val="clear" w:color="auto" w:fill="FFFFFF"/>
            <w:vAlign w:val="center"/>
          </w:tcPr>
          <w:p w14:paraId="3C83E84E">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任务六</w:t>
            </w:r>
          </w:p>
        </w:tc>
        <w:tc>
          <w:tcPr>
            <w:tcW w:w="1081" w:type="pct"/>
            <w:shd w:val="clear" w:color="auto" w:fill="FFFFFF"/>
            <w:vAlign w:val="center"/>
          </w:tcPr>
          <w:p w14:paraId="2B73BB53">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综合分析报告</w:t>
            </w:r>
          </w:p>
        </w:tc>
        <w:tc>
          <w:tcPr>
            <w:tcW w:w="3025" w:type="pct"/>
            <w:shd w:val="clear" w:color="auto" w:fill="FFFFFF"/>
            <w:vAlign w:val="center"/>
          </w:tcPr>
          <w:p w14:paraId="11E62178">
            <w:pPr>
              <w:tabs>
                <w:tab w:val="left" w:pos="567"/>
              </w:tabs>
              <w:snapToGrid w:val="0"/>
              <w:spacing w:line="560" w:lineRule="exact"/>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 xml:space="preserve">根据要求编写综合分析报告 </w:t>
            </w:r>
          </w:p>
        </w:tc>
      </w:tr>
    </w:tbl>
    <w:p w14:paraId="14CEF0A3">
      <w:pPr>
        <w:pStyle w:val="31"/>
        <w:spacing w:line="500" w:lineRule="exact"/>
        <w:ind w:firstLine="643"/>
        <w:outlineLvl w:val="2"/>
        <w:rPr>
          <w:rFonts w:hint="eastAsia" w:ascii="仿宋_GB2312" w:hAnsi="仿宋" w:eastAsia="仿宋_GB2312"/>
          <w:b/>
          <w:bCs/>
          <w:snapToGrid w:val="0"/>
          <w:kern w:val="0"/>
          <w:sz w:val="32"/>
          <w:szCs w:val="32"/>
        </w:rPr>
      </w:pPr>
      <w:bookmarkStart w:id="4" w:name="_Toc15469"/>
      <w:r>
        <w:rPr>
          <w:rFonts w:hint="eastAsia" w:ascii="仿宋_GB2312" w:hAnsi="仿宋" w:eastAsia="仿宋_GB2312"/>
          <w:b/>
          <w:bCs/>
          <w:snapToGrid w:val="0"/>
          <w:kern w:val="0"/>
          <w:sz w:val="32"/>
          <w:szCs w:val="32"/>
        </w:rPr>
        <w:t>3.竞赛总成绩</w:t>
      </w:r>
      <w:bookmarkEnd w:id="4"/>
    </w:p>
    <w:p w14:paraId="61F268E4">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w:t>
      </w:r>
      <w:bookmarkStart w:id="12" w:name="_GoBack"/>
      <w:bookmarkEnd w:id="12"/>
      <w:r>
        <w:rPr>
          <w:rFonts w:hint="eastAsia" w:ascii="仿宋_GB2312" w:hAnsi="仿宋" w:eastAsia="仿宋_GB2312" w:cs="仿宋_GB2312"/>
          <w:snapToGrid w:val="0"/>
          <w:kern w:val="0"/>
          <w:sz w:val="32"/>
          <w:szCs w:val="32"/>
        </w:rPr>
        <w:t>应用开发”赛项竞赛总成绩为100分，其中包含赛场职业素养5分。</w:t>
      </w:r>
    </w:p>
    <w:p w14:paraId="2BAEDE3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bookmarkStart w:id="5" w:name="_Toc19237"/>
      <w:r>
        <w:rPr>
          <w:rFonts w:hint="eastAsia" w:ascii="楷体_GB2312" w:hAnsi="楷体_GB2312" w:eastAsia="楷体_GB2312" w:cs="楷体_GB2312"/>
          <w:sz w:val="32"/>
          <w:szCs w:val="32"/>
          <w:lang w:val="en-US" w:eastAsia="zh-CN"/>
        </w:rPr>
        <w:t>（二）任务须知</w:t>
      </w:r>
      <w:bookmarkEnd w:id="5"/>
    </w:p>
    <w:p w14:paraId="6E8F2F87">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1.每组参赛队分配一台竞赛服务器、三台客户机，拥有独立IP组。</w:t>
      </w:r>
    </w:p>
    <w:p w14:paraId="061F488E">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2.本次比赛采用统一网络环境比赛，请不要随意更改客户端的网络地址信息，对于更改客户端信息造成的问题，由参赛选手自行承担比赛损失；</w:t>
      </w:r>
    </w:p>
    <w:p w14:paraId="792F2276">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3.请不要恶意破坏竞赛环境，对于恶意破坏竞赛环境的参赛者，组委会根据其行为予以处罚直至取消比赛资格。</w:t>
      </w:r>
    </w:p>
    <w:p w14:paraId="2049EF85">
      <w:pPr>
        <w:tabs>
          <w:tab w:val="left" w:pos="567"/>
        </w:tabs>
        <w:snapToGrid w:val="0"/>
        <w:spacing w:line="560" w:lineRule="exact"/>
        <w:ind w:firstLine="627" w:firstLineChars="196"/>
        <w:outlineLvl w:val="2"/>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4.比赛过程中及时保存相关文档。</w:t>
      </w:r>
    </w:p>
    <w:p w14:paraId="4F769576">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5.比赛相关文档中不能出现参赛学校名称和参赛选手名称，以赛位号（工位号）代替。</w:t>
      </w:r>
    </w:p>
    <w:p w14:paraId="1350A909">
      <w:pPr>
        <w:tabs>
          <w:tab w:val="left" w:pos="567"/>
        </w:tabs>
        <w:snapToGrid w:val="0"/>
        <w:spacing w:line="560" w:lineRule="exact"/>
        <w:ind w:firstLine="627" w:firstLineChars="196"/>
        <w:outlineLvl w:val="2"/>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6.参赛选手请勿删除模板内容，若因删除导致任何问题后果自负。</w:t>
      </w:r>
    </w:p>
    <w:p w14:paraId="18717798">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7.若同一文档由不同选手完成，须将文档合并后作为最终结果提交到U盘中。</w:t>
      </w:r>
    </w:p>
    <w:p w14:paraId="5405B3F8">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8.比赛中出现各种问题及时向现场裁判举手示意，不要影响其他参赛队比赛。</w:t>
      </w:r>
    </w:p>
    <w:p w14:paraId="79D6224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bookmarkStart w:id="6" w:name="_Toc19579"/>
      <w:r>
        <w:rPr>
          <w:rFonts w:hint="eastAsia" w:ascii="楷体_GB2312" w:hAnsi="楷体_GB2312" w:eastAsia="楷体_GB2312" w:cs="楷体_GB2312"/>
          <w:sz w:val="32"/>
          <w:szCs w:val="32"/>
          <w:lang w:val="en-US" w:eastAsia="zh-CN"/>
        </w:rPr>
        <w:t>（三）任务说明</w:t>
      </w:r>
      <w:bookmarkEnd w:id="6"/>
    </w:p>
    <w:p w14:paraId="26EF1C26">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本项目要求完成大数据平台环境搭建、数据采集、实时数据处理、离线数据处理、数据可视化及综合分析报告编写等工作。</w:t>
      </w:r>
    </w:p>
    <w:p w14:paraId="3E17A390">
      <w:pPr>
        <w:tabs>
          <w:tab w:val="left" w:pos="567"/>
        </w:tabs>
        <w:snapToGrid w:val="0"/>
        <w:spacing w:line="560" w:lineRule="exact"/>
        <w:ind w:firstLine="627" w:firstLineChars="196"/>
        <w:outlineLvl w:val="2"/>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任务一：大数据平台环境搭建</w:t>
      </w:r>
    </w:p>
    <w:p w14:paraId="2BEAA946">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按照任务书要求，需要基于Docker环境完成Hadoop完全分布式、Spark安装配置、Flink安装配置、Hive安装配置、Kafka安装配置、Flume安装配置、HBase安装配置等中的任意三个组件的安装配置。</w:t>
      </w:r>
    </w:p>
    <w:p w14:paraId="646CB3BA">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任务二：数据采集</w:t>
      </w:r>
    </w:p>
    <w:p w14:paraId="3937C37B">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按照任务书要求基于Scala语言基于Spark完成离线数据采集，将数据存入Hive的ods层中；按照任务书要求使用Linux命令，利用Flume等工具完成实时数据采集，将数据存入Kafka指定的Topic中。</w:t>
      </w:r>
    </w:p>
    <w:p w14:paraId="2B532884">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任务三：实时数据处理</w:t>
      </w:r>
    </w:p>
    <w:p w14:paraId="304619D5">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按照任务书要求使用Scala语言基于Flink完成Kafka中的数据消费，将数据分发至Kafka的dwd层中，并在HBase中进行备份同时建立Hive外表，基于Flink完成相关的数据指标计算并将计算结果存入Redis、Hive、HBase中。</w:t>
      </w:r>
    </w:p>
    <w:p w14:paraId="0C59DDF8">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任务四：离线数据处理</w:t>
      </w:r>
    </w:p>
    <w:p w14:paraId="6EA5218C">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按照任务书要求使用Scala语言基于Spark完成离线数据清洗、处理、计算，包括数据的合并、去重、排序、数据类型转换等并将计算结果存入MySQL、HBase、Hive中。</w:t>
      </w:r>
    </w:p>
    <w:p w14:paraId="5004E960">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任务五：数据可视化</w:t>
      </w:r>
    </w:p>
    <w:p w14:paraId="6779E8E8">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按照任务书要求编写前端代码，调用后台数据接口或</w:t>
      </w:r>
      <w:r>
        <w:rPr>
          <w:rFonts w:hint="eastAsia" w:ascii="仿宋_GB2312" w:hAnsi="仿宋" w:eastAsia="仿宋_GB2312" w:cs="微软雅黑"/>
          <w:snapToGrid w:val="0"/>
          <w:kern w:val="0"/>
          <w:sz w:val="32"/>
          <w:szCs w:val="32"/>
        </w:rPr>
        <w:t>静态数据文件</w:t>
      </w:r>
      <w:r>
        <w:rPr>
          <w:rFonts w:hint="eastAsia" w:ascii="仿宋_GB2312" w:hAnsi="仿宋" w:eastAsia="仿宋_GB2312" w:cs="仿宋_GB2312"/>
          <w:snapToGrid w:val="0"/>
          <w:kern w:val="0"/>
          <w:sz w:val="32"/>
          <w:szCs w:val="32"/>
        </w:rPr>
        <w:t>，使用Vue、ECharts完成数据可视化。</w:t>
      </w:r>
    </w:p>
    <w:p w14:paraId="4AE8EEBD">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任务六：综合分析报告</w:t>
      </w:r>
    </w:p>
    <w:p w14:paraId="651B960F">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按照任务书要求，完成综合分析报告编写。</w:t>
      </w:r>
    </w:p>
    <w:p w14:paraId="6E58AFA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bookmarkStart w:id="7" w:name="_Toc19332"/>
      <w:r>
        <w:rPr>
          <w:rFonts w:hint="eastAsia" w:ascii="楷体_GB2312" w:hAnsi="楷体_GB2312" w:eastAsia="楷体_GB2312" w:cs="楷体_GB2312"/>
          <w:sz w:val="32"/>
          <w:szCs w:val="32"/>
          <w:lang w:val="en-US" w:eastAsia="zh-CN"/>
        </w:rPr>
        <w:t>（四）竞赛结果提交要求</w:t>
      </w:r>
      <w:bookmarkEnd w:id="7"/>
    </w:p>
    <w:p w14:paraId="5B56F986">
      <w:pPr>
        <w:pStyle w:val="31"/>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outlineLvl w:val="2"/>
        <w:rPr>
          <w:rFonts w:hint="eastAsia" w:ascii="仿宋_GB2312" w:hAnsi="仿宋" w:eastAsia="仿宋_GB2312"/>
          <w:b/>
          <w:bCs/>
          <w:kern w:val="0"/>
          <w:sz w:val="32"/>
          <w:szCs w:val="32"/>
        </w:rPr>
      </w:pPr>
      <w:r>
        <w:rPr>
          <w:rFonts w:hint="eastAsia" w:ascii="仿宋_GB2312" w:hAnsi="仿宋" w:eastAsia="仿宋_GB2312"/>
          <w:b/>
          <w:bCs/>
          <w:kern w:val="0"/>
          <w:sz w:val="32"/>
          <w:szCs w:val="32"/>
        </w:rPr>
        <w:t>1.提交方式</w:t>
      </w:r>
    </w:p>
    <w:p w14:paraId="32AF6684">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任务成果需拷贝至提供的U盘中。在U盘中以XX工位号建一个文件夹（例如01），将所有任务成果文档保存至该文件夹中。</w:t>
      </w:r>
    </w:p>
    <w:p w14:paraId="0DFCB1D2">
      <w:pPr>
        <w:pStyle w:val="31"/>
        <w:spacing w:line="500" w:lineRule="exact"/>
        <w:ind w:firstLine="643"/>
        <w:outlineLvl w:val="2"/>
        <w:rPr>
          <w:rFonts w:hint="eastAsia" w:ascii="仿宋_GB2312" w:hAnsi="仿宋" w:eastAsia="仿宋_GB2312"/>
          <w:b/>
          <w:bCs/>
          <w:snapToGrid w:val="0"/>
          <w:kern w:val="0"/>
          <w:sz w:val="32"/>
          <w:szCs w:val="32"/>
        </w:rPr>
      </w:pPr>
      <w:r>
        <w:rPr>
          <w:rFonts w:hint="eastAsia" w:ascii="仿宋_GB2312" w:hAnsi="仿宋" w:eastAsia="仿宋_GB2312"/>
          <w:b/>
          <w:bCs/>
          <w:snapToGrid w:val="0"/>
          <w:kern w:val="0"/>
          <w:sz w:val="32"/>
          <w:szCs w:val="32"/>
        </w:rPr>
        <w:t>2.文档要求</w:t>
      </w:r>
    </w:p>
    <w:p w14:paraId="323E6CED">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竞赛提交的所有文档中不能出现参赛队信息和参赛选手信息，竞赛文档需要填写参赛队信息时以工位号代替（XX代表工位号）。</w:t>
      </w:r>
    </w:p>
    <w:p w14:paraId="1FE59D50">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十、成绩评定</w:t>
      </w:r>
    </w:p>
    <w:p w14:paraId="46D0B80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（一）奖项设定</w:t>
      </w:r>
    </w:p>
    <w:p w14:paraId="50313764">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参照省教育厅技能大赛文件执行。</w:t>
      </w:r>
    </w:p>
    <w:p w14:paraId="0B26D66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（二）评分标准制定原则</w:t>
      </w:r>
    </w:p>
    <w:p w14:paraId="6BFC673D">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bookmarkStart w:id="8" w:name="_Hlk1489544"/>
      <w:r>
        <w:rPr>
          <w:rFonts w:hint="eastAsia" w:ascii="仿宋_GB2312" w:hAnsi="仿宋" w:eastAsia="仿宋_GB2312"/>
          <w:snapToGrid w:val="0"/>
          <w:kern w:val="0"/>
          <w:sz w:val="32"/>
          <w:szCs w:val="32"/>
        </w:rPr>
        <w:tab/>
      </w:r>
      <w:r>
        <w:rPr>
          <w:rFonts w:hint="eastAsia" w:ascii="仿宋_GB2312" w:hAnsi="仿宋" w:eastAsia="仿宋_GB2312" w:cs="仿宋_GB2312"/>
          <w:snapToGrid w:val="0"/>
          <w:kern w:val="0"/>
          <w:sz w:val="32"/>
          <w:szCs w:val="32"/>
        </w:rPr>
        <w:t>竞赛评分制定严格遵守公平、公正的原则，大数据应用开发赛项评分采用赛项结果评分方法，始终贯彻落实竞赛一贯坚持的公平、公正和公开原则。</w:t>
      </w:r>
    </w:p>
    <w:p w14:paraId="4D117AFB">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参与竞赛成绩管理的组织机构包括裁判组、监督组和仲裁组等，裁判组实行“裁判长负责制”。</w:t>
      </w:r>
    </w:p>
    <w:p w14:paraId="32A7D7B6">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裁判员根据竞赛工作需要分为检录裁判、加密裁判、现场裁判和评分裁判。检录裁判负责对参赛队伍（选手）进行点名登记、身份核对等工作；加密裁判负责组织参赛队伍（选手）抽签并对参赛队伍（选手）的信息进行加密、解密；现场裁判按规定做好赛场记录，维护赛场纪律；评分裁判负责对参赛队伍（选手）的技能展示、操作规范和竞赛成果等按赛项评分标准进行评定。</w:t>
      </w:r>
    </w:p>
    <w:p w14:paraId="6C0B2380">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监督组对裁判组的工作进行全程监督，并对竞赛成绩抽检复核。</w:t>
      </w:r>
    </w:p>
    <w:p w14:paraId="025DE329">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仲裁组负责接受由参赛队领队提出的对裁判结果的申诉，组织复议并及时反馈复议结果。</w:t>
      </w:r>
      <w:bookmarkEnd w:id="8"/>
    </w:p>
    <w:p w14:paraId="66E0408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（三）评分方法</w:t>
      </w:r>
    </w:p>
    <w:p w14:paraId="44189ACB">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bookmarkStart w:id="9" w:name="_Hlk1489568"/>
      <w:r>
        <w:rPr>
          <w:rFonts w:hint="eastAsia" w:ascii="仿宋_GB2312" w:hAnsi="仿宋" w:eastAsia="仿宋_GB2312" w:cs="仿宋_GB2312"/>
          <w:snapToGrid w:val="0"/>
          <w:kern w:val="0"/>
          <w:sz w:val="32"/>
          <w:szCs w:val="32"/>
        </w:rPr>
        <w:t>1.选手在完成任务之后，将任务完成结果拷贝至U盘中，由参赛选手队长签字确认（签工位号）。</w:t>
      </w:r>
    </w:p>
    <w:p w14:paraId="7EF7321D">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2.评分采取分步得分、累计总分的计分方式。</w:t>
      </w:r>
    </w:p>
    <w:p w14:paraId="6C4A709A">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3.不计参赛选手的个人得分，只记录团体得分。</w:t>
      </w:r>
    </w:p>
    <w:p w14:paraId="7ECEBDB3">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4.参赛队提交比赛任务结束请求或者在比赛时间终止后，不得再进行任何操作。否则，视为比赛作弊，给参赛队记警告一次。</w:t>
      </w:r>
    </w:p>
    <w:p w14:paraId="5C5082AC">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5.在竞赛过程中，选手如有不服从裁判判决、扰乱赛场秩序、舞弊等不文明行为，由裁判长按照规定扣减相应分数并且给予警告，情节严重的取消竞赛资格，竞赛成绩记0分，队员退出比赛现场。</w:t>
      </w:r>
      <w:bookmarkEnd w:id="9"/>
    </w:p>
    <w:p w14:paraId="17B1EA1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（四）评分标准</w:t>
      </w:r>
    </w:p>
    <w:tbl>
      <w:tblPr>
        <w:tblStyle w:val="13"/>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4"/>
        <w:gridCol w:w="1178"/>
        <w:gridCol w:w="2763"/>
        <w:gridCol w:w="2686"/>
        <w:gridCol w:w="1176"/>
      </w:tblGrid>
      <w:tr w14:paraId="05B96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14" w:type="dxa"/>
            <w:tcBorders>
              <w:top w:val="single" w:color="auto" w:sz="4" w:space="0"/>
              <w:left w:val="single" w:color="auto" w:sz="4" w:space="0"/>
              <w:bottom w:val="single" w:color="auto" w:sz="4" w:space="0"/>
              <w:right w:val="single" w:color="auto" w:sz="4" w:space="0"/>
            </w:tcBorders>
            <w:shd w:val="clear" w:color="auto" w:fill="D8D8D8"/>
            <w:vAlign w:val="center"/>
          </w:tcPr>
          <w:p w14:paraId="1F6D18AB">
            <w:pPr>
              <w:pStyle w:val="30"/>
              <w:snapToGrid w:val="0"/>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任务</w:t>
            </w:r>
          </w:p>
        </w:tc>
        <w:tc>
          <w:tcPr>
            <w:tcW w:w="1178" w:type="dxa"/>
            <w:tcBorders>
              <w:top w:val="single" w:color="auto" w:sz="4" w:space="0"/>
              <w:left w:val="single" w:color="auto" w:sz="4" w:space="0"/>
              <w:bottom w:val="single" w:color="auto" w:sz="4" w:space="0"/>
              <w:right w:val="single" w:color="auto" w:sz="4" w:space="0"/>
            </w:tcBorders>
            <w:shd w:val="clear" w:color="auto" w:fill="D8D8D8"/>
            <w:vAlign w:val="center"/>
          </w:tcPr>
          <w:p w14:paraId="37581C15">
            <w:pPr>
              <w:pStyle w:val="30"/>
              <w:snapToGrid w:val="0"/>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考查点</w:t>
            </w:r>
          </w:p>
        </w:tc>
        <w:tc>
          <w:tcPr>
            <w:tcW w:w="2763" w:type="dxa"/>
            <w:tcBorders>
              <w:top w:val="single" w:color="auto" w:sz="4" w:space="0"/>
              <w:left w:val="single" w:color="auto" w:sz="4" w:space="0"/>
              <w:bottom w:val="single" w:color="auto" w:sz="4" w:space="0"/>
              <w:right w:val="single" w:color="auto" w:sz="4" w:space="0"/>
            </w:tcBorders>
            <w:shd w:val="clear" w:color="auto" w:fill="D8D8D8"/>
            <w:vAlign w:val="center"/>
          </w:tcPr>
          <w:p w14:paraId="4A3A21CD">
            <w:pPr>
              <w:pStyle w:val="30"/>
              <w:snapToGrid w:val="0"/>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描述</w:t>
            </w:r>
          </w:p>
        </w:tc>
        <w:tc>
          <w:tcPr>
            <w:tcW w:w="2686" w:type="dxa"/>
            <w:tcBorders>
              <w:top w:val="single" w:color="auto" w:sz="4" w:space="0"/>
              <w:left w:val="single" w:color="auto" w:sz="4" w:space="0"/>
              <w:bottom w:val="single" w:color="auto" w:sz="4" w:space="0"/>
              <w:right w:val="single" w:color="auto" w:sz="4" w:space="0"/>
            </w:tcBorders>
            <w:shd w:val="clear" w:color="auto" w:fill="D8D8D8"/>
            <w:vAlign w:val="center"/>
          </w:tcPr>
          <w:p w14:paraId="332F9CF3">
            <w:pPr>
              <w:pStyle w:val="30"/>
              <w:snapToGrid w:val="0"/>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评分标准</w:t>
            </w:r>
          </w:p>
        </w:tc>
        <w:tc>
          <w:tcPr>
            <w:tcW w:w="1176" w:type="dxa"/>
            <w:tcBorders>
              <w:top w:val="single" w:color="auto" w:sz="4" w:space="0"/>
              <w:left w:val="single" w:color="auto" w:sz="4" w:space="0"/>
              <w:bottom w:val="single" w:color="auto" w:sz="4" w:space="0"/>
              <w:right w:val="single" w:color="auto" w:sz="4" w:space="0"/>
            </w:tcBorders>
            <w:shd w:val="clear" w:color="auto" w:fill="D8D8D8"/>
            <w:vAlign w:val="center"/>
          </w:tcPr>
          <w:p w14:paraId="44A4EA32">
            <w:pPr>
              <w:pStyle w:val="30"/>
              <w:snapToGrid w:val="0"/>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分值（分）</w:t>
            </w:r>
          </w:p>
        </w:tc>
      </w:tr>
      <w:tr w14:paraId="14BA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14" w:type="dxa"/>
            <w:tcBorders>
              <w:top w:val="single" w:color="auto" w:sz="4" w:space="0"/>
              <w:left w:val="single" w:color="auto" w:sz="4" w:space="0"/>
              <w:right w:val="single" w:color="auto" w:sz="4" w:space="0"/>
            </w:tcBorders>
            <w:vAlign w:val="center"/>
          </w:tcPr>
          <w:p w14:paraId="35428D11">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大数据平台环境搭建</w:t>
            </w:r>
          </w:p>
        </w:tc>
        <w:tc>
          <w:tcPr>
            <w:tcW w:w="1178" w:type="dxa"/>
            <w:tcBorders>
              <w:top w:val="single" w:color="auto" w:sz="4" w:space="0"/>
              <w:left w:val="single" w:color="auto" w:sz="4" w:space="0"/>
              <w:right w:val="single" w:color="auto" w:sz="4" w:space="0"/>
            </w:tcBorders>
            <w:vAlign w:val="center"/>
          </w:tcPr>
          <w:p w14:paraId="552A9C2B">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大数据相关平台组件安装配置</w:t>
            </w:r>
          </w:p>
        </w:tc>
        <w:tc>
          <w:tcPr>
            <w:tcW w:w="2763" w:type="dxa"/>
            <w:tcBorders>
              <w:top w:val="single" w:color="auto" w:sz="4" w:space="0"/>
              <w:left w:val="single" w:color="auto" w:sz="4" w:space="0"/>
              <w:right w:val="single" w:color="auto" w:sz="4" w:space="0"/>
            </w:tcBorders>
            <w:vAlign w:val="center"/>
          </w:tcPr>
          <w:p w14:paraId="5EB5F30A">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基于Docker环境完成Hadoop完全分布式、Spark、Flink、Hive、Kafka、Flume、HBase等的安装配置。</w:t>
            </w:r>
          </w:p>
        </w:tc>
        <w:tc>
          <w:tcPr>
            <w:tcW w:w="2686" w:type="dxa"/>
            <w:tcBorders>
              <w:top w:val="single" w:color="auto" w:sz="4" w:space="0"/>
              <w:left w:val="single" w:color="auto" w:sz="4" w:space="0"/>
              <w:right w:val="single" w:color="auto" w:sz="4" w:space="0"/>
            </w:tcBorders>
            <w:vAlign w:val="center"/>
          </w:tcPr>
          <w:p w14:paraId="0539A32C">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主要评分点包括Hadoop完全分布式安装配置、Spark安装配置、Flink安装配置、Hive安装配置、Kafka安装配置、Flume安装配置、HBase安装配置。</w:t>
            </w:r>
          </w:p>
        </w:tc>
        <w:tc>
          <w:tcPr>
            <w:tcW w:w="1176" w:type="dxa"/>
            <w:tcBorders>
              <w:top w:val="single" w:color="auto" w:sz="4" w:space="0"/>
              <w:left w:val="single" w:color="auto" w:sz="4" w:space="0"/>
              <w:right w:val="single" w:color="auto" w:sz="4" w:space="0"/>
            </w:tcBorders>
            <w:vAlign w:val="center"/>
          </w:tcPr>
          <w:p w14:paraId="0F358EFA">
            <w:pPr>
              <w:pStyle w:val="30"/>
              <w:snapToGrid w:val="0"/>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10</w:t>
            </w:r>
          </w:p>
        </w:tc>
      </w:tr>
      <w:tr w14:paraId="34D2F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14" w:type="dxa"/>
            <w:tcBorders>
              <w:left w:val="single" w:color="auto" w:sz="4" w:space="0"/>
              <w:right w:val="single" w:color="auto" w:sz="4" w:space="0"/>
            </w:tcBorders>
            <w:vAlign w:val="center"/>
          </w:tcPr>
          <w:p w14:paraId="5C222D43">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数据采集</w:t>
            </w:r>
          </w:p>
        </w:tc>
        <w:tc>
          <w:tcPr>
            <w:tcW w:w="1178" w:type="dxa"/>
            <w:tcBorders>
              <w:left w:val="single" w:color="auto" w:sz="4" w:space="0"/>
              <w:right w:val="single" w:color="auto" w:sz="4" w:space="0"/>
            </w:tcBorders>
            <w:vAlign w:val="center"/>
          </w:tcPr>
          <w:p w14:paraId="262F49C5">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离线数据采集、实时数据采集</w:t>
            </w:r>
          </w:p>
        </w:tc>
        <w:tc>
          <w:tcPr>
            <w:tcW w:w="2763" w:type="dxa"/>
            <w:tcBorders>
              <w:top w:val="single" w:color="auto" w:sz="4" w:space="0"/>
              <w:left w:val="single" w:color="auto" w:sz="4" w:space="0"/>
              <w:right w:val="single" w:color="auto" w:sz="4" w:space="0"/>
            </w:tcBorders>
            <w:vAlign w:val="center"/>
          </w:tcPr>
          <w:p w14:paraId="7F2DC9A7">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按照要求基于Scala语言完成特定函数的编写，使用Spark完成离线数据采集；按照要求使用Linux命令，利用Flume、Kafka等工具完成实时数据采集。</w:t>
            </w:r>
          </w:p>
        </w:tc>
        <w:tc>
          <w:tcPr>
            <w:tcW w:w="2686" w:type="dxa"/>
            <w:tcBorders>
              <w:top w:val="single" w:color="auto" w:sz="4" w:space="0"/>
              <w:left w:val="single" w:color="auto" w:sz="4" w:space="0"/>
              <w:right w:val="single" w:color="auto" w:sz="4" w:space="0"/>
            </w:tcBorders>
            <w:vAlign w:val="center"/>
          </w:tcPr>
          <w:p w14:paraId="1A9E09A0">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主要评分点包括Spark数据读取、数据存储、Flume数据采集、Kafka等操作。</w:t>
            </w:r>
          </w:p>
        </w:tc>
        <w:tc>
          <w:tcPr>
            <w:tcW w:w="1176" w:type="dxa"/>
            <w:tcBorders>
              <w:top w:val="single" w:color="auto" w:sz="4" w:space="0"/>
              <w:left w:val="single" w:color="auto" w:sz="4" w:space="0"/>
              <w:right w:val="single" w:color="auto" w:sz="4" w:space="0"/>
            </w:tcBorders>
            <w:vAlign w:val="center"/>
          </w:tcPr>
          <w:p w14:paraId="3BE3FFA4">
            <w:pPr>
              <w:pStyle w:val="30"/>
              <w:snapToGrid w:val="0"/>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15</w:t>
            </w:r>
          </w:p>
        </w:tc>
      </w:tr>
      <w:tr w14:paraId="1A9A9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14" w:type="dxa"/>
            <w:tcBorders>
              <w:left w:val="single" w:color="auto" w:sz="4" w:space="0"/>
              <w:right w:val="single" w:color="auto" w:sz="4" w:space="0"/>
            </w:tcBorders>
            <w:vAlign w:val="center"/>
          </w:tcPr>
          <w:p w14:paraId="1CABB2C4">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实时数据处理</w:t>
            </w:r>
          </w:p>
        </w:tc>
        <w:tc>
          <w:tcPr>
            <w:tcW w:w="1178" w:type="dxa"/>
            <w:tcBorders>
              <w:left w:val="single" w:color="auto" w:sz="4" w:space="0"/>
              <w:right w:val="single" w:color="auto" w:sz="4" w:space="0"/>
            </w:tcBorders>
            <w:vAlign w:val="center"/>
          </w:tcPr>
          <w:p w14:paraId="01F5CBE5">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实时数据处理计算代码编写</w:t>
            </w:r>
          </w:p>
        </w:tc>
        <w:tc>
          <w:tcPr>
            <w:tcW w:w="2763" w:type="dxa"/>
            <w:tcBorders>
              <w:top w:val="single" w:color="auto" w:sz="4" w:space="0"/>
              <w:left w:val="single" w:color="auto" w:sz="4" w:space="0"/>
              <w:right w:val="single" w:color="auto" w:sz="4" w:space="0"/>
            </w:tcBorders>
            <w:vAlign w:val="center"/>
          </w:tcPr>
          <w:p w14:paraId="4D9BB6A1">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使用Scala语言基于Flink完成Kafka中的数据消费，将数据分发至Kafka的dwd层中，并在HBase中进行备份同时建立Hive外表，基于Flink完成相关的数据指标计算并将计算结果存入Redis中。</w:t>
            </w:r>
          </w:p>
        </w:tc>
        <w:tc>
          <w:tcPr>
            <w:tcW w:w="2686" w:type="dxa"/>
            <w:tcBorders>
              <w:top w:val="single" w:color="auto" w:sz="4" w:space="0"/>
              <w:left w:val="single" w:color="auto" w:sz="4" w:space="0"/>
              <w:right w:val="single" w:color="auto" w:sz="4" w:space="0"/>
            </w:tcBorders>
            <w:vAlign w:val="center"/>
          </w:tcPr>
          <w:p w14:paraId="69BA1F4C">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主要评分点包括Flink数据处理、数据指标计算、HBase、Hive、Redis等相关操作。</w:t>
            </w:r>
          </w:p>
        </w:tc>
        <w:tc>
          <w:tcPr>
            <w:tcW w:w="1176" w:type="dxa"/>
            <w:tcBorders>
              <w:top w:val="single" w:color="auto" w:sz="4" w:space="0"/>
              <w:left w:val="single" w:color="auto" w:sz="4" w:space="0"/>
              <w:right w:val="single" w:color="auto" w:sz="4" w:space="0"/>
            </w:tcBorders>
            <w:vAlign w:val="center"/>
          </w:tcPr>
          <w:p w14:paraId="244F8B2A">
            <w:pPr>
              <w:pStyle w:val="30"/>
              <w:snapToGrid w:val="0"/>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25</w:t>
            </w:r>
          </w:p>
        </w:tc>
      </w:tr>
      <w:tr w14:paraId="6F5A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trPr>
        <w:tc>
          <w:tcPr>
            <w:tcW w:w="1014" w:type="dxa"/>
            <w:tcBorders>
              <w:left w:val="single" w:color="auto" w:sz="4" w:space="0"/>
              <w:right w:val="single" w:color="auto" w:sz="4" w:space="0"/>
            </w:tcBorders>
            <w:vAlign w:val="center"/>
          </w:tcPr>
          <w:p w14:paraId="38377488">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离线数据处理</w:t>
            </w:r>
          </w:p>
        </w:tc>
        <w:tc>
          <w:tcPr>
            <w:tcW w:w="1178" w:type="dxa"/>
            <w:tcBorders>
              <w:left w:val="single" w:color="auto" w:sz="4" w:space="0"/>
              <w:right w:val="single" w:color="auto" w:sz="4" w:space="0"/>
            </w:tcBorders>
            <w:vAlign w:val="center"/>
          </w:tcPr>
          <w:p w14:paraId="427E62D8">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离线数据处理计算代码编写</w:t>
            </w:r>
          </w:p>
        </w:tc>
        <w:tc>
          <w:tcPr>
            <w:tcW w:w="2763" w:type="dxa"/>
            <w:tcBorders>
              <w:left w:val="single" w:color="auto" w:sz="4" w:space="0"/>
              <w:right w:val="single" w:color="auto" w:sz="4" w:space="0"/>
            </w:tcBorders>
            <w:vAlign w:val="center"/>
          </w:tcPr>
          <w:p w14:paraId="05A2BF5B">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使用Scala语言基于Spark完成离线数据清洗、处理、计算，包括数据的合并、去重、排序、数据类型转换等并将计算结果存入MySQL、HBase、Hive中。</w:t>
            </w:r>
          </w:p>
        </w:tc>
        <w:tc>
          <w:tcPr>
            <w:tcW w:w="2686" w:type="dxa"/>
            <w:tcBorders>
              <w:top w:val="single" w:color="auto" w:sz="4" w:space="0"/>
              <w:left w:val="single" w:color="auto" w:sz="4" w:space="0"/>
              <w:right w:val="single" w:color="auto" w:sz="4" w:space="0"/>
            </w:tcBorders>
            <w:vAlign w:val="center"/>
          </w:tcPr>
          <w:p w14:paraId="4F93B317">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主要评分点包括基于Spark的数据清洗、数据指标计算、HBase、Hive、MySQL等相关操作。</w:t>
            </w:r>
          </w:p>
        </w:tc>
        <w:tc>
          <w:tcPr>
            <w:tcW w:w="1176" w:type="dxa"/>
            <w:tcBorders>
              <w:top w:val="single" w:color="auto" w:sz="4" w:space="0"/>
              <w:left w:val="single" w:color="auto" w:sz="4" w:space="0"/>
              <w:right w:val="single" w:color="auto" w:sz="4" w:space="0"/>
            </w:tcBorders>
            <w:vAlign w:val="center"/>
          </w:tcPr>
          <w:p w14:paraId="704A5990">
            <w:pPr>
              <w:pStyle w:val="30"/>
              <w:snapToGrid w:val="0"/>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20</w:t>
            </w:r>
          </w:p>
        </w:tc>
      </w:tr>
      <w:tr w14:paraId="55F0F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trPr>
        <w:tc>
          <w:tcPr>
            <w:tcW w:w="1014" w:type="dxa"/>
            <w:tcBorders>
              <w:left w:val="single" w:color="auto" w:sz="4" w:space="0"/>
              <w:right w:val="single" w:color="auto" w:sz="4" w:space="0"/>
            </w:tcBorders>
            <w:vAlign w:val="center"/>
          </w:tcPr>
          <w:p w14:paraId="094AF1EB">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数据可视化</w:t>
            </w:r>
          </w:p>
        </w:tc>
        <w:tc>
          <w:tcPr>
            <w:tcW w:w="1178" w:type="dxa"/>
            <w:tcBorders>
              <w:left w:val="single" w:color="auto" w:sz="4" w:space="0"/>
              <w:right w:val="single" w:color="auto" w:sz="4" w:space="0"/>
            </w:tcBorders>
            <w:vAlign w:val="center"/>
          </w:tcPr>
          <w:p w14:paraId="1B2F6CC3">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数据可视化代码编写</w:t>
            </w:r>
          </w:p>
        </w:tc>
        <w:tc>
          <w:tcPr>
            <w:tcW w:w="2763" w:type="dxa"/>
            <w:tcBorders>
              <w:left w:val="single" w:color="auto" w:sz="4" w:space="0"/>
              <w:right w:val="single" w:color="auto" w:sz="4" w:space="0"/>
            </w:tcBorders>
            <w:vAlign w:val="center"/>
          </w:tcPr>
          <w:p w14:paraId="056C24A6">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编写前端Web界面，调用后台数据接口或</w:t>
            </w:r>
            <w:r>
              <w:rPr>
                <w:rFonts w:hint="eastAsia" w:ascii="仿宋_GB2312" w:hAnsi="仿宋" w:eastAsia="仿宋_GB2312" w:cs="微软雅黑"/>
                <w:snapToGrid w:val="0"/>
                <w:kern w:val="0"/>
                <w:sz w:val="32"/>
                <w:szCs w:val="32"/>
              </w:rPr>
              <w:t>静态数据文件</w:t>
            </w:r>
            <w:r>
              <w:rPr>
                <w:rFonts w:hint="eastAsia" w:ascii="仿宋_GB2312" w:hAnsi="仿宋" w:eastAsia="仿宋_GB2312" w:cs="仿宋_GB2312"/>
                <w:snapToGrid w:val="0"/>
                <w:kern w:val="0"/>
                <w:sz w:val="32"/>
                <w:szCs w:val="32"/>
              </w:rPr>
              <w:t>，使用Vue</w:t>
            </w:r>
            <w:r>
              <w:rPr>
                <w:rFonts w:hint="eastAsia" w:ascii="仿宋_GB2312" w:hAnsi="仿宋" w:eastAsia="仿宋_GB2312" w:cs="Calibri"/>
                <w:snapToGrid w:val="0"/>
                <w:kern w:val="0"/>
                <w:sz w:val="32"/>
                <w:szCs w:val="32"/>
              </w:rPr>
              <w:t>+</w:t>
            </w:r>
            <w:r>
              <w:rPr>
                <w:rFonts w:hint="eastAsia" w:ascii="仿宋_GB2312" w:hAnsi="仿宋" w:eastAsia="仿宋_GB2312" w:cs="仿宋_GB2312"/>
                <w:snapToGrid w:val="0"/>
                <w:kern w:val="0"/>
                <w:sz w:val="32"/>
                <w:szCs w:val="32"/>
              </w:rPr>
              <w:t>ECharts完成数据可视化。</w:t>
            </w:r>
          </w:p>
        </w:tc>
        <w:tc>
          <w:tcPr>
            <w:tcW w:w="2686" w:type="dxa"/>
            <w:tcBorders>
              <w:top w:val="single" w:color="auto" w:sz="4" w:space="0"/>
              <w:left w:val="single" w:color="auto" w:sz="4" w:space="0"/>
              <w:right w:val="single" w:color="auto" w:sz="4" w:space="0"/>
            </w:tcBorders>
            <w:vAlign w:val="center"/>
          </w:tcPr>
          <w:p w14:paraId="20C6A370">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主要评分点包括可视化前端代码开发、前端展示。</w:t>
            </w:r>
          </w:p>
        </w:tc>
        <w:tc>
          <w:tcPr>
            <w:tcW w:w="1176" w:type="dxa"/>
            <w:tcBorders>
              <w:top w:val="single" w:color="auto" w:sz="4" w:space="0"/>
              <w:left w:val="single" w:color="auto" w:sz="4" w:space="0"/>
              <w:right w:val="single" w:color="auto" w:sz="4" w:space="0"/>
            </w:tcBorders>
            <w:vAlign w:val="center"/>
          </w:tcPr>
          <w:p w14:paraId="7F78BCD3">
            <w:pPr>
              <w:pStyle w:val="30"/>
              <w:snapToGrid w:val="0"/>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15</w:t>
            </w:r>
          </w:p>
        </w:tc>
      </w:tr>
      <w:tr w14:paraId="66B68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2" w:hRule="atLeast"/>
        </w:trPr>
        <w:tc>
          <w:tcPr>
            <w:tcW w:w="1014" w:type="dxa"/>
            <w:tcBorders>
              <w:left w:val="single" w:color="auto" w:sz="4" w:space="0"/>
              <w:right w:val="single" w:color="auto" w:sz="4" w:space="0"/>
            </w:tcBorders>
            <w:vAlign w:val="center"/>
          </w:tcPr>
          <w:p w14:paraId="17B096D3">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综合分析报告</w:t>
            </w:r>
          </w:p>
        </w:tc>
        <w:tc>
          <w:tcPr>
            <w:tcW w:w="1178" w:type="dxa"/>
            <w:tcBorders>
              <w:left w:val="single" w:color="auto" w:sz="4" w:space="0"/>
              <w:right w:val="single" w:color="auto" w:sz="4" w:space="0"/>
            </w:tcBorders>
            <w:vAlign w:val="center"/>
          </w:tcPr>
          <w:p w14:paraId="6C96D572">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文档编写</w:t>
            </w:r>
          </w:p>
        </w:tc>
        <w:tc>
          <w:tcPr>
            <w:tcW w:w="2763" w:type="dxa"/>
            <w:tcBorders>
              <w:left w:val="single" w:color="auto" w:sz="4" w:space="0"/>
              <w:right w:val="single" w:color="auto" w:sz="4" w:space="0"/>
            </w:tcBorders>
            <w:vAlign w:val="center"/>
          </w:tcPr>
          <w:p w14:paraId="71876A7A">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根据项目要求，完成综合分析报告编写。</w:t>
            </w:r>
          </w:p>
        </w:tc>
        <w:tc>
          <w:tcPr>
            <w:tcW w:w="2686" w:type="dxa"/>
            <w:tcBorders>
              <w:top w:val="single" w:color="auto" w:sz="4" w:space="0"/>
              <w:left w:val="single" w:color="auto" w:sz="4" w:space="0"/>
              <w:right w:val="single" w:color="auto" w:sz="4" w:space="0"/>
            </w:tcBorders>
            <w:vAlign w:val="center"/>
          </w:tcPr>
          <w:p w14:paraId="730CB218">
            <w:pPr>
              <w:pStyle w:val="30"/>
              <w:snapToGrid w:val="0"/>
              <w:ind w:firstLine="0" w:firstLineChars="0"/>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主要评分点包括能够按照赛项要求进行综合分析。</w:t>
            </w:r>
          </w:p>
        </w:tc>
        <w:tc>
          <w:tcPr>
            <w:tcW w:w="1176" w:type="dxa"/>
            <w:tcBorders>
              <w:top w:val="single" w:color="auto" w:sz="4" w:space="0"/>
              <w:left w:val="single" w:color="auto" w:sz="4" w:space="0"/>
              <w:right w:val="single" w:color="auto" w:sz="4" w:space="0"/>
            </w:tcBorders>
            <w:vAlign w:val="center"/>
          </w:tcPr>
          <w:p w14:paraId="49193296">
            <w:pPr>
              <w:pStyle w:val="30"/>
              <w:snapToGrid w:val="0"/>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10</w:t>
            </w:r>
          </w:p>
        </w:tc>
      </w:tr>
      <w:tr w14:paraId="34D5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014" w:type="dxa"/>
            <w:tcBorders>
              <w:top w:val="single" w:color="auto" w:sz="4" w:space="0"/>
              <w:left w:val="single" w:color="auto" w:sz="4" w:space="0"/>
              <w:bottom w:val="single" w:color="auto" w:sz="4" w:space="0"/>
              <w:right w:val="single" w:color="auto" w:sz="4" w:space="0"/>
            </w:tcBorders>
            <w:vAlign w:val="center"/>
          </w:tcPr>
          <w:p w14:paraId="033307E1">
            <w:pPr>
              <w:pStyle w:val="34"/>
              <w:snapToGrid w:val="0"/>
              <w:spacing w:line="276" w:lineRule="auto"/>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职业素养</w:t>
            </w:r>
          </w:p>
        </w:tc>
        <w:tc>
          <w:tcPr>
            <w:tcW w:w="1178" w:type="dxa"/>
            <w:tcBorders>
              <w:top w:val="single" w:color="auto" w:sz="4" w:space="0"/>
              <w:left w:val="single" w:color="auto" w:sz="4" w:space="0"/>
              <w:bottom w:val="single" w:color="auto" w:sz="4" w:space="0"/>
              <w:right w:val="single" w:color="auto" w:sz="4" w:space="0"/>
            </w:tcBorders>
            <w:vAlign w:val="center"/>
          </w:tcPr>
          <w:p w14:paraId="57C207E5">
            <w:pPr>
              <w:pStyle w:val="34"/>
              <w:snapToGrid w:val="0"/>
              <w:spacing w:line="276" w:lineRule="auto"/>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职业素养</w:t>
            </w:r>
          </w:p>
        </w:tc>
        <w:tc>
          <w:tcPr>
            <w:tcW w:w="2763" w:type="dxa"/>
            <w:tcBorders>
              <w:top w:val="single" w:color="auto" w:sz="4" w:space="0"/>
              <w:left w:val="single" w:color="auto" w:sz="4" w:space="0"/>
              <w:bottom w:val="single" w:color="auto" w:sz="4" w:space="0"/>
              <w:right w:val="single" w:color="auto" w:sz="4" w:space="0"/>
            </w:tcBorders>
            <w:vAlign w:val="center"/>
          </w:tcPr>
          <w:p w14:paraId="49B5CF22">
            <w:pPr>
              <w:pStyle w:val="30"/>
              <w:snapToGrid w:val="0"/>
              <w:ind w:firstLine="0" w:firstLineChars="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团队分工明确合理、操作规范、文明竞赛。</w:t>
            </w:r>
          </w:p>
        </w:tc>
        <w:tc>
          <w:tcPr>
            <w:tcW w:w="2686" w:type="dxa"/>
            <w:tcBorders>
              <w:top w:val="single" w:color="auto" w:sz="4" w:space="0"/>
              <w:left w:val="single" w:color="auto" w:sz="4" w:space="0"/>
              <w:bottom w:val="single" w:color="auto" w:sz="4" w:space="0"/>
              <w:right w:val="single" w:color="auto" w:sz="4" w:space="0"/>
            </w:tcBorders>
            <w:vAlign w:val="center"/>
          </w:tcPr>
          <w:p w14:paraId="5ED82E41">
            <w:pPr>
              <w:pStyle w:val="34"/>
              <w:snapToGrid w:val="0"/>
              <w:spacing w:line="276" w:lineRule="auto"/>
              <w:ind w:firstLine="0" w:firstLineChars="0"/>
              <w:jc w:val="left"/>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主要评分点包括：竞赛团队分工明确合理、操作规范、文明竞赛。</w:t>
            </w:r>
          </w:p>
        </w:tc>
        <w:tc>
          <w:tcPr>
            <w:tcW w:w="1176" w:type="dxa"/>
            <w:tcBorders>
              <w:top w:val="single" w:color="auto" w:sz="4" w:space="0"/>
              <w:left w:val="single" w:color="auto" w:sz="4" w:space="0"/>
              <w:bottom w:val="single" w:color="auto" w:sz="4" w:space="0"/>
              <w:right w:val="single" w:color="auto" w:sz="4" w:space="0"/>
            </w:tcBorders>
            <w:vAlign w:val="center"/>
          </w:tcPr>
          <w:p w14:paraId="26736AD3">
            <w:pPr>
              <w:pStyle w:val="34"/>
              <w:snapToGrid w:val="0"/>
              <w:ind w:firstLine="0" w:firstLineChars="0"/>
              <w:jc w:val="center"/>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w:t>
            </w:r>
          </w:p>
        </w:tc>
      </w:tr>
    </w:tbl>
    <w:p w14:paraId="0FE9261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（五）成绩审核方法</w:t>
      </w:r>
    </w:p>
    <w:p w14:paraId="7E672E59">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bookmarkStart w:id="10" w:name="_Hlk1489623"/>
      <w:r>
        <w:rPr>
          <w:rFonts w:hint="eastAsia" w:ascii="仿宋_GB2312" w:hAnsi="仿宋" w:eastAsia="仿宋_GB2312" w:cs="仿宋_GB2312"/>
          <w:snapToGrid w:val="0"/>
          <w:kern w:val="0"/>
          <w:sz w:val="32"/>
          <w:szCs w:val="32"/>
        </w:rPr>
        <w:t>竞赛结束后，由裁判长向裁判员核实竞赛过程中有无异常。如无异常，成绩单由裁判长签字确认并封存直至公布成绩时开启。</w:t>
      </w:r>
    </w:p>
    <w:p w14:paraId="5769FF0C">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如有异常，在裁判长主持下，由专家组成员、裁判员、仲裁员和监督员共同处理。</w:t>
      </w:r>
      <w:bookmarkEnd w:id="10"/>
    </w:p>
    <w:p w14:paraId="186A4CC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（六）成绩公布方法</w:t>
      </w:r>
    </w:p>
    <w:p w14:paraId="4110F4FE">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bookmarkStart w:id="11" w:name="_Hlk1489632"/>
      <w:r>
        <w:rPr>
          <w:rFonts w:hint="eastAsia" w:ascii="仿宋_GB2312" w:hAnsi="仿宋" w:eastAsia="仿宋_GB2312" w:cs="仿宋_GB2312"/>
          <w:snapToGrid w:val="0"/>
          <w:kern w:val="0"/>
          <w:sz w:val="32"/>
          <w:szCs w:val="32"/>
        </w:rPr>
        <w:t>竞赛成绩经复核无误后，经裁判长、监督人员审核签字后，以赛项组委会最终公布结果为准</w:t>
      </w:r>
    </w:p>
    <w:p w14:paraId="429387AB">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竞赛结束后，如参赛队对比赛成绩有异议，提出异议申诉或仲裁，可按照相关规定进行申诉和仲裁，按照仲裁结果公布竞赛成绩。</w:t>
      </w:r>
      <w:bookmarkEnd w:id="11"/>
    </w:p>
    <w:p w14:paraId="30C88B55">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十一、赛场预案</w:t>
      </w:r>
    </w:p>
    <w:p w14:paraId="1895F80D">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赛场备用工位：赛场提供占总参赛队伍10%的备用工位。</w:t>
      </w:r>
    </w:p>
    <w:p w14:paraId="4C59B8BA">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竞赛系统可靠性：竞赛系统使用的服务器应进行冗余，数据库、存储应使用高可用架构。提前开始运行，经过多次压力测试，由学校组织的真实竞赛环境测试。</w:t>
      </w:r>
    </w:p>
    <w:p w14:paraId="2910A5A4">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竞赛备用服务器：现场提供占总参赛队伍10%的备用服务器。</w:t>
      </w:r>
    </w:p>
    <w:p w14:paraId="7EAF57E5">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现场应急预案详情，如下：</w:t>
      </w:r>
    </w:p>
    <w:p w14:paraId="27CBEBC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（一）服务器问题预案</w:t>
      </w:r>
    </w:p>
    <w:p w14:paraId="5521B179">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若服务器在比赛过程中出现卡顿、死机等情况，参赛选手举手示意裁判，在裁判与技术支持人员确定情况后，可更换服务器。更换服务器的等待时间，可在比赛结束后延时。</w:t>
      </w:r>
    </w:p>
    <w:p w14:paraId="08A249E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（二）交换机问题预案</w:t>
      </w:r>
    </w:p>
    <w:p w14:paraId="54FAA9D7">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若交换机在比赛过程中出现传输速度慢或无故中断等情况，参赛选手举手示意裁判，在裁判与技术支持人员确定情况后，可更换交换机。更换交换机的等待时间，可在比赛结束后延时。</w:t>
      </w:r>
    </w:p>
    <w:p w14:paraId="2F52856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（三）PC机问题预案</w:t>
      </w:r>
    </w:p>
    <w:p w14:paraId="0BD4BAA1">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若PC机在比赛过程中出现死机、蓝屏等现象（重启后无法解决），参赛选手举手示意裁判，在裁判与技术支持人员确定情况后，可更换备用工位或更换PC机进行答题。</w:t>
      </w:r>
    </w:p>
    <w:p w14:paraId="7B086FC7">
      <w:pPr>
        <w:numPr>
          <w:ilvl w:val="0"/>
          <w:numId w:val="0"/>
        </w:numPr>
        <w:snapToGrid w:val="0"/>
        <w:spacing w:line="560" w:lineRule="exact"/>
        <w:ind w:left="643" w:leftChars="0"/>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十二、赛项安全</w:t>
      </w:r>
    </w:p>
    <w:p w14:paraId="0DB51577">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按照《全国职业院校技能大赛安全管理规定》的有关要求，依据申报赛项自身特点，明确所需的安全保障措施。</w:t>
      </w:r>
    </w:p>
    <w:p w14:paraId="7705268E">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（一）成立相应的安全管理机构负责本赛项筹备和比赛期间的各项安全工作，赛项执委会主任为第一责任人；</w:t>
      </w:r>
    </w:p>
    <w:p w14:paraId="1BA51BDC">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（二）制定安全管理的相应规范、流程和突发事件应急预案，保证比赛筹备和实施工作全过程的安全；赛区工位明显位置张贴安全操作须知，列明危险源及和安全操作规程和防范措施；</w:t>
      </w:r>
    </w:p>
    <w:p w14:paraId="282A8D95">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（三）比赛内容涉及的器材、设备应符合国家有关安全规定，并预留有 10%的备赛工位设备；</w:t>
      </w:r>
    </w:p>
    <w:p w14:paraId="03864BA0">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四）赛项执委会在赛前对本赛项全体赛项支持保障人员、裁判员、工作人员进行安全培训，赛项支持保障人员在赛前进行消防安全演练，确保紧急情况下，现场参赛选手和专家紧急撤离，并及时切断配电箱电源开关，保障人员需扑救初期火灾，需掌握初步的人员救护技能；</w:t>
      </w:r>
    </w:p>
    <w:p w14:paraId="520FD8F8">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（五）赛项执委会制定专门方案保证比赛命题、赛题加密、赛题发布、回收和评判过程的安全；</w:t>
      </w:r>
    </w:p>
    <w:p w14:paraId="45038380">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（六）赛项执委会在赛前组织专人对比赛现场、住宿场所和交通保障进行考察，并对安全工作提出明确要求。赛场的布置，赛场内的器材、设备，应符合国家有关安全规定；</w:t>
      </w:r>
    </w:p>
    <w:p w14:paraId="32D8A46F">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（七）赛场周围设立警戒线，防止无关人员进入，发生意外事件。比赛现场内参照相关职业岗位的要求为选手提供必要的劳动保护和医务服务；</w:t>
      </w:r>
    </w:p>
    <w:p w14:paraId="3C29157C">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（八）承办院校应提供保障应急预案实施的条件，明确制度和预案，并配备急救人员与设施；除必要的安全隔离措施外，赛项安全应严格遵守国家相关法律法规，保护个人隐私和人身自由；</w:t>
      </w:r>
    </w:p>
    <w:p w14:paraId="0F2A03C0">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（九）赛项执委会会同承办院校制定开放赛场和体验区的人员疏导方案。赛场环境中存在人员密集、车流人流交错的区域，除了设置齐全的指示标志外，增加引导人员，并开辟备用通道；</w:t>
      </w:r>
    </w:p>
    <w:p w14:paraId="59DE9E16">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（十）比赛期间，赛项承办院校在赛场管理的关键岗位，增加力量，建立安全管理日志；</w:t>
      </w:r>
    </w:p>
    <w:p w14:paraId="4C639AD1">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十一）比赛期间承办校所安排的住宿地应具有宾馆、住宿经营许可资质，保证住宿、卫生、饮食安全，承办院校须尊重少数民族参赛人员的宗教信仰及文化习俗，根据国家相关的民族、宗教政策，安排好少数民族参赛选手和教师的饮食起居；</w:t>
      </w:r>
    </w:p>
    <w:p w14:paraId="24372230">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（十二）比赛期间发生意外事故时，应采取措施，避免事态扩大，赛场、展示区、体验区的现场布置和现场使用时，全域全程禁烟。</w:t>
      </w:r>
    </w:p>
    <w:p w14:paraId="7227523E">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十三、竞赛须知</w:t>
      </w:r>
    </w:p>
    <w:p w14:paraId="698B075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（一）参赛队须知</w:t>
      </w:r>
    </w:p>
    <w:p w14:paraId="15A46C65">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 xml:space="preserve">1.参赛队名称：统一使用规定的学校代表队名称，不使用其他组织、团体的名称； </w:t>
      </w:r>
    </w:p>
    <w:p w14:paraId="5FDF1A7C">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2.参赛队组成：每支参赛队由3名参赛选手组成，须为同校在籍学生，其中队长1名。每支参赛队可配2名指导教师，指导教师须为本校专兼职教师。不接受跨校组队，同一学校的报名参赛队伍不超过3支；</w:t>
      </w:r>
    </w:p>
    <w:p w14:paraId="0D07DEF1">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3.各参赛院校应指定1名负责人任赛项领队，全权负责该校参赛事务的组织、协调和领导工作。</w:t>
      </w:r>
    </w:p>
    <w:p w14:paraId="02007981">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参赛选手及指导教师在报名获得确认后，原则上不再更换。如在筹备过程中，参赛选手和指导教师因故不能参赛，须由其所在学校供职部门于赛项开赛前10个工作日之前出具书面说明，经赛项执委会办公室核实后予以更换。允许队员缺席比赛；允许指导教师缺席比赛。</w:t>
      </w:r>
    </w:p>
    <w:p w14:paraId="6741F4F2">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5.参赛队按照赛项竞赛规程安排，凭赛项执委会颁发的参赛证和有效身份证件参加比赛及相关活动。</w:t>
      </w:r>
    </w:p>
    <w:p w14:paraId="685ED2C3">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6.赛项执委会统一安排各参赛队在比赛前一天进入赛场熟悉环境和设施情况。</w:t>
      </w:r>
    </w:p>
    <w:p w14:paraId="18C8746F">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7.参赛队选手、领队和指导教师要有良好的职业道德，严格遵守比赛规则和比赛纪律，服从裁判，尊重裁判和赛场工作人员，自觉维护赛场秩序。</w:t>
      </w:r>
    </w:p>
    <w:p w14:paraId="5D2787E3">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8.领队应负责赛事活动期间本队所有选手的人身及财产安全，如发现意外事故，应及时向赛项执委会报告。</w:t>
      </w:r>
    </w:p>
    <w:p w14:paraId="5094E6D5">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9.各学校组织代表队时，须为参赛选手购买竞赛期间的人身意外伤害保险。</w:t>
      </w:r>
    </w:p>
    <w:p w14:paraId="7B684B4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（二）领队和指导教师须知</w:t>
      </w:r>
    </w:p>
    <w:p w14:paraId="6B1CAAB9">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1.严格遵守赛场的各项规定，服从裁判，文明竞赛。如发现弄虚作假者，取消参赛资格，名次无效。</w:t>
      </w:r>
    </w:p>
    <w:p w14:paraId="45CE636F">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2.领队和指导教师务必带好有效身份证件，在活动过程中佩戴“指导教师证”参加竞赛相关活动。</w:t>
      </w:r>
    </w:p>
    <w:p w14:paraId="19C96647">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3.各代表队领队要坚决执行竞赛的各项规定，加强对参赛人员的管理，做好赛前准备工作，督促选手带好证件等竞赛相关材料。</w:t>
      </w:r>
    </w:p>
    <w:p w14:paraId="5E657A2C">
      <w:pPr>
        <w:tabs>
          <w:tab w:val="left" w:pos="567"/>
        </w:tabs>
        <w:snapToGrid w:val="0"/>
        <w:spacing w:line="560" w:lineRule="exact"/>
        <w:ind w:firstLine="627" w:firstLineChars="196"/>
        <w:outlineLvl w:val="2"/>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4.在比赛期间要严格遵守比赛规则，不得私自接触裁判人员。</w:t>
      </w:r>
    </w:p>
    <w:p w14:paraId="760CD5A7">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5.竞赛过程中，未经裁判许可，领队、指导教师及其他人员一律不得进入竞赛现场。</w:t>
      </w:r>
    </w:p>
    <w:p w14:paraId="656D688B">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6.如对竞赛过程有疑议，由领队和指导教师负责以书面形式向赛项仲裁委员会反映，但不得影响竞赛进行。</w:t>
      </w:r>
    </w:p>
    <w:p w14:paraId="31508685">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7.对申诉的仲裁结果，领队要带头服从和执行，并做好选手工作。参赛选手不得因申诉或对处理意见不服而停止竞赛，否则以弃权处理。</w:t>
      </w:r>
    </w:p>
    <w:p w14:paraId="794576FA">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8.领队和指导老师应及时查看有关赛项的通知和内容，认真研究和掌握本赛项竞赛的规程、技术规范和赛场要求，指导选手做好赛前的一切技术准备和竞赛准备。</w:t>
      </w:r>
    </w:p>
    <w:p w14:paraId="78F24CC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（三）参赛选手须知</w:t>
      </w:r>
    </w:p>
    <w:p w14:paraId="02786728">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1.参赛选手应严格遵守赛场规章、操作规程和工艺准则，保证人身及设备安全，接受裁判员的监督和警示，文明竞赛。</w:t>
      </w:r>
    </w:p>
    <w:p w14:paraId="601A1C8E">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2.参赛选手应按照规定时间抵达赛场，凭身份证、学生证，以及统一发放的参赛证，完成入场检录、抽签确定竞赛工位号，不得迟到早退。</w:t>
      </w:r>
    </w:p>
    <w:p w14:paraId="64C6682D">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3.参赛选手凭竞赛工位号进入赛场，不允许携带任何电子设备及其他资料、用品。</w:t>
      </w:r>
    </w:p>
    <w:p w14:paraId="2A97691B">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4.参赛选手应在规定的时间段进入赛场，认真核对竞赛工位号，在指定位置就座。</w:t>
      </w:r>
    </w:p>
    <w:p w14:paraId="0DA7F3B9">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5.参赛选手入场后，迅速确认竞赛设备状况，填写相关确认文件，并由参赛队长确认签字（竞赛工位号）。</w:t>
      </w:r>
    </w:p>
    <w:p w14:paraId="7F3DBB8C">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6.参赛选手在收到开赛信号前不得启动操作。在竞赛过程中，确因计算机软件或硬件故障，致使操作无法继续的，经裁判长确认，予以启用备用计算机。</w:t>
      </w:r>
    </w:p>
    <w:p w14:paraId="7E50E4AA">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7.参赛选手应在竞赛规定时间内完成任务书内容，并按照要求，将相应文档拷贝到U盘。</w:t>
      </w:r>
    </w:p>
    <w:p w14:paraId="006142E0">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8.参赛选手需及时保存工作记录。对于因各种原因造成的数据丢失，由参赛选手自行负责。</w:t>
      </w:r>
    </w:p>
    <w:p w14:paraId="2E4F3B41">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9.参赛队所提交的答卷采用竞赛工位号进行标识，不得出现地名、校名、姓名、参赛证编号等信息，否则取消竞赛成绩。</w:t>
      </w:r>
    </w:p>
    <w:p w14:paraId="30A10914">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10.竞赛过程中，因严重操作失误或安全事故不能进行比赛的（例如因操作原因发生短路导致赛场断电的、造成设备不能正常工作的），现场裁判有权中止该队比赛。</w:t>
      </w:r>
    </w:p>
    <w:p w14:paraId="2CE60BAC">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11.在比赛中如遇非人为因素造成的设备故障，经裁判确认后，可向裁判长申请补足排除故障的时间。</w:t>
      </w:r>
    </w:p>
    <w:p w14:paraId="105AA34C">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12. 参赛选手不得因各种原因提前结束比赛。如确因不可抗因素需要离开赛场的，须向现场裁判举手示意，经裁判长许可并完成记录后，方可离开。凡在竞赛期间内提前离开的选手，不得返回赛场。</w:t>
      </w:r>
    </w:p>
    <w:p w14:paraId="00375DF9">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13.竞赛操作结束后，参赛选手需要根据任务书要求，将相关成果文件拷贝至U盘，填写结束比赛相关确认文件，并由参赛队长签字确认（竞赛工位号）。因参赛选手未能按要求，将相应的文档等拷贝至U盘的，竞赛成绩计为零分。</w:t>
      </w:r>
    </w:p>
    <w:p w14:paraId="671CD83F">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14.竞赛时间结束，选手应全体起立，停止操作。将资料和工具整齐摆放在操作平台上，经工作人员清点后可离开赛场，离开赛场时不得带走任何资料。</w:t>
      </w:r>
    </w:p>
    <w:p w14:paraId="58A0CAF8">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15.在竞赛期间，未经执委会批准，参赛选手不得接受其他单位和个人进行的与竞赛内容相关的采访。参赛选手不得将竞赛的相关信息私自公布。</w:t>
      </w:r>
    </w:p>
    <w:p w14:paraId="2B976B67">
      <w:pPr>
        <w:tabs>
          <w:tab w:val="left" w:pos="567"/>
        </w:tabs>
        <w:snapToGrid w:val="0"/>
        <w:spacing w:line="560" w:lineRule="exact"/>
        <w:ind w:firstLine="627" w:firstLineChars="196"/>
        <w:outlineLvl w:val="2"/>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16.符合下列情形之一的参赛选手，经裁判组裁定后中止其竞赛:</w:t>
      </w:r>
    </w:p>
    <w:p w14:paraId="6B002A0E">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（1）不服从裁判员/监考员管理、扰乱赛场秩序、干扰其他参赛选手比赛，裁判员应提出警告，二次警告后无效，或情节特别严重，造成竞赛中止的，经裁判长确认，中止比赛，并取消竞赛资格和竞赛成绩。</w:t>
      </w:r>
    </w:p>
    <w:p w14:paraId="005A3A8C">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（2）竞赛过程中，由于选手人为造成计算机、仪器设备及工具等严重损坏，负责赔偿其损失，并由裁判组裁定其竞赛结束与否、是否保留竞赛资格、是否累计其有效竞赛成绩。</w:t>
      </w:r>
    </w:p>
    <w:p w14:paraId="2084D039">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（3）竞赛过程中，产生重大安全事故、或有产生重大安全事故隐患，经裁判员提示没有采取措施的，裁判员可暂停其竞赛，由裁判组裁定其竞赛结束，保留竞赛资格和有效竞赛成绩。</w:t>
      </w:r>
    </w:p>
    <w:p w14:paraId="2234D98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（四）工作人员须知</w:t>
      </w:r>
    </w:p>
    <w:p w14:paraId="6088CD9A">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1.竞赛现场设现场裁判组，裁判长1名，现场裁判若干名。裁判要秉公裁判，监督检查参赛队安全有序竞赛。如遇疑问或争议，须请示裁判长裁决，裁判长的决定为现场最终裁定。</w:t>
      </w:r>
    </w:p>
    <w:p w14:paraId="7B447F6F">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2.赛场工作人员由赛项执委会统一聘用并进行工作分工，进入竞赛现场须佩戴赛项执委会统一提供的胸牌。</w:t>
      </w:r>
    </w:p>
    <w:p w14:paraId="0DD9B426">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3.赛场工作人员需服从赛项执委会的管理，严格执行赛项各项比赛规则，执行各项工作安排，积极维护好赛场秩序，坚守岗位，为赛场提供有序的服务。</w:t>
      </w:r>
    </w:p>
    <w:p w14:paraId="73E0BBCA">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4.赛场工作人员进入现场，不得携带任何通讯工具或与竞赛无关的物品。</w:t>
      </w:r>
    </w:p>
    <w:p w14:paraId="0F91381C">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5.参赛队进入赛场，现场裁判应按规定审查参赛选手带入赛场的物品，如发现不允许带入赛场的物品，交由参赛队随行人员保管，赛场不提供保管服务。</w:t>
      </w:r>
    </w:p>
    <w:p w14:paraId="51224A3C">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6.赛场工作人员在竞赛过程中不回答选手提出的任何有关比赛技术问题，如遇争议问题，应及时报告裁判长。</w:t>
      </w:r>
    </w:p>
    <w:p w14:paraId="2B86C540">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十四、申诉与仲裁</w:t>
      </w:r>
    </w:p>
    <w:p w14:paraId="6C49FFD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（一）申诉</w:t>
      </w:r>
    </w:p>
    <w:p w14:paraId="6DE8C1E8">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1.参赛队对不符合竞赛规定的设备、工具、软件，有失公正的评判、奖励，以及对工作人员的违规行为等，均可提出申诉。</w:t>
      </w:r>
    </w:p>
    <w:p w14:paraId="1563C337">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申诉应在竞赛结束后2小时内提出，超过时效将不予受理。申诉时，应按照规定的程序由参赛队领队向相应赛项裁判委员会递交书面申诉报告。报告应对申诉事件的现象、发生的时间、涉及到的人员、申诉依据与理由等进行充分、实事求是的叙述。事实依据不充分、仅凭主观臆断的申诉将不予受理。申诉报告须有申诉的参赛选手、领队签名。</w:t>
      </w:r>
    </w:p>
    <w:p w14:paraId="2F44D80B">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3.赛项裁判委员会收到申诉报告后，应根据申诉事由进行审查，2小时内书面通知申诉方，告知申诉处理结果。如受理申诉，要通知申诉方举办听证会的时间和地点；如不受理申诉，要说明理由。</w:t>
      </w:r>
    </w:p>
    <w:p w14:paraId="7F20E746">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4.申诉人不得无故拒不接受处理结果，不允许采取过激行为刁难、攻击工作人员，否则视为放弃申诉。申诉人不满意赛项裁委会的处理结果的，可向赛项仲裁工作组提出复议申请。</w:t>
      </w:r>
    </w:p>
    <w:p w14:paraId="2C555AF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（二）仲裁</w:t>
      </w:r>
    </w:p>
    <w:p w14:paraId="6190B822">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1.2025年海南省职业院校技能大赛（高职组）“大数据应用开发”赛项裁判委员会设仲裁工作组，负责受理竞赛中出现的申诉复议并进行仲裁，以保证竞赛的顺利进行和竞赛结果公平、公正。</w:t>
      </w:r>
    </w:p>
    <w:p w14:paraId="07F4E5D8">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2.仲裁工作组的裁决为最终裁决，参赛队不得因对仲裁处理意见不服而停止比赛或滋事，否则按弃权处理。</w:t>
      </w:r>
    </w:p>
    <w:p w14:paraId="59223BC0">
      <w:pPr>
        <w:keepNext w:val="0"/>
        <w:keepLines w:val="0"/>
        <w:pageBreakBefore w:val="0"/>
        <w:widowControl w:val="0"/>
        <w:numPr>
          <w:ilvl w:val="0"/>
          <w:numId w:val="0"/>
        </w:numPr>
        <w:tabs>
          <w:tab w:val="left" w:pos="567"/>
        </w:tabs>
        <w:kinsoku/>
        <w:wordWrap/>
        <w:overflowPunct/>
        <w:topLinePunct w:val="0"/>
        <w:autoSpaceDE/>
        <w:autoSpaceDN/>
        <w:bidi w:val="0"/>
        <w:adjustRightInd/>
        <w:snapToGrid w:val="0"/>
        <w:spacing w:line="560" w:lineRule="exact"/>
        <w:ind w:left="643" w:leftChars="0"/>
        <w:textAlignment w:val="auto"/>
        <w:outlineLvl w:val="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十五、竞赛观摩</w:t>
      </w:r>
    </w:p>
    <w:p w14:paraId="115B1C0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（一）视频观摩</w:t>
      </w:r>
    </w:p>
    <w:p w14:paraId="6F4E1160">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赛场外设置开放式观摩区，向媒体、企业代表、院校师生等社会公众开放，通过室外大屏幕对赛场进行直播，同时还可以通过竞赛系统进度监控图实时观看选手答题进度。</w:t>
      </w:r>
    </w:p>
    <w:p w14:paraId="20FD86D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（二）组织安排</w:t>
      </w:r>
    </w:p>
    <w:p w14:paraId="392B90D8">
      <w:pPr>
        <w:tabs>
          <w:tab w:val="left" w:pos="567"/>
        </w:tabs>
        <w:snapToGrid w:val="0"/>
        <w:spacing w:line="560" w:lineRule="exact"/>
        <w:ind w:firstLine="627" w:firstLineChars="196"/>
        <w:rPr>
          <w:rFonts w:hint="eastAsia" w:ascii="仿宋_GB2312" w:hAnsi="仿宋" w:eastAsia="仿宋_GB2312" w:cs="楷体"/>
          <w:snapToGrid w:val="0"/>
          <w:kern w:val="0"/>
          <w:sz w:val="32"/>
          <w:szCs w:val="32"/>
        </w:rPr>
      </w:pPr>
      <w:r>
        <w:rPr>
          <w:rFonts w:hint="eastAsia" w:ascii="仿宋_GB2312" w:hAnsi="仿宋" w:eastAsia="仿宋_GB2312" w:cs="楷体"/>
          <w:snapToGrid w:val="0"/>
          <w:kern w:val="0"/>
          <w:sz w:val="32"/>
          <w:szCs w:val="32"/>
        </w:rPr>
        <w:t>在竞赛开始1小时之后，由承办校组织并派人带领媒体、专家、企业代表、院校师生等进入赛场外的开放式观摩区，按照指定路线进行观摩。</w:t>
      </w:r>
    </w:p>
    <w:p w14:paraId="5760900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（三）纪律要求</w:t>
      </w:r>
    </w:p>
    <w:p w14:paraId="2E82230D">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为保证大赛顺利进行，在观摩期间应遵循以下纪律要求：</w:t>
      </w:r>
    </w:p>
    <w:p w14:paraId="518780A4">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1.除与竞赛直接有关工作人员、裁判员、参赛选手外，其余人员均为观摩观众。</w:t>
      </w:r>
    </w:p>
    <w:p w14:paraId="565EE207">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2.不得违反职业院校技能大赛规定的各项纪律。</w:t>
      </w:r>
    </w:p>
    <w:p w14:paraId="11120734">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3.观摩人员需批准，佩戴观摩证件，遵循观摩区的工作人员指挥。</w:t>
      </w:r>
    </w:p>
    <w:p w14:paraId="7BAB1580">
      <w:pPr>
        <w:tabs>
          <w:tab w:val="left" w:pos="567"/>
        </w:tabs>
        <w:snapToGrid w:val="0"/>
        <w:spacing w:line="560" w:lineRule="exact"/>
        <w:ind w:firstLine="627" w:firstLineChars="196"/>
        <w:rPr>
          <w:rFonts w:hint="eastAsia" w:ascii="仿宋_GB2312" w:hAnsi="仿宋" w:eastAsia="仿宋_GB2312" w:cs="仿宋_GB2312"/>
          <w:snapToGrid w:val="0"/>
          <w:kern w:val="0"/>
          <w:sz w:val="32"/>
          <w:szCs w:val="32"/>
        </w:rPr>
      </w:pPr>
      <w:r>
        <w:rPr>
          <w:rFonts w:hint="eastAsia" w:ascii="仿宋_GB2312" w:hAnsi="仿宋" w:eastAsia="仿宋_GB2312" w:cs="仿宋_GB2312"/>
          <w:snapToGrid w:val="0"/>
          <w:kern w:val="0"/>
          <w:sz w:val="32"/>
          <w:szCs w:val="32"/>
        </w:rPr>
        <w:t>4.文明观摩，保持观摩区清洁，不得大声喧哗，杜绝各种违反观摩秩序的不文明行为。</w:t>
      </w:r>
    </w:p>
    <w:sectPr>
      <w:footerReference r:id="rId3" w:type="default"/>
      <w:footerReference r:id="rId4" w:type="even"/>
      <w:pgSz w:w="11906" w:h="16838"/>
      <w:pgMar w:top="1440" w:right="1797" w:bottom="1440" w:left="1797"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AFFE9E6-DC40-485B-AE7D-B1A89F902B7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CDA18A93-8A03-40F6-9C9B-5B8028DEF21A}"/>
  </w:font>
  <w:font w:name="仿宋_GB2312">
    <w:panose1 w:val="02010609030101010101"/>
    <w:charset w:val="86"/>
    <w:family w:val="modern"/>
    <w:pitch w:val="default"/>
    <w:sig w:usb0="00000001" w:usb1="080E0000" w:usb2="00000000" w:usb3="00000000" w:csb0="00040000" w:csb1="00000000"/>
    <w:embedRegular r:id="rId3" w:fontKey="{97615C29-FB32-41FD-992E-70AE1DFC2E4A}"/>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embedRegular r:id="rId4" w:fontKey="{1142EA0C-7860-4E77-83E2-704E9CEB0A76}"/>
  </w:font>
  <w:font w:name="方正小标宋_GBK">
    <w:panose1 w:val="02000000000000000000"/>
    <w:charset w:val="86"/>
    <w:family w:val="auto"/>
    <w:pitch w:val="default"/>
    <w:sig w:usb0="A00002BF" w:usb1="38CF7CFA" w:usb2="00082016" w:usb3="00000000" w:csb0="00040001" w:csb1="00000000"/>
    <w:embedRegular r:id="rId5" w:fontKey="{D2116481-2D6D-488E-8B3C-C079BA1C93A2}"/>
  </w:font>
  <w:font w:name="楷体_GB2312">
    <w:altName w:val="楷体"/>
    <w:panose1 w:val="02010609030101010101"/>
    <w:charset w:val="86"/>
    <w:family w:val="modern"/>
    <w:pitch w:val="default"/>
    <w:sig w:usb0="00000000" w:usb1="00000000" w:usb2="00000010" w:usb3="00000000" w:csb0="00040000" w:csb1="00000000"/>
    <w:embedRegular r:id="rId6" w:fontKey="{DC2FD8FB-4B21-4BE3-B397-CF51CC29FB4F}"/>
  </w:font>
  <w:font w:name="楷体">
    <w:panose1 w:val="02010609060101010101"/>
    <w:charset w:val="86"/>
    <w:family w:val="modern"/>
    <w:pitch w:val="default"/>
    <w:sig w:usb0="800002BF" w:usb1="38CF7CFA" w:usb2="00000016" w:usb3="00000000" w:csb0="00040001" w:csb1="00000000"/>
    <w:embedRegular r:id="rId7" w:fontKey="{81BA72E9-6DA2-42AB-A346-8F76FECF1982}"/>
  </w:font>
  <w:font w:name="仿宋">
    <w:panose1 w:val="02010609060101010101"/>
    <w:charset w:val="86"/>
    <w:family w:val="modern"/>
    <w:pitch w:val="default"/>
    <w:sig w:usb0="800002BF" w:usb1="38CF7CFA" w:usb2="00000016" w:usb3="00000000" w:csb0="00040001" w:csb1="00000000"/>
    <w:embedRegular r:id="rId8" w:fontKey="{EC84856F-24EC-47E8-BD04-C292873E0A55}"/>
  </w:font>
  <w:font w:name="___WRD_EMBED_SUB_50">
    <w:altName w:val="微软雅黑"/>
    <w:panose1 w:val="00000000000000000000"/>
    <w:charset w:val="86"/>
    <w:family w:val="auto"/>
    <w:pitch w:val="default"/>
    <w:sig w:usb0="00000000" w:usb1="00000000" w:usb2="00000016" w:usb3="00000000" w:csb0="00040001" w:csb1="00000000"/>
    <w:embedRegular r:id="rId9" w:fontKey="{D99157E1-A83F-4BBD-A20E-0EDE25314CB0}"/>
  </w:font>
  <w:font w:name="Cambria Math">
    <w:panose1 w:val="02040503050406030204"/>
    <w:charset w:val="00"/>
    <w:family w:val="roman"/>
    <w:pitch w:val="default"/>
    <w:sig w:usb0="E00006FF" w:usb1="420024FF" w:usb2="02000000" w:usb3="00000000" w:csb0="2000019F" w:csb1="00000000"/>
    <w:embedRegular r:id="rId10" w:fontKey="{63204210-D670-4584-AB5A-B44B3A946D0A}"/>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F29D5">
    <w:pPr>
      <w:pStyle w:val="8"/>
      <w:framePr w:wrap="around" w:vAnchor="text" w:hAnchor="margin" w:xAlign="center" w:y="1"/>
      <w:rPr>
        <w:rStyle w:val="16"/>
      </w:rPr>
    </w:pPr>
    <w:r>
      <w:fldChar w:fldCharType="begin"/>
    </w:r>
    <w:r>
      <w:rPr>
        <w:rStyle w:val="16"/>
      </w:rPr>
      <w:instrText xml:space="preserve">PAGE  </w:instrText>
    </w:r>
    <w:r>
      <w:fldChar w:fldCharType="separate"/>
    </w:r>
    <w:r>
      <w:rPr>
        <w:rStyle w:val="16"/>
      </w:rPr>
      <w:t>25</w:t>
    </w:r>
    <w:r>
      <w:fldChar w:fldCharType="end"/>
    </w:r>
  </w:p>
  <w:p w14:paraId="2AC4B888">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6A06C">
    <w:pPr>
      <w:pStyle w:val="8"/>
      <w:framePr w:wrap="around" w:vAnchor="text" w:hAnchor="margin" w:xAlign="center" w:y="1"/>
      <w:rPr>
        <w:rStyle w:val="16"/>
      </w:rPr>
    </w:pPr>
    <w:r>
      <w:fldChar w:fldCharType="begin"/>
    </w:r>
    <w:r>
      <w:rPr>
        <w:rStyle w:val="16"/>
      </w:rPr>
      <w:instrText xml:space="preserve">PAGE  </w:instrText>
    </w:r>
    <w:r>
      <w:fldChar w:fldCharType="end"/>
    </w:r>
  </w:p>
  <w:p w14:paraId="1AD53D9B">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VhOTJkZjZmY2VhOWNmOWYxOWE5YTI5MGQyYjg2ZDAifQ=="/>
  </w:docVars>
  <w:rsids>
    <w:rsidRoot w:val="007A168C"/>
    <w:rsid w:val="0000069D"/>
    <w:rsid w:val="00002BF4"/>
    <w:rsid w:val="00006C2C"/>
    <w:rsid w:val="00007550"/>
    <w:rsid w:val="00010A65"/>
    <w:rsid w:val="0001144D"/>
    <w:rsid w:val="000160DB"/>
    <w:rsid w:val="0002571D"/>
    <w:rsid w:val="00035D45"/>
    <w:rsid w:val="000412F6"/>
    <w:rsid w:val="000413B8"/>
    <w:rsid w:val="0004148A"/>
    <w:rsid w:val="00042048"/>
    <w:rsid w:val="00042C41"/>
    <w:rsid w:val="00044AC4"/>
    <w:rsid w:val="00045B24"/>
    <w:rsid w:val="000555CF"/>
    <w:rsid w:val="00055EE5"/>
    <w:rsid w:val="00062721"/>
    <w:rsid w:val="0006296D"/>
    <w:rsid w:val="00072CA8"/>
    <w:rsid w:val="00077095"/>
    <w:rsid w:val="0007742A"/>
    <w:rsid w:val="00091617"/>
    <w:rsid w:val="00093429"/>
    <w:rsid w:val="0009555F"/>
    <w:rsid w:val="000A0277"/>
    <w:rsid w:val="000A6259"/>
    <w:rsid w:val="000B0347"/>
    <w:rsid w:val="000B1098"/>
    <w:rsid w:val="000B298D"/>
    <w:rsid w:val="000B50D5"/>
    <w:rsid w:val="000B79B3"/>
    <w:rsid w:val="000C0428"/>
    <w:rsid w:val="000C5CEF"/>
    <w:rsid w:val="000D12A7"/>
    <w:rsid w:val="000D3E1A"/>
    <w:rsid w:val="000E1E33"/>
    <w:rsid w:val="000E21CF"/>
    <w:rsid w:val="000E22F1"/>
    <w:rsid w:val="000E3F75"/>
    <w:rsid w:val="000E4B14"/>
    <w:rsid w:val="000F0D76"/>
    <w:rsid w:val="000F1F3D"/>
    <w:rsid w:val="000F301C"/>
    <w:rsid w:val="000F7BD0"/>
    <w:rsid w:val="00101976"/>
    <w:rsid w:val="001027E6"/>
    <w:rsid w:val="001111B1"/>
    <w:rsid w:val="0011245C"/>
    <w:rsid w:val="00112571"/>
    <w:rsid w:val="001138F8"/>
    <w:rsid w:val="001319A2"/>
    <w:rsid w:val="00131CFC"/>
    <w:rsid w:val="001333D2"/>
    <w:rsid w:val="00133D2A"/>
    <w:rsid w:val="00136159"/>
    <w:rsid w:val="00137A10"/>
    <w:rsid w:val="00142381"/>
    <w:rsid w:val="00150C04"/>
    <w:rsid w:val="001533F2"/>
    <w:rsid w:val="0015376C"/>
    <w:rsid w:val="00154358"/>
    <w:rsid w:val="001544EB"/>
    <w:rsid w:val="001548C1"/>
    <w:rsid w:val="00156D8D"/>
    <w:rsid w:val="001603ED"/>
    <w:rsid w:val="00160416"/>
    <w:rsid w:val="001607D8"/>
    <w:rsid w:val="00161C0A"/>
    <w:rsid w:val="0016469B"/>
    <w:rsid w:val="00165A2A"/>
    <w:rsid w:val="00165C7C"/>
    <w:rsid w:val="00165CE3"/>
    <w:rsid w:val="0017069C"/>
    <w:rsid w:val="00170C1B"/>
    <w:rsid w:val="00170DFE"/>
    <w:rsid w:val="001732F8"/>
    <w:rsid w:val="00173CB1"/>
    <w:rsid w:val="00173F41"/>
    <w:rsid w:val="00181C7E"/>
    <w:rsid w:val="001829D5"/>
    <w:rsid w:val="0018340C"/>
    <w:rsid w:val="00184B53"/>
    <w:rsid w:val="001857E7"/>
    <w:rsid w:val="00187FE2"/>
    <w:rsid w:val="001913A8"/>
    <w:rsid w:val="001960DE"/>
    <w:rsid w:val="001961E5"/>
    <w:rsid w:val="001979A6"/>
    <w:rsid w:val="001A1280"/>
    <w:rsid w:val="001A56D0"/>
    <w:rsid w:val="001A5AE5"/>
    <w:rsid w:val="001A6EB0"/>
    <w:rsid w:val="001A6FCC"/>
    <w:rsid w:val="001A74E5"/>
    <w:rsid w:val="001B09F4"/>
    <w:rsid w:val="001B1240"/>
    <w:rsid w:val="001B1948"/>
    <w:rsid w:val="001B3ED2"/>
    <w:rsid w:val="001B524D"/>
    <w:rsid w:val="001B639D"/>
    <w:rsid w:val="001C1D43"/>
    <w:rsid w:val="001C3A5B"/>
    <w:rsid w:val="001C45B3"/>
    <w:rsid w:val="001C76AF"/>
    <w:rsid w:val="001D16B5"/>
    <w:rsid w:val="001D283D"/>
    <w:rsid w:val="001D7223"/>
    <w:rsid w:val="001D7E1C"/>
    <w:rsid w:val="001E0CCA"/>
    <w:rsid w:val="001E4836"/>
    <w:rsid w:val="001E6E96"/>
    <w:rsid w:val="001E78A4"/>
    <w:rsid w:val="001F074B"/>
    <w:rsid w:val="001F10C3"/>
    <w:rsid w:val="001F255B"/>
    <w:rsid w:val="001F2A60"/>
    <w:rsid w:val="001F3BFC"/>
    <w:rsid w:val="001F433A"/>
    <w:rsid w:val="001F51F4"/>
    <w:rsid w:val="001F692E"/>
    <w:rsid w:val="001F6FBC"/>
    <w:rsid w:val="00200BC6"/>
    <w:rsid w:val="00206A1B"/>
    <w:rsid w:val="0020769F"/>
    <w:rsid w:val="00207898"/>
    <w:rsid w:val="0021125D"/>
    <w:rsid w:val="00214C72"/>
    <w:rsid w:val="00216DF3"/>
    <w:rsid w:val="0021721D"/>
    <w:rsid w:val="00223375"/>
    <w:rsid w:val="002237AE"/>
    <w:rsid w:val="0022473B"/>
    <w:rsid w:val="00227CDF"/>
    <w:rsid w:val="002309CD"/>
    <w:rsid w:val="00234108"/>
    <w:rsid w:val="00235C17"/>
    <w:rsid w:val="0024089B"/>
    <w:rsid w:val="00240BB2"/>
    <w:rsid w:val="0024227E"/>
    <w:rsid w:val="002434E6"/>
    <w:rsid w:val="00243715"/>
    <w:rsid w:val="00244E89"/>
    <w:rsid w:val="002463B5"/>
    <w:rsid w:val="002476F7"/>
    <w:rsid w:val="002538D6"/>
    <w:rsid w:val="00253ED9"/>
    <w:rsid w:val="0025506B"/>
    <w:rsid w:val="00260079"/>
    <w:rsid w:val="002703BF"/>
    <w:rsid w:val="00274BA4"/>
    <w:rsid w:val="00274BD7"/>
    <w:rsid w:val="002761F2"/>
    <w:rsid w:val="00276E33"/>
    <w:rsid w:val="002804AE"/>
    <w:rsid w:val="00280E15"/>
    <w:rsid w:val="00284E57"/>
    <w:rsid w:val="00292C57"/>
    <w:rsid w:val="00293DCC"/>
    <w:rsid w:val="002A1B51"/>
    <w:rsid w:val="002A3C1D"/>
    <w:rsid w:val="002A68D0"/>
    <w:rsid w:val="002B069D"/>
    <w:rsid w:val="002B192B"/>
    <w:rsid w:val="002B2201"/>
    <w:rsid w:val="002B2240"/>
    <w:rsid w:val="002B30D8"/>
    <w:rsid w:val="002B4C30"/>
    <w:rsid w:val="002C449D"/>
    <w:rsid w:val="002C5D0F"/>
    <w:rsid w:val="002D0DC0"/>
    <w:rsid w:val="002D1E2E"/>
    <w:rsid w:val="002E052C"/>
    <w:rsid w:val="002E527C"/>
    <w:rsid w:val="002E6E57"/>
    <w:rsid w:val="002E7B46"/>
    <w:rsid w:val="002F0685"/>
    <w:rsid w:val="002F27C6"/>
    <w:rsid w:val="002F3F1B"/>
    <w:rsid w:val="002F4E4E"/>
    <w:rsid w:val="002F5194"/>
    <w:rsid w:val="00302A1A"/>
    <w:rsid w:val="00304374"/>
    <w:rsid w:val="003049F2"/>
    <w:rsid w:val="00306005"/>
    <w:rsid w:val="00313EAC"/>
    <w:rsid w:val="00314B3D"/>
    <w:rsid w:val="00315F19"/>
    <w:rsid w:val="003262A3"/>
    <w:rsid w:val="00333193"/>
    <w:rsid w:val="00333369"/>
    <w:rsid w:val="00335E49"/>
    <w:rsid w:val="0033653C"/>
    <w:rsid w:val="003451CD"/>
    <w:rsid w:val="00345A72"/>
    <w:rsid w:val="00350F7A"/>
    <w:rsid w:val="00351908"/>
    <w:rsid w:val="00357C89"/>
    <w:rsid w:val="00361EB9"/>
    <w:rsid w:val="003630D8"/>
    <w:rsid w:val="00363269"/>
    <w:rsid w:val="003755C5"/>
    <w:rsid w:val="003757FB"/>
    <w:rsid w:val="00380680"/>
    <w:rsid w:val="00382431"/>
    <w:rsid w:val="0038650D"/>
    <w:rsid w:val="00390C10"/>
    <w:rsid w:val="00394565"/>
    <w:rsid w:val="0039604F"/>
    <w:rsid w:val="00397A33"/>
    <w:rsid w:val="003A18BA"/>
    <w:rsid w:val="003A1DFD"/>
    <w:rsid w:val="003A2851"/>
    <w:rsid w:val="003A2F6C"/>
    <w:rsid w:val="003A348C"/>
    <w:rsid w:val="003A3818"/>
    <w:rsid w:val="003A5C2E"/>
    <w:rsid w:val="003A5DF5"/>
    <w:rsid w:val="003A644E"/>
    <w:rsid w:val="003A6F33"/>
    <w:rsid w:val="003A7CBE"/>
    <w:rsid w:val="003B0D35"/>
    <w:rsid w:val="003B14CE"/>
    <w:rsid w:val="003B5BEE"/>
    <w:rsid w:val="003B6719"/>
    <w:rsid w:val="003B6C75"/>
    <w:rsid w:val="003C07BB"/>
    <w:rsid w:val="003C1D51"/>
    <w:rsid w:val="003C3F76"/>
    <w:rsid w:val="003C4943"/>
    <w:rsid w:val="003C5685"/>
    <w:rsid w:val="003C78E3"/>
    <w:rsid w:val="003D3C26"/>
    <w:rsid w:val="003D70DF"/>
    <w:rsid w:val="003E02C1"/>
    <w:rsid w:val="003E2069"/>
    <w:rsid w:val="003E28A2"/>
    <w:rsid w:val="003E32FF"/>
    <w:rsid w:val="003E3702"/>
    <w:rsid w:val="003E5E7A"/>
    <w:rsid w:val="003E7D36"/>
    <w:rsid w:val="003F0F29"/>
    <w:rsid w:val="003F29DA"/>
    <w:rsid w:val="003F3508"/>
    <w:rsid w:val="003F551B"/>
    <w:rsid w:val="003F7B3B"/>
    <w:rsid w:val="00402E3B"/>
    <w:rsid w:val="00406139"/>
    <w:rsid w:val="0040735B"/>
    <w:rsid w:val="00410854"/>
    <w:rsid w:val="00411804"/>
    <w:rsid w:val="00412253"/>
    <w:rsid w:val="00412AE6"/>
    <w:rsid w:val="004160ED"/>
    <w:rsid w:val="00420D54"/>
    <w:rsid w:val="0042448E"/>
    <w:rsid w:val="00426E62"/>
    <w:rsid w:val="00426F75"/>
    <w:rsid w:val="004272AF"/>
    <w:rsid w:val="0043230E"/>
    <w:rsid w:val="004324C3"/>
    <w:rsid w:val="00445262"/>
    <w:rsid w:val="004467F7"/>
    <w:rsid w:val="00447EC5"/>
    <w:rsid w:val="00455526"/>
    <w:rsid w:val="004564F2"/>
    <w:rsid w:val="0045707B"/>
    <w:rsid w:val="00460F49"/>
    <w:rsid w:val="0046352D"/>
    <w:rsid w:val="00463890"/>
    <w:rsid w:val="00465CF6"/>
    <w:rsid w:val="00471F0A"/>
    <w:rsid w:val="00472B38"/>
    <w:rsid w:val="0047333E"/>
    <w:rsid w:val="004739B1"/>
    <w:rsid w:val="00476A96"/>
    <w:rsid w:val="004921E4"/>
    <w:rsid w:val="004927BC"/>
    <w:rsid w:val="00493399"/>
    <w:rsid w:val="0049519E"/>
    <w:rsid w:val="0049570E"/>
    <w:rsid w:val="00497056"/>
    <w:rsid w:val="0049798E"/>
    <w:rsid w:val="004A5751"/>
    <w:rsid w:val="004A6D24"/>
    <w:rsid w:val="004A7B5E"/>
    <w:rsid w:val="004B32D2"/>
    <w:rsid w:val="004B5866"/>
    <w:rsid w:val="004B73E3"/>
    <w:rsid w:val="004B7A79"/>
    <w:rsid w:val="004C197F"/>
    <w:rsid w:val="004C258D"/>
    <w:rsid w:val="004C5BE0"/>
    <w:rsid w:val="004C66F7"/>
    <w:rsid w:val="004D38FE"/>
    <w:rsid w:val="004D7B9E"/>
    <w:rsid w:val="004E0930"/>
    <w:rsid w:val="004E3F95"/>
    <w:rsid w:val="004E4065"/>
    <w:rsid w:val="004F09D3"/>
    <w:rsid w:val="004F120B"/>
    <w:rsid w:val="004F46B8"/>
    <w:rsid w:val="004F657B"/>
    <w:rsid w:val="004F6B07"/>
    <w:rsid w:val="004F7E11"/>
    <w:rsid w:val="005002E8"/>
    <w:rsid w:val="005004F4"/>
    <w:rsid w:val="00501256"/>
    <w:rsid w:val="00502281"/>
    <w:rsid w:val="00502990"/>
    <w:rsid w:val="00503CEE"/>
    <w:rsid w:val="005050F6"/>
    <w:rsid w:val="005108C2"/>
    <w:rsid w:val="00512D38"/>
    <w:rsid w:val="00514597"/>
    <w:rsid w:val="00515B4D"/>
    <w:rsid w:val="00516447"/>
    <w:rsid w:val="00521878"/>
    <w:rsid w:val="00521F9C"/>
    <w:rsid w:val="00522D40"/>
    <w:rsid w:val="00524238"/>
    <w:rsid w:val="00525297"/>
    <w:rsid w:val="00526626"/>
    <w:rsid w:val="00530218"/>
    <w:rsid w:val="005317D3"/>
    <w:rsid w:val="00531B23"/>
    <w:rsid w:val="00537711"/>
    <w:rsid w:val="00537ABB"/>
    <w:rsid w:val="00543328"/>
    <w:rsid w:val="0054369F"/>
    <w:rsid w:val="005512F7"/>
    <w:rsid w:val="00553E2A"/>
    <w:rsid w:val="00560146"/>
    <w:rsid w:val="00562813"/>
    <w:rsid w:val="005630F9"/>
    <w:rsid w:val="00564756"/>
    <w:rsid w:val="00564E83"/>
    <w:rsid w:val="00566407"/>
    <w:rsid w:val="00567126"/>
    <w:rsid w:val="005707A1"/>
    <w:rsid w:val="005726F7"/>
    <w:rsid w:val="00572C2E"/>
    <w:rsid w:val="00573791"/>
    <w:rsid w:val="005739C4"/>
    <w:rsid w:val="00580155"/>
    <w:rsid w:val="00586DAB"/>
    <w:rsid w:val="00587805"/>
    <w:rsid w:val="00587B43"/>
    <w:rsid w:val="005946BD"/>
    <w:rsid w:val="00594B3A"/>
    <w:rsid w:val="005A1E78"/>
    <w:rsid w:val="005A4511"/>
    <w:rsid w:val="005A5164"/>
    <w:rsid w:val="005B1532"/>
    <w:rsid w:val="005B2C55"/>
    <w:rsid w:val="005B7758"/>
    <w:rsid w:val="005B77FF"/>
    <w:rsid w:val="005C0D4F"/>
    <w:rsid w:val="005C0F9B"/>
    <w:rsid w:val="005C3BAA"/>
    <w:rsid w:val="005D1220"/>
    <w:rsid w:val="005D40B4"/>
    <w:rsid w:val="005D4ED5"/>
    <w:rsid w:val="005E01FC"/>
    <w:rsid w:val="005E12D3"/>
    <w:rsid w:val="005E2896"/>
    <w:rsid w:val="005E7778"/>
    <w:rsid w:val="005F02CF"/>
    <w:rsid w:val="005F4F48"/>
    <w:rsid w:val="00600090"/>
    <w:rsid w:val="0060216C"/>
    <w:rsid w:val="0060245E"/>
    <w:rsid w:val="00602E35"/>
    <w:rsid w:val="006041CC"/>
    <w:rsid w:val="006060F6"/>
    <w:rsid w:val="00607A40"/>
    <w:rsid w:val="00610D6F"/>
    <w:rsid w:val="0061213A"/>
    <w:rsid w:val="00623B24"/>
    <w:rsid w:val="00626317"/>
    <w:rsid w:val="006268C1"/>
    <w:rsid w:val="00630925"/>
    <w:rsid w:val="00632756"/>
    <w:rsid w:val="00634F26"/>
    <w:rsid w:val="00635EB2"/>
    <w:rsid w:val="0063701F"/>
    <w:rsid w:val="0064288C"/>
    <w:rsid w:val="00644559"/>
    <w:rsid w:val="00644AC8"/>
    <w:rsid w:val="00644C50"/>
    <w:rsid w:val="00656C4C"/>
    <w:rsid w:val="00661C80"/>
    <w:rsid w:val="00663410"/>
    <w:rsid w:val="00664F77"/>
    <w:rsid w:val="00665EC7"/>
    <w:rsid w:val="00667485"/>
    <w:rsid w:val="006705D1"/>
    <w:rsid w:val="00671BD1"/>
    <w:rsid w:val="006735AC"/>
    <w:rsid w:val="006767DC"/>
    <w:rsid w:val="0068031F"/>
    <w:rsid w:val="00680864"/>
    <w:rsid w:val="0068130B"/>
    <w:rsid w:val="00684E52"/>
    <w:rsid w:val="00687C7C"/>
    <w:rsid w:val="00692E08"/>
    <w:rsid w:val="00693620"/>
    <w:rsid w:val="00694E3A"/>
    <w:rsid w:val="006A32EB"/>
    <w:rsid w:val="006B1859"/>
    <w:rsid w:val="006B7E81"/>
    <w:rsid w:val="006C05B1"/>
    <w:rsid w:val="006C0AAD"/>
    <w:rsid w:val="006C1D31"/>
    <w:rsid w:val="006C6ED0"/>
    <w:rsid w:val="006D1B22"/>
    <w:rsid w:val="006D3611"/>
    <w:rsid w:val="006E519F"/>
    <w:rsid w:val="006F058E"/>
    <w:rsid w:val="006F0AE3"/>
    <w:rsid w:val="006F0C7D"/>
    <w:rsid w:val="006F340A"/>
    <w:rsid w:val="00700833"/>
    <w:rsid w:val="007019C6"/>
    <w:rsid w:val="007021F4"/>
    <w:rsid w:val="00702EDD"/>
    <w:rsid w:val="00702F05"/>
    <w:rsid w:val="00704D9B"/>
    <w:rsid w:val="00705373"/>
    <w:rsid w:val="0071040D"/>
    <w:rsid w:val="0071042D"/>
    <w:rsid w:val="007108F6"/>
    <w:rsid w:val="007109C8"/>
    <w:rsid w:val="00714956"/>
    <w:rsid w:val="00714B9E"/>
    <w:rsid w:val="00715211"/>
    <w:rsid w:val="007200E5"/>
    <w:rsid w:val="00720A21"/>
    <w:rsid w:val="00721766"/>
    <w:rsid w:val="00725368"/>
    <w:rsid w:val="007268B8"/>
    <w:rsid w:val="0072774F"/>
    <w:rsid w:val="0073219A"/>
    <w:rsid w:val="007350F1"/>
    <w:rsid w:val="00735F3E"/>
    <w:rsid w:val="00741150"/>
    <w:rsid w:val="007434AC"/>
    <w:rsid w:val="0074749C"/>
    <w:rsid w:val="00750941"/>
    <w:rsid w:val="00752429"/>
    <w:rsid w:val="00761470"/>
    <w:rsid w:val="007644B8"/>
    <w:rsid w:val="00770492"/>
    <w:rsid w:val="00771890"/>
    <w:rsid w:val="00775D1D"/>
    <w:rsid w:val="007823D6"/>
    <w:rsid w:val="00783615"/>
    <w:rsid w:val="00784BC5"/>
    <w:rsid w:val="00786AD6"/>
    <w:rsid w:val="0079239D"/>
    <w:rsid w:val="00792C4F"/>
    <w:rsid w:val="00794A68"/>
    <w:rsid w:val="007A168C"/>
    <w:rsid w:val="007A39FE"/>
    <w:rsid w:val="007A7022"/>
    <w:rsid w:val="007A76CA"/>
    <w:rsid w:val="007A7CF8"/>
    <w:rsid w:val="007B5FB4"/>
    <w:rsid w:val="007B6E65"/>
    <w:rsid w:val="007C0C89"/>
    <w:rsid w:val="007C2B42"/>
    <w:rsid w:val="007C2D8F"/>
    <w:rsid w:val="007C4227"/>
    <w:rsid w:val="007C6062"/>
    <w:rsid w:val="007C6B3A"/>
    <w:rsid w:val="007D36AD"/>
    <w:rsid w:val="007D4FE1"/>
    <w:rsid w:val="007E1E30"/>
    <w:rsid w:val="007E1FEE"/>
    <w:rsid w:val="007E515E"/>
    <w:rsid w:val="007E7317"/>
    <w:rsid w:val="007E7D4F"/>
    <w:rsid w:val="007F2B8B"/>
    <w:rsid w:val="007F44CC"/>
    <w:rsid w:val="007F58F8"/>
    <w:rsid w:val="00800784"/>
    <w:rsid w:val="00801339"/>
    <w:rsid w:val="00801F76"/>
    <w:rsid w:val="00802C41"/>
    <w:rsid w:val="008113B4"/>
    <w:rsid w:val="00812EBB"/>
    <w:rsid w:val="00813771"/>
    <w:rsid w:val="008167BB"/>
    <w:rsid w:val="00817388"/>
    <w:rsid w:val="008223AB"/>
    <w:rsid w:val="00823B3C"/>
    <w:rsid w:val="00825CEE"/>
    <w:rsid w:val="00826382"/>
    <w:rsid w:val="00831EC8"/>
    <w:rsid w:val="00833915"/>
    <w:rsid w:val="00834A9D"/>
    <w:rsid w:val="00834D9D"/>
    <w:rsid w:val="00840858"/>
    <w:rsid w:val="008409ED"/>
    <w:rsid w:val="00842D56"/>
    <w:rsid w:val="00851516"/>
    <w:rsid w:val="00854DFE"/>
    <w:rsid w:val="00860977"/>
    <w:rsid w:val="008617F5"/>
    <w:rsid w:val="008619C0"/>
    <w:rsid w:val="00863AFB"/>
    <w:rsid w:val="00864150"/>
    <w:rsid w:val="00867B0B"/>
    <w:rsid w:val="00867B1A"/>
    <w:rsid w:val="008703C9"/>
    <w:rsid w:val="0087084E"/>
    <w:rsid w:val="008716D9"/>
    <w:rsid w:val="00874C13"/>
    <w:rsid w:val="00874C30"/>
    <w:rsid w:val="00876EDE"/>
    <w:rsid w:val="0087754F"/>
    <w:rsid w:val="00885C27"/>
    <w:rsid w:val="008878D1"/>
    <w:rsid w:val="00890C59"/>
    <w:rsid w:val="008918E1"/>
    <w:rsid w:val="0089523D"/>
    <w:rsid w:val="00895D81"/>
    <w:rsid w:val="008A0BCC"/>
    <w:rsid w:val="008A26F2"/>
    <w:rsid w:val="008A39B7"/>
    <w:rsid w:val="008A4FE2"/>
    <w:rsid w:val="008A69EE"/>
    <w:rsid w:val="008B29A5"/>
    <w:rsid w:val="008B485E"/>
    <w:rsid w:val="008B7DB8"/>
    <w:rsid w:val="008C276C"/>
    <w:rsid w:val="008C59CF"/>
    <w:rsid w:val="008C67B5"/>
    <w:rsid w:val="008C7417"/>
    <w:rsid w:val="008D3820"/>
    <w:rsid w:val="008E343B"/>
    <w:rsid w:val="008E7BEF"/>
    <w:rsid w:val="008F3FF9"/>
    <w:rsid w:val="0090035D"/>
    <w:rsid w:val="0090540B"/>
    <w:rsid w:val="00906109"/>
    <w:rsid w:val="00907DDB"/>
    <w:rsid w:val="00911051"/>
    <w:rsid w:val="00915C5A"/>
    <w:rsid w:val="009232CD"/>
    <w:rsid w:val="009260CA"/>
    <w:rsid w:val="00927086"/>
    <w:rsid w:val="0093110A"/>
    <w:rsid w:val="009317DC"/>
    <w:rsid w:val="0093192A"/>
    <w:rsid w:val="00931970"/>
    <w:rsid w:val="009329E9"/>
    <w:rsid w:val="009349FF"/>
    <w:rsid w:val="0093504A"/>
    <w:rsid w:val="00935AC1"/>
    <w:rsid w:val="00936EE9"/>
    <w:rsid w:val="00937C22"/>
    <w:rsid w:val="009405B9"/>
    <w:rsid w:val="0094061D"/>
    <w:rsid w:val="009437A8"/>
    <w:rsid w:val="0094400C"/>
    <w:rsid w:val="00945493"/>
    <w:rsid w:val="00947E23"/>
    <w:rsid w:val="009506C2"/>
    <w:rsid w:val="0095075F"/>
    <w:rsid w:val="0095331A"/>
    <w:rsid w:val="00954055"/>
    <w:rsid w:val="00955672"/>
    <w:rsid w:val="00955DA3"/>
    <w:rsid w:val="00957656"/>
    <w:rsid w:val="00957FEE"/>
    <w:rsid w:val="0096175C"/>
    <w:rsid w:val="0096209B"/>
    <w:rsid w:val="00963F24"/>
    <w:rsid w:val="00965BF4"/>
    <w:rsid w:val="00965DAA"/>
    <w:rsid w:val="009714EF"/>
    <w:rsid w:val="00971C9C"/>
    <w:rsid w:val="00972640"/>
    <w:rsid w:val="0097441E"/>
    <w:rsid w:val="00976901"/>
    <w:rsid w:val="0098266A"/>
    <w:rsid w:val="00982EB5"/>
    <w:rsid w:val="0098376C"/>
    <w:rsid w:val="00983A65"/>
    <w:rsid w:val="00983AC2"/>
    <w:rsid w:val="00983ED7"/>
    <w:rsid w:val="009852FA"/>
    <w:rsid w:val="00985EBE"/>
    <w:rsid w:val="00987A22"/>
    <w:rsid w:val="0099036E"/>
    <w:rsid w:val="00995D1E"/>
    <w:rsid w:val="009961AD"/>
    <w:rsid w:val="009A2F83"/>
    <w:rsid w:val="009A414C"/>
    <w:rsid w:val="009A4812"/>
    <w:rsid w:val="009A497D"/>
    <w:rsid w:val="009A4FA5"/>
    <w:rsid w:val="009A5F4D"/>
    <w:rsid w:val="009A6223"/>
    <w:rsid w:val="009B152D"/>
    <w:rsid w:val="009B1C61"/>
    <w:rsid w:val="009B2587"/>
    <w:rsid w:val="009B5E44"/>
    <w:rsid w:val="009B5EE4"/>
    <w:rsid w:val="009B7A61"/>
    <w:rsid w:val="009C0716"/>
    <w:rsid w:val="009C0F72"/>
    <w:rsid w:val="009C1470"/>
    <w:rsid w:val="009C3F58"/>
    <w:rsid w:val="009C5AAB"/>
    <w:rsid w:val="009C7A3B"/>
    <w:rsid w:val="009D38B4"/>
    <w:rsid w:val="009D4C66"/>
    <w:rsid w:val="009D604B"/>
    <w:rsid w:val="009D6131"/>
    <w:rsid w:val="009D6E1D"/>
    <w:rsid w:val="009E1477"/>
    <w:rsid w:val="009E2CC0"/>
    <w:rsid w:val="009E6DC2"/>
    <w:rsid w:val="009E6F70"/>
    <w:rsid w:val="009E7414"/>
    <w:rsid w:val="009E779E"/>
    <w:rsid w:val="009F19FF"/>
    <w:rsid w:val="009F1FDF"/>
    <w:rsid w:val="009F42CE"/>
    <w:rsid w:val="009F6399"/>
    <w:rsid w:val="00A03635"/>
    <w:rsid w:val="00A05A8E"/>
    <w:rsid w:val="00A07506"/>
    <w:rsid w:val="00A07545"/>
    <w:rsid w:val="00A11B57"/>
    <w:rsid w:val="00A128C9"/>
    <w:rsid w:val="00A17041"/>
    <w:rsid w:val="00A21A79"/>
    <w:rsid w:val="00A21B65"/>
    <w:rsid w:val="00A2325F"/>
    <w:rsid w:val="00A256C2"/>
    <w:rsid w:val="00A257DE"/>
    <w:rsid w:val="00A2758E"/>
    <w:rsid w:val="00A2773F"/>
    <w:rsid w:val="00A3506D"/>
    <w:rsid w:val="00A36BD3"/>
    <w:rsid w:val="00A37099"/>
    <w:rsid w:val="00A4156A"/>
    <w:rsid w:val="00A4774D"/>
    <w:rsid w:val="00A52A93"/>
    <w:rsid w:val="00A60E72"/>
    <w:rsid w:val="00A61A86"/>
    <w:rsid w:val="00A66522"/>
    <w:rsid w:val="00A679A5"/>
    <w:rsid w:val="00A67CA1"/>
    <w:rsid w:val="00A71659"/>
    <w:rsid w:val="00A71833"/>
    <w:rsid w:val="00A7191A"/>
    <w:rsid w:val="00A725B3"/>
    <w:rsid w:val="00A7461A"/>
    <w:rsid w:val="00A77580"/>
    <w:rsid w:val="00A779CC"/>
    <w:rsid w:val="00A77F61"/>
    <w:rsid w:val="00A951D4"/>
    <w:rsid w:val="00AA259A"/>
    <w:rsid w:val="00AA3E6A"/>
    <w:rsid w:val="00AA6BB8"/>
    <w:rsid w:val="00AB45F1"/>
    <w:rsid w:val="00AB5520"/>
    <w:rsid w:val="00AB74B1"/>
    <w:rsid w:val="00AC0D43"/>
    <w:rsid w:val="00AC1340"/>
    <w:rsid w:val="00AC5D88"/>
    <w:rsid w:val="00AD2A0A"/>
    <w:rsid w:val="00AD3D0F"/>
    <w:rsid w:val="00AD753A"/>
    <w:rsid w:val="00AD77A1"/>
    <w:rsid w:val="00AD7FF6"/>
    <w:rsid w:val="00AE1243"/>
    <w:rsid w:val="00AE245F"/>
    <w:rsid w:val="00AE462D"/>
    <w:rsid w:val="00AE79D3"/>
    <w:rsid w:val="00AF273A"/>
    <w:rsid w:val="00AF2B1A"/>
    <w:rsid w:val="00AF45DB"/>
    <w:rsid w:val="00AF6907"/>
    <w:rsid w:val="00B002C1"/>
    <w:rsid w:val="00B002DD"/>
    <w:rsid w:val="00B0066C"/>
    <w:rsid w:val="00B00721"/>
    <w:rsid w:val="00B01EEF"/>
    <w:rsid w:val="00B02333"/>
    <w:rsid w:val="00B025BD"/>
    <w:rsid w:val="00B05D11"/>
    <w:rsid w:val="00B06A31"/>
    <w:rsid w:val="00B07EF2"/>
    <w:rsid w:val="00B12425"/>
    <w:rsid w:val="00B162FC"/>
    <w:rsid w:val="00B22809"/>
    <w:rsid w:val="00B306D9"/>
    <w:rsid w:val="00B3289A"/>
    <w:rsid w:val="00B3301A"/>
    <w:rsid w:val="00B35E60"/>
    <w:rsid w:val="00B36242"/>
    <w:rsid w:val="00B40D06"/>
    <w:rsid w:val="00B41634"/>
    <w:rsid w:val="00B424BE"/>
    <w:rsid w:val="00B4288E"/>
    <w:rsid w:val="00B42F5D"/>
    <w:rsid w:val="00B4458D"/>
    <w:rsid w:val="00B53E52"/>
    <w:rsid w:val="00B573DC"/>
    <w:rsid w:val="00B61012"/>
    <w:rsid w:val="00B6380F"/>
    <w:rsid w:val="00B638FF"/>
    <w:rsid w:val="00B66D60"/>
    <w:rsid w:val="00B72345"/>
    <w:rsid w:val="00B72475"/>
    <w:rsid w:val="00B729B7"/>
    <w:rsid w:val="00B75186"/>
    <w:rsid w:val="00B75EAB"/>
    <w:rsid w:val="00B76D8D"/>
    <w:rsid w:val="00B8007C"/>
    <w:rsid w:val="00B816A2"/>
    <w:rsid w:val="00B8253D"/>
    <w:rsid w:val="00B87A7D"/>
    <w:rsid w:val="00B9008C"/>
    <w:rsid w:val="00B91A66"/>
    <w:rsid w:val="00B91A8A"/>
    <w:rsid w:val="00B92632"/>
    <w:rsid w:val="00B94688"/>
    <w:rsid w:val="00B96334"/>
    <w:rsid w:val="00B97321"/>
    <w:rsid w:val="00BA16AE"/>
    <w:rsid w:val="00BA2E4D"/>
    <w:rsid w:val="00BA3EC4"/>
    <w:rsid w:val="00BA4688"/>
    <w:rsid w:val="00BA6EE7"/>
    <w:rsid w:val="00BA7EF7"/>
    <w:rsid w:val="00BB15D2"/>
    <w:rsid w:val="00BB15E4"/>
    <w:rsid w:val="00BB2ACA"/>
    <w:rsid w:val="00BB2AFA"/>
    <w:rsid w:val="00BB333C"/>
    <w:rsid w:val="00BB39A0"/>
    <w:rsid w:val="00BB3F69"/>
    <w:rsid w:val="00BB65F1"/>
    <w:rsid w:val="00BB6A08"/>
    <w:rsid w:val="00BC3DB9"/>
    <w:rsid w:val="00BC7251"/>
    <w:rsid w:val="00BD0A96"/>
    <w:rsid w:val="00BD2BEE"/>
    <w:rsid w:val="00BD48C1"/>
    <w:rsid w:val="00BD4A6C"/>
    <w:rsid w:val="00BD5563"/>
    <w:rsid w:val="00BD561A"/>
    <w:rsid w:val="00BD6244"/>
    <w:rsid w:val="00BE3544"/>
    <w:rsid w:val="00BE4EDA"/>
    <w:rsid w:val="00BE5848"/>
    <w:rsid w:val="00BE70EC"/>
    <w:rsid w:val="00BF05C8"/>
    <w:rsid w:val="00BF1312"/>
    <w:rsid w:val="00BF3C69"/>
    <w:rsid w:val="00BF48D8"/>
    <w:rsid w:val="00BF547A"/>
    <w:rsid w:val="00BF620D"/>
    <w:rsid w:val="00BF726E"/>
    <w:rsid w:val="00C00FC3"/>
    <w:rsid w:val="00C01DFD"/>
    <w:rsid w:val="00C056DB"/>
    <w:rsid w:val="00C057AD"/>
    <w:rsid w:val="00C06278"/>
    <w:rsid w:val="00C064D2"/>
    <w:rsid w:val="00C06D88"/>
    <w:rsid w:val="00C06FF6"/>
    <w:rsid w:val="00C07889"/>
    <w:rsid w:val="00C1046D"/>
    <w:rsid w:val="00C1065A"/>
    <w:rsid w:val="00C1315C"/>
    <w:rsid w:val="00C205D8"/>
    <w:rsid w:val="00C21315"/>
    <w:rsid w:val="00C255CF"/>
    <w:rsid w:val="00C2654F"/>
    <w:rsid w:val="00C26C47"/>
    <w:rsid w:val="00C33044"/>
    <w:rsid w:val="00C35FAB"/>
    <w:rsid w:val="00C411C9"/>
    <w:rsid w:val="00C445D1"/>
    <w:rsid w:val="00C45569"/>
    <w:rsid w:val="00C46413"/>
    <w:rsid w:val="00C50022"/>
    <w:rsid w:val="00C50E9C"/>
    <w:rsid w:val="00C52E97"/>
    <w:rsid w:val="00C55404"/>
    <w:rsid w:val="00C57AC2"/>
    <w:rsid w:val="00C57D91"/>
    <w:rsid w:val="00C64BBE"/>
    <w:rsid w:val="00C74003"/>
    <w:rsid w:val="00C77879"/>
    <w:rsid w:val="00C81906"/>
    <w:rsid w:val="00C83858"/>
    <w:rsid w:val="00C85A6E"/>
    <w:rsid w:val="00C85DE1"/>
    <w:rsid w:val="00C877BB"/>
    <w:rsid w:val="00CA0EAB"/>
    <w:rsid w:val="00CA52E5"/>
    <w:rsid w:val="00CA69F2"/>
    <w:rsid w:val="00CA71F7"/>
    <w:rsid w:val="00CA7453"/>
    <w:rsid w:val="00CB0646"/>
    <w:rsid w:val="00CB2A53"/>
    <w:rsid w:val="00CB3EB1"/>
    <w:rsid w:val="00CB43F2"/>
    <w:rsid w:val="00CB63A1"/>
    <w:rsid w:val="00CB69D0"/>
    <w:rsid w:val="00CB6E58"/>
    <w:rsid w:val="00CB745C"/>
    <w:rsid w:val="00CC037F"/>
    <w:rsid w:val="00CC29E2"/>
    <w:rsid w:val="00CC41AE"/>
    <w:rsid w:val="00CC52A8"/>
    <w:rsid w:val="00CC6C64"/>
    <w:rsid w:val="00CC71B9"/>
    <w:rsid w:val="00CD280E"/>
    <w:rsid w:val="00CD433A"/>
    <w:rsid w:val="00CD5C04"/>
    <w:rsid w:val="00CD6E9F"/>
    <w:rsid w:val="00CE35D6"/>
    <w:rsid w:val="00CE68F9"/>
    <w:rsid w:val="00CE6CC1"/>
    <w:rsid w:val="00CF5D0E"/>
    <w:rsid w:val="00CF7027"/>
    <w:rsid w:val="00D004C5"/>
    <w:rsid w:val="00D0141C"/>
    <w:rsid w:val="00D01C29"/>
    <w:rsid w:val="00D0361C"/>
    <w:rsid w:val="00D037C6"/>
    <w:rsid w:val="00D065C3"/>
    <w:rsid w:val="00D068C6"/>
    <w:rsid w:val="00D077E1"/>
    <w:rsid w:val="00D07BED"/>
    <w:rsid w:val="00D10772"/>
    <w:rsid w:val="00D1244F"/>
    <w:rsid w:val="00D14496"/>
    <w:rsid w:val="00D14E3F"/>
    <w:rsid w:val="00D1596C"/>
    <w:rsid w:val="00D15FBE"/>
    <w:rsid w:val="00D168BC"/>
    <w:rsid w:val="00D21291"/>
    <w:rsid w:val="00D2130A"/>
    <w:rsid w:val="00D23F46"/>
    <w:rsid w:val="00D24507"/>
    <w:rsid w:val="00D26FE3"/>
    <w:rsid w:val="00D30E3E"/>
    <w:rsid w:val="00D32CB3"/>
    <w:rsid w:val="00D400A8"/>
    <w:rsid w:val="00D42AAB"/>
    <w:rsid w:val="00D47255"/>
    <w:rsid w:val="00D473E9"/>
    <w:rsid w:val="00D50B33"/>
    <w:rsid w:val="00D526F6"/>
    <w:rsid w:val="00D53AC3"/>
    <w:rsid w:val="00D548C5"/>
    <w:rsid w:val="00D55D71"/>
    <w:rsid w:val="00D56362"/>
    <w:rsid w:val="00D57E66"/>
    <w:rsid w:val="00D612AD"/>
    <w:rsid w:val="00D61C79"/>
    <w:rsid w:val="00D7053E"/>
    <w:rsid w:val="00D743A8"/>
    <w:rsid w:val="00D74FD4"/>
    <w:rsid w:val="00D76505"/>
    <w:rsid w:val="00D82668"/>
    <w:rsid w:val="00D84234"/>
    <w:rsid w:val="00D970B3"/>
    <w:rsid w:val="00D976CB"/>
    <w:rsid w:val="00DA06A3"/>
    <w:rsid w:val="00DA395A"/>
    <w:rsid w:val="00DA547F"/>
    <w:rsid w:val="00DA55B5"/>
    <w:rsid w:val="00DA6DF6"/>
    <w:rsid w:val="00DA78E1"/>
    <w:rsid w:val="00DB124D"/>
    <w:rsid w:val="00DB1D74"/>
    <w:rsid w:val="00DB6296"/>
    <w:rsid w:val="00DB6E3E"/>
    <w:rsid w:val="00DC2D10"/>
    <w:rsid w:val="00DC7D70"/>
    <w:rsid w:val="00DC7EDB"/>
    <w:rsid w:val="00DD0582"/>
    <w:rsid w:val="00DD3188"/>
    <w:rsid w:val="00DD3588"/>
    <w:rsid w:val="00DD5236"/>
    <w:rsid w:val="00DE05A3"/>
    <w:rsid w:val="00DE0879"/>
    <w:rsid w:val="00DE2BEF"/>
    <w:rsid w:val="00DE3FEB"/>
    <w:rsid w:val="00DE5CF3"/>
    <w:rsid w:val="00DE78FA"/>
    <w:rsid w:val="00DF121A"/>
    <w:rsid w:val="00DF20B5"/>
    <w:rsid w:val="00DF2334"/>
    <w:rsid w:val="00DF3177"/>
    <w:rsid w:val="00DF5117"/>
    <w:rsid w:val="00E00AF9"/>
    <w:rsid w:val="00E04478"/>
    <w:rsid w:val="00E04AB6"/>
    <w:rsid w:val="00E0681A"/>
    <w:rsid w:val="00E1250C"/>
    <w:rsid w:val="00E14C1E"/>
    <w:rsid w:val="00E1510C"/>
    <w:rsid w:val="00E20A0A"/>
    <w:rsid w:val="00E211EC"/>
    <w:rsid w:val="00E22D81"/>
    <w:rsid w:val="00E23848"/>
    <w:rsid w:val="00E23E6C"/>
    <w:rsid w:val="00E27105"/>
    <w:rsid w:val="00E33C4F"/>
    <w:rsid w:val="00E3453C"/>
    <w:rsid w:val="00E3486C"/>
    <w:rsid w:val="00E353D1"/>
    <w:rsid w:val="00E35D65"/>
    <w:rsid w:val="00E364F2"/>
    <w:rsid w:val="00E41770"/>
    <w:rsid w:val="00E41E73"/>
    <w:rsid w:val="00E438D0"/>
    <w:rsid w:val="00E51691"/>
    <w:rsid w:val="00E56BAC"/>
    <w:rsid w:val="00E56DD3"/>
    <w:rsid w:val="00E67DB3"/>
    <w:rsid w:val="00E711C3"/>
    <w:rsid w:val="00E72AAB"/>
    <w:rsid w:val="00E80D7B"/>
    <w:rsid w:val="00E81DD2"/>
    <w:rsid w:val="00E8340A"/>
    <w:rsid w:val="00E83C05"/>
    <w:rsid w:val="00E86C76"/>
    <w:rsid w:val="00E9043B"/>
    <w:rsid w:val="00E95675"/>
    <w:rsid w:val="00E959DB"/>
    <w:rsid w:val="00EA5B2B"/>
    <w:rsid w:val="00EA6534"/>
    <w:rsid w:val="00EA687E"/>
    <w:rsid w:val="00EB3E83"/>
    <w:rsid w:val="00EB43F3"/>
    <w:rsid w:val="00EB5D96"/>
    <w:rsid w:val="00EB6B3C"/>
    <w:rsid w:val="00EC4180"/>
    <w:rsid w:val="00ED038B"/>
    <w:rsid w:val="00ED7230"/>
    <w:rsid w:val="00EE23F2"/>
    <w:rsid w:val="00EE29EF"/>
    <w:rsid w:val="00EE467B"/>
    <w:rsid w:val="00EE775E"/>
    <w:rsid w:val="00EE7A9B"/>
    <w:rsid w:val="00EE7B03"/>
    <w:rsid w:val="00EF28CC"/>
    <w:rsid w:val="00EF28FE"/>
    <w:rsid w:val="00EF49B7"/>
    <w:rsid w:val="00EF5126"/>
    <w:rsid w:val="00EF6837"/>
    <w:rsid w:val="00F007D9"/>
    <w:rsid w:val="00F00B0C"/>
    <w:rsid w:val="00F015AB"/>
    <w:rsid w:val="00F0177B"/>
    <w:rsid w:val="00F03AD9"/>
    <w:rsid w:val="00F06C75"/>
    <w:rsid w:val="00F1331A"/>
    <w:rsid w:val="00F13BC1"/>
    <w:rsid w:val="00F17649"/>
    <w:rsid w:val="00F20ED3"/>
    <w:rsid w:val="00F22125"/>
    <w:rsid w:val="00F225DA"/>
    <w:rsid w:val="00F2381E"/>
    <w:rsid w:val="00F253FE"/>
    <w:rsid w:val="00F254ED"/>
    <w:rsid w:val="00F3253B"/>
    <w:rsid w:val="00F340B5"/>
    <w:rsid w:val="00F36B1C"/>
    <w:rsid w:val="00F40068"/>
    <w:rsid w:val="00F40A74"/>
    <w:rsid w:val="00F4300F"/>
    <w:rsid w:val="00F50513"/>
    <w:rsid w:val="00F50628"/>
    <w:rsid w:val="00F53382"/>
    <w:rsid w:val="00F546F1"/>
    <w:rsid w:val="00F55060"/>
    <w:rsid w:val="00F55D1A"/>
    <w:rsid w:val="00F56B09"/>
    <w:rsid w:val="00F5711E"/>
    <w:rsid w:val="00F57ABE"/>
    <w:rsid w:val="00F66D7A"/>
    <w:rsid w:val="00F67787"/>
    <w:rsid w:val="00F70546"/>
    <w:rsid w:val="00F70EE8"/>
    <w:rsid w:val="00F71213"/>
    <w:rsid w:val="00F735C0"/>
    <w:rsid w:val="00F75165"/>
    <w:rsid w:val="00F815EE"/>
    <w:rsid w:val="00F90014"/>
    <w:rsid w:val="00F90434"/>
    <w:rsid w:val="00F90D67"/>
    <w:rsid w:val="00F9374D"/>
    <w:rsid w:val="00F95119"/>
    <w:rsid w:val="00F96C07"/>
    <w:rsid w:val="00FA08DE"/>
    <w:rsid w:val="00FA1F35"/>
    <w:rsid w:val="00FA298F"/>
    <w:rsid w:val="00FA46C4"/>
    <w:rsid w:val="00FA4FFB"/>
    <w:rsid w:val="00FB1BA1"/>
    <w:rsid w:val="00FB2FE0"/>
    <w:rsid w:val="00FB330D"/>
    <w:rsid w:val="00FB37FC"/>
    <w:rsid w:val="00FB3892"/>
    <w:rsid w:val="00FB4EC9"/>
    <w:rsid w:val="00FB5BFD"/>
    <w:rsid w:val="00FB5D66"/>
    <w:rsid w:val="00FB6213"/>
    <w:rsid w:val="00FB6B5F"/>
    <w:rsid w:val="00FD5C92"/>
    <w:rsid w:val="00FD6F67"/>
    <w:rsid w:val="00FE033C"/>
    <w:rsid w:val="00FE4EF4"/>
    <w:rsid w:val="00FE67DB"/>
    <w:rsid w:val="00FE758B"/>
    <w:rsid w:val="00FF5D4F"/>
    <w:rsid w:val="01115B19"/>
    <w:rsid w:val="01A22C15"/>
    <w:rsid w:val="01A71FD9"/>
    <w:rsid w:val="01E52B01"/>
    <w:rsid w:val="02783C24"/>
    <w:rsid w:val="02913320"/>
    <w:rsid w:val="02B05E8B"/>
    <w:rsid w:val="02DB0C73"/>
    <w:rsid w:val="03327FC8"/>
    <w:rsid w:val="035166A0"/>
    <w:rsid w:val="03C76963"/>
    <w:rsid w:val="03DC515E"/>
    <w:rsid w:val="03F67248"/>
    <w:rsid w:val="040E4592"/>
    <w:rsid w:val="04335DA6"/>
    <w:rsid w:val="04357D70"/>
    <w:rsid w:val="0458231F"/>
    <w:rsid w:val="045F4DED"/>
    <w:rsid w:val="047B14FB"/>
    <w:rsid w:val="049B394B"/>
    <w:rsid w:val="050D54CC"/>
    <w:rsid w:val="05CA098C"/>
    <w:rsid w:val="06287461"/>
    <w:rsid w:val="069F7723"/>
    <w:rsid w:val="07A33243"/>
    <w:rsid w:val="07E37AE3"/>
    <w:rsid w:val="080041F1"/>
    <w:rsid w:val="08386081"/>
    <w:rsid w:val="08FC0E5C"/>
    <w:rsid w:val="092E53EB"/>
    <w:rsid w:val="095C18FB"/>
    <w:rsid w:val="096C651B"/>
    <w:rsid w:val="0995305F"/>
    <w:rsid w:val="09C37BCC"/>
    <w:rsid w:val="09F63A75"/>
    <w:rsid w:val="0A2D3298"/>
    <w:rsid w:val="0A8729A8"/>
    <w:rsid w:val="0A8C6210"/>
    <w:rsid w:val="0A99092D"/>
    <w:rsid w:val="0AAE43D8"/>
    <w:rsid w:val="0B297F03"/>
    <w:rsid w:val="0BB74765"/>
    <w:rsid w:val="0C776A4C"/>
    <w:rsid w:val="0C9413AC"/>
    <w:rsid w:val="0CF84031"/>
    <w:rsid w:val="0D095FDF"/>
    <w:rsid w:val="0D416AB9"/>
    <w:rsid w:val="0E4868F2"/>
    <w:rsid w:val="0EDE5316"/>
    <w:rsid w:val="0EEA1757"/>
    <w:rsid w:val="0F135152"/>
    <w:rsid w:val="0F4F5A5E"/>
    <w:rsid w:val="0F9D4A1B"/>
    <w:rsid w:val="104650B3"/>
    <w:rsid w:val="104A4BA3"/>
    <w:rsid w:val="10675755"/>
    <w:rsid w:val="10694D6D"/>
    <w:rsid w:val="108A2472"/>
    <w:rsid w:val="10A16A11"/>
    <w:rsid w:val="122D02D9"/>
    <w:rsid w:val="123258EF"/>
    <w:rsid w:val="12372F05"/>
    <w:rsid w:val="123E1747"/>
    <w:rsid w:val="124473D0"/>
    <w:rsid w:val="124E024F"/>
    <w:rsid w:val="12D40754"/>
    <w:rsid w:val="135A334F"/>
    <w:rsid w:val="13AB2EB8"/>
    <w:rsid w:val="13AC16D1"/>
    <w:rsid w:val="13C779D4"/>
    <w:rsid w:val="13CA1B57"/>
    <w:rsid w:val="14BA7E1E"/>
    <w:rsid w:val="1534372C"/>
    <w:rsid w:val="156D6C3E"/>
    <w:rsid w:val="160F7CF5"/>
    <w:rsid w:val="16D8458B"/>
    <w:rsid w:val="16FA09A5"/>
    <w:rsid w:val="172872C1"/>
    <w:rsid w:val="175E7186"/>
    <w:rsid w:val="177D5739"/>
    <w:rsid w:val="17AA4179"/>
    <w:rsid w:val="18145A2F"/>
    <w:rsid w:val="18317AE9"/>
    <w:rsid w:val="18845888"/>
    <w:rsid w:val="18FE477D"/>
    <w:rsid w:val="191A70DD"/>
    <w:rsid w:val="191C4C03"/>
    <w:rsid w:val="19A52E4A"/>
    <w:rsid w:val="19F811CC"/>
    <w:rsid w:val="1A141B16"/>
    <w:rsid w:val="1A6B4094"/>
    <w:rsid w:val="1A6C4140"/>
    <w:rsid w:val="1AA347B0"/>
    <w:rsid w:val="1AC11F06"/>
    <w:rsid w:val="1AD3390C"/>
    <w:rsid w:val="1AE87493"/>
    <w:rsid w:val="1B0167A6"/>
    <w:rsid w:val="1B171B26"/>
    <w:rsid w:val="1B701236"/>
    <w:rsid w:val="1BE07DDA"/>
    <w:rsid w:val="1C200EAE"/>
    <w:rsid w:val="1C321E98"/>
    <w:rsid w:val="1C7845F3"/>
    <w:rsid w:val="1CE37891"/>
    <w:rsid w:val="1D864D41"/>
    <w:rsid w:val="1E450758"/>
    <w:rsid w:val="1E870D71"/>
    <w:rsid w:val="1EE461C3"/>
    <w:rsid w:val="1F525822"/>
    <w:rsid w:val="1FAE057F"/>
    <w:rsid w:val="1FBE6A14"/>
    <w:rsid w:val="20005D65"/>
    <w:rsid w:val="200A7EAB"/>
    <w:rsid w:val="2011123A"/>
    <w:rsid w:val="204D7D98"/>
    <w:rsid w:val="205904EB"/>
    <w:rsid w:val="20CA32CF"/>
    <w:rsid w:val="20E64474"/>
    <w:rsid w:val="21156B08"/>
    <w:rsid w:val="22C179E6"/>
    <w:rsid w:val="22CF5CE0"/>
    <w:rsid w:val="239B0E1A"/>
    <w:rsid w:val="23BE461D"/>
    <w:rsid w:val="24545B99"/>
    <w:rsid w:val="255E0D54"/>
    <w:rsid w:val="261A687E"/>
    <w:rsid w:val="27455C6D"/>
    <w:rsid w:val="27545EB0"/>
    <w:rsid w:val="276B56D3"/>
    <w:rsid w:val="278C4033"/>
    <w:rsid w:val="27B23302"/>
    <w:rsid w:val="27C9064C"/>
    <w:rsid w:val="27CE5C62"/>
    <w:rsid w:val="281318C7"/>
    <w:rsid w:val="285F68BA"/>
    <w:rsid w:val="286B60D3"/>
    <w:rsid w:val="286E752C"/>
    <w:rsid w:val="2879797C"/>
    <w:rsid w:val="28F434A6"/>
    <w:rsid w:val="29357A83"/>
    <w:rsid w:val="294837F2"/>
    <w:rsid w:val="296F42E9"/>
    <w:rsid w:val="29C015DB"/>
    <w:rsid w:val="29EC6874"/>
    <w:rsid w:val="2A64465C"/>
    <w:rsid w:val="2AB67C2D"/>
    <w:rsid w:val="2AB729DE"/>
    <w:rsid w:val="2AD90BA6"/>
    <w:rsid w:val="2B391645"/>
    <w:rsid w:val="2BAF1BD9"/>
    <w:rsid w:val="2BC03B14"/>
    <w:rsid w:val="2CA70915"/>
    <w:rsid w:val="2CEA52EC"/>
    <w:rsid w:val="2D0F4D53"/>
    <w:rsid w:val="2DCD42C6"/>
    <w:rsid w:val="2DE531B8"/>
    <w:rsid w:val="2E0221C2"/>
    <w:rsid w:val="2F4F7689"/>
    <w:rsid w:val="2F6F1AD9"/>
    <w:rsid w:val="2F917CA1"/>
    <w:rsid w:val="2FA84FEB"/>
    <w:rsid w:val="30085A89"/>
    <w:rsid w:val="300A1801"/>
    <w:rsid w:val="30711881"/>
    <w:rsid w:val="30915A7F"/>
    <w:rsid w:val="31B27766"/>
    <w:rsid w:val="31BB2DB3"/>
    <w:rsid w:val="3203475A"/>
    <w:rsid w:val="3217421E"/>
    <w:rsid w:val="325B4596"/>
    <w:rsid w:val="32BD6FFF"/>
    <w:rsid w:val="32C20171"/>
    <w:rsid w:val="32DF445D"/>
    <w:rsid w:val="32F023AC"/>
    <w:rsid w:val="33484B1B"/>
    <w:rsid w:val="340842AA"/>
    <w:rsid w:val="34256C0A"/>
    <w:rsid w:val="34474DD2"/>
    <w:rsid w:val="34750B94"/>
    <w:rsid w:val="348E2A01"/>
    <w:rsid w:val="34C208FD"/>
    <w:rsid w:val="34E72111"/>
    <w:rsid w:val="352549E8"/>
    <w:rsid w:val="35264EF8"/>
    <w:rsid w:val="35575444"/>
    <w:rsid w:val="355F7EFA"/>
    <w:rsid w:val="3639699D"/>
    <w:rsid w:val="36D6068F"/>
    <w:rsid w:val="36EB413B"/>
    <w:rsid w:val="37160A8C"/>
    <w:rsid w:val="374E0226"/>
    <w:rsid w:val="37CB5D1A"/>
    <w:rsid w:val="37DE0140"/>
    <w:rsid w:val="38563836"/>
    <w:rsid w:val="38BF587F"/>
    <w:rsid w:val="39070FD4"/>
    <w:rsid w:val="3A571AE7"/>
    <w:rsid w:val="3AC07DBA"/>
    <w:rsid w:val="3ACF78CF"/>
    <w:rsid w:val="3AE74C19"/>
    <w:rsid w:val="3B070E17"/>
    <w:rsid w:val="3B84690C"/>
    <w:rsid w:val="3B8701AA"/>
    <w:rsid w:val="3BD66A3C"/>
    <w:rsid w:val="3C426B3B"/>
    <w:rsid w:val="3D1E68EC"/>
    <w:rsid w:val="3D632551"/>
    <w:rsid w:val="3D736C38"/>
    <w:rsid w:val="3D913562"/>
    <w:rsid w:val="3D9646D4"/>
    <w:rsid w:val="3DD33817"/>
    <w:rsid w:val="3DDF607B"/>
    <w:rsid w:val="3E79027E"/>
    <w:rsid w:val="3F195114"/>
    <w:rsid w:val="3F8A0269"/>
    <w:rsid w:val="3F966C0E"/>
    <w:rsid w:val="3FA820E7"/>
    <w:rsid w:val="3FCE45FA"/>
    <w:rsid w:val="3FE1257F"/>
    <w:rsid w:val="401364B0"/>
    <w:rsid w:val="409D279A"/>
    <w:rsid w:val="409E2DE0"/>
    <w:rsid w:val="40AF376F"/>
    <w:rsid w:val="40D53766"/>
    <w:rsid w:val="41035B11"/>
    <w:rsid w:val="419158DF"/>
    <w:rsid w:val="41970A1B"/>
    <w:rsid w:val="423821FE"/>
    <w:rsid w:val="42424E2B"/>
    <w:rsid w:val="4258464E"/>
    <w:rsid w:val="429C278D"/>
    <w:rsid w:val="42D40E7A"/>
    <w:rsid w:val="42EA174A"/>
    <w:rsid w:val="43454BD3"/>
    <w:rsid w:val="444430DC"/>
    <w:rsid w:val="447F5C34"/>
    <w:rsid w:val="448654A3"/>
    <w:rsid w:val="45440EBA"/>
    <w:rsid w:val="45BC4EF4"/>
    <w:rsid w:val="45D4223E"/>
    <w:rsid w:val="462E25E6"/>
    <w:rsid w:val="46317690"/>
    <w:rsid w:val="46357180"/>
    <w:rsid w:val="467001B9"/>
    <w:rsid w:val="4671040B"/>
    <w:rsid w:val="4691012F"/>
    <w:rsid w:val="46A02970"/>
    <w:rsid w:val="46B024EC"/>
    <w:rsid w:val="46B53E1D"/>
    <w:rsid w:val="47240FA3"/>
    <w:rsid w:val="4740402F"/>
    <w:rsid w:val="475A49C5"/>
    <w:rsid w:val="47AF4D11"/>
    <w:rsid w:val="47C02A7A"/>
    <w:rsid w:val="481D7ECC"/>
    <w:rsid w:val="48B14AB8"/>
    <w:rsid w:val="48B16866"/>
    <w:rsid w:val="48DA7B6B"/>
    <w:rsid w:val="49180694"/>
    <w:rsid w:val="4A0D3F70"/>
    <w:rsid w:val="4A396B13"/>
    <w:rsid w:val="4A7144FF"/>
    <w:rsid w:val="4A8C3664"/>
    <w:rsid w:val="4AA76173"/>
    <w:rsid w:val="4AAE1D62"/>
    <w:rsid w:val="4AAF6DD6"/>
    <w:rsid w:val="4B1D6435"/>
    <w:rsid w:val="4B5D6821"/>
    <w:rsid w:val="4B7047B7"/>
    <w:rsid w:val="4C545E87"/>
    <w:rsid w:val="4CEE0089"/>
    <w:rsid w:val="4D151ABA"/>
    <w:rsid w:val="4E791BD4"/>
    <w:rsid w:val="4E807407"/>
    <w:rsid w:val="4E8B461E"/>
    <w:rsid w:val="4EF15C0F"/>
    <w:rsid w:val="4EF43951"/>
    <w:rsid w:val="4EF91513"/>
    <w:rsid w:val="4F0C428A"/>
    <w:rsid w:val="4F6D5F64"/>
    <w:rsid w:val="50447FC0"/>
    <w:rsid w:val="50A32F39"/>
    <w:rsid w:val="51342B39"/>
    <w:rsid w:val="51361FFF"/>
    <w:rsid w:val="513B13C3"/>
    <w:rsid w:val="51453FF0"/>
    <w:rsid w:val="51532BB1"/>
    <w:rsid w:val="517F7502"/>
    <w:rsid w:val="51BF439F"/>
    <w:rsid w:val="51EA5392"/>
    <w:rsid w:val="52917C21"/>
    <w:rsid w:val="532D11DF"/>
    <w:rsid w:val="53B51901"/>
    <w:rsid w:val="53EA0E7E"/>
    <w:rsid w:val="544E765F"/>
    <w:rsid w:val="54C65448"/>
    <w:rsid w:val="54F226E1"/>
    <w:rsid w:val="55100979"/>
    <w:rsid w:val="55254864"/>
    <w:rsid w:val="558605B8"/>
    <w:rsid w:val="55A27C63"/>
    <w:rsid w:val="55F935FB"/>
    <w:rsid w:val="55FF4536"/>
    <w:rsid w:val="561A7844"/>
    <w:rsid w:val="562A274A"/>
    <w:rsid w:val="567315FF"/>
    <w:rsid w:val="56890E23"/>
    <w:rsid w:val="569F23F4"/>
    <w:rsid w:val="56BB6A2E"/>
    <w:rsid w:val="56E85B49"/>
    <w:rsid w:val="579B12CF"/>
    <w:rsid w:val="57BA09D4"/>
    <w:rsid w:val="58254B7B"/>
    <w:rsid w:val="58704048"/>
    <w:rsid w:val="58E30CBE"/>
    <w:rsid w:val="58F070CC"/>
    <w:rsid w:val="59F12F67"/>
    <w:rsid w:val="5A1D1FAE"/>
    <w:rsid w:val="5B922527"/>
    <w:rsid w:val="5BED775E"/>
    <w:rsid w:val="5CFA77C7"/>
    <w:rsid w:val="5DE4797B"/>
    <w:rsid w:val="5DF326CD"/>
    <w:rsid w:val="5E905550"/>
    <w:rsid w:val="5EAB402C"/>
    <w:rsid w:val="5EE017FC"/>
    <w:rsid w:val="5F0B0627"/>
    <w:rsid w:val="5F926F9A"/>
    <w:rsid w:val="5FB011CE"/>
    <w:rsid w:val="5FEF7F48"/>
    <w:rsid w:val="60121E89"/>
    <w:rsid w:val="60430294"/>
    <w:rsid w:val="6094289E"/>
    <w:rsid w:val="60C83807"/>
    <w:rsid w:val="60CE4002"/>
    <w:rsid w:val="61404326"/>
    <w:rsid w:val="61711FE5"/>
    <w:rsid w:val="617D1584"/>
    <w:rsid w:val="628950FE"/>
    <w:rsid w:val="62950184"/>
    <w:rsid w:val="62C456BC"/>
    <w:rsid w:val="62F01A68"/>
    <w:rsid w:val="62F67840"/>
    <w:rsid w:val="632E0D88"/>
    <w:rsid w:val="6367429A"/>
    <w:rsid w:val="63CE60C7"/>
    <w:rsid w:val="64333354"/>
    <w:rsid w:val="646A4041"/>
    <w:rsid w:val="646B101A"/>
    <w:rsid w:val="64805613"/>
    <w:rsid w:val="65624D19"/>
    <w:rsid w:val="65B35574"/>
    <w:rsid w:val="65D9057D"/>
    <w:rsid w:val="65ED6CD8"/>
    <w:rsid w:val="66065FEC"/>
    <w:rsid w:val="666B5E4F"/>
    <w:rsid w:val="66D93700"/>
    <w:rsid w:val="66F44096"/>
    <w:rsid w:val="672E75A8"/>
    <w:rsid w:val="67A05FCC"/>
    <w:rsid w:val="67CE2B39"/>
    <w:rsid w:val="6832790E"/>
    <w:rsid w:val="68880F3A"/>
    <w:rsid w:val="68993147"/>
    <w:rsid w:val="68CD2DF1"/>
    <w:rsid w:val="68ED5241"/>
    <w:rsid w:val="68F01E2F"/>
    <w:rsid w:val="68F91E38"/>
    <w:rsid w:val="691B1DAE"/>
    <w:rsid w:val="69807E63"/>
    <w:rsid w:val="69955974"/>
    <w:rsid w:val="69A41DA4"/>
    <w:rsid w:val="69DF2DDC"/>
    <w:rsid w:val="69F12B0F"/>
    <w:rsid w:val="6A1C6C2D"/>
    <w:rsid w:val="6A2E5B11"/>
    <w:rsid w:val="6A3749C6"/>
    <w:rsid w:val="6A9F256B"/>
    <w:rsid w:val="6B0D5727"/>
    <w:rsid w:val="6C0C3C30"/>
    <w:rsid w:val="6C225202"/>
    <w:rsid w:val="6CC85DA9"/>
    <w:rsid w:val="6D073E28"/>
    <w:rsid w:val="6D140FEE"/>
    <w:rsid w:val="6DDE15FC"/>
    <w:rsid w:val="6DE94229"/>
    <w:rsid w:val="6E274D51"/>
    <w:rsid w:val="6E501A71"/>
    <w:rsid w:val="6E645FA5"/>
    <w:rsid w:val="6EFE0C72"/>
    <w:rsid w:val="6F60051B"/>
    <w:rsid w:val="701659A0"/>
    <w:rsid w:val="70D5493D"/>
    <w:rsid w:val="70E17439"/>
    <w:rsid w:val="716F2C97"/>
    <w:rsid w:val="71C01745"/>
    <w:rsid w:val="72037883"/>
    <w:rsid w:val="72693B8A"/>
    <w:rsid w:val="72712A3F"/>
    <w:rsid w:val="729A3D44"/>
    <w:rsid w:val="73A846EC"/>
    <w:rsid w:val="73BF77DA"/>
    <w:rsid w:val="73FB2F08"/>
    <w:rsid w:val="741F68A2"/>
    <w:rsid w:val="743D56C4"/>
    <w:rsid w:val="749649DF"/>
    <w:rsid w:val="759727BC"/>
    <w:rsid w:val="75AB3189"/>
    <w:rsid w:val="75E76FA0"/>
    <w:rsid w:val="75F96FD3"/>
    <w:rsid w:val="75FB0F9D"/>
    <w:rsid w:val="76285B0A"/>
    <w:rsid w:val="764566BC"/>
    <w:rsid w:val="768C03AE"/>
    <w:rsid w:val="77AB254F"/>
    <w:rsid w:val="77E15F71"/>
    <w:rsid w:val="78342545"/>
    <w:rsid w:val="78801C2E"/>
    <w:rsid w:val="78DA2881"/>
    <w:rsid w:val="78E26444"/>
    <w:rsid w:val="79144724"/>
    <w:rsid w:val="794C237F"/>
    <w:rsid w:val="79C913B2"/>
    <w:rsid w:val="79CD0EA3"/>
    <w:rsid w:val="79EF53C7"/>
    <w:rsid w:val="79FD2662"/>
    <w:rsid w:val="79FE03FD"/>
    <w:rsid w:val="7A8B158A"/>
    <w:rsid w:val="7AA17C39"/>
    <w:rsid w:val="7AB33D92"/>
    <w:rsid w:val="7AC53928"/>
    <w:rsid w:val="7B0E628B"/>
    <w:rsid w:val="7B8C777D"/>
    <w:rsid w:val="7BC938EC"/>
    <w:rsid w:val="7BEF0575"/>
    <w:rsid w:val="7C280612"/>
    <w:rsid w:val="7C727ADF"/>
    <w:rsid w:val="7CB7251E"/>
    <w:rsid w:val="7CEC5AE4"/>
    <w:rsid w:val="7CED7166"/>
    <w:rsid w:val="7D895449"/>
    <w:rsid w:val="7E6B47E6"/>
    <w:rsid w:val="7ECB797B"/>
    <w:rsid w:val="7F160BF6"/>
    <w:rsid w:val="7F743B6E"/>
    <w:rsid w:val="7F870480"/>
    <w:rsid w:val="96579309"/>
    <w:rsid w:val="97ECE2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2" w:semiHidden="0"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3"/>
    <w:basedOn w:val="1"/>
    <w:next w:val="1"/>
    <w:link w:val="19"/>
    <w:qFormat/>
    <w:uiPriority w:val="0"/>
    <w:pPr>
      <w:keepNext/>
      <w:keepLines/>
      <w:spacing w:before="380" w:after="380" w:line="560" w:lineRule="exact"/>
      <w:outlineLvl w:val="2"/>
    </w:pPr>
    <w:rPr>
      <w:rFonts w:eastAsia="仿宋_GB2312"/>
      <w:b/>
      <w:bCs/>
      <w:kern w:val="0"/>
      <w:sz w:val="28"/>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index 5"/>
    <w:basedOn w:val="1"/>
    <w:next w:val="1"/>
    <w:qFormat/>
    <w:uiPriority w:val="2"/>
    <w:pPr>
      <w:ind w:left="1680"/>
    </w:pPr>
  </w:style>
  <w:style w:type="paragraph" w:styleId="5">
    <w:name w:val="annotation text"/>
    <w:basedOn w:val="1"/>
    <w:link w:val="20"/>
    <w:semiHidden/>
    <w:qFormat/>
    <w:uiPriority w:val="0"/>
    <w:pPr>
      <w:jc w:val="left"/>
    </w:pPr>
    <w:rPr>
      <w:kern w:val="0"/>
      <w:sz w:val="24"/>
      <w:szCs w:val="24"/>
    </w:rPr>
  </w:style>
  <w:style w:type="paragraph" w:styleId="6">
    <w:name w:val="Body Text"/>
    <w:basedOn w:val="1"/>
    <w:link w:val="36"/>
    <w:qFormat/>
    <w:uiPriority w:val="0"/>
    <w:pPr>
      <w:spacing w:after="120"/>
    </w:pPr>
  </w:style>
  <w:style w:type="paragraph" w:styleId="7">
    <w:name w:val="Balloon Text"/>
    <w:basedOn w:val="1"/>
    <w:semiHidden/>
    <w:qFormat/>
    <w:uiPriority w:val="0"/>
    <w:rPr>
      <w:sz w:val="18"/>
      <w:szCs w:val="18"/>
    </w:rPr>
  </w:style>
  <w:style w:type="paragraph" w:styleId="8">
    <w:name w:val="footer"/>
    <w:basedOn w:val="1"/>
    <w:next w:val="4"/>
    <w:link w:val="21"/>
    <w:unhideWhenUsed/>
    <w:qFormat/>
    <w:uiPriority w:val="0"/>
    <w:pPr>
      <w:tabs>
        <w:tab w:val="center" w:pos="4153"/>
        <w:tab w:val="right" w:pos="8306"/>
      </w:tabs>
      <w:snapToGrid w:val="0"/>
      <w:jc w:val="left"/>
    </w:pPr>
    <w:rPr>
      <w:kern w:val="0"/>
      <w:sz w:val="18"/>
      <w:szCs w:val="18"/>
    </w:rPr>
  </w:style>
  <w:style w:type="paragraph" w:styleId="9">
    <w:name w:val="header"/>
    <w:basedOn w:val="1"/>
    <w:link w:val="2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HTML Preformatted"/>
    <w:basedOn w:val="1"/>
    <w:link w:val="2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1">
    <w:name w:val="Title"/>
    <w:basedOn w:val="1"/>
    <w:next w:val="1"/>
    <w:link w:val="24"/>
    <w:qFormat/>
    <w:uiPriority w:val="10"/>
    <w:pPr>
      <w:spacing w:before="240" w:after="60"/>
      <w:jc w:val="center"/>
      <w:outlineLvl w:val="0"/>
    </w:pPr>
    <w:rPr>
      <w:rFonts w:ascii="Calibri Light" w:hAnsi="Calibri Light"/>
      <w:b/>
      <w:bCs/>
      <w:sz w:val="32"/>
      <w:szCs w:val="32"/>
    </w:rPr>
  </w:style>
  <w:style w:type="paragraph" w:styleId="12">
    <w:name w:val="annotation subject"/>
    <w:basedOn w:val="5"/>
    <w:next w:val="5"/>
    <w:semiHidden/>
    <w:qFormat/>
    <w:uiPriority w:val="0"/>
    <w:rPr>
      <w:b/>
      <w:bCs/>
      <w:kern w:val="2"/>
      <w:sz w:val="21"/>
      <w:szCs w:val="21"/>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qFormat/>
    <w:uiPriority w:val="0"/>
  </w:style>
  <w:style w:type="character" w:styleId="17">
    <w:name w:val="annotation reference"/>
    <w:semiHidden/>
    <w:qFormat/>
    <w:uiPriority w:val="0"/>
    <w:rPr>
      <w:sz w:val="21"/>
      <w:szCs w:val="21"/>
    </w:rPr>
  </w:style>
  <w:style w:type="character" w:customStyle="1" w:styleId="18">
    <w:name w:val="标题 1 字符"/>
    <w:link w:val="2"/>
    <w:qFormat/>
    <w:uiPriority w:val="9"/>
    <w:rPr>
      <w:rFonts w:ascii="Times New Roman" w:hAnsi="Times New Roman"/>
      <w:b/>
      <w:bCs/>
      <w:kern w:val="44"/>
      <w:sz w:val="44"/>
      <w:szCs w:val="44"/>
    </w:rPr>
  </w:style>
  <w:style w:type="character" w:customStyle="1" w:styleId="19">
    <w:name w:val="标题 3 字符"/>
    <w:link w:val="3"/>
    <w:qFormat/>
    <w:uiPriority w:val="0"/>
    <w:rPr>
      <w:rFonts w:ascii="Times New Roman" w:hAnsi="Times New Roman" w:eastAsia="仿宋_GB2312"/>
      <w:b/>
      <w:bCs/>
      <w:sz w:val="28"/>
      <w:szCs w:val="32"/>
    </w:rPr>
  </w:style>
  <w:style w:type="character" w:customStyle="1" w:styleId="20">
    <w:name w:val="批注文字 字符"/>
    <w:link w:val="5"/>
    <w:semiHidden/>
    <w:qFormat/>
    <w:uiPriority w:val="0"/>
    <w:rPr>
      <w:rFonts w:ascii="Times New Roman" w:hAnsi="Times New Roman" w:eastAsia="宋体" w:cs="Times New Roman"/>
      <w:kern w:val="0"/>
      <w:sz w:val="24"/>
      <w:szCs w:val="24"/>
    </w:rPr>
  </w:style>
  <w:style w:type="character" w:customStyle="1" w:styleId="21">
    <w:name w:val="页脚 字符"/>
    <w:link w:val="8"/>
    <w:qFormat/>
    <w:uiPriority w:val="0"/>
    <w:rPr>
      <w:sz w:val="18"/>
      <w:szCs w:val="18"/>
    </w:rPr>
  </w:style>
  <w:style w:type="character" w:customStyle="1" w:styleId="22">
    <w:name w:val="页眉 字符"/>
    <w:link w:val="9"/>
    <w:qFormat/>
    <w:uiPriority w:val="99"/>
    <w:rPr>
      <w:sz w:val="18"/>
      <w:szCs w:val="18"/>
    </w:rPr>
  </w:style>
  <w:style w:type="character" w:customStyle="1" w:styleId="23">
    <w:name w:val="HTML 预设格式 字符"/>
    <w:link w:val="10"/>
    <w:semiHidden/>
    <w:qFormat/>
    <w:uiPriority w:val="99"/>
    <w:rPr>
      <w:rFonts w:ascii="宋体" w:hAnsi="宋体" w:cs="宋体"/>
      <w:sz w:val="24"/>
      <w:szCs w:val="24"/>
    </w:rPr>
  </w:style>
  <w:style w:type="character" w:customStyle="1" w:styleId="24">
    <w:name w:val="标题 字符"/>
    <w:link w:val="11"/>
    <w:qFormat/>
    <w:uiPriority w:val="10"/>
    <w:rPr>
      <w:rFonts w:ascii="Calibri Light" w:hAnsi="Calibri Light" w:cs="Times New Roman"/>
      <w:b/>
      <w:bCs/>
      <w:kern w:val="2"/>
      <w:sz w:val="32"/>
      <w:szCs w:val="32"/>
    </w:rPr>
  </w:style>
  <w:style w:type="paragraph" w:customStyle="1" w:styleId="25">
    <w:name w:val="正文首行缩进1"/>
    <w:basedOn w:val="6"/>
    <w:qFormat/>
    <w:uiPriority w:val="0"/>
    <w:pPr>
      <w:spacing w:line="360" w:lineRule="auto"/>
      <w:ind w:firstLine="420" w:firstLineChars="100"/>
    </w:pPr>
    <w:rPr>
      <w:rFonts w:ascii="微软雅黑" w:hAnsi="微软雅黑" w:eastAsia="微软雅黑" w:cs="微软雅黑"/>
    </w:rPr>
  </w:style>
  <w:style w:type="character" w:customStyle="1" w:styleId="26">
    <w:name w:val="无间隔 字符"/>
    <w:link w:val="27"/>
    <w:qFormat/>
    <w:uiPriority w:val="1"/>
    <w:rPr>
      <w:sz w:val="22"/>
      <w:szCs w:val="22"/>
      <w:lang w:val="en-US" w:eastAsia="zh-CN" w:bidi="ar-SA"/>
    </w:rPr>
  </w:style>
  <w:style w:type="paragraph" w:styleId="27">
    <w:name w:val="No Spacing"/>
    <w:link w:val="26"/>
    <w:qFormat/>
    <w:uiPriority w:val="1"/>
    <w:rPr>
      <w:rFonts w:ascii="Times New Roman" w:hAnsi="Times New Roman" w:eastAsia="宋体" w:cs="Times New Roman"/>
      <w:sz w:val="22"/>
      <w:szCs w:val="22"/>
      <w:lang w:val="en-US" w:eastAsia="zh-CN" w:bidi="ar-SA"/>
    </w:rPr>
  </w:style>
  <w:style w:type="character" w:customStyle="1" w:styleId="28">
    <w:name w:val="5-内文 Char"/>
    <w:link w:val="29"/>
    <w:qFormat/>
    <w:locked/>
    <w:uiPriority w:val="0"/>
    <w:rPr>
      <w:rFonts w:ascii="Times New Roman" w:hAnsi="Times New Roman" w:eastAsia="仿宋_GB2312" w:cs="Times New Roman"/>
      <w:sz w:val="28"/>
      <w:szCs w:val="20"/>
    </w:rPr>
  </w:style>
  <w:style w:type="paragraph" w:customStyle="1" w:styleId="29">
    <w:name w:val="5-内文"/>
    <w:basedOn w:val="1"/>
    <w:link w:val="28"/>
    <w:qFormat/>
    <w:uiPriority w:val="0"/>
    <w:pPr>
      <w:spacing w:beforeLines="25" w:afterLines="25" w:line="300" w:lineRule="auto"/>
      <w:ind w:firstLine="200" w:firstLineChars="200"/>
    </w:pPr>
    <w:rPr>
      <w:rFonts w:eastAsia="仿宋_GB2312"/>
      <w:kern w:val="0"/>
      <w:sz w:val="28"/>
      <w:szCs w:val="20"/>
    </w:rPr>
  </w:style>
  <w:style w:type="paragraph" w:customStyle="1" w:styleId="30">
    <w:name w:val="_Style 3"/>
    <w:basedOn w:val="1"/>
    <w:qFormat/>
    <w:uiPriority w:val="0"/>
    <w:pPr>
      <w:ind w:firstLine="420" w:firstLineChars="200"/>
    </w:pPr>
  </w:style>
  <w:style w:type="paragraph" w:customStyle="1" w:styleId="31">
    <w:name w:val="列出段落1"/>
    <w:basedOn w:val="1"/>
    <w:qFormat/>
    <w:uiPriority w:val="99"/>
    <w:pPr>
      <w:ind w:firstLine="420" w:firstLineChars="200"/>
    </w:pPr>
    <w:rPr>
      <w:rFonts w:ascii="Calibri" w:hAnsi="Calibri" w:cs="Calibri"/>
    </w:rPr>
  </w:style>
  <w:style w:type="paragraph" w:customStyle="1" w:styleId="32">
    <w:name w:val="_Style 6"/>
    <w:basedOn w:val="1"/>
    <w:qFormat/>
    <w:uiPriority w:val="34"/>
    <w:pPr>
      <w:ind w:firstLine="420" w:firstLineChars="200"/>
    </w:pPr>
  </w:style>
  <w:style w:type="paragraph" w:customStyle="1" w:styleId="33">
    <w:name w:val="列出段落"/>
    <w:basedOn w:val="1"/>
    <w:qFormat/>
    <w:uiPriority w:val="34"/>
    <w:pPr>
      <w:ind w:firstLine="420" w:firstLineChars="200"/>
    </w:pPr>
  </w:style>
  <w:style w:type="paragraph" w:customStyle="1" w:styleId="34">
    <w:name w:val="_Style 2"/>
    <w:basedOn w:val="1"/>
    <w:qFormat/>
    <w:uiPriority w:val="34"/>
    <w:pPr>
      <w:ind w:firstLine="420" w:firstLineChars="200"/>
    </w:pPr>
    <w:rPr>
      <w:rFonts w:ascii="Calibri" w:hAnsi="Calibri"/>
      <w:szCs w:val="22"/>
    </w:rPr>
  </w:style>
  <w:style w:type="table" w:customStyle="1" w:styleId="35">
    <w:name w:val="Table Normal"/>
    <w:basedOn w:val="13"/>
    <w:qFormat/>
    <w:uiPriority w:val="0"/>
    <w:rPr>
      <w:rFonts w:eastAsia="Times New Roman"/>
    </w:rPr>
    <w:tblPr>
      <w:tblCellMar>
        <w:left w:w="0" w:type="dxa"/>
        <w:right w:w="0" w:type="dxa"/>
      </w:tblCellMar>
    </w:tblPr>
  </w:style>
  <w:style w:type="character" w:customStyle="1" w:styleId="36">
    <w:name w:val="正文文本 字符"/>
    <w:basedOn w:val="15"/>
    <w:link w:val="6"/>
    <w:qFormat/>
    <w:uiPriority w:val="0"/>
    <w:rPr>
      <w:kern w:val="2"/>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6ADFE-DA33-42F3-A256-2B930645325C}">
  <ds:schemaRefs/>
</ds:datastoreItem>
</file>

<file path=docProps/app.xml><?xml version="1.0" encoding="utf-8"?>
<Properties xmlns="http://schemas.openxmlformats.org/officeDocument/2006/extended-properties" xmlns:vt="http://schemas.openxmlformats.org/officeDocument/2006/docPropsVTypes">
  <Template>Normal.dotm</Template>
  <Pages>28</Pages>
  <Words>4533</Words>
  <Characters>5748</Characters>
  <Lines>17</Lines>
  <Paragraphs>25</Paragraphs>
  <TotalTime>12</TotalTime>
  <ScaleCrop>false</ScaleCrop>
  <LinksUpToDate>false</LinksUpToDate>
  <CharactersWithSpaces>5795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2025-11-18T06:50:00Z</dcterms:created>
  <dc:creator>官小军</dc:creator>
  <cp:lastModifiedBy>zhanyu</cp:lastModifiedBy>
  <cp:lastPrinted>2016-01-17T00:27:00Z</cp:lastPrinted>
  <dcterms:modified xsi:type="dcterms:W3CDTF">2025-11-18T07:35:00Z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A55B596B7B4A4108A0EAD48B26E46D02_13</vt:lpwstr>
  </property>
  <property fmtid="{D5CDD505-2E9C-101B-9397-08002B2CF9AE}" pid="4" name="KSOTemplateDocerSaveRecord">
    <vt:lpwstr>eyJoZGlkIjoiMjRkMWIxYWYxZWVkZTZjNmVkMzFmYTRhMzRjMzJiMzAiLCJ1c2VySWQiOiI1MTI0MDQyMjQifQ==</vt:lpwstr>
  </property>
</Properties>
</file>