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07D249">
      <w:pPr>
        <w:spacing w:line="560" w:lineRule="exact"/>
        <w:jc w:val="center"/>
        <w:textAlignment w:val="baseline"/>
        <w:rPr>
          <w:rFonts w:ascii="微软雅黑" w:hAnsi="宋体" w:eastAsia="微软雅黑" w:cs="宋体"/>
          <w:bCs/>
          <w:sz w:val="36"/>
          <w:szCs w:val="36"/>
        </w:rPr>
      </w:pPr>
      <w:r>
        <w:rPr>
          <w:rFonts w:hint="eastAsia" w:ascii="微软雅黑" w:hAnsi="宋体" w:eastAsia="微软雅黑" w:cs="宋体"/>
          <w:bCs/>
          <w:sz w:val="36"/>
          <w:szCs w:val="36"/>
        </w:rPr>
        <w:t>202</w:t>
      </w:r>
      <w:r>
        <w:rPr>
          <w:rFonts w:hint="eastAsia" w:ascii="微软雅黑" w:hAnsi="宋体" w:eastAsia="微软雅黑" w:cs="宋体"/>
          <w:bCs/>
          <w:sz w:val="36"/>
          <w:szCs w:val="36"/>
          <w:lang w:val="en-US" w:eastAsia="zh-CN"/>
        </w:rPr>
        <w:t>5</w:t>
      </w:r>
      <w:r>
        <w:rPr>
          <w:rFonts w:hint="eastAsia" w:ascii="微软雅黑" w:hAnsi="宋体" w:eastAsia="微软雅黑" w:cs="宋体"/>
          <w:bCs/>
          <w:sz w:val="36"/>
          <w:szCs w:val="36"/>
        </w:rPr>
        <w:t>年海南省业财税融合大数据应用竞赛</w:t>
      </w:r>
    </w:p>
    <w:p w14:paraId="1DDDCFD3">
      <w:pPr>
        <w:spacing w:line="560" w:lineRule="exact"/>
        <w:jc w:val="center"/>
        <w:textAlignment w:val="baseline"/>
        <w:rPr>
          <w:rFonts w:hint="eastAsia" w:ascii="微软雅黑" w:hAnsi="宋体" w:eastAsia="微软雅黑" w:cs="宋体"/>
          <w:bCs/>
          <w:sz w:val="36"/>
          <w:szCs w:val="36"/>
        </w:rPr>
      </w:pPr>
      <w:r>
        <w:rPr>
          <w:rFonts w:hint="eastAsia" w:ascii="微软雅黑" w:hAnsi="宋体" w:eastAsia="微软雅黑" w:cs="宋体"/>
          <w:bCs/>
          <w:sz w:val="36"/>
          <w:szCs w:val="36"/>
        </w:rPr>
        <w:t>竞赛规程</w:t>
      </w:r>
    </w:p>
    <w:p w14:paraId="5D0B9511">
      <w:pPr>
        <w:pStyle w:val="7"/>
      </w:pPr>
    </w:p>
    <w:p w14:paraId="6FC02FEA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赛项名称</w:t>
      </w:r>
    </w:p>
    <w:p w14:paraId="0F0BC2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赛项名称：业财税融合大数据应用</w:t>
      </w:r>
    </w:p>
    <w:p w14:paraId="0713AB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赛项组别：高职组</w:t>
      </w:r>
    </w:p>
    <w:p w14:paraId="5E9B69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default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赛项专业类别：财经商贸</w:t>
      </w:r>
    </w:p>
    <w:p w14:paraId="169D840F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竞赛组织机构</w:t>
      </w:r>
    </w:p>
    <w:p w14:paraId="55AF8A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default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主办单位：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海南省教育厅</w:t>
      </w:r>
    </w:p>
    <w:p w14:paraId="761657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default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承办单位：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海南软件职业技术学院</w:t>
      </w:r>
    </w:p>
    <w:p w14:paraId="2E607A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技术支持单位：浙江衡信教育科技有限公司</w:t>
      </w:r>
    </w:p>
    <w:p w14:paraId="33009D5C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竞赛目的</w:t>
      </w:r>
    </w:p>
    <w:p w14:paraId="61050C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海南省业财税融合大数据应用竞赛聚焦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财税改革发展新方向，以产业、技术、税收征管变革为指引，通过“以赛促教、以赛促学、以赛促建、以赛促改”，引领财税专业创新发展。重点关注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财税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合规、税收风控等领域，考察选手“以数治税”背景下的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财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税技能和税收风险管控应用能力，促进财税专业建设与人才培养。</w:t>
      </w:r>
    </w:p>
    <w:p w14:paraId="36C6E0BB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竞赛内容</w:t>
      </w:r>
    </w:p>
    <w:p w14:paraId="429C3EFB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 w:bidi="ar-SA"/>
        </w:rPr>
        <w:t>业财税融合大数据应用竞赛详细内容如下：</w:t>
      </w:r>
    </w:p>
    <w:p w14:paraId="4833D2C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数字财务平台</w:t>
      </w:r>
    </w:p>
    <w:p w14:paraId="065F9C73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 w:bidi="ar-SA"/>
        </w:rPr>
        <w:t>设置会计科目、记账、填制审核凭证、登记账簿、成本计算、编制会计报表、编制利润表。</w:t>
      </w:r>
    </w:p>
    <w:p w14:paraId="72BFE7D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全面数字化的电子发票开具</w:t>
      </w:r>
    </w:p>
    <w:p w14:paraId="611C3C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业务判断及计算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：增值税纳税义务发生时间判断、简易计税业务判断、增值税税率判断、销售额的确定-价外费用、销售收入确定－商业折扣、销售收入确定－现金折扣、包装物押金处理、增值税免税项目判断、以物易物销售方式、委托代销、劳务派遣、分期收款、差额征税等。</w:t>
      </w:r>
    </w:p>
    <w:p w14:paraId="51282C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业务处理：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蓝字发票开具、红字发票开具、清单发票开具、折扣发票开具、免税发票开具、差额征税等典型业务处理，发票备注栏填写。</w:t>
      </w:r>
    </w:p>
    <w:p w14:paraId="256E74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基础操作：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授信额度调整、项目信息维护、客户信息维护、附加信息维护、发票查询。</w:t>
      </w:r>
    </w:p>
    <w:p w14:paraId="19C48E4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一般纳税人增值税及附加税费申报</w:t>
      </w:r>
    </w:p>
    <w:p w14:paraId="33A0FA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 w:val="0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</w:rPr>
        <w:t>业务判断及税费计算</w:t>
      </w:r>
      <w:r>
        <w:rPr>
          <w:rFonts w:hint="eastAsia" w:ascii="仿宋" w:hAnsi="仿宋" w:eastAsia="仿宋" w:cs="仿宋"/>
          <w:b w:val="0"/>
          <w:bCs/>
          <w:color w:val="000000"/>
          <w:kern w:val="0"/>
          <w:sz w:val="28"/>
          <w:szCs w:val="28"/>
        </w:rPr>
        <w:t>：根据业务资料进行销项、进项业务判断、完成未票及视同销售收入、税额抵减及减税、免税等业务的处理。</w:t>
      </w:r>
    </w:p>
    <w:p w14:paraId="26509C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 w:val="0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</w:rPr>
        <w:t>报表填写与审核</w:t>
      </w:r>
      <w:r>
        <w:rPr>
          <w:rFonts w:hint="eastAsia" w:ascii="仿宋" w:hAnsi="仿宋" w:eastAsia="仿宋" w:cs="仿宋"/>
          <w:b w:val="0"/>
          <w:bCs/>
          <w:color w:val="000000"/>
          <w:kern w:val="0"/>
          <w:sz w:val="28"/>
          <w:szCs w:val="28"/>
        </w:rPr>
        <w:t>：根据业务资料填列增值税及附加税费申报附列资料表、减免税申报明细类、纳税申报主表，并进行业务、数据、政策应用合规性审核。</w:t>
      </w:r>
    </w:p>
    <w:p w14:paraId="2C05BD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 w:val="0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</w:rPr>
        <w:t>纳税申报</w:t>
      </w:r>
      <w:r>
        <w:rPr>
          <w:rFonts w:hint="eastAsia" w:ascii="仿宋" w:hAnsi="仿宋" w:eastAsia="仿宋" w:cs="仿宋"/>
          <w:b w:val="0"/>
          <w:bCs/>
          <w:color w:val="000000"/>
          <w:kern w:val="0"/>
          <w:sz w:val="28"/>
          <w:szCs w:val="28"/>
        </w:rPr>
        <w:t>：纳税申报、税款缴纳、修改、申报作废。</w:t>
      </w:r>
    </w:p>
    <w:p w14:paraId="21AC8CD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税务数字账户</w:t>
      </w:r>
    </w:p>
    <w:p w14:paraId="11FA15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业务判断：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自产农产品销售发票类型判断、从小规模处购进的3%农产品发票类型判断、发票抵扣/不抵扣/出口退税业务判断、海关缴款书抵扣/不抵扣/出口退税业务判断、代扣代缴完税凭证抵扣/不抵扣/代办退税业务判断、票据逾期抵扣业务判断。</w:t>
      </w:r>
    </w:p>
    <w:p w14:paraId="0E96A8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业务处理：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代开农产品发票采集、海关缴款书采集、发票业务处理、代扣代缴完税凭证业务处理、海关缴款书业务处理、自产农产品发票类型处理、从小规模处购进的3%农产品发票类型处理、统计确认。</w:t>
      </w:r>
    </w:p>
    <w:p w14:paraId="609B92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基础操作：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海关缴款书采集、抵扣类勾选、不抵扣类勾选、出口退税类勾选、代办退税类勾选、逾期抵扣申请、注销勾选。</w:t>
      </w:r>
    </w:p>
    <w:p w14:paraId="40B8A2E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查账征收企业所得税年度汇算清缴</w:t>
      </w:r>
    </w:p>
    <w:p w14:paraId="350CA5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业务判断及税费计算：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根据业务资料进行业务判断、完成职工薪酬、广告费和业务招待费、亏损弥补、研发费用加计扣除、投资收益、公益性捐赠、免税、减计收入等业务的处理。</w:t>
      </w:r>
    </w:p>
    <w:p w14:paraId="02E4FD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基础信息设置及简化选表：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根据企业资料进行企业基础信息设置，选择需要填报的报表。</w:t>
      </w:r>
    </w:p>
    <w:p w14:paraId="37B152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报表填报与审核：进行收入、成本，纳税调整，弥补亏损，优惠类等报表填报和申报，并进行申报数据与财务报表数据逻辑检查和申报合规及疑点检查。</w:t>
      </w:r>
    </w:p>
    <w:p w14:paraId="3CA501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纳税申报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：纳税申报、税款缴纳、修改、申报作废。</w:t>
      </w:r>
    </w:p>
    <w:p w14:paraId="4A81CAC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个人所得税预扣预缴申报</w:t>
      </w:r>
    </w:p>
    <w:p w14:paraId="776734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业务判断及税费计算：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根据业务资料进行身份、所得类型判断，税收优惠政策运用及应纳税所得额的计算。</w:t>
      </w:r>
    </w:p>
    <w:p w14:paraId="5E05EC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基础信息采集：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准确完成居民、非居民人员信息采集、专项附加扣除信息采集和报送、离职退休变更处理。</w:t>
      </w:r>
    </w:p>
    <w:p w14:paraId="48BDCF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报表填报与审核：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完成综合所得、分类所得、非居民所得、限售股所得各类项目（工资薪金所得、偶然所得、稿酬所得、劳务报酬所得、特许权使用费、解除劳动合同补偿金、利息股息红利所得、财产租赁所得、财产转让所得、年金领取、提前退休一次性补贴收入、个人股权激励收入等）填报，并进行业务、数据、政策应用合规性审核。</w:t>
      </w:r>
    </w:p>
    <w:p w14:paraId="25BD83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纳税申报：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纳税申报、税款缴纳、申报更正、申报作废。</w:t>
      </w:r>
    </w:p>
    <w:p w14:paraId="4976039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7.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个人所得税综合所得年度汇算清缴</w:t>
      </w:r>
    </w:p>
    <w:p w14:paraId="206B3A7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业务判断及税费计算：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根据业务资料进行身份、所得类型判断，收入确认、税收优惠政策运用及应纳税所得额的计算。</w:t>
      </w:r>
    </w:p>
    <w:p w14:paraId="6BA2E2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报表填报与审核：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完成综合所得各类项目（收入合计、费用合计、免税收入合计、专项扣除合计、专项附加扣除合计、其他扣除合计、应补（退）税款计算等）填报，并进行业务、数据、政策应用合规性审核。</w:t>
      </w:r>
    </w:p>
    <w:p w14:paraId="74B22C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</w:rPr>
        <w:t>纳税申报：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 xml:space="preserve">纳税申报、税款缴纳、申报更正、申报作废、退税申请。 </w:t>
      </w:r>
    </w:p>
    <w:p w14:paraId="113D953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outlineLvl w:val="2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8.</w:t>
      </w:r>
      <w:r>
        <w:rPr>
          <w:rFonts w:hint="eastAsia" w:ascii="仿宋" w:hAnsi="仿宋" w:eastAsia="仿宋"/>
          <w:sz w:val="28"/>
          <w:szCs w:val="28"/>
          <w:highlight w:val="none"/>
        </w:rPr>
        <w:t>财税大数据风控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技术应用</w:t>
      </w:r>
    </w:p>
    <w:p w14:paraId="3E0DA5EA">
      <w:pPr>
        <w:ind w:firstLine="562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bCs/>
          <w:sz w:val="28"/>
          <w:szCs w:val="28"/>
          <w:highlight w:val="none"/>
        </w:rPr>
        <w:t>业务处理：</w:t>
      </w:r>
      <w:r>
        <w:rPr>
          <w:rFonts w:hint="eastAsia" w:ascii="仿宋" w:hAnsi="仿宋" w:eastAsia="仿宋"/>
          <w:sz w:val="28"/>
          <w:szCs w:val="28"/>
          <w:highlight w:val="none"/>
        </w:rPr>
        <w:t>根据企业案例，进行企业财税风险自查、评估和应对，最终完成企业财税健康诊断。分为企业案源分析、合规排查、风险疑点归纳、风险引擎组建、风险扫描排查、风险后果自测、风险预警报告出具、纳税检查应对、违规成本及法律责任、纳税检测应对报告出具、提交实训成果，同时以企业角度应对税局的纳税检查，完成企业财税健康诊断。</w:t>
      </w:r>
    </w:p>
    <w:p w14:paraId="3F6EEF38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2" w:firstLineChars="200"/>
        <w:textAlignment w:val="auto"/>
        <w:rPr>
          <w:rFonts w:hint="eastAsia"/>
        </w:rPr>
      </w:pPr>
      <w:r>
        <w:rPr>
          <w:rFonts w:hint="eastAsia" w:ascii="仿宋" w:hAnsi="仿宋" w:eastAsia="仿宋"/>
          <w:b/>
          <w:bCs/>
          <w:sz w:val="28"/>
          <w:szCs w:val="28"/>
          <w:highlight w:val="none"/>
        </w:rPr>
        <w:t>系统操作：</w:t>
      </w:r>
      <w:r>
        <w:rPr>
          <w:rFonts w:hint="eastAsia" w:ascii="仿宋" w:hAnsi="仿宋" w:eastAsia="仿宋"/>
          <w:sz w:val="28"/>
          <w:szCs w:val="28"/>
          <w:highlight w:val="none"/>
        </w:rPr>
        <w:t>完成财税合规检查并提出整改思路；完成风险疑点归纳、指标选择；运用大数据工具完成指标组建和风险引擎组建和扫描；完成税务风险疑点排查；完成风险疑点后果预测；识读风险提示告知书；针对税务检查疑点自查举证并出具纳税检查应对报告。</w:t>
      </w:r>
    </w:p>
    <w:p w14:paraId="0C9C3ED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竞赛方式</w:t>
      </w:r>
    </w:p>
    <w:p w14:paraId="067716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竞赛设置高职组赛道，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为团体赛，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人/组，每组1-2名指导老师。赛前定岗，报名时需明确岗位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每所学校最多报名3支队伍。</w:t>
      </w:r>
    </w:p>
    <w:p w14:paraId="5B021537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竞赛规则</w:t>
      </w:r>
    </w:p>
    <w:p w14:paraId="39A1AF7C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outlineLvl w:val="1"/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 w:bidi="zh-CN"/>
        </w:rPr>
        <w:t>（一）</w:t>
      </w: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/>
        </w:rPr>
        <w:t>参赛资格</w:t>
      </w:r>
    </w:p>
    <w:p w14:paraId="54B37C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1.参赛队及参赛选手资格。参赛选手须为全日制正式学籍的在校生。根据 2026 年世界职业院校技能大赛选拔参赛选手的要求，参赛选手年龄不超过 25 周 岁（即 2001 年 5 月 1 日及以后出生）。五年制学生报名参赛的， 四、五年级学生可参加本次大赛。在近两年世界职业院校技能大赛中获金奖的学生，不再参加同一项目（同一组别）的全省竞赛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。每支参赛队可配2名指导教师，指导教师须为本校专兼职教师。</w:t>
      </w:r>
      <w:bookmarkStart w:id="24" w:name="_GoBack"/>
      <w:bookmarkEnd w:id="24"/>
    </w:p>
    <w:p w14:paraId="526E03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2.本赛项采用团体赛组队方式。每支参赛队由3名全日制在籍学生组成，参赛选手不得跨校组队，同一学校的报名参赛队不超过3支;每队限报2名指导教师，指导教师须为本校专兼职教师，竟赛期间不允许指导教师进入赛场进行现场指导;参赛选手和指导教师报名获得确认后不得随意更换</w:t>
      </w:r>
    </w:p>
    <w:p w14:paraId="5366B2CA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outlineLvl w:val="1"/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 w:bidi="zh-CN"/>
        </w:rPr>
        <w:t>（二）</w:t>
      </w: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/>
        </w:rPr>
        <w:t>业财税大数据应用环节</w:t>
      </w:r>
    </w:p>
    <w:p w14:paraId="10F8A7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default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业财税大数据应用环节采用相关软件平台进行操作，全程系统评分。软件平台及案例资源可联系技术支持单位免费获取。</w:t>
      </w:r>
    </w:p>
    <w:p w14:paraId="08DEFA74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outlineLvl w:val="1"/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 w:bidi="zh-CN"/>
        </w:rPr>
        <w:t>（三）</w:t>
      </w: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/>
        </w:rPr>
        <w:t>竞赛时间</w:t>
      </w:r>
      <w:bookmarkStart w:id="0" w:name="_Toc11947"/>
      <w:bookmarkStart w:id="1" w:name="_Toc13577"/>
    </w:p>
    <w:bookmarkEnd w:id="0"/>
    <w:bookmarkEnd w:id="1"/>
    <w:p w14:paraId="7725B6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业财税融合大数据应用环节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竞赛时间为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  <w:t>0分钟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由参赛选手在规定时间完成岗位竞赛内容。</w:t>
      </w:r>
    </w:p>
    <w:tbl>
      <w:tblPr>
        <w:tblStyle w:val="11"/>
        <w:tblW w:w="58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1332"/>
        <w:gridCol w:w="1437"/>
        <w:gridCol w:w="2316"/>
        <w:gridCol w:w="3786"/>
      </w:tblGrid>
      <w:tr w14:paraId="18970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579" w:type="pct"/>
            <w:tcBorders>
              <w:tl2br w:val="nil"/>
              <w:tr2bl w:val="nil"/>
            </w:tcBorders>
            <w:noWrap/>
            <w:vAlign w:val="center"/>
          </w:tcPr>
          <w:p w14:paraId="3A5D8865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日期</w:t>
            </w:r>
          </w:p>
        </w:tc>
        <w:tc>
          <w:tcPr>
            <w:tcW w:w="663" w:type="pct"/>
            <w:tcBorders>
              <w:tl2br w:val="nil"/>
              <w:tr2bl w:val="nil"/>
            </w:tcBorders>
            <w:noWrap/>
            <w:vAlign w:val="center"/>
          </w:tcPr>
          <w:p w14:paraId="54A1D11B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  <w:t>环节</w:t>
            </w:r>
          </w:p>
        </w:tc>
        <w:tc>
          <w:tcPr>
            <w:tcW w:w="716" w:type="pct"/>
            <w:tcBorders>
              <w:tl2br w:val="nil"/>
              <w:tr2bl w:val="nil"/>
            </w:tcBorders>
            <w:noWrap/>
            <w:vAlign w:val="center"/>
          </w:tcPr>
          <w:p w14:paraId="3D6B4B32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时间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1D09BCC5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岗位</w:t>
            </w:r>
          </w:p>
        </w:tc>
        <w:tc>
          <w:tcPr>
            <w:tcW w:w="1886" w:type="pct"/>
            <w:tcBorders>
              <w:tl2br w:val="nil"/>
              <w:tr2bl w:val="nil"/>
            </w:tcBorders>
            <w:noWrap/>
            <w:vAlign w:val="center"/>
          </w:tcPr>
          <w:p w14:paraId="67CA6E8C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竞赛内容</w:t>
            </w:r>
          </w:p>
        </w:tc>
      </w:tr>
      <w:tr w14:paraId="22133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579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76D9FDC6">
            <w:pPr>
              <w:spacing w:line="560" w:lineRule="exact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highlight w:val="yellow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/>
              </w:rPr>
              <w:t>12月14日</w:t>
            </w:r>
          </w:p>
        </w:tc>
        <w:tc>
          <w:tcPr>
            <w:tcW w:w="663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23E88E49">
            <w:pPr>
              <w:spacing w:line="560" w:lineRule="exact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highlight w:val="yellow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/>
              </w:rPr>
              <w:t>报到</w:t>
            </w:r>
          </w:p>
        </w:tc>
        <w:tc>
          <w:tcPr>
            <w:tcW w:w="71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9670E1">
            <w:pPr>
              <w:spacing w:line="560" w:lineRule="exact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highlight w:val="yellow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/>
              </w:rPr>
              <w:t>15:00—15:30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C434671">
            <w:pPr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1886" w:type="pct"/>
            <w:tcBorders>
              <w:tl2br w:val="nil"/>
              <w:tr2bl w:val="nil"/>
            </w:tcBorders>
            <w:noWrap/>
            <w:vAlign w:val="center"/>
          </w:tcPr>
          <w:p w14:paraId="2F36686B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  <w:t>选手报到、抽签</w:t>
            </w:r>
          </w:p>
        </w:tc>
      </w:tr>
      <w:tr w14:paraId="3E010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579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5CD28857">
            <w:pPr>
              <w:spacing w:line="560" w:lineRule="exact"/>
              <w:jc w:val="center"/>
              <w:textAlignment w:val="center"/>
              <w:rPr>
                <w:sz w:val="20"/>
                <w:szCs w:val="20"/>
              </w:rPr>
            </w:pPr>
          </w:p>
        </w:tc>
        <w:tc>
          <w:tcPr>
            <w:tcW w:w="663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7DF0B10E">
            <w:pPr>
              <w:spacing w:line="560" w:lineRule="exact"/>
              <w:jc w:val="center"/>
              <w:textAlignment w:val="center"/>
              <w:rPr>
                <w:sz w:val="20"/>
                <w:szCs w:val="20"/>
              </w:rPr>
            </w:pPr>
          </w:p>
        </w:tc>
        <w:tc>
          <w:tcPr>
            <w:tcW w:w="71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295959">
            <w:pPr>
              <w:spacing w:line="560" w:lineRule="exact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highlight w:val="yellow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/>
              </w:rPr>
              <w:t>15:30—16:30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064586F">
            <w:pPr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1886" w:type="pct"/>
            <w:tcBorders>
              <w:tl2br w:val="nil"/>
              <w:tr2bl w:val="nil"/>
            </w:tcBorders>
            <w:noWrap/>
            <w:vAlign w:val="center"/>
          </w:tcPr>
          <w:p w14:paraId="3E4408AA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  <w:t>参赛队熟悉场地</w:t>
            </w:r>
          </w:p>
        </w:tc>
      </w:tr>
      <w:tr w14:paraId="7DFB1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79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320C8200">
            <w:pPr>
              <w:spacing w:line="560" w:lineRule="exact"/>
              <w:jc w:val="both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12月15日</w:t>
            </w:r>
          </w:p>
        </w:tc>
        <w:tc>
          <w:tcPr>
            <w:tcW w:w="663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526C025F">
            <w:pPr>
              <w:bidi w:val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业财税融合大数据应用环节</w:t>
            </w:r>
          </w:p>
        </w:tc>
        <w:tc>
          <w:tcPr>
            <w:tcW w:w="716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37032ADF">
            <w:pPr>
              <w:spacing w:line="560" w:lineRule="exact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highlight w:val="yellow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/>
              </w:rPr>
              <w:t>9：00-12：00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2A2B184F">
            <w:pPr>
              <w:spacing w:line="560" w:lineRule="exact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会计事务岗</w:t>
            </w:r>
          </w:p>
        </w:tc>
        <w:tc>
          <w:tcPr>
            <w:tcW w:w="1886" w:type="pct"/>
            <w:tcBorders>
              <w:tl2br w:val="nil"/>
              <w:tr2bl w:val="nil"/>
            </w:tcBorders>
            <w:noWrap/>
            <w:vAlign w:val="center"/>
          </w:tcPr>
          <w:p w14:paraId="64F3BFE6">
            <w:pPr>
              <w:pStyle w:val="7"/>
              <w:spacing w:line="560" w:lineRule="exact"/>
              <w:jc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  <w:t>数字财务平台</w:t>
            </w:r>
          </w:p>
        </w:tc>
      </w:tr>
      <w:tr w14:paraId="25090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79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2BF12D8A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663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2FDA80EA">
            <w:pPr>
              <w:bidi w:val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79C296F8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4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3EAD644D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企业税务申报合规岗</w:t>
            </w:r>
          </w:p>
        </w:tc>
        <w:tc>
          <w:tcPr>
            <w:tcW w:w="1886" w:type="pct"/>
            <w:tcBorders>
              <w:tl2br w:val="nil"/>
              <w:tr2bl w:val="nil"/>
            </w:tcBorders>
            <w:noWrap/>
            <w:vAlign w:val="center"/>
          </w:tcPr>
          <w:p w14:paraId="2AE0B82B">
            <w:pPr>
              <w:pStyle w:val="7"/>
              <w:spacing w:line="560" w:lineRule="exact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  <w:t>全面数字化的电子发票开具</w:t>
            </w:r>
          </w:p>
        </w:tc>
      </w:tr>
      <w:tr w14:paraId="082F7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79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709430E1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663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6322FCE1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3442E765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278CB333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86" w:type="pct"/>
            <w:tcBorders>
              <w:tl2br w:val="nil"/>
              <w:tr2bl w:val="nil"/>
            </w:tcBorders>
            <w:noWrap/>
            <w:vAlign w:val="center"/>
          </w:tcPr>
          <w:p w14:paraId="11B3BAED">
            <w:pPr>
              <w:pStyle w:val="7"/>
              <w:spacing w:line="560" w:lineRule="exact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  <w:t>一般纳税人增值税及附加税费申报</w:t>
            </w:r>
          </w:p>
        </w:tc>
      </w:tr>
      <w:tr w14:paraId="37288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79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7DF0E6B3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663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7A5CD8EB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50FAF0EE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135AF85A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86" w:type="pct"/>
            <w:tcBorders>
              <w:tl2br w:val="nil"/>
              <w:tr2bl w:val="nil"/>
            </w:tcBorders>
            <w:noWrap/>
            <w:vAlign w:val="center"/>
          </w:tcPr>
          <w:p w14:paraId="7AECD2E1">
            <w:pPr>
              <w:pStyle w:val="7"/>
              <w:spacing w:line="560" w:lineRule="exact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  <w:t>税务数字账户</w:t>
            </w:r>
          </w:p>
        </w:tc>
      </w:tr>
      <w:tr w14:paraId="1BC1F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79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2DCB51B8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663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4ED6721F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49130C9A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5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43AF9CA1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86" w:type="pct"/>
            <w:tcBorders>
              <w:tl2br w:val="nil"/>
              <w:tr2bl w:val="nil"/>
            </w:tcBorders>
            <w:noWrap/>
            <w:vAlign w:val="center"/>
          </w:tcPr>
          <w:p w14:paraId="26B7C15C">
            <w:pPr>
              <w:pStyle w:val="7"/>
              <w:spacing w:line="560" w:lineRule="exact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  <w:t>查账征收企业所得税年度汇算清缴</w:t>
            </w:r>
          </w:p>
        </w:tc>
      </w:tr>
      <w:tr w14:paraId="11FD9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79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6827AEEE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663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621F1387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60D2FECE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154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7EB08C4D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个人所得税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申报合规岗</w:t>
            </w:r>
          </w:p>
        </w:tc>
        <w:tc>
          <w:tcPr>
            <w:tcW w:w="1886" w:type="pct"/>
            <w:tcBorders>
              <w:tl2br w:val="nil"/>
              <w:tr2bl w:val="nil"/>
            </w:tcBorders>
            <w:noWrap/>
            <w:vAlign w:val="center"/>
          </w:tcPr>
          <w:p w14:paraId="2FF654D0">
            <w:pPr>
              <w:pStyle w:val="7"/>
              <w:spacing w:line="560" w:lineRule="exact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  <w:t>个人所得税预扣预缴申报</w:t>
            </w:r>
          </w:p>
        </w:tc>
      </w:tr>
      <w:tr w14:paraId="6866F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79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270D5D4C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663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325BA7B8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0A897BAD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154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31474F4B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886" w:type="pct"/>
            <w:tcBorders>
              <w:tl2br w:val="nil"/>
              <w:tr2bl w:val="nil"/>
            </w:tcBorders>
            <w:noWrap/>
            <w:vAlign w:val="center"/>
          </w:tcPr>
          <w:p w14:paraId="291814F4">
            <w:pPr>
              <w:pStyle w:val="7"/>
              <w:spacing w:line="560" w:lineRule="exact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  <w:t>个人所得税生产经营所得年度汇算清缴</w:t>
            </w:r>
          </w:p>
        </w:tc>
      </w:tr>
      <w:tr w14:paraId="39533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79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517B3E1B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663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3BCCE8D5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716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51936AF6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2D59F0EB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综合管控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岗</w:t>
            </w:r>
          </w:p>
        </w:tc>
        <w:tc>
          <w:tcPr>
            <w:tcW w:w="1886" w:type="pct"/>
            <w:tcBorders>
              <w:tl2br w:val="nil"/>
              <w:tr2bl w:val="nil"/>
            </w:tcBorders>
            <w:noWrap/>
            <w:vAlign w:val="center"/>
          </w:tcPr>
          <w:p w14:paraId="2C658AD6">
            <w:pPr>
              <w:pStyle w:val="7"/>
              <w:spacing w:line="560" w:lineRule="exact"/>
              <w:jc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  <w:t>财税大数据风控技术应用</w:t>
            </w:r>
          </w:p>
        </w:tc>
      </w:tr>
      <w:tr w14:paraId="1D6C7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579" w:type="pct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65233C35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663" w:type="pct"/>
            <w:tcBorders>
              <w:tl2br w:val="nil"/>
              <w:tr2bl w:val="nil"/>
            </w:tcBorders>
            <w:noWrap/>
            <w:vAlign w:val="center"/>
          </w:tcPr>
          <w:p w14:paraId="49FDECF5">
            <w:pPr>
              <w:bidi w:val="0"/>
              <w:jc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成绩公布</w:t>
            </w:r>
          </w:p>
        </w:tc>
        <w:tc>
          <w:tcPr>
            <w:tcW w:w="716" w:type="pct"/>
            <w:tcBorders>
              <w:tl2br w:val="nil"/>
              <w:tr2bl w:val="nil"/>
            </w:tcBorders>
            <w:noWrap/>
            <w:vAlign w:val="center"/>
          </w:tcPr>
          <w:p w14:paraId="485E9406">
            <w:pPr>
              <w:bidi w:val="0"/>
              <w:jc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/>
              </w:rPr>
              <w:t>12：30</w:t>
            </w:r>
          </w:p>
        </w:tc>
        <w:tc>
          <w:tcPr>
            <w:tcW w:w="1154" w:type="pct"/>
            <w:tcBorders>
              <w:tl2br w:val="nil"/>
              <w:tr2bl w:val="nil"/>
            </w:tcBorders>
            <w:noWrap/>
            <w:vAlign w:val="center"/>
          </w:tcPr>
          <w:p w14:paraId="37AE8649">
            <w:pPr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1886" w:type="pct"/>
            <w:tcBorders>
              <w:tl2br w:val="nil"/>
              <w:tr2bl w:val="nil"/>
            </w:tcBorders>
            <w:noWrap/>
            <w:vAlign w:val="center"/>
          </w:tcPr>
          <w:p w14:paraId="4E458914">
            <w:pPr>
              <w:pStyle w:val="7"/>
              <w:spacing w:line="560" w:lineRule="exact"/>
              <w:jc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  <w:t>公布最终成绩</w:t>
            </w:r>
          </w:p>
        </w:tc>
      </w:tr>
    </w:tbl>
    <w:p w14:paraId="3A1860A5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技术规范</w:t>
      </w:r>
    </w:p>
    <w:p w14:paraId="0075F5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（一）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  <w:t>截至202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  <w:t>月3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  <w:t>日发布并开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始实施的会计金融、税务等财经类法规、制度等；</w:t>
      </w:r>
    </w:p>
    <w:p w14:paraId="502836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（二）截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  <w:t>至202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  <w:t>月3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  <w:t>日发布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并开始实施的其他相关财经类法规、制度；</w:t>
      </w:r>
    </w:p>
    <w:p w14:paraId="661BBA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（三）《个税计算职业技能等级标准（2021年2.0版）》；</w:t>
      </w:r>
    </w:p>
    <w:p w14:paraId="43B47A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（四）纳税评估政策：《纳税评估管理办法（试行）》、《纳税评估通用分析指标及试用方法》、《纳税评估分税种特定分析指标及试用方法》、《增值税纳税评估部分方法及行业纳税评估指标》；</w:t>
      </w:r>
    </w:p>
    <w:p w14:paraId="677D87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（五）理论和业务知识教材参考：《个税计算基础与实务（初级）》、《个税计算基础（中级）》、《个税计算实务（中级）》、《纳税风险评估与管控实务》、《大数据税收风险管理及应用案例》《税法》；</w:t>
      </w:r>
    </w:p>
    <w:p w14:paraId="2BFDD2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（六）特殊情况以赛前说明会确定为准。</w:t>
      </w:r>
    </w:p>
    <w:p w14:paraId="71F469A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成绩评定</w:t>
      </w:r>
    </w:p>
    <w:p w14:paraId="2A5C6F6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outlineLvl w:val="1"/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 w:bidi="zh-CN"/>
        </w:rPr>
        <w:t>（一）</w:t>
      </w: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/>
        </w:rPr>
        <w:t>评分标准</w:t>
      </w:r>
    </w:p>
    <w:p w14:paraId="395B89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1.评分标准由赛项专家组制定，本着公平、公正、公开的原则，对参赛选手职业素养、职业精神、职业判断、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财务处理能力、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税务申报处理能力、税收风险管控能力、分析解决问题的能力、团队协作能力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进行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考核，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业财税融合大数据应用环节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由系统进行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自动评分，赛项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裁判组全程监控。</w:t>
      </w:r>
    </w:p>
    <w:p w14:paraId="15A656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2.竞赛成绩经裁判长、仲裁人员审核签字后确定。若有异议，经过规定程序仲裁后，按照仲裁结果公布比赛成绩。</w:t>
      </w:r>
    </w:p>
    <w:p w14:paraId="1DC36416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outlineLvl w:val="1"/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 w:bidi="zh-CN"/>
        </w:rPr>
        <w:t>（二）</w:t>
      </w: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/>
        </w:rPr>
        <w:t>评分方法</w:t>
      </w:r>
    </w:p>
    <w:p w14:paraId="1E0B5F1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本次竞赛团体四个角色，每人100分，满分400分，各队最终成绩由系统评分呈现。具体分值分配入下：</w:t>
      </w:r>
    </w:p>
    <w:tbl>
      <w:tblPr>
        <w:tblStyle w:val="11"/>
        <w:tblW w:w="611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3228"/>
        <w:gridCol w:w="772"/>
        <w:gridCol w:w="4032"/>
        <w:gridCol w:w="1046"/>
      </w:tblGrid>
      <w:tr w14:paraId="677C7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651" w:type="pct"/>
            <w:shd w:val="clear" w:color="auto" w:fill="auto"/>
            <w:vAlign w:val="center"/>
          </w:tcPr>
          <w:p w14:paraId="203D3A39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岗位</w:t>
            </w:r>
          </w:p>
        </w:tc>
        <w:tc>
          <w:tcPr>
            <w:tcW w:w="1546" w:type="pct"/>
            <w:shd w:val="clear" w:color="auto" w:fill="auto"/>
            <w:vAlign w:val="center"/>
          </w:tcPr>
          <w:p w14:paraId="2F765224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竞赛内容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394DC88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分值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11535479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依托教学系统</w:t>
            </w:r>
          </w:p>
        </w:tc>
        <w:tc>
          <w:tcPr>
            <w:tcW w:w="501" w:type="pct"/>
            <w:shd w:val="clear" w:color="auto" w:fill="auto"/>
            <w:vAlign w:val="center"/>
          </w:tcPr>
          <w:p w14:paraId="3D85BB21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评分方法</w:t>
            </w:r>
          </w:p>
        </w:tc>
      </w:tr>
      <w:tr w14:paraId="61CA4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51" w:type="pct"/>
            <w:shd w:val="clear" w:color="auto" w:fill="auto"/>
            <w:vAlign w:val="center"/>
          </w:tcPr>
          <w:p w14:paraId="74CD51C2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会计事务岗</w:t>
            </w:r>
          </w:p>
        </w:tc>
        <w:tc>
          <w:tcPr>
            <w:tcW w:w="1546" w:type="pct"/>
            <w:shd w:val="clear" w:color="auto" w:fill="auto"/>
            <w:vAlign w:val="center"/>
          </w:tcPr>
          <w:p w14:paraId="7D8466A0">
            <w:pPr>
              <w:pStyle w:val="7"/>
              <w:spacing w:line="240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  <w:t>数字财务平台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2C3E1947">
            <w:pPr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100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55BB5DC2">
            <w:pPr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财税服务外包云平台</w:t>
            </w:r>
          </w:p>
        </w:tc>
        <w:tc>
          <w:tcPr>
            <w:tcW w:w="501" w:type="pct"/>
            <w:vMerge w:val="restart"/>
            <w:shd w:val="clear" w:color="auto" w:fill="auto"/>
            <w:vAlign w:val="center"/>
          </w:tcPr>
          <w:p w14:paraId="311A29DC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系统评分</w:t>
            </w:r>
          </w:p>
        </w:tc>
      </w:tr>
      <w:tr w14:paraId="69224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51" w:type="pct"/>
            <w:vMerge w:val="restart"/>
            <w:shd w:val="clear" w:color="auto" w:fill="auto"/>
            <w:vAlign w:val="center"/>
          </w:tcPr>
          <w:p w14:paraId="370625B1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企业税务申报合规岗</w:t>
            </w:r>
          </w:p>
        </w:tc>
        <w:tc>
          <w:tcPr>
            <w:tcW w:w="1546" w:type="pct"/>
            <w:shd w:val="clear" w:color="auto" w:fill="auto"/>
            <w:vAlign w:val="center"/>
          </w:tcPr>
          <w:p w14:paraId="7CFEBEEA">
            <w:pPr>
              <w:pStyle w:val="7"/>
              <w:spacing w:line="240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  <w:t>全面数字化的电子发票开具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F89D329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2520CC22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全面数字化的电子发票（数电票）教学实训系统</w:t>
            </w:r>
          </w:p>
        </w:tc>
        <w:tc>
          <w:tcPr>
            <w:tcW w:w="501" w:type="pct"/>
            <w:vMerge w:val="continue"/>
            <w:shd w:val="clear" w:color="auto" w:fill="auto"/>
            <w:vAlign w:val="center"/>
          </w:tcPr>
          <w:p w14:paraId="0992C000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</w:p>
        </w:tc>
      </w:tr>
      <w:tr w14:paraId="106E2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651" w:type="pct"/>
            <w:vMerge w:val="continue"/>
            <w:shd w:val="clear" w:color="auto" w:fill="auto"/>
            <w:vAlign w:val="center"/>
          </w:tcPr>
          <w:p w14:paraId="73A121D9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shd w:val="clear" w:color="auto" w:fill="auto"/>
            <w:vAlign w:val="center"/>
          </w:tcPr>
          <w:p w14:paraId="6BD42B47">
            <w:pPr>
              <w:pStyle w:val="7"/>
              <w:spacing w:line="240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  <w:t>一般纳税人增值税及附加税费申报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63A3CBA5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20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7D2A2C3D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增值税及附加税申报系统</w:t>
            </w:r>
          </w:p>
        </w:tc>
        <w:tc>
          <w:tcPr>
            <w:tcW w:w="501" w:type="pct"/>
            <w:vMerge w:val="continue"/>
            <w:shd w:val="clear" w:color="auto" w:fill="auto"/>
            <w:vAlign w:val="center"/>
          </w:tcPr>
          <w:p w14:paraId="7E6EE4E1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</w:p>
        </w:tc>
      </w:tr>
      <w:tr w14:paraId="14957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651" w:type="pct"/>
            <w:vMerge w:val="continue"/>
            <w:shd w:val="clear" w:color="auto" w:fill="auto"/>
            <w:vAlign w:val="center"/>
          </w:tcPr>
          <w:p w14:paraId="6DCAD5A7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shd w:val="clear" w:color="auto" w:fill="auto"/>
            <w:vAlign w:val="center"/>
          </w:tcPr>
          <w:p w14:paraId="42FF30B1">
            <w:pPr>
              <w:pStyle w:val="7"/>
              <w:spacing w:line="240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  <w:t>税务数字账户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22A31977">
            <w:pPr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15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25A3E9CD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税务数字账户教学实训系统</w:t>
            </w:r>
          </w:p>
        </w:tc>
        <w:tc>
          <w:tcPr>
            <w:tcW w:w="501" w:type="pct"/>
            <w:vMerge w:val="continue"/>
            <w:shd w:val="clear" w:color="auto" w:fill="auto"/>
            <w:vAlign w:val="center"/>
          </w:tcPr>
          <w:p w14:paraId="45B7DC2C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</w:p>
        </w:tc>
      </w:tr>
      <w:tr w14:paraId="3C0D2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51" w:type="pct"/>
            <w:vMerge w:val="continue"/>
            <w:shd w:val="clear" w:color="auto" w:fill="auto"/>
            <w:vAlign w:val="center"/>
          </w:tcPr>
          <w:p w14:paraId="605FE01C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shd w:val="clear" w:color="auto" w:fill="auto"/>
            <w:vAlign w:val="center"/>
          </w:tcPr>
          <w:p w14:paraId="48157BDD">
            <w:pPr>
              <w:pStyle w:val="7"/>
              <w:spacing w:line="240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  <w:t>查账征收企业所得税年度汇算清缴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43F67EDE">
            <w:pPr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35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7F13A483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企业所得税年度汇算清缴申报教学实训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系统</w:t>
            </w:r>
          </w:p>
        </w:tc>
        <w:tc>
          <w:tcPr>
            <w:tcW w:w="501" w:type="pct"/>
            <w:vMerge w:val="continue"/>
            <w:shd w:val="clear" w:color="auto" w:fill="auto"/>
            <w:vAlign w:val="center"/>
          </w:tcPr>
          <w:p w14:paraId="30607B9B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</w:p>
        </w:tc>
      </w:tr>
      <w:tr w14:paraId="70276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651" w:type="pct"/>
            <w:vMerge w:val="restart"/>
            <w:shd w:val="clear" w:color="auto" w:fill="auto"/>
            <w:vAlign w:val="center"/>
          </w:tcPr>
          <w:p w14:paraId="2B8CADA1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个人所得税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申报合规岗</w:t>
            </w:r>
          </w:p>
        </w:tc>
        <w:tc>
          <w:tcPr>
            <w:tcW w:w="1546" w:type="pct"/>
            <w:shd w:val="clear" w:color="auto" w:fill="auto"/>
            <w:vAlign w:val="center"/>
          </w:tcPr>
          <w:p w14:paraId="7947426B">
            <w:pPr>
              <w:pStyle w:val="7"/>
              <w:spacing w:line="240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  <w:t>个人所得税预扣预缴申报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2A4136AF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50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3B9180DD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个人所得税预扣预缴申报教学实训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系统</w:t>
            </w:r>
          </w:p>
        </w:tc>
        <w:tc>
          <w:tcPr>
            <w:tcW w:w="501" w:type="pct"/>
            <w:vMerge w:val="continue"/>
            <w:shd w:val="clear" w:color="auto" w:fill="auto"/>
            <w:vAlign w:val="center"/>
          </w:tcPr>
          <w:p w14:paraId="372A400D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</w:p>
        </w:tc>
      </w:tr>
      <w:tr w14:paraId="342D0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  <w:jc w:val="center"/>
        </w:trPr>
        <w:tc>
          <w:tcPr>
            <w:tcW w:w="651" w:type="pct"/>
            <w:vMerge w:val="continue"/>
            <w:shd w:val="clear" w:color="auto" w:fill="auto"/>
            <w:vAlign w:val="center"/>
          </w:tcPr>
          <w:p w14:paraId="42FC4A54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shd w:val="clear" w:color="auto" w:fill="auto"/>
            <w:vAlign w:val="center"/>
          </w:tcPr>
          <w:p w14:paraId="4BBE00B3">
            <w:pPr>
              <w:pStyle w:val="7"/>
              <w:spacing w:line="240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bidi="ar-SA"/>
              </w:rPr>
              <w:t>个人所得税生产经营所得年度汇算清缴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421CB6BB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50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7D187F93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个人所得税生产经营所得年度汇算清缴教学实训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系统</w:t>
            </w:r>
          </w:p>
        </w:tc>
        <w:tc>
          <w:tcPr>
            <w:tcW w:w="501" w:type="pct"/>
            <w:vMerge w:val="continue"/>
            <w:shd w:val="clear" w:color="auto" w:fill="auto"/>
            <w:vAlign w:val="center"/>
          </w:tcPr>
          <w:p w14:paraId="25F387F1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</w:p>
        </w:tc>
      </w:tr>
      <w:tr w14:paraId="583E3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" w:hRule="atLeast"/>
          <w:jc w:val="center"/>
        </w:trPr>
        <w:tc>
          <w:tcPr>
            <w:tcW w:w="651" w:type="pct"/>
            <w:shd w:val="clear" w:color="auto" w:fill="auto"/>
            <w:vAlign w:val="center"/>
          </w:tcPr>
          <w:p w14:paraId="6E32DF75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综合管控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岗</w:t>
            </w:r>
          </w:p>
        </w:tc>
        <w:tc>
          <w:tcPr>
            <w:tcW w:w="1546" w:type="pct"/>
            <w:shd w:val="clear" w:color="auto" w:fill="auto"/>
            <w:vAlign w:val="center"/>
          </w:tcPr>
          <w:p w14:paraId="6E9444A5">
            <w:pPr>
              <w:pStyle w:val="7"/>
              <w:spacing w:line="240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  <w:t>财税大数据风控技术应用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0D5A70B0">
            <w:pPr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100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72984FEC">
            <w:pPr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 w:bidi="ar-SA"/>
              </w:rPr>
              <w:t>财税大数据风控综合实训平台</w:t>
            </w:r>
          </w:p>
        </w:tc>
        <w:tc>
          <w:tcPr>
            <w:tcW w:w="501" w:type="pct"/>
            <w:vMerge w:val="continue"/>
            <w:shd w:val="clear" w:color="auto" w:fill="auto"/>
            <w:vAlign w:val="center"/>
          </w:tcPr>
          <w:p w14:paraId="2D62C85E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</w:p>
        </w:tc>
      </w:tr>
      <w:tr w14:paraId="33CCE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197" w:type="pct"/>
            <w:gridSpan w:val="2"/>
            <w:shd w:val="clear" w:color="auto" w:fill="auto"/>
            <w:vAlign w:val="center"/>
          </w:tcPr>
          <w:p w14:paraId="07E31BCB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合计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1CD236CA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00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4ACCD8D8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1" w:type="pct"/>
            <w:vMerge w:val="continue"/>
            <w:shd w:val="clear" w:color="auto" w:fill="auto"/>
            <w:vAlign w:val="center"/>
          </w:tcPr>
          <w:p w14:paraId="372932FA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</w:p>
        </w:tc>
      </w:tr>
    </w:tbl>
    <w:p w14:paraId="017983A1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0" w:firstLineChars="0"/>
        <w:outlineLvl w:val="1"/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 w:bidi="zh-CN"/>
        </w:rPr>
        <w:t>（三）</w:t>
      </w:r>
      <w:r>
        <w:rPr>
          <w:rFonts w:hint="eastAsia" w:ascii="仿宋" w:hAnsi="仿宋" w:eastAsia="仿宋" w:cs="仿宋"/>
          <w:b/>
          <w:bCs w:val="0"/>
          <w:color w:val="000000"/>
          <w:kern w:val="0"/>
          <w:sz w:val="28"/>
          <w:szCs w:val="28"/>
          <w:lang w:val="en-US" w:eastAsia="zh-CN"/>
        </w:rPr>
        <w:t>评分范围</w:t>
      </w:r>
    </w:p>
    <w:p w14:paraId="25C6E0E4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425" w:leftChars="0" w:hanging="425" w:firstLineChars="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数字财务平台（财税服务外包云平台）评分点</w:t>
      </w:r>
    </w:p>
    <w:tbl>
      <w:tblPr>
        <w:tblStyle w:val="11"/>
        <w:tblW w:w="622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9"/>
        <w:gridCol w:w="7983"/>
      </w:tblGrid>
      <w:tr w14:paraId="3A3A9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1242" w:type="pct"/>
            <w:shd w:val="clear" w:color="auto" w:fill="auto"/>
            <w:vAlign w:val="center"/>
          </w:tcPr>
          <w:p w14:paraId="0FD093A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考核内容</w:t>
            </w:r>
          </w:p>
        </w:tc>
        <w:tc>
          <w:tcPr>
            <w:tcW w:w="3757" w:type="pct"/>
            <w:shd w:val="clear" w:color="auto" w:fill="auto"/>
            <w:vAlign w:val="center"/>
          </w:tcPr>
          <w:p w14:paraId="74490E4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评分范围（知识点、技能点）</w:t>
            </w:r>
          </w:p>
        </w:tc>
      </w:tr>
      <w:tr w14:paraId="5260C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9" w:hRule="atLeast"/>
          <w:jc w:val="center"/>
        </w:trPr>
        <w:tc>
          <w:tcPr>
            <w:tcW w:w="1242" w:type="pct"/>
            <w:shd w:val="clear" w:color="auto" w:fill="auto"/>
            <w:vAlign w:val="center"/>
          </w:tcPr>
          <w:p w14:paraId="03B8D063">
            <w:pPr>
              <w:keepNext w:val="0"/>
              <w:keepLines w:val="0"/>
              <w:widowControl/>
              <w:suppressLineNumbers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工作任务一 会计科目</w:t>
            </w:r>
          </w:p>
        </w:tc>
        <w:tc>
          <w:tcPr>
            <w:tcW w:w="3757" w:type="pct"/>
            <w:shd w:val="clear" w:color="auto" w:fill="auto"/>
            <w:vAlign w:val="center"/>
          </w:tcPr>
          <w:p w14:paraId="36CCF396">
            <w:pPr>
              <w:keepNext w:val="0"/>
              <w:keepLines w:val="0"/>
              <w:widowControl/>
              <w:suppressLineNumbers w:val="0"/>
              <w:spacing w:line="240" w:lineRule="auto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认识会计科目，含库存现金、银行存款、其他货币资金、应收票据、应收账款、预付账款、应收股利、应收利息、其他应收款、材料采购、在途物资、原材料、材料成本差异、库存商品、委托加工物资、周转材料、长期股权投资、固定资产、累计折旧、在建工程、工程物资、固定资产清理、无形资产、累计摊销、长期待摊费用、待处理财产损溢、短期借款、应付票据、应付账款、预收账款、应付职工薪酬、应交税费、应付利息、应付利润、其他应付款、长期借款、长期应付款、实收资本、资本公积、盈余公积、本年利润、利润分配、生产成本、制造费用、主营业务收入、其他业务收入、主营业务成本、其他业务成本、税金及附加、销售费用、管理费用、财务费用、营业外收入、营业外支出、所得税费用</w:t>
            </w:r>
          </w:p>
        </w:tc>
      </w:tr>
      <w:tr w14:paraId="3A798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5" w:hRule="atLeast"/>
          <w:jc w:val="center"/>
        </w:trPr>
        <w:tc>
          <w:tcPr>
            <w:tcW w:w="1242" w:type="pct"/>
            <w:shd w:val="clear" w:color="auto" w:fill="auto"/>
            <w:vAlign w:val="center"/>
          </w:tcPr>
          <w:p w14:paraId="46A397E0">
            <w:pPr>
              <w:keepNext w:val="0"/>
              <w:keepLines w:val="0"/>
              <w:widowControl/>
              <w:suppressLineNumbers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工作任务二 资产负债表</w:t>
            </w:r>
          </w:p>
        </w:tc>
        <w:tc>
          <w:tcPr>
            <w:tcW w:w="3757" w:type="pct"/>
            <w:shd w:val="clear" w:color="auto" w:fill="auto"/>
            <w:vAlign w:val="center"/>
          </w:tcPr>
          <w:p w14:paraId="0B979C40">
            <w:pPr>
              <w:keepNext w:val="0"/>
              <w:keepLines w:val="0"/>
              <w:widowControl/>
              <w:suppressLineNumbers w:val="0"/>
              <w:spacing w:line="240" w:lineRule="auto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年初余额，含货币资金、应收票据、应收账款、预付款项、应收股利、应收利息、其他应收款、存货、其他流动资产、长期股权投资、固定资产原价、累计折旧、固定资产账面价值、在建工程、固定资产清理、无形资产、长期待摊费用、其他非流动资产、短期借款、应付票据、应付账款、预收账款、应付职工薪酬、应交税费、应付利息、应付利润、其他应付款、其他流动负债、长期借款、长期应付款、其他非流动负债、实收资本（或股本）、资本公积、盈余公积、未分配利润 2. 计算期末余额，含货币资金、应收票据、应收账款、预付款项、应收股利、应收利息、其他应收款、存货、其他流动资产、长期股权投资、固定资产原价、累计折旧、固定资产账面价值、在建工程、固定资产清理、无形资产、长期待摊费用、其他非流动资产、短期借款、应付票据、应付账款、预收账款、应付职工薪酬、应交税费、应付利息、应付利润、其他应付款、其他流动负债、长期借款、长期应付款、其他非流动负债、实收资本（或股本）、资本公积、盈余公积、未分配利润</w:t>
            </w:r>
          </w:p>
        </w:tc>
      </w:tr>
      <w:tr w14:paraId="20186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242" w:type="pct"/>
            <w:shd w:val="clear" w:color="auto" w:fill="auto"/>
            <w:vAlign w:val="center"/>
          </w:tcPr>
          <w:p w14:paraId="3CF86500">
            <w:pPr>
              <w:keepNext w:val="0"/>
              <w:keepLines w:val="0"/>
              <w:widowControl/>
              <w:suppressLineNumbers w:val="0"/>
              <w:spacing w:line="240" w:lineRule="auto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工作任务三 利润表</w:t>
            </w:r>
          </w:p>
        </w:tc>
        <w:tc>
          <w:tcPr>
            <w:tcW w:w="3757" w:type="pct"/>
            <w:shd w:val="clear" w:color="auto" w:fill="auto"/>
            <w:vAlign w:val="center"/>
          </w:tcPr>
          <w:p w14:paraId="14563446">
            <w:pPr>
              <w:keepNext w:val="0"/>
              <w:keepLines w:val="0"/>
              <w:widowControl/>
              <w:suppressLineNumbers w:val="0"/>
              <w:spacing w:line="240" w:lineRule="auto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计算本月数、本年累计，含营业收入、营业成本、税金及附加、销售费用、管理费用、财务费用、投资收益、营业外收入、营业外支出、所得税费用、净利润</w:t>
            </w:r>
          </w:p>
        </w:tc>
      </w:tr>
    </w:tbl>
    <w:p w14:paraId="1A87F9DB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425" w:leftChars="0" w:hanging="425" w:firstLineChars="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全面数字化的电子发票开具评分点</w:t>
      </w:r>
    </w:p>
    <w:tbl>
      <w:tblPr>
        <w:tblStyle w:val="11"/>
        <w:tblW w:w="106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5"/>
        <w:gridCol w:w="7475"/>
      </w:tblGrid>
      <w:tr w14:paraId="14568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175" w:type="dxa"/>
            <w:shd w:val="clear" w:color="auto" w:fill="auto"/>
            <w:vAlign w:val="center"/>
          </w:tcPr>
          <w:p w14:paraId="3AA93246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考核内容</w: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0BBDBB30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评分范围（知识点、技能点）</w:t>
            </w:r>
          </w:p>
        </w:tc>
      </w:tr>
      <w:tr w14:paraId="174A0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3175" w:type="dxa"/>
            <w:shd w:val="clear" w:color="auto" w:fill="auto"/>
            <w:vAlign w:val="center"/>
          </w:tcPr>
          <w:p w14:paraId="514F6215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工作任务一 数电发票基础知识</w: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056B2FA3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1.认识数电发票的形式、特点 2.认识数电票与传统发票区别及优缺点</w:t>
            </w:r>
          </w:p>
        </w:tc>
      </w:tr>
      <w:tr w14:paraId="2EA04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3175" w:type="dxa"/>
            <w:shd w:val="clear" w:color="auto" w:fill="auto"/>
            <w:vAlign w:val="center"/>
          </w:tcPr>
          <w:p w14:paraId="0A48CB8A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工作任务二 数电发票开具</w: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57F69AB6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1.认识数电发票开具的注意事项 2.掌握数电发票的开票流程 3.确定数电发票初始开具金额 4.调增数电发票额度 5.开具红字数电发票 6.开具蓝字发票</w:t>
            </w:r>
          </w:p>
        </w:tc>
      </w:tr>
      <w:tr w14:paraId="4235B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3175" w:type="dxa"/>
            <w:shd w:val="clear" w:color="auto" w:fill="auto"/>
            <w:vAlign w:val="center"/>
          </w:tcPr>
          <w:p w14:paraId="2C37A18A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工作任务三 税务数字账户</w: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789DD965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1.认识税务数字账户 2.发票勾选确认 3.发票查询统计 4.了解发票入账标识 5.了解发票查验 6.了解发票查验 7.了解数电票接收流程</w:t>
            </w:r>
          </w:p>
        </w:tc>
      </w:tr>
      <w:tr w14:paraId="1B620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3175" w:type="dxa"/>
            <w:shd w:val="clear" w:color="auto" w:fill="auto"/>
            <w:vAlign w:val="center"/>
          </w:tcPr>
          <w:p w14:paraId="4C3A338F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工作任务四 数电票开票业务涉及的相关增值税知识</w:t>
            </w:r>
          </w:p>
        </w:tc>
        <w:tc>
          <w:tcPr>
            <w:tcW w:w="7475" w:type="dxa"/>
            <w:shd w:val="clear" w:color="auto" w:fill="auto"/>
            <w:vAlign w:val="center"/>
          </w:tcPr>
          <w:p w14:paraId="234CF08B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掌握涉及的增值税知识</w:t>
            </w:r>
          </w:p>
        </w:tc>
      </w:tr>
    </w:tbl>
    <w:p w14:paraId="5A1CE50D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425" w:leftChars="0" w:hanging="425" w:firstLineChars="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一般纳税人增值税及附加税费申报评分点</w:t>
      </w:r>
    </w:p>
    <w:tbl>
      <w:tblPr>
        <w:tblStyle w:val="11"/>
        <w:tblW w:w="10650" w:type="dxa"/>
        <w:tblInd w:w="-9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5"/>
        <w:gridCol w:w="7325"/>
      </w:tblGrid>
      <w:tr w14:paraId="6C3AD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3325" w:type="dxa"/>
            <w:shd w:val="clear" w:color="auto" w:fill="auto"/>
            <w:vAlign w:val="center"/>
          </w:tcPr>
          <w:p w14:paraId="0C030FDF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考核内容</w:t>
            </w:r>
          </w:p>
        </w:tc>
        <w:tc>
          <w:tcPr>
            <w:tcW w:w="7325" w:type="dxa"/>
            <w:shd w:val="clear" w:color="auto" w:fill="auto"/>
            <w:vAlign w:val="center"/>
          </w:tcPr>
          <w:p w14:paraId="77F9BFF2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评分范围（知识点、技能点）</w:t>
            </w:r>
          </w:p>
        </w:tc>
      </w:tr>
      <w:tr w14:paraId="7105E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5" w:type="dxa"/>
            <w:shd w:val="clear" w:color="auto" w:fill="auto"/>
            <w:vAlign w:val="center"/>
          </w:tcPr>
          <w:p w14:paraId="44795B7D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工作任务一 一般货物、劳务和应税服务</w:t>
            </w:r>
          </w:p>
        </w:tc>
        <w:tc>
          <w:tcPr>
            <w:tcW w:w="7325" w:type="dxa"/>
            <w:vMerge w:val="restart"/>
            <w:shd w:val="clear" w:color="auto" w:fill="auto"/>
            <w:vAlign w:val="center"/>
          </w:tcPr>
          <w:p w14:paraId="4688EAAC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1.按适用税率计税销售额 2.纳税检查调整的销售额 3.简易办法计税销售额 4.简易办法纳税检查调整的销售额 5.免、抵、退办法出口销售额 6.免税销售额 7.销项税额 8.进项税额 9.上期留抵税额 10.进项税额转出 11.免、抵、退应退税额 12.按适用税率计算的纳税检查应补缴税额 13.应抵扣税额合计 14.实际抵扣税额 15.期末留抵税额 16.简易计税办法计算的应纳税额 17.按简易计税办法计算的纳税检查应补缴税额 18.应纳税额减征额</w:t>
            </w:r>
          </w:p>
        </w:tc>
      </w:tr>
      <w:tr w14:paraId="2EC06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" w:hRule="atLeast"/>
        </w:trPr>
        <w:tc>
          <w:tcPr>
            <w:tcW w:w="3325" w:type="dxa"/>
            <w:shd w:val="clear" w:color="auto" w:fill="auto"/>
            <w:vAlign w:val="center"/>
          </w:tcPr>
          <w:p w14:paraId="3C68BB68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工作任务二 即征即退一般货物、劳务和应税服务</w:t>
            </w:r>
          </w:p>
        </w:tc>
        <w:tc>
          <w:tcPr>
            <w:tcW w:w="7325" w:type="dxa"/>
            <w:vMerge w:val="continue"/>
            <w:shd w:val="clear" w:color="auto" w:fill="auto"/>
            <w:vAlign w:val="center"/>
          </w:tcPr>
          <w:p w14:paraId="72D778EE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14:paraId="33137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3325" w:type="dxa"/>
            <w:shd w:val="clear" w:color="auto" w:fill="auto"/>
            <w:vAlign w:val="center"/>
          </w:tcPr>
          <w:p w14:paraId="16926F24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工作任务三 一般计税方法计税货物及加工修理修配劳务</w:t>
            </w:r>
          </w:p>
        </w:tc>
        <w:tc>
          <w:tcPr>
            <w:tcW w:w="7325" w:type="dxa"/>
            <w:vMerge w:val="restart"/>
            <w:shd w:val="clear" w:color="auto" w:fill="auto"/>
            <w:vAlign w:val="center"/>
          </w:tcPr>
          <w:p w14:paraId="78BEB483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1.开具税控增值税专用发票销售额 2.开具税控增值税专用发票销项（应纳）税额 3.开具其他发票销售额 4.开具其他发票销项（应纳）税额 5.未开具发票销售额 6.未开具发票销项（应纳）税额 7.纳税检查调整销售额 8.纳税检查调整销项（应纳）税额</w:t>
            </w:r>
          </w:p>
        </w:tc>
      </w:tr>
      <w:tr w14:paraId="1FE7C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325" w:type="dxa"/>
            <w:shd w:val="clear" w:color="auto" w:fill="auto"/>
            <w:vAlign w:val="center"/>
          </w:tcPr>
          <w:p w14:paraId="135C18E5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工作任务四 一般计税方法计税的服务、不动产和无形资产</w:t>
            </w:r>
          </w:p>
        </w:tc>
        <w:tc>
          <w:tcPr>
            <w:tcW w:w="7325" w:type="dxa"/>
            <w:vMerge w:val="continue"/>
            <w:shd w:val="clear" w:color="auto" w:fill="auto"/>
            <w:vAlign w:val="center"/>
          </w:tcPr>
          <w:p w14:paraId="10B2F8BF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14:paraId="302DD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3325" w:type="dxa"/>
            <w:shd w:val="clear" w:color="auto" w:fill="auto"/>
            <w:vAlign w:val="center"/>
          </w:tcPr>
          <w:p w14:paraId="05DC2B17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工作任务五 简易计税方法货物及加工修理修配劳务</w:t>
            </w:r>
          </w:p>
        </w:tc>
        <w:tc>
          <w:tcPr>
            <w:tcW w:w="7325" w:type="dxa"/>
            <w:vMerge w:val="restart"/>
            <w:shd w:val="clear" w:color="auto" w:fill="auto"/>
            <w:vAlign w:val="center"/>
          </w:tcPr>
          <w:p w14:paraId="3A1C90E4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1.开具税控增值税专用发票销售额 2.开具税控增值税专用发票销项（应纳）税额 3.开具其他发票销售额 4.开具其他发票销项（应纳）税额 5.未开具发票销售额 6.未开具发票销项（应纳）税额 7.纳税检查调整销售额 8.纳税检查调整销项（应纳）税额</w:t>
            </w:r>
          </w:p>
        </w:tc>
      </w:tr>
      <w:tr w14:paraId="73506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5" w:type="dxa"/>
            <w:shd w:val="clear" w:color="auto" w:fill="auto"/>
            <w:vAlign w:val="center"/>
          </w:tcPr>
          <w:p w14:paraId="34EB97E3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工作任务六 简易计税方法计税的服务、不动产和无形资产</w:t>
            </w:r>
          </w:p>
        </w:tc>
        <w:tc>
          <w:tcPr>
            <w:tcW w:w="7325" w:type="dxa"/>
            <w:vMerge w:val="continue"/>
            <w:shd w:val="clear" w:color="auto" w:fill="auto"/>
            <w:vAlign w:val="center"/>
          </w:tcPr>
          <w:p w14:paraId="369DDFB0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14:paraId="31FD5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3325" w:type="dxa"/>
            <w:shd w:val="clear" w:color="auto" w:fill="auto"/>
            <w:vAlign w:val="center"/>
          </w:tcPr>
          <w:p w14:paraId="7CB9F15D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工作任务七 免抵退税货物及加工修理修配劳务</w:t>
            </w:r>
          </w:p>
        </w:tc>
        <w:tc>
          <w:tcPr>
            <w:tcW w:w="7325" w:type="dxa"/>
            <w:shd w:val="clear" w:color="auto" w:fill="auto"/>
            <w:vAlign w:val="center"/>
          </w:tcPr>
          <w:p w14:paraId="186B439B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1.开具税控增值税专用发票销售额 2.开具税控增值税专用发票销项（应纳）税额 3.开具其他发票销售额 4.开具其他发票销项（应纳）税额 5.未开具发票销售额 6.未开具发票销项（应纳）税额 7.纳税检查调整销售额 8.纳税检查调整销项（应纳）税额</w:t>
            </w:r>
          </w:p>
        </w:tc>
      </w:tr>
      <w:tr w14:paraId="36A4A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3325" w:type="dxa"/>
            <w:shd w:val="clear" w:color="auto" w:fill="auto"/>
            <w:vAlign w:val="center"/>
          </w:tcPr>
          <w:p w14:paraId="053F8D3F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工作任务八 免税服务、不动产和无形资产</w:t>
            </w:r>
          </w:p>
        </w:tc>
        <w:tc>
          <w:tcPr>
            <w:tcW w:w="7325" w:type="dxa"/>
            <w:shd w:val="clear" w:color="auto" w:fill="auto"/>
            <w:vAlign w:val="center"/>
          </w:tcPr>
          <w:p w14:paraId="7AEA3301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 xml:space="preserve">1.开具其他发票销售额 2.未开具发票销售额 3.开具其他发票销售额 4.未开具其他发票销售额 </w:t>
            </w:r>
          </w:p>
        </w:tc>
      </w:tr>
      <w:tr w14:paraId="7F151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3325" w:type="dxa"/>
            <w:shd w:val="clear" w:color="auto" w:fill="auto"/>
            <w:vAlign w:val="center"/>
          </w:tcPr>
          <w:p w14:paraId="497F1ACD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工作任务九 申报抵扣的进项税额</w:t>
            </w:r>
          </w:p>
        </w:tc>
        <w:tc>
          <w:tcPr>
            <w:tcW w:w="7325" w:type="dxa"/>
            <w:shd w:val="clear" w:color="auto" w:fill="auto"/>
            <w:vAlign w:val="center"/>
          </w:tcPr>
          <w:p w14:paraId="46A28CCB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1.计算认证相符的税控增值税专用发票份数、金额、税额 2.计算本期认证相符且本期申报抵扣份数、金额、税额 3.计算前期认证相符且本期申报抵扣份数、金额、税额 4.计算海关进口增值税专用缴款书份数、金额、税额 5.计算农产品收购发票或者销售发票份数、金额、税额 6.计算代扣代缴税收缴款凭证份数、税额 7.计算加计扣除农产品进项税额份数、金额、税额</w:t>
            </w:r>
          </w:p>
        </w:tc>
      </w:tr>
      <w:tr w14:paraId="5976F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3325" w:type="dxa"/>
            <w:shd w:val="clear" w:color="auto" w:fill="auto"/>
            <w:vAlign w:val="center"/>
          </w:tcPr>
          <w:p w14:paraId="31C8063B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工作任务十 进项税额转出额</w:t>
            </w:r>
          </w:p>
        </w:tc>
        <w:tc>
          <w:tcPr>
            <w:tcW w:w="7325" w:type="dxa"/>
            <w:shd w:val="clear" w:color="auto" w:fill="auto"/>
            <w:vAlign w:val="center"/>
          </w:tcPr>
          <w:p w14:paraId="3422DD0A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1.计算本期进项税转出额税额 2.计算免税项目用税额 3.计算集体福利、个人消费税额 4.计算非正常损失税额 5.计算简易计税方法征税项目用税额 6.计算免抵退税办法不得抵扣的进项税额 7.计算纳税检查调减进项税额 8.计算红字专用发票通知单注明的进项税 9.计算上期留抵税额抵减欠税税额 10.计算上期留抵税额退税税额 11.计算其他应作进项税额转出的情形税额</w:t>
            </w:r>
          </w:p>
        </w:tc>
      </w:tr>
      <w:tr w14:paraId="054D9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3325" w:type="dxa"/>
            <w:shd w:val="clear" w:color="auto" w:fill="auto"/>
            <w:vAlign w:val="center"/>
          </w:tcPr>
          <w:p w14:paraId="7B907202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工作任务十一 增值税税控系统专用设备费及技术维护费</w:t>
            </w:r>
          </w:p>
        </w:tc>
        <w:tc>
          <w:tcPr>
            <w:tcW w:w="7325" w:type="dxa"/>
            <w:shd w:val="clear" w:color="auto" w:fill="auto"/>
            <w:vAlign w:val="center"/>
          </w:tcPr>
          <w:p w14:paraId="6CDF15B5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1.计算本期发生额 2.计算本期应抵减税额 3.计算本期实际抵减税额 4.计算期末余额</w:t>
            </w:r>
          </w:p>
        </w:tc>
      </w:tr>
    </w:tbl>
    <w:p w14:paraId="6C1CAE9E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425" w:leftChars="0" w:hanging="425" w:firstLineChars="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税务数字账户（发票认证）评分点</w:t>
      </w:r>
    </w:p>
    <w:tbl>
      <w:tblPr>
        <w:tblStyle w:val="11"/>
        <w:tblW w:w="10650" w:type="dxa"/>
        <w:tblInd w:w="-9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8"/>
        <w:gridCol w:w="7702"/>
      </w:tblGrid>
      <w:tr w14:paraId="2B9A5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948" w:type="dxa"/>
            <w:shd w:val="clear" w:color="auto" w:fill="auto"/>
            <w:vAlign w:val="center"/>
          </w:tcPr>
          <w:p w14:paraId="5638A42E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考核内容</w:t>
            </w:r>
          </w:p>
        </w:tc>
        <w:tc>
          <w:tcPr>
            <w:tcW w:w="7702" w:type="dxa"/>
            <w:shd w:val="clear" w:color="auto" w:fill="auto"/>
            <w:vAlign w:val="center"/>
          </w:tcPr>
          <w:p w14:paraId="5C4C4AB3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评分范围（知识点、技能点）</w:t>
            </w:r>
          </w:p>
        </w:tc>
      </w:tr>
      <w:tr w14:paraId="30B38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48" w:type="dxa"/>
            <w:shd w:val="clear" w:color="auto" w:fill="auto"/>
            <w:vAlign w:val="center"/>
          </w:tcPr>
          <w:p w14:paraId="7C51B002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工作任务一 初始工作</w:t>
            </w:r>
          </w:p>
        </w:tc>
        <w:tc>
          <w:tcPr>
            <w:tcW w:w="7702" w:type="dxa"/>
            <w:shd w:val="clear" w:color="auto" w:fill="auto"/>
            <w:vAlign w:val="center"/>
          </w:tcPr>
          <w:p w14:paraId="43E5256C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1.海关缴款书采集 2.代开农产品发票采集</w:t>
            </w:r>
          </w:p>
        </w:tc>
      </w:tr>
      <w:tr w14:paraId="28A55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948" w:type="dxa"/>
            <w:shd w:val="clear" w:color="auto" w:fill="auto"/>
            <w:vAlign w:val="center"/>
          </w:tcPr>
          <w:p w14:paraId="41F821EB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工作任务二 抵扣勾选</w:t>
            </w:r>
          </w:p>
        </w:tc>
        <w:tc>
          <w:tcPr>
            <w:tcW w:w="7702" w:type="dxa"/>
            <w:shd w:val="clear" w:color="auto" w:fill="auto"/>
            <w:vAlign w:val="center"/>
          </w:tcPr>
          <w:p w14:paraId="54F91710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1.增值税发票勾选 2.数电票勾选 3.代开农产品发票勾选 4.自产农产品销售发票勾选 5.从小规模处购进的3%农产品专票勾选 5.海关缴款书勾选 6.代扣代缴完税凭证勾选 7.统计确认</w:t>
            </w:r>
          </w:p>
        </w:tc>
      </w:tr>
      <w:tr w14:paraId="501BA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948" w:type="dxa"/>
            <w:shd w:val="clear" w:color="auto" w:fill="auto"/>
            <w:vAlign w:val="center"/>
          </w:tcPr>
          <w:p w14:paraId="629F76FB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工作任务三 出口退税勾选</w:t>
            </w:r>
          </w:p>
        </w:tc>
        <w:tc>
          <w:tcPr>
            <w:tcW w:w="7702" w:type="dxa"/>
            <w:shd w:val="clear" w:color="auto" w:fill="auto"/>
            <w:vAlign w:val="center"/>
          </w:tcPr>
          <w:p w14:paraId="2EA0F5F2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1.增值税发票勾选 2.海关缴款书勾选 3.用途确认</w:t>
            </w:r>
          </w:p>
        </w:tc>
      </w:tr>
      <w:tr w14:paraId="5B4A3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948" w:type="dxa"/>
            <w:shd w:val="clear" w:color="auto" w:fill="auto"/>
            <w:vAlign w:val="center"/>
          </w:tcPr>
          <w:p w14:paraId="463E0A92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工作任务四 代办退税勾选</w:t>
            </w:r>
          </w:p>
        </w:tc>
        <w:tc>
          <w:tcPr>
            <w:tcW w:w="7702" w:type="dxa"/>
            <w:shd w:val="clear" w:color="auto" w:fill="auto"/>
            <w:vAlign w:val="center"/>
          </w:tcPr>
          <w:p w14:paraId="61C8D58C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1.增值税发票勾选</w:t>
            </w:r>
          </w:p>
        </w:tc>
      </w:tr>
      <w:tr w14:paraId="3BC3F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2948" w:type="dxa"/>
            <w:shd w:val="clear" w:color="auto" w:fill="auto"/>
            <w:vAlign w:val="center"/>
          </w:tcPr>
          <w:p w14:paraId="298475D4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工作任务五 不抵扣勾选</w:t>
            </w:r>
          </w:p>
        </w:tc>
        <w:tc>
          <w:tcPr>
            <w:tcW w:w="7702" w:type="dxa"/>
            <w:shd w:val="clear" w:color="auto" w:fill="auto"/>
            <w:vAlign w:val="center"/>
          </w:tcPr>
          <w:p w14:paraId="0459BF83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1.增值税发票勾选 2.数电票勾选 3.海关缴款书勾选 4.代扣代缴完税凭证勾选 5.不抵扣原因判断</w:t>
            </w:r>
          </w:p>
        </w:tc>
      </w:tr>
      <w:tr w14:paraId="2F9F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2948" w:type="dxa"/>
            <w:shd w:val="clear" w:color="auto" w:fill="auto"/>
            <w:vAlign w:val="center"/>
          </w:tcPr>
          <w:p w14:paraId="48CCAC80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工作任务六 逾期抵扣勾选</w:t>
            </w:r>
          </w:p>
        </w:tc>
        <w:tc>
          <w:tcPr>
            <w:tcW w:w="7702" w:type="dxa"/>
            <w:shd w:val="clear" w:color="auto" w:fill="auto"/>
            <w:vAlign w:val="center"/>
          </w:tcPr>
          <w:p w14:paraId="5D0F55E5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1.增值税发票勾选 2.海关缴款书勾选 3.代扣代缴完税凭证勾选 4.发票信息采集</w:t>
            </w:r>
          </w:p>
        </w:tc>
      </w:tr>
      <w:tr w14:paraId="33CC1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10650" w:type="dxa"/>
            <w:gridSpan w:val="2"/>
            <w:shd w:val="clear" w:color="auto" w:fill="auto"/>
            <w:vAlign w:val="center"/>
          </w:tcPr>
          <w:p w14:paraId="1D01779B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勾选票错选倒扣分</w:t>
            </w:r>
          </w:p>
        </w:tc>
      </w:tr>
    </w:tbl>
    <w:p w14:paraId="7537E84D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425" w:leftChars="0" w:hanging="425" w:firstLineChars="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查账征收企业所得税年度汇算清缴评分点</w:t>
      </w:r>
    </w:p>
    <w:tbl>
      <w:tblPr>
        <w:tblStyle w:val="11"/>
        <w:tblW w:w="10662" w:type="dxa"/>
        <w:tblInd w:w="-9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0"/>
        <w:gridCol w:w="8362"/>
      </w:tblGrid>
      <w:tr w14:paraId="12E50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300" w:type="dxa"/>
            <w:shd w:val="clear" w:color="auto" w:fill="auto"/>
            <w:vAlign w:val="center"/>
          </w:tcPr>
          <w:p w14:paraId="6FE0055A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考核内容</w:t>
            </w:r>
          </w:p>
        </w:tc>
        <w:tc>
          <w:tcPr>
            <w:tcW w:w="8362" w:type="dxa"/>
            <w:shd w:val="clear" w:color="auto" w:fill="auto"/>
            <w:vAlign w:val="center"/>
          </w:tcPr>
          <w:p w14:paraId="39E360B4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评分范围（知识点、技能点）</w:t>
            </w:r>
          </w:p>
        </w:tc>
      </w:tr>
      <w:tr w14:paraId="2327E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300" w:type="dxa"/>
            <w:shd w:val="clear" w:color="auto" w:fill="auto"/>
            <w:vAlign w:val="center"/>
          </w:tcPr>
          <w:p w14:paraId="13339B2A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工作任务一 企业所得税年度汇算清缴主表</w:t>
            </w:r>
          </w:p>
        </w:tc>
        <w:tc>
          <w:tcPr>
            <w:tcW w:w="8362" w:type="dxa"/>
            <w:shd w:val="clear" w:color="auto" w:fill="auto"/>
            <w:vAlign w:val="center"/>
          </w:tcPr>
          <w:p w14:paraId="531DE59F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1.计算营业收入、成本、税金及附加 2.计算销售费用、管理费用、财务费用 3.计算资产减值损失、公允价值变动收益、投资收益 4.计算营业外收入、支出 5.计算境外所得、应纳所得税额、应税所得抵减境内亏损、抵免所得税额 6.计算纳税调整增加额、减少额、免税、减计收入及加计扣除 7.计算所得减免、抵扣应纳税所得额、减免所得税额、抵免所得税额、弥补以前年度亏损 8.计算本年累计实际已预缴的所得税额</w:t>
            </w:r>
          </w:p>
        </w:tc>
      </w:tr>
      <w:tr w14:paraId="1F9CB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300" w:type="dxa"/>
            <w:shd w:val="clear" w:color="auto" w:fill="auto"/>
            <w:vAlign w:val="center"/>
          </w:tcPr>
          <w:p w14:paraId="3A02C3CF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工作任务二 一般企业收入明细表</w:t>
            </w:r>
          </w:p>
        </w:tc>
        <w:tc>
          <w:tcPr>
            <w:tcW w:w="8362" w:type="dxa"/>
            <w:shd w:val="clear" w:color="auto" w:fill="auto"/>
            <w:vAlign w:val="center"/>
          </w:tcPr>
          <w:p w14:paraId="7DB1276B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 xml:space="preserve">1.计算收入，含销售商品、提供劳务、建造合同、让渡资产使用权、销售材料、出租固定资产、出租无形资产、出租包装物和商品及其他 2.计算利得，含非流动资产处置、非货币性资产交换、债务重组、政府补助、盘盈、捐赠、罚没 </w:t>
            </w:r>
          </w:p>
        </w:tc>
      </w:tr>
      <w:tr w14:paraId="37507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2300" w:type="dxa"/>
            <w:shd w:val="clear" w:color="auto" w:fill="auto"/>
            <w:vAlign w:val="center"/>
          </w:tcPr>
          <w:p w14:paraId="1D7DDD96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工作任务三 一般企业成本支出明细表</w:t>
            </w:r>
          </w:p>
        </w:tc>
        <w:tc>
          <w:tcPr>
            <w:tcW w:w="8362" w:type="dxa"/>
            <w:shd w:val="clear" w:color="auto" w:fill="auto"/>
            <w:vAlign w:val="center"/>
          </w:tcPr>
          <w:p w14:paraId="72719210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1.计算成本，含销售商品、提供劳务、建造合同、让渡资产使用权、材料销售、出租固定资产、出租无形资产、包装物出租及其他 2.计算损失，含非流动资产处置、非货币性资产交换、债务重组、非常损失、坏账、无法收回的债券股权投资 3.计算支出，含捐赠、赞助、罚没及其他</w:t>
            </w:r>
          </w:p>
        </w:tc>
      </w:tr>
      <w:tr w14:paraId="2C83D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2300" w:type="dxa"/>
            <w:shd w:val="clear" w:color="auto" w:fill="auto"/>
            <w:vAlign w:val="center"/>
          </w:tcPr>
          <w:p w14:paraId="4B8DC4B7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工作任务四 期间费用明细表</w:t>
            </w:r>
          </w:p>
        </w:tc>
        <w:tc>
          <w:tcPr>
            <w:tcW w:w="8362" w:type="dxa"/>
            <w:shd w:val="clear" w:color="auto" w:fill="auto"/>
            <w:vAlign w:val="center"/>
          </w:tcPr>
          <w:p w14:paraId="26A90449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计算费用，含劳务费、咨询顾问费、业务招待费、广告费和业务宣传费、佣金和手续费、资产折旧摊销费、办公费、董事会费、租赁费、诉讼费、差旅费、保险费、运输仓储费、修理费、包装费、技术转让费、研究费用、各项税费 2.计算财产损耗、盘亏及毁损损失 3.计算各项税费、利息收支、汇兑差额、现金折扣及其他</w:t>
            </w:r>
          </w:p>
        </w:tc>
      </w:tr>
      <w:tr w14:paraId="77797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7" w:hRule="atLeast"/>
        </w:trPr>
        <w:tc>
          <w:tcPr>
            <w:tcW w:w="2300" w:type="dxa"/>
            <w:shd w:val="clear" w:color="auto" w:fill="auto"/>
            <w:vAlign w:val="center"/>
          </w:tcPr>
          <w:p w14:paraId="165A29D7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工作任务五 纳税调整项目明细表</w:t>
            </w:r>
          </w:p>
        </w:tc>
        <w:tc>
          <w:tcPr>
            <w:tcW w:w="8362" w:type="dxa"/>
            <w:shd w:val="clear" w:color="auto" w:fill="auto"/>
            <w:vAlign w:val="center"/>
          </w:tcPr>
          <w:p w14:paraId="2CA33ABC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1.计算投资收益、交易性金融资产初始投资调整 2.计算公允价值变动净损益、不征税收入、销售折扣、折让和退回、视同销售成本、职工薪酬、业务招待费支出、广告费和业务宣传费支出 3.计算支出，含捐赠支出、利息支出、罚金、罚款和被没收财物的损失、税收滞纳金、加收利息、赞助支出、佣金和手续费支出、与取得收入无关的支出、境外所得分摊的共同支出 4.计算与未实现融资收益相关在当期确认的财务费用、不征税收入用于支出所形成的费用、资产折旧、摊销、资产减值准备金、资产损失、跨期扣除项目</w:t>
            </w:r>
          </w:p>
        </w:tc>
      </w:tr>
      <w:tr w14:paraId="1FE62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300" w:type="dxa"/>
            <w:shd w:val="clear" w:color="auto" w:fill="auto"/>
            <w:vAlign w:val="center"/>
          </w:tcPr>
          <w:p w14:paraId="340B7F53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工作任务六 投资收益纳税调整明细表</w:t>
            </w:r>
          </w:p>
        </w:tc>
        <w:tc>
          <w:tcPr>
            <w:tcW w:w="8362" w:type="dxa"/>
            <w:shd w:val="clear" w:color="auto" w:fill="auto"/>
            <w:vAlign w:val="center"/>
          </w:tcPr>
          <w:p w14:paraId="298D7E71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 xml:space="preserve">1.计算交易性金融资产、可供出售金融资产 2.计算投资，含持有至到期、长期股权债券 </w:t>
            </w:r>
          </w:p>
        </w:tc>
      </w:tr>
      <w:tr w14:paraId="56B10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2300" w:type="dxa"/>
            <w:shd w:val="clear" w:color="auto" w:fill="auto"/>
            <w:vAlign w:val="center"/>
          </w:tcPr>
          <w:p w14:paraId="4BE44D57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工作任务七 政策性搬迁纳税调整明细表</w:t>
            </w:r>
          </w:p>
        </w:tc>
        <w:tc>
          <w:tcPr>
            <w:tcW w:w="8362" w:type="dxa"/>
            <w:shd w:val="clear" w:color="auto" w:fill="auto"/>
            <w:vAlign w:val="center"/>
          </w:tcPr>
          <w:p w14:paraId="6FA45A2C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1.计算补偿，含对被征用资产价值的补偿、因搬迁安置而给予的补偿、对停产停业形成的损失而给予的补偿、资产搬迁过程中遭到毁损而取得的保险赔款及其他 2.计算搬迁资产处置收入、安置职工实际发生的费用、停工期间支付给职工的工资及福利费、临时存放搬迁资产而发生的费用、各类资产搬迁安装费用、其他与搬迁相关的费用 3.计算搬迁资产处置支出、计入当期损益的搬迁收益或损失、以前年度搬迁损失当期扣除金额</w:t>
            </w:r>
          </w:p>
        </w:tc>
      </w:tr>
      <w:tr w14:paraId="34AE6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300" w:type="dxa"/>
            <w:shd w:val="clear" w:color="auto" w:fill="auto"/>
            <w:vAlign w:val="center"/>
          </w:tcPr>
          <w:p w14:paraId="730ED96D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工作任务八 专项用途财政性资金纳税调整明细表</w:t>
            </w:r>
          </w:p>
        </w:tc>
        <w:tc>
          <w:tcPr>
            <w:tcW w:w="8362" w:type="dxa"/>
            <w:shd w:val="clear" w:color="auto" w:fill="auto"/>
            <w:vAlign w:val="center"/>
          </w:tcPr>
          <w:p w14:paraId="46A34F79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 xml:space="preserve">1.计算资金，含财政性资金、符合不征税收入条件的财政性资金 2.计算支出，含以前年度、本年支出 3.计算本年结余情况 </w:t>
            </w:r>
          </w:p>
        </w:tc>
      </w:tr>
      <w:tr w14:paraId="30DF1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300" w:type="dxa"/>
            <w:shd w:val="clear" w:color="auto" w:fill="auto"/>
            <w:vAlign w:val="center"/>
          </w:tcPr>
          <w:p w14:paraId="397EEB6B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工作任务九 捐赠支出及纳税调整明细表</w:t>
            </w:r>
          </w:p>
        </w:tc>
        <w:tc>
          <w:tcPr>
            <w:tcW w:w="8362" w:type="dxa"/>
            <w:shd w:val="clear" w:color="auto" w:fill="auto"/>
            <w:vAlign w:val="center"/>
          </w:tcPr>
          <w:p w14:paraId="0FF90AC2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计算捐赠，含全额扣除的公益性、非公益性、限额扣除的公益性捐赠</w:t>
            </w:r>
          </w:p>
        </w:tc>
      </w:tr>
    </w:tbl>
    <w:p w14:paraId="5F2B1D61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425" w:leftChars="0" w:hanging="425" w:firstLineChars="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个人所得税预扣预缴申报评分点</w:t>
      </w:r>
    </w:p>
    <w:tbl>
      <w:tblPr>
        <w:tblStyle w:val="11"/>
        <w:tblW w:w="6264" w:type="pct"/>
        <w:tblInd w:w="-9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77"/>
        <w:gridCol w:w="7607"/>
      </w:tblGrid>
      <w:tr w14:paraId="7B7CD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440" w:type="pct"/>
            <w:shd w:val="clear" w:color="auto" w:fill="auto"/>
            <w:vAlign w:val="center"/>
          </w:tcPr>
          <w:p w14:paraId="6117155B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考核内容</w:t>
            </w:r>
          </w:p>
        </w:tc>
        <w:tc>
          <w:tcPr>
            <w:tcW w:w="3559" w:type="pct"/>
            <w:shd w:val="clear" w:color="auto" w:fill="auto"/>
            <w:vAlign w:val="center"/>
          </w:tcPr>
          <w:p w14:paraId="12E24C93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评分范围（知识点、技能点）</w:t>
            </w:r>
          </w:p>
        </w:tc>
      </w:tr>
      <w:tr w14:paraId="31282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40" w:type="pct"/>
            <w:shd w:val="clear" w:color="auto" w:fill="auto"/>
            <w:vAlign w:val="center"/>
          </w:tcPr>
          <w:p w14:paraId="39054F7A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工作领域一 自然人税收管理平台数据初始化与信息采集</w:t>
            </w:r>
          </w:p>
        </w:tc>
        <w:tc>
          <w:tcPr>
            <w:tcW w:w="3559" w:type="pct"/>
            <w:shd w:val="clear" w:color="auto" w:fill="auto"/>
            <w:vAlign w:val="center"/>
          </w:tcPr>
          <w:p w14:paraId="570E8389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1.人员信息采集 2.设置公积金、月平均工资上限3.确认基础人员数据，如类型（雇员/非雇员）、姓名、身份证号、入职时间等 4.人员信息填写报送</w:t>
            </w:r>
          </w:p>
          <w:p w14:paraId="7A040C6D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5.专项附加扣除填报（子女教育、继续教育、大病医疗、住房贷款利息、住房租金和赡养老人、婴幼儿照护）</w:t>
            </w:r>
          </w:p>
        </w:tc>
      </w:tr>
      <w:tr w14:paraId="208B9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1440" w:type="pct"/>
            <w:shd w:val="clear" w:color="auto" w:fill="auto"/>
            <w:vAlign w:val="center"/>
          </w:tcPr>
          <w:p w14:paraId="0746F0FC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工作领域二 综合所得实务处理</w:t>
            </w:r>
          </w:p>
        </w:tc>
        <w:tc>
          <w:tcPr>
            <w:tcW w:w="3559" w:type="pct"/>
            <w:shd w:val="clear" w:color="auto" w:fill="auto"/>
            <w:vAlign w:val="center"/>
          </w:tcPr>
          <w:p w14:paraId="14BA73AA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1.正常工资薪金填报 2.全年一次性奖金收入填报 3.内退一次性补偿金填报 4.年金申报 5.解除劳动合同一次性补偿金填报 6.央企负责人绩效薪金递延兑现收入和任期奖励填报 7.单位低价向职工售房填报 8.劳务报酬（保险营销员、证券经纪人、其他连续劳务、一般劳务、其他非连续劳务）填报 9.稿酬所得填报 10.特许权使用费填报 11.提前退休一次性补贴填报 12.个人股权激励收入填报 13.税收递延型商业养老金填报</w:t>
            </w:r>
          </w:p>
        </w:tc>
      </w:tr>
      <w:tr w14:paraId="3893F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1440" w:type="pct"/>
            <w:shd w:val="clear" w:color="auto" w:fill="auto"/>
            <w:vAlign w:val="center"/>
          </w:tcPr>
          <w:p w14:paraId="0F5B2F11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工作领域三 分类所得实务处理</w:t>
            </w:r>
          </w:p>
        </w:tc>
        <w:tc>
          <w:tcPr>
            <w:tcW w:w="3559" w:type="pct"/>
            <w:shd w:val="clear" w:color="auto" w:fill="auto"/>
            <w:vAlign w:val="center"/>
          </w:tcPr>
          <w:p w14:paraId="38EC4358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1.利息股息红利所得填报 2.财产租赁填报 3.财产转让填报 4.偶然所得填报</w:t>
            </w:r>
          </w:p>
        </w:tc>
      </w:tr>
      <w:tr w14:paraId="7AB32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40" w:type="pct"/>
            <w:shd w:val="clear" w:color="auto" w:fill="auto"/>
            <w:vAlign w:val="center"/>
          </w:tcPr>
          <w:p w14:paraId="6E2AE29A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工作领域四 非居民所得实务处理</w:t>
            </w:r>
          </w:p>
        </w:tc>
        <w:tc>
          <w:tcPr>
            <w:tcW w:w="3559" w:type="pct"/>
            <w:shd w:val="clear" w:color="auto" w:fill="auto"/>
            <w:vAlign w:val="center"/>
          </w:tcPr>
          <w:p w14:paraId="6D0D3921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1.工资薪金所得申报，含无住所个人正常工资薪金、无住所个人数月奖金、解除劳动合同一次性补偿金、个人股权激励收入、税收递延型商业养老金 2.劳务报酬所得填写申报 3.稿酬所得填写申报 4.特许权使用费所得填写申报 5.利息股息红利所得填写申报 6.财产租赁所得填写申报 7.财产转让所得填写申报 8.偶然所得填写申报</w:t>
            </w:r>
          </w:p>
        </w:tc>
      </w:tr>
      <w:tr w14:paraId="1E457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440" w:type="pct"/>
            <w:shd w:val="clear" w:color="auto" w:fill="auto"/>
            <w:vAlign w:val="center"/>
          </w:tcPr>
          <w:p w14:paraId="68352DEE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工作领域五 限售股所得实务处理</w:t>
            </w:r>
          </w:p>
        </w:tc>
        <w:tc>
          <w:tcPr>
            <w:tcW w:w="3559" w:type="pct"/>
            <w:shd w:val="clear" w:color="auto" w:fill="auto"/>
            <w:vAlign w:val="center"/>
          </w:tcPr>
          <w:p w14:paraId="2B883851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限售股转让所得报告表填写申报</w:t>
            </w:r>
          </w:p>
        </w:tc>
      </w:tr>
      <w:tr w14:paraId="661B1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440" w:type="pct"/>
            <w:shd w:val="clear" w:color="auto" w:fill="auto"/>
            <w:vAlign w:val="center"/>
          </w:tcPr>
          <w:p w14:paraId="5CC4300B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工作领域六 税款缴纳及手续费实务处理</w:t>
            </w:r>
          </w:p>
        </w:tc>
        <w:tc>
          <w:tcPr>
            <w:tcW w:w="3559" w:type="pct"/>
            <w:shd w:val="clear" w:color="auto" w:fill="auto"/>
            <w:vAlign w:val="center"/>
          </w:tcPr>
          <w:p w14:paraId="6DE49D07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 xml:space="preserve">1.税款缴纳处理 </w:t>
            </w:r>
          </w:p>
          <w:p w14:paraId="5F45049B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2.手续费缴费处理</w:t>
            </w:r>
          </w:p>
        </w:tc>
      </w:tr>
      <w:tr w14:paraId="48BB0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67505B1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参考1+X个税计算职业技能等级证书标准和个税计算中级考试大纲</w:t>
            </w:r>
          </w:p>
        </w:tc>
      </w:tr>
    </w:tbl>
    <w:p w14:paraId="25D43905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425" w:leftChars="0" w:hanging="425" w:firstLineChars="0"/>
        <w:textAlignment w:val="baseline"/>
        <w:outlineLvl w:val="2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个人所得税生产经营所得年度汇算清缴评分点</w:t>
      </w:r>
    </w:p>
    <w:tbl>
      <w:tblPr>
        <w:tblStyle w:val="11"/>
        <w:tblW w:w="10625" w:type="dxa"/>
        <w:tblInd w:w="-9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7"/>
        <w:gridCol w:w="7818"/>
      </w:tblGrid>
      <w:tr w14:paraId="03DB8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807" w:type="dxa"/>
            <w:shd w:val="clear" w:color="auto" w:fill="auto"/>
            <w:vAlign w:val="center"/>
          </w:tcPr>
          <w:p w14:paraId="538BD44F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考核内容</w:t>
            </w:r>
          </w:p>
        </w:tc>
        <w:tc>
          <w:tcPr>
            <w:tcW w:w="7818" w:type="dxa"/>
            <w:shd w:val="clear" w:color="auto" w:fill="auto"/>
            <w:vAlign w:val="center"/>
          </w:tcPr>
          <w:p w14:paraId="20A0D092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20"/>
              </w:rPr>
              <w:t>评分范围（知识点、技能点）</w:t>
            </w:r>
          </w:p>
        </w:tc>
      </w:tr>
      <w:tr w14:paraId="23370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2807" w:type="dxa"/>
            <w:shd w:val="clear" w:color="auto" w:fill="auto"/>
            <w:vAlign w:val="center"/>
          </w:tcPr>
          <w:p w14:paraId="70C330E0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工作任务一 个人所得税生产经营所得（A表）</w:t>
            </w:r>
          </w:p>
        </w:tc>
        <w:tc>
          <w:tcPr>
            <w:tcW w:w="7818" w:type="dxa"/>
            <w:shd w:val="clear" w:color="auto" w:fill="auto"/>
            <w:vAlign w:val="center"/>
          </w:tcPr>
          <w:p w14:paraId="671F9341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 xml:space="preserve">1.征收方式判断 2.计算项目，含收入总额、成本费用、利润总额、年度亏损、允许扣除的个人费用及其他扣除、准予扣除的捐赠额、应纳税所得额 3.应税所得税率判断 4.合伙企业个人合伙人分配比例判断 5.税率判断 </w:t>
            </w:r>
          </w:p>
        </w:tc>
      </w:tr>
      <w:tr w14:paraId="47128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2807" w:type="dxa"/>
            <w:shd w:val="clear" w:color="auto" w:fill="auto"/>
            <w:vAlign w:val="center"/>
          </w:tcPr>
          <w:p w14:paraId="45643A47">
            <w:pPr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工作任务二 个人所得税生产经营所得（B表）</w:t>
            </w:r>
          </w:p>
        </w:tc>
        <w:tc>
          <w:tcPr>
            <w:tcW w:w="7818" w:type="dxa"/>
            <w:shd w:val="clear" w:color="auto" w:fill="auto"/>
            <w:vAlign w:val="center"/>
          </w:tcPr>
          <w:p w14:paraId="008A9905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 xml:space="preserve">1.计算项目，含收入总额、国债利息收入、成本费用、利润总额、允许扣除的个人费用及其他扣除、投资抵扣、准予扣除的个人捐赠支出、应纳税所得额 2.纳税调整增加额、纳税调整减少额判断，含超过规定标准的扣除项目金额、不允许扣除的项目金额 3.合伙企业个人合伙人分配比例判断 </w:t>
            </w:r>
          </w:p>
        </w:tc>
      </w:tr>
      <w:tr w14:paraId="19AF0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625" w:type="dxa"/>
            <w:gridSpan w:val="2"/>
            <w:shd w:val="clear" w:color="auto" w:fill="auto"/>
            <w:vAlign w:val="center"/>
          </w:tcPr>
          <w:p w14:paraId="16346FF0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0"/>
                <w:szCs w:val="20"/>
              </w:rPr>
              <w:t>参考1+X个税计算职业技能等级证书标准和个税计算中级考试大纲</w:t>
            </w:r>
          </w:p>
        </w:tc>
      </w:tr>
    </w:tbl>
    <w:p w14:paraId="090BC28C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425" w:leftChars="0" w:hanging="425" w:firstLineChars="0"/>
        <w:textAlignment w:val="baseline"/>
        <w:outlineLvl w:val="2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财税大数据风控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技术应用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评分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点</w:t>
      </w:r>
    </w:p>
    <w:tbl>
      <w:tblPr>
        <w:tblStyle w:val="11"/>
        <w:tblW w:w="10677" w:type="dxa"/>
        <w:tblInd w:w="-9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6"/>
        <w:gridCol w:w="7391"/>
      </w:tblGrid>
      <w:tr w14:paraId="1F928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286" w:type="dxa"/>
            <w:shd w:val="clear" w:color="auto" w:fill="auto"/>
            <w:vAlign w:val="center"/>
          </w:tcPr>
          <w:p w14:paraId="3C875360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考核内容</w:t>
            </w:r>
          </w:p>
        </w:tc>
        <w:tc>
          <w:tcPr>
            <w:tcW w:w="7391" w:type="dxa"/>
            <w:shd w:val="clear" w:color="auto" w:fill="auto"/>
            <w:vAlign w:val="center"/>
          </w:tcPr>
          <w:p w14:paraId="6E50D936">
            <w:pPr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评分标准（知识点、技能点）</w:t>
            </w:r>
          </w:p>
        </w:tc>
      </w:tr>
      <w:tr w14:paraId="6836F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286" w:type="dxa"/>
            <w:shd w:val="clear" w:color="auto" w:fill="auto"/>
            <w:vAlign w:val="center"/>
          </w:tcPr>
          <w:p w14:paraId="5B6CB17E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工作任务一 合规性检查</w:t>
            </w:r>
          </w:p>
        </w:tc>
        <w:tc>
          <w:tcPr>
            <w:tcW w:w="7391" w:type="dxa"/>
            <w:shd w:val="clear" w:color="auto" w:fill="auto"/>
            <w:vAlign w:val="center"/>
          </w:tcPr>
          <w:p w14:paraId="2DB82048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1．财务/税务的业务处理合规性判断</w:t>
            </w:r>
          </w:p>
          <w:p w14:paraId="4941102B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2．财务/税务的业务处理异常依据确认</w:t>
            </w:r>
          </w:p>
          <w:p w14:paraId="287CA3EA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3．财务/税务的业务处理出现异常的整改思路设计</w:t>
            </w:r>
          </w:p>
        </w:tc>
      </w:tr>
      <w:tr w14:paraId="110E4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286" w:type="dxa"/>
            <w:shd w:val="clear" w:color="auto" w:fill="auto"/>
            <w:vAlign w:val="center"/>
          </w:tcPr>
          <w:p w14:paraId="6F0CD90C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工作任务二 风险疑点预判</w:t>
            </w:r>
          </w:p>
        </w:tc>
        <w:tc>
          <w:tcPr>
            <w:tcW w:w="7391" w:type="dxa"/>
            <w:shd w:val="clear" w:color="auto" w:fill="auto"/>
            <w:vAlign w:val="center"/>
          </w:tcPr>
          <w:p w14:paraId="25F8A87E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1．行业税收风险方向确认</w:t>
            </w:r>
          </w:p>
          <w:p w14:paraId="7A2BF00A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．企业税收风险方向确认</w:t>
            </w:r>
          </w:p>
          <w:p w14:paraId="20C81644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3．地域性税收风险方向确认</w:t>
            </w:r>
          </w:p>
          <w:p w14:paraId="42866A9F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4．风险方向验证指标选取</w:t>
            </w:r>
          </w:p>
        </w:tc>
      </w:tr>
      <w:tr w14:paraId="6AB06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286" w:type="dxa"/>
            <w:shd w:val="clear" w:color="auto" w:fill="auto"/>
            <w:vAlign w:val="center"/>
          </w:tcPr>
          <w:p w14:paraId="757FFC34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工作任务三 指标管理</w:t>
            </w:r>
          </w:p>
        </w:tc>
        <w:tc>
          <w:tcPr>
            <w:tcW w:w="7391" w:type="dxa"/>
            <w:shd w:val="clear" w:color="auto" w:fill="auto"/>
            <w:vAlign w:val="center"/>
          </w:tcPr>
          <w:p w14:paraId="51ECEAFA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1．指标元报表出处掌握</w:t>
            </w:r>
          </w:p>
          <w:p w14:paraId="4C6D55BD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．指标计算器的公式组建应用能力</w:t>
            </w:r>
          </w:p>
          <w:p w14:paraId="56382DE5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3．指标与指标之间公式组建应用能力</w:t>
            </w:r>
          </w:p>
          <w:p w14:paraId="42BA2777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4、指标公式函数应用能力</w:t>
            </w:r>
          </w:p>
        </w:tc>
      </w:tr>
      <w:tr w14:paraId="33ACF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286" w:type="dxa"/>
            <w:shd w:val="clear" w:color="auto" w:fill="auto"/>
            <w:vAlign w:val="center"/>
          </w:tcPr>
          <w:p w14:paraId="5D7726AB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工作任务四 风险引擎管理</w:t>
            </w:r>
          </w:p>
        </w:tc>
        <w:tc>
          <w:tcPr>
            <w:tcW w:w="7391" w:type="dxa"/>
            <w:shd w:val="clear" w:color="auto" w:fill="auto"/>
            <w:vAlign w:val="center"/>
          </w:tcPr>
          <w:p w14:paraId="77460474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1．风险引擎组建及管理能力</w:t>
            </w:r>
          </w:p>
          <w:p w14:paraId="37333B30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．风险引擎算法参数设置能力</w:t>
            </w:r>
          </w:p>
          <w:p w14:paraId="5683D840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3．风险引擎预警值确认与应用</w:t>
            </w:r>
          </w:p>
          <w:p w14:paraId="4BC83D3E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4．风险引擎区间及应对提示设置能力</w:t>
            </w:r>
          </w:p>
        </w:tc>
      </w:tr>
      <w:tr w14:paraId="56057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86" w:type="dxa"/>
            <w:shd w:val="clear" w:color="auto" w:fill="auto"/>
            <w:vAlign w:val="center"/>
          </w:tcPr>
          <w:p w14:paraId="74298C9F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工作任务五 风险扫描</w:t>
            </w:r>
          </w:p>
        </w:tc>
        <w:tc>
          <w:tcPr>
            <w:tcW w:w="7391" w:type="dxa"/>
            <w:shd w:val="clear" w:color="auto" w:fill="auto"/>
            <w:vAlign w:val="center"/>
          </w:tcPr>
          <w:p w14:paraId="0322C2C5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1．大数据风险引擎应用及运行异常处理</w:t>
            </w:r>
          </w:p>
          <w:p w14:paraId="48C443F6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2．风险评估报告查阅及识别应用</w:t>
            </w:r>
          </w:p>
        </w:tc>
      </w:tr>
      <w:tr w14:paraId="7682E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86" w:type="dxa"/>
            <w:shd w:val="clear" w:color="auto" w:fill="auto"/>
            <w:vAlign w:val="center"/>
          </w:tcPr>
          <w:p w14:paraId="349135EC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工作任务六 风险排查</w:t>
            </w:r>
          </w:p>
        </w:tc>
        <w:tc>
          <w:tcPr>
            <w:tcW w:w="7391" w:type="dxa"/>
            <w:shd w:val="clear" w:color="auto" w:fill="auto"/>
            <w:vAlign w:val="center"/>
          </w:tcPr>
          <w:p w14:paraId="21559A08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1．异常风险点核查及业务处理的判断</w:t>
            </w:r>
          </w:p>
          <w:p w14:paraId="5BA5EB02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2．伪异常风险点的自查举证的排查能力</w:t>
            </w:r>
          </w:p>
        </w:tc>
      </w:tr>
      <w:tr w14:paraId="56ADB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86" w:type="dxa"/>
            <w:shd w:val="clear" w:color="auto" w:fill="auto"/>
            <w:vAlign w:val="center"/>
          </w:tcPr>
          <w:p w14:paraId="305B350E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工作任务七 风险后果自测</w:t>
            </w:r>
          </w:p>
        </w:tc>
        <w:tc>
          <w:tcPr>
            <w:tcW w:w="7391" w:type="dxa"/>
            <w:shd w:val="clear" w:color="auto" w:fill="auto"/>
            <w:vAlign w:val="center"/>
          </w:tcPr>
          <w:p w14:paraId="6159CBB3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1．异常风险点的应对方案出具能力</w:t>
            </w:r>
          </w:p>
          <w:p w14:paraId="4A482D03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2．异常风险点的风险后果类型预测</w:t>
            </w:r>
          </w:p>
          <w:p w14:paraId="5E93EDB8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3．异常风险点的风险后果内容预估</w:t>
            </w:r>
          </w:p>
        </w:tc>
      </w:tr>
      <w:tr w14:paraId="6454E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86" w:type="dxa"/>
            <w:shd w:val="clear" w:color="auto" w:fill="auto"/>
            <w:vAlign w:val="center"/>
          </w:tcPr>
          <w:p w14:paraId="5F532C05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工作任务八 风险预警报告出具</w:t>
            </w:r>
          </w:p>
        </w:tc>
        <w:tc>
          <w:tcPr>
            <w:tcW w:w="7391" w:type="dxa"/>
            <w:shd w:val="clear" w:color="auto" w:fill="auto"/>
            <w:vAlign w:val="center"/>
          </w:tcPr>
          <w:p w14:paraId="6BE83A25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1．风险预警报告编辑能力</w:t>
            </w:r>
          </w:p>
          <w:p w14:paraId="10246A0F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2．企业风险预警报告汇报能力</w:t>
            </w:r>
          </w:p>
        </w:tc>
      </w:tr>
      <w:tr w14:paraId="2E4ED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86" w:type="dxa"/>
            <w:shd w:val="clear" w:color="auto" w:fill="auto"/>
            <w:vAlign w:val="center"/>
          </w:tcPr>
          <w:p w14:paraId="357BF4FA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工作任务九 纳税检查应对</w:t>
            </w:r>
          </w:p>
        </w:tc>
        <w:tc>
          <w:tcPr>
            <w:tcW w:w="7391" w:type="dxa"/>
            <w:shd w:val="clear" w:color="auto" w:fill="auto"/>
            <w:vAlign w:val="center"/>
          </w:tcPr>
          <w:p w14:paraId="23741E13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1．税局风险提示告知书的识读</w:t>
            </w:r>
          </w:p>
          <w:p w14:paraId="07C2FF7B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2．风险提示告知书的涉税疑点存在核查</w:t>
            </w:r>
          </w:p>
          <w:p w14:paraId="27DC7790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3．涉税疑点排除的判断依据合理合法合规确认</w:t>
            </w:r>
          </w:p>
          <w:p w14:paraId="07962518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4．涉税疑点存在的违规事项依据确认</w:t>
            </w:r>
          </w:p>
        </w:tc>
      </w:tr>
      <w:tr w14:paraId="6061D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86" w:type="dxa"/>
            <w:shd w:val="clear" w:color="auto" w:fill="auto"/>
            <w:vAlign w:val="center"/>
          </w:tcPr>
          <w:p w14:paraId="384B0C9E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工作任务十 违规成本及法律法规</w:t>
            </w:r>
          </w:p>
        </w:tc>
        <w:tc>
          <w:tcPr>
            <w:tcW w:w="7391" w:type="dxa"/>
            <w:shd w:val="clear" w:color="auto" w:fill="auto"/>
            <w:vAlign w:val="center"/>
          </w:tcPr>
          <w:p w14:paraId="4E1F4A84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1．涉税疑点合理处理方式预估及处理依据确认</w:t>
            </w:r>
          </w:p>
          <w:p w14:paraId="329F926F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2．涉税疑点查账及风险定位能力</w:t>
            </w:r>
          </w:p>
          <w:p w14:paraId="5C750CF2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3．涉税疑点处理结果预测</w:t>
            </w:r>
          </w:p>
        </w:tc>
      </w:tr>
      <w:tr w14:paraId="741F7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86" w:type="dxa"/>
            <w:shd w:val="clear" w:color="auto" w:fill="auto"/>
            <w:vAlign w:val="center"/>
          </w:tcPr>
          <w:p w14:paraId="763181E9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eastAsia="zh-CN"/>
              </w:rPr>
              <w:t>工作任务十一 纳税检查应对报告出具</w:t>
            </w:r>
          </w:p>
        </w:tc>
        <w:tc>
          <w:tcPr>
            <w:tcW w:w="7391" w:type="dxa"/>
            <w:shd w:val="clear" w:color="auto" w:fill="auto"/>
            <w:vAlign w:val="center"/>
          </w:tcPr>
          <w:p w14:paraId="2AA1E22F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1．纳税检查应对报告编辑能力</w:t>
            </w:r>
          </w:p>
          <w:p w14:paraId="4BECA530">
            <w:pPr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2．纳税检查应对汇报及应对能力</w:t>
            </w:r>
          </w:p>
        </w:tc>
      </w:tr>
    </w:tbl>
    <w:p w14:paraId="682F5B3B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奖项设置</w:t>
      </w:r>
    </w:p>
    <w:p w14:paraId="28AC4B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  <w:t>本次大赛设一、二、三等奖，按照实际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  <w:lang w:val="en-US" w:eastAsia="zh-CN"/>
        </w:rPr>
        <w:t>参赛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highlight w:val="none"/>
        </w:rPr>
        <w:t>队数量为基数，一等奖占比10%，二等奖占比20%，三等奖占比30%。</w:t>
      </w:r>
    </w:p>
    <w:p w14:paraId="348EDC46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申诉与仲裁</w:t>
      </w:r>
    </w:p>
    <w:p w14:paraId="53855C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baseline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本赛项在比赛过程中若出现有失公正或有关人员违规等现象，参赛队领队可在比赛结束后2小时之内向仲裁组提交申诉书（纸质版拍照形成电子版）。申诉书应对申诉事件的过程、发生时间、涉及人员、申诉依据、结果等进行充分、实事求是地叙述，并由领队亲笔签名。无申诉不予受理。赛项仲裁工作组在接到申诉后的2小时内组织复议，并及时反馈复议结果。赛项仲裁工作组仲裁结果为最终结果。</w:t>
      </w:r>
    </w:p>
    <w:p w14:paraId="19E08531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bookmarkStart w:id="2" w:name="_Toc6208"/>
      <w:bookmarkStart w:id="3" w:name="_Toc28018"/>
      <w:bookmarkStart w:id="4" w:name="_Toc18894"/>
      <w:bookmarkStart w:id="5" w:name="_Toc21758"/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赛项安全</w:t>
      </w:r>
      <w:bookmarkEnd w:id="2"/>
      <w:bookmarkEnd w:id="3"/>
      <w:bookmarkEnd w:id="4"/>
      <w:bookmarkEnd w:id="5"/>
    </w:p>
    <w:p w14:paraId="4DED36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73"/>
        <w:textAlignment w:val="auto"/>
        <w:outlineLvl w:val="1"/>
        <w:rPr>
          <w:rFonts w:ascii="楷体" w:hAnsi="楷体" w:eastAsia="楷体" w:cs="楷体"/>
          <w:sz w:val="28"/>
          <w:szCs w:val="28"/>
        </w:rPr>
      </w:pPr>
      <w:bookmarkStart w:id="6" w:name="_Toc28858"/>
      <w:r>
        <w:rPr>
          <w:rFonts w:ascii="楷体" w:hAnsi="楷体" w:eastAsia="楷体" w:cs="楷体"/>
          <w:spacing w:val="-14"/>
          <w:sz w:val="28"/>
          <w:szCs w:val="28"/>
        </w:rPr>
        <w:t>( 一 ) 比赛安全</w:t>
      </w:r>
      <w:bookmarkEnd w:id="6"/>
    </w:p>
    <w:p w14:paraId="7802B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" w:firstLine="568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11"/>
          <w:sz w:val="28"/>
          <w:szCs w:val="28"/>
        </w:rPr>
        <w:t>1</w:t>
      </w:r>
      <w:r>
        <w:rPr>
          <w:rFonts w:ascii="仿宋" w:hAnsi="仿宋" w:eastAsia="仿宋" w:cs="仿宋"/>
          <w:spacing w:val="-6"/>
          <w:sz w:val="28"/>
          <w:szCs w:val="28"/>
        </w:rPr>
        <w:t>.赛项执委会在赛前对比赛现场、住宿场所和交通保障进行考察，并对安全工作提出</w:t>
      </w:r>
      <w:r>
        <w:rPr>
          <w:rFonts w:ascii="仿宋" w:hAnsi="仿宋" w:eastAsia="仿宋" w:cs="仿宋"/>
          <w:spacing w:val="-3"/>
          <w:sz w:val="28"/>
          <w:szCs w:val="28"/>
        </w:rPr>
        <w:t>明确要求。赛场的布置、器材、设备等符合国家有</w:t>
      </w:r>
      <w:r>
        <w:rPr>
          <w:rFonts w:ascii="仿宋" w:hAnsi="仿宋" w:eastAsia="仿宋" w:cs="仿宋"/>
          <w:spacing w:val="-1"/>
          <w:sz w:val="28"/>
          <w:szCs w:val="28"/>
        </w:rPr>
        <w:t>关安全规定。承办单位赛前将按照执委会</w:t>
      </w:r>
      <w:r>
        <w:rPr>
          <w:rFonts w:ascii="仿宋" w:hAnsi="仿宋" w:eastAsia="仿宋" w:cs="仿宋"/>
          <w:sz w:val="28"/>
          <w:szCs w:val="28"/>
        </w:rPr>
        <w:t>要求排除安全隐患。</w:t>
      </w:r>
    </w:p>
    <w:p w14:paraId="76A99A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95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1"/>
          <w:sz w:val="28"/>
          <w:szCs w:val="28"/>
        </w:rPr>
        <w:t>2.赛场周围设立警戒线，防止无关人员进入发生</w:t>
      </w:r>
      <w:r>
        <w:rPr>
          <w:rFonts w:ascii="仿宋" w:hAnsi="仿宋" w:eastAsia="仿宋" w:cs="仿宋"/>
          <w:sz w:val="28"/>
          <w:szCs w:val="28"/>
        </w:rPr>
        <w:t>意外事件。</w:t>
      </w:r>
    </w:p>
    <w:p w14:paraId="4F304C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06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2"/>
          <w:sz w:val="28"/>
          <w:szCs w:val="28"/>
        </w:rPr>
        <w:t>3.承办</w:t>
      </w:r>
      <w:r>
        <w:rPr>
          <w:rFonts w:ascii="仿宋" w:hAnsi="仿宋" w:eastAsia="仿宋" w:cs="仿宋"/>
          <w:spacing w:val="-1"/>
          <w:sz w:val="28"/>
          <w:szCs w:val="28"/>
        </w:rPr>
        <w:t>单位将制定赛场用电预案，提供医疗和消防安全保障。</w:t>
      </w:r>
    </w:p>
    <w:p w14:paraId="52BD3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8" w:right="216" w:firstLine="555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4.赛项执委会将须同承办单位制定开放赛场和体验区的人员</w:t>
      </w:r>
      <w:r>
        <w:rPr>
          <w:rFonts w:ascii="仿宋" w:hAnsi="仿宋" w:eastAsia="仿宋" w:cs="仿宋"/>
          <w:spacing w:val="4"/>
          <w:sz w:val="28"/>
          <w:szCs w:val="28"/>
        </w:rPr>
        <w:t>疏</w:t>
      </w:r>
      <w:r>
        <w:rPr>
          <w:rFonts w:ascii="仿宋" w:hAnsi="仿宋" w:eastAsia="仿宋" w:cs="仿宋"/>
          <w:spacing w:val="-6"/>
          <w:sz w:val="28"/>
          <w:szCs w:val="28"/>
        </w:rPr>
        <w:t>导方案。</w:t>
      </w:r>
    </w:p>
    <w:p w14:paraId="5E3668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3" w:right="216" w:firstLine="574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6"/>
          <w:sz w:val="28"/>
          <w:szCs w:val="28"/>
        </w:rPr>
        <w:t>5</w:t>
      </w:r>
      <w:r>
        <w:rPr>
          <w:rFonts w:ascii="仿宋" w:hAnsi="仿宋" w:eastAsia="仿宋" w:cs="仿宋"/>
          <w:spacing w:val="-4"/>
          <w:sz w:val="28"/>
          <w:szCs w:val="28"/>
        </w:rPr>
        <w:t>.大赛期间，承办单位在赛场管理的关键岗位增加力量，建立安</w:t>
      </w:r>
      <w:r>
        <w:rPr>
          <w:rFonts w:ascii="仿宋" w:hAnsi="仿宋" w:eastAsia="仿宋" w:cs="仿宋"/>
          <w:spacing w:val="-1"/>
          <w:sz w:val="28"/>
          <w:szCs w:val="28"/>
        </w:rPr>
        <w:t>全管理日志。设置两</w:t>
      </w:r>
      <w:r>
        <w:rPr>
          <w:rFonts w:ascii="仿宋" w:hAnsi="仿宋" w:eastAsia="仿宋" w:cs="仿宋"/>
          <w:sz w:val="28"/>
          <w:szCs w:val="28"/>
        </w:rPr>
        <w:t>条以上畅通且直通户外地面的安全通道。</w:t>
      </w:r>
    </w:p>
    <w:p w14:paraId="59B286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73"/>
        <w:textAlignment w:val="auto"/>
        <w:outlineLvl w:val="1"/>
        <w:rPr>
          <w:rFonts w:ascii="楷体" w:hAnsi="楷体" w:eastAsia="楷体" w:cs="楷体"/>
          <w:sz w:val="28"/>
          <w:szCs w:val="28"/>
        </w:rPr>
      </w:pPr>
      <w:bookmarkStart w:id="7" w:name="_Toc22478"/>
      <w:r>
        <w:rPr>
          <w:rFonts w:ascii="楷体" w:hAnsi="楷体" w:eastAsia="楷体" w:cs="楷体"/>
          <w:spacing w:val="21"/>
          <w:sz w:val="28"/>
          <w:szCs w:val="28"/>
        </w:rPr>
        <w:t>(</w:t>
      </w:r>
      <w:r>
        <w:rPr>
          <w:rFonts w:ascii="楷体" w:hAnsi="楷体" w:eastAsia="楷体" w:cs="楷体"/>
          <w:spacing w:val="17"/>
          <w:sz w:val="28"/>
          <w:szCs w:val="28"/>
        </w:rPr>
        <w:t>二) 生活安全</w:t>
      </w:r>
      <w:bookmarkEnd w:id="7"/>
    </w:p>
    <w:p w14:paraId="6B743F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1" w:right="216" w:firstLine="557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6"/>
          <w:sz w:val="28"/>
          <w:szCs w:val="28"/>
        </w:rPr>
        <w:t>赛项执委会</w:t>
      </w:r>
      <w:r>
        <w:rPr>
          <w:rFonts w:ascii="仿宋" w:hAnsi="仿宋" w:eastAsia="仿宋" w:cs="仿宋"/>
          <w:spacing w:val="-3"/>
          <w:sz w:val="28"/>
          <w:szCs w:val="28"/>
        </w:rPr>
        <w:t>和承办单位须保证比赛期间选手、指导教师和裁判员</w:t>
      </w:r>
      <w:r>
        <w:rPr>
          <w:rFonts w:ascii="仿宋" w:hAnsi="仿宋" w:eastAsia="仿宋" w:cs="仿宋"/>
          <w:spacing w:val="-1"/>
          <w:sz w:val="28"/>
          <w:szCs w:val="28"/>
        </w:rPr>
        <w:t>及工作人员的</w:t>
      </w:r>
      <w:r>
        <w:rPr>
          <w:rFonts w:ascii="仿宋" w:hAnsi="仿宋" w:eastAsia="仿宋" w:cs="仿宋"/>
          <w:sz w:val="28"/>
          <w:szCs w:val="28"/>
        </w:rPr>
        <w:t>住宿和饮食安全。</w:t>
      </w:r>
    </w:p>
    <w:p w14:paraId="5FB5C9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73"/>
        <w:textAlignment w:val="auto"/>
        <w:outlineLvl w:val="1"/>
        <w:rPr>
          <w:rFonts w:ascii="楷体" w:hAnsi="楷体" w:eastAsia="楷体" w:cs="楷体"/>
          <w:sz w:val="28"/>
          <w:szCs w:val="28"/>
        </w:rPr>
      </w:pPr>
      <w:bookmarkStart w:id="8" w:name="_Toc13740"/>
      <w:r>
        <w:rPr>
          <w:rFonts w:ascii="楷体" w:hAnsi="楷体" w:eastAsia="楷体" w:cs="楷体"/>
          <w:spacing w:val="-14"/>
          <w:sz w:val="28"/>
          <w:szCs w:val="28"/>
        </w:rPr>
        <w:t>( 三 ) 组队责任</w:t>
      </w:r>
      <w:bookmarkEnd w:id="8"/>
    </w:p>
    <w:p w14:paraId="541F2C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5" w:right="216" w:firstLine="558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6"/>
          <w:sz w:val="28"/>
          <w:szCs w:val="28"/>
        </w:rPr>
        <w:t>各代表队须为</w:t>
      </w:r>
      <w:r>
        <w:rPr>
          <w:rFonts w:ascii="仿宋" w:hAnsi="仿宋" w:eastAsia="仿宋" w:cs="仿宋"/>
          <w:spacing w:val="-4"/>
          <w:sz w:val="28"/>
          <w:szCs w:val="28"/>
        </w:rPr>
        <w:t>参</w:t>
      </w:r>
      <w:r>
        <w:rPr>
          <w:rFonts w:ascii="仿宋" w:hAnsi="仿宋" w:eastAsia="仿宋" w:cs="仿宋"/>
          <w:spacing w:val="-3"/>
          <w:sz w:val="28"/>
          <w:szCs w:val="28"/>
        </w:rPr>
        <w:t>赛选手购买大赛期间的人身意外伤害保险，不得</w:t>
      </w:r>
      <w:r>
        <w:rPr>
          <w:rFonts w:ascii="仿宋" w:hAnsi="仿宋" w:eastAsia="仿宋" w:cs="仿宋"/>
          <w:spacing w:val="-6"/>
          <w:sz w:val="28"/>
          <w:szCs w:val="28"/>
        </w:rPr>
        <w:t>以其他长期</w:t>
      </w:r>
      <w:r>
        <w:rPr>
          <w:rFonts w:ascii="仿宋" w:hAnsi="仿宋" w:eastAsia="仿宋" w:cs="仿宋"/>
          <w:spacing w:val="-3"/>
          <w:sz w:val="28"/>
          <w:szCs w:val="28"/>
        </w:rPr>
        <w:t>保险代替，并制定安全管理制度，对所有选手、指导教师</w:t>
      </w:r>
      <w:r>
        <w:rPr>
          <w:rFonts w:ascii="仿宋" w:hAnsi="仿宋" w:eastAsia="仿宋" w:cs="仿宋"/>
          <w:spacing w:val="-2"/>
          <w:sz w:val="28"/>
          <w:szCs w:val="28"/>
        </w:rPr>
        <w:t>进行安全</w:t>
      </w:r>
      <w:r>
        <w:rPr>
          <w:rFonts w:ascii="仿宋" w:hAnsi="仿宋" w:eastAsia="仿宋" w:cs="仿宋"/>
          <w:spacing w:val="-1"/>
          <w:sz w:val="28"/>
          <w:szCs w:val="28"/>
        </w:rPr>
        <w:t>教育。</w:t>
      </w:r>
    </w:p>
    <w:p w14:paraId="532891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73"/>
        <w:textAlignment w:val="auto"/>
        <w:outlineLvl w:val="1"/>
        <w:rPr>
          <w:rFonts w:ascii="楷体" w:hAnsi="楷体" w:eastAsia="楷体" w:cs="楷体"/>
          <w:sz w:val="28"/>
          <w:szCs w:val="28"/>
        </w:rPr>
      </w:pPr>
      <w:bookmarkStart w:id="9" w:name="_Toc23798"/>
      <w:r>
        <w:rPr>
          <w:rFonts w:ascii="楷体" w:hAnsi="楷体" w:eastAsia="楷体" w:cs="楷体"/>
          <w:spacing w:val="-18"/>
          <w:sz w:val="28"/>
          <w:szCs w:val="28"/>
        </w:rPr>
        <w:t>(</w:t>
      </w:r>
      <w:r>
        <w:rPr>
          <w:rFonts w:ascii="楷体" w:hAnsi="楷体" w:eastAsia="楷体" w:cs="楷体"/>
          <w:spacing w:val="-11"/>
          <w:sz w:val="28"/>
          <w:szCs w:val="28"/>
        </w:rPr>
        <w:t xml:space="preserve"> 四 ) 应急处理小组</w:t>
      </w:r>
      <w:bookmarkEnd w:id="9"/>
    </w:p>
    <w:p w14:paraId="0CF9CE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9" w:right="130" w:rightChars="62" w:firstLine="596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10"/>
          <w:sz w:val="28"/>
          <w:szCs w:val="28"/>
        </w:rPr>
        <w:t>比</w:t>
      </w:r>
      <w:r>
        <w:rPr>
          <w:rFonts w:ascii="仿宋" w:hAnsi="仿宋" w:eastAsia="仿宋" w:cs="仿宋"/>
          <w:spacing w:val="-6"/>
          <w:sz w:val="28"/>
          <w:szCs w:val="28"/>
        </w:rPr>
        <w:t>赛</w:t>
      </w:r>
      <w:r>
        <w:rPr>
          <w:rFonts w:ascii="仿宋" w:hAnsi="仿宋" w:eastAsia="仿宋" w:cs="仿宋"/>
          <w:spacing w:val="-5"/>
          <w:sz w:val="28"/>
          <w:szCs w:val="28"/>
        </w:rPr>
        <w:t>期间发生意外事故，应第一时间报告赛项执委会，赛项执委</w:t>
      </w:r>
      <w:r>
        <w:rPr>
          <w:rFonts w:ascii="仿宋" w:hAnsi="仿宋" w:eastAsia="仿宋" w:cs="仿宋"/>
          <w:spacing w:val="-1"/>
          <w:sz w:val="28"/>
          <w:szCs w:val="28"/>
        </w:rPr>
        <w:t>会立即启动预案以避免事态扩大</w:t>
      </w:r>
      <w:r>
        <w:rPr>
          <w:rFonts w:ascii="仿宋" w:hAnsi="仿宋" w:eastAsia="仿宋" w:cs="仿宋"/>
          <w:sz w:val="28"/>
          <w:szCs w:val="28"/>
        </w:rPr>
        <w:t>。</w:t>
      </w:r>
    </w:p>
    <w:p w14:paraId="27C430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73" w:right="130" w:rightChars="62"/>
        <w:textAlignment w:val="auto"/>
        <w:outlineLvl w:val="1"/>
        <w:rPr>
          <w:rFonts w:ascii="楷体" w:hAnsi="楷体" w:eastAsia="楷体" w:cs="楷体"/>
          <w:sz w:val="28"/>
          <w:szCs w:val="28"/>
        </w:rPr>
      </w:pPr>
      <w:bookmarkStart w:id="10" w:name="_Toc30166"/>
      <w:r>
        <w:rPr>
          <w:rFonts w:ascii="楷体" w:hAnsi="楷体" w:eastAsia="楷体" w:cs="楷体"/>
          <w:spacing w:val="-18"/>
          <w:sz w:val="28"/>
          <w:szCs w:val="28"/>
        </w:rPr>
        <w:t>(</w:t>
      </w:r>
      <w:r>
        <w:rPr>
          <w:rFonts w:ascii="楷体" w:hAnsi="楷体" w:eastAsia="楷体" w:cs="楷体"/>
          <w:spacing w:val="-11"/>
          <w:sz w:val="28"/>
          <w:szCs w:val="28"/>
        </w:rPr>
        <w:t xml:space="preserve"> 五 ) 保水保电原则</w:t>
      </w:r>
      <w:bookmarkEnd w:id="10"/>
    </w:p>
    <w:p w14:paraId="4E6767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" w:right="130" w:rightChars="62" w:firstLine="552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6"/>
          <w:sz w:val="28"/>
          <w:szCs w:val="28"/>
        </w:rPr>
        <w:t>承办单位做</w:t>
      </w:r>
      <w:r>
        <w:rPr>
          <w:rFonts w:ascii="仿宋" w:hAnsi="仿宋" w:eastAsia="仿宋" w:cs="仿宋"/>
          <w:spacing w:val="-4"/>
          <w:sz w:val="28"/>
          <w:szCs w:val="28"/>
        </w:rPr>
        <w:t>好</w:t>
      </w:r>
      <w:r>
        <w:rPr>
          <w:rFonts w:ascii="仿宋" w:hAnsi="仿宋" w:eastAsia="仿宋" w:cs="仿宋"/>
          <w:spacing w:val="-3"/>
          <w:sz w:val="28"/>
          <w:szCs w:val="28"/>
        </w:rPr>
        <w:t>保水保电工作。采用双回路供电。设置 UPS，防止</w:t>
      </w:r>
      <w:r>
        <w:rPr>
          <w:rFonts w:ascii="仿宋" w:hAnsi="仿宋" w:eastAsia="仿宋" w:cs="仿宋"/>
          <w:spacing w:val="-10"/>
          <w:sz w:val="28"/>
          <w:szCs w:val="28"/>
        </w:rPr>
        <w:t>现场因突然</w:t>
      </w:r>
      <w:r>
        <w:rPr>
          <w:rFonts w:ascii="仿宋" w:hAnsi="仿宋" w:eastAsia="仿宋" w:cs="仿宋"/>
          <w:spacing w:val="-5"/>
          <w:sz w:val="28"/>
          <w:szCs w:val="28"/>
        </w:rPr>
        <w:t>断电导致的系统数据丢失，额定功率：12KVA，后备时间：</w:t>
      </w:r>
      <w:r>
        <w:rPr>
          <w:rFonts w:ascii="仿宋" w:hAnsi="仿宋" w:eastAsia="仿宋" w:cs="仿宋"/>
          <w:spacing w:val="-22"/>
          <w:sz w:val="28"/>
          <w:szCs w:val="28"/>
        </w:rPr>
        <w:t>9</w:t>
      </w:r>
      <w:r>
        <w:rPr>
          <w:rFonts w:ascii="仿宋" w:hAnsi="仿宋" w:eastAsia="仿宋" w:cs="仿宋"/>
          <w:spacing w:val="-13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11"/>
          <w:sz w:val="28"/>
          <w:szCs w:val="28"/>
        </w:rPr>
        <w:t>小时，输出电压：230V ±5%V。</w:t>
      </w:r>
    </w:p>
    <w:p w14:paraId="00037033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bookmarkStart w:id="11" w:name="_Toc1317"/>
      <w:bookmarkStart w:id="12" w:name="_Toc9525"/>
      <w:bookmarkStart w:id="13" w:name="_Toc13129"/>
      <w:bookmarkStart w:id="14" w:name="_Toc2797"/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赛项预案</w:t>
      </w:r>
      <w:bookmarkEnd w:id="11"/>
      <w:bookmarkEnd w:id="12"/>
      <w:bookmarkEnd w:id="13"/>
      <w:bookmarkEnd w:id="14"/>
    </w:p>
    <w:p w14:paraId="36905C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2" w:right="81" w:firstLine="579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8"/>
          <w:sz w:val="28"/>
          <w:szCs w:val="28"/>
        </w:rPr>
        <w:t>1</w:t>
      </w:r>
      <w:r>
        <w:rPr>
          <w:rFonts w:ascii="仿宋" w:hAnsi="仿宋" w:eastAsia="仿宋" w:cs="仿宋"/>
          <w:spacing w:val="-6"/>
          <w:sz w:val="28"/>
          <w:szCs w:val="28"/>
        </w:rPr>
        <w:t>.</w:t>
      </w:r>
      <w:r>
        <w:rPr>
          <w:rFonts w:ascii="仿宋" w:hAnsi="仿宋" w:eastAsia="仿宋" w:cs="仿宋"/>
          <w:spacing w:val="-4"/>
          <w:sz w:val="28"/>
          <w:szCs w:val="28"/>
        </w:rPr>
        <w:t>为保障大赛顺利进行，赛项执委会将在赛前组织专人对比赛现</w:t>
      </w:r>
      <w:r>
        <w:rPr>
          <w:rFonts w:ascii="仿宋" w:hAnsi="仿宋" w:eastAsia="仿宋" w:cs="仿宋"/>
          <w:spacing w:val="-6"/>
          <w:sz w:val="28"/>
          <w:szCs w:val="28"/>
        </w:rPr>
        <w:t>场、住宿</w:t>
      </w:r>
      <w:r>
        <w:rPr>
          <w:rFonts w:ascii="仿宋" w:hAnsi="仿宋" w:eastAsia="仿宋" w:cs="仿宋"/>
          <w:spacing w:val="-4"/>
          <w:sz w:val="28"/>
          <w:szCs w:val="28"/>
        </w:rPr>
        <w:t>场</w:t>
      </w:r>
      <w:r>
        <w:rPr>
          <w:rFonts w:ascii="仿宋" w:hAnsi="仿宋" w:eastAsia="仿宋" w:cs="仿宋"/>
          <w:spacing w:val="-3"/>
          <w:sz w:val="28"/>
          <w:szCs w:val="28"/>
        </w:rPr>
        <w:t>所和交通保障进行考察，并对安全工作提出明确要求。赛</w:t>
      </w:r>
      <w:r>
        <w:rPr>
          <w:rFonts w:ascii="仿宋" w:hAnsi="仿宋" w:eastAsia="仿宋" w:cs="仿宋"/>
          <w:spacing w:val="-6"/>
          <w:sz w:val="28"/>
          <w:szCs w:val="28"/>
        </w:rPr>
        <w:t>场的布置</w:t>
      </w:r>
      <w:r>
        <w:rPr>
          <w:rFonts w:ascii="仿宋" w:hAnsi="仿宋" w:eastAsia="仿宋" w:cs="仿宋"/>
          <w:spacing w:val="-4"/>
          <w:sz w:val="28"/>
          <w:szCs w:val="28"/>
        </w:rPr>
        <w:t>、</w:t>
      </w:r>
      <w:r>
        <w:rPr>
          <w:rFonts w:ascii="仿宋" w:hAnsi="仿宋" w:eastAsia="仿宋" w:cs="仿宋"/>
          <w:spacing w:val="-3"/>
          <w:sz w:val="28"/>
          <w:szCs w:val="28"/>
        </w:rPr>
        <w:t>赛场内的器材、设备，应符合国家有关安全规定及竞赛的</w:t>
      </w:r>
      <w:r>
        <w:rPr>
          <w:rFonts w:ascii="仿宋" w:hAnsi="仿宋" w:eastAsia="仿宋" w:cs="仿宋"/>
          <w:spacing w:val="-2"/>
          <w:sz w:val="28"/>
          <w:szCs w:val="28"/>
        </w:rPr>
        <w:t>标</w:t>
      </w:r>
      <w:r>
        <w:rPr>
          <w:rFonts w:ascii="仿宋" w:hAnsi="仿宋" w:eastAsia="仿宋" w:cs="仿宋"/>
          <w:spacing w:val="-1"/>
          <w:sz w:val="28"/>
          <w:szCs w:val="28"/>
        </w:rPr>
        <w:t>准和要求。</w:t>
      </w:r>
    </w:p>
    <w:p w14:paraId="731972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595"/>
        <w:textAlignment w:val="auto"/>
        <w:outlineLvl w:val="1"/>
        <w:rPr>
          <w:rFonts w:ascii="仿宋" w:hAnsi="仿宋" w:eastAsia="仿宋" w:cs="仿宋"/>
          <w:sz w:val="28"/>
          <w:szCs w:val="28"/>
        </w:rPr>
      </w:pPr>
      <w:bookmarkStart w:id="15" w:name="_Toc28525"/>
      <w:r>
        <w:rPr>
          <w:rFonts w:ascii="仿宋" w:hAnsi="仿宋" w:eastAsia="仿宋" w:cs="仿宋"/>
          <w:spacing w:val="-1"/>
          <w:sz w:val="28"/>
          <w:szCs w:val="28"/>
        </w:rPr>
        <w:t>2.按照正式比赛所需的设备进行准备，并做好预</w:t>
      </w:r>
      <w:r>
        <w:rPr>
          <w:rFonts w:ascii="仿宋" w:hAnsi="仿宋" w:eastAsia="仿宋" w:cs="仿宋"/>
          <w:sz w:val="28"/>
          <w:szCs w:val="28"/>
        </w:rPr>
        <w:t>案：</w:t>
      </w:r>
      <w:bookmarkEnd w:id="15"/>
    </w:p>
    <w:p w14:paraId="2E6CA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42" w:right="81" w:firstLine="531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20"/>
          <w:sz w:val="28"/>
          <w:szCs w:val="28"/>
        </w:rPr>
        <w:t xml:space="preserve">( 1 ) 赛位备用：比赛场地预备 2 台工位 ( 完整 2 台主机和 2 </w:t>
      </w:r>
      <w:r>
        <w:rPr>
          <w:rFonts w:ascii="仿宋" w:hAnsi="仿宋" w:eastAsia="仿宋" w:cs="仿宋"/>
          <w:spacing w:val="-14"/>
          <w:sz w:val="28"/>
          <w:szCs w:val="28"/>
        </w:rPr>
        <w:t>个</w:t>
      </w:r>
      <w:r>
        <w:rPr>
          <w:rFonts w:ascii="仿宋" w:hAnsi="仿宋" w:eastAsia="仿宋" w:cs="仿宋"/>
          <w:spacing w:val="-4"/>
          <w:sz w:val="28"/>
          <w:szCs w:val="28"/>
        </w:rPr>
        <w:t>显示器</w:t>
      </w:r>
      <w:r>
        <w:rPr>
          <w:rFonts w:ascii="仿宋" w:hAnsi="仿宋" w:eastAsia="仿宋" w:cs="仿宋"/>
          <w:spacing w:val="-3"/>
          <w:sz w:val="28"/>
          <w:szCs w:val="28"/>
        </w:rPr>
        <w:t>)</w:t>
      </w:r>
      <w:r>
        <w:rPr>
          <w:rFonts w:ascii="仿宋" w:hAnsi="仿宋" w:eastAsia="仿宋" w:cs="仿宋"/>
          <w:spacing w:val="-2"/>
          <w:sz w:val="28"/>
          <w:szCs w:val="28"/>
        </w:rPr>
        <w:t xml:space="preserve"> 作为备用。</w:t>
      </w:r>
    </w:p>
    <w:p w14:paraId="18AE0C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19" w:firstLine="554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24"/>
          <w:sz w:val="28"/>
          <w:szCs w:val="28"/>
        </w:rPr>
        <w:t>(</w:t>
      </w:r>
      <w:r>
        <w:rPr>
          <w:rFonts w:ascii="仿宋" w:hAnsi="仿宋" w:eastAsia="仿宋" w:cs="仿宋"/>
          <w:spacing w:val="-12"/>
          <w:sz w:val="28"/>
          <w:szCs w:val="28"/>
        </w:rPr>
        <w:t xml:space="preserve"> 2 ) 不间断电源准备：现场准备 UPS 电源确保服务器不会断电。</w:t>
      </w:r>
      <w:r>
        <w:rPr>
          <w:rFonts w:ascii="仿宋" w:hAnsi="仿宋" w:eastAsia="仿宋" w:cs="仿宋"/>
          <w:spacing w:val="12"/>
          <w:sz w:val="28"/>
          <w:szCs w:val="28"/>
        </w:rPr>
        <w:t>赛</w:t>
      </w:r>
      <w:r>
        <w:rPr>
          <w:rFonts w:ascii="仿宋" w:hAnsi="仿宋" w:eastAsia="仿宋" w:cs="仿宋"/>
          <w:spacing w:val="6"/>
          <w:sz w:val="28"/>
          <w:szCs w:val="28"/>
        </w:rPr>
        <w:t>项执委会、大赛专家组、技术支持单位将在赛前进行赛场不少于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10"/>
          <w:sz w:val="28"/>
          <w:szCs w:val="28"/>
        </w:rPr>
        <w:t>28</w:t>
      </w:r>
      <w:r>
        <w:rPr>
          <w:rFonts w:ascii="仿宋" w:hAnsi="仿宋" w:eastAsia="仿宋" w:cs="仿宋"/>
          <w:spacing w:val="-8"/>
          <w:sz w:val="28"/>
          <w:szCs w:val="28"/>
        </w:rPr>
        <w:t>0</w:t>
      </w:r>
      <w:r>
        <w:rPr>
          <w:rFonts w:ascii="仿宋" w:hAnsi="仿宋" w:eastAsia="仿宋" w:cs="仿宋"/>
          <w:spacing w:val="-5"/>
          <w:sz w:val="28"/>
          <w:szCs w:val="28"/>
        </w:rPr>
        <w:t xml:space="preserve"> 人的压力测试，同时不得低于 2 小时，对操作系统、机器外设、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2"/>
          <w:sz w:val="28"/>
          <w:szCs w:val="28"/>
        </w:rPr>
        <w:t>网络设备、网络带宽</w:t>
      </w:r>
      <w:r>
        <w:rPr>
          <w:rFonts w:ascii="仿宋" w:hAnsi="仿宋" w:eastAsia="仿宋" w:cs="仿宋"/>
          <w:spacing w:val="1"/>
          <w:sz w:val="28"/>
          <w:szCs w:val="28"/>
        </w:rPr>
        <w:t>、考试系统等压力测试，48 小时以上的稳定性</w:t>
      </w:r>
      <w:r>
        <w:rPr>
          <w:rFonts w:ascii="仿宋" w:hAnsi="仿宋" w:eastAsia="仿宋" w:cs="仿宋"/>
          <w:spacing w:val="-1"/>
          <w:sz w:val="28"/>
          <w:szCs w:val="28"/>
        </w:rPr>
        <w:t>测试，以确保</w:t>
      </w:r>
      <w:r>
        <w:rPr>
          <w:rFonts w:ascii="仿宋" w:hAnsi="仿宋" w:eastAsia="仿宋" w:cs="仿宋"/>
          <w:sz w:val="28"/>
          <w:szCs w:val="28"/>
        </w:rPr>
        <w:t>比赛设备的安全高效。</w:t>
      </w:r>
    </w:p>
    <w:p w14:paraId="3C4D6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573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9"/>
          <w:sz w:val="28"/>
          <w:szCs w:val="28"/>
        </w:rPr>
        <w:t>( 3 ) 配备发电</w:t>
      </w:r>
      <w:r>
        <w:rPr>
          <w:rFonts w:hint="eastAsia" w:ascii="仿宋" w:hAnsi="仿宋" w:eastAsia="仿宋" w:cs="仿宋"/>
          <w:spacing w:val="-9"/>
          <w:sz w:val="28"/>
          <w:szCs w:val="28"/>
          <w:lang w:val="en-US" w:eastAsia="zh-CN"/>
        </w:rPr>
        <w:t>机</w:t>
      </w:r>
      <w:r>
        <w:rPr>
          <w:rFonts w:ascii="仿宋" w:hAnsi="仿宋" w:eastAsia="仿宋" w:cs="仿宋"/>
          <w:spacing w:val="-9"/>
          <w:sz w:val="28"/>
          <w:szCs w:val="28"/>
        </w:rPr>
        <w:t>，防止竞赛过程中出现非正常停电。</w:t>
      </w:r>
    </w:p>
    <w:p w14:paraId="35428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16" w:right="81" w:firstLine="589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8"/>
          <w:sz w:val="28"/>
          <w:szCs w:val="28"/>
        </w:rPr>
        <w:t>3.</w:t>
      </w:r>
      <w:r>
        <w:rPr>
          <w:rFonts w:ascii="仿宋" w:hAnsi="仿宋" w:eastAsia="仿宋" w:cs="仿宋"/>
          <w:spacing w:val="-6"/>
          <w:sz w:val="28"/>
          <w:szCs w:val="28"/>
        </w:rPr>
        <w:t>如</w:t>
      </w:r>
      <w:r>
        <w:rPr>
          <w:rFonts w:ascii="仿宋" w:hAnsi="仿宋" w:eastAsia="仿宋" w:cs="仿宋"/>
          <w:spacing w:val="-4"/>
          <w:sz w:val="28"/>
          <w:szCs w:val="28"/>
        </w:rPr>
        <w:t>选手计算机出现蓝屏、卡顿等故障，可举牌示意，裁判有权</w:t>
      </w:r>
      <w:r>
        <w:rPr>
          <w:rFonts w:ascii="仿宋" w:hAnsi="仿宋" w:eastAsia="仿宋" w:cs="仿宋"/>
          <w:spacing w:val="-6"/>
          <w:sz w:val="28"/>
          <w:szCs w:val="28"/>
        </w:rPr>
        <w:t>暂停该</w:t>
      </w:r>
      <w:r>
        <w:rPr>
          <w:rFonts w:ascii="仿宋" w:hAnsi="仿宋" w:eastAsia="仿宋" w:cs="仿宋"/>
          <w:spacing w:val="-3"/>
          <w:sz w:val="28"/>
          <w:szCs w:val="28"/>
        </w:rPr>
        <w:t>队比赛计时，待故障排除后，恢复竞赛，并对该队进行延时补</w:t>
      </w:r>
      <w:r>
        <w:rPr>
          <w:rFonts w:ascii="仿宋" w:hAnsi="仿宋" w:eastAsia="仿宋" w:cs="仿宋"/>
          <w:spacing w:val="-1"/>
          <w:sz w:val="28"/>
          <w:szCs w:val="28"/>
        </w:rPr>
        <w:t>偿。</w:t>
      </w:r>
    </w:p>
    <w:p w14:paraId="4585E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53" w:right="52" w:firstLine="544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-5"/>
          <w:sz w:val="28"/>
          <w:szCs w:val="28"/>
          <w:lang w:val="en-US" w:eastAsia="zh-CN"/>
        </w:rPr>
        <w:t>4</w:t>
      </w:r>
      <w:r>
        <w:rPr>
          <w:rFonts w:ascii="仿宋" w:hAnsi="仿宋" w:eastAsia="仿宋" w:cs="仿宋"/>
          <w:spacing w:val="-3"/>
          <w:sz w:val="28"/>
          <w:szCs w:val="28"/>
        </w:rPr>
        <w:t>.比赛期间发生意外事故，发现者应第一时间报告赛项执委会，</w:t>
      </w:r>
      <w:r>
        <w:rPr>
          <w:rFonts w:ascii="仿宋" w:hAnsi="仿宋" w:eastAsia="仿宋" w:cs="仿宋"/>
          <w:spacing w:val="-8"/>
          <w:sz w:val="28"/>
          <w:szCs w:val="28"/>
        </w:rPr>
        <w:t>同时采</w:t>
      </w:r>
      <w:r>
        <w:rPr>
          <w:rFonts w:ascii="仿宋" w:hAnsi="仿宋" w:eastAsia="仿宋" w:cs="仿宋"/>
          <w:spacing w:val="-6"/>
          <w:sz w:val="28"/>
          <w:szCs w:val="28"/>
        </w:rPr>
        <w:t>取</w:t>
      </w:r>
      <w:r>
        <w:rPr>
          <w:rFonts w:ascii="仿宋" w:hAnsi="仿宋" w:eastAsia="仿宋" w:cs="仿宋"/>
          <w:spacing w:val="-4"/>
          <w:sz w:val="28"/>
          <w:szCs w:val="28"/>
        </w:rPr>
        <w:t>措施避免事态扩大。赛项执委会应立即启动预案予以解决并</w:t>
      </w:r>
      <w:r>
        <w:rPr>
          <w:rFonts w:ascii="仿宋" w:hAnsi="仿宋" w:eastAsia="仿宋" w:cs="仿宋"/>
          <w:spacing w:val="-6"/>
          <w:sz w:val="28"/>
          <w:szCs w:val="28"/>
        </w:rPr>
        <w:t>报告赛区执委会。</w:t>
      </w:r>
      <w:r>
        <w:rPr>
          <w:rFonts w:ascii="仿宋" w:hAnsi="仿宋" w:eastAsia="仿宋" w:cs="仿宋"/>
          <w:spacing w:val="-3"/>
          <w:sz w:val="28"/>
          <w:szCs w:val="28"/>
        </w:rPr>
        <w:t>赛项出现重大安全问题可以停赛，是否停赛由赛区</w:t>
      </w:r>
      <w:r>
        <w:rPr>
          <w:rFonts w:ascii="仿宋" w:hAnsi="仿宋" w:eastAsia="仿宋" w:cs="仿宋"/>
          <w:spacing w:val="-1"/>
          <w:sz w:val="28"/>
          <w:szCs w:val="28"/>
        </w:rPr>
        <w:t>执委会决定。事后，赛区执委会应向大赛</w:t>
      </w:r>
      <w:r>
        <w:rPr>
          <w:rFonts w:ascii="仿宋" w:hAnsi="仿宋" w:eastAsia="仿宋" w:cs="仿宋"/>
          <w:sz w:val="28"/>
          <w:szCs w:val="28"/>
        </w:rPr>
        <w:t>执委会报告详细情况。</w:t>
      </w:r>
    </w:p>
    <w:p w14:paraId="0531FC57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bookmarkStart w:id="16" w:name="_Toc2012"/>
      <w:bookmarkStart w:id="17" w:name="_Toc29802"/>
      <w:bookmarkStart w:id="18" w:name="_Toc219"/>
      <w:bookmarkStart w:id="19" w:name="_Toc21290"/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竞赛须知</w:t>
      </w:r>
      <w:bookmarkEnd w:id="16"/>
      <w:bookmarkEnd w:id="17"/>
      <w:bookmarkEnd w:id="18"/>
      <w:bookmarkEnd w:id="19"/>
    </w:p>
    <w:p w14:paraId="4A305F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573"/>
        <w:textAlignment w:val="auto"/>
        <w:outlineLvl w:val="1"/>
        <w:rPr>
          <w:rFonts w:ascii="楷体" w:hAnsi="楷体" w:eastAsia="楷体" w:cs="楷体"/>
          <w:sz w:val="28"/>
          <w:szCs w:val="28"/>
        </w:rPr>
      </w:pPr>
      <w:bookmarkStart w:id="20" w:name="_Toc30062"/>
      <w:r>
        <w:rPr>
          <w:rFonts w:ascii="楷体" w:hAnsi="楷体" w:eastAsia="楷体" w:cs="楷体"/>
          <w:spacing w:val="-19"/>
          <w:sz w:val="28"/>
          <w:szCs w:val="28"/>
        </w:rPr>
        <w:t>(</w:t>
      </w:r>
      <w:r>
        <w:rPr>
          <w:rFonts w:ascii="楷体" w:hAnsi="楷体" w:eastAsia="楷体" w:cs="楷体"/>
          <w:spacing w:val="-12"/>
          <w:sz w:val="28"/>
          <w:szCs w:val="28"/>
        </w:rPr>
        <w:t xml:space="preserve"> 一 ) 参赛队须知</w:t>
      </w:r>
      <w:bookmarkEnd w:id="20"/>
    </w:p>
    <w:p w14:paraId="351F698C">
      <w:pPr>
        <w:keepNext w:val="0"/>
        <w:keepLines w:val="0"/>
        <w:pageBreakBefore w:val="0"/>
        <w:widowControl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spacing w:line="360" w:lineRule="auto"/>
        <w:ind w:left="15" w:leftChars="0" w:right="109" w:rightChars="52" w:firstLine="579" w:firstLineChars="213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-4"/>
          <w:sz w:val="28"/>
          <w:szCs w:val="28"/>
          <w:lang w:val="en-US" w:eastAsia="zh-CN"/>
        </w:rPr>
        <w:t>1</w:t>
      </w:r>
      <w:r>
        <w:rPr>
          <w:rFonts w:ascii="仿宋" w:hAnsi="仿宋" w:eastAsia="仿宋" w:cs="仿宋"/>
          <w:spacing w:val="-4"/>
          <w:sz w:val="28"/>
          <w:szCs w:val="28"/>
        </w:rPr>
        <w:t>.参赛队选手在报名获得确认后，原则上不再更换，如筹备过</w:t>
      </w:r>
      <w:r>
        <w:rPr>
          <w:rFonts w:ascii="仿宋" w:hAnsi="仿宋" w:eastAsia="仿宋" w:cs="仿宋"/>
          <w:spacing w:val="-3"/>
          <w:sz w:val="28"/>
          <w:szCs w:val="28"/>
        </w:rPr>
        <w:t>程</w:t>
      </w:r>
      <w:r>
        <w:rPr>
          <w:rFonts w:ascii="仿宋" w:hAnsi="仿宋" w:eastAsia="仿宋" w:cs="仿宋"/>
          <w:spacing w:val="-8"/>
          <w:sz w:val="28"/>
          <w:szCs w:val="28"/>
        </w:rPr>
        <w:t>中，选手</w:t>
      </w:r>
      <w:r>
        <w:rPr>
          <w:rFonts w:ascii="仿宋" w:hAnsi="仿宋" w:eastAsia="仿宋" w:cs="仿宋"/>
          <w:spacing w:val="-6"/>
          <w:sz w:val="28"/>
          <w:szCs w:val="28"/>
        </w:rPr>
        <w:t>因</w:t>
      </w:r>
      <w:r>
        <w:rPr>
          <w:rFonts w:ascii="仿宋" w:hAnsi="仿宋" w:eastAsia="仿宋" w:cs="仿宋"/>
          <w:spacing w:val="-4"/>
          <w:sz w:val="28"/>
          <w:szCs w:val="28"/>
        </w:rPr>
        <w:t>故不能参赛，所在省教育主管部门需出具书面说明并按相</w:t>
      </w:r>
      <w:r>
        <w:rPr>
          <w:rFonts w:ascii="仿宋" w:hAnsi="仿宋" w:eastAsia="仿宋" w:cs="仿宋"/>
          <w:spacing w:val="-6"/>
          <w:sz w:val="28"/>
          <w:szCs w:val="28"/>
        </w:rPr>
        <w:t>关参赛选手资格</w:t>
      </w:r>
      <w:r>
        <w:rPr>
          <w:rFonts w:ascii="仿宋" w:hAnsi="仿宋" w:eastAsia="仿宋" w:cs="仿宋"/>
          <w:spacing w:val="-3"/>
          <w:sz w:val="28"/>
          <w:szCs w:val="28"/>
        </w:rPr>
        <w:t>补充人员并接受审核。竞赛开始后，参赛队不得更换</w:t>
      </w:r>
      <w:r>
        <w:rPr>
          <w:rFonts w:ascii="仿宋" w:hAnsi="仿宋" w:eastAsia="仿宋" w:cs="仿宋"/>
          <w:spacing w:val="-2"/>
          <w:sz w:val="28"/>
          <w:szCs w:val="28"/>
        </w:rPr>
        <w:t>参赛</w:t>
      </w:r>
      <w:r>
        <w:rPr>
          <w:rFonts w:ascii="仿宋" w:hAnsi="仿宋" w:eastAsia="仿宋" w:cs="仿宋"/>
          <w:spacing w:val="-1"/>
          <w:sz w:val="28"/>
          <w:szCs w:val="28"/>
        </w:rPr>
        <w:t>选手，允许队员缺席竞赛。</w:t>
      </w:r>
    </w:p>
    <w:p w14:paraId="199939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30" w:right="109" w:rightChars="52" w:firstLine="575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10"/>
          <w:sz w:val="28"/>
          <w:szCs w:val="28"/>
          <w:lang w:val="en-US" w:eastAsia="zh-CN"/>
        </w:rPr>
        <w:t>2</w:t>
      </w:r>
      <w:r>
        <w:rPr>
          <w:rFonts w:ascii="仿宋" w:hAnsi="仿宋" w:eastAsia="仿宋" w:cs="仿宋"/>
          <w:spacing w:val="10"/>
          <w:sz w:val="28"/>
          <w:szCs w:val="28"/>
        </w:rPr>
        <w:t>.</w:t>
      </w:r>
      <w:r>
        <w:rPr>
          <w:rFonts w:ascii="仿宋" w:hAnsi="仿宋" w:eastAsia="仿宋" w:cs="仿宋"/>
          <w:spacing w:val="9"/>
          <w:sz w:val="28"/>
          <w:szCs w:val="28"/>
        </w:rPr>
        <w:t>参</w:t>
      </w:r>
      <w:r>
        <w:rPr>
          <w:rFonts w:ascii="仿宋" w:hAnsi="仿宋" w:eastAsia="仿宋" w:cs="仿宋"/>
          <w:spacing w:val="5"/>
          <w:sz w:val="28"/>
          <w:szCs w:val="28"/>
        </w:rPr>
        <w:t>赛队按照大赛赛程安排凭大赛组委会颁发的参赛证和有效</w:t>
      </w:r>
      <w:r>
        <w:rPr>
          <w:rFonts w:ascii="仿宋" w:hAnsi="仿宋" w:eastAsia="仿宋" w:cs="仿宋"/>
          <w:spacing w:val="-2"/>
          <w:sz w:val="28"/>
          <w:szCs w:val="28"/>
        </w:rPr>
        <w:t>身份</w:t>
      </w:r>
      <w:r>
        <w:rPr>
          <w:rFonts w:ascii="仿宋" w:hAnsi="仿宋" w:eastAsia="仿宋" w:cs="仿宋"/>
          <w:spacing w:val="-1"/>
          <w:sz w:val="28"/>
          <w:szCs w:val="28"/>
        </w:rPr>
        <w:t>证件参加比赛及相关活动。</w:t>
      </w:r>
    </w:p>
    <w:p w14:paraId="06F77B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40" w:right="109" w:rightChars="52" w:firstLine="553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3</w:t>
      </w:r>
      <w:r>
        <w:rPr>
          <w:rFonts w:ascii="仿宋" w:hAnsi="仿宋" w:eastAsia="仿宋" w:cs="仿宋"/>
          <w:spacing w:val="6"/>
          <w:sz w:val="28"/>
          <w:szCs w:val="28"/>
        </w:rPr>
        <w:t>.各参赛队按赛项执委会统一安排参加比赛前熟悉场地环境</w:t>
      </w:r>
      <w:r>
        <w:rPr>
          <w:rFonts w:ascii="仿宋" w:hAnsi="仿宋" w:eastAsia="仿宋" w:cs="仿宋"/>
          <w:spacing w:val="4"/>
          <w:sz w:val="28"/>
          <w:szCs w:val="28"/>
        </w:rPr>
        <w:t>的</w:t>
      </w:r>
      <w:r>
        <w:rPr>
          <w:rFonts w:ascii="仿宋" w:hAnsi="仿宋" w:eastAsia="仿宋" w:cs="仿宋"/>
          <w:spacing w:val="-9"/>
          <w:sz w:val="28"/>
          <w:szCs w:val="28"/>
        </w:rPr>
        <w:t>活</w:t>
      </w:r>
      <w:r>
        <w:rPr>
          <w:rFonts w:ascii="仿宋" w:hAnsi="仿宋" w:eastAsia="仿宋" w:cs="仿宋"/>
          <w:spacing w:val="-8"/>
          <w:sz w:val="28"/>
          <w:szCs w:val="28"/>
        </w:rPr>
        <w:t>动。</w:t>
      </w:r>
    </w:p>
    <w:p w14:paraId="10BF8E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598" w:right="109" w:rightChars="52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4</w:t>
      </w:r>
      <w:r>
        <w:rPr>
          <w:rFonts w:ascii="仿宋" w:hAnsi="仿宋" w:eastAsia="仿宋" w:cs="仿宋"/>
          <w:spacing w:val="-6"/>
          <w:sz w:val="28"/>
          <w:szCs w:val="28"/>
        </w:rPr>
        <w:t>.各参赛队按赛项执委会统一要求，准时参加赛前领队会和抽签</w:t>
      </w:r>
      <w:r>
        <w:rPr>
          <w:rFonts w:ascii="仿宋" w:hAnsi="仿宋" w:eastAsia="仿宋" w:cs="仿宋"/>
          <w:spacing w:val="-1"/>
          <w:sz w:val="28"/>
          <w:szCs w:val="28"/>
        </w:rPr>
        <w:t>。</w:t>
      </w:r>
    </w:p>
    <w:p w14:paraId="0755A9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33" w:right="109" w:rightChars="52" w:firstLine="563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-5"/>
          <w:sz w:val="28"/>
          <w:szCs w:val="28"/>
          <w:lang w:val="en-US" w:eastAsia="zh-CN"/>
        </w:rPr>
        <w:t>5</w:t>
      </w:r>
      <w:r>
        <w:rPr>
          <w:rFonts w:ascii="仿宋" w:hAnsi="仿宋" w:eastAsia="仿宋" w:cs="仿宋"/>
          <w:spacing w:val="-4"/>
          <w:sz w:val="28"/>
          <w:szCs w:val="28"/>
        </w:rPr>
        <w:t>.各参赛队在比赛期间，应保证所有参赛选手的安全，防止交通</w:t>
      </w:r>
      <w:r>
        <w:rPr>
          <w:rFonts w:ascii="仿宋" w:hAnsi="仿宋" w:eastAsia="仿宋" w:cs="仿宋"/>
          <w:spacing w:val="-1"/>
          <w:sz w:val="28"/>
          <w:szCs w:val="28"/>
        </w:rPr>
        <w:t>事故和其它意外事故的发生，为参赛选手</w:t>
      </w:r>
      <w:r>
        <w:rPr>
          <w:rFonts w:ascii="仿宋" w:hAnsi="仿宋" w:eastAsia="仿宋" w:cs="仿宋"/>
          <w:sz w:val="28"/>
          <w:szCs w:val="28"/>
        </w:rPr>
        <w:t>购买人身意外保险。</w:t>
      </w:r>
    </w:p>
    <w:p w14:paraId="5D7E22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5" w:right="109" w:rightChars="52" w:firstLine="572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-16"/>
          <w:sz w:val="28"/>
          <w:szCs w:val="28"/>
          <w:lang w:val="en-US" w:eastAsia="zh-CN"/>
        </w:rPr>
        <w:t>6</w:t>
      </w:r>
      <w:r>
        <w:rPr>
          <w:rFonts w:ascii="仿宋" w:hAnsi="仿宋" w:eastAsia="仿宋" w:cs="仿宋"/>
          <w:spacing w:val="-9"/>
          <w:sz w:val="28"/>
          <w:szCs w:val="28"/>
        </w:rPr>
        <w:t>.</w:t>
      </w:r>
      <w:r>
        <w:rPr>
          <w:rFonts w:ascii="仿宋" w:hAnsi="仿宋" w:eastAsia="仿宋" w:cs="仿宋"/>
          <w:spacing w:val="-8"/>
          <w:sz w:val="28"/>
          <w:szCs w:val="28"/>
        </w:rPr>
        <w:t>各参赛队只允许用赛项执委会提供 4 台电脑进行比赛，电脑上</w:t>
      </w:r>
      <w:r>
        <w:rPr>
          <w:rFonts w:ascii="仿宋" w:hAnsi="仿宋" w:eastAsia="仿宋" w:cs="仿宋"/>
          <w:spacing w:val="-19"/>
          <w:sz w:val="28"/>
          <w:szCs w:val="28"/>
        </w:rPr>
        <w:t>已</w:t>
      </w:r>
      <w:r>
        <w:rPr>
          <w:rFonts w:ascii="仿宋" w:hAnsi="仿宋" w:eastAsia="仿宋" w:cs="仿宋"/>
          <w:spacing w:val="-13"/>
          <w:sz w:val="28"/>
          <w:szCs w:val="28"/>
        </w:rPr>
        <w:t>安装相关软件、常用输入法 (搜狗、五笔、拼音等 ) 和 office 2010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2"/>
          <w:sz w:val="28"/>
          <w:szCs w:val="28"/>
        </w:rPr>
        <w:t>或以上版</w:t>
      </w:r>
      <w:r>
        <w:rPr>
          <w:rFonts w:ascii="仿宋" w:hAnsi="仿宋" w:eastAsia="仿宋" w:cs="仿宋"/>
          <w:spacing w:val="-1"/>
          <w:sz w:val="28"/>
          <w:szCs w:val="28"/>
        </w:rPr>
        <w:t>本。</w:t>
      </w:r>
    </w:p>
    <w:p w14:paraId="1C2E1F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8" w:right="109" w:rightChars="52" w:firstLine="569"/>
        <w:textAlignment w:val="auto"/>
        <w:rPr>
          <w:rFonts w:ascii="仿宋" w:hAnsi="仿宋" w:eastAsia="仿宋" w:cs="仿宋"/>
          <w:spacing w:val="-4"/>
          <w:sz w:val="28"/>
          <w:szCs w:val="28"/>
        </w:rPr>
      </w:pPr>
      <w:r>
        <w:rPr>
          <w:rFonts w:hint="eastAsia" w:ascii="仿宋" w:hAnsi="仿宋" w:eastAsia="仿宋" w:cs="仿宋"/>
          <w:spacing w:val="-5"/>
          <w:sz w:val="28"/>
          <w:szCs w:val="28"/>
          <w:lang w:val="en-US" w:eastAsia="zh-CN"/>
        </w:rPr>
        <w:t>7</w:t>
      </w:r>
      <w:r>
        <w:rPr>
          <w:rFonts w:ascii="仿宋" w:hAnsi="仿宋" w:eastAsia="仿宋" w:cs="仿宋"/>
          <w:spacing w:val="-4"/>
          <w:sz w:val="28"/>
          <w:szCs w:val="28"/>
        </w:rPr>
        <w:t>.各参赛队要发扬良好道德风尚，听从指挥，服从裁判，不弄虚</w:t>
      </w:r>
      <w:r>
        <w:rPr>
          <w:rFonts w:ascii="仿宋" w:hAnsi="仿宋" w:eastAsia="仿宋" w:cs="仿宋"/>
          <w:spacing w:val="-5"/>
          <w:sz w:val="28"/>
          <w:szCs w:val="28"/>
        </w:rPr>
        <w:t>作</w:t>
      </w:r>
      <w:r>
        <w:rPr>
          <w:rFonts w:ascii="仿宋" w:hAnsi="仿宋" w:eastAsia="仿宋" w:cs="仿宋"/>
          <w:spacing w:val="-4"/>
          <w:sz w:val="28"/>
          <w:szCs w:val="28"/>
        </w:rPr>
        <w:t>假。</w:t>
      </w:r>
    </w:p>
    <w:p w14:paraId="6CAE0E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8" w:right="223" w:firstLine="569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-4"/>
          <w:sz w:val="28"/>
          <w:szCs w:val="28"/>
          <w:lang w:val="en-US" w:eastAsia="zh-CN"/>
        </w:rPr>
        <w:t>8</w:t>
      </w:r>
      <w:r>
        <w:rPr>
          <w:rFonts w:ascii="仿宋" w:hAnsi="仿宋" w:eastAsia="仿宋" w:cs="仿宋"/>
          <w:spacing w:val="-4"/>
          <w:sz w:val="28"/>
          <w:szCs w:val="28"/>
        </w:rPr>
        <w:t>.参赛选手应严格遵守赛场纪律，服从指挥，着装整洁，仪表端</w:t>
      </w:r>
      <w:r>
        <w:rPr>
          <w:rFonts w:ascii="仿宋" w:hAnsi="仿宋" w:eastAsia="仿宋" w:cs="仿宋"/>
          <w:spacing w:val="-6"/>
          <w:sz w:val="28"/>
          <w:szCs w:val="28"/>
        </w:rPr>
        <w:t>庄，讲文明礼</w:t>
      </w:r>
      <w:r>
        <w:rPr>
          <w:rFonts w:ascii="仿宋" w:hAnsi="仿宋" w:eastAsia="仿宋" w:cs="仿宋"/>
          <w:spacing w:val="-4"/>
          <w:sz w:val="28"/>
          <w:szCs w:val="28"/>
        </w:rPr>
        <w:t>貌</w:t>
      </w:r>
      <w:r>
        <w:rPr>
          <w:rFonts w:ascii="仿宋" w:hAnsi="仿宋" w:eastAsia="仿宋" w:cs="仿宋"/>
          <w:spacing w:val="-3"/>
          <w:sz w:val="28"/>
          <w:szCs w:val="28"/>
        </w:rPr>
        <w:t>。各代表队之间应团结、友好、协作，避免各种矛</w:t>
      </w:r>
      <w:r>
        <w:rPr>
          <w:rFonts w:ascii="仿宋" w:hAnsi="仿宋" w:eastAsia="仿宋" w:cs="仿宋"/>
          <w:spacing w:val="-8"/>
          <w:sz w:val="28"/>
          <w:szCs w:val="28"/>
        </w:rPr>
        <w:t>盾</w:t>
      </w:r>
      <w:r>
        <w:rPr>
          <w:rFonts w:ascii="仿宋" w:hAnsi="仿宋" w:eastAsia="仿宋" w:cs="仿宋"/>
          <w:spacing w:val="-6"/>
          <w:sz w:val="28"/>
          <w:szCs w:val="28"/>
        </w:rPr>
        <w:t>发生。</w:t>
      </w:r>
    </w:p>
    <w:p w14:paraId="02C06C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601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-1"/>
          <w:sz w:val="28"/>
          <w:szCs w:val="28"/>
          <w:lang w:val="en-US" w:eastAsia="zh-CN"/>
        </w:rPr>
        <w:t>9</w:t>
      </w:r>
      <w:r>
        <w:rPr>
          <w:rFonts w:ascii="仿宋" w:hAnsi="仿宋" w:eastAsia="仿宋" w:cs="仿宋"/>
          <w:spacing w:val="-1"/>
          <w:sz w:val="28"/>
          <w:szCs w:val="28"/>
        </w:rPr>
        <w:t>.参赛队在比赛前一天由赛项执委会统一组织熟悉赛场。</w:t>
      </w:r>
    </w:p>
    <w:p w14:paraId="750D8D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1" w:firstLine="580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14"/>
          <w:sz w:val="28"/>
          <w:szCs w:val="28"/>
        </w:rPr>
        <w:t>1</w:t>
      </w:r>
      <w:r>
        <w:rPr>
          <w:rFonts w:hint="eastAsia" w:ascii="仿宋" w:hAnsi="仿宋" w:eastAsia="仿宋" w:cs="仿宋"/>
          <w:spacing w:val="-8"/>
          <w:sz w:val="28"/>
          <w:szCs w:val="28"/>
          <w:lang w:val="en-US" w:eastAsia="zh-CN"/>
        </w:rPr>
        <w:t>0</w:t>
      </w:r>
      <w:r>
        <w:rPr>
          <w:rFonts w:ascii="仿宋" w:hAnsi="仿宋" w:eastAsia="仿宋" w:cs="仿宋"/>
          <w:spacing w:val="-8"/>
          <w:sz w:val="28"/>
          <w:szCs w:val="28"/>
        </w:rPr>
        <w:t>.参赛选手须提前 30 分钟入场，入场必须佩戴参赛证并出示身</w:t>
      </w:r>
      <w:r>
        <w:rPr>
          <w:rFonts w:ascii="仿宋" w:hAnsi="仿宋" w:eastAsia="仿宋" w:cs="仿宋"/>
          <w:spacing w:val="-6"/>
          <w:sz w:val="28"/>
          <w:szCs w:val="28"/>
        </w:rPr>
        <w:t>份证。</w:t>
      </w:r>
      <w:r>
        <w:rPr>
          <w:rFonts w:ascii="仿宋" w:hAnsi="仿宋" w:eastAsia="仿宋" w:cs="仿宋"/>
          <w:spacing w:val="-3"/>
          <w:sz w:val="28"/>
          <w:szCs w:val="28"/>
        </w:rPr>
        <w:t>不得私自携带任何软硬件工具 (各种便携式计算机、各种移动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5"/>
          <w:sz w:val="28"/>
          <w:szCs w:val="28"/>
        </w:rPr>
        <w:t>存储设备等)、技术资源、通信工具(含各种智能手表，电子石英表)。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6"/>
          <w:sz w:val="28"/>
          <w:szCs w:val="28"/>
        </w:rPr>
        <w:t>按加密后</w:t>
      </w:r>
      <w:r>
        <w:rPr>
          <w:rFonts w:ascii="仿宋" w:hAnsi="仿宋" w:eastAsia="仿宋" w:cs="仿宋"/>
          <w:spacing w:val="-3"/>
          <w:sz w:val="28"/>
          <w:szCs w:val="28"/>
        </w:rPr>
        <w:t>的工位号对号入座，检查比赛所需大赛设备齐全，由参赛选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6"/>
          <w:sz w:val="28"/>
          <w:szCs w:val="28"/>
        </w:rPr>
        <w:t>手签字</w:t>
      </w:r>
      <w:r>
        <w:rPr>
          <w:rFonts w:ascii="仿宋" w:hAnsi="仿宋" w:eastAsia="仿宋" w:cs="仿宋"/>
          <w:spacing w:val="-5"/>
          <w:sz w:val="28"/>
          <w:szCs w:val="28"/>
        </w:rPr>
        <w:t>确</w:t>
      </w:r>
      <w:r>
        <w:rPr>
          <w:rFonts w:ascii="仿宋" w:hAnsi="仿宋" w:eastAsia="仿宋" w:cs="仿宋"/>
          <w:spacing w:val="-3"/>
          <w:sz w:val="28"/>
          <w:szCs w:val="28"/>
        </w:rPr>
        <w:t>认方可开始比赛。选手在比赛中应注意随时保存文件、程序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6"/>
          <w:sz w:val="28"/>
          <w:szCs w:val="28"/>
        </w:rPr>
        <w:t>等成果，</w:t>
      </w:r>
      <w:r>
        <w:rPr>
          <w:rFonts w:ascii="仿宋" w:hAnsi="仿宋" w:eastAsia="仿宋" w:cs="仿宋"/>
          <w:spacing w:val="-3"/>
          <w:sz w:val="28"/>
          <w:szCs w:val="28"/>
        </w:rPr>
        <w:t>在工位意外断电发生时，由于选手没有及时保存导致的成果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11"/>
          <w:sz w:val="28"/>
          <w:szCs w:val="28"/>
        </w:rPr>
        <w:t>损失，补时不得超过 10 分钟。迟到超过 10 分钟不得入场。大赛期</w:t>
      </w:r>
      <w:r>
        <w:rPr>
          <w:rFonts w:ascii="仿宋" w:hAnsi="仿宋" w:eastAsia="仿宋" w:cs="仿宋"/>
          <w:spacing w:val="-8"/>
          <w:sz w:val="28"/>
          <w:szCs w:val="28"/>
        </w:rPr>
        <w:t>间</w:t>
      </w:r>
      <w:r>
        <w:rPr>
          <w:rFonts w:ascii="仿宋" w:hAnsi="仿宋" w:eastAsia="仿宋" w:cs="仿宋"/>
          <w:spacing w:val="-1"/>
          <w:sz w:val="28"/>
          <w:szCs w:val="28"/>
        </w:rPr>
        <w:t>不准出场，大</w:t>
      </w:r>
      <w:r>
        <w:rPr>
          <w:rFonts w:ascii="仿宋" w:hAnsi="仿宋" w:eastAsia="仿宋" w:cs="仿宋"/>
          <w:sz w:val="28"/>
          <w:szCs w:val="28"/>
        </w:rPr>
        <w:t>赛结束后方开离场。</w:t>
      </w:r>
    </w:p>
    <w:p w14:paraId="623725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9" w:right="52" w:firstLine="572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1"/>
          <w:sz w:val="28"/>
          <w:szCs w:val="28"/>
        </w:rPr>
        <w:t>1</w:t>
      </w:r>
      <w:r>
        <w:rPr>
          <w:rFonts w:hint="eastAsia" w:ascii="仿宋" w:hAnsi="仿宋" w:eastAsia="仿宋" w:cs="仿宋"/>
          <w:spacing w:val="1"/>
          <w:sz w:val="28"/>
          <w:szCs w:val="28"/>
          <w:lang w:val="en-US" w:eastAsia="zh-CN"/>
        </w:rPr>
        <w:t>1</w:t>
      </w:r>
      <w:r>
        <w:rPr>
          <w:rFonts w:ascii="仿宋" w:hAnsi="仿宋" w:eastAsia="仿宋" w:cs="仿宋"/>
          <w:spacing w:val="1"/>
          <w:sz w:val="28"/>
          <w:szCs w:val="28"/>
        </w:rPr>
        <w:t>.大赛过程中，每个参赛队内部成员</w:t>
      </w:r>
      <w:r>
        <w:rPr>
          <w:rFonts w:ascii="仿宋" w:hAnsi="仿宋" w:eastAsia="仿宋" w:cs="仿宋"/>
          <w:sz w:val="28"/>
          <w:szCs w:val="28"/>
        </w:rPr>
        <w:t>之间可以互相沟通，但不</w:t>
      </w:r>
      <w:r>
        <w:rPr>
          <w:rFonts w:ascii="仿宋" w:hAnsi="仿宋" w:eastAsia="仿宋" w:cs="仿宋"/>
          <w:spacing w:val="-6"/>
          <w:sz w:val="28"/>
          <w:szCs w:val="28"/>
        </w:rPr>
        <w:t>得向队员以外</w:t>
      </w:r>
      <w:r>
        <w:rPr>
          <w:rFonts w:ascii="仿宋" w:hAnsi="仿宋" w:eastAsia="仿宋" w:cs="仿宋"/>
          <w:spacing w:val="-4"/>
          <w:sz w:val="28"/>
          <w:szCs w:val="28"/>
        </w:rPr>
        <w:t>的</w:t>
      </w:r>
      <w:r>
        <w:rPr>
          <w:rFonts w:ascii="仿宋" w:hAnsi="仿宋" w:eastAsia="仿宋" w:cs="仿宋"/>
          <w:spacing w:val="-3"/>
          <w:sz w:val="28"/>
          <w:szCs w:val="28"/>
        </w:rPr>
        <w:t>其他任何人员讨论问题，也不得向裁判、巡视和其他</w:t>
      </w:r>
      <w:r>
        <w:rPr>
          <w:rFonts w:ascii="仿宋" w:hAnsi="仿宋" w:eastAsia="仿宋" w:cs="仿宋"/>
          <w:spacing w:val="6"/>
          <w:sz w:val="28"/>
          <w:szCs w:val="28"/>
        </w:rPr>
        <w:t>必须进入考场的工作人员询问与大赛项目的操作流程和操作方法</w:t>
      </w:r>
      <w:r>
        <w:rPr>
          <w:rFonts w:ascii="仿宋" w:hAnsi="仿宋" w:eastAsia="仿宋" w:cs="仿宋"/>
          <w:spacing w:val="3"/>
          <w:sz w:val="28"/>
          <w:szCs w:val="28"/>
        </w:rPr>
        <w:t>有</w:t>
      </w:r>
      <w:r>
        <w:rPr>
          <w:rFonts w:ascii="仿宋" w:hAnsi="仿宋" w:eastAsia="仿宋" w:cs="仿宋"/>
          <w:spacing w:val="-4"/>
          <w:sz w:val="28"/>
          <w:szCs w:val="28"/>
        </w:rPr>
        <w:t>关的问题，如有大赛纸</w:t>
      </w:r>
      <w:r>
        <w:rPr>
          <w:rFonts w:ascii="仿宋" w:hAnsi="仿宋" w:eastAsia="仿宋" w:cs="仿宋"/>
          <w:spacing w:val="-2"/>
          <w:sz w:val="28"/>
          <w:szCs w:val="28"/>
        </w:rPr>
        <w:t>质材料文字不清、软硬件环境故障等问题时，可举手报告</w:t>
      </w:r>
      <w:r>
        <w:rPr>
          <w:rFonts w:ascii="仿宋" w:hAnsi="仿宋" w:eastAsia="仿宋" w:cs="仿宋"/>
          <w:spacing w:val="-1"/>
          <w:sz w:val="28"/>
          <w:szCs w:val="28"/>
        </w:rPr>
        <w:t>裁判员。</w:t>
      </w:r>
    </w:p>
    <w:p w14:paraId="24933F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33" w:right="81" w:firstLine="568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1"/>
          <w:sz w:val="28"/>
          <w:szCs w:val="28"/>
        </w:rPr>
        <w:t>1</w:t>
      </w:r>
      <w:r>
        <w:rPr>
          <w:rFonts w:hint="eastAsia" w:ascii="仿宋" w:hAnsi="仿宋" w:eastAsia="仿宋" w:cs="仿宋"/>
          <w:spacing w:val="1"/>
          <w:sz w:val="28"/>
          <w:szCs w:val="28"/>
          <w:lang w:val="en-US" w:eastAsia="zh-CN"/>
        </w:rPr>
        <w:t>2</w:t>
      </w:r>
      <w:r>
        <w:rPr>
          <w:rFonts w:ascii="仿宋" w:hAnsi="仿宋" w:eastAsia="仿宋" w:cs="仿宋"/>
          <w:spacing w:val="1"/>
          <w:sz w:val="28"/>
          <w:szCs w:val="28"/>
        </w:rPr>
        <w:t>.其它未尽事宜，将在大赛指南或赛</w:t>
      </w:r>
      <w:r>
        <w:rPr>
          <w:rFonts w:ascii="仿宋" w:hAnsi="仿宋" w:eastAsia="仿宋" w:cs="仿宋"/>
          <w:sz w:val="28"/>
          <w:szCs w:val="28"/>
        </w:rPr>
        <w:t>前说明会向各参赛队做详</w:t>
      </w:r>
      <w:r>
        <w:rPr>
          <w:rFonts w:ascii="仿宋" w:hAnsi="仿宋" w:eastAsia="仿宋" w:cs="仿宋"/>
          <w:spacing w:val="-5"/>
          <w:sz w:val="28"/>
          <w:szCs w:val="28"/>
        </w:rPr>
        <w:t>细说明。</w:t>
      </w:r>
    </w:p>
    <w:p w14:paraId="7F8FB2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573"/>
        <w:textAlignment w:val="auto"/>
        <w:outlineLvl w:val="1"/>
        <w:rPr>
          <w:rFonts w:ascii="楷体" w:hAnsi="楷体" w:eastAsia="楷体" w:cs="楷体"/>
          <w:sz w:val="28"/>
          <w:szCs w:val="28"/>
        </w:rPr>
      </w:pPr>
      <w:bookmarkStart w:id="21" w:name="_Toc28112"/>
      <w:r>
        <w:rPr>
          <w:rFonts w:ascii="楷体" w:hAnsi="楷体" w:eastAsia="楷体" w:cs="楷体"/>
          <w:spacing w:val="15"/>
          <w:sz w:val="28"/>
          <w:szCs w:val="28"/>
        </w:rPr>
        <w:t>(</w:t>
      </w:r>
      <w:r>
        <w:rPr>
          <w:rFonts w:ascii="楷体" w:hAnsi="楷体" w:eastAsia="楷体" w:cs="楷体"/>
          <w:spacing w:val="14"/>
          <w:sz w:val="28"/>
          <w:szCs w:val="28"/>
        </w:rPr>
        <w:t>二) 指导教师须知</w:t>
      </w:r>
      <w:bookmarkEnd w:id="21"/>
    </w:p>
    <w:p w14:paraId="63B7FF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19" w:right="206" w:firstLine="582"/>
        <w:textAlignment w:val="auto"/>
        <w:rPr>
          <w:rFonts w:ascii="仿宋" w:hAnsi="仿宋" w:eastAsia="仿宋" w:cs="仿宋"/>
          <w:spacing w:val="-4"/>
          <w:sz w:val="28"/>
          <w:szCs w:val="28"/>
        </w:rPr>
      </w:pPr>
      <w:r>
        <w:rPr>
          <w:rFonts w:ascii="仿宋" w:hAnsi="仿宋" w:eastAsia="仿宋" w:cs="仿宋"/>
          <w:spacing w:val="-4"/>
          <w:sz w:val="28"/>
          <w:szCs w:val="28"/>
        </w:rPr>
        <w:t>1.各指导教师要发扬良好道德风尚，听从指挥，服从裁判，不弄虚作假。</w:t>
      </w:r>
    </w:p>
    <w:p w14:paraId="39DC5E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19" w:right="206" w:firstLine="582"/>
        <w:textAlignment w:val="auto"/>
        <w:rPr>
          <w:rFonts w:ascii="仿宋" w:hAnsi="仿宋" w:eastAsia="仿宋" w:cs="仿宋"/>
          <w:spacing w:val="-4"/>
          <w:sz w:val="28"/>
          <w:szCs w:val="28"/>
        </w:rPr>
      </w:pPr>
      <w:r>
        <w:rPr>
          <w:rFonts w:ascii="仿宋" w:hAnsi="仿宋" w:eastAsia="仿宋" w:cs="仿宋"/>
          <w:spacing w:val="-4"/>
          <w:sz w:val="28"/>
          <w:szCs w:val="28"/>
        </w:rPr>
        <w:t>2.指导教师应认真研究和掌握本赛项比赛的技术规则和赛场要求，指导选手做好赛前的一切准备工作。</w:t>
      </w:r>
    </w:p>
    <w:p w14:paraId="2BDB09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606" w:right="-88" w:rightChars="-42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2"/>
          <w:sz w:val="28"/>
          <w:szCs w:val="28"/>
        </w:rPr>
        <w:t>3.指导教师应在赛后</w:t>
      </w:r>
      <w:r>
        <w:rPr>
          <w:rFonts w:ascii="仿宋" w:hAnsi="仿宋" w:eastAsia="仿宋" w:cs="仿宋"/>
          <w:spacing w:val="-1"/>
          <w:sz w:val="28"/>
          <w:szCs w:val="28"/>
        </w:rPr>
        <w:t>做好技术总结和工作总结。</w:t>
      </w:r>
    </w:p>
    <w:p w14:paraId="6D79B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573" w:right="-88" w:rightChars="-42"/>
        <w:textAlignment w:val="auto"/>
        <w:outlineLvl w:val="1"/>
        <w:rPr>
          <w:rFonts w:ascii="楷体" w:hAnsi="楷体" w:eastAsia="楷体" w:cs="楷体"/>
          <w:sz w:val="28"/>
          <w:szCs w:val="28"/>
        </w:rPr>
      </w:pPr>
      <w:bookmarkStart w:id="22" w:name="_Toc20554"/>
      <w:r>
        <w:rPr>
          <w:rFonts w:ascii="楷体" w:hAnsi="楷体" w:eastAsia="楷体" w:cs="楷体"/>
          <w:spacing w:val="-18"/>
          <w:sz w:val="28"/>
          <w:szCs w:val="28"/>
        </w:rPr>
        <w:t>(</w:t>
      </w:r>
      <w:r>
        <w:rPr>
          <w:rFonts w:ascii="楷体" w:hAnsi="楷体" w:eastAsia="楷体" w:cs="楷体"/>
          <w:spacing w:val="-11"/>
          <w:sz w:val="28"/>
          <w:szCs w:val="28"/>
        </w:rPr>
        <w:t xml:space="preserve"> 三 ) 参赛选手须知</w:t>
      </w:r>
      <w:bookmarkEnd w:id="22"/>
    </w:p>
    <w:p w14:paraId="07C42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19" w:right="-88" w:rightChars="-42" w:firstLine="582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8"/>
          <w:sz w:val="28"/>
          <w:szCs w:val="28"/>
        </w:rPr>
        <w:t>1</w:t>
      </w:r>
      <w:r>
        <w:rPr>
          <w:rFonts w:ascii="仿宋" w:hAnsi="仿宋" w:eastAsia="仿宋" w:cs="仿宋"/>
          <w:spacing w:val="-6"/>
          <w:sz w:val="28"/>
          <w:szCs w:val="28"/>
        </w:rPr>
        <w:t>.</w:t>
      </w:r>
      <w:r>
        <w:rPr>
          <w:rFonts w:ascii="仿宋" w:hAnsi="仿宋" w:eastAsia="仿宋" w:cs="仿宋"/>
          <w:spacing w:val="-4"/>
          <w:sz w:val="28"/>
          <w:szCs w:val="28"/>
        </w:rPr>
        <w:t>比赛结束后，所提供的所有纸质材料均须留在赛场，不得带离</w:t>
      </w:r>
      <w:r>
        <w:rPr>
          <w:rFonts w:ascii="仿宋" w:hAnsi="仿宋" w:eastAsia="仿宋" w:cs="仿宋"/>
          <w:spacing w:val="-1"/>
          <w:sz w:val="28"/>
          <w:szCs w:val="28"/>
        </w:rPr>
        <w:t>赛场，一经</w:t>
      </w:r>
      <w:r>
        <w:rPr>
          <w:rFonts w:ascii="仿宋" w:hAnsi="仿宋" w:eastAsia="仿宋" w:cs="仿宋"/>
          <w:sz w:val="28"/>
          <w:szCs w:val="28"/>
        </w:rPr>
        <w:t>发现视为作弊处理。</w:t>
      </w:r>
    </w:p>
    <w:p w14:paraId="28D15929">
      <w:pPr>
        <w:keepNext w:val="0"/>
        <w:keepLines w:val="0"/>
        <w:pageBreakBefore w:val="0"/>
        <w:widowControl w:val="0"/>
        <w:tabs>
          <w:tab w:val="left" w:pos="8620"/>
        </w:tabs>
        <w:kinsoku/>
        <w:wordWrap/>
        <w:overflowPunct/>
        <w:topLinePunct w:val="0"/>
        <w:autoSpaceDE/>
        <w:autoSpaceDN/>
        <w:bidi w:val="0"/>
        <w:spacing w:line="360" w:lineRule="auto"/>
        <w:ind w:left="28" w:right="-88" w:rightChars="-42" w:firstLine="566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4"/>
          <w:sz w:val="28"/>
          <w:szCs w:val="28"/>
        </w:rPr>
        <w:t>2.参赛团队应在规定时间内完成任务书要求的内容，任务实现</w:t>
      </w:r>
      <w:r>
        <w:rPr>
          <w:rFonts w:ascii="仿宋" w:hAnsi="仿宋" w:eastAsia="仿宋" w:cs="仿宋"/>
          <w:spacing w:val="-3"/>
          <w:sz w:val="28"/>
          <w:szCs w:val="28"/>
        </w:rPr>
        <w:t>过</w:t>
      </w:r>
      <w:r>
        <w:rPr>
          <w:rFonts w:ascii="仿宋" w:hAnsi="仿宋" w:eastAsia="仿宋" w:cs="仿宋"/>
          <w:spacing w:val="-6"/>
          <w:sz w:val="28"/>
          <w:szCs w:val="28"/>
        </w:rPr>
        <w:t>程中如果有形</w:t>
      </w:r>
      <w:r>
        <w:rPr>
          <w:rFonts w:ascii="仿宋" w:hAnsi="仿宋" w:eastAsia="仿宋" w:cs="仿宋"/>
          <w:spacing w:val="-3"/>
          <w:sz w:val="28"/>
          <w:szCs w:val="28"/>
        </w:rPr>
        <w:t>成的文件资料必须存储到任务书指定的位置，未存储到</w:t>
      </w:r>
      <w:r>
        <w:rPr>
          <w:rFonts w:ascii="仿宋" w:hAnsi="仿宋" w:eastAsia="仿宋" w:cs="仿宋"/>
          <w:spacing w:val="-1"/>
          <w:sz w:val="28"/>
          <w:szCs w:val="28"/>
        </w:rPr>
        <w:t>指定位置造成裁判组无法检查</w:t>
      </w:r>
      <w:r>
        <w:rPr>
          <w:rFonts w:ascii="仿宋" w:hAnsi="仿宋" w:eastAsia="仿宋" w:cs="仿宋"/>
          <w:sz w:val="28"/>
          <w:szCs w:val="28"/>
        </w:rPr>
        <w:t>结果，相应部分不得分。</w:t>
      </w:r>
    </w:p>
    <w:p w14:paraId="005FB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14" w:right="-88" w:rightChars="-42" w:firstLine="591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12"/>
          <w:sz w:val="28"/>
          <w:szCs w:val="28"/>
        </w:rPr>
        <w:t>3.比</w:t>
      </w:r>
      <w:r>
        <w:rPr>
          <w:rFonts w:ascii="仿宋" w:hAnsi="仿宋" w:eastAsia="仿宋" w:cs="仿宋"/>
          <w:spacing w:val="-7"/>
          <w:sz w:val="28"/>
          <w:szCs w:val="28"/>
        </w:rPr>
        <w:t>赛</w:t>
      </w:r>
      <w:r>
        <w:rPr>
          <w:rFonts w:ascii="仿宋" w:hAnsi="仿宋" w:eastAsia="仿宋" w:cs="仿宋"/>
          <w:spacing w:val="-6"/>
          <w:sz w:val="28"/>
          <w:szCs w:val="28"/>
        </w:rPr>
        <w:t>过程中，选手认定设备或器件有故障可向裁判员提出更换；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6"/>
          <w:sz w:val="28"/>
          <w:szCs w:val="28"/>
        </w:rPr>
        <w:t>如</w:t>
      </w:r>
      <w:r>
        <w:rPr>
          <w:rFonts w:ascii="仿宋" w:hAnsi="仿宋" w:eastAsia="仿宋" w:cs="仿宋"/>
          <w:spacing w:val="-4"/>
          <w:sz w:val="28"/>
          <w:szCs w:val="28"/>
        </w:rPr>
        <w:t>器</w:t>
      </w:r>
      <w:r>
        <w:rPr>
          <w:rFonts w:ascii="仿宋" w:hAnsi="仿宋" w:eastAsia="仿宋" w:cs="仿宋"/>
          <w:spacing w:val="-3"/>
          <w:sz w:val="28"/>
          <w:szCs w:val="28"/>
        </w:rPr>
        <w:t>件或设备经测定完好属误判时，器件或设备的认定时间计入比赛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6"/>
          <w:sz w:val="28"/>
          <w:szCs w:val="28"/>
        </w:rPr>
        <w:t>时</w:t>
      </w:r>
      <w:r>
        <w:rPr>
          <w:rFonts w:ascii="仿宋" w:hAnsi="仿宋" w:eastAsia="仿宋" w:cs="仿宋"/>
          <w:spacing w:val="-4"/>
          <w:sz w:val="28"/>
          <w:szCs w:val="28"/>
        </w:rPr>
        <w:t>间</w:t>
      </w:r>
      <w:r>
        <w:rPr>
          <w:rFonts w:ascii="仿宋" w:hAnsi="仿宋" w:eastAsia="仿宋" w:cs="仿宋"/>
          <w:spacing w:val="-3"/>
          <w:sz w:val="28"/>
          <w:szCs w:val="28"/>
        </w:rPr>
        <w:t>；如果器件或设备经测定确有故障，则当场更换设备，此过程中</w:t>
      </w:r>
      <w:r>
        <w:rPr>
          <w:rFonts w:ascii="仿宋" w:hAnsi="仿宋" w:eastAsia="仿宋" w:cs="仿宋"/>
          <w:spacing w:val="12"/>
          <w:sz w:val="28"/>
          <w:szCs w:val="28"/>
        </w:rPr>
        <w:t>(</w:t>
      </w:r>
      <w:r>
        <w:rPr>
          <w:rFonts w:ascii="仿宋" w:hAnsi="仿宋" w:eastAsia="仿宋" w:cs="仿宋"/>
          <w:spacing w:val="6"/>
          <w:sz w:val="28"/>
          <w:szCs w:val="28"/>
        </w:rPr>
        <w:t>设备测定开始到更换完成)造成的时间损失，比赛时间结束后经裁</w:t>
      </w:r>
      <w:r>
        <w:rPr>
          <w:rFonts w:ascii="仿宋" w:hAnsi="仿宋" w:eastAsia="仿宋" w:cs="仿宋"/>
          <w:sz w:val="28"/>
          <w:szCs w:val="28"/>
        </w:rPr>
        <w:t>判组讨论，酌情对该小组进行等量的时间延迟补偿。</w:t>
      </w:r>
    </w:p>
    <w:p w14:paraId="32B5E6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3" w:right="-88" w:rightChars="-42" w:firstLine="570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6"/>
          <w:sz w:val="28"/>
          <w:szCs w:val="28"/>
        </w:rPr>
        <w:t xml:space="preserve">4.比赛时长为 </w:t>
      </w:r>
      <w:r>
        <w:rPr>
          <w:rFonts w:hint="eastAsia" w:ascii="仿宋" w:hAnsi="仿宋" w:eastAsia="仿宋" w:cs="仿宋"/>
          <w:spacing w:val="-6"/>
          <w:sz w:val="28"/>
          <w:szCs w:val="28"/>
          <w:lang w:val="en-US" w:eastAsia="zh-CN"/>
        </w:rPr>
        <w:t>180</w:t>
      </w:r>
      <w:r>
        <w:rPr>
          <w:rFonts w:ascii="仿宋" w:hAnsi="仿宋" w:eastAsia="仿宋" w:cs="仿宋"/>
          <w:spacing w:val="-6"/>
          <w:sz w:val="28"/>
          <w:szCs w:val="28"/>
        </w:rPr>
        <w:t>分钟，以现场各工位能观看到的时钟为准。</w:t>
      </w:r>
    </w:p>
    <w:p w14:paraId="7CC52E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2" w:right="-88" w:rightChars="-42" w:firstLine="574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-5"/>
          <w:sz w:val="28"/>
          <w:szCs w:val="28"/>
          <w:lang w:val="en-US" w:eastAsia="zh-CN"/>
        </w:rPr>
        <w:t>5</w:t>
      </w:r>
      <w:r>
        <w:rPr>
          <w:rFonts w:ascii="仿宋" w:hAnsi="仿宋" w:eastAsia="仿宋" w:cs="仿宋"/>
          <w:spacing w:val="-4"/>
          <w:sz w:val="28"/>
          <w:szCs w:val="28"/>
        </w:rPr>
        <w:t>.在裁判组宣布比赛结束后，请选手立即停止对竞赛设备与计算</w:t>
      </w:r>
      <w:r>
        <w:rPr>
          <w:rFonts w:ascii="仿宋" w:hAnsi="仿宋" w:eastAsia="仿宋" w:cs="仿宋"/>
          <w:spacing w:val="-1"/>
          <w:sz w:val="28"/>
          <w:szCs w:val="28"/>
        </w:rPr>
        <w:t>机的任何操作，否则</w:t>
      </w:r>
      <w:r>
        <w:rPr>
          <w:rFonts w:ascii="仿宋" w:hAnsi="仿宋" w:eastAsia="仿宋" w:cs="仿宋"/>
          <w:sz w:val="28"/>
          <w:szCs w:val="28"/>
        </w:rPr>
        <w:t>视为作弊处理。</w:t>
      </w:r>
    </w:p>
    <w:p w14:paraId="70407C42">
      <w:pPr>
        <w:keepNext w:val="0"/>
        <w:keepLines w:val="0"/>
        <w:pageBreakBefore w:val="0"/>
        <w:widowControl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spacing w:line="360" w:lineRule="auto"/>
        <w:ind w:left="17" w:leftChars="0" w:right="-88" w:rightChars="-42" w:firstLine="579" w:firstLineChars="213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-4"/>
          <w:sz w:val="28"/>
          <w:szCs w:val="28"/>
          <w:lang w:val="en-US" w:eastAsia="zh-CN"/>
        </w:rPr>
        <w:t>6</w:t>
      </w:r>
      <w:r>
        <w:rPr>
          <w:rFonts w:ascii="仿宋" w:hAnsi="仿宋" w:eastAsia="仿宋" w:cs="仿宋"/>
          <w:spacing w:val="-4"/>
          <w:sz w:val="28"/>
          <w:szCs w:val="28"/>
        </w:rPr>
        <w:t>.在完成大赛过程中，因操作不当导致设备破坏性损坏或造成事</w:t>
      </w:r>
      <w:r>
        <w:rPr>
          <w:rFonts w:ascii="仿宋" w:hAnsi="仿宋" w:eastAsia="仿宋" w:cs="仿宋"/>
          <w:spacing w:val="-1"/>
          <w:sz w:val="28"/>
          <w:szCs w:val="28"/>
        </w:rPr>
        <w:t>故，将予以警告，情况严重者取消比赛资格</w:t>
      </w:r>
      <w:r>
        <w:rPr>
          <w:rFonts w:ascii="仿宋" w:hAnsi="仿宋" w:eastAsia="仿宋" w:cs="仿宋"/>
          <w:sz w:val="28"/>
          <w:szCs w:val="28"/>
        </w:rPr>
        <w:t>。</w:t>
      </w:r>
    </w:p>
    <w:p w14:paraId="3AC30A2F">
      <w:pPr>
        <w:keepNext w:val="0"/>
        <w:keepLines w:val="0"/>
        <w:pageBreakBefore w:val="0"/>
        <w:widowControl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spacing w:line="360" w:lineRule="auto"/>
        <w:ind w:left="17" w:leftChars="0" w:right="-88" w:rightChars="-42" w:firstLine="596" w:firstLineChars="213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7.</w:t>
      </w:r>
      <w:r>
        <w:rPr>
          <w:rFonts w:ascii="仿宋" w:hAnsi="仿宋" w:eastAsia="仿宋" w:cs="仿宋"/>
          <w:spacing w:val="-4"/>
          <w:sz w:val="28"/>
          <w:szCs w:val="28"/>
        </w:rPr>
        <w:t>衣着不整、污染赛场环境、扰乱赛场秩序、干扰裁判工作等违</w:t>
      </w:r>
      <w:r>
        <w:rPr>
          <w:rFonts w:ascii="仿宋" w:hAnsi="仿宋" w:eastAsia="仿宋" w:cs="仿宋"/>
          <w:spacing w:val="-1"/>
          <w:sz w:val="28"/>
          <w:szCs w:val="28"/>
        </w:rPr>
        <w:t>反职业规范的行为，将予</w:t>
      </w:r>
      <w:r>
        <w:rPr>
          <w:rFonts w:ascii="仿宋" w:hAnsi="仿宋" w:eastAsia="仿宋" w:cs="仿宋"/>
          <w:sz w:val="28"/>
          <w:szCs w:val="28"/>
        </w:rPr>
        <w:t>以警告，情节严重者取消大赛资格。</w:t>
      </w:r>
    </w:p>
    <w:p w14:paraId="5CA0BB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right="-88" w:rightChars="-42" w:firstLine="488" w:firstLineChars="200"/>
        <w:textAlignment w:val="auto"/>
        <w:outlineLvl w:val="1"/>
        <w:rPr>
          <w:rFonts w:ascii="楷体" w:hAnsi="楷体" w:eastAsia="楷体" w:cs="楷体"/>
          <w:sz w:val="28"/>
          <w:szCs w:val="28"/>
        </w:rPr>
      </w:pPr>
      <w:bookmarkStart w:id="23" w:name="_Toc7212"/>
      <w:r>
        <w:rPr>
          <w:rFonts w:ascii="楷体" w:hAnsi="楷体" w:eastAsia="楷体" w:cs="楷体"/>
          <w:spacing w:val="-18"/>
          <w:sz w:val="28"/>
          <w:szCs w:val="28"/>
        </w:rPr>
        <w:t>(</w:t>
      </w:r>
      <w:r>
        <w:rPr>
          <w:rFonts w:ascii="楷体" w:hAnsi="楷体" w:eastAsia="楷体" w:cs="楷体"/>
          <w:spacing w:val="-11"/>
          <w:sz w:val="28"/>
          <w:szCs w:val="28"/>
        </w:rPr>
        <w:t xml:space="preserve"> 四 ) 工作人员须知</w:t>
      </w:r>
      <w:bookmarkEnd w:id="23"/>
    </w:p>
    <w:p w14:paraId="16EBD9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8" w:right="-88" w:rightChars="-42" w:firstLine="573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6"/>
          <w:sz w:val="28"/>
          <w:szCs w:val="28"/>
        </w:rPr>
        <w:t>1</w:t>
      </w:r>
      <w:r>
        <w:rPr>
          <w:rFonts w:ascii="仿宋" w:hAnsi="仿宋" w:eastAsia="仿宋" w:cs="仿宋"/>
          <w:spacing w:val="-5"/>
          <w:sz w:val="28"/>
          <w:szCs w:val="28"/>
        </w:rPr>
        <w:t>.</w:t>
      </w:r>
      <w:r>
        <w:rPr>
          <w:rFonts w:ascii="仿宋" w:hAnsi="仿宋" w:eastAsia="仿宋" w:cs="仿宋"/>
          <w:spacing w:val="-3"/>
          <w:sz w:val="28"/>
          <w:szCs w:val="28"/>
        </w:rPr>
        <w:t>工作人员必须服从赛项执委会统一指挥，佩戴工作人员标识，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1"/>
          <w:sz w:val="28"/>
          <w:szCs w:val="28"/>
        </w:rPr>
        <w:t>认真履行职责，做好大赛服务工作</w:t>
      </w:r>
      <w:r>
        <w:rPr>
          <w:rFonts w:ascii="仿宋" w:hAnsi="仿宋" w:eastAsia="仿宋" w:cs="仿宋"/>
          <w:sz w:val="28"/>
          <w:szCs w:val="28"/>
        </w:rPr>
        <w:t>。</w:t>
      </w:r>
    </w:p>
    <w:p w14:paraId="09E1EA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49" w:right="-88" w:rightChars="-42" w:firstLine="545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4"/>
          <w:sz w:val="28"/>
          <w:szCs w:val="28"/>
        </w:rPr>
        <w:t>2.工作人员按照分工准时上岗，不得擅自离岗，应认真履行各</w:t>
      </w:r>
      <w:r>
        <w:rPr>
          <w:rFonts w:ascii="仿宋" w:hAnsi="仿宋" w:eastAsia="仿宋" w:cs="仿宋"/>
          <w:spacing w:val="-3"/>
          <w:sz w:val="28"/>
          <w:szCs w:val="28"/>
        </w:rPr>
        <w:t>自</w:t>
      </w:r>
      <w:r>
        <w:rPr>
          <w:rFonts w:ascii="仿宋" w:hAnsi="仿宋" w:eastAsia="仿宋" w:cs="仿宋"/>
          <w:spacing w:val="-2"/>
          <w:sz w:val="28"/>
          <w:szCs w:val="28"/>
        </w:rPr>
        <w:t>的工作职责，保证大赛工作的顺利进行</w:t>
      </w:r>
      <w:r>
        <w:rPr>
          <w:rFonts w:ascii="仿宋" w:hAnsi="仿宋" w:eastAsia="仿宋" w:cs="仿宋"/>
          <w:sz w:val="28"/>
          <w:szCs w:val="28"/>
        </w:rPr>
        <w:t>。</w:t>
      </w:r>
    </w:p>
    <w:p w14:paraId="28C778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19" w:right="-88" w:rightChars="-42" w:firstLine="586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8"/>
          <w:sz w:val="28"/>
          <w:szCs w:val="28"/>
        </w:rPr>
        <w:t>3.</w:t>
      </w:r>
      <w:r>
        <w:rPr>
          <w:rFonts w:ascii="仿宋" w:hAnsi="仿宋" w:eastAsia="仿宋" w:cs="仿宋"/>
          <w:spacing w:val="-6"/>
          <w:sz w:val="28"/>
          <w:szCs w:val="28"/>
        </w:rPr>
        <w:t>工</w:t>
      </w:r>
      <w:r>
        <w:rPr>
          <w:rFonts w:ascii="仿宋" w:hAnsi="仿宋" w:eastAsia="仿宋" w:cs="仿宋"/>
          <w:spacing w:val="-4"/>
          <w:sz w:val="28"/>
          <w:szCs w:val="28"/>
        </w:rPr>
        <w:t>作人员应在规定的区域内工作，未经许可，不得擅自进入大</w:t>
      </w:r>
      <w:r>
        <w:rPr>
          <w:rFonts w:ascii="仿宋" w:hAnsi="仿宋" w:eastAsia="仿宋" w:cs="仿宋"/>
          <w:spacing w:val="-18"/>
          <w:sz w:val="28"/>
          <w:szCs w:val="28"/>
        </w:rPr>
        <w:t>赛场</w:t>
      </w:r>
      <w:r>
        <w:rPr>
          <w:rFonts w:ascii="仿宋" w:hAnsi="仿宋" w:eastAsia="仿宋" w:cs="仿宋"/>
          <w:spacing w:val="-10"/>
          <w:sz w:val="28"/>
          <w:szCs w:val="28"/>
        </w:rPr>
        <w:t>地</w:t>
      </w:r>
      <w:r>
        <w:rPr>
          <w:rFonts w:ascii="仿宋" w:hAnsi="仿宋" w:eastAsia="仿宋" w:cs="仿宋"/>
          <w:spacing w:val="-9"/>
          <w:sz w:val="28"/>
          <w:szCs w:val="28"/>
        </w:rPr>
        <w:t>。如需进场，需经过裁判长同意，核准证件，由裁判跟随入场。</w:t>
      </w:r>
    </w:p>
    <w:p w14:paraId="6A14C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39" w:right="81" w:firstLine="554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4"/>
          <w:sz w:val="28"/>
          <w:szCs w:val="28"/>
        </w:rPr>
        <w:t>4.如遇突发事件，须及时向裁判员报告，同时做好疏导工作，</w:t>
      </w:r>
      <w:r>
        <w:rPr>
          <w:rFonts w:ascii="仿宋" w:hAnsi="仿宋" w:eastAsia="仿宋" w:cs="仿宋"/>
          <w:spacing w:val="-2"/>
          <w:sz w:val="28"/>
          <w:szCs w:val="28"/>
        </w:rPr>
        <w:t>避免重大事故发生，</w:t>
      </w:r>
      <w:r>
        <w:rPr>
          <w:rFonts w:ascii="仿宋" w:hAnsi="仿宋" w:eastAsia="仿宋" w:cs="仿宋"/>
          <w:spacing w:val="-1"/>
          <w:sz w:val="28"/>
          <w:szCs w:val="28"/>
        </w:rPr>
        <w:t>确保大赛圆满成功。</w:t>
      </w:r>
    </w:p>
    <w:p w14:paraId="339859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5" w:right="6" w:firstLine="573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6"/>
          <w:sz w:val="28"/>
          <w:szCs w:val="28"/>
        </w:rPr>
        <w:t>5</w:t>
      </w:r>
      <w:r>
        <w:rPr>
          <w:rFonts w:ascii="仿宋" w:hAnsi="仿宋" w:eastAsia="仿宋" w:cs="仿宋"/>
          <w:spacing w:val="-4"/>
          <w:sz w:val="28"/>
          <w:szCs w:val="28"/>
        </w:rPr>
        <w:t>.大赛期间，工作人员不得干涉职责之外的事宜，不得利用工作</w:t>
      </w:r>
      <w:r>
        <w:rPr>
          <w:rFonts w:ascii="仿宋" w:hAnsi="仿宋" w:eastAsia="仿宋" w:cs="仿宋"/>
          <w:spacing w:val="-10"/>
          <w:sz w:val="28"/>
          <w:szCs w:val="28"/>
        </w:rPr>
        <w:t>之便，弄虚作假、徇私舞弊。如有上述现象或因工作不负责任的情况，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6"/>
          <w:sz w:val="28"/>
          <w:szCs w:val="28"/>
        </w:rPr>
        <w:t>造成大赛程</w:t>
      </w:r>
      <w:r>
        <w:rPr>
          <w:rFonts w:ascii="仿宋" w:hAnsi="仿宋" w:eastAsia="仿宋" w:cs="仿宋"/>
          <w:spacing w:val="-3"/>
          <w:sz w:val="28"/>
          <w:szCs w:val="28"/>
        </w:rPr>
        <w:t>序无法继续进行，由赛项执委会视情节轻重，给予通报批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ascii="仿宋" w:hAnsi="仿宋" w:eastAsia="仿宋" w:cs="仿宋"/>
          <w:spacing w:val="-1"/>
          <w:sz w:val="28"/>
          <w:szCs w:val="28"/>
        </w:rPr>
        <w:t>评或停止工作，并通知其</w:t>
      </w:r>
      <w:r>
        <w:rPr>
          <w:rFonts w:ascii="仿宋" w:hAnsi="仿宋" w:eastAsia="仿宋" w:cs="仿宋"/>
          <w:sz w:val="28"/>
          <w:szCs w:val="28"/>
        </w:rPr>
        <w:t>所在单位做出相应处分。</w:t>
      </w:r>
    </w:p>
    <w:p w14:paraId="0B9B6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57" w:right="81" w:firstLine="539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5"/>
          <w:sz w:val="28"/>
          <w:szCs w:val="28"/>
        </w:rPr>
        <w:t>6</w:t>
      </w:r>
      <w:r>
        <w:rPr>
          <w:rFonts w:ascii="仿宋" w:hAnsi="仿宋" w:eastAsia="仿宋" w:cs="仿宋"/>
          <w:spacing w:val="-4"/>
          <w:sz w:val="28"/>
          <w:szCs w:val="28"/>
        </w:rPr>
        <w:t>.考前准备阶段做好网络环境检查工作，确保网络稳定。建立与</w:t>
      </w:r>
      <w:r>
        <w:rPr>
          <w:rFonts w:ascii="仿宋" w:hAnsi="仿宋" w:eastAsia="仿宋" w:cs="仿宋"/>
          <w:spacing w:val="-8"/>
          <w:sz w:val="28"/>
          <w:szCs w:val="28"/>
        </w:rPr>
        <w:t>当地网络</w:t>
      </w:r>
      <w:r>
        <w:rPr>
          <w:rFonts w:ascii="仿宋" w:hAnsi="仿宋" w:eastAsia="仿宋" w:cs="仿宋"/>
          <w:spacing w:val="-6"/>
          <w:sz w:val="28"/>
          <w:szCs w:val="28"/>
        </w:rPr>
        <w:t>服</w:t>
      </w:r>
      <w:r>
        <w:rPr>
          <w:rFonts w:ascii="仿宋" w:hAnsi="仿宋" w:eastAsia="仿宋" w:cs="仿宋"/>
          <w:spacing w:val="-4"/>
          <w:sz w:val="28"/>
          <w:szCs w:val="28"/>
        </w:rPr>
        <w:t>务商的快速沟通渠道，及时处理网络问题，避免考试过程</w:t>
      </w:r>
      <w:r>
        <w:rPr>
          <w:rFonts w:ascii="仿宋" w:hAnsi="仿宋" w:eastAsia="仿宋" w:cs="仿宋"/>
          <w:spacing w:val="-8"/>
          <w:sz w:val="28"/>
          <w:szCs w:val="28"/>
        </w:rPr>
        <w:t>中</w:t>
      </w:r>
      <w:r>
        <w:rPr>
          <w:rFonts w:ascii="仿宋" w:hAnsi="仿宋" w:eastAsia="仿宋" w:cs="仿宋"/>
          <w:spacing w:val="-5"/>
          <w:sz w:val="28"/>
          <w:szCs w:val="28"/>
        </w:rPr>
        <w:t>出现断网情况。</w:t>
      </w:r>
    </w:p>
    <w:p w14:paraId="31F7D5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31" w:firstLine="565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5"/>
          <w:sz w:val="28"/>
          <w:szCs w:val="28"/>
        </w:rPr>
        <w:t>7</w:t>
      </w:r>
      <w:r>
        <w:rPr>
          <w:rFonts w:ascii="仿宋" w:hAnsi="仿宋" w:eastAsia="仿宋" w:cs="仿宋"/>
          <w:spacing w:val="-4"/>
          <w:sz w:val="28"/>
          <w:szCs w:val="28"/>
        </w:rPr>
        <w:t>.考试过程中出现断网的情况下，及时与考试监考人员联系由网</w:t>
      </w:r>
      <w:r>
        <w:rPr>
          <w:rFonts w:ascii="仿宋" w:hAnsi="仿宋" w:eastAsia="仿宋" w:cs="仿宋"/>
          <w:spacing w:val="-10"/>
          <w:sz w:val="28"/>
          <w:szCs w:val="28"/>
        </w:rPr>
        <w:t>络技术人员处理网络问题，待网络恢复后，视情况申请考试时间延长。</w:t>
      </w:r>
    </w:p>
    <w:p w14:paraId="707536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1" w:right="81" w:firstLine="575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5"/>
          <w:sz w:val="28"/>
          <w:szCs w:val="28"/>
        </w:rPr>
        <w:t>8</w:t>
      </w:r>
      <w:r>
        <w:rPr>
          <w:rFonts w:ascii="仿宋" w:hAnsi="仿宋" w:eastAsia="仿宋" w:cs="仿宋"/>
          <w:spacing w:val="-4"/>
          <w:sz w:val="28"/>
          <w:szCs w:val="28"/>
        </w:rPr>
        <w:t>.申请多线路备用网络，出现断网情况，可以及时切换网络，确</w:t>
      </w:r>
      <w:r>
        <w:rPr>
          <w:rFonts w:ascii="仿宋" w:hAnsi="仿宋" w:eastAsia="仿宋" w:cs="仿宋"/>
          <w:spacing w:val="-1"/>
          <w:sz w:val="28"/>
          <w:szCs w:val="28"/>
        </w:rPr>
        <w:t>保考试正常进行</w:t>
      </w:r>
      <w:r>
        <w:rPr>
          <w:rFonts w:ascii="仿宋" w:hAnsi="仿宋" w:eastAsia="仿宋" w:cs="仿宋"/>
          <w:sz w:val="28"/>
          <w:szCs w:val="28"/>
        </w:rPr>
        <w:t>。</w:t>
      </w:r>
    </w:p>
    <w:p w14:paraId="738F35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5" w:right="81" w:firstLine="572"/>
        <w:textAlignment w:val="auto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5"/>
          <w:sz w:val="28"/>
          <w:szCs w:val="28"/>
        </w:rPr>
        <w:t>9</w:t>
      </w:r>
      <w:r>
        <w:rPr>
          <w:rFonts w:ascii="仿宋" w:hAnsi="仿宋" w:eastAsia="仿宋" w:cs="仿宋"/>
          <w:spacing w:val="-4"/>
          <w:sz w:val="28"/>
          <w:szCs w:val="28"/>
        </w:rPr>
        <w:t>.准备局域网的备用考试环境，在外网无法恢复的情况下启用局</w:t>
      </w:r>
      <w:r>
        <w:rPr>
          <w:rFonts w:ascii="仿宋" w:hAnsi="仿宋" w:eastAsia="仿宋" w:cs="仿宋"/>
          <w:spacing w:val="-1"/>
          <w:sz w:val="28"/>
          <w:szCs w:val="28"/>
        </w:rPr>
        <w:t>域网备用考试环境，确</w:t>
      </w:r>
      <w:r>
        <w:rPr>
          <w:rFonts w:ascii="仿宋" w:hAnsi="仿宋" w:eastAsia="仿宋" w:cs="仿宋"/>
          <w:sz w:val="28"/>
          <w:szCs w:val="28"/>
        </w:rPr>
        <w:t>保考试正常进行。</w:t>
      </w:r>
    </w:p>
    <w:p w14:paraId="59BA52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25" w:right="81" w:firstLine="572"/>
        <w:textAlignment w:val="auto"/>
        <w:rPr>
          <w:rFonts w:ascii="仿宋" w:hAnsi="仿宋" w:eastAsia="仿宋" w:cs="仿宋"/>
          <w:spacing w:val="-5"/>
          <w:sz w:val="28"/>
          <w:szCs w:val="28"/>
        </w:rPr>
      </w:pPr>
      <w:r>
        <w:rPr>
          <w:rFonts w:ascii="仿宋" w:hAnsi="仿宋" w:eastAsia="仿宋" w:cs="仿宋"/>
          <w:spacing w:val="-5"/>
          <w:sz w:val="28"/>
          <w:szCs w:val="28"/>
        </w:rPr>
        <w:t>10.考试系统做到多区域、多环境备份，确保考试正常稳定。</w:t>
      </w:r>
    </w:p>
    <w:p w14:paraId="7B0584D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left="0" w:leftChars="0" w:firstLine="0" w:firstLineChars="0"/>
        <w:textAlignment w:val="baseline"/>
        <w:outlineLvl w:val="0"/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联系方式</w:t>
      </w:r>
    </w:p>
    <w:p w14:paraId="437C5653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bidi="ar-SA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 w:bidi="ar-SA"/>
        </w:rPr>
        <w:t>（一）大赛为团队竞赛，以院校为单位组队参赛，不得跨校组队。</w:t>
      </w:r>
    </w:p>
    <w:p w14:paraId="66CA3D6B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bidi="ar-SA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 w:bidi="ar-SA"/>
        </w:rPr>
        <w:t>（二）联系人：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王宝泰老师（承办校）：</w:t>
      </w: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lang w:val="en-US" w:eastAsia="zh-CN" w:bidi="ar-SA"/>
        </w:rPr>
        <w:t xml:space="preserve">13876164865 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 w:bidi="ar-SA"/>
        </w:rPr>
        <w:br w:type="textWrapping"/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 w:bidi="ar-SA"/>
        </w:rPr>
        <w:tab/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 w:bidi="ar-SA"/>
        </w:rPr>
        <w:t xml:space="preserve">               王老师（技术支持单位）：17682310921</w:t>
      </w:r>
    </w:p>
    <w:p w14:paraId="2BCE6C29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bidi="ar-SA"/>
        </w:rPr>
      </w:pPr>
    </w:p>
    <w:sectPr>
      <w:footerReference r:id="rId3" w:type="default"/>
      <w:footerReference r:id="rId4" w:type="even"/>
      <w:pgSz w:w="11906" w:h="16838"/>
      <w:pgMar w:top="1440" w:right="1797" w:bottom="1440" w:left="179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B122365-9CA7-4FB1-9170-C28D7D6FAEA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1D9F5855-5F7C-40ED-840C-5A984CD98E8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21DF4626-A7F6-4980-B39F-B2C94B308776}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F29DF7A0-66C3-4AD9-962B-AC6A994397C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D92E3A61-FFDB-46E4-99F1-87FCF00853A4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6" w:fontKey="{1B928C42-2D27-473B-8190-307B33047B8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F30CD9">
    <w:pPr>
      <w:pStyle w:val="8"/>
      <w:jc w:val="right"/>
      <w:rPr>
        <w:rFonts w:asciiTheme="majorEastAsia" w:hAnsiTheme="majorEastAsia" w:eastAsiaTheme="majorEastAsia"/>
        <w:sz w:val="28"/>
        <w:szCs w:val="28"/>
      </w:rPr>
    </w:pPr>
    <w:r>
      <w:rPr>
        <w:rFonts w:hint="eastAsia" w:asciiTheme="majorEastAsia" w:hAnsiTheme="majorEastAsia" w:eastAsiaTheme="majorEastAsia"/>
        <w:sz w:val="28"/>
        <w:szCs w:val="28"/>
      </w:rPr>
      <w:t xml:space="preserve"> </w:t>
    </w:r>
    <w:sdt>
      <w:sdtPr>
        <w:rPr>
          <w:rFonts w:asciiTheme="majorEastAsia" w:hAnsiTheme="majorEastAsia" w:eastAsiaTheme="majorEastAsia"/>
          <w:sz w:val="28"/>
          <w:szCs w:val="28"/>
        </w:rPr>
        <w:id w:val="-472060941"/>
      </w:sdtPr>
      <w:sdtEndPr>
        <w:rPr>
          <w:rFonts w:asciiTheme="majorEastAsia" w:hAnsiTheme="majorEastAsia" w:eastAsiaTheme="majorEastAsia"/>
          <w:sz w:val="28"/>
          <w:szCs w:val="28"/>
        </w:rPr>
      </w:sdtEndPr>
      <w:sdtContent>
        <w:r>
          <w:rPr>
            <w:rFonts w:asciiTheme="majorEastAsia" w:hAnsiTheme="majorEastAsia" w:eastAsiaTheme="majorEastAsia"/>
            <w:sz w:val="28"/>
            <w:szCs w:val="28"/>
          </w:rPr>
          <w:fldChar w:fldCharType="begin"/>
        </w:r>
        <w:r>
          <w:rPr>
            <w:rFonts w:asciiTheme="majorEastAsia" w:hAnsiTheme="majorEastAsia" w:eastAsiaTheme="majorEastAsia"/>
            <w:sz w:val="28"/>
            <w:szCs w:val="28"/>
          </w:rPr>
          <w:instrText xml:space="preserve">PAGE   \* MERGEFORMAT</w:instrTex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separate"/>
        </w:r>
        <w:r>
          <w:rPr>
            <w:rFonts w:asciiTheme="majorEastAsia" w:hAnsiTheme="majorEastAsia" w:eastAsiaTheme="majorEastAsia"/>
            <w:sz w:val="28"/>
            <w:szCs w:val="28"/>
            <w:lang w:val="zh-CN"/>
          </w:rPr>
          <w:t>1</w:t>
        </w:r>
        <w:r>
          <w:rPr>
            <w:rFonts w:asciiTheme="majorEastAsia" w:hAnsiTheme="majorEastAsia" w:eastAsiaTheme="majorEastAsia"/>
            <w:sz w:val="28"/>
            <w:szCs w:val="28"/>
          </w:rPr>
          <w:fldChar w:fldCharType="end"/>
        </w:r>
        <w:r>
          <w:rPr>
            <w:rFonts w:hint="eastAsia" w:asciiTheme="majorEastAsia" w:hAnsiTheme="majorEastAsia" w:eastAsiaTheme="majorEastAsia"/>
            <w:sz w:val="28"/>
            <w:szCs w:val="28"/>
          </w:rPr>
          <w:t xml:space="preserve"> 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2EAB9C">
    <w:pPr>
      <w:pStyle w:val="8"/>
      <w:rPr>
        <w:rFonts w:asciiTheme="majorEastAsia" w:hAnsiTheme="majorEastAsia" w:eastAsiaTheme="majorEastAsia"/>
        <w:sz w:val="30"/>
        <w:szCs w:val="30"/>
      </w:rPr>
    </w:pPr>
    <w:sdt>
      <w:sdtPr>
        <w:rPr>
          <w:rFonts w:asciiTheme="majorEastAsia" w:hAnsiTheme="majorEastAsia" w:eastAsiaTheme="majorEastAsia"/>
          <w:sz w:val="30"/>
          <w:szCs w:val="30"/>
        </w:rPr>
        <w:id w:val="793792982"/>
      </w:sdtPr>
      <w:sdtEndPr>
        <w:rPr>
          <w:rFonts w:asciiTheme="majorEastAsia" w:hAnsiTheme="majorEastAsia" w:eastAsiaTheme="majorEastAsia"/>
          <w:sz w:val="30"/>
          <w:szCs w:val="30"/>
        </w:rPr>
      </w:sdtEndPr>
      <w:sdtContent>
        <w:r>
          <w:rPr>
            <w:rFonts w:asciiTheme="majorEastAsia" w:hAnsiTheme="majorEastAsia" w:eastAsiaTheme="majorEastAsia"/>
            <w:sz w:val="30"/>
            <w:szCs w:val="30"/>
          </w:rPr>
          <w:fldChar w:fldCharType="begin"/>
        </w:r>
        <w:r>
          <w:rPr>
            <w:rFonts w:asciiTheme="majorEastAsia" w:hAnsiTheme="majorEastAsia" w:eastAsiaTheme="majorEastAsia"/>
            <w:sz w:val="30"/>
            <w:szCs w:val="30"/>
          </w:rPr>
          <w:instrText xml:space="preserve">PAGE   \* MERGEFORMAT</w:instrText>
        </w:r>
        <w:r>
          <w:rPr>
            <w:rFonts w:asciiTheme="majorEastAsia" w:hAnsiTheme="majorEastAsia" w:eastAsiaTheme="majorEastAsia"/>
            <w:sz w:val="30"/>
            <w:szCs w:val="30"/>
          </w:rPr>
          <w:fldChar w:fldCharType="separate"/>
        </w:r>
        <w:r>
          <w:rPr>
            <w:rFonts w:asciiTheme="majorEastAsia" w:hAnsiTheme="majorEastAsia" w:eastAsiaTheme="majorEastAsia"/>
            <w:sz w:val="30"/>
            <w:szCs w:val="30"/>
          </w:rPr>
          <w:t>2</w:t>
        </w:r>
        <w:r>
          <w:rPr>
            <w:rFonts w:asciiTheme="majorEastAsia" w:hAnsiTheme="majorEastAsia" w:eastAsiaTheme="majorEastAsia"/>
            <w:sz w:val="30"/>
            <w:szCs w:val="30"/>
          </w:rPr>
          <w:fldChar w:fldCharType="end"/>
        </w:r>
      </w:sdtContent>
    </w:sdt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0FEE61"/>
    <w:multiLevelType w:val="singleLevel"/>
    <w:tmpl w:val="AB0FEE61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3E042D93"/>
    <w:multiLevelType w:val="singleLevel"/>
    <w:tmpl w:val="3E042D9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RjNmFlNTcxYjNjNjg1Y2ExYWVhZTI3ZDAxYzY1NDAifQ=="/>
  </w:docVars>
  <w:rsids>
    <w:rsidRoot w:val="00172A27"/>
    <w:rsid w:val="00000A96"/>
    <w:rsid w:val="00032CBE"/>
    <w:rsid w:val="00032DA8"/>
    <w:rsid w:val="00082600"/>
    <w:rsid w:val="000F3D25"/>
    <w:rsid w:val="000F45AB"/>
    <w:rsid w:val="00106AAB"/>
    <w:rsid w:val="00151FF7"/>
    <w:rsid w:val="00172A27"/>
    <w:rsid w:val="00184BA0"/>
    <w:rsid w:val="002B672C"/>
    <w:rsid w:val="002F0A6C"/>
    <w:rsid w:val="002F5922"/>
    <w:rsid w:val="00335E92"/>
    <w:rsid w:val="0034497C"/>
    <w:rsid w:val="004451AA"/>
    <w:rsid w:val="00462793"/>
    <w:rsid w:val="0048537C"/>
    <w:rsid w:val="004B3D78"/>
    <w:rsid w:val="004E6107"/>
    <w:rsid w:val="00524EEC"/>
    <w:rsid w:val="005A2478"/>
    <w:rsid w:val="005C73ED"/>
    <w:rsid w:val="005F79EB"/>
    <w:rsid w:val="006015F9"/>
    <w:rsid w:val="00654B78"/>
    <w:rsid w:val="00734A14"/>
    <w:rsid w:val="00762C9F"/>
    <w:rsid w:val="0079691D"/>
    <w:rsid w:val="007B699E"/>
    <w:rsid w:val="007D4ED5"/>
    <w:rsid w:val="00820F55"/>
    <w:rsid w:val="008461F7"/>
    <w:rsid w:val="00880E4F"/>
    <w:rsid w:val="008B084A"/>
    <w:rsid w:val="009F07B7"/>
    <w:rsid w:val="00A0176C"/>
    <w:rsid w:val="00A65485"/>
    <w:rsid w:val="00A664EE"/>
    <w:rsid w:val="00AE14A4"/>
    <w:rsid w:val="00B038C4"/>
    <w:rsid w:val="00B929FC"/>
    <w:rsid w:val="00B95528"/>
    <w:rsid w:val="00C52878"/>
    <w:rsid w:val="00CB7ABD"/>
    <w:rsid w:val="00CF256C"/>
    <w:rsid w:val="00D64DC8"/>
    <w:rsid w:val="00E3531C"/>
    <w:rsid w:val="00F275F0"/>
    <w:rsid w:val="00F44642"/>
    <w:rsid w:val="02832A46"/>
    <w:rsid w:val="02E61529"/>
    <w:rsid w:val="036564DD"/>
    <w:rsid w:val="03FD0E3E"/>
    <w:rsid w:val="040D00A6"/>
    <w:rsid w:val="05FD2B10"/>
    <w:rsid w:val="067850B5"/>
    <w:rsid w:val="06A411DD"/>
    <w:rsid w:val="06E0321E"/>
    <w:rsid w:val="07091040"/>
    <w:rsid w:val="07561755"/>
    <w:rsid w:val="0B8B6843"/>
    <w:rsid w:val="0E2D1AB8"/>
    <w:rsid w:val="0E7951AF"/>
    <w:rsid w:val="0EFE585E"/>
    <w:rsid w:val="105F0645"/>
    <w:rsid w:val="134D2126"/>
    <w:rsid w:val="14C62DAF"/>
    <w:rsid w:val="15A9236C"/>
    <w:rsid w:val="19DA695E"/>
    <w:rsid w:val="1A7B346F"/>
    <w:rsid w:val="1AB64BE3"/>
    <w:rsid w:val="1C643AEE"/>
    <w:rsid w:val="1C827473"/>
    <w:rsid w:val="1DED263A"/>
    <w:rsid w:val="1E806520"/>
    <w:rsid w:val="1EDD63B3"/>
    <w:rsid w:val="20302472"/>
    <w:rsid w:val="20841E8F"/>
    <w:rsid w:val="21235A27"/>
    <w:rsid w:val="21537630"/>
    <w:rsid w:val="21C66054"/>
    <w:rsid w:val="22081DD5"/>
    <w:rsid w:val="234436D4"/>
    <w:rsid w:val="245D2237"/>
    <w:rsid w:val="25C441CC"/>
    <w:rsid w:val="2A3C0690"/>
    <w:rsid w:val="2A600C13"/>
    <w:rsid w:val="2B272B32"/>
    <w:rsid w:val="304D1074"/>
    <w:rsid w:val="30771E0A"/>
    <w:rsid w:val="30BA1E53"/>
    <w:rsid w:val="32244DFC"/>
    <w:rsid w:val="346A286F"/>
    <w:rsid w:val="34D67F04"/>
    <w:rsid w:val="34F77610"/>
    <w:rsid w:val="35303584"/>
    <w:rsid w:val="35DA33FA"/>
    <w:rsid w:val="38116598"/>
    <w:rsid w:val="381620C6"/>
    <w:rsid w:val="38211DDE"/>
    <w:rsid w:val="38AF73EA"/>
    <w:rsid w:val="38D62BC9"/>
    <w:rsid w:val="3C027200"/>
    <w:rsid w:val="3CC3414D"/>
    <w:rsid w:val="3DA768E2"/>
    <w:rsid w:val="3DA908AC"/>
    <w:rsid w:val="3ECF2E68"/>
    <w:rsid w:val="421D2E5F"/>
    <w:rsid w:val="43370708"/>
    <w:rsid w:val="45260A34"/>
    <w:rsid w:val="45344EFF"/>
    <w:rsid w:val="466F7ADE"/>
    <w:rsid w:val="47571378"/>
    <w:rsid w:val="493B2071"/>
    <w:rsid w:val="4B296B88"/>
    <w:rsid w:val="4BCA34B8"/>
    <w:rsid w:val="4C8A7685"/>
    <w:rsid w:val="4D7D140D"/>
    <w:rsid w:val="4EAC444D"/>
    <w:rsid w:val="4F3B240C"/>
    <w:rsid w:val="4F716D4F"/>
    <w:rsid w:val="4F7B450D"/>
    <w:rsid w:val="4F824AB9"/>
    <w:rsid w:val="4F9C7943"/>
    <w:rsid w:val="50B140F3"/>
    <w:rsid w:val="51827D4C"/>
    <w:rsid w:val="51E768B4"/>
    <w:rsid w:val="58020E8D"/>
    <w:rsid w:val="58094E28"/>
    <w:rsid w:val="590A1958"/>
    <w:rsid w:val="5BC76675"/>
    <w:rsid w:val="5DF122B8"/>
    <w:rsid w:val="5E372CB0"/>
    <w:rsid w:val="5E985D27"/>
    <w:rsid w:val="65927FCE"/>
    <w:rsid w:val="65C854C3"/>
    <w:rsid w:val="67106E53"/>
    <w:rsid w:val="681C13CA"/>
    <w:rsid w:val="68582403"/>
    <w:rsid w:val="69C212AE"/>
    <w:rsid w:val="69D72179"/>
    <w:rsid w:val="6A021292"/>
    <w:rsid w:val="6AA81420"/>
    <w:rsid w:val="6BFC2657"/>
    <w:rsid w:val="6D332E3B"/>
    <w:rsid w:val="6F687D73"/>
    <w:rsid w:val="6FFE77A0"/>
    <w:rsid w:val="72C94629"/>
    <w:rsid w:val="749E5641"/>
    <w:rsid w:val="75AE2C0E"/>
    <w:rsid w:val="77A45665"/>
    <w:rsid w:val="77E15F71"/>
    <w:rsid w:val="79393B8B"/>
    <w:rsid w:val="7B4B6523"/>
    <w:rsid w:val="7CAE657D"/>
    <w:rsid w:val="7CD97B5E"/>
    <w:rsid w:val="7CDD4D85"/>
    <w:rsid w:val="7FF57F11"/>
    <w:rsid w:val="7FFC1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iPriority="0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unhideWhenUsed/>
    <w:qFormat/>
    <w:uiPriority w:val="0"/>
    <w:pPr>
      <w:keepNext/>
      <w:keepLines/>
      <w:spacing w:beforeLines="100" w:line="312" w:lineRule="auto"/>
      <w:outlineLvl w:val="0"/>
    </w:pPr>
    <w:rPr>
      <w:rFonts w:eastAsia="黑体"/>
      <w:b/>
      <w:kern w:val="44"/>
      <w:sz w:val="32"/>
      <w:szCs w:val="44"/>
    </w:rPr>
  </w:style>
  <w:style w:type="paragraph" w:styleId="5">
    <w:name w:val="heading 2"/>
    <w:basedOn w:val="1"/>
    <w:next w:val="1"/>
    <w:semiHidden/>
    <w:unhideWhenUsed/>
    <w:qFormat/>
    <w:uiPriority w:val="9"/>
    <w:pPr>
      <w:keepNext/>
      <w:keepLines/>
      <w:autoSpaceDE w:val="0"/>
      <w:autoSpaceDN w:val="0"/>
      <w:spacing w:before="100" w:after="100" w:line="360" w:lineRule="auto"/>
      <w:jc w:val="left"/>
      <w:outlineLvl w:val="1"/>
    </w:pPr>
    <w:rPr>
      <w:rFonts w:ascii="Arial" w:hAnsi="Arial" w:eastAsia="黑体" w:cs="Times New Roman"/>
      <w:b/>
      <w:bCs/>
      <w:kern w:val="0"/>
      <w:sz w:val="32"/>
      <w:szCs w:val="32"/>
    </w:rPr>
  </w:style>
  <w:style w:type="paragraph" w:styleId="6">
    <w:name w:val="heading 3"/>
    <w:basedOn w:val="1"/>
    <w:next w:val="1"/>
    <w:semiHidden/>
    <w:unhideWhenUsed/>
    <w:qFormat/>
    <w:uiPriority w:val="9"/>
    <w:pPr>
      <w:keepNext/>
      <w:keepLines/>
      <w:kinsoku w:val="0"/>
      <w:autoSpaceDE w:val="0"/>
      <w:autoSpaceDN w:val="0"/>
      <w:adjustRightInd w:val="0"/>
      <w:snapToGrid w:val="0"/>
      <w:spacing w:line="312" w:lineRule="auto"/>
      <w:jc w:val="left"/>
      <w:textAlignment w:val="baseline"/>
      <w:outlineLvl w:val="2"/>
    </w:pPr>
    <w:rPr>
      <w:rFonts w:ascii="Arial" w:hAnsi="Arial" w:eastAsia="等线" w:cs="Times New Roman"/>
      <w:b/>
      <w:bCs/>
      <w:color w:val="000000"/>
      <w:kern w:val="0"/>
      <w:sz w:val="28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unhideWhenUsed/>
    <w:qFormat/>
    <w:uiPriority w:val="0"/>
    <w:rPr>
      <w:rFonts w:hint="eastAsia" w:ascii="楷体" w:hAnsi="楷体" w:eastAsia="楷体" w:cs="楷体"/>
      <w:sz w:val="28"/>
      <w:szCs w:val="18"/>
    </w:rPr>
  </w:style>
  <w:style w:type="paragraph" w:styleId="7">
    <w:name w:val="List 2"/>
    <w:basedOn w:val="1"/>
    <w:unhideWhenUsed/>
    <w:qFormat/>
    <w:uiPriority w:val="0"/>
    <w:rPr>
      <w:rFonts w:hint="eastAsia" w:ascii="等线" w:hAnsi="等线" w:cs="仿宋"/>
      <w:sz w:val="22"/>
      <w:lang w:val="zh-CN" w:bidi="zh-CN"/>
    </w:rPr>
  </w:style>
  <w:style w:type="paragraph" w:styleId="8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semiHidden/>
    <w:unhideWhenUsed/>
    <w:qFormat/>
    <w:uiPriority w:val="99"/>
    <w:rPr>
      <w:sz w:val="24"/>
    </w:rPr>
  </w:style>
  <w:style w:type="table" w:styleId="12">
    <w:name w:val="Table Grid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4">
    <w:name w:val="Strong"/>
    <w:basedOn w:val="13"/>
    <w:qFormat/>
    <w:uiPriority w:val="0"/>
    <w:rPr>
      <w:b/>
    </w:rPr>
  </w:style>
  <w:style w:type="character" w:customStyle="1" w:styleId="15">
    <w:name w:val="页眉 字符"/>
    <w:basedOn w:val="13"/>
    <w:link w:val="9"/>
    <w:qFormat/>
    <w:uiPriority w:val="99"/>
    <w:rPr>
      <w:sz w:val="18"/>
      <w:szCs w:val="18"/>
    </w:rPr>
  </w:style>
  <w:style w:type="character" w:customStyle="1" w:styleId="16">
    <w:name w:val="页脚 字符"/>
    <w:basedOn w:val="13"/>
    <w:link w:val="8"/>
    <w:qFormat/>
    <w:uiPriority w:val="99"/>
    <w:rPr>
      <w:sz w:val="18"/>
      <w:szCs w:val="18"/>
    </w:rPr>
  </w:style>
  <w:style w:type="paragraph" w:customStyle="1" w:styleId="17">
    <w:name w:val="Body text|1"/>
    <w:basedOn w:val="1"/>
    <w:link w:val="18"/>
    <w:unhideWhenUsed/>
    <w:qFormat/>
    <w:uiPriority w:val="0"/>
    <w:rPr>
      <w:rFonts w:ascii="MingLiU" w:hAnsi="MingLiU" w:eastAsia="MingLiU"/>
      <w:sz w:val="20"/>
      <w:szCs w:val="24"/>
      <w:lang w:val="zh-TW" w:eastAsia="zh-TW"/>
    </w:rPr>
  </w:style>
  <w:style w:type="character" w:customStyle="1" w:styleId="18">
    <w:name w:val="Body text|1_"/>
    <w:basedOn w:val="13"/>
    <w:link w:val="17"/>
    <w:unhideWhenUsed/>
    <w:qFormat/>
    <w:uiPriority w:val="0"/>
    <w:rPr>
      <w:rFonts w:ascii="MingLiU" w:hAnsi="MingLiU" w:eastAsia="MingLiU"/>
      <w:sz w:val="20"/>
      <w:szCs w:val="24"/>
      <w:lang w:val="zh-TW" w:eastAsia="zh-TW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  <w:style w:type="character" w:customStyle="1" w:styleId="20">
    <w:name w:val="10"/>
    <w:basedOn w:val="13"/>
    <w:qFormat/>
    <w:uiPriority w:val="0"/>
    <w:rPr>
      <w:rFonts w:hint="default" w:ascii="Times New Roman" w:hAnsi="Times New Roman" w:cs="Times New Roman"/>
    </w:rPr>
  </w:style>
  <w:style w:type="character" w:customStyle="1" w:styleId="21">
    <w:name w:val="15"/>
    <w:basedOn w:val="13"/>
    <w:qFormat/>
    <w:uiPriority w:val="0"/>
    <w:rPr>
      <w:rFonts w:hint="default" w:ascii="仿宋_GB2312" w:eastAsia="仿宋_GB2312" w:cs="仿宋_GB2312"/>
      <w:b/>
      <w:bCs/>
      <w:color w:val="000000"/>
      <w:sz w:val="21"/>
      <w:szCs w:val="21"/>
    </w:rPr>
  </w:style>
  <w:style w:type="character" w:customStyle="1" w:styleId="22">
    <w:name w:val="font11"/>
    <w:basedOn w:val="13"/>
    <w:qFormat/>
    <w:uiPriority w:val="0"/>
    <w:rPr>
      <w:rFonts w:hint="eastAsia" w:ascii="等线" w:hAnsi="等线" w:eastAsia="等线" w:cs="等线"/>
      <w:color w:val="000000"/>
      <w:sz w:val="18"/>
      <w:szCs w:val="18"/>
      <w:u w:val="none"/>
    </w:rPr>
  </w:style>
  <w:style w:type="character" w:customStyle="1" w:styleId="23">
    <w:name w:val="font21"/>
    <w:basedOn w:val="1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3943</Words>
  <Characters>4025</Characters>
  <Lines>60</Lines>
  <Paragraphs>17</Paragraphs>
  <TotalTime>13</TotalTime>
  <ScaleCrop>false</ScaleCrop>
  <LinksUpToDate>false</LinksUpToDate>
  <CharactersWithSpaces>4027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2024-04-01T03:18:00Z</dcterms:created>
  <dc:creator>Yutao Zheng</dc:creator>
  <cp:lastModifiedBy>卓书尧</cp:lastModifiedBy>
  <dcterms:modified xsi:type="dcterms:W3CDTF">2025-11-19T01:18:29Z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1546A8A7358D4482921FCCC0AB6A0DF3_13</vt:lpwstr>
  </property>
  <property fmtid="{D5CDD505-2E9C-101B-9397-08002B2CF9AE}" pid="4" name="KSOTemplateDocerSaveRecord">
    <vt:lpwstr>eyJoZGlkIjoiMDcwNzJlODk4Mjk1ZjFiOTJhNWNkOWViMGVkYWI4NzUiLCJ1c2VySWQiOiI1MTk2NjM3MDcifQ==</vt:lpwstr>
  </property>
</Properties>
</file>