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outlineLvl w:val="0"/>
        <w:rPr>
          <w:rFonts w:ascii="Arial Narrow" w:hAnsi="Arial Narrow" w:eastAsia="黑体"/>
          <w:b/>
          <w:sz w:val="36"/>
          <w:szCs w:val="36"/>
        </w:rPr>
      </w:pPr>
      <w:r>
        <w:rPr>
          <w:rFonts w:hint="eastAsia" w:ascii="黑体" w:hAnsi="黑体" w:eastAsia="黑体" w:cs="OEEEEV+FZHTJW--GB1-0"/>
          <w:b/>
          <w:color w:val="211D1E"/>
          <w:sz w:val="36"/>
          <w:szCs w:val="36"/>
        </w:rPr>
        <w:t>201</w:t>
      </w:r>
      <w:r>
        <w:rPr>
          <w:rFonts w:ascii="黑体" w:hAnsi="黑体" w:eastAsia="黑体" w:cs="OEEEEV+FZHTJW--GB1-0"/>
          <w:b/>
          <w:color w:val="211D1E"/>
          <w:sz w:val="36"/>
          <w:szCs w:val="36"/>
        </w:rPr>
        <w:t>9</w:t>
      </w:r>
      <w:r>
        <w:rPr>
          <w:rFonts w:hint="eastAsia" w:ascii="黑体" w:hAnsi="黑体" w:eastAsia="黑体" w:cs="OEEEEV+FZHTJW--GB1-0"/>
          <w:b/>
          <w:color w:val="211D1E"/>
          <w:sz w:val="36"/>
          <w:szCs w:val="36"/>
        </w:rPr>
        <w:t>年</w:t>
      </w:r>
      <w:r>
        <w:rPr>
          <w:rFonts w:hint="eastAsia" w:ascii="黑体" w:hAnsi="黑体" w:eastAsia="黑体" w:cs="OEEEEV+FZHTJW--GB1-0"/>
          <w:b/>
          <w:color w:val="211D1E"/>
          <w:sz w:val="36"/>
          <w:szCs w:val="36"/>
          <w:lang w:val="en-US" w:eastAsia="zh-CN"/>
        </w:rPr>
        <w:t>海南省</w:t>
      </w:r>
      <w:r>
        <w:rPr>
          <w:rFonts w:hint="eastAsia" w:ascii="黑体" w:hAnsi="黑体" w:eastAsia="黑体" w:cs="OEEEEV+FZHTJW--GB1-0"/>
          <w:b/>
          <w:color w:val="211D1E"/>
          <w:sz w:val="36"/>
          <w:szCs w:val="36"/>
        </w:rPr>
        <w:t>职业院校</w:t>
      </w:r>
      <w:r>
        <w:rPr>
          <w:rFonts w:hint="eastAsia" w:ascii="黑体" w:hAnsi="黑体" w:eastAsia="黑体" w:cs="OEEEEV+FZHTJW--GB1-0"/>
          <w:b/>
          <w:color w:val="211D1E"/>
          <w:sz w:val="36"/>
          <w:szCs w:val="36"/>
          <w:lang w:eastAsia="zh-CN"/>
        </w:rPr>
        <w:t>（</w:t>
      </w:r>
      <w:r>
        <w:rPr>
          <w:rFonts w:hint="eastAsia" w:ascii="黑体" w:hAnsi="黑体" w:eastAsia="黑体" w:cs="OEEEEV+FZHTJW--GB1-0"/>
          <w:b/>
          <w:color w:val="211D1E"/>
          <w:sz w:val="36"/>
          <w:szCs w:val="36"/>
          <w:lang w:val="en-US" w:eastAsia="zh-CN"/>
        </w:rPr>
        <w:t>高职组）</w:t>
      </w:r>
      <w:r>
        <w:rPr>
          <w:rFonts w:hint="eastAsia" w:ascii="黑体" w:hAnsi="黑体" w:eastAsia="黑体" w:cs="OEEEEV+FZHTJW--GB1-0"/>
          <w:b/>
          <w:color w:val="211D1E"/>
          <w:sz w:val="36"/>
          <w:szCs w:val="36"/>
        </w:rPr>
        <w:t>技能大赛</w:t>
      </w:r>
      <w:r>
        <w:rPr>
          <w:rFonts w:hint="eastAsia" w:ascii="黑体" w:hAnsi="黑体" w:eastAsia="黑体" w:cs="OEEEEV+FZHTJW--GB1-0"/>
          <w:b/>
          <w:color w:val="211D1E"/>
          <w:sz w:val="36"/>
          <w:szCs w:val="36"/>
        </w:rPr>
        <w:br w:type="textWrapping"/>
      </w:r>
      <w:r>
        <w:rPr>
          <w:rFonts w:hint="eastAsia" w:ascii="Arial Narrow" w:hAnsi="黑体" w:eastAsia="黑体" w:cs="宋体"/>
          <w:b/>
          <w:sz w:val="36"/>
          <w:szCs w:val="36"/>
        </w:rPr>
        <w:t>“</w:t>
      </w:r>
      <w:r>
        <w:rPr>
          <w:rFonts w:hint="eastAsia" w:ascii="Arial Narrow" w:hAnsi="黑体" w:eastAsia="黑体" w:cs="宋体"/>
          <w:b/>
          <w:sz w:val="36"/>
          <w:szCs w:val="36"/>
          <w:lang w:val="en-US" w:eastAsia="zh-CN"/>
        </w:rPr>
        <w:t>移动商务</w:t>
      </w:r>
      <w:r>
        <w:rPr>
          <w:rFonts w:hint="eastAsia" w:ascii="Arial Narrow" w:hAnsi="黑体" w:eastAsia="黑体" w:cs="宋体"/>
          <w:b/>
          <w:sz w:val="36"/>
          <w:szCs w:val="36"/>
        </w:rPr>
        <w:t>”</w:t>
      </w:r>
      <w:r>
        <w:rPr>
          <w:rFonts w:hint="eastAsia" w:ascii="Arial Narrow" w:hAnsi="黑体" w:eastAsia="黑体" w:cs="宋体"/>
          <w:b/>
          <w:sz w:val="36"/>
          <w:szCs w:val="36"/>
          <w:lang w:val="en-US" w:eastAsia="zh-CN"/>
        </w:rPr>
        <w:t>技能竞赛</w:t>
      </w:r>
      <w:r>
        <w:rPr>
          <w:rFonts w:hint="eastAsia" w:ascii="Arial Narrow" w:hAnsi="黑体" w:eastAsia="黑体" w:cs="宋体"/>
          <w:b/>
          <w:sz w:val="36"/>
          <w:szCs w:val="36"/>
        </w:rPr>
        <w:t>赛项规程</w:t>
      </w:r>
    </w:p>
    <w:p>
      <w:pPr>
        <w:spacing w:line="560" w:lineRule="exact"/>
        <w:ind w:firstLine="562" w:firstLineChars="200"/>
        <w:outlineLvl w:val="0"/>
        <w:rPr>
          <w:rFonts w:hint="eastAsia" w:ascii="仿宋_GB2312" w:hAnsi="黑体" w:eastAsia="仿宋_GB2312" w:cs="黑体"/>
          <w:b/>
          <w:bCs/>
          <w:sz w:val="28"/>
          <w:szCs w:val="28"/>
        </w:rPr>
      </w:pP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一、赛项名称</w:t>
      </w:r>
    </w:p>
    <w:p>
      <w:pPr>
        <w:spacing w:line="560" w:lineRule="exact"/>
        <w:ind w:firstLine="543" w:firstLineChars="194"/>
        <w:rPr>
          <w:rFonts w:hint="default" w:ascii="Arial Narrow" w:hAnsi="Arial Narrow" w:eastAsia="仿宋_GB2312" w:cs="宋体"/>
          <w:sz w:val="28"/>
          <w:szCs w:val="28"/>
          <w:u w:val="single"/>
          <w:lang w:val="en-US" w:eastAsia="zh-CN"/>
        </w:rPr>
      </w:pPr>
      <w:r>
        <w:rPr>
          <w:rFonts w:hint="eastAsia" w:ascii="Arial Narrow" w:hAnsi="Arial Narrow" w:eastAsia="仿宋_GB2312" w:cs="宋体"/>
          <w:sz w:val="28"/>
          <w:szCs w:val="28"/>
        </w:rPr>
        <w:t>赛项名称：</w:t>
      </w:r>
      <w:r>
        <w:rPr>
          <w:rFonts w:hint="eastAsia" w:ascii="Arial Narrow" w:hAnsi="Arial Narrow" w:eastAsia="仿宋_GB2312" w:cs="宋体"/>
          <w:sz w:val="28"/>
          <w:szCs w:val="28"/>
          <w:lang w:val="en-US" w:eastAsia="zh-CN"/>
        </w:rPr>
        <w:t>移动商务</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英文名称：</w:t>
      </w:r>
      <w:r>
        <w:rPr>
          <w:rFonts w:hint="eastAsia" w:ascii="仿宋_GB2312" w:hAnsi="仿宋" w:eastAsia="仿宋_GB2312" w:cs="仿宋"/>
          <w:kern w:val="0"/>
          <w:sz w:val="28"/>
          <w:szCs w:val="28"/>
          <w:lang w:val="en-US" w:eastAsia="zh-CN"/>
        </w:rPr>
        <w:t>M</w:t>
      </w:r>
      <w:r>
        <w:rPr>
          <w:rFonts w:ascii="仿宋_GB2312" w:hAnsi="仿宋" w:eastAsia="仿宋_GB2312" w:cs="仿宋"/>
          <w:kern w:val="0"/>
          <w:sz w:val="28"/>
          <w:szCs w:val="28"/>
        </w:rPr>
        <w:t>-</w:t>
      </w:r>
      <w:r>
        <w:rPr>
          <w:rFonts w:hint="eastAsia" w:ascii="仿宋_GB2312" w:hAnsi="仿宋" w:eastAsia="仿宋_GB2312" w:cs="仿宋"/>
          <w:kern w:val="0"/>
          <w:sz w:val="28"/>
          <w:szCs w:val="28"/>
        </w:rPr>
        <w:t>Commerce Skills</w:t>
      </w:r>
    </w:p>
    <w:p>
      <w:pPr>
        <w:spacing w:line="560" w:lineRule="exact"/>
        <w:ind w:firstLine="543" w:firstLineChars="194"/>
        <w:rPr>
          <w:rFonts w:ascii="Arial Narrow" w:hAnsi="Arial Narrow" w:eastAsia="仿宋_GB2312" w:cs="宋体"/>
          <w:sz w:val="28"/>
          <w:szCs w:val="28"/>
        </w:rPr>
      </w:pPr>
      <w:r>
        <w:rPr>
          <w:rFonts w:hint="eastAsia" w:ascii="Arial Narrow" w:hAnsi="Arial Narrow" w:eastAsia="仿宋_GB2312" w:cs="宋体"/>
          <w:sz w:val="28"/>
          <w:szCs w:val="28"/>
        </w:rPr>
        <w:t>赛项组别：高职</w:t>
      </w:r>
    </w:p>
    <w:p>
      <w:pPr>
        <w:spacing w:line="560" w:lineRule="exact"/>
        <w:ind w:firstLine="543" w:firstLineChars="194"/>
        <w:rPr>
          <w:rFonts w:hint="eastAsia" w:ascii="Arial Narrow" w:hAnsi="Arial Narrow" w:eastAsia="仿宋_GB2312" w:cs="宋体"/>
          <w:sz w:val="28"/>
          <w:szCs w:val="28"/>
        </w:rPr>
      </w:pPr>
      <w:r>
        <w:rPr>
          <w:rFonts w:hint="eastAsia" w:ascii="Arial Narrow" w:hAnsi="Arial Narrow" w:eastAsia="仿宋_GB2312" w:cs="宋体"/>
          <w:sz w:val="28"/>
          <w:szCs w:val="28"/>
        </w:rPr>
        <w:t>赛项归属：电子信息</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二、竞赛目的</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随着我国进入新的发展阶段，产业升级和经济结构调整不断加快，各行各业对技术技能人才的需求越来越紧迫</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促进人才培养供给侧和产业需求侧结构要素全方位融合，培养大批高素质创新人才和技术技能人才，为加快建设实体经济、科技创新、现代金融、人力资源协同发展的产业体系，增强产业核心竞争力，汇聚发展新动能提供有力支撑</w:t>
      </w:r>
      <w:r>
        <w:rPr>
          <w:rFonts w:hint="eastAsia" w:ascii="仿宋_GB2312" w:hAnsi="仿宋" w:eastAsia="仿宋_GB2312" w:cs="仿宋"/>
          <w:kern w:val="0"/>
          <w:sz w:val="28"/>
          <w:szCs w:val="28"/>
          <w:lang w:eastAsia="zh-CN"/>
        </w:rPr>
        <w:t>成为现在的主要任务</w:t>
      </w:r>
      <w:r>
        <w:rPr>
          <w:rFonts w:hint="eastAsia" w:ascii="仿宋_GB2312" w:hAnsi="仿宋" w:eastAsia="仿宋_GB2312" w:cs="仿宋"/>
          <w:kern w:val="0"/>
          <w:sz w:val="28"/>
          <w:szCs w:val="28"/>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通过举办移动商务技能竞赛，优化学校、专业布局，深化办学体制改革和育人机制改革，以促进就业和适应产业发展需求为导向，着力培养高素质劳动者和技术技能人才。赛事在新专业的</w:t>
      </w:r>
      <w:r>
        <w:rPr>
          <w:rFonts w:hint="eastAsia" w:ascii="仿宋_GB2312" w:hAnsi="仿宋" w:eastAsia="仿宋_GB2312" w:cs="仿宋"/>
          <w:kern w:val="0"/>
          <w:sz w:val="28"/>
          <w:szCs w:val="28"/>
          <w:lang w:eastAsia="zh-CN"/>
        </w:rPr>
        <w:t>调整</w:t>
      </w:r>
      <w:r>
        <w:rPr>
          <w:rFonts w:hint="eastAsia" w:ascii="仿宋_GB2312" w:hAnsi="仿宋" w:eastAsia="仿宋_GB2312" w:cs="仿宋"/>
          <w:kern w:val="0"/>
          <w:sz w:val="28"/>
          <w:szCs w:val="28"/>
        </w:rPr>
        <w:t>上起到了积极有效的推动作用</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大幅提升新时代教育现代化水平，为促进经济社会发展和提高国家竞争力提供优质人才资源支撑。</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通过竞赛，搭建校企合作的平台，</w:t>
      </w:r>
      <w:r>
        <w:rPr>
          <w:rFonts w:hint="eastAsia" w:ascii="仿宋_GB2312" w:hAnsi="仿宋" w:eastAsia="仿宋_GB2312" w:cs="仿宋"/>
          <w:kern w:val="0"/>
          <w:sz w:val="28"/>
          <w:szCs w:val="28"/>
          <w:lang w:eastAsia="zh-CN"/>
        </w:rPr>
        <w:t>积极</w:t>
      </w:r>
      <w:r>
        <w:rPr>
          <w:rFonts w:hint="eastAsia" w:ascii="仿宋_GB2312" w:hAnsi="仿宋" w:eastAsia="仿宋_GB2312" w:cs="仿宋"/>
          <w:kern w:val="0"/>
          <w:sz w:val="28"/>
          <w:szCs w:val="28"/>
        </w:rPr>
        <w:t>引导企业深度参与职业学校、高等学校教育教学改革，大力支持应用型本科和行业特色类高校建设，紧密围绕产业需求，强化实践教学，完善以应用型人才为主的培养体系</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增强复合型人才培养能力。</w:t>
      </w:r>
    </w:p>
    <w:p>
      <w:pPr>
        <w:spacing w:line="560" w:lineRule="atLeast"/>
        <w:ind w:firstLine="562" w:firstLineChars="200"/>
        <w:outlineLvl w:val="0"/>
        <w:rPr>
          <w:rFonts w:ascii="仿宋_GB2312" w:hAnsi="黑体" w:eastAsia="仿宋_GB2312" w:cs="黑体"/>
          <w:b/>
          <w:bCs/>
          <w:sz w:val="28"/>
          <w:szCs w:val="28"/>
          <w:highlight w:val="none"/>
        </w:rPr>
      </w:pPr>
      <w:r>
        <w:rPr>
          <w:rFonts w:hint="eastAsia" w:ascii="仿宋_GB2312" w:hAnsi="黑体" w:eastAsia="仿宋_GB2312" w:cs="黑体"/>
          <w:b/>
          <w:bCs/>
          <w:sz w:val="28"/>
          <w:szCs w:val="28"/>
          <w:highlight w:val="none"/>
        </w:rPr>
        <w:t>三、竞赛内容</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竞赛围绕“移动商务核心技能”展开，全面考评移动商务人才的综合素养，选拔企业需要的移动商务人才。竞赛平台采用技术支持单位统一安装的“奥派竞赛系统”。竞赛为团体赛，</w:t>
      </w:r>
      <w:r>
        <w:rPr>
          <w:rFonts w:hint="eastAsia" w:ascii="仿宋_GB2312" w:hAnsi="仿宋" w:eastAsia="仿宋_GB2312" w:cs="仿宋"/>
          <w:b/>
          <w:bCs/>
          <w:kern w:val="0"/>
          <w:sz w:val="28"/>
          <w:szCs w:val="28"/>
        </w:rPr>
        <w:t>每支参赛队伍由3名参赛选手和1-2名指导教师组成</w:t>
      </w:r>
      <w:r>
        <w:rPr>
          <w:rFonts w:hint="eastAsia" w:ascii="仿宋_GB2312" w:hAnsi="仿宋" w:eastAsia="仿宋_GB2312" w:cs="仿宋"/>
          <w:kern w:val="0"/>
          <w:sz w:val="28"/>
          <w:szCs w:val="28"/>
        </w:rPr>
        <w:t>，参赛团队请自行队内分工协作。</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竞赛项目包含以下内容：参赛队伍需完成微店设计与装修、微信公众号运营和企业移动商务运营三大核心模块。竞赛全面考察学生的视觉设计能力、文案策划能力、店铺运营能力、移动开发能力、营销推广能力、经营管理与决策能力、数据分析能力、团队合作能力，让学生充分体会移动互联网商业模式的转变。</w:t>
      </w:r>
    </w:p>
    <w:p>
      <w:pPr>
        <w:pStyle w:val="4"/>
        <w:spacing w:line="560" w:lineRule="exact"/>
        <w:ind w:firstLine="482" w:firstLineChars="200"/>
        <w:jc w:val="center"/>
        <w:outlineLvl w:val="1"/>
        <w:rPr>
          <w:rFonts w:hint="eastAsia" w:ascii="仿宋_GB2312" w:hAnsi="仿宋" w:eastAsia="仿宋_GB2312"/>
          <w:b/>
          <w:sz w:val="24"/>
        </w:rPr>
      </w:pPr>
      <w:r>
        <w:rPr>
          <w:rFonts w:hint="eastAsia" w:ascii="仿宋_GB2312" w:hAnsi="仿宋" w:eastAsia="仿宋_GB2312"/>
          <w:b/>
          <w:sz w:val="24"/>
        </w:rPr>
        <w:t>表1 竞赛内容与岗位、知识、技能</w:t>
      </w:r>
    </w:p>
    <w:tbl>
      <w:tblPr>
        <w:tblStyle w:val="9"/>
        <w:tblW w:w="887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335"/>
        <w:gridCol w:w="1545"/>
        <w:gridCol w:w="3180"/>
        <w:gridCol w:w="1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1" w:hRule="atLeast"/>
        </w:trPr>
        <w:tc>
          <w:tcPr>
            <w:tcW w:w="1206"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模块</w:t>
            </w:r>
          </w:p>
        </w:tc>
        <w:tc>
          <w:tcPr>
            <w:tcW w:w="1335"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岗位类</w:t>
            </w:r>
          </w:p>
        </w:tc>
        <w:tc>
          <w:tcPr>
            <w:tcW w:w="1545"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岗位名称</w:t>
            </w:r>
          </w:p>
        </w:tc>
        <w:tc>
          <w:tcPr>
            <w:tcW w:w="3180"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知识</w:t>
            </w:r>
          </w:p>
        </w:tc>
        <w:tc>
          <w:tcPr>
            <w:tcW w:w="1605"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06"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微店设计与装修</w:t>
            </w:r>
          </w:p>
        </w:tc>
        <w:tc>
          <w:tcPr>
            <w:tcW w:w="133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视觉设计类</w:t>
            </w:r>
          </w:p>
        </w:tc>
        <w:tc>
          <w:tcPr>
            <w:tcW w:w="1545" w:type="dxa"/>
            <w:vAlign w:val="center"/>
          </w:tcPr>
          <w:p>
            <w:pPr>
              <w:jc w:val="left"/>
              <w:rPr>
                <w:rFonts w:hint="eastAsia" w:ascii="仿宋" w:hAnsi="仿宋" w:eastAsia="仿宋" w:cs="仿宋"/>
                <w:sz w:val="21"/>
                <w:szCs w:val="21"/>
              </w:rPr>
            </w:pPr>
            <w:r>
              <w:rPr>
                <w:rFonts w:hint="eastAsia" w:ascii="仿宋" w:hAnsi="仿宋" w:eastAsia="仿宋" w:cs="仿宋"/>
                <w:sz w:val="21"/>
                <w:szCs w:val="21"/>
              </w:rPr>
              <w:t>UI设计</w:t>
            </w:r>
          </w:p>
          <w:p>
            <w:pPr>
              <w:jc w:val="left"/>
              <w:rPr>
                <w:rFonts w:hint="eastAsia" w:ascii="仿宋" w:hAnsi="仿宋" w:eastAsia="仿宋" w:cs="仿宋"/>
                <w:sz w:val="21"/>
                <w:szCs w:val="21"/>
              </w:rPr>
            </w:pPr>
            <w:r>
              <w:rPr>
                <w:rFonts w:hint="eastAsia" w:ascii="仿宋" w:hAnsi="仿宋" w:eastAsia="仿宋" w:cs="仿宋"/>
                <w:sz w:val="21"/>
                <w:szCs w:val="21"/>
              </w:rPr>
              <w:t>APP设计</w:t>
            </w:r>
          </w:p>
          <w:p>
            <w:pPr>
              <w:jc w:val="left"/>
              <w:rPr>
                <w:rFonts w:hint="eastAsia" w:ascii="仿宋" w:hAnsi="仿宋" w:eastAsia="仿宋" w:cs="仿宋"/>
                <w:sz w:val="21"/>
                <w:szCs w:val="21"/>
              </w:rPr>
            </w:pPr>
            <w:r>
              <w:rPr>
                <w:rFonts w:hint="eastAsia" w:ascii="仿宋" w:hAnsi="仿宋" w:eastAsia="仿宋" w:cs="仿宋"/>
                <w:sz w:val="21"/>
                <w:szCs w:val="21"/>
              </w:rPr>
              <w:t>网店美工</w:t>
            </w:r>
          </w:p>
        </w:tc>
        <w:tc>
          <w:tcPr>
            <w:tcW w:w="3180" w:type="dxa"/>
            <w:vAlign w:val="center"/>
          </w:tcPr>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客户需求与操作习惯分析</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视觉定位原理</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页面主流布局方式</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图片裁剪、调色等处理方法</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元素设计意义与目的</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广告设计意义与目标</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活动吸引力与优惠力度判断</w:t>
            </w:r>
          </w:p>
        </w:tc>
        <w:tc>
          <w:tcPr>
            <w:tcW w:w="160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界面设计</w:t>
            </w:r>
          </w:p>
          <w:p>
            <w:pPr>
              <w:jc w:val="center"/>
              <w:rPr>
                <w:rFonts w:hint="eastAsia" w:ascii="仿宋" w:hAnsi="仿宋" w:eastAsia="仿宋" w:cs="仿宋"/>
                <w:sz w:val="21"/>
                <w:szCs w:val="21"/>
              </w:rPr>
            </w:pPr>
            <w:r>
              <w:rPr>
                <w:rFonts w:hint="eastAsia" w:ascii="仿宋" w:hAnsi="仿宋" w:eastAsia="仿宋" w:cs="仿宋"/>
                <w:sz w:val="21"/>
                <w:szCs w:val="21"/>
              </w:rPr>
              <w:t>元素设计</w:t>
            </w:r>
          </w:p>
          <w:p>
            <w:pPr>
              <w:jc w:val="center"/>
              <w:rPr>
                <w:rFonts w:hint="eastAsia" w:ascii="仿宋" w:hAnsi="仿宋" w:eastAsia="仿宋" w:cs="仿宋"/>
                <w:sz w:val="21"/>
                <w:szCs w:val="21"/>
              </w:rPr>
            </w:pPr>
            <w:r>
              <w:rPr>
                <w:rFonts w:hint="eastAsia" w:ascii="仿宋" w:hAnsi="仿宋" w:eastAsia="仿宋" w:cs="仿宋"/>
                <w:sz w:val="21"/>
                <w:szCs w:val="21"/>
              </w:rPr>
              <w:t>广告设计</w:t>
            </w:r>
          </w:p>
          <w:p>
            <w:pPr>
              <w:jc w:val="center"/>
              <w:rPr>
                <w:rFonts w:hint="eastAsia" w:ascii="仿宋" w:hAnsi="仿宋" w:eastAsia="仿宋" w:cs="仿宋"/>
                <w:sz w:val="21"/>
                <w:szCs w:val="21"/>
              </w:rPr>
            </w:pPr>
            <w:r>
              <w:rPr>
                <w:rFonts w:hint="eastAsia" w:ascii="仿宋" w:hAnsi="仿宋" w:eastAsia="仿宋" w:cs="仿宋"/>
                <w:sz w:val="21"/>
                <w:szCs w:val="21"/>
              </w:rPr>
              <w:t>图片处理</w:t>
            </w:r>
          </w:p>
          <w:p>
            <w:pPr>
              <w:jc w:val="center"/>
              <w:rPr>
                <w:rFonts w:hint="eastAsia" w:ascii="仿宋" w:hAnsi="仿宋" w:eastAsia="仿宋" w:cs="仿宋"/>
                <w:sz w:val="21"/>
                <w:szCs w:val="21"/>
              </w:rPr>
            </w:pPr>
            <w:r>
              <w:rPr>
                <w:rFonts w:hint="eastAsia" w:ascii="仿宋" w:hAnsi="仿宋" w:eastAsia="仿宋" w:cs="仿宋"/>
                <w:sz w:val="21"/>
                <w:szCs w:val="21"/>
              </w:rPr>
              <w:t>文案编辑</w:t>
            </w:r>
          </w:p>
          <w:p>
            <w:pPr>
              <w:jc w:val="center"/>
              <w:rPr>
                <w:rFonts w:hint="eastAsia" w:ascii="仿宋" w:hAnsi="仿宋" w:eastAsia="仿宋" w:cs="仿宋"/>
                <w:sz w:val="21"/>
                <w:szCs w:val="21"/>
              </w:rPr>
            </w:pPr>
            <w:r>
              <w:rPr>
                <w:rFonts w:hint="eastAsia" w:ascii="仿宋" w:hAnsi="仿宋" w:eastAsia="仿宋" w:cs="仿宋"/>
                <w:sz w:val="21"/>
                <w:szCs w:val="21"/>
              </w:rPr>
              <w:t>创意策划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06"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微信公众号运营</w:t>
            </w:r>
          </w:p>
        </w:tc>
        <w:tc>
          <w:tcPr>
            <w:tcW w:w="133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移动营销类</w:t>
            </w:r>
          </w:p>
        </w:tc>
        <w:tc>
          <w:tcPr>
            <w:tcW w:w="1545" w:type="dxa"/>
            <w:vAlign w:val="center"/>
          </w:tcPr>
          <w:p>
            <w:pPr>
              <w:jc w:val="left"/>
              <w:rPr>
                <w:rFonts w:hint="eastAsia" w:ascii="仿宋" w:hAnsi="仿宋" w:eastAsia="仿宋" w:cs="仿宋"/>
                <w:sz w:val="21"/>
                <w:szCs w:val="21"/>
              </w:rPr>
            </w:pPr>
            <w:r>
              <w:rPr>
                <w:rFonts w:hint="eastAsia" w:ascii="仿宋" w:hAnsi="仿宋" w:eastAsia="仿宋" w:cs="仿宋"/>
                <w:sz w:val="21"/>
                <w:szCs w:val="21"/>
              </w:rPr>
              <w:t>文案策划</w:t>
            </w:r>
          </w:p>
          <w:p>
            <w:pPr>
              <w:jc w:val="left"/>
              <w:rPr>
                <w:rFonts w:hint="eastAsia" w:ascii="仿宋" w:hAnsi="仿宋" w:eastAsia="仿宋" w:cs="仿宋"/>
                <w:sz w:val="21"/>
                <w:szCs w:val="21"/>
              </w:rPr>
            </w:pPr>
            <w:r>
              <w:rPr>
                <w:rFonts w:hint="eastAsia" w:ascii="仿宋" w:hAnsi="仿宋" w:eastAsia="仿宋" w:cs="仿宋"/>
                <w:sz w:val="21"/>
                <w:szCs w:val="21"/>
              </w:rPr>
              <w:t>营销策划</w:t>
            </w:r>
          </w:p>
          <w:p>
            <w:pPr>
              <w:jc w:val="left"/>
              <w:rPr>
                <w:rFonts w:hint="eastAsia" w:ascii="仿宋" w:hAnsi="仿宋" w:eastAsia="仿宋" w:cs="仿宋"/>
                <w:sz w:val="21"/>
                <w:szCs w:val="21"/>
              </w:rPr>
            </w:pPr>
            <w:r>
              <w:rPr>
                <w:rFonts w:hint="eastAsia" w:ascii="仿宋" w:hAnsi="仿宋" w:eastAsia="仿宋" w:cs="仿宋"/>
                <w:sz w:val="21"/>
                <w:szCs w:val="21"/>
              </w:rPr>
              <w:t>微信营销</w:t>
            </w:r>
          </w:p>
          <w:p>
            <w:pPr>
              <w:jc w:val="left"/>
              <w:rPr>
                <w:rFonts w:hint="eastAsia" w:ascii="仿宋" w:hAnsi="仿宋" w:eastAsia="仿宋" w:cs="仿宋"/>
                <w:sz w:val="21"/>
                <w:szCs w:val="21"/>
              </w:rPr>
            </w:pPr>
            <w:r>
              <w:rPr>
                <w:rFonts w:hint="eastAsia" w:ascii="仿宋" w:hAnsi="仿宋" w:eastAsia="仿宋" w:cs="仿宋"/>
                <w:sz w:val="21"/>
                <w:szCs w:val="21"/>
              </w:rPr>
              <w:t>社群营销</w:t>
            </w:r>
          </w:p>
          <w:p>
            <w:pPr>
              <w:jc w:val="left"/>
              <w:rPr>
                <w:rFonts w:hint="eastAsia" w:ascii="仿宋" w:hAnsi="仿宋" w:eastAsia="仿宋" w:cs="仿宋"/>
                <w:sz w:val="21"/>
                <w:szCs w:val="21"/>
              </w:rPr>
            </w:pPr>
            <w:r>
              <w:rPr>
                <w:rFonts w:hint="eastAsia" w:ascii="仿宋" w:hAnsi="仿宋" w:eastAsia="仿宋" w:cs="仿宋"/>
                <w:sz w:val="21"/>
                <w:szCs w:val="21"/>
              </w:rPr>
              <w:t>新媒体营销</w:t>
            </w:r>
          </w:p>
          <w:p>
            <w:pPr>
              <w:jc w:val="left"/>
              <w:rPr>
                <w:rFonts w:hint="eastAsia" w:ascii="仿宋" w:hAnsi="仿宋" w:eastAsia="仿宋" w:cs="仿宋"/>
                <w:color w:val="000000" w:themeColor="text1"/>
                <w:kern w:val="0"/>
                <w:szCs w:val="21"/>
              </w:rPr>
            </w:pPr>
            <w:r>
              <w:rPr>
                <w:rFonts w:hint="eastAsia" w:ascii="仿宋" w:hAnsi="仿宋" w:eastAsia="仿宋" w:cs="仿宋"/>
                <w:sz w:val="21"/>
                <w:szCs w:val="21"/>
              </w:rPr>
              <w:t>客户关系管理</w:t>
            </w:r>
          </w:p>
        </w:tc>
        <w:tc>
          <w:tcPr>
            <w:tcW w:w="3180" w:type="dxa"/>
            <w:vAlign w:val="center"/>
          </w:tcPr>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行业分析</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目标市场细分</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网站规划与建设</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市场调研</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文案创意设计</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品牌营销</w:t>
            </w:r>
          </w:p>
          <w:p>
            <w:pPr>
              <w:pStyle w:val="21"/>
              <w:numPr>
                <w:ilvl w:val="0"/>
                <w:numId w:val="2"/>
              </w:numPr>
              <w:adjustRightInd w:val="0"/>
              <w:snapToGrid w:val="0"/>
              <w:ind w:left="0" w:firstLine="0" w:firstLineChars="0"/>
              <w:jc w:val="left"/>
              <w:rPr>
                <w:rFonts w:hint="eastAsia" w:ascii="仿宋" w:hAnsi="仿宋" w:eastAsia="仿宋" w:cs="仿宋"/>
                <w:sz w:val="21"/>
                <w:szCs w:val="21"/>
              </w:rPr>
            </w:pPr>
            <w:r>
              <w:rPr>
                <w:rFonts w:hint="eastAsia" w:ascii="仿宋" w:hAnsi="仿宋" w:eastAsia="仿宋" w:cs="仿宋"/>
                <w:sz w:val="21"/>
                <w:szCs w:val="21"/>
              </w:rPr>
              <w:t>精准营销</w:t>
            </w:r>
          </w:p>
          <w:p>
            <w:pPr>
              <w:pStyle w:val="21"/>
              <w:numPr>
                <w:ilvl w:val="0"/>
                <w:numId w:val="2"/>
              </w:numPr>
              <w:adjustRightInd w:val="0"/>
              <w:snapToGrid w:val="0"/>
              <w:ind w:left="0" w:firstLine="0" w:firstLineChars="0"/>
              <w:jc w:val="left"/>
              <w:rPr>
                <w:rFonts w:hint="eastAsia" w:ascii="仿宋" w:hAnsi="仿宋" w:eastAsia="仿宋" w:cs="仿宋"/>
                <w:sz w:val="21"/>
                <w:szCs w:val="21"/>
              </w:rPr>
            </w:pPr>
            <w:r>
              <w:rPr>
                <w:rFonts w:hint="eastAsia" w:ascii="仿宋" w:hAnsi="仿宋" w:eastAsia="仿宋" w:cs="仿宋"/>
                <w:sz w:val="21"/>
                <w:szCs w:val="21"/>
              </w:rPr>
              <w:t>会员营销</w:t>
            </w:r>
          </w:p>
          <w:p>
            <w:pPr>
              <w:pStyle w:val="21"/>
              <w:numPr>
                <w:ilvl w:val="0"/>
                <w:numId w:val="2"/>
              </w:numPr>
              <w:adjustRightInd w:val="0"/>
              <w:snapToGrid w:val="0"/>
              <w:ind w:left="0" w:firstLine="0" w:firstLineChars="0"/>
              <w:jc w:val="left"/>
              <w:rPr>
                <w:rFonts w:hint="eastAsia" w:ascii="仿宋" w:hAnsi="仿宋" w:eastAsia="仿宋" w:cs="仿宋"/>
                <w:sz w:val="21"/>
                <w:szCs w:val="21"/>
              </w:rPr>
            </w:pPr>
            <w:r>
              <w:rPr>
                <w:rFonts w:hint="eastAsia" w:ascii="仿宋" w:hAnsi="仿宋" w:eastAsia="仿宋" w:cs="仿宋"/>
                <w:sz w:val="21"/>
                <w:szCs w:val="21"/>
              </w:rPr>
              <w:t>客户关系管理</w:t>
            </w:r>
          </w:p>
        </w:tc>
        <w:tc>
          <w:tcPr>
            <w:tcW w:w="160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公众号搭建</w:t>
            </w:r>
          </w:p>
          <w:p>
            <w:pPr>
              <w:jc w:val="center"/>
              <w:rPr>
                <w:rFonts w:hint="eastAsia" w:ascii="仿宋" w:hAnsi="仿宋" w:eastAsia="仿宋" w:cs="仿宋"/>
                <w:sz w:val="21"/>
                <w:szCs w:val="21"/>
              </w:rPr>
            </w:pPr>
            <w:r>
              <w:rPr>
                <w:rFonts w:hint="eastAsia" w:ascii="仿宋" w:hAnsi="仿宋" w:eastAsia="仿宋" w:cs="仿宋"/>
                <w:sz w:val="21"/>
                <w:szCs w:val="21"/>
              </w:rPr>
              <w:t>微网站设计</w:t>
            </w:r>
          </w:p>
          <w:p>
            <w:pPr>
              <w:jc w:val="center"/>
              <w:rPr>
                <w:rFonts w:hint="eastAsia" w:ascii="仿宋" w:hAnsi="仿宋" w:eastAsia="仿宋" w:cs="仿宋"/>
                <w:sz w:val="21"/>
                <w:szCs w:val="21"/>
              </w:rPr>
            </w:pPr>
            <w:r>
              <w:rPr>
                <w:rFonts w:hint="eastAsia" w:ascii="仿宋" w:hAnsi="仿宋" w:eastAsia="仿宋" w:cs="仿宋"/>
                <w:sz w:val="21"/>
                <w:szCs w:val="21"/>
              </w:rPr>
              <w:t>文案撰写</w:t>
            </w:r>
          </w:p>
          <w:p>
            <w:pPr>
              <w:jc w:val="center"/>
              <w:rPr>
                <w:rFonts w:hint="eastAsia" w:ascii="仿宋" w:hAnsi="仿宋" w:eastAsia="仿宋" w:cs="仿宋"/>
                <w:sz w:val="21"/>
                <w:szCs w:val="21"/>
              </w:rPr>
            </w:pPr>
            <w:r>
              <w:rPr>
                <w:rFonts w:hint="eastAsia" w:ascii="仿宋" w:hAnsi="仿宋" w:eastAsia="仿宋" w:cs="仿宋"/>
                <w:sz w:val="21"/>
                <w:szCs w:val="21"/>
              </w:rPr>
              <w:t>移动市场调研</w:t>
            </w:r>
          </w:p>
          <w:p>
            <w:pPr>
              <w:jc w:val="center"/>
              <w:rPr>
                <w:rFonts w:hint="eastAsia" w:ascii="仿宋" w:hAnsi="仿宋" w:eastAsia="仿宋" w:cs="仿宋"/>
                <w:sz w:val="21"/>
                <w:szCs w:val="21"/>
              </w:rPr>
            </w:pPr>
            <w:r>
              <w:rPr>
                <w:rFonts w:hint="eastAsia" w:ascii="仿宋" w:hAnsi="仿宋" w:eastAsia="仿宋" w:cs="仿宋"/>
                <w:sz w:val="21"/>
                <w:szCs w:val="21"/>
              </w:rPr>
              <w:t>营销活动策划</w:t>
            </w:r>
          </w:p>
          <w:p>
            <w:pPr>
              <w:jc w:val="center"/>
              <w:rPr>
                <w:rFonts w:hint="eastAsia" w:ascii="仿宋" w:hAnsi="仿宋" w:eastAsia="仿宋" w:cs="仿宋"/>
                <w:sz w:val="21"/>
                <w:szCs w:val="21"/>
              </w:rPr>
            </w:pPr>
            <w:r>
              <w:rPr>
                <w:rFonts w:hint="eastAsia" w:ascii="仿宋" w:hAnsi="仿宋" w:eastAsia="仿宋" w:cs="仿宋"/>
                <w:sz w:val="21"/>
                <w:szCs w:val="21"/>
              </w:rPr>
              <w:t>推广与运营</w:t>
            </w:r>
          </w:p>
          <w:p>
            <w:pPr>
              <w:jc w:val="center"/>
              <w:rPr>
                <w:rFonts w:hint="eastAsia" w:ascii="仿宋" w:hAnsi="仿宋" w:eastAsia="仿宋" w:cs="仿宋"/>
              </w:rPr>
            </w:pPr>
            <w:r>
              <w:rPr>
                <w:rFonts w:hint="eastAsia" w:ascii="仿宋" w:hAnsi="仿宋" w:eastAsia="仿宋" w:cs="仿宋"/>
                <w:sz w:val="21"/>
                <w:szCs w:val="21"/>
              </w:rPr>
              <w:t>客户服务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06"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企业移动商务运营</w:t>
            </w:r>
          </w:p>
        </w:tc>
        <w:tc>
          <w:tcPr>
            <w:tcW w:w="133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移动运营类</w:t>
            </w:r>
          </w:p>
        </w:tc>
        <w:tc>
          <w:tcPr>
            <w:tcW w:w="1545" w:type="dxa"/>
            <w:vAlign w:val="center"/>
          </w:tcPr>
          <w:p>
            <w:pPr>
              <w:jc w:val="left"/>
              <w:rPr>
                <w:rFonts w:hint="eastAsia" w:ascii="仿宋" w:hAnsi="仿宋" w:eastAsia="仿宋" w:cs="仿宋"/>
                <w:sz w:val="21"/>
                <w:szCs w:val="21"/>
              </w:rPr>
            </w:pPr>
            <w:r>
              <w:rPr>
                <w:rFonts w:hint="eastAsia" w:ascii="仿宋" w:hAnsi="仿宋" w:eastAsia="仿宋" w:cs="仿宋"/>
                <w:sz w:val="21"/>
                <w:szCs w:val="21"/>
              </w:rPr>
              <w:t>网站运营</w:t>
            </w:r>
          </w:p>
          <w:p>
            <w:pPr>
              <w:jc w:val="left"/>
              <w:rPr>
                <w:rFonts w:hint="eastAsia" w:ascii="仿宋" w:hAnsi="仿宋" w:eastAsia="仿宋" w:cs="仿宋"/>
                <w:sz w:val="21"/>
                <w:szCs w:val="21"/>
              </w:rPr>
            </w:pPr>
            <w:r>
              <w:rPr>
                <w:rFonts w:hint="eastAsia" w:ascii="仿宋" w:hAnsi="仿宋" w:eastAsia="仿宋" w:cs="仿宋"/>
                <w:sz w:val="21"/>
                <w:szCs w:val="21"/>
              </w:rPr>
              <w:t>网店运营</w:t>
            </w:r>
          </w:p>
          <w:p>
            <w:pPr>
              <w:jc w:val="left"/>
              <w:rPr>
                <w:rFonts w:hint="eastAsia" w:ascii="仿宋" w:hAnsi="仿宋" w:eastAsia="仿宋" w:cs="仿宋"/>
                <w:sz w:val="21"/>
                <w:szCs w:val="21"/>
              </w:rPr>
            </w:pPr>
            <w:r>
              <w:rPr>
                <w:rFonts w:hint="eastAsia" w:ascii="仿宋" w:hAnsi="仿宋" w:eastAsia="仿宋" w:cs="仿宋"/>
                <w:sz w:val="21"/>
                <w:szCs w:val="21"/>
              </w:rPr>
              <w:t>社群运营</w:t>
            </w:r>
          </w:p>
          <w:p>
            <w:pPr>
              <w:jc w:val="left"/>
              <w:rPr>
                <w:rFonts w:hint="eastAsia" w:ascii="仿宋" w:hAnsi="仿宋" w:eastAsia="仿宋" w:cs="仿宋"/>
                <w:sz w:val="21"/>
                <w:szCs w:val="21"/>
              </w:rPr>
            </w:pPr>
            <w:r>
              <w:rPr>
                <w:rFonts w:hint="eastAsia" w:ascii="仿宋" w:hAnsi="仿宋" w:eastAsia="仿宋" w:cs="仿宋"/>
                <w:sz w:val="21"/>
                <w:szCs w:val="21"/>
              </w:rPr>
              <w:t>新媒体运营</w:t>
            </w:r>
          </w:p>
          <w:p>
            <w:pPr>
              <w:jc w:val="left"/>
              <w:rPr>
                <w:rFonts w:hint="eastAsia" w:ascii="仿宋" w:hAnsi="仿宋" w:eastAsia="仿宋" w:cs="仿宋"/>
                <w:sz w:val="21"/>
                <w:szCs w:val="21"/>
              </w:rPr>
            </w:pPr>
            <w:r>
              <w:rPr>
                <w:rFonts w:hint="eastAsia" w:ascii="仿宋" w:hAnsi="仿宋" w:eastAsia="仿宋" w:cs="仿宋"/>
                <w:sz w:val="21"/>
                <w:szCs w:val="21"/>
              </w:rPr>
              <w:t>数据运营</w:t>
            </w:r>
          </w:p>
        </w:tc>
        <w:tc>
          <w:tcPr>
            <w:tcW w:w="3180" w:type="dxa"/>
            <w:vAlign w:val="center"/>
          </w:tcPr>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企业战略类型</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业务评价与选择</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移动商务交易流程</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移动开发模式与各业务载体功能设计</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移动营销渠道与推广内容设计</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数据指标筛选与数据分析方法</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财务收支与财务报表</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绩效指标制定与绩效考核方法</w:t>
            </w:r>
          </w:p>
        </w:tc>
        <w:tc>
          <w:tcPr>
            <w:tcW w:w="160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经营选品</w:t>
            </w:r>
          </w:p>
          <w:p>
            <w:pPr>
              <w:jc w:val="center"/>
              <w:rPr>
                <w:rFonts w:hint="eastAsia" w:ascii="仿宋" w:hAnsi="仿宋" w:eastAsia="仿宋" w:cs="仿宋"/>
                <w:sz w:val="21"/>
                <w:szCs w:val="21"/>
              </w:rPr>
            </w:pPr>
            <w:r>
              <w:rPr>
                <w:rFonts w:hint="eastAsia" w:ascii="仿宋" w:hAnsi="仿宋" w:eastAsia="仿宋" w:cs="仿宋"/>
                <w:sz w:val="21"/>
                <w:szCs w:val="21"/>
              </w:rPr>
              <w:t>店铺装修</w:t>
            </w:r>
          </w:p>
          <w:p>
            <w:pPr>
              <w:jc w:val="center"/>
              <w:rPr>
                <w:rFonts w:hint="eastAsia" w:ascii="仿宋" w:hAnsi="仿宋" w:eastAsia="仿宋" w:cs="仿宋"/>
                <w:sz w:val="21"/>
                <w:szCs w:val="21"/>
              </w:rPr>
            </w:pPr>
            <w:r>
              <w:rPr>
                <w:rFonts w:hint="eastAsia" w:ascii="仿宋" w:hAnsi="仿宋" w:eastAsia="仿宋" w:cs="仿宋"/>
                <w:sz w:val="21"/>
                <w:szCs w:val="21"/>
              </w:rPr>
              <w:t>商品管理</w:t>
            </w:r>
          </w:p>
          <w:p>
            <w:pPr>
              <w:jc w:val="center"/>
              <w:rPr>
                <w:rFonts w:hint="eastAsia" w:ascii="仿宋" w:hAnsi="仿宋" w:eastAsia="仿宋" w:cs="仿宋"/>
                <w:sz w:val="21"/>
                <w:szCs w:val="21"/>
              </w:rPr>
            </w:pPr>
            <w:r>
              <w:rPr>
                <w:rFonts w:hint="eastAsia" w:ascii="仿宋" w:hAnsi="仿宋" w:eastAsia="仿宋" w:cs="仿宋"/>
                <w:sz w:val="21"/>
                <w:szCs w:val="21"/>
              </w:rPr>
              <w:t>营销推广</w:t>
            </w:r>
          </w:p>
          <w:p>
            <w:pPr>
              <w:jc w:val="center"/>
              <w:rPr>
                <w:rFonts w:hint="eastAsia" w:ascii="仿宋" w:hAnsi="仿宋" w:eastAsia="仿宋" w:cs="仿宋"/>
                <w:sz w:val="21"/>
                <w:szCs w:val="21"/>
              </w:rPr>
            </w:pPr>
            <w:r>
              <w:rPr>
                <w:rFonts w:hint="eastAsia" w:ascii="仿宋" w:hAnsi="仿宋" w:eastAsia="仿宋" w:cs="仿宋"/>
                <w:sz w:val="21"/>
                <w:szCs w:val="21"/>
              </w:rPr>
              <w:t>采购管理</w:t>
            </w:r>
          </w:p>
          <w:p>
            <w:pPr>
              <w:jc w:val="center"/>
              <w:rPr>
                <w:rFonts w:hint="eastAsia" w:ascii="仿宋" w:hAnsi="仿宋" w:eastAsia="仿宋" w:cs="仿宋"/>
                <w:sz w:val="21"/>
                <w:szCs w:val="21"/>
              </w:rPr>
            </w:pPr>
            <w:r>
              <w:rPr>
                <w:rFonts w:hint="eastAsia" w:ascii="仿宋" w:hAnsi="仿宋" w:eastAsia="仿宋" w:cs="仿宋"/>
                <w:sz w:val="21"/>
                <w:szCs w:val="21"/>
              </w:rPr>
              <w:t>物流管理</w:t>
            </w:r>
          </w:p>
          <w:p>
            <w:pPr>
              <w:jc w:val="center"/>
              <w:rPr>
                <w:rFonts w:hint="eastAsia" w:ascii="仿宋" w:hAnsi="仿宋" w:eastAsia="仿宋" w:cs="仿宋"/>
                <w:sz w:val="21"/>
                <w:szCs w:val="21"/>
              </w:rPr>
            </w:pPr>
            <w:r>
              <w:rPr>
                <w:rFonts w:hint="eastAsia" w:ascii="仿宋" w:hAnsi="仿宋" w:eastAsia="仿宋" w:cs="仿宋"/>
                <w:sz w:val="21"/>
                <w:szCs w:val="21"/>
              </w:rPr>
              <w:t>客户服务</w:t>
            </w:r>
          </w:p>
          <w:p>
            <w:pPr>
              <w:jc w:val="center"/>
              <w:rPr>
                <w:rFonts w:hint="eastAsia" w:ascii="仿宋" w:hAnsi="仿宋" w:eastAsia="仿宋" w:cs="仿宋"/>
                <w:sz w:val="21"/>
                <w:szCs w:val="21"/>
              </w:rPr>
            </w:pPr>
            <w:r>
              <w:rPr>
                <w:rFonts w:hint="eastAsia" w:ascii="仿宋" w:hAnsi="仿宋" w:eastAsia="仿宋" w:cs="仿宋"/>
                <w:sz w:val="21"/>
                <w:szCs w:val="21"/>
              </w:rPr>
              <w:t>移动应用开发</w:t>
            </w:r>
          </w:p>
          <w:p>
            <w:pPr>
              <w:jc w:val="center"/>
              <w:rPr>
                <w:rFonts w:hint="eastAsia" w:ascii="仿宋" w:hAnsi="仿宋" w:eastAsia="仿宋" w:cs="仿宋"/>
                <w:sz w:val="21"/>
                <w:szCs w:val="21"/>
              </w:rPr>
            </w:pPr>
            <w:r>
              <w:rPr>
                <w:rFonts w:hint="eastAsia" w:ascii="仿宋" w:hAnsi="仿宋" w:eastAsia="仿宋" w:cs="仿宋"/>
                <w:sz w:val="21"/>
                <w:szCs w:val="21"/>
              </w:rPr>
              <w:t>移动营销</w:t>
            </w:r>
          </w:p>
          <w:p>
            <w:pPr>
              <w:jc w:val="center"/>
              <w:rPr>
                <w:rFonts w:hint="eastAsia" w:ascii="仿宋" w:hAnsi="仿宋" w:eastAsia="仿宋" w:cs="仿宋"/>
                <w:sz w:val="21"/>
                <w:szCs w:val="21"/>
              </w:rPr>
            </w:pPr>
            <w:r>
              <w:rPr>
                <w:rFonts w:hint="eastAsia" w:ascii="仿宋" w:hAnsi="仿宋" w:eastAsia="仿宋" w:cs="仿宋"/>
                <w:sz w:val="21"/>
                <w:szCs w:val="21"/>
              </w:rPr>
              <w:t>人资管理</w:t>
            </w:r>
          </w:p>
          <w:p>
            <w:pPr>
              <w:jc w:val="center"/>
              <w:rPr>
                <w:rFonts w:hint="eastAsia" w:ascii="仿宋" w:hAnsi="仿宋" w:eastAsia="仿宋" w:cs="仿宋"/>
                <w:sz w:val="21"/>
                <w:szCs w:val="21"/>
              </w:rPr>
            </w:pPr>
            <w:r>
              <w:rPr>
                <w:rFonts w:hint="eastAsia" w:ascii="仿宋" w:hAnsi="仿宋" w:eastAsia="仿宋" w:cs="仿宋"/>
                <w:sz w:val="21"/>
                <w:szCs w:val="21"/>
              </w:rPr>
              <w:t>财务管理</w:t>
            </w:r>
          </w:p>
          <w:p>
            <w:pPr>
              <w:jc w:val="center"/>
              <w:rPr>
                <w:rFonts w:hint="eastAsia" w:ascii="仿宋" w:hAnsi="仿宋" w:eastAsia="仿宋" w:cs="仿宋"/>
                <w:sz w:val="21"/>
                <w:szCs w:val="21"/>
              </w:rPr>
            </w:pPr>
            <w:r>
              <w:rPr>
                <w:rFonts w:hint="eastAsia" w:ascii="仿宋" w:hAnsi="仿宋" w:eastAsia="仿宋" w:cs="仿宋"/>
                <w:sz w:val="21"/>
                <w:szCs w:val="21"/>
              </w:rPr>
              <w:t>数据分析</w:t>
            </w:r>
          </w:p>
        </w:tc>
      </w:tr>
    </w:tbl>
    <w:p>
      <w:pPr>
        <w:pStyle w:val="4"/>
        <w:spacing w:line="560" w:lineRule="exact"/>
        <w:ind w:firstLine="482" w:firstLineChars="200"/>
        <w:jc w:val="center"/>
        <w:outlineLvl w:val="1"/>
        <w:rPr>
          <w:rFonts w:hint="eastAsia" w:ascii="仿宋_GB2312" w:hAnsi="仿宋" w:eastAsia="仿宋_GB2312"/>
          <w:b/>
          <w:sz w:val="24"/>
        </w:rPr>
      </w:pPr>
      <w:r>
        <w:rPr>
          <w:rFonts w:hint="eastAsia" w:ascii="仿宋_GB2312" w:hAnsi="仿宋" w:eastAsia="仿宋_GB2312"/>
          <w:b/>
          <w:sz w:val="24"/>
        </w:rPr>
        <w:t>表2 竞赛内容与分值、竞赛方式、竞赛时间</w:t>
      </w:r>
    </w:p>
    <w:tbl>
      <w:tblPr>
        <w:tblStyle w:val="9"/>
        <w:tblW w:w="884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2171"/>
        <w:gridCol w:w="1843"/>
        <w:gridCol w:w="1588"/>
        <w:gridCol w:w="1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5" w:hRule="atLeast"/>
        </w:trPr>
        <w:tc>
          <w:tcPr>
            <w:tcW w:w="1486"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竞赛阶段</w:t>
            </w:r>
          </w:p>
        </w:tc>
        <w:tc>
          <w:tcPr>
            <w:tcW w:w="2171"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竞赛内容</w:t>
            </w:r>
          </w:p>
        </w:tc>
        <w:tc>
          <w:tcPr>
            <w:tcW w:w="1843"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竞赛方式</w:t>
            </w:r>
          </w:p>
        </w:tc>
        <w:tc>
          <w:tcPr>
            <w:tcW w:w="1588"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分值比重</w:t>
            </w:r>
          </w:p>
        </w:tc>
        <w:tc>
          <w:tcPr>
            <w:tcW w:w="1753"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时间（小时）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trPr>
        <w:tc>
          <w:tcPr>
            <w:tcW w:w="148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第一阶段</w:t>
            </w:r>
          </w:p>
        </w:tc>
        <w:tc>
          <w:tcPr>
            <w:tcW w:w="2171"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微店设计与装修</w:t>
            </w:r>
          </w:p>
        </w:tc>
        <w:tc>
          <w:tcPr>
            <w:tcW w:w="184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团队分工合作</w:t>
            </w:r>
          </w:p>
        </w:tc>
        <w:tc>
          <w:tcPr>
            <w:tcW w:w="1588"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1753"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7" w:hRule="atLeast"/>
        </w:trPr>
        <w:tc>
          <w:tcPr>
            <w:tcW w:w="1486" w:type="dxa"/>
            <w:vMerge w:val="continue"/>
            <w:vAlign w:val="center"/>
          </w:tcPr>
          <w:p>
            <w:pPr>
              <w:jc w:val="center"/>
              <w:rPr>
                <w:rFonts w:hint="eastAsia" w:ascii="仿宋" w:hAnsi="仿宋" w:eastAsia="仿宋" w:cs="仿宋"/>
                <w:sz w:val="24"/>
                <w:szCs w:val="24"/>
              </w:rPr>
            </w:pPr>
          </w:p>
        </w:tc>
        <w:tc>
          <w:tcPr>
            <w:tcW w:w="2171"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微信公众号运营</w:t>
            </w:r>
          </w:p>
        </w:tc>
        <w:tc>
          <w:tcPr>
            <w:tcW w:w="184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团队分工合作</w:t>
            </w:r>
          </w:p>
        </w:tc>
        <w:tc>
          <w:tcPr>
            <w:tcW w:w="1588"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35%</w:t>
            </w:r>
          </w:p>
        </w:tc>
        <w:tc>
          <w:tcPr>
            <w:tcW w:w="1753" w:type="dxa"/>
            <w:vMerge w:val="continue"/>
            <w:vAlign w:val="center"/>
          </w:tcPr>
          <w:p>
            <w:pPr>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3" w:hRule="atLeast"/>
        </w:trPr>
        <w:tc>
          <w:tcPr>
            <w:tcW w:w="1486"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第二阶段</w:t>
            </w:r>
          </w:p>
        </w:tc>
        <w:tc>
          <w:tcPr>
            <w:tcW w:w="2171"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企业移动商务运营</w:t>
            </w:r>
          </w:p>
        </w:tc>
        <w:tc>
          <w:tcPr>
            <w:tcW w:w="184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团队分工合作</w:t>
            </w:r>
          </w:p>
        </w:tc>
        <w:tc>
          <w:tcPr>
            <w:tcW w:w="1588"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45%</w:t>
            </w:r>
          </w:p>
        </w:tc>
        <w:tc>
          <w:tcPr>
            <w:tcW w:w="175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5500" w:type="dxa"/>
            <w:gridSpan w:val="3"/>
            <w:vAlign w:val="center"/>
          </w:tcPr>
          <w:p>
            <w:pPr>
              <w:jc w:val="center"/>
              <w:rPr>
                <w:rFonts w:hint="eastAsia" w:ascii="仿宋" w:hAnsi="仿宋" w:eastAsia="仿宋" w:cs="仿宋"/>
                <w:sz w:val="24"/>
                <w:szCs w:val="24"/>
              </w:rPr>
            </w:pPr>
            <w:r>
              <w:rPr>
                <w:rFonts w:hint="eastAsia" w:ascii="仿宋" w:hAnsi="仿宋" w:eastAsia="仿宋" w:cs="仿宋"/>
                <w:sz w:val="24"/>
                <w:szCs w:val="24"/>
              </w:rPr>
              <w:t>合计</w:t>
            </w:r>
          </w:p>
        </w:tc>
        <w:tc>
          <w:tcPr>
            <w:tcW w:w="1588"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100%</w:t>
            </w:r>
          </w:p>
        </w:tc>
        <w:tc>
          <w:tcPr>
            <w:tcW w:w="175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4.5</w:t>
            </w:r>
          </w:p>
        </w:tc>
      </w:tr>
    </w:tbl>
    <w:p>
      <w:pPr>
        <w:spacing w:line="560" w:lineRule="atLeast"/>
        <w:ind w:firstLine="562" w:firstLineChars="200"/>
        <w:outlineLvl w:val="0"/>
        <w:rPr>
          <w:rFonts w:ascii="仿宋_GB2312" w:hAnsi="黑体" w:eastAsia="仿宋_GB2312" w:cs="黑体"/>
          <w:b/>
          <w:bCs/>
          <w:sz w:val="28"/>
          <w:szCs w:val="28"/>
          <w:highlight w:val="none"/>
        </w:rPr>
      </w:pPr>
      <w:r>
        <w:rPr>
          <w:rFonts w:hint="eastAsia" w:ascii="仿宋_GB2312" w:hAnsi="黑体" w:eastAsia="仿宋_GB2312" w:cs="黑体"/>
          <w:b/>
          <w:bCs/>
          <w:sz w:val="28"/>
          <w:szCs w:val="28"/>
          <w:highlight w:val="none"/>
        </w:rPr>
        <w:t>四、竞赛方式</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本赛项为团体赛。以院校为单位组队参赛，不得跨校组队，同一学校相同项目报名参赛队不超过</w:t>
      </w:r>
      <w:r>
        <w:rPr>
          <w:rFonts w:ascii="仿宋_GB2312" w:hAnsi="仿宋" w:eastAsia="仿宋_GB2312" w:cs="仿宋"/>
          <w:color w:val="auto"/>
          <w:kern w:val="0"/>
          <w:sz w:val="28"/>
          <w:szCs w:val="28"/>
        </w:rPr>
        <w:t>2</w:t>
      </w:r>
      <w:r>
        <w:rPr>
          <w:rFonts w:hint="eastAsia" w:ascii="仿宋_GB2312" w:hAnsi="仿宋" w:eastAsia="仿宋_GB2312" w:cs="仿宋"/>
          <w:kern w:val="0"/>
          <w:sz w:val="28"/>
          <w:szCs w:val="28"/>
        </w:rPr>
        <w:t>支,每队</w:t>
      </w:r>
      <w:r>
        <w:rPr>
          <w:rFonts w:hint="eastAsia" w:ascii="仿宋_GB2312" w:hAnsi="仿宋" w:eastAsia="仿宋_GB2312" w:cs="仿宋"/>
          <w:kern w:val="0"/>
          <w:sz w:val="28"/>
          <w:szCs w:val="28"/>
          <w:lang w:val="en-US" w:eastAsia="zh-CN"/>
        </w:rPr>
        <w:t>3</w:t>
      </w:r>
      <w:bookmarkStart w:id="16" w:name="_GoBack"/>
      <w:bookmarkEnd w:id="16"/>
      <w:r>
        <w:rPr>
          <w:rFonts w:hint="eastAsia" w:ascii="仿宋_GB2312" w:hAnsi="仿宋" w:eastAsia="仿宋_GB2312" w:cs="仿宋"/>
          <w:kern w:val="0"/>
          <w:sz w:val="28"/>
          <w:szCs w:val="28"/>
        </w:rPr>
        <w:t>名选手，1名领队，不超过2名指导教师。</w:t>
      </w:r>
      <w:r>
        <w:rPr>
          <w:rFonts w:hint="eastAsia" w:ascii="仿宋_GB2312" w:hAnsi="仿宋" w:eastAsia="仿宋_GB2312" w:cs="仿宋"/>
          <w:kern w:val="0"/>
          <w:sz w:val="28"/>
          <w:szCs w:val="28"/>
          <w:lang w:val="en-US" w:eastAsia="zh-CN"/>
        </w:rPr>
        <w:t xml:space="preserve"> </w:t>
      </w:r>
      <w:r>
        <w:rPr>
          <w:rFonts w:hint="eastAsia" w:ascii="仿宋_GB2312" w:hAnsi="仿宋" w:eastAsia="仿宋_GB2312" w:cs="仿宋"/>
          <w:kern w:val="0"/>
          <w:sz w:val="28"/>
          <w:szCs w:val="28"/>
        </w:rPr>
        <w:t xml:space="preserve">   </w:t>
      </w:r>
    </w:p>
    <w:p>
      <w:pPr>
        <w:numPr>
          <w:ilvl w:val="0"/>
          <w:numId w:val="4"/>
        </w:numPr>
        <w:spacing w:line="560" w:lineRule="exact"/>
        <w:ind w:firstLine="545" w:firstLineChars="194"/>
        <w:outlineLvl w:val="0"/>
        <w:rPr>
          <w:rFonts w:hint="eastAsia" w:ascii="仿宋_GB2312" w:hAnsi="黑体" w:eastAsia="仿宋_GB2312" w:cs="黑体"/>
          <w:b/>
          <w:bCs/>
          <w:sz w:val="28"/>
          <w:szCs w:val="28"/>
        </w:rPr>
      </w:pPr>
      <w:r>
        <w:rPr>
          <w:rFonts w:hint="eastAsia" w:ascii="仿宋_GB2312" w:hAnsi="黑体" w:eastAsia="仿宋_GB2312" w:cs="黑体"/>
          <w:b/>
          <w:bCs/>
          <w:sz w:val="28"/>
          <w:szCs w:val="28"/>
        </w:rPr>
        <w:t>竞赛流程</w:t>
      </w:r>
    </w:p>
    <w:tbl>
      <w:tblPr>
        <w:tblStyle w:val="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715"/>
        <w:gridCol w:w="2835"/>
        <w:gridCol w:w="2268"/>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日期</w:t>
            </w:r>
          </w:p>
        </w:tc>
        <w:tc>
          <w:tcPr>
            <w:tcW w:w="1715"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时间</w:t>
            </w:r>
          </w:p>
        </w:tc>
        <w:tc>
          <w:tcPr>
            <w:tcW w:w="2835"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事项</w:t>
            </w:r>
          </w:p>
        </w:tc>
        <w:tc>
          <w:tcPr>
            <w:tcW w:w="2268"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参加人员</w:t>
            </w:r>
          </w:p>
        </w:tc>
        <w:tc>
          <w:tcPr>
            <w:tcW w:w="1418"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restart"/>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竞赛日</w:t>
            </w: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7:45</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竞赛场地前</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各参赛队</w:t>
            </w:r>
          </w:p>
          <w:p>
            <w:pPr>
              <w:pStyle w:val="4"/>
              <w:rPr>
                <w:rFonts w:ascii="仿宋_GB2312" w:hAnsi="仿宋" w:eastAsia="仿宋_GB2312"/>
                <w:color w:val="auto"/>
                <w:sz w:val="24"/>
              </w:rPr>
            </w:pPr>
            <w:r>
              <w:rPr>
                <w:rFonts w:hint="eastAsia" w:ascii="仿宋_GB2312" w:hAnsi="仿宋" w:eastAsia="仿宋_GB2312"/>
                <w:color w:val="auto"/>
                <w:sz w:val="24"/>
              </w:rPr>
              <w:t>工作人员</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ascii="仿宋_GB2312" w:hAnsi="仿宋" w:eastAsia="仿宋_GB2312"/>
                <w:color w:val="auto"/>
                <w:sz w:val="24"/>
              </w:rPr>
              <w:t>7</w:t>
            </w:r>
            <w:r>
              <w:rPr>
                <w:rFonts w:hint="eastAsia" w:ascii="仿宋_GB2312" w:hAnsi="仿宋" w:eastAsia="仿宋_GB2312"/>
                <w:color w:val="auto"/>
                <w:sz w:val="24"/>
              </w:rPr>
              <w:t>:</w:t>
            </w:r>
            <w:r>
              <w:rPr>
                <w:rFonts w:ascii="仿宋_GB2312" w:hAnsi="仿宋" w:eastAsia="仿宋_GB2312"/>
                <w:color w:val="auto"/>
                <w:sz w:val="24"/>
              </w:rPr>
              <w:t>4</w:t>
            </w:r>
            <w:r>
              <w:rPr>
                <w:rFonts w:hint="eastAsia" w:ascii="仿宋_GB2312" w:hAnsi="仿宋" w:eastAsia="仿宋_GB2312"/>
                <w:color w:val="auto"/>
                <w:sz w:val="24"/>
              </w:rPr>
              <w:t>5～</w:t>
            </w:r>
            <w:r>
              <w:rPr>
                <w:rFonts w:ascii="仿宋_GB2312" w:hAnsi="仿宋" w:eastAsia="仿宋_GB2312"/>
                <w:color w:val="auto"/>
                <w:sz w:val="24"/>
              </w:rPr>
              <w:t>8</w:t>
            </w:r>
            <w:r>
              <w:rPr>
                <w:rFonts w:hint="eastAsia" w:ascii="仿宋_GB2312" w:hAnsi="仿宋" w:eastAsia="仿宋_GB2312"/>
                <w:color w:val="auto"/>
                <w:sz w:val="24"/>
              </w:rPr>
              <w:t>:</w:t>
            </w:r>
            <w:r>
              <w:rPr>
                <w:rFonts w:ascii="仿宋_GB2312" w:hAnsi="仿宋" w:eastAsia="仿宋_GB2312"/>
                <w:color w:val="auto"/>
                <w:sz w:val="24"/>
              </w:rPr>
              <w:t>1</w:t>
            </w:r>
            <w:r>
              <w:rPr>
                <w:rFonts w:hint="eastAsia" w:ascii="仿宋_GB2312" w:hAnsi="仿宋" w:eastAsia="仿宋_GB2312"/>
                <w:color w:val="auto"/>
                <w:sz w:val="24"/>
              </w:rPr>
              <w:t>0</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大赛开赛式</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领导、嘉宾、裁判、各参赛队</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ascii="仿宋_GB2312" w:hAnsi="仿宋" w:eastAsia="仿宋_GB2312"/>
                <w:color w:val="auto"/>
                <w:sz w:val="24"/>
              </w:rPr>
              <w:t>8</w:t>
            </w:r>
            <w:r>
              <w:rPr>
                <w:rFonts w:hint="eastAsia" w:ascii="仿宋_GB2312" w:hAnsi="仿宋" w:eastAsia="仿宋_GB2312"/>
                <w:color w:val="auto"/>
                <w:sz w:val="24"/>
              </w:rPr>
              <w:t>:</w:t>
            </w:r>
            <w:r>
              <w:rPr>
                <w:rFonts w:ascii="仿宋_GB2312" w:hAnsi="仿宋" w:eastAsia="仿宋_GB2312"/>
                <w:color w:val="auto"/>
                <w:sz w:val="24"/>
              </w:rPr>
              <w:t>1</w:t>
            </w:r>
            <w:r>
              <w:rPr>
                <w:rFonts w:hint="eastAsia" w:ascii="仿宋_GB2312" w:hAnsi="仿宋" w:eastAsia="仿宋_GB2312"/>
                <w:color w:val="auto"/>
                <w:sz w:val="24"/>
              </w:rPr>
              <w:t>0</w:t>
            </w:r>
          </w:p>
          <w:p>
            <w:pPr>
              <w:pStyle w:val="4"/>
              <w:jc w:val="center"/>
              <w:rPr>
                <w:rFonts w:ascii="仿宋_GB2312" w:hAnsi="仿宋" w:eastAsia="仿宋_GB2312"/>
                <w:color w:val="auto"/>
                <w:sz w:val="24"/>
              </w:rPr>
            </w:pPr>
            <w:r>
              <w:rPr>
                <w:rFonts w:hint="eastAsia" w:ascii="仿宋_GB2312" w:hAnsi="仿宋" w:eastAsia="仿宋_GB2312"/>
                <w:color w:val="auto"/>
                <w:sz w:val="24"/>
              </w:rPr>
              <w:t>开始</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大赛检录进场</w:t>
            </w:r>
          </w:p>
          <w:p>
            <w:pPr>
              <w:pStyle w:val="4"/>
              <w:rPr>
                <w:rFonts w:ascii="仿宋_GB2312" w:hAnsi="仿宋" w:eastAsia="仿宋_GB2312"/>
                <w:color w:val="auto"/>
                <w:sz w:val="24"/>
              </w:rPr>
            </w:pPr>
            <w:r>
              <w:rPr>
                <w:rFonts w:hint="eastAsia" w:ascii="仿宋_GB2312" w:hAnsi="仿宋" w:eastAsia="仿宋_GB2312"/>
                <w:color w:val="auto"/>
                <w:sz w:val="24"/>
              </w:rPr>
              <w:t>第一次抽签加密（抽序号）</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参赛选手，第一次抽签裁判</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8:30</w:t>
            </w:r>
          </w:p>
          <w:p>
            <w:pPr>
              <w:pStyle w:val="4"/>
              <w:jc w:val="center"/>
              <w:rPr>
                <w:rFonts w:ascii="仿宋_GB2312" w:hAnsi="仿宋" w:eastAsia="仿宋_GB2312"/>
                <w:color w:val="auto"/>
                <w:sz w:val="24"/>
              </w:rPr>
            </w:pPr>
            <w:r>
              <w:rPr>
                <w:rFonts w:hint="eastAsia" w:ascii="仿宋_GB2312" w:hAnsi="仿宋" w:eastAsia="仿宋_GB2312"/>
                <w:color w:val="auto"/>
                <w:sz w:val="24"/>
              </w:rPr>
              <w:t>开始</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第二次抽签加密（抽工位号）</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参赛选手，第二次抽签裁判</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9:00</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领队、指导教师入场</w:t>
            </w:r>
          </w:p>
        </w:tc>
        <w:tc>
          <w:tcPr>
            <w:tcW w:w="2268" w:type="dxa"/>
            <w:vAlign w:val="center"/>
          </w:tcPr>
          <w:p>
            <w:pPr>
              <w:pStyle w:val="4"/>
              <w:rPr>
                <w:rFonts w:ascii="仿宋_GB2312" w:hAnsi="仿宋" w:eastAsia="仿宋_GB2312"/>
                <w:color w:val="auto"/>
                <w:sz w:val="24"/>
              </w:rPr>
            </w:pP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竞赛场地教师休息区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_GB2312" w:hAnsi="仿宋" w:eastAsia="仿宋_GB2312"/>
                <w:color w:val="auto"/>
                <w:sz w:val="24"/>
              </w:rPr>
            </w:pPr>
            <w:r>
              <w:rPr>
                <w:rFonts w:hint="eastAsia" w:ascii="仿宋" w:hAnsi="仿宋" w:eastAsia="仿宋" w:cs="仿宋"/>
                <w:color w:val="000000" w:themeColor="text1"/>
                <w:sz w:val="24"/>
                <w:lang w:val="en-US" w:eastAsia="zh-CN"/>
              </w:rPr>
              <w:t>09</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30</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10:30</w:t>
            </w:r>
          </w:p>
        </w:tc>
        <w:tc>
          <w:tcPr>
            <w:tcW w:w="283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 w:eastAsia="仿宋_GB2312"/>
                <w:color w:val="auto"/>
                <w:sz w:val="24"/>
              </w:rPr>
            </w:pPr>
            <w:r>
              <w:rPr>
                <w:rFonts w:hint="eastAsia" w:ascii="仿宋" w:hAnsi="仿宋" w:eastAsia="仿宋" w:cs="仿宋"/>
                <w:color w:val="000000" w:themeColor="text1"/>
                <w:sz w:val="24"/>
              </w:rPr>
              <w:t>微店设计与装修</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sz w:val="24"/>
              </w:rPr>
              <w:t>参赛选手、裁判</w:t>
            </w:r>
          </w:p>
        </w:tc>
        <w:tc>
          <w:tcPr>
            <w:tcW w:w="1418" w:type="dxa"/>
            <w:vAlign w:val="center"/>
          </w:tcPr>
          <w:p>
            <w:pPr>
              <w:pStyle w:val="4"/>
              <w:rPr>
                <w:rFonts w:hint="eastAsia" w:ascii="仿宋_GB2312" w:hAnsi="仿宋" w:eastAsia="仿宋_GB2312"/>
                <w:color w:val="auto"/>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_GB2312" w:hAnsi="仿宋" w:eastAsia="仿宋_GB2312"/>
                <w:color w:val="auto"/>
                <w:sz w:val="24"/>
              </w:rPr>
            </w:pPr>
            <w:r>
              <w:rPr>
                <w:rFonts w:hint="eastAsia" w:ascii="仿宋" w:hAnsi="仿宋" w:eastAsia="仿宋" w:cs="仿宋"/>
                <w:color w:val="000000" w:themeColor="text1"/>
                <w:sz w:val="24"/>
                <w:lang w:val="en-US" w:eastAsia="zh-CN"/>
              </w:rPr>
              <w:t>10:30</w:t>
            </w:r>
            <w:r>
              <w:rPr>
                <w:rFonts w:hint="eastAsia" w:ascii="仿宋" w:hAnsi="仿宋" w:eastAsia="仿宋" w:cs="仿宋"/>
                <w:color w:val="000000" w:themeColor="text1"/>
                <w:sz w:val="24"/>
              </w:rPr>
              <w:t>-1</w:t>
            </w:r>
            <w:r>
              <w:rPr>
                <w:rFonts w:hint="eastAsia" w:ascii="仿宋" w:hAnsi="仿宋" w:eastAsia="仿宋" w:cs="仿宋"/>
                <w:color w:val="000000" w:themeColor="text1"/>
                <w:sz w:val="24"/>
                <w:lang w:val="en-US" w:eastAsia="zh-CN"/>
              </w:rPr>
              <w:t>2</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0</w:t>
            </w:r>
            <w:r>
              <w:rPr>
                <w:rFonts w:hint="eastAsia" w:ascii="仿宋" w:hAnsi="仿宋" w:eastAsia="仿宋" w:cs="仿宋"/>
                <w:color w:val="000000" w:themeColor="text1"/>
                <w:sz w:val="24"/>
              </w:rPr>
              <w:t>0</w:t>
            </w:r>
          </w:p>
        </w:tc>
        <w:tc>
          <w:tcPr>
            <w:tcW w:w="283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仿宋_GB2312" w:hAnsi="仿宋" w:eastAsia="仿宋_GB2312"/>
                <w:color w:val="auto"/>
                <w:sz w:val="24"/>
              </w:rPr>
            </w:pPr>
            <w:r>
              <w:rPr>
                <w:rFonts w:hint="eastAsia" w:ascii="仿宋" w:hAnsi="仿宋" w:eastAsia="仿宋" w:cs="仿宋"/>
                <w:color w:val="000000" w:themeColor="text1"/>
                <w:sz w:val="24"/>
              </w:rPr>
              <w:t>微信公众号运营</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sz w:val="24"/>
              </w:rPr>
              <w:t>参赛选手、裁判</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12:00～12:30</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午餐</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参赛选手、裁判</w:t>
            </w:r>
          </w:p>
          <w:p>
            <w:pPr>
              <w:pStyle w:val="4"/>
              <w:rPr>
                <w:rFonts w:ascii="仿宋_GB2312" w:hAnsi="仿宋" w:eastAsia="仿宋_GB2312"/>
                <w:color w:val="auto"/>
                <w:sz w:val="24"/>
              </w:rPr>
            </w:pPr>
            <w:r>
              <w:rPr>
                <w:rFonts w:hint="eastAsia" w:ascii="仿宋_GB2312" w:hAnsi="仿宋" w:eastAsia="仿宋_GB2312"/>
                <w:color w:val="auto"/>
                <w:sz w:val="24"/>
              </w:rPr>
              <w:t>工作人员</w:t>
            </w:r>
          </w:p>
        </w:tc>
        <w:tc>
          <w:tcPr>
            <w:tcW w:w="1418" w:type="dxa"/>
            <w:vAlign w:val="center"/>
          </w:tcPr>
          <w:p>
            <w:pPr>
              <w:pStyle w:val="4"/>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12:30～1</w:t>
            </w:r>
            <w:r>
              <w:rPr>
                <w:rFonts w:hint="eastAsia" w:ascii="仿宋_GB2312" w:hAnsi="仿宋" w:eastAsia="仿宋_GB2312"/>
                <w:color w:val="auto"/>
                <w:sz w:val="24"/>
                <w:lang w:val="en-US" w:eastAsia="zh-CN"/>
              </w:rPr>
              <w:t>4</w:t>
            </w:r>
            <w:r>
              <w:rPr>
                <w:rFonts w:hint="eastAsia" w:ascii="仿宋_GB2312" w:hAnsi="仿宋" w:eastAsia="仿宋_GB2312"/>
                <w:color w:val="auto"/>
                <w:sz w:val="24"/>
              </w:rPr>
              <w:t>:30</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仿宋_GB2312" w:hAnsi="仿宋" w:eastAsia="仿宋_GB2312"/>
                <w:color w:val="auto"/>
                <w:sz w:val="24"/>
              </w:rPr>
            </w:pPr>
            <w:r>
              <w:rPr>
                <w:rFonts w:hint="eastAsia" w:ascii="仿宋" w:hAnsi="仿宋" w:eastAsia="仿宋" w:cs="仿宋"/>
                <w:color w:val="000000" w:themeColor="text1"/>
                <w:sz w:val="24"/>
              </w:rPr>
              <w:t>企业移动商务运营</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sz w:val="24"/>
              </w:rPr>
              <w:t>参赛选手、裁判</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sz w:val="24"/>
              </w:rPr>
              <w:t>竞赛场地</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六、竞赛赛卷</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竞赛包括微店设计与装修、微信公众号运营和企业移动商务运营三大模块。题库中所有题目均为公开赛题，正式赛题于比赛当日，在现场监察委员会的监督下，由监察人员随机抽签决定。</w:t>
      </w:r>
    </w:p>
    <w:p>
      <w:pPr>
        <w:pStyle w:val="3"/>
        <w:keepNext/>
        <w:keepLines/>
        <w:pageBreakBefore w:val="0"/>
        <w:widowControl w:val="0"/>
        <w:numPr>
          <w:ilvl w:val="0"/>
          <w:numId w:val="5"/>
        </w:numPr>
        <w:kinsoku/>
        <w:wordWrap/>
        <w:overflowPunct/>
        <w:topLinePunct w:val="0"/>
        <w:autoSpaceDE/>
        <w:autoSpaceDN/>
        <w:bidi w:val="0"/>
        <w:adjustRightInd/>
        <w:snapToGrid/>
        <w:spacing w:before="100" w:beforeAutospacing="1" w:after="100" w:afterAutospacing="1" w:line="416" w:lineRule="auto"/>
        <w:ind w:left="0" w:firstLine="562" w:firstLineChars="200"/>
        <w:textAlignment w:val="auto"/>
        <w:outlineLvl w:val="1"/>
        <w:rPr>
          <w:rFonts w:hint="eastAsia" w:ascii="仿宋" w:hAnsi="仿宋" w:eastAsia="仿宋" w:cs="仿宋"/>
          <w:b/>
          <w:sz w:val="28"/>
          <w:szCs w:val="28"/>
        </w:rPr>
      </w:pPr>
      <w:bookmarkStart w:id="0" w:name="_Toc514174729"/>
      <w:r>
        <w:rPr>
          <w:rFonts w:hint="eastAsia" w:ascii="仿宋" w:hAnsi="仿宋" w:eastAsia="仿宋" w:cs="仿宋"/>
          <w:b/>
          <w:sz w:val="28"/>
          <w:szCs w:val="28"/>
        </w:rPr>
        <w:t>微店设计与装修</w:t>
      </w:r>
      <w:bookmarkEnd w:id="0"/>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考试题目：以xx行业为背景，围绕界面规划、图片美工、元素设计、活动策划、店铺动态、海报设计等任务，完成微店设计与装修。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考试要求：根据主营行业特性及商品特色，选取恰当的装修风格装饰店铺，注重视觉引导和用户体验。</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1.整体要求</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（1）店铺整体色彩和谐，色调及风格符合行业特点及商品特色。</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（2）功能布局合理，组件位置、排序符合用户浏览及购物习惯。</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（3）上传的图片符合系统尺寸要求，图片清晰，不压缩或拉伸变形。</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2.店铺首页</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（1）店招：具备店铺名称、logo、背景图三个要素，设计具有高度概括力和吸引力，能够反映经营特色，引起顾客兴趣，易宣传，便记忆。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（2）竖版广告：选用合适的组件展示竖版广告，符合手机端用户竖屏阅读的习惯。广告主题为店铺商品的上新情况，要包含新品特色、新品活动等信息。</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（3）主推商品：选取2-4个商品作为店铺主推商品，商品图中加“主推商品”的标识，点击可查看商品详情。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（4）营销推广：同时开展满减优惠和推广活动，设计并展示至少2张优惠券；策划一场促销活动，选取商品进行推广。</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3.商品详情页</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（1）商品标题：字数不宜过多，尽量采用“卖点+商品名称+基本属性+规格”的命名方式。</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（2）商品主图：商品占主图比例不能过小，50%-90%为佳；主图背景干净，突出商品主体；图中文字精简，字的大小、摆放位置与商品协调。</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（3）商品辅图：每个商品至少包含4张辅图，既有商品展示图，也要有商品细节图。</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商品详情描述：详情描述用图片或图文混排，至少包含5张图片，文字描述尽量简洁，避免使用连续200字以上的大段文字；详情描述需包含商品展示、包装信息、参数信息、物流信息、售后信息等，也可以插入顾客好评截图，增加产品口碑效应。</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（5）关联销售：商品详情描述后，挑选并放置2个店铺推荐商品，以促进可能产生的关联销售。</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4.店铺动态</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（1）利用自定义页面，完成店铺动态的页面设计，具有向买家展示店铺活动、商品、买家秀等信息的功能，页面命名为“店铺动态”。</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店铺动态头部以轮播图的形式展示店铺活动或者促销商品：提供至少2次轮播，一张图片展示店铺优惠活动、一张图片展示促销商品，活动广告要包含活动的主题、优惠力度等信息，商品广告要突出商品卖点。</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至少发布2条图文动态、2条文字动态。图文动态可围绕主推商品、买家秀、促销活动等内容展开，图片需包含有效链接；文字动态可围绕店长密语、活动预热等内容展开。发布的动态中可包含相应的话题，以方便顾客讨论。</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5.活动海报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（1）从“6.18”、“双11”、“双12”、“圣诞”等网络促销日中选定主题，利用自定义页面，完成促销活动海报设计，要求主题醒目、活动力度诱人。页面命名为“活动海报”。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（2）海报中至少包含1张广告图片、2件促销商品，广告及促销商品右上角都必须带有海报的主题标签。</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6.底部导航</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（1）具备四个一级导航，每个一级导航下均设二级导航，且至少2个。导航菜单的名称与图标尽量保持一致，且所有二级导航均可打开不重复的页面。</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（2）底部导航中需包含“店铺动态”、“活动海报”两项导航名称，且链接到对应的自定义页面中。</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7.独立App</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（1）将装修完成的店铺，一键生成同名App，满足Android和</w:t>
      </w:r>
      <w:r>
        <w:rPr>
          <w:rFonts w:hint="eastAsia" w:ascii="仿宋_GB2312" w:hAnsi="仿宋" w:eastAsia="仿宋_GB2312" w:cs="仿宋"/>
          <w:kern w:val="0"/>
          <w:sz w:val="28"/>
          <w:szCs w:val="28"/>
          <w:lang w:val="en-US" w:eastAsia="zh-CN"/>
        </w:rPr>
        <w:t>I</w:t>
      </w:r>
      <w:r>
        <w:rPr>
          <w:rFonts w:hint="eastAsia" w:ascii="仿宋_GB2312" w:hAnsi="仿宋" w:eastAsia="仿宋_GB2312" w:cs="仿宋"/>
          <w:kern w:val="0"/>
          <w:sz w:val="28"/>
          <w:szCs w:val="28"/>
        </w:rPr>
        <w:t>OS两类系统的使用需求。</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（2）完成App的名称、图标、简介、功能介绍、启动画面等内容的设置，需要与店铺设置及装修风格对应，便于用户在应用市场查找。</w:t>
      </w:r>
    </w:p>
    <w:p>
      <w:pPr>
        <w:pStyle w:val="3"/>
        <w:keepNext/>
        <w:keepLines/>
        <w:pageBreakBefore w:val="0"/>
        <w:widowControl w:val="0"/>
        <w:numPr>
          <w:ilvl w:val="0"/>
          <w:numId w:val="5"/>
        </w:numPr>
        <w:kinsoku/>
        <w:wordWrap/>
        <w:overflowPunct/>
        <w:topLinePunct w:val="0"/>
        <w:autoSpaceDE/>
        <w:autoSpaceDN/>
        <w:bidi w:val="0"/>
        <w:adjustRightInd/>
        <w:snapToGrid/>
        <w:spacing w:line="416" w:lineRule="auto"/>
        <w:ind w:left="0" w:firstLine="562" w:firstLineChars="200"/>
        <w:textAlignment w:val="auto"/>
        <w:outlineLvl w:val="1"/>
        <w:rPr>
          <w:rFonts w:hint="eastAsia" w:ascii="仿宋" w:hAnsi="仿宋" w:eastAsia="仿宋" w:cs="仿宋"/>
          <w:b/>
          <w:sz w:val="28"/>
          <w:szCs w:val="28"/>
        </w:rPr>
      </w:pPr>
      <w:bookmarkStart w:id="1" w:name="_Toc514174730"/>
      <w:r>
        <w:rPr>
          <w:rFonts w:hint="eastAsia" w:ascii="仿宋" w:hAnsi="仿宋" w:eastAsia="仿宋" w:cs="仿宋"/>
          <w:b/>
          <w:sz w:val="28"/>
          <w:szCs w:val="28"/>
        </w:rPr>
        <w:t>微信公众号运营</w:t>
      </w:r>
      <w:bookmarkEnd w:id="1"/>
    </w:p>
    <w:p>
      <w:pPr>
        <w:spacing w:line="560" w:lineRule="exact"/>
        <w:ind w:firstLine="560" w:firstLineChars="200"/>
        <w:rPr>
          <w:rFonts w:hint="eastAsia" w:ascii="仿宋_GB2312" w:hAnsi="仿宋" w:eastAsia="仿宋_GB2312" w:cs="仿宋"/>
          <w:kern w:val="0"/>
          <w:sz w:val="28"/>
          <w:szCs w:val="28"/>
          <w:lang w:eastAsia="zh-CN"/>
        </w:rPr>
      </w:pPr>
      <w:r>
        <w:rPr>
          <w:rFonts w:hint="eastAsia" w:ascii="仿宋_GB2312" w:hAnsi="仿宋" w:eastAsia="仿宋_GB2312" w:cs="仿宋"/>
          <w:kern w:val="0"/>
          <w:sz w:val="28"/>
          <w:szCs w:val="28"/>
        </w:rPr>
        <w:t>考试题目：以XX行业为背景，围绕公众号基础建设、内容规划与设计、推广与运营、客户服务等核心任务，完成公众号搭建与运营</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考试要求：</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1.公众号基础建设</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（1）公众号定位：公众号名称与行业相关，易记且易识别；LOGO设计醒目，有寓意，与公众号名称相匹配；公众号描述能够向用户提供有效信息。</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（2）底部导航菜单：底部导航分类准确，每个一级导航菜单下均设有二级导航菜单，二级导航菜单下均为有效链接，可跳转不同页面；能够为用户提供方便、准确的交互入口。</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（3）关注时自动回复：关注时自动回复设计友好、语气亲和，能够为用户提供有效信息，具有引导性。</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2.内容规划与设计</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（1）网站搭建：借助行业展示，搭建企业微网站。要求网站设计风格与企业形象吻合，能够为用户提供详细有效的信息。</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商品导购文案：借助图文回复工具，撰写不少于300字的商品导购文案，且文案内容可通过底部导航菜单获取。文案要求以用户需求为出发点，标题具有吸引力，以“利”诱人，指明产品能给消费者带来的利益；内容包含用户购买场景、商品信息、关注或购买引导等内容。</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品牌故事文案：借助图文回复工具，撰写不少于300字的品牌故事文案，且文案内容可通过底部导航菜单获取。文案要求以品牌诞生过程为切入点，标题新颖，以“情”动人，能把消费者带入情景中；文章情感色彩突出，凸显品牌特点，体现品牌态度和理念，促进消费者主动分享与传播。</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活动促销文案：利用微场景，设计不少于6张宣传页面的活动促销文案，且文案内容可通过底部导航菜单获取。要求场景文案促销活动主题明确，包含“6.18”、“双11”、“双12”、“圣诞节”等电商节庆关键词；文案内容能够体现促销力度，展示商品信息和核心卖点，并引导用户购买。</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3.推广与运营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（1）会员体系建设：建立会员管理体系，并实现会员的统一管理。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市场调研：借助调研工具，对目标用户的产品消费情况进行调研。要求问卷标题设置简明扼要，明确体现调查的目的；问卷正文至少包括被调查者的信息收集、产品消费情况调查两部分；调研问卷具有时效性，语言措辞选择得当，问题数量尽量控制在10-15题以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（3）营销市场推广：组合运用微互动、微活动、游戏贺卡等不同类型的互动方式，至少设计3个互动环节进行营销市场推广，吸引粉丝关注。</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4.客户服务</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（1）客服设置：开启客服状态，并安排客服人员。</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（2）客服水平测试：对客服人员业务水平进行测试。</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（3）客户咨询处理：处理售前、售中、售后的客户咨询。</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（4）客户关系管理：按照消费者信息建立CRM数据库，按照性别、年龄、学历、收入、消费者偏好进行划分。</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5.公众号运营方案</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（1）借助图文回复工具，以 “方案”两字为关键词，提交公众号的整体运营方案，要求方案排版简洁大方，字数不少于800字。</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方案内容包括公众号定位、内容规划、推广策略以及实施过程等。公众号定位需结合行业内相关公众号的运营情况进行分析；内容规划和推广策略需结合公众号现有内容进行详细阐述，内容规划能够满足用户需求，推广策略能够吸引大量粉丝；实施过程步骤清晰，目的明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（3）方案不仅限于上述内容，若有更多想法或创意，可自由发挥。</w:t>
      </w:r>
    </w:p>
    <w:p>
      <w:pPr>
        <w:spacing w:line="560" w:lineRule="exact"/>
        <w:ind w:firstLine="560" w:firstLineChars="200"/>
        <w:rPr>
          <w:rFonts w:hint="eastAsia" w:ascii="仿宋" w:hAnsi="仿宋" w:eastAsia="仿宋" w:cs="仿宋"/>
        </w:rPr>
      </w:pPr>
      <w:r>
        <w:rPr>
          <w:rFonts w:hint="eastAsia" w:ascii="仿宋_GB2312" w:hAnsi="仿宋" w:eastAsia="仿宋_GB2312" w:cs="仿宋"/>
          <w:kern w:val="0"/>
          <w:sz w:val="28"/>
          <w:szCs w:val="28"/>
        </w:rPr>
        <w:t xml:space="preserve">注：阅卷人通过手机模拟器查看成果，请将需要展示的内容放置底部导航菜单，或者通过文字描述的方式，让其知道你设计的关键词，否则会影响最终得分。    </w:t>
      </w:r>
      <w:r>
        <w:rPr>
          <w:rFonts w:hint="eastAsia" w:ascii="仿宋" w:hAnsi="仿宋" w:eastAsia="仿宋" w:cs="仿宋"/>
          <w:color w:val="000000" w:themeColor="text1"/>
          <w:sz w:val="24"/>
        </w:rPr>
        <w:t xml:space="preserve">        </w:t>
      </w:r>
      <w:r>
        <w:rPr>
          <w:rFonts w:hint="eastAsia" w:ascii="仿宋" w:hAnsi="仿宋" w:eastAsia="仿宋" w:cs="仿宋"/>
        </w:rPr>
        <w:t xml:space="preserve">                                                                               </w:t>
      </w:r>
    </w:p>
    <w:p>
      <w:pPr>
        <w:pStyle w:val="3"/>
        <w:keepNext/>
        <w:keepLines/>
        <w:pageBreakBefore w:val="0"/>
        <w:widowControl w:val="0"/>
        <w:numPr>
          <w:ilvl w:val="0"/>
          <w:numId w:val="5"/>
        </w:numPr>
        <w:kinsoku/>
        <w:wordWrap/>
        <w:overflowPunct/>
        <w:topLinePunct w:val="0"/>
        <w:autoSpaceDE/>
        <w:autoSpaceDN/>
        <w:bidi w:val="0"/>
        <w:adjustRightInd/>
        <w:snapToGrid/>
        <w:spacing w:before="100" w:beforeAutospacing="1" w:after="100" w:afterAutospacing="1" w:line="416" w:lineRule="auto"/>
        <w:ind w:left="0" w:firstLine="562" w:firstLineChars="200"/>
        <w:textAlignment w:val="auto"/>
        <w:outlineLvl w:val="1"/>
        <w:rPr>
          <w:rFonts w:hint="eastAsia" w:ascii="仿宋" w:hAnsi="仿宋" w:eastAsia="仿宋" w:cs="仿宋"/>
          <w:b/>
          <w:sz w:val="28"/>
          <w:szCs w:val="28"/>
        </w:rPr>
      </w:pPr>
      <w:bookmarkStart w:id="2" w:name="_Toc514174731"/>
      <w:r>
        <w:rPr>
          <w:rFonts w:hint="eastAsia" w:ascii="仿宋" w:hAnsi="仿宋" w:eastAsia="仿宋" w:cs="仿宋"/>
          <w:b/>
          <w:sz w:val="28"/>
          <w:szCs w:val="28"/>
        </w:rPr>
        <w:t>企业移动商务运营</w:t>
      </w:r>
      <w:bookmarkEnd w:id="2"/>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赛团队经营一家以移动商务业务为核心的公司，经营之初，公司拥有一笔200万的启动资金，用以组建各自的虚拟公司。虚拟公司由无线运营中心、移动开发管理部、无线店铺运营部、移动营销部、人力资源部、财务管理部六大部门构成，其中无线运营中心为公司战略指导单位。</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虚拟公司将经历3个经营周期，围绕4种可选商品，完成若干决策任务，这些任务涉及信息研究、研发、采购、营销、客户服务、物流配送、财务管理等企业经营的各个环节。最终依据运营指标、营销指标、客户指标和财务指标这四个维度进行运营成果整体评判，按得分高低进行竞争名次排序。</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1.无线运营管理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（1）业务战略定位</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根据运营背景、市场竞争、本企业资金等情况，在无线店铺、独立APP和微信商城三大业务中进行定位选择，确定企业经营方向，进行有效配置资源。</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（2）数据选品</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参照各商品的市场交易热度数据，细分商品市场，分析各商品的竞争激烈程度，预估市场前景、市场销量和市场份额，作出选品决策。</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2.移动应用开发管理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（1）移动应用规划</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依据企业的业务定位，进行App开发和微信二次开发等应用规划。App开发规划主要涉及开发模式、开发系统以及开发的预算评估；微信二次开发规划主要包含公众号类型的规划以及开发的预算评估。</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（2）移动应用开发</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依据开发的规划，进行App的开发和微信公众号的开发。App开发主要进行功能组合开发以及App的打包生成；微信二次开发则主要进行移动应用开发和公众账号开发，并进行自定义导航的设置以及内容设置。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（3）移动应用维护</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对上一期开发的App和微信公众号等移动应用进行功能维护，并进行功能维护的预算评估。</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3.无线店铺运营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（1）商品采购</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依据选品决策和市场预估，权衡超额采购单位成本降低与剩余库存保管费增加的对冲效果，确定商品采购量。</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（2）基础设置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围绕主营商品的特色特点，设计并完成无线店铺名称、logo和简介信息；开启本店铺支持的支付方式和物流方式。</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（3）店铺装修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参照范本提供的页面布局，判断范本使用组件及其样式，利用软件素材库提供的素材，进行图片美工处理，完成店铺首页设计与装修。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（4）商品管理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添加已采购的商品，完善商品标题、关键词、价格、运费等信息。已采购的商品，若未添加，则该商品无订单生成。</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（5）营销推广</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 xml:space="preserve"> 提供关键词优化、活动策划、优惠券和短信提醒四种手段，合理选择并设置，达到提升店铺流量，进而促进订单转化的效果。</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（6）客户服务</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 xml:space="preserve"> 具备服务设置和模拟客服咨询处理两类业务，选择智能机器人等级，设置人工客服人数和咨询回复时间，开启退换货服务机制，模拟人工客服角色，回答系统随机问题。模拟咨询环节每期提供10道不重复的问题，回答正确率将计入客服满意度指标。</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（7）订单发货</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根据订单收货地、订单所含商品数量，以及商品库存情况，选择合适的物流方式进行发货。已完成发货的订单，其实际金额才计入销售收入范畴。</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4.移动营销管理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（1）营销预算规划</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依据市场状况和企业现状，进行营销预算的综合规划，确认本年度各营销渠道的营销预算。</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（2）App营销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可将企业自主研发的App进行市场推广，通过展示广告和自选搜索关键词推广等方式抢占App市场，快速获取更多下载量和市场好评，从而增强用户黏性。</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（3）微信营销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借助微信社交平台进行微信营销推广，实现朋友圈广告的自主投放和宣传，利用品牌活动推广、移动应用推广、公众号推广以及卡券推广等多种朋友圈推广方式，实现企业公众号在朋友圈的营销和推广。</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（4）微博营销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借助微博社交平台进行微博营销推广，可通过编辑微博创意和宣传文案实现微博推广和移动应用推广，进行微博营销，并按照粉丝关系、人群属性以及社交兴趣的选择构建用户的人群画像，扩大微博营销的影响力。</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（5）微淘营销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微淘作为无线淘宝营销工具，支持移动端微淘的粉丝营销，可围绕商品、广播、资讯、活动等主题进行多样化的微淘推广，从而获取更多的流量。</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（6）二维码营销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二维码作为一种新型的营销方式，能够引导用户通过</w:t>
      </w:r>
      <w:r>
        <w:rPr>
          <w:rFonts w:hint="eastAsia" w:ascii="仿宋_GB2312" w:hAnsi="仿宋" w:eastAsia="仿宋_GB2312" w:cs="仿宋"/>
          <w:kern w:val="0"/>
          <w:sz w:val="28"/>
          <w:szCs w:val="28"/>
        </w:rPr>
        <w:fldChar w:fldCharType="begin"/>
      </w:r>
      <w:r>
        <w:rPr>
          <w:rFonts w:hint="eastAsia" w:ascii="仿宋_GB2312" w:hAnsi="仿宋" w:eastAsia="仿宋_GB2312" w:cs="仿宋"/>
          <w:kern w:val="0"/>
          <w:sz w:val="28"/>
          <w:szCs w:val="28"/>
        </w:rPr>
        <w:instrText xml:space="preserve"> HYPERLINK "http://wiki.mbalib.com/wiki/%E4%BA%8C%E7%BB%B4%E7%A0%81" \o "二维码" </w:instrText>
      </w:r>
      <w:r>
        <w:rPr>
          <w:rFonts w:hint="eastAsia" w:ascii="仿宋_GB2312" w:hAnsi="仿宋" w:eastAsia="仿宋_GB2312" w:cs="仿宋"/>
          <w:kern w:val="0"/>
          <w:sz w:val="28"/>
          <w:szCs w:val="28"/>
        </w:rPr>
        <w:fldChar w:fldCharType="separate"/>
      </w:r>
      <w:r>
        <w:rPr>
          <w:rFonts w:hint="eastAsia" w:ascii="仿宋_GB2312" w:hAnsi="仿宋" w:eastAsia="仿宋_GB2312" w:cs="仿宋"/>
          <w:kern w:val="0"/>
          <w:sz w:val="28"/>
          <w:szCs w:val="28"/>
        </w:rPr>
        <w:t>二维码</w:t>
      </w:r>
      <w:r>
        <w:rPr>
          <w:rFonts w:hint="eastAsia" w:ascii="仿宋_GB2312" w:hAnsi="仿宋" w:eastAsia="仿宋_GB2312" w:cs="仿宋"/>
          <w:kern w:val="0"/>
          <w:sz w:val="28"/>
          <w:szCs w:val="28"/>
        </w:rPr>
        <w:fldChar w:fldCharType="end"/>
      </w:r>
      <w:r>
        <w:rPr>
          <w:rFonts w:hint="eastAsia" w:ascii="仿宋_GB2312" w:hAnsi="仿宋" w:eastAsia="仿宋_GB2312" w:cs="仿宋"/>
          <w:kern w:val="0"/>
          <w:sz w:val="28"/>
          <w:szCs w:val="28"/>
        </w:rPr>
        <w:t>获取</w:t>
      </w:r>
      <w:r>
        <w:rPr>
          <w:rFonts w:hint="eastAsia" w:ascii="仿宋_GB2312" w:hAnsi="仿宋" w:eastAsia="仿宋_GB2312" w:cs="仿宋"/>
          <w:kern w:val="0"/>
          <w:sz w:val="28"/>
          <w:szCs w:val="28"/>
        </w:rPr>
        <w:fldChar w:fldCharType="begin"/>
      </w:r>
      <w:r>
        <w:rPr>
          <w:rFonts w:hint="eastAsia" w:ascii="仿宋_GB2312" w:hAnsi="仿宋" w:eastAsia="仿宋_GB2312" w:cs="仿宋"/>
          <w:kern w:val="0"/>
          <w:sz w:val="28"/>
          <w:szCs w:val="28"/>
        </w:rPr>
        <w:instrText xml:space="preserve"> HYPERLINK "http://wiki.mbalib.com/wiki/%E7%9B%B8%E5%85%B3" \o "相关" </w:instrText>
      </w:r>
      <w:r>
        <w:rPr>
          <w:rFonts w:hint="eastAsia" w:ascii="仿宋_GB2312" w:hAnsi="仿宋" w:eastAsia="仿宋_GB2312" w:cs="仿宋"/>
          <w:kern w:val="0"/>
          <w:sz w:val="28"/>
          <w:szCs w:val="28"/>
        </w:rPr>
        <w:fldChar w:fldCharType="separate"/>
      </w:r>
      <w:r>
        <w:rPr>
          <w:rFonts w:hint="eastAsia" w:ascii="仿宋_GB2312" w:hAnsi="仿宋" w:eastAsia="仿宋_GB2312" w:cs="仿宋"/>
          <w:kern w:val="0"/>
          <w:sz w:val="28"/>
          <w:szCs w:val="28"/>
        </w:rPr>
        <w:t>相关</w:t>
      </w:r>
      <w:r>
        <w:rPr>
          <w:rFonts w:hint="eastAsia" w:ascii="仿宋_GB2312" w:hAnsi="仿宋" w:eastAsia="仿宋_GB2312" w:cs="仿宋"/>
          <w:kern w:val="0"/>
          <w:sz w:val="28"/>
          <w:szCs w:val="28"/>
        </w:rPr>
        <w:fldChar w:fldCharType="end"/>
      </w:r>
      <w:r>
        <w:rPr>
          <w:rFonts w:hint="eastAsia" w:ascii="仿宋_GB2312" w:hAnsi="仿宋" w:eastAsia="仿宋_GB2312" w:cs="仿宋"/>
          <w:kern w:val="0"/>
          <w:sz w:val="28"/>
          <w:szCs w:val="28"/>
        </w:rPr>
        <w:t>产品资讯、商家推广活动的最新信息，刺激</w:t>
      </w:r>
      <w:r>
        <w:rPr>
          <w:rFonts w:hint="eastAsia" w:ascii="仿宋_GB2312" w:hAnsi="仿宋" w:eastAsia="仿宋_GB2312" w:cs="仿宋"/>
          <w:kern w:val="0"/>
          <w:sz w:val="28"/>
          <w:szCs w:val="28"/>
        </w:rPr>
        <w:fldChar w:fldCharType="begin"/>
      </w:r>
      <w:r>
        <w:rPr>
          <w:rFonts w:hint="eastAsia" w:ascii="仿宋_GB2312" w:hAnsi="仿宋" w:eastAsia="仿宋_GB2312" w:cs="仿宋"/>
          <w:kern w:val="0"/>
          <w:sz w:val="28"/>
          <w:szCs w:val="28"/>
        </w:rPr>
        <w:instrText xml:space="preserve"> HYPERLINK "http://wiki.mbalib.com/wiki/%E6%B6%88%E8%B4%B9%E8%80%85" \o "消费者" </w:instrText>
      </w:r>
      <w:r>
        <w:rPr>
          <w:rFonts w:hint="eastAsia" w:ascii="仿宋_GB2312" w:hAnsi="仿宋" w:eastAsia="仿宋_GB2312" w:cs="仿宋"/>
          <w:kern w:val="0"/>
          <w:sz w:val="28"/>
          <w:szCs w:val="28"/>
        </w:rPr>
        <w:fldChar w:fldCharType="separate"/>
      </w:r>
      <w:r>
        <w:rPr>
          <w:rFonts w:hint="eastAsia" w:ascii="仿宋_GB2312" w:hAnsi="仿宋" w:eastAsia="仿宋_GB2312" w:cs="仿宋"/>
          <w:kern w:val="0"/>
          <w:sz w:val="28"/>
          <w:szCs w:val="28"/>
        </w:rPr>
        <w:t>用户</w:t>
      </w:r>
      <w:r>
        <w:rPr>
          <w:rFonts w:hint="eastAsia" w:ascii="仿宋_GB2312" w:hAnsi="仿宋" w:eastAsia="仿宋_GB2312" w:cs="仿宋"/>
          <w:kern w:val="0"/>
          <w:sz w:val="28"/>
          <w:szCs w:val="28"/>
        </w:rPr>
        <w:fldChar w:fldCharType="end"/>
      </w:r>
      <w:r>
        <w:rPr>
          <w:rFonts w:hint="eastAsia" w:ascii="仿宋_GB2312" w:hAnsi="仿宋" w:eastAsia="仿宋_GB2312" w:cs="仿宋"/>
          <w:kern w:val="0"/>
          <w:sz w:val="28"/>
          <w:szCs w:val="28"/>
        </w:rPr>
        <w:t>的</w:t>
      </w:r>
      <w:r>
        <w:rPr>
          <w:rFonts w:hint="eastAsia" w:ascii="仿宋_GB2312" w:hAnsi="仿宋" w:eastAsia="仿宋_GB2312" w:cs="仿宋"/>
          <w:kern w:val="0"/>
          <w:sz w:val="28"/>
          <w:szCs w:val="28"/>
        </w:rPr>
        <w:fldChar w:fldCharType="begin"/>
      </w:r>
      <w:r>
        <w:rPr>
          <w:rFonts w:hint="eastAsia" w:ascii="仿宋_GB2312" w:hAnsi="仿宋" w:eastAsia="仿宋_GB2312" w:cs="仿宋"/>
          <w:kern w:val="0"/>
          <w:sz w:val="28"/>
          <w:szCs w:val="28"/>
        </w:rPr>
        <w:instrText xml:space="preserve"> HYPERLINK "http://wiki.mbalib.com/wiki/%E8%B4%AD%E4%B9%B0%E8%A1%8C%E4%B8%BA" \o "购买行为" </w:instrText>
      </w:r>
      <w:r>
        <w:rPr>
          <w:rFonts w:hint="eastAsia" w:ascii="仿宋_GB2312" w:hAnsi="仿宋" w:eastAsia="仿宋_GB2312" w:cs="仿宋"/>
          <w:kern w:val="0"/>
          <w:sz w:val="28"/>
          <w:szCs w:val="28"/>
        </w:rPr>
        <w:fldChar w:fldCharType="separate"/>
      </w:r>
      <w:r>
        <w:rPr>
          <w:rFonts w:hint="eastAsia" w:ascii="仿宋_GB2312" w:hAnsi="仿宋" w:eastAsia="仿宋_GB2312" w:cs="仿宋"/>
          <w:kern w:val="0"/>
          <w:sz w:val="28"/>
          <w:szCs w:val="28"/>
        </w:rPr>
        <w:t>购买行为</w:t>
      </w:r>
      <w:r>
        <w:rPr>
          <w:rFonts w:hint="eastAsia" w:ascii="仿宋_GB2312" w:hAnsi="仿宋" w:eastAsia="仿宋_GB2312" w:cs="仿宋"/>
          <w:kern w:val="0"/>
          <w:sz w:val="28"/>
          <w:szCs w:val="28"/>
        </w:rPr>
        <w:fldChar w:fldCharType="end"/>
      </w:r>
      <w:r>
        <w:rPr>
          <w:rFonts w:hint="eastAsia" w:ascii="仿宋_GB2312" w:hAnsi="仿宋" w:eastAsia="仿宋_GB2312" w:cs="仿宋"/>
          <w:kern w:val="0"/>
          <w:sz w:val="28"/>
          <w:szCs w:val="28"/>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（7）H5营销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H5营销可设置不同主题的场景内容，实现H5场景一键分享至微博或者微信等社交平台进行同步式推广，从而以新颖的内容、有趣的互动，增加营销深度和效果。</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（8）营销监测</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实时监测企业各种不同新媒体营销渠道的动态以及行业营销动态，及时调整各渠道的营销投放策略。</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5.人力资源管理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为企业各业务部门制定绩效考核指标，完成绩效考核，履行薪酬福利发放。</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6.财务管理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查看企业财务状况，包含收支明细、雷达图、资产负债表、损益表和现金流量表等，企业运作过程中，资金不足，支持向银行贷款。</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7.营销互动</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现金加油区集成应用市场、微博、微信、微淘等主流移动营销渠道，并引入“流量互换”机制，激励用户的点赞、分享、评论、关注等社交互动行为，形成“社交流量-口碑推广-电商流量”的移动商务新模式，体现移动商务的社交营销和分享经济理念。</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8.数据分析</w:t>
      </w:r>
    </w:p>
    <w:p>
      <w:pPr>
        <w:spacing w:line="560" w:lineRule="exact"/>
        <w:ind w:firstLine="560" w:firstLineChars="200"/>
        <w:rPr>
          <w:rFonts w:hint="eastAsia" w:ascii="仿宋_GB2312" w:hAnsi="仿宋" w:eastAsia="仿宋_GB2312" w:cs="仿宋"/>
          <w:kern w:val="0"/>
          <w:sz w:val="28"/>
          <w:szCs w:val="28"/>
          <w:lang w:val="en-US" w:eastAsia="zh-CN"/>
        </w:rPr>
      </w:pPr>
      <w:r>
        <w:rPr>
          <w:rFonts w:hint="eastAsia" w:ascii="仿宋_GB2312" w:hAnsi="仿宋" w:eastAsia="仿宋_GB2312" w:cs="仿宋"/>
          <w:kern w:val="0"/>
          <w:sz w:val="28"/>
          <w:szCs w:val="28"/>
        </w:rPr>
        <w:t>自动生成各类运营数据，包括企业整体数据、业务数据、营销数据、商品数据和市场数据等，要求根据数据结构，分析诊断企业运营优劣势，进而及时调整经营策略，优化企业经营决策。</w:t>
      </w:r>
    </w:p>
    <w:p>
      <w:pPr>
        <w:numPr>
          <w:ilvl w:val="0"/>
          <w:numId w:val="6"/>
        </w:numPr>
        <w:spacing w:line="560" w:lineRule="exact"/>
        <w:ind w:firstLine="562" w:firstLineChars="200"/>
        <w:outlineLvl w:val="0"/>
        <w:rPr>
          <w:rFonts w:hint="eastAsia" w:ascii="仿宋_GB2312" w:hAnsi="黑体" w:eastAsia="仿宋_GB2312" w:cs="黑体"/>
          <w:b/>
          <w:bCs/>
          <w:sz w:val="28"/>
          <w:szCs w:val="28"/>
          <w:lang w:val="en-US" w:eastAsia="zh-CN"/>
        </w:rPr>
      </w:pPr>
      <w:r>
        <w:rPr>
          <w:rFonts w:hint="eastAsia" w:ascii="仿宋_GB2312" w:hAnsi="黑体" w:eastAsia="仿宋_GB2312" w:cs="黑体"/>
          <w:b/>
          <w:bCs/>
          <w:sz w:val="28"/>
          <w:szCs w:val="28"/>
        </w:rPr>
        <w:t>竞赛</w:t>
      </w:r>
      <w:r>
        <w:rPr>
          <w:rFonts w:hint="eastAsia" w:ascii="仿宋_GB2312" w:hAnsi="黑体" w:eastAsia="仿宋_GB2312" w:cs="黑体"/>
          <w:b/>
          <w:bCs/>
          <w:sz w:val="28"/>
          <w:szCs w:val="28"/>
          <w:lang w:val="en-US" w:eastAsia="zh-CN"/>
        </w:rPr>
        <w:t>规则</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报名资格：</w:t>
      </w:r>
      <w:bookmarkStart w:id="3" w:name="OLE_LINK2"/>
      <w:r>
        <w:rPr>
          <w:rFonts w:hint="eastAsia" w:ascii="仿宋_GB2312" w:hAnsi="仿宋" w:cs="仿宋"/>
        </w:rPr>
        <w:t>参赛选手须为普通高等学校全日制在籍专科学生；本科院校中高职类全日制在籍学生；五年制高职四、五年级学生。选手年龄须不超过25周岁，年龄计算截止时间为201</w:t>
      </w:r>
      <w:r>
        <w:rPr>
          <w:rFonts w:ascii="仿宋_GB2312" w:hAnsi="仿宋" w:cs="仿宋"/>
        </w:rPr>
        <w:t>9</w:t>
      </w:r>
      <w:r>
        <w:rPr>
          <w:rFonts w:hint="eastAsia" w:ascii="仿宋_GB2312" w:hAnsi="仿宋" w:cs="仿宋"/>
        </w:rPr>
        <w:t>年</w:t>
      </w:r>
      <w:r>
        <w:rPr>
          <w:rFonts w:hint="eastAsia" w:ascii="仿宋_GB2312" w:hAnsi="仿宋" w:cs="仿宋"/>
          <w:lang w:val="en-US" w:eastAsia="zh-CN"/>
        </w:rPr>
        <w:t>10</w:t>
      </w:r>
      <w:r>
        <w:rPr>
          <w:rFonts w:hint="eastAsia" w:ascii="仿宋_GB2312" w:hAnsi="仿宋" w:cs="仿宋"/>
        </w:rPr>
        <w:t>月1日。</w:t>
      </w:r>
    </w:p>
    <w:bookmarkEnd w:id="3"/>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要求：参赛选手和指导教师报名获得确认后不得随意更换。如比赛前参赛选手和指导教师因故无法参赛，须由省级教育行政部门于参与赛项开赛10个工作日之前出具书面说明，经大赛执委会办公室核实后予以更换。团体赛选手因特殊原因不能参加比赛时，由大赛执委会办公室根据赛项的特点决定是否可进行缺员比赛，并上报大赛执委会备案。如未经报备，发现实际参赛选手与报名信息不符的情况，均不得入场。</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熟悉场地：比赛日前一天下午1</w:t>
      </w:r>
      <w:r>
        <w:rPr>
          <w:rFonts w:hint="eastAsia" w:ascii="仿宋_GB2312" w:hAnsi="仿宋" w:cs="仿宋"/>
          <w:lang w:val="en-US" w:eastAsia="zh-CN"/>
        </w:rPr>
        <w:t>7</w:t>
      </w:r>
      <w:r>
        <w:rPr>
          <w:rFonts w:hint="eastAsia" w:ascii="仿宋_GB2312" w:hAnsi="仿宋" w:cs="仿宋"/>
        </w:rPr>
        <w:t>:</w:t>
      </w:r>
      <w:r>
        <w:rPr>
          <w:rFonts w:hint="eastAsia" w:ascii="仿宋_GB2312" w:hAnsi="仿宋" w:cs="仿宋"/>
          <w:lang w:val="en-US" w:eastAsia="zh-CN"/>
        </w:rPr>
        <w:t>0</w:t>
      </w:r>
      <w:r>
        <w:rPr>
          <w:rFonts w:hint="eastAsia" w:ascii="仿宋_GB2312" w:hAnsi="仿宋" w:cs="仿宋"/>
        </w:rPr>
        <w:t>0～1</w:t>
      </w:r>
      <w:r>
        <w:rPr>
          <w:rFonts w:hint="eastAsia" w:ascii="仿宋_GB2312" w:hAnsi="仿宋" w:cs="仿宋"/>
          <w:lang w:val="en-US" w:eastAsia="zh-CN"/>
        </w:rPr>
        <w:t>7</w:t>
      </w:r>
      <w:r>
        <w:rPr>
          <w:rFonts w:hint="eastAsia" w:ascii="仿宋_GB2312" w:hAnsi="仿宋" w:cs="仿宋"/>
        </w:rPr>
        <w:t>:</w:t>
      </w:r>
      <w:r>
        <w:rPr>
          <w:rFonts w:hint="eastAsia" w:ascii="仿宋_GB2312" w:hAnsi="仿宋" w:cs="仿宋"/>
          <w:lang w:val="en-US" w:eastAsia="zh-CN"/>
        </w:rPr>
        <w:t>3</w:t>
      </w:r>
      <w:r>
        <w:rPr>
          <w:rFonts w:hint="eastAsia" w:ascii="仿宋_GB2312" w:hAnsi="仿宋" w:cs="仿宋"/>
        </w:rPr>
        <w:t>0开放赛场，熟悉场地。</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领队会议：比赛日前一天下午1</w:t>
      </w:r>
      <w:r>
        <w:rPr>
          <w:rFonts w:hint="eastAsia" w:ascii="仿宋_GB2312" w:hAnsi="仿宋" w:cs="仿宋"/>
          <w:lang w:val="en-US" w:eastAsia="zh-CN"/>
        </w:rPr>
        <w:t>6</w:t>
      </w:r>
      <w:r>
        <w:rPr>
          <w:rFonts w:hint="eastAsia" w:ascii="仿宋_GB2312" w:hAnsi="仿宋" w:cs="仿宋"/>
        </w:rPr>
        <w:t>:</w:t>
      </w:r>
      <w:r>
        <w:rPr>
          <w:rFonts w:hint="eastAsia" w:ascii="仿宋_GB2312" w:hAnsi="仿宋" w:cs="仿宋"/>
          <w:lang w:val="en-US" w:eastAsia="zh-CN"/>
        </w:rPr>
        <w:t>00</w:t>
      </w:r>
      <w:r>
        <w:rPr>
          <w:rFonts w:hint="eastAsia" w:ascii="仿宋_GB2312" w:hAnsi="仿宋" w:cs="仿宋"/>
        </w:rPr>
        <w:t>～1</w:t>
      </w:r>
      <w:r>
        <w:rPr>
          <w:rFonts w:hint="eastAsia" w:ascii="仿宋_GB2312" w:hAnsi="仿宋" w:cs="仿宋"/>
          <w:lang w:val="en-US" w:eastAsia="zh-CN"/>
        </w:rPr>
        <w:t>7</w:t>
      </w:r>
      <w:r>
        <w:rPr>
          <w:rFonts w:hint="eastAsia" w:ascii="仿宋_GB2312" w:hAnsi="仿宋" w:cs="仿宋"/>
        </w:rPr>
        <w:t>:</w:t>
      </w:r>
      <w:r>
        <w:rPr>
          <w:rFonts w:hint="eastAsia" w:ascii="仿宋_GB2312" w:hAnsi="仿宋" w:cs="仿宋"/>
          <w:lang w:val="en-US" w:eastAsia="zh-CN"/>
        </w:rPr>
        <w:t>0</w:t>
      </w:r>
      <w:r>
        <w:rPr>
          <w:rFonts w:hint="eastAsia" w:ascii="仿宋_GB2312" w:hAnsi="仿宋" w:cs="仿宋"/>
        </w:rPr>
        <w:t>0召开领队会议，由各参赛队的领队和指导教师参加，会议讲解竞赛注意事项并进行赛前答疑。</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检录：</w:t>
      </w:r>
      <w:r>
        <w:t>由检录工作人员依照检录表进行点名核对，并检查确定无误后向裁判长递交检录单。</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加密：</w:t>
      </w:r>
      <w:r>
        <w:t>所有比赛项目在比赛的当天进行加密，加密后参赛选手中途不得擅自离开赛场。所有加密结果密封袋的封条均需相应的加密裁判和监督人员签字。密封袋在监督人员监督下由加密裁判放置于保密室的保险柜中保存。</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引导：</w:t>
      </w:r>
      <w:r>
        <w:t>参赛选手凭赛位号进入赛场，不得携带其他显示个人身份信息</w:t>
      </w:r>
      <w:r>
        <w:rPr>
          <w:rFonts w:hint="eastAsia"/>
        </w:rPr>
        <w:t>的物品，不得携带</w:t>
      </w:r>
      <w:r>
        <w:rPr>
          <w:rFonts w:hint="eastAsia" w:ascii="仿宋_GB2312" w:hAnsi="仿宋" w:cs="仿宋"/>
        </w:rPr>
        <w:t>与竞赛无关的电子设备、通讯设备及其他相关资料与用品</w:t>
      </w:r>
      <w:r>
        <w:t>。现场裁判负责引导参赛队伍至赛位前等待竞赛指令。比赛开始前，在没有裁判允许的情况下，严禁随意触碰竞赛设施和阅读赛卷内容。比赛中途不得离开赛场。</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由裁判长宣布比赛开始，各参赛队开始竞赛。</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竞赛过程中，如遇设备或软件等故障，参赛选手应持“故障”示意牌示意。裁判、技术人员等应及时予以解决。确因计算机软件或硬件故障，致使操作无法继续的，经裁判同意，予以启用备用计算机。如遇身体不适，参赛选手应持“医务”示意牌示意，现场医务人员按应急预案救治。如有其它问题，参赛选手应持“咨询”示意牌示意，裁判应按照有关要求及时予以答疑。</w:t>
      </w:r>
    </w:p>
    <w:p>
      <w:pPr>
        <w:pStyle w:val="17"/>
        <w:numPr>
          <w:ilvl w:val="0"/>
          <w:numId w:val="7"/>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ascii="仿宋_GB2312" w:hAnsi="仿宋" w:cs="仿宋"/>
        </w:rPr>
        <w:t>记分员将解密后的各参赛队伍（选手）成绩汇总成最终成绩单，经裁判长、监督组签字后进行</w:t>
      </w:r>
      <w:r>
        <w:rPr>
          <w:rFonts w:hint="eastAsia" w:ascii="仿宋_GB2312" w:hAnsi="仿宋" w:cs="仿宋"/>
          <w:lang w:val="en-US" w:eastAsia="zh-CN"/>
        </w:rPr>
        <w:t>公布</w:t>
      </w:r>
      <w:r>
        <w:rPr>
          <w:rFonts w:ascii="仿宋_GB2312" w:hAnsi="仿宋" w:cs="仿宋"/>
        </w:rPr>
        <w:t>。</w:t>
      </w:r>
      <w:r>
        <w:rPr>
          <w:rFonts w:hint="eastAsia" w:ascii="仿宋_GB2312" w:hAnsi="仿宋" w:cs="仿宋"/>
          <w:lang w:val="en-US" w:eastAsia="zh-CN"/>
        </w:rPr>
        <w:t>公布</w:t>
      </w:r>
      <w:r>
        <w:rPr>
          <w:rFonts w:ascii="仿宋_GB2312" w:hAnsi="仿宋" w:cs="仿宋"/>
        </w:rPr>
        <w:t>时间为2小时。成绩</w:t>
      </w:r>
      <w:r>
        <w:rPr>
          <w:rFonts w:hint="eastAsia" w:ascii="仿宋_GB2312" w:hAnsi="仿宋" w:cs="仿宋"/>
          <w:lang w:val="en-US" w:eastAsia="zh-CN"/>
        </w:rPr>
        <w:t>公布</w:t>
      </w:r>
      <w:r>
        <w:rPr>
          <w:rFonts w:ascii="仿宋_GB2312" w:hAnsi="仿宋" w:cs="仿宋"/>
        </w:rPr>
        <w:t>无异议后，由仲裁员在成绩单上签字，并在闭赛式上公布竞赛成绩。</w:t>
      </w:r>
    </w:p>
    <w:p>
      <w:pPr>
        <w:numPr>
          <w:ilvl w:val="0"/>
          <w:numId w:val="8"/>
        </w:numPr>
        <w:spacing w:line="560" w:lineRule="exact"/>
        <w:ind w:firstLine="562" w:firstLineChars="200"/>
        <w:outlineLvl w:val="0"/>
        <w:rPr>
          <w:rFonts w:hint="eastAsia" w:ascii="仿宋_GB2312" w:hAnsi="黑体" w:eastAsia="仿宋_GB2312" w:cs="黑体"/>
          <w:b/>
          <w:bCs/>
          <w:sz w:val="28"/>
          <w:szCs w:val="28"/>
        </w:rPr>
      </w:pPr>
      <w:r>
        <w:rPr>
          <w:rFonts w:hint="eastAsia" w:ascii="仿宋_GB2312" w:hAnsi="黑体" w:eastAsia="仿宋_GB2312" w:cs="黑体"/>
          <w:b/>
          <w:bCs/>
          <w:sz w:val="28"/>
          <w:szCs w:val="28"/>
        </w:rPr>
        <w:t>竞赛环境</w:t>
      </w:r>
    </w:p>
    <w:p>
      <w:pPr>
        <w:pStyle w:val="3"/>
        <w:pageBreakBefore w:val="0"/>
        <w:numPr>
          <w:ilvl w:val="0"/>
          <w:numId w:val="9"/>
        </w:numPr>
        <w:kinsoku/>
        <w:wordWrap/>
        <w:overflowPunct/>
        <w:topLinePunct w:val="0"/>
        <w:autoSpaceDE/>
        <w:autoSpaceDN/>
        <w:bidi w:val="0"/>
        <w:spacing w:before="0" w:after="0" w:line="360" w:lineRule="auto"/>
        <w:ind w:firstLine="560" w:firstLineChars="200"/>
        <w:textAlignment w:val="auto"/>
        <w:outlineLvl w:val="1"/>
        <w:rPr>
          <w:rFonts w:hint="eastAsia" w:ascii="仿宋_GB2312" w:hAnsi="仿宋" w:eastAsia="仿宋_GB2312" w:cs="仿宋"/>
          <w:b w:val="0"/>
          <w:kern w:val="0"/>
          <w:sz w:val="28"/>
          <w:szCs w:val="28"/>
          <w:lang w:val="en-US" w:eastAsia="zh-CN" w:bidi="ar-SA"/>
        </w:rPr>
      </w:pPr>
      <w:bookmarkStart w:id="4" w:name="_Toc30941"/>
      <w:r>
        <w:rPr>
          <w:rFonts w:hint="eastAsia" w:ascii="仿宋_GB2312" w:hAnsi="仿宋" w:eastAsia="仿宋_GB2312" w:cs="仿宋"/>
          <w:b w:val="0"/>
          <w:kern w:val="0"/>
          <w:sz w:val="28"/>
          <w:szCs w:val="28"/>
          <w:lang w:val="en-US" w:eastAsia="zh-CN" w:bidi="ar-SA"/>
        </w:rPr>
        <w:t>参赛学生端电脑软件</w:t>
      </w:r>
      <w:bookmarkEnd w:id="4"/>
    </w:p>
    <w:tbl>
      <w:tblPr>
        <w:tblStyle w:val="9"/>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名称</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系统/软件</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操作系统</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windows 7</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仿宋" w:hAnsi="仿宋" w:eastAsia="仿宋" w:cs="仿宋"/>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浏览器</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chrome48.0.2564.97</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仿宋" w:hAnsi="仿宋" w:eastAsia="仿宋" w:cs="仿宋"/>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软件</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office2010</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sz w:val="24"/>
              </w:rPr>
            </w:pPr>
            <w:r>
              <w:rPr>
                <w:rFonts w:hint="eastAsia" w:ascii="仿宋" w:hAnsi="仿宋" w:eastAsia="仿宋" w:cs="仿宋"/>
                <w:sz w:val="24"/>
              </w:rPr>
              <w:t>PhotoshopCS6</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搜狗输入法</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仿宋" w:hAnsi="仿宋" w:eastAsia="仿宋" w:cs="仿宋"/>
                <w:color w:val="000000" w:themeColor="text1"/>
                <w:sz w:val="24"/>
              </w:rPr>
            </w:pPr>
          </w:p>
        </w:tc>
      </w:tr>
    </w:tbl>
    <w:p>
      <w:pPr>
        <w:pStyle w:val="3"/>
        <w:pageBreakBefore w:val="0"/>
        <w:numPr>
          <w:ilvl w:val="0"/>
          <w:numId w:val="9"/>
        </w:numPr>
        <w:kinsoku/>
        <w:wordWrap/>
        <w:overflowPunct/>
        <w:topLinePunct w:val="0"/>
        <w:autoSpaceDE/>
        <w:autoSpaceDN/>
        <w:bidi w:val="0"/>
        <w:spacing w:before="0" w:after="0" w:line="360" w:lineRule="auto"/>
        <w:ind w:firstLine="560" w:firstLineChars="200"/>
        <w:textAlignment w:val="auto"/>
        <w:outlineLvl w:val="1"/>
        <w:rPr>
          <w:rFonts w:hint="eastAsia" w:ascii="仿宋_GB2312" w:hAnsi="仿宋" w:eastAsia="仿宋_GB2312" w:cs="仿宋"/>
          <w:b w:val="0"/>
          <w:kern w:val="0"/>
          <w:sz w:val="28"/>
          <w:szCs w:val="28"/>
          <w:lang w:val="en-US" w:eastAsia="zh-CN" w:bidi="ar-SA"/>
        </w:rPr>
      </w:pPr>
      <w:bookmarkStart w:id="5" w:name="_Toc18912"/>
      <w:r>
        <w:rPr>
          <w:rFonts w:hint="eastAsia" w:ascii="仿宋_GB2312" w:hAnsi="仿宋" w:eastAsia="仿宋_GB2312" w:cs="仿宋"/>
          <w:b w:val="0"/>
          <w:kern w:val="0"/>
          <w:sz w:val="28"/>
          <w:szCs w:val="28"/>
          <w:lang w:val="en-US" w:eastAsia="zh-CN" w:bidi="ar-SA"/>
        </w:rPr>
        <w:t>参赛学生端电脑硬件</w:t>
      </w:r>
      <w:bookmarkEnd w:id="5"/>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764"/>
        <w:gridCol w:w="2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配件</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最低配置</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推荐配置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CPU</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Intel 奔腾双核 G2020</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Intel 酷睿双核 i3-3240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内存</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&gt;=4G bytes</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&gt;=8G bytes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显示器分辨率</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1440*900</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1440*900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网卡</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100M</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100M或1000M</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lang w:val="en-US" w:eastAsia="zh-CN"/>
        </w:rPr>
        <w:t>九</w:t>
      </w:r>
      <w:r>
        <w:rPr>
          <w:rFonts w:hint="eastAsia" w:ascii="仿宋_GB2312" w:hAnsi="黑体" w:eastAsia="仿宋_GB2312" w:cs="黑体"/>
          <w:b/>
          <w:bCs/>
          <w:sz w:val="28"/>
          <w:szCs w:val="28"/>
        </w:rPr>
        <w:t>、成绩评定</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竞赛分为三部分：微店设计与装修、微信公众号运营和企业移动商务运营。模块权重分别为20%、35%、45%，其中：</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微店设计与装修得分=系统评分*50%+评委评分*50%；</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微信公众号运营得分=系统评分*50%+评委评分*50%；</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企业移动商务运营得分为系统评分。 </w:t>
      </w:r>
    </w:p>
    <w:p>
      <w:pPr>
        <w:pStyle w:val="3"/>
        <w:keepNext/>
        <w:keepLines/>
        <w:pageBreakBefore w:val="0"/>
        <w:widowControl w:val="0"/>
        <w:kinsoku/>
        <w:wordWrap/>
        <w:overflowPunct/>
        <w:topLinePunct w:val="0"/>
        <w:autoSpaceDE/>
        <w:autoSpaceDN/>
        <w:bidi w:val="0"/>
        <w:adjustRightInd/>
        <w:snapToGrid/>
        <w:spacing w:before="100" w:beforeAutospacing="1" w:after="100" w:afterAutospacing="1" w:line="416" w:lineRule="auto"/>
        <w:ind w:firstLine="562" w:firstLineChars="200"/>
        <w:textAlignment w:val="auto"/>
        <w:outlineLvl w:val="1"/>
        <w:rPr>
          <w:rFonts w:hint="eastAsia" w:ascii="仿宋" w:hAnsi="仿宋" w:eastAsia="仿宋" w:cs="仿宋"/>
          <w:b/>
          <w:sz w:val="28"/>
          <w:szCs w:val="28"/>
        </w:rPr>
      </w:pPr>
      <w:bookmarkStart w:id="6" w:name="_Toc514174733"/>
      <w:r>
        <w:rPr>
          <w:rFonts w:hint="eastAsia" w:ascii="仿宋" w:hAnsi="仿宋" w:eastAsia="仿宋" w:cs="仿宋"/>
          <w:b/>
          <w:sz w:val="28"/>
          <w:szCs w:val="28"/>
        </w:rPr>
        <w:t>（</w:t>
      </w:r>
      <w:r>
        <w:rPr>
          <w:rFonts w:hint="eastAsia" w:ascii="仿宋" w:hAnsi="仿宋" w:cs="仿宋"/>
          <w:b/>
          <w:sz w:val="28"/>
          <w:szCs w:val="28"/>
          <w:lang w:eastAsia="zh-CN"/>
        </w:rPr>
        <w:t>一</w:t>
      </w:r>
      <w:r>
        <w:rPr>
          <w:rFonts w:hint="eastAsia" w:ascii="仿宋" w:hAnsi="仿宋" w:eastAsia="仿宋" w:cs="仿宋"/>
          <w:b/>
          <w:sz w:val="28"/>
          <w:szCs w:val="28"/>
        </w:rPr>
        <w:t>）微店设计与装修</w:t>
      </w:r>
      <w:bookmarkEnd w:id="6"/>
    </w:p>
    <w:p>
      <w:pPr>
        <w:spacing w:line="560" w:lineRule="exact"/>
        <w:ind w:firstLine="560" w:firstLineChars="200"/>
        <w:outlineLvl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1.系统评分</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8"/>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b/>
                <w:sz w:val="24"/>
              </w:rPr>
            </w:pPr>
            <w:r>
              <w:rPr>
                <w:rFonts w:hint="eastAsia" w:ascii="仿宋" w:hAnsi="仿宋" w:eastAsia="仿宋" w:cs="仿宋"/>
                <w:b/>
                <w:sz w:val="24"/>
              </w:rPr>
              <w:t>评分要求</w:t>
            </w:r>
          </w:p>
        </w:tc>
        <w:tc>
          <w:tcPr>
            <w:tcW w:w="4148" w:type="dxa"/>
          </w:tcPr>
          <w:p>
            <w:pPr>
              <w:spacing w:line="360" w:lineRule="auto"/>
              <w:jc w:val="center"/>
              <w:rPr>
                <w:rFonts w:hint="eastAsia" w:ascii="仿宋" w:hAnsi="仿宋" w:eastAsia="仿宋" w:cs="仿宋"/>
                <w:b/>
                <w:sz w:val="24"/>
              </w:rPr>
            </w:pPr>
            <w:r>
              <w:rPr>
                <w:rFonts w:hint="eastAsia" w:ascii="仿宋" w:hAnsi="仿宋" w:eastAsia="仿宋" w:cs="仿宋"/>
                <w:b/>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gridSpan w:val="2"/>
          </w:tcPr>
          <w:p>
            <w:pPr>
              <w:spacing w:line="360" w:lineRule="auto"/>
              <w:jc w:val="center"/>
              <w:rPr>
                <w:rFonts w:hint="eastAsia" w:ascii="仿宋" w:hAnsi="仿宋" w:eastAsia="仿宋" w:cs="仿宋"/>
                <w:b/>
                <w:sz w:val="24"/>
              </w:rPr>
            </w:pPr>
            <w:r>
              <w:rPr>
                <w:rFonts w:hint="eastAsia" w:ascii="仿宋" w:hAnsi="仿宋" w:eastAsia="仿宋" w:cs="仿宋"/>
                <w:b/>
                <w:sz w:val="24"/>
              </w:rPr>
              <w:t>首页设计与装修 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图片尺寸</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店铺招牌</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竖图广告</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底部导航</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gridSpan w:val="2"/>
          </w:tcPr>
          <w:p>
            <w:pPr>
              <w:spacing w:line="360" w:lineRule="auto"/>
              <w:jc w:val="center"/>
              <w:rPr>
                <w:rFonts w:hint="eastAsia" w:ascii="仿宋" w:hAnsi="仿宋" w:eastAsia="仿宋" w:cs="仿宋"/>
                <w:b/>
                <w:sz w:val="24"/>
              </w:rPr>
            </w:pPr>
            <w:r>
              <w:rPr>
                <w:rFonts w:hint="eastAsia" w:ascii="仿宋" w:hAnsi="仿宋" w:eastAsia="仿宋" w:cs="仿宋"/>
                <w:b/>
                <w:sz w:val="24"/>
              </w:rPr>
              <w:t>商品展示与销售 28分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首页商品</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详情页商品</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19分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海报页商品</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gridSpan w:val="2"/>
          </w:tcPr>
          <w:p>
            <w:pPr>
              <w:spacing w:line="360" w:lineRule="auto"/>
              <w:jc w:val="center"/>
              <w:rPr>
                <w:rFonts w:hint="eastAsia" w:ascii="仿宋" w:hAnsi="仿宋" w:eastAsia="仿宋" w:cs="仿宋"/>
                <w:b/>
                <w:sz w:val="24"/>
              </w:rPr>
            </w:pPr>
            <w:r>
              <w:rPr>
                <w:rFonts w:hint="eastAsia" w:ascii="仿宋" w:hAnsi="仿宋" w:eastAsia="仿宋" w:cs="仿宋"/>
                <w:b/>
                <w:sz w:val="24"/>
              </w:rPr>
              <w:t>店铺营销与推广 33分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店铺动态</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18分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活动海报</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营销推广</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gridSpan w:val="2"/>
          </w:tcPr>
          <w:p>
            <w:pPr>
              <w:spacing w:line="360" w:lineRule="auto"/>
              <w:jc w:val="center"/>
              <w:rPr>
                <w:rFonts w:hint="eastAsia" w:ascii="仿宋" w:hAnsi="仿宋" w:eastAsia="仿宋" w:cs="仿宋"/>
                <w:b/>
                <w:sz w:val="24"/>
              </w:rPr>
            </w:pPr>
            <w:r>
              <w:rPr>
                <w:rFonts w:hint="eastAsia" w:ascii="仿宋" w:hAnsi="仿宋" w:eastAsia="仿宋" w:cs="仿宋"/>
                <w:b/>
                <w:sz w:val="24"/>
              </w:rPr>
              <w:t>App生成与设置 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App生成</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App设置</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4分</w:t>
            </w:r>
          </w:p>
        </w:tc>
      </w:tr>
    </w:tbl>
    <w:p>
      <w:pPr>
        <w:spacing w:line="560" w:lineRule="exact"/>
        <w:ind w:firstLine="560" w:firstLineChars="200"/>
        <w:outlineLvl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2.评委评分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（1）店铺招牌 10分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店铺名称与行业及主营商品关联，读起来朗朗上口，容易被记住 3分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Logo具有创意和寓意，与店铺名称具有关联性，容易产生品牌/商品联想 3分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背景图片设计美观、简洁，体现店铺特色 3分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店铺招牌整体设计和谐统一，各元素之间相互呼应 1分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（2）竖图广告 10分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竖图广告文案围绕“上新”展开，内容具有创意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图片设计具有艺术感和层次感，整体色调、风格与店铺一致，有较强的视觉冲击力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（3）商品展示 20分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首页的主推商品具有明确标识，与普通商品有明显区分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详情页商品标题信息传递准确，能够吸引点击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详情页商品主图突出商品卖点，主图比例恰当、文字与商品协调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详情页商品辅图既包含商品展示也包含商品细节呈现，让顾客能够放心购买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详情页商品详情信息全面，包含商品展示、商品细节、包装信息、参数信息、物流信息、售后信息、顾客好评等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（4）店铺动态 20分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头部轮播图，至少有2张，一张展示店铺优惠活动，包含活动主题、优惠力度等信息；另一张展示促销商品，突出商品卖点 6分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图文动态，至少发布2条，文案围绕主推商品、买家秀、促销活动等内容展开，图片与文案相关、链接与内容相匹配、话题与文案主题相关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文字动态，至少发布2条，文案有新意，包含活动预热、店长密语等内容，话题具有讨论性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页面整体色调统一、布局合理、内容丰富，能够完整呈现店铺的动态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（5）活动海报 15分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海报主题突出，广告及商品右上角带有主题标签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海报内图文穿插，突出主题活动的优惠力度，能够吸引顾客进店购买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海报整体风格与店铺风格协调，具有良好的视觉体验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（6）独立App 10分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App简介与功能介绍编写恰当，能够吸引用户下载使用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启动页色彩搭配与店铺风格统一，与首页过渡和谐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（7）整体效果 15分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装修风格和色彩搭配符合主营行业特性和商品特色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整体布局合理，功能区搭配及位置摆放符合用户使用习惯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店铺整体装修效果突出，吸引顾客二次进店 5分</w:t>
      </w:r>
    </w:p>
    <w:p>
      <w:pPr>
        <w:pStyle w:val="3"/>
        <w:keepNext/>
        <w:keepLines/>
        <w:pageBreakBefore w:val="0"/>
        <w:widowControl w:val="0"/>
        <w:kinsoku/>
        <w:wordWrap/>
        <w:overflowPunct/>
        <w:topLinePunct w:val="0"/>
        <w:autoSpaceDE/>
        <w:autoSpaceDN/>
        <w:bidi w:val="0"/>
        <w:adjustRightInd/>
        <w:snapToGrid/>
        <w:spacing w:before="100" w:beforeAutospacing="1" w:after="100" w:afterAutospacing="1" w:line="416" w:lineRule="auto"/>
        <w:ind w:firstLine="562" w:firstLineChars="200"/>
        <w:textAlignment w:val="auto"/>
        <w:outlineLvl w:val="1"/>
        <w:rPr>
          <w:rFonts w:hint="eastAsia" w:ascii="仿宋" w:hAnsi="仿宋" w:eastAsia="仿宋" w:cs="仿宋"/>
          <w:b/>
          <w:bCs w:val="0"/>
          <w:color w:val="000000" w:themeColor="text1"/>
          <w:sz w:val="24"/>
          <w:szCs w:val="22"/>
        </w:rPr>
      </w:pPr>
      <w:bookmarkStart w:id="7" w:name="_Toc514174734"/>
      <w:r>
        <w:rPr>
          <w:rFonts w:hint="eastAsia" w:ascii="仿宋" w:hAnsi="仿宋" w:eastAsia="仿宋" w:cs="仿宋"/>
          <w:b/>
          <w:sz w:val="28"/>
          <w:szCs w:val="28"/>
        </w:rPr>
        <w:t>（</w:t>
      </w:r>
      <w:r>
        <w:rPr>
          <w:rFonts w:hint="eastAsia" w:ascii="仿宋" w:hAnsi="仿宋" w:cs="仿宋"/>
          <w:b/>
          <w:sz w:val="28"/>
          <w:szCs w:val="28"/>
          <w:lang w:eastAsia="zh-CN"/>
        </w:rPr>
        <w:t>二</w:t>
      </w:r>
      <w:r>
        <w:rPr>
          <w:rFonts w:hint="eastAsia" w:ascii="仿宋" w:hAnsi="仿宋" w:eastAsia="仿宋" w:cs="仿宋"/>
          <w:b/>
          <w:sz w:val="28"/>
          <w:szCs w:val="28"/>
        </w:rPr>
        <w:t>） 微信公众号运营</w:t>
      </w:r>
      <w:bookmarkEnd w:id="7"/>
    </w:p>
    <w:p>
      <w:pPr>
        <w:ind w:firstLine="420"/>
        <w:outlineLvl w:val="2"/>
        <w:rPr>
          <w:rFonts w:hint="eastAsia" w:ascii="仿宋" w:hAnsi="仿宋" w:eastAsia="仿宋" w:cs="仿宋"/>
          <w:color w:val="000000" w:themeColor="text1"/>
          <w:sz w:val="24"/>
        </w:rPr>
      </w:pPr>
      <w:r>
        <w:rPr>
          <w:rFonts w:hint="eastAsia" w:ascii="仿宋_GB2312" w:hAnsi="仿宋_GB2312" w:eastAsia="仿宋_GB2312" w:cs="仿宋_GB2312"/>
          <w:sz w:val="28"/>
          <w:szCs w:val="28"/>
        </w:rPr>
        <w:t>1.系统评分</w:t>
      </w:r>
    </w:p>
    <w:tbl>
      <w:tblPr>
        <w:tblStyle w:val="9"/>
        <w:tblW w:w="82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8"/>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评分指标</w:t>
            </w:r>
          </w:p>
        </w:tc>
        <w:tc>
          <w:tcPr>
            <w:tcW w:w="4148" w:type="dxa"/>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96" w:type="dxa"/>
            <w:gridSpan w:val="2"/>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公众号基础建设 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公众号定位</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底部导航菜单设置</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关注时回复与帮助 </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96" w:type="dxa"/>
            <w:gridSpan w:val="2"/>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内容规划与设计 32分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微网站搭建</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图文回复 </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微场景</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96" w:type="dxa"/>
            <w:gridSpan w:val="2"/>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推广与运营 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会员卡</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微调研</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微互动/微活动/游戏贺卡</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96" w:type="dxa"/>
            <w:gridSpan w:val="2"/>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客户服务 25分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客服设置</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客户服务</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客服处理时长</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客户咨询处理</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客户关系管理</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6分</w:t>
            </w:r>
          </w:p>
        </w:tc>
      </w:tr>
    </w:tbl>
    <w:p>
      <w:pPr>
        <w:ind w:firstLine="420"/>
        <w:outlineLvl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2.评委评分</w:t>
      </w:r>
    </w:p>
    <w:p>
      <w:pPr>
        <w:ind w:firstLine="420"/>
        <w:rPr>
          <w:rFonts w:hint="eastAsia" w:ascii="仿宋_GB2312" w:hAnsi="仿宋_GB2312" w:eastAsia="仿宋_GB2312" w:cs="仿宋_GB2312"/>
          <w:sz w:val="28"/>
          <w:szCs w:val="28"/>
        </w:rPr>
      </w:pPr>
      <w:bookmarkStart w:id="8" w:name="_Toc514174735"/>
      <w:r>
        <w:rPr>
          <w:rFonts w:hint="eastAsia" w:ascii="仿宋_GB2312" w:hAnsi="仿宋_GB2312" w:eastAsia="仿宋_GB2312" w:cs="仿宋_GB2312"/>
          <w:sz w:val="28"/>
          <w:szCs w:val="28"/>
        </w:rPr>
        <w:t>（1）公众号建设 15分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公众号名称容易识别；logo设计有寓意；描述与企业或品牌等内容相关 6分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底部导航菜单分类明确，结构合理，一级导航与二级导航间具有包含关系 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自动回复语句亲和，向用户提供有效信息，并能起到一定的引导作用 4分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（2）营销文案策划 30分</w:t>
      </w:r>
    </w:p>
    <w:p>
      <w:pPr>
        <w:ind w:firstLine="420"/>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必须包含以下三种类型文案，缺少一项，则该项不得分。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商品导购文案：文案内容可通过导航菜单获取；采用图文结合的方式，排版美观。标题具有吸引力，能够吸引消费者点击；内容包含用户购买场景、产品信息、关注或购买引导等 10分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品牌故事文案：文案内容可通过导航菜单获取；采用图文结合的方式，形式新颖。标题有创意，能够将用户带入故事情境；内容能够凸显品牌的特点，体现品牌态度和理念；且突出情感色彩 10分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活动促销文案：场景文案可通过导航菜单获取；视觉传达效果好。文案内容包含“6.18”、“双11”、“双12”、“圣诞节”等电商节庆的相关活动信息和元素，体现促销力度；能够传递产品卖点信息；并引导用户购买 10分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（3）市场调研推广 10分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问卷有较强的时效性，确保用户能够在接受调研时看到问卷的内容 2分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标题设置简明扼要，明确体现调查的目的 2分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问卷设计结构合理、逻辑性强，包含被调查者信息收集、产品消费情况调查两部分 6分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（4）公众号运营方案 30分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展现形式：模拟器中输入关键字“方案”，可获取方案内容；方案排版简洁大方，内容布局合理 4分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内容设计：运营方案必须包含公众号定位、内容规划、推广策略以及预期运营效果四部分。公众号定位结合行业情况进行分析，内容详实，具有指导作用；内容规划和推广策略结合公众号现有内容进行阐述，能为目标用户提供合适的内容，并能吸引大量粉丝；实施过程步骤清晰，目的明确 20分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内容创新度：内容设计在以上要求外有拓展，拓展内容观点明确，思路清晰，表述详细且合理，可依据方案内容酌情评分 6分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（5）界面整体要求 15分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图片清晰美观、不压缩变形，具有良好的视觉传达效果 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公众号功能布局合理，用户体验良好，能够方便快捷的查阅公众号的各项内容 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公众号整体内容丰富、协调，与行业特色相符合 5分</w:t>
      </w:r>
    </w:p>
    <w:p>
      <w:pPr>
        <w:pStyle w:val="3"/>
        <w:keepNext/>
        <w:keepLines/>
        <w:pageBreakBefore w:val="0"/>
        <w:widowControl w:val="0"/>
        <w:kinsoku/>
        <w:wordWrap/>
        <w:overflowPunct/>
        <w:topLinePunct w:val="0"/>
        <w:autoSpaceDE/>
        <w:autoSpaceDN/>
        <w:bidi w:val="0"/>
        <w:adjustRightInd/>
        <w:snapToGrid/>
        <w:spacing w:before="100" w:beforeAutospacing="1" w:after="100" w:afterAutospacing="1" w:line="416" w:lineRule="auto"/>
        <w:ind w:firstLine="562" w:firstLineChars="200"/>
        <w:textAlignment w:val="auto"/>
        <w:outlineLvl w:val="1"/>
        <w:rPr>
          <w:rFonts w:hint="eastAsia" w:ascii="仿宋" w:hAnsi="仿宋" w:eastAsia="仿宋" w:cs="仿宋"/>
          <w:b/>
          <w:sz w:val="28"/>
          <w:szCs w:val="28"/>
        </w:rPr>
      </w:pPr>
      <w:r>
        <w:rPr>
          <w:rFonts w:hint="eastAsia" w:ascii="仿宋" w:hAnsi="仿宋" w:eastAsia="仿宋" w:cs="仿宋"/>
          <w:b/>
          <w:sz w:val="28"/>
          <w:szCs w:val="28"/>
        </w:rPr>
        <w:t>（</w:t>
      </w:r>
      <w:r>
        <w:rPr>
          <w:rFonts w:hint="eastAsia" w:ascii="仿宋" w:hAnsi="仿宋" w:cs="仿宋"/>
          <w:b/>
          <w:sz w:val="28"/>
          <w:szCs w:val="28"/>
          <w:lang w:eastAsia="zh-CN"/>
        </w:rPr>
        <w:t>三</w:t>
      </w:r>
      <w:r>
        <w:rPr>
          <w:rFonts w:hint="eastAsia" w:ascii="仿宋" w:hAnsi="仿宋" w:eastAsia="仿宋" w:cs="仿宋"/>
          <w:b/>
          <w:sz w:val="28"/>
          <w:szCs w:val="28"/>
        </w:rPr>
        <w:t>）企业移动商务运营</w:t>
      </w:r>
      <w:bookmarkEnd w:id="8"/>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企业移动商务运营得分全部采用系统评分，体现出其真实、客观和公正性，具体评分指标与权重参见下表：</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1"/>
        <w:gridCol w:w="2076"/>
        <w:gridCol w:w="2072"/>
        <w:gridCol w:w="2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一级指标</w:t>
            </w:r>
          </w:p>
        </w:tc>
        <w:tc>
          <w:tcPr>
            <w:tcW w:w="2076"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权重</w:t>
            </w:r>
          </w:p>
        </w:tc>
        <w:tc>
          <w:tcPr>
            <w:tcW w:w="2072"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二级指标</w:t>
            </w:r>
          </w:p>
        </w:tc>
        <w:tc>
          <w:tcPr>
            <w:tcW w:w="2077"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权重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运营</w:t>
            </w:r>
          </w:p>
        </w:tc>
        <w:tc>
          <w:tcPr>
            <w:tcW w:w="207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35%</w:t>
            </w: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商品价格竞争力</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continue"/>
            <w:vAlign w:val="center"/>
          </w:tcPr>
          <w:p>
            <w:pPr>
              <w:jc w:val="center"/>
              <w:rPr>
                <w:rFonts w:hint="eastAsia" w:ascii="仿宋" w:hAnsi="仿宋" w:eastAsia="仿宋" w:cs="仿宋"/>
                <w:sz w:val="24"/>
                <w:szCs w:val="24"/>
              </w:rPr>
            </w:pPr>
          </w:p>
        </w:tc>
        <w:tc>
          <w:tcPr>
            <w:tcW w:w="2076" w:type="dxa"/>
            <w:vMerge w:val="continue"/>
            <w:vAlign w:val="center"/>
          </w:tcPr>
          <w:p>
            <w:pPr>
              <w:jc w:val="cente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流量</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continue"/>
            <w:vAlign w:val="center"/>
          </w:tcPr>
          <w:p>
            <w:pPr>
              <w:jc w:val="center"/>
              <w:rPr>
                <w:rFonts w:hint="eastAsia" w:ascii="仿宋" w:hAnsi="仿宋" w:eastAsia="仿宋" w:cs="仿宋"/>
                <w:sz w:val="24"/>
                <w:szCs w:val="24"/>
              </w:rPr>
            </w:pPr>
          </w:p>
        </w:tc>
        <w:tc>
          <w:tcPr>
            <w:tcW w:w="2076" w:type="dxa"/>
            <w:vMerge w:val="continue"/>
            <w:vAlign w:val="center"/>
          </w:tcPr>
          <w:p>
            <w:pPr>
              <w:jc w:val="cente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成交转化率</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营销</w:t>
            </w:r>
          </w:p>
        </w:tc>
        <w:tc>
          <w:tcPr>
            <w:tcW w:w="207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15%</w:t>
            </w: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营销互动率</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continue"/>
            <w:vAlign w:val="center"/>
          </w:tcPr>
          <w:p>
            <w:pPr>
              <w:jc w:val="center"/>
              <w:rPr>
                <w:rFonts w:hint="eastAsia" w:ascii="仿宋" w:hAnsi="仿宋" w:eastAsia="仿宋" w:cs="仿宋"/>
                <w:sz w:val="24"/>
                <w:szCs w:val="24"/>
              </w:rPr>
            </w:pPr>
          </w:p>
        </w:tc>
        <w:tc>
          <w:tcPr>
            <w:tcW w:w="2076" w:type="dxa"/>
            <w:vMerge w:val="continue"/>
            <w:vAlign w:val="center"/>
          </w:tcPr>
          <w:p>
            <w:pPr>
              <w:jc w:val="cente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营销质量度</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客户</w:t>
            </w:r>
          </w:p>
        </w:tc>
        <w:tc>
          <w:tcPr>
            <w:tcW w:w="207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10%</w:t>
            </w: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市场份额</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continue"/>
            <w:vAlign w:val="center"/>
          </w:tcPr>
          <w:p>
            <w:pPr>
              <w:jc w:val="center"/>
              <w:rPr>
                <w:rFonts w:hint="eastAsia" w:ascii="仿宋" w:hAnsi="仿宋" w:eastAsia="仿宋" w:cs="仿宋"/>
                <w:sz w:val="24"/>
                <w:szCs w:val="24"/>
              </w:rPr>
            </w:pPr>
          </w:p>
        </w:tc>
        <w:tc>
          <w:tcPr>
            <w:tcW w:w="2076" w:type="dxa"/>
            <w:vMerge w:val="continue"/>
            <w:vAlign w:val="center"/>
          </w:tcPr>
          <w:p>
            <w:pPr>
              <w:jc w:val="cente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客户满意度</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财务</w:t>
            </w:r>
          </w:p>
        </w:tc>
        <w:tc>
          <w:tcPr>
            <w:tcW w:w="207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40%</w:t>
            </w: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销售额</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continue"/>
          </w:tcPr>
          <w:p>
            <w:pPr>
              <w:rPr>
                <w:rFonts w:hint="eastAsia" w:ascii="仿宋" w:hAnsi="仿宋" w:eastAsia="仿宋" w:cs="仿宋"/>
                <w:sz w:val="24"/>
                <w:szCs w:val="24"/>
              </w:rPr>
            </w:pPr>
          </w:p>
        </w:tc>
        <w:tc>
          <w:tcPr>
            <w:tcW w:w="2076" w:type="dxa"/>
            <w:vMerge w:val="continue"/>
          </w:tcPr>
          <w:p>
            <w:pP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利润率</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2071" w:type="dxa"/>
            <w:vMerge w:val="continue"/>
          </w:tcPr>
          <w:p>
            <w:pPr>
              <w:rPr>
                <w:rFonts w:hint="eastAsia" w:ascii="仿宋" w:hAnsi="仿宋" w:eastAsia="仿宋" w:cs="仿宋"/>
                <w:sz w:val="24"/>
                <w:szCs w:val="24"/>
              </w:rPr>
            </w:pPr>
          </w:p>
        </w:tc>
        <w:tc>
          <w:tcPr>
            <w:tcW w:w="2076" w:type="dxa"/>
            <w:vMerge w:val="continue"/>
          </w:tcPr>
          <w:p>
            <w:pP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预算控制</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r>
    </w:tbl>
    <w:p>
      <w:pPr>
        <w:spacing w:line="560" w:lineRule="exact"/>
        <w:ind w:firstLine="562" w:firstLineChars="200"/>
        <w:outlineLvl w:val="0"/>
        <w:rPr>
          <w:rFonts w:hint="eastAsia" w:ascii="仿宋_GB2312" w:hAnsi="黑体" w:eastAsia="仿宋_GB2312" w:cs="黑体"/>
          <w:b/>
          <w:bCs/>
          <w:sz w:val="28"/>
          <w:szCs w:val="28"/>
        </w:rPr>
      </w:pPr>
      <w:r>
        <w:rPr>
          <w:rFonts w:hint="eastAsia" w:ascii="仿宋_GB2312" w:hAnsi="黑体" w:eastAsia="仿宋_GB2312" w:cs="黑体"/>
          <w:b/>
          <w:bCs/>
          <w:sz w:val="28"/>
          <w:szCs w:val="28"/>
        </w:rPr>
        <w:t>十、奖项设定</w:t>
      </w:r>
    </w:p>
    <w:p>
      <w:pPr>
        <w:pStyle w:val="17"/>
        <w:snapToGrid w:val="0"/>
        <w:spacing w:beforeLines="0" w:afterLines="0" w:line="560" w:lineRule="exact"/>
        <w:ind w:firstLine="560"/>
        <w:rPr>
          <w:rFonts w:ascii="仿宋_GB2312" w:hAnsi="仿宋" w:cs="仿宋"/>
        </w:rPr>
      </w:pPr>
      <w:r>
        <w:rPr>
          <w:rFonts w:hint="eastAsia" w:ascii="仿宋_GB2312" w:hAnsi="仿宋" w:cs="仿宋"/>
        </w:rPr>
        <w:t>1.设团体一、二、三等奖，以赛项实际参赛队总数为基数，一、二、三等奖获奖比例分别为10%、20%、30%（小数点后四舍五入）。</w:t>
      </w:r>
    </w:p>
    <w:p>
      <w:pPr>
        <w:spacing w:line="560" w:lineRule="exact"/>
        <w:ind w:firstLine="560"/>
        <w:rPr>
          <w:rFonts w:ascii="仿宋_GB2312" w:hAnsi="仿宋" w:eastAsia="仿宋_GB2312" w:cs="仿宋"/>
          <w:sz w:val="28"/>
          <w:szCs w:val="28"/>
        </w:rPr>
      </w:pPr>
      <w:r>
        <w:rPr>
          <w:rFonts w:hint="eastAsia" w:ascii="仿宋_GB2312" w:hAnsi="仿宋" w:eastAsia="仿宋_GB2312" w:cs="仿宋"/>
          <w:sz w:val="28"/>
          <w:szCs w:val="28"/>
        </w:rPr>
        <w:t>2.获得一等奖的参赛队指导教师由组委会颁发优秀指导教师证书。</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一</w:t>
      </w:r>
      <w:r>
        <w:rPr>
          <w:rFonts w:hint="eastAsia" w:ascii="仿宋_GB2312" w:hAnsi="黑体" w:eastAsia="仿宋_GB2312" w:cs="黑体"/>
          <w:b/>
          <w:bCs/>
          <w:sz w:val="28"/>
          <w:szCs w:val="28"/>
        </w:rPr>
        <w:t>、赛场预案</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（一）非正常停电</w:t>
      </w:r>
    </w:p>
    <w:p>
      <w:pPr>
        <w:pStyle w:val="17"/>
        <w:snapToGrid w:val="0"/>
        <w:spacing w:beforeLines="0" w:afterLines="0" w:line="560" w:lineRule="exact"/>
        <w:ind w:firstLine="560"/>
        <w:rPr>
          <w:rFonts w:ascii="仿宋_GB2312" w:hAnsi="仿宋" w:cs="仿宋"/>
        </w:rPr>
      </w:pPr>
      <w:r>
        <w:rPr>
          <w:rFonts w:hint="eastAsia" w:ascii="仿宋_GB2312" w:hAnsi="仿宋" w:cs="仿宋"/>
        </w:rPr>
        <w:t>竞赛现场如出现突然非正常停电的，按下述步骤进行处理：</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裁判员提示参赛选手，工作人员提示观摩人员要保持镇静，防止踩踏事件发生；</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裁判员提示参赛选手在电源保护装置的有效时间内备份计算机操作数据，并等候处理决定；</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必要时，保卫人员开启安全通道，有序疏散现场人员离场；</w:t>
      </w:r>
    </w:p>
    <w:p>
      <w:pPr>
        <w:pStyle w:val="17"/>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裁判长视情况决定启动备用电源或延迟竞赛。</w:t>
      </w:r>
    </w:p>
    <w:p>
      <w:pPr>
        <w:pStyle w:val="17"/>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现场电力恢复后，由裁判组集体商定根据竞赛内容特点的不同可采用继续比赛、顺延比赛时间、重赛等处理办法。</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（二）竞赛设备故障</w:t>
      </w:r>
    </w:p>
    <w:p>
      <w:pPr>
        <w:pStyle w:val="17"/>
        <w:snapToGrid w:val="0"/>
        <w:spacing w:beforeLines="0" w:afterLines="0" w:line="560" w:lineRule="exact"/>
        <w:ind w:firstLine="560"/>
        <w:rPr>
          <w:rFonts w:ascii="仿宋_GB2312" w:hAnsi="仿宋" w:cs="仿宋"/>
        </w:rPr>
      </w:pPr>
      <w:r>
        <w:rPr>
          <w:rFonts w:hint="eastAsia" w:ascii="仿宋_GB2312" w:hAnsi="仿宋" w:cs="仿宋"/>
        </w:rPr>
        <w:t>竞赛过程中，如遇竞赛设备故障，按下列程序报告并处理：</w:t>
      </w:r>
      <w:r>
        <w:rPr>
          <w:rFonts w:ascii="仿宋_GB2312" w:hAnsi="仿宋" w:cs="仿宋"/>
        </w:rPr>
        <w:t xml:space="preserve"> </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参赛选手持“故障”示意牌示意，说明故障现象，裁判员、技术员等应及时予以解决。</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确因设备无法继续操作，经由裁判员提出申请，报裁判长批准后，予以启用备用设备。</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竞赛软件都设置了关键节点的自动备份功能，裁判长根据实际情况授权工作人员恢复备份数据。</w:t>
      </w:r>
    </w:p>
    <w:p>
      <w:pPr>
        <w:pStyle w:val="17"/>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数据恢复正常后，由裁判组集体商定根据竞赛内容特点的不同可采用继续比赛、顺延比赛时间、重赛等处理办法。</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（三）参赛队员发生意外受伤或急病等情况</w:t>
      </w:r>
    </w:p>
    <w:p>
      <w:pPr>
        <w:pStyle w:val="17"/>
        <w:snapToGrid w:val="0"/>
        <w:spacing w:beforeLines="0" w:afterLines="0" w:line="560" w:lineRule="exact"/>
        <w:ind w:firstLine="560"/>
        <w:rPr>
          <w:rFonts w:ascii="仿宋_GB2312" w:hAnsi="仿宋" w:cs="仿宋"/>
        </w:rPr>
      </w:pPr>
      <w:r>
        <w:rPr>
          <w:rFonts w:hint="eastAsia" w:ascii="仿宋_GB2312" w:hAnsi="仿宋" w:cs="仿宋"/>
        </w:rPr>
        <w:t>参赛队员发生意外受伤或急病等情况，应按下列步骤进行处理：</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参赛选手持“医务”示意牌示意；</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现场医务人员迅速到达现场，救治或急送最近医院进行救治；</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参赛队其他队员可在不违反有关规定的情况下，协同完成竞赛事项。</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（四）参赛现场出现暴力，人员拥堵，急性传染病人员进入等情况</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参赛现场出现暴力，人员拥堵，急性传染病人员进入等情况，应按下述步骤进行处理：</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有关人员迅速向赛项总指挥汇报，并由赛项总指挥向赛项执委会汇报，并由赛项执委会根据事态发展情况确定是否及时报告公安部门，公共卫生部门及医疗部门，在保证赛场内人员人生安全的原则下，尽量不扩大事态；</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根据赛前制定的现场保卫人员的职责范围，以及突发情况应对的赛前演练安排，赛项保卫人员迅速就位，对赛场内除参赛队以外的其他人员进行有序疏散；</w:t>
      </w:r>
    </w:p>
    <w:p>
      <w:pPr>
        <w:pStyle w:val="17"/>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人员疏散后进行现场清理，如消毒，找出突发事件隐患并进行处理等；</w:t>
      </w:r>
    </w:p>
    <w:p>
      <w:pPr>
        <w:pStyle w:val="17"/>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进行处理后，在保证参赛队员人身安全的前提下，继续有序组织竞赛。</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（五）暴雨洪灾，火灾等事故</w:t>
      </w:r>
    </w:p>
    <w:p>
      <w:pPr>
        <w:spacing w:line="560" w:lineRule="exact"/>
        <w:ind w:firstLine="560" w:firstLineChars="200"/>
        <w:rPr>
          <w:rFonts w:ascii="仿宋_GB2312" w:hAnsi="仿宋" w:cs="仿宋"/>
          <w:sz w:val="28"/>
          <w:szCs w:val="28"/>
        </w:rPr>
      </w:pPr>
      <w:r>
        <w:rPr>
          <w:rFonts w:hint="eastAsia" w:ascii="Arial Narrow" w:hAnsi="Arial Narrow" w:eastAsia="仿宋_GB2312"/>
          <w:sz w:val="28"/>
          <w:szCs w:val="30"/>
        </w:rPr>
        <w:t>如遇暴雨洪灾，火灾等</w:t>
      </w:r>
      <w:r>
        <w:rPr>
          <w:rFonts w:hint="eastAsia" w:ascii="仿宋_GB2312" w:hAnsi="仿宋" w:cs="仿宋"/>
          <w:sz w:val="28"/>
          <w:szCs w:val="28"/>
        </w:rPr>
        <w:t>事故，应按下述步骤进行处理：</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赛项执委会负责与公安，医疗，气象，交通等部门取得联系，并根据情况确定是否继续竞赛；</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立即组织相关人员到现场，疏散人群，进行应急处理，如使用灭火装置灭掉明火等，必要时封存竞赛现场，停止竞赛；</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现场裁判做好参赛选手工作，工作人员做好观摩人员的思想工作，确保事态不人为扩张。</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二</w:t>
      </w:r>
      <w:r>
        <w:rPr>
          <w:rFonts w:hint="eastAsia" w:ascii="仿宋_GB2312" w:hAnsi="黑体" w:eastAsia="仿宋_GB2312" w:cs="黑体"/>
          <w:b/>
          <w:bCs/>
          <w:sz w:val="28"/>
          <w:szCs w:val="28"/>
        </w:rPr>
        <w:t>、赛项安全</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赛事安全是</w:t>
      </w:r>
      <w:r>
        <w:rPr>
          <w:rFonts w:hint="eastAsia" w:ascii="仿宋_GB2312" w:hAnsi="仿宋" w:cs="仿宋"/>
          <w:lang w:val="en-US" w:eastAsia="zh-CN"/>
        </w:rPr>
        <w:t>移动</w:t>
      </w:r>
      <w:r>
        <w:rPr>
          <w:rFonts w:hint="eastAsia" w:ascii="仿宋_GB2312" w:hAnsi="仿宋" w:cs="仿宋"/>
        </w:rPr>
        <w:t>商务技能竞赛一切工作顺利开展的先决条件，是赛事筹备和运行工作必须考虑的核心问题。赛项执委会采取切实有效措施保证大赛期间参赛选手、指导教师、工作人员及观众的人身安全。</w:t>
      </w:r>
    </w:p>
    <w:p>
      <w:pPr>
        <w:pStyle w:val="17"/>
        <w:adjustRightInd w:val="0"/>
        <w:snapToGrid w:val="0"/>
        <w:spacing w:beforeLines="0" w:afterLines="0" w:line="560" w:lineRule="exact"/>
        <w:ind w:firstLine="560"/>
        <w:outlineLvl w:val="1"/>
        <w:rPr>
          <w:rFonts w:ascii="仿宋_GB2312" w:hAnsi="仿宋" w:cs="仿宋"/>
        </w:rPr>
      </w:pPr>
      <w:bookmarkStart w:id="9" w:name="_Toc361563584"/>
      <w:r>
        <w:rPr>
          <w:rFonts w:hint="eastAsia" w:ascii="仿宋_GB2312" w:hAnsi="仿宋" w:cs="仿宋"/>
        </w:rPr>
        <w:t>（一）比赛环境</w:t>
      </w:r>
      <w:bookmarkEnd w:id="9"/>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赛场周围要设立警戒线，防止无关人员进入发生意外事件。比赛现场内应参照相关职业岗位的要求为选手提供必要的劳动保护。在具有危险性的操作环节，裁判员要严防选手出现错误操作。</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承办单位应提供保证应急预案实施的条件。对于比赛内容涉及高空作业、可能有坠物、大用电量、易发生火灾等情况的赛项，必须明确制度和预案，并配备急救人员与设施。</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执委会须会同承办单位制定开放赛场和体验区的人员疏导方案。赛场环境中存在人员密集、车流人流交错的区域，除了设置齐全的指示标志外，须增加引导人员，并开辟备用通道。</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大赛期间，承办单位须在赛场管理的关键岗位，增加力量，建立安全管理日志。</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pStyle w:val="17"/>
        <w:adjustRightInd w:val="0"/>
        <w:snapToGrid w:val="0"/>
        <w:spacing w:beforeLines="0" w:afterLines="0" w:line="560" w:lineRule="exact"/>
        <w:ind w:firstLine="560"/>
        <w:outlineLvl w:val="1"/>
        <w:rPr>
          <w:rFonts w:ascii="仿宋_GB2312" w:hAnsi="仿宋" w:cs="仿宋"/>
        </w:rPr>
      </w:pPr>
      <w:bookmarkStart w:id="10" w:name="_Toc361563585"/>
      <w:r>
        <w:rPr>
          <w:rFonts w:hint="eastAsia" w:ascii="仿宋_GB2312" w:hAnsi="仿宋" w:cs="仿宋"/>
        </w:rPr>
        <w:t>（二）生活条件</w:t>
      </w:r>
      <w:bookmarkEnd w:id="10"/>
    </w:p>
    <w:p>
      <w:pPr>
        <w:pStyle w:val="17"/>
        <w:numPr>
          <w:ilvl w:val="0"/>
          <w:numId w:val="11"/>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比赛期间，原则上由执委会统一安排参赛选手和指导教师食宿。承办单位须尊重少数民族的信仰及文化，根据国家相关的民族政策，安排好少数民族选手和教师的饮食起居。</w:t>
      </w:r>
    </w:p>
    <w:p>
      <w:pPr>
        <w:pStyle w:val="17"/>
        <w:numPr>
          <w:ilvl w:val="0"/>
          <w:numId w:val="11"/>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比赛期间安排的住宿地应具有宾馆/住宿经营许可资质。以学校宿舍作为住宿地的，大赛期间的住宿、卫生、饮食安全等由执委会和提供宿舍的学校共同负责。</w:t>
      </w:r>
    </w:p>
    <w:p>
      <w:pPr>
        <w:pStyle w:val="17"/>
        <w:numPr>
          <w:ilvl w:val="0"/>
          <w:numId w:val="11"/>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大赛期间有组织的参观和观摩活动的交通安全由执委会负责。执委会和承办单位须保证比赛期间选手、指导教师和裁判员、工作人员的交通安全。</w:t>
      </w:r>
    </w:p>
    <w:p>
      <w:pPr>
        <w:pStyle w:val="17"/>
        <w:numPr>
          <w:ilvl w:val="0"/>
          <w:numId w:val="11"/>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赛项的安全管理，除了可以采取必要的安全隔离措施外，应严格遵守国家相关法律法规，保护个人隐私和人身自由。</w:t>
      </w:r>
    </w:p>
    <w:p>
      <w:pPr>
        <w:pStyle w:val="17"/>
        <w:adjustRightInd w:val="0"/>
        <w:snapToGrid w:val="0"/>
        <w:spacing w:beforeLines="0" w:afterLines="0" w:line="560" w:lineRule="exact"/>
        <w:ind w:left="560" w:firstLine="0" w:firstLineChars="0"/>
        <w:outlineLvl w:val="1"/>
        <w:rPr>
          <w:rFonts w:ascii="仿宋_GB2312" w:hAnsi="仿宋" w:cs="仿宋"/>
        </w:rPr>
      </w:pPr>
      <w:bookmarkStart w:id="11" w:name="_Toc361563586"/>
      <w:r>
        <w:rPr>
          <w:rFonts w:hint="eastAsia" w:ascii="仿宋_GB2312" w:hAnsi="仿宋" w:cs="仿宋"/>
        </w:rPr>
        <w:t>（三）组队责任</w:t>
      </w:r>
      <w:bookmarkEnd w:id="11"/>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1.各学校组织代表队时，须安排为参赛选手购买大赛期间的人身意外伤害保险。</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2.各学校代表队组成后，须制定相关管理制度，并对所有选手、指导教师进行安全教育。</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3.各参赛队伍须加强对参与比赛人员的安全管理，实现与赛场安全管理的对接。</w:t>
      </w:r>
    </w:p>
    <w:p>
      <w:pPr>
        <w:pStyle w:val="17"/>
        <w:adjustRightInd w:val="0"/>
        <w:snapToGrid w:val="0"/>
        <w:spacing w:beforeLines="0" w:afterLines="0" w:line="560" w:lineRule="exact"/>
        <w:ind w:firstLine="560"/>
        <w:outlineLvl w:val="1"/>
        <w:rPr>
          <w:rFonts w:ascii="仿宋_GB2312" w:hAnsi="仿宋" w:cs="仿宋"/>
        </w:rPr>
      </w:pPr>
      <w:bookmarkStart w:id="12" w:name="_Toc361563587"/>
      <w:r>
        <w:rPr>
          <w:rFonts w:hint="eastAsia" w:ascii="仿宋_GB2312" w:hAnsi="仿宋" w:cs="仿宋"/>
        </w:rPr>
        <w:t>（四）应急处理</w:t>
      </w:r>
      <w:bookmarkEnd w:id="12"/>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比赛期间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pPr>
        <w:pStyle w:val="17"/>
        <w:adjustRightInd w:val="0"/>
        <w:snapToGrid w:val="0"/>
        <w:spacing w:beforeLines="0" w:afterLines="0" w:line="560" w:lineRule="exact"/>
        <w:ind w:left="560" w:firstLine="0" w:firstLineChars="0"/>
        <w:outlineLvl w:val="1"/>
        <w:rPr>
          <w:rFonts w:ascii="仿宋_GB2312" w:hAnsi="仿宋" w:cs="仿宋"/>
        </w:rPr>
      </w:pPr>
      <w:bookmarkStart w:id="13" w:name="_Toc361563588"/>
      <w:r>
        <w:rPr>
          <w:rFonts w:hint="eastAsia" w:ascii="仿宋_GB2312" w:hAnsi="仿宋" w:cs="仿宋"/>
        </w:rPr>
        <w:t>（五）处罚措施</w:t>
      </w:r>
      <w:bookmarkEnd w:id="13"/>
    </w:p>
    <w:p>
      <w:pPr>
        <w:pStyle w:val="17"/>
        <w:adjustRightInd w:val="0"/>
        <w:snapToGrid w:val="0"/>
        <w:spacing w:beforeLines="0" w:afterLines="0" w:line="560" w:lineRule="exact"/>
        <w:ind w:left="560" w:firstLine="0" w:firstLineChars="0"/>
        <w:rPr>
          <w:rFonts w:ascii="仿宋_GB2312" w:hAnsi="仿宋" w:cs="仿宋"/>
        </w:rPr>
      </w:pPr>
      <w:r>
        <w:rPr>
          <w:rFonts w:hint="eastAsia" w:ascii="仿宋_GB2312" w:hAnsi="仿宋" w:cs="仿宋"/>
        </w:rPr>
        <w:t>1.因参赛队伍原因造成重大安全事故的，取消其获奖资格。</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三</w:t>
      </w:r>
      <w:r>
        <w:rPr>
          <w:rFonts w:hint="eastAsia" w:ascii="仿宋_GB2312" w:hAnsi="黑体" w:eastAsia="仿宋_GB2312" w:cs="黑体"/>
          <w:b/>
          <w:bCs/>
          <w:sz w:val="28"/>
          <w:szCs w:val="28"/>
        </w:rPr>
        <w:t>、竞赛须知</w:t>
      </w:r>
    </w:p>
    <w:p>
      <w:pPr>
        <w:spacing w:line="560" w:lineRule="exact"/>
        <w:ind w:firstLine="560" w:firstLineChars="200"/>
        <w:outlineLvl w:val="1"/>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一</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参赛团队须知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rPr>
        <w:t>参赛队名称</w:t>
      </w:r>
      <w:r>
        <w:rPr>
          <w:rFonts w:hint="eastAsia" w:ascii="仿宋_GB2312" w:hAnsi="仿宋" w:eastAsia="仿宋_GB2312" w:cs="仿宋"/>
          <w:kern w:val="0"/>
          <w:sz w:val="28"/>
          <w:szCs w:val="28"/>
          <w:lang w:eastAsia="zh-CN"/>
        </w:rPr>
        <w:t>需</w:t>
      </w:r>
      <w:r>
        <w:rPr>
          <w:rFonts w:hint="eastAsia" w:ascii="仿宋_GB2312" w:hAnsi="仿宋" w:eastAsia="仿宋_GB2312" w:cs="仿宋"/>
          <w:kern w:val="0"/>
          <w:sz w:val="28"/>
          <w:szCs w:val="28"/>
        </w:rPr>
        <w:t>使用符合法律规定的中文代表队名称，不可使用其他组织、团体的名称</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每名学生只允许参加一支参赛团队，不允许跨学校组队</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每支参赛队伍由3名符合参赛资格的学生组成，性别和年级不限，其中队长1名</w:t>
      </w:r>
      <w:r>
        <w:rPr>
          <w:rFonts w:hint="eastAsia" w:ascii="仿宋_GB2312" w:hAnsi="仿宋" w:eastAsia="仿宋_GB2312" w:cs="仿宋"/>
          <w:kern w:val="0"/>
          <w:sz w:val="28"/>
          <w:szCs w:val="28"/>
          <w:lang w:eastAsia="zh-CN"/>
        </w:rPr>
        <w:t>；每支队伍最多可配备</w:t>
      </w:r>
      <w:r>
        <w:rPr>
          <w:rFonts w:hint="eastAsia" w:ascii="仿宋_GB2312" w:hAnsi="仿宋" w:eastAsia="仿宋_GB2312" w:cs="仿宋"/>
          <w:kern w:val="0"/>
          <w:sz w:val="28"/>
          <w:szCs w:val="28"/>
        </w:rPr>
        <w:t>2名指导教师</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3.报名截止前，可更改指导教师与参赛队员；报名截止后，不得更改指导老师与参赛队员，允许队员缺席比赛。</w:t>
      </w:r>
    </w:p>
    <w:p>
      <w:pPr>
        <w:spacing w:line="560" w:lineRule="exact"/>
        <w:ind w:firstLine="562" w:firstLineChars="200"/>
        <w:rPr>
          <w:rFonts w:hint="eastAsia" w:ascii="仿宋_GB2312" w:hAnsi="仿宋" w:eastAsia="仿宋_GB2312" w:cs="仿宋"/>
          <w:kern w:val="0"/>
          <w:sz w:val="28"/>
          <w:szCs w:val="28"/>
          <w:lang w:val="en-US" w:eastAsia="zh-CN"/>
        </w:rPr>
      </w:pPr>
      <w:r>
        <w:rPr>
          <w:rFonts w:hint="eastAsia" w:ascii="仿宋_GB2312" w:hAnsi="仿宋" w:eastAsia="仿宋_GB2312" w:cs="仿宋"/>
          <w:b/>
          <w:bCs/>
          <w:kern w:val="0"/>
          <w:sz w:val="28"/>
          <w:szCs w:val="28"/>
          <w:lang w:val="en-US" w:eastAsia="zh-CN"/>
        </w:rPr>
        <w:t>特别提醒：</w:t>
      </w:r>
      <w:r>
        <w:rPr>
          <w:rFonts w:hint="eastAsia" w:ascii="仿宋_GB2312" w:hAnsi="仿宋" w:eastAsia="仿宋_GB2312" w:cs="仿宋"/>
          <w:kern w:val="0"/>
          <w:sz w:val="28"/>
          <w:szCs w:val="28"/>
          <w:lang w:val="en-US" w:eastAsia="zh-CN"/>
        </w:rPr>
        <w:t>不允许一名学生同时参加移动商务技能赛项与新媒体运营实战赛项；允许一名教师同时指导移动商务技能赛项与新媒体运营实战赛项。</w:t>
      </w:r>
    </w:p>
    <w:p>
      <w:pPr>
        <w:spacing w:line="560" w:lineRule="exact"/>
        <w:ind w:firstLine="560" w:firstLineChars="200"/>
        <w:outlineLvl w:val="1"/>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二</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参赛选手须知</w:t>
      </w:r>
    </w:p>
    <w:p>
      <w:pPr>
        <w:spacing w:line="560" w:lineRule="exact"/>
        <w:ind w:firstLine="560" w:firstLineChars="200"/>
        <w:rPr>
          <w:rFonts w:hint="default" w:ascii="仿宋_GB2312" w:hAnsi="仿宋" w:eastAsia="仿宋_GB2312" w:cs="仿宋"/>
          <w:kern w:val="0"/>
          <w:sz w:val="28"/>
          <w:szCs w:val="28"/>
        </w:rPr>
      </w:pPr>
      <w:bookmarkStart w:id="14" w:name="_Toc19139"/>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rPr>
        <w:t>竞赛选手应严格遵守赛场纪律、保证人身及设备安全，文明竞赛</w:t>
      </w:r>
      <w:r>
        <w:rPr>
          <w:rFonts w:hint="eastAsia" w:ascii="仿宋_GB2312" w:hAnsi="仿宋" w:eastAsia="仿宋_GB2312" w:cs="仿宋"/>
          <w:kern w:val="0"/>
          <w:sz w:val="28"/>
          <w:szCs w:val="28"/>
          <w:lang w:eastAsia="zh-CN"/>
        </w:rPr>
        <w:t>；</w:t>
      </w:r>
      <w:bookmarkEnd w:id="14"/>
    </w:p>
    <w:p>
      <w:pPr>
        <w:spacing w:line="560" w:lineRule="exact"/>
        <w:ind w:firstLine="560" w:firstLineChars="200"/>
        <w:rPr>
          <w:rFonts w:hint="default"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2.</w:t>
      </w:r>
      <w:r>
        <w:rPr>
          <w:rFonts w:hint="default" w:ascii="仿宋_GB2312" w:hAnsi="仿宋" w:eastAsia="仿宋_GB2312" w:cs="仿宋"/>
          <w:kern w:val="0"/>
          <w:sz w:val="28"/>
          <w:szCs w:val="28"/>
        </w:rPr>
        <w:t>竞赛在局域网中进行，禁止使用互联网；需</w:t>
      </w:r>
      <w:r>
        <w:rPr>
          <w:rFonts w:hint="eastAsia" w:ascii="仿宋_GB2312" w:hAnsi="仿宋" w:eastAsia="仿宋_GB2312" w:cs="仿宋"/>
          <w:kern w:val="0"/>
          <w:sz w:val="28"/>
          <w:szCs w:val="28"/>
          <w:lang w:eastAsia="zh-CN"/>
        </w:rPr>
        <w:t>将</w:t>
      </w:r>
      <w:r>
        <w:rPr>
          <w:rFonts w:hint="default" w:ascii="仿宋_GB2312" w:hAnsi="仿宋" w:eastAsia="仿宋_GB2312" w:cs="仿宋"/>
          <w:kern w:val="0"/>
          <w:sz w:val="28"/>
          <w:szCs w:val="28"/>
        </w:rPr>
        <w:t>随身携带的手提包、U盘、手机（关机状态）等电子设备、通讯设备及其他资料物品存放在讲台前，禁止携带至座位。如发现使用行为，以及比赛中发现有代替他人比赛或伪造证件的，均按作弊论处，取消其比赛资格</w:t>
      </w:r>
      <w:r>
        <w:rPr>
          <w:rFonts w:hint="eastAsia" w:ascii="仿宋_GB2312" w:hAnsi="仿宋" w:eastAsia="仿宋_GB2312" w:cs="仿宋"/>
          <w:kern w:val="0"/>
          <w:sz w:val="28"/>
          <w:szCs w:val="28"/>
          <w:lang w:eastAsia="zh-CN"/>
        </w:rPr>
        <w:t>；</w:t>
      </w:r>
    </w:p>
    <w:p>
      <w:pPr>
        <w:spacing w:line="560" w:lineRule="exact"/>
        <w:ind w:firstLine="560" w:firstLineChars="200"/>
        <w:rPr>
          <w:rFonts w:hint="default"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3.</w:t>
      </w:r>
      <w:r>
        <w:rPr>
          <w:rFonts w:hint="eastAsia" w:ascii="仿宋_GB2312" w:hAnsi="仿宋" w:eastAsia="仿宋_GB2312" w:cs="仿宋"/>
          <w:kern w:val="0"/>
          <w:sz w:val="28"/>
          <w:szCs w:val="28"/>
        </w:rPr>
        <w:t>参赛选手</w:t>
      </w:r>
      <w:r>
        <w:rPr>
          <w:rFonts w:hint="eastAsia" w:ascii="仿宋_GB2312" w:hAnsi="仿宋" w:eastAsia="仿宋_GB2312" w:cs="仿宋"/>
          <w:kern w:val="0"/>
          <w:sz w:val="28"/>
          <w:szCs w:val="28"/>
          <w:lang w:eastAsia="zh-CN"/>
        </w:rPr>
        <w:t>应</w:t>
      </w:r>
      <w:r>
        <w:rPr>
          <w:rFonts w:hint="eastAsia" w:ascii="仿宋_GB2312" w:hAnsi="仿宋" w:eastAsia="仿宋_GB2312" w:cs="仿宋"/>
          <w:kern w:val="0"/>
          <w:sz w:val="28"/>
          <w:szCs w:val="28"/>
        </w:rPr>
        <w:t>听从监考人员的指挥，入座后可以提前下载比赛素材；监考人员宣布比赛开始后各参赛队伍开始比赛</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bookmarkStart w:id="15" w:name="_Toc28778"/>
      <w:r>
        <w:rPr>
          <w:rFonts w:hint="eastAsia" w:ascii="仿宋_GB2312" w:hAnsi="仿宋" w:eastAsia="仿宋_GB2312" w:cs="仿宋"/>
          <w:kern w:val="0"/>
          <w:sz w:val="28"/>
          <w:szCs w:val="28"/>
          <w:lang w:val="en-US" w:eastAsia="zh-CN"/>
        </w:rPr>
        <w:t>4.</w:t>
      </w:r>
      <w:r>
        <w:rPr>
          <w:rFonts w:hint="eastAsia" w:ascii="仿宋_GB2312" w:hAnsi="仿宋" w:eastAsia="仿宋_GB2312" w:cs="仿宋"/>
          <w:kern w:val="0"/>
          <w:sz w:val="28"/>
          <w:szCs w:val="28"/>
        </w:rPr>
        <w:t>竞赛过程中，因严重操作失误或安全事故不能进行比赛的（例如：因综合布线发生短路导致赛场断电的、造成设备不能正常工作），监考官有权中止该队比赛</w:t>
      </w:r>
      <w:r>
        <w:rPr>
          <w:rFonts w:hint="eastAsia" w:ascii="仿宋_GB2312" w:hAnsi="仿宋" w:eastAsia="仿宋_GB2312" w:cs="仿宋"/>
          <w:kern w:val="0"/>
          <w:sz w:val="28"/>
          <w:szCs w:val="28"/>
          <w:lang w:eastAsia="zh-CN"/>
        </w:rPr>
        <w:t>；</w:t>
      </w:r>
      <w:bookmarkEnd w:id="15"/>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竞赛过程中，允许团队成员之间低声交流，不得跨团队交流互通</w:t>
      </w:r>
      <w:r>
        <w:rPr>
          <w:rFonts w:hint="eastAsia" w:ascii="仿宋_GB2312" w:hAnsi="仿宋" w:eastAsia="仿宋_GB2312" w:cs="仿宋"/>
          <w:kern w:val="0"/>
          <w:sz w:val="28"/>
          <w:szCs w:val="28"/>
          <w:lang w:eastAsia="zh-CN"/>
        </w:rPr>
        <w:t>；</w:t>
      </w:r>
    </w:p>
    <w:p>
      <w:pPr>
        <w:spacing w:line="560" w:lineRule="exact"/>
        <w:ind w:firstLine="560" w:firstLineChars="200"/>
        <w:rPr>
          <w:rFonts w:hint="default"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6.</w:t>
      </w:r>
      <w:r>
        <w:rPr>
          <w:rFonts w:hint="eastAsia" w:ascii="仿宋_GB2312" w:hAnsi="仿宋" w:eastAsia="仿宋_GB2312" w:cs="仿宋"/>
          <w:kern w:val="0"/>
          <w:sz w:val="28"/>
          <w:szCs w:val="28"/>
        </w:rPr>
        <w:t>竞赛过程中，不设比赛内容的咨询与答疑，如遇设备或软件等故障，参赛选手第一时间举手示意，监考人员、技术人员等应及时予以解决；确因电脑软件或硬件故障，致使操作无法继续的，经主监考员确认，予以启用备用电脑</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7.微店设</w:t>
      </w:r>
      <w:r>
        <w:rPr>
          <w:rFonts w:hint="eastAsia" w:ascii="仿宋_GB2312" w:hAnsi="仿宋" w:eastAsia="仿宋_GB2312" w:cs="仿宋"/>
          <w:kern w:val="0"/>
          <w:sz w:val="28"/>
          <w:szCs w:val="28"/>
        </w:rPr>
        <w:t>计与装修和微信公众号运营模块，不允许出现与参赛队伍、院校</w:t>
      </w:r>
      <w:r>
        <w:rPr>
          <w:rFonts w:hint="eastAsia" w:ascii="仿宋_GB2312" w:hAnsi="仿宋" w:eastAsia="仿宋_GB2312" w:cs="仿宋"/>
          <w:kern w:val="0"/>
          <w:sz w:val="28"/>
          <w:szCs w:val="28"/>
          <w:lang w:eastAsia="zh-CN"/>
        </w:rPr>
        <w:t>等</w:t>
      </w:r>
      <w:r>
        <w:rPr>
          <w:rFonts w:hint="eastAsia" w:ascii="仿宋_GB2312" w:hAnsi="仿宋" w:eastAsia="仿宋_GB2312" w:cs="仿宋"/>
          <w:kern w:val="0"/>
          <w:sz w:val="28"/>
          <w:szCs w:val="28"/>
        </w:rPr>
        <w:t>相关的文字信息，一经发现，以作弊处理。</w:t>
      </w:r>
    </w:p>
    <w:p>
      <w:pPr>
        <w:pStyle w:val="17"/>
        <w:adjustRightInd w:val="0"/>
        <w:snapToGrid w:val="0"/>
        <w:spacing w:beforeLines="0" w:afterLines="0" w:line="560" w:lineRule="exact"/>
        <w:ind w:firstLine="560"/>
        <w:outlineLvl w:val="1"/>
        <w:rPr>
          <w:rFonts w:ascii="仿宋_GB2312" w:hAnsi="仿宋" w:cs="仿宋"/>
          <w:b/>
        </w:rPr>
      </w:pPr>
      <w:r>
        <w:rPr>
          <w:rFonts w:hint="eastAsia" w:ascii="仿宋_GB2312" w:hAnsi="仿宋" w:cs="仿宋"/>
        </w:rPr>
        <w:t>（</w:t>
      </w:r>
      <w:r>
        <w:rPr>
          <w:rFonts w:hint="eastAsia" w:ascii="仿宋_GB2312" w:hAnsi="仿宋" w:cs="仿宋"/>
          <w:lang w:val="en-US" w:eastAsia="zh-CN"/>
        </w:rPr>
        <w:t>三</w:t>
      </w:r>
      <w:r>
        <w:rPr>
          <w:rFonts w:hint="eastAsia" w:ascii="仿宋_GB2312" w:hAnsi="仿宋" w:cs="仿宋"/>
        </w:rPr>
        <w:t>）工作人员须知</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1.工作人员必须统一佩戴由大赛组委会签发的相应证件，着装整齐。</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2.工作人员不得影响参赛选手比赛，不允许有影响比赛公平的行为。</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3.服从领导，听从指挥，以高度负责的精神、严肃认真的态度做好各项工作。</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4.熟悉比赛规程，认真遵守各项比赛规则和工作要求。</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5.坚守岗位，如有急事需要离开岗位时，应经领导同意，并做好工作衔接。</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6.严格遵守比赛纪律，如发现其他人员有违反比赛纪律的行为，应予以制止。情节严重的，应向竞赛组委会反映。</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7.发扬无私奉献和团结协作的精神，提供热情、优质服务。</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四</w:t>
      </w:r>
      <w:r>
        <w:rPr>
          <w:rFonts w:hint="eastAsia" w:ascii="仿宋_GB2312" w:hAnsi="黑体" w:eastAsia="仿宋_GB2312" w:cs="黑体"/>
          <w:b/>
          <w:bCs/>
          <w:sz w:val="28"/>
          <w:szCs w:val="28"/>
        </w:rPr>
        <w:t>、申诉与仲裁</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rPr>
        <w:t>竞赛设仲裁委员会，在比赛过程中若出现有失公正或有关人员违规等现象，参赛队伍可在比赛结束后2小时之内向仲裁委员会提出申诉，超过时效不予以受理。申诉启动后，注意事项如下：</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1.</w:t>
      </w:r>
      <w:r>
        <w:rPr>
          <w:rFonts w:hint="eastAsia" w:ascii="仿宋_GB2312" w:hAnsi="仿宋" w:eastAsia="仿宋_GB2312" w:cs="仿宋"/>
          <w:sz w:val="28"/>
          <w:szCs w:val="28"/>
        </w:rPr>
        <w:t>申诉主体为参赛队伍指导教师</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2.</w:t>
      </w:r>
      <w:r>
        <w:rPr>
          <w:rFonts w:hint="eastAsia" w:ascii="仿宋_GB2312" w:hAnsi="仿宋" w:eastAsia="仿宋_GB2312" w:cs="仿宋"/>
          <w:sz w:val="28"/>
          <w:szCs w:val="28"/>
        </w:rPr>
        <w:t>参赛队伍应向竞赛仲裁委员会递交指导教师亲笔签字同意的书面报告，应对申诉事件的现象、发生时间、涉及人员、申诉依据等进行充分、实事求是的叙述，非书面申诉不予受理</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3.</w:t>
      </w:r>
      <w:r>
        <w:rPr>
          <w:rFonts w:hint="eastAsia" w:ascii="仿宋_GB2312" w:hAnsi="仿宋" w:eastAsia="仿宋_GB2312" w:cs="仿宋"/>
          <w:sz w:val="28"/>
          <w:szCs w:val="28"/>
        </w:rPr>
        <w:t>仲裁委员会在接到申诉后的2小时内组织复议，并及时将复议结果以书面形式告知申诉方，该结果为最终结果</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4.</w:t>
      </w:r>
      <w:r>
        <w:rPr>
          <w:rFonts w:hint="eastAsia" w:ascii="仿宋_GB2312" w:hAnsi="仿宋" w:eastAsia="仿宋_GB2312" w:cs="仿宋"/>
          <w:sz w:val="28"/>
          <w:szCs w:val="28"/>
        </w:rPr>
        <w:t>申诉方不得以任何理由拒绝接收仲裁结果；不得以任何理由采取过激行为扰乱赛场秩序；仲裁结果由申诉人签收，不能代收；如在约定时间和地点申诉人离开，视为自行放弃申诉。</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五</w:t>
      </w:r>
      <w:r>
        <w:rPr>
          <w:rFonts w:hint="eastAsia" w:ascii="仿宋_GB2312" w:hAnsi="黑体" w:eastAsia="仿宋_GB2312" w:cs="黑体"/>
          <w:b/>
          <w:bCs/>
          <w:sz w:val="28"/>
          <w:szCs w:val="28"/>
        </w:rPr>
        <w:t>、竞赛观摩</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rPr>
        <w:t>现场观摩应遵守如下纪律：</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1.</w:t>
      </w:r>
      <w:r>
        <w:rPr>
          <w:rFonts w:hint="eastAsia" w:ascii="仿宋_GB2312" w:hAnsi="仿宋" w:eastAsia="仿宋_GB2312" w:cs="仿宋"/>
          <w:sz w:val="28"/>
          <w:szCs w:val="28"/>
        </w:rPr>
        <w:t>观摩人员需由竞赛组委会批准，观摩的时间、距离、方式由竞赛组委会结合竞赛具体情况而定</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2.</w:t>
      </w:r>
      <w:r>
        <w:rPr>
          <w:rFonts w:hint="eastAsia" w:ascii="仿宋_GB2312" w:hAnsi="仿宋" w:eastAsia="仿宋_GB2312" w:cs="仿宋"/>
          <w:sz w:val="28"/>
          <w:szCs w:val="28"/>
        </w:rPr>
        <w:t>文明观赛，不得大声喧哗，服从赛场工作人员的指挥，杜绝各种违反赛场秩序的不文明行为</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3.</w:t>
      </w:r>
      <w:r>
        <w:rPr>
          <w:rFonts w:hint="eastAsia" w:ascii="仿宋_GB2312" w:hAnsi="仿宋" w:eastAsia="仿宋_GB2312" w:cs="仿宋"/>
          <w:sz w:val="28"/>
          <w:szCs w:val="28"/>
        </w:rPr>
        <w:t>观摩人员不得同参赛选手、裁判交流，不得传递信息，不得采录竞赛现场数据资料，不得影响比赛的正常进行</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ascii="仿宋_GB2312" w:hAnsi="仿宋"/>
          <w:b/>
        </w:rPr>
      </w:pPr>
      <w:r>
        <w:rPr>
          <w:rFonts w:hint="eastAsia" w:ascii="仿宋_GB2312" w:hAnsi="仿宋" w:eastAsia="仿宋_GB2312" w:cs="仿宋"/>
          <w:sz w:val="28"/>
          <w:szCs w:val="28"/>
          <w:lang w:val="en-US" w:eastAsia="zh-CN"/>
        </w:rPr>
        <w:t>4.</w:t>
      </w:r>
      <w:r>
        <w:rPr>
          <w:rFonts w:hint="eastAsia" w:ascii="仿宋_GB2312" w:hAnsi="仿宋" w:eastAsia="仿宋_GB2312" w:cs="仿宋"/>
          <w:sz w:val="28"/>
          <w:szCs w:val="28"/>
        </w:rPr>
        <w:t>对于各种违反赛场秩序的不文明行为，工作人员有权予以提醒、制止。</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Arial Narrow">
    <w:altName w:val="Arial"/>
    <w:panose1 w:val="020B0606020202030204"/>
    <w:charset w:val="00"/>
    <w:family w:val="swiss"/>
    <w:pitch w:val="default"/>
    <w:sig w:usb0="00000000" w:usb1="00000000" w:usb2="00000000" w:usb3="00000000" w:csb0="2000009F" w:csb1="DFD70000"/>
  </w:font>
  <w:font w:name="OEEEEV+FZHTJW--GB1-0">
    <w:altName w:val="宋体"/>
    <w:panose1 w:val="00000000000000000000"/>
    <w:charset w:val="86"/>
    <w:family w:val="roma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3AE349"/>
    <w:multiLevelType w:val="singleLevel"/>
    <w:tmpl w:val="AB3AE349"/>
    <w:lvl w:ilvl="0" w:tentative="0">
      <w:start w:val="5"/>
      <w:numFmt w:val="chineseCounting"/>
      <w:suff w:val="nothing"/>
      <w:lvlText w:val="%1、"/>
      <w:lvlJc w:val="left"/>
      <w:rPr>
        <w:rFonts w:hint="eastAsia"/>
      </w:rPr>
    </w:lvl>
  </w:abstractNum>
  <w:abstractNum w:abstractNumId="1">
    <w:nsid w:val="11121AD2"/>
    <w:multiLevelType w:val="multilevel"/>
    <w:tmpl w:val="11121AD2"/>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EC51950"/>
    <w:multiLevelType w:val="multilevel"/>
    <w:tmpl w:val="1EC5195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1EFD6FB2"/>
    <w:multiLevelType w:val="singleLevel"/>
    <w:tmpl w:val="1EFD6FB2"/>
    <w:lvl w:ilvl="0" w:tentative="0">
      <w:start w:val="8"/>
      <w:numFmt w:val="chineseCounting"/>
      <w:suff w:val="nothing"/>
      <w:lvlText w:val="%1、"/>
      <w:lvlJc w:val="left"/>
      <w:rPr>
        <w:rFonts w:hint="eastAsia"/>
      </w:rPr>
    </w:lvl>
  </w:abstractNum>
  <w:abstractNum w:abstractNumId="4">
    <w:nsid w:val="2C70F1CF"/>
    <w:multiLevelType w:val="singleLevel"/>
    <w:tmpl w:val="2C70F1CF"/>
    <w:lvl w:ilvl="0" w:tentative="0">
      <w:start w:val="7"/>
      <w:numFmt w:val="chineseCounting"/>
      <w:suff w:val="nothing"/>
      <w:lvlText w:val="%1、"/>
      <w:lvlJc w:val="left"/>
      <w:rPr>
        <w:rFonts w:hint="eastAsia"/>
      </w:rPr>
    </w:lvl>
  </w:abstractNum>
  <w:abstractNum w:abstractNumId="5">
    <w:nsid w:val="37C833D5"/>
    <w:multiLevelType w:val="multilevel"/>
    <w:tmpl w:val="37C833D5"/>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3C9610AF"/>
    <w:multiLevelType w:val="multilevel"/>
    <w:tmpl w:val="3C9610AF"/>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4C0357B9"/>
    <w:multiLevelType w:val="multilevel"/>
    <w:tmpl w:val="4C0357B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8">
    <w:nsid w:val="56E53C1F"/>
    <w:multiLevelType w:val="singleLevel"/>
    <w:tmpl w:val="56E53C1F"/>
    <w:lvl w:ilvl="0" w:tentative="0">
      <w:start w:val="1"/>
      <w:numFmt w:val="chineseCounting"/>
      <w:suff w:val="nothing"/>
      <w:lvlText w:val="（%1）"/>
      <w:lvlJc w:val="left"/>
    </w:lvl>
  </w:abstractNum>
  <w:abstractNum w:abstractNumId="9">
    <w:nsid w:val="5DEB3C56"/>
    <w:multiLevelType w:val="multilevel"/>
    <w:tmpl w:val="5DEB3C5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69663F1A"/>
    <w:multiLevelType w:val="multilevel"/>
    <w:tmpl w:val="69663F1A"/>
    <w:lvl w:ilvl="0" w:tentative="0">
      <w:start w:val="1"/>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9"/>
  </w:num>
  <w:num w:numId="3">
    <w:abstractNumId w:val="2"/>
  </w:num>
  <w:num w:numId="4">
    <w:abstractNumId w:val="0"/>
  </w:num>
  <w:num w:numId="5">
    <w:abstractNumId w:val="10"/>
  </w:num>
  <w:num w:numId="6">
    <w:abstractNumId w:val="4"/>
  </w:num>
  <w:num w:numId="7">
    <w:abstractNumId w:val="1"/>
  </w:num>
  <w:num w:numId="8">
    <w:abstractNumId w:val="3"/>
  </w:num>
  <w:num w:numId="9">
    <w:abstractNumId w:val="8"/>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6C3"/>
    <w:rsid w:val="00011878"/>
    <w:rsid w:val="00025EE9"/>
    <w:rsid w:val="000B4F8B"/>
    <w:rsid w:val="00130F3C"/>
    <w:rsid w:val="001849BF"/>
    <w:rsid w:val="0020032F"/>
    <w:rsid w:val="00257807"/>
    <w:rsid w:val="00260DD8"/>
    <w:rsid w:val="00390437"/>
    <w:rsid w:val="00454820"/>
    <w:rsid w:val="00473A65"/>
    <w:rsid w:val="00476653"/>
    <w:rsid w:val="004C7FC9"/>
    <w:rsid w:val="004E26C3"/>
    <w:rsid w:val="005A7F4C"/>
    <w:rsid w:val="005E4CB5"/>
    <w:rsid w:val="00640BF8"/>
    <w:rsid w:val="00692B66"/>
    <w:rsid w:val="006F5A5F"/>
    <w:rsid w:val="00702623"/>
    <w:rsid w:val="0073736F"/>
    <w:rsid w:val="00774F00"/>
    <w:rsid w:val="00783CB7"/>
    <w:rsid w:val="007E3A2C"/>
    <w:rsid w:val="00811C7D"/>
    <w:rsid w:val="00823179"/>
    <w:rsid w:val="00846091"/>
    <w:rsid w:val="0086177D"/>
    <w:rsid w:val="008C4228"/>
    <w:rsid w:val="008F000B"/>
    <w:rsid w:val="009010CE"/>
    <w:rsid w:val="00980718"/>
    <w:rsid w:val="009A25BB"/>
    <w:rsid w:val="00A33371"/>
    <w:rsid w:val="00A46C2C"/>
    <w:rsid w:val="00AA4F00"/>
    <w:rsid w:val="00B560FA"/>
    <w:rsid w:val="00C22C28"/>
    <w:rsid w:val="00C3179C"/>
    <w:rsid w:val="00CC215C"/>
    <w:rsid w:val="00CC4095"/>
    <w:rsid w:val="00CE6DC0"/>
    <w:rsid w:val="00D15D61"/>
    <w:rsid w:val="00D43B4F"/>
    <w:rsid w:val="00DC4933"/>
    <w:rsid w:val="00DE1256"/>
    <w:rsid w:val="00EC31CD"/>
    <w:rsid w:val="00F20CD7"/>
    <w:rsid w:val="00F335DC"/>
    <w:rsid w:val="00F42343"/>
    <w:rsid w:val="00F448E8"/>
    <w:rsid w:val="00FD7452"/>
    <w:rsid w:val="00FE52FD"/>
    <w:rsid w:val="00FF739B"/>
    <w:rsid w:val="02CC108A"/>
    <w:rsid w:val="041A69F5"/>
    <w:rsid w:val="06FC59BD"/>
    <w:rsid w:val="0C14553E"/>
    <w:rsid w:val="13345BDA"/>
    <w:rsid w:val="165B539C"/>
    <w:rsid w:val="165E6BA9"/>
    <w:rsid w:val="16F978E5"/>
    <w:rsid w:val="180B62CA"/>
    <w:rsid w:val="19B50540"/>
    <w:rsid w:val="1A1F3B4D"/>
    <w:rsid w:val="1CDB4D38"/>
    <w:rsid w:val="2CD10034"/>
    <w:rsid w:val="3072448A"/>
    <w:rsid w:val="343319E4"/>
    <w:rsid w:val="36BD6A6E"/>
    <w:rsid w:val="3B955B37"/>
    <w:rsid w:val="3CBE0DB7"/>
    <w:rsid w:val="3D8F3F0E"/>
    <w:rsid w:val="3E8707A4"/>
    <w:rsid w:val="408E6158"/>
    <w:rsid w:val="42C27D48"/>
    <w:rsid w:val="434B3CAB"/>
    <w:rsid w:val="43D86C0B"/>
    <w:rsid w:val="45AB6B23"/>
    <w:rsid w:val="468E71A6"/>
    <w:rsid w:val="46E155BE"/>
    <w:rsid w:val="4E052C52"/>
    <w:rsid w:val="4E896A6A"/>
    <w:rsid w:val="500B2639"/>
    <w:rsid w:val="51897169"/>
    <w:rsid w:val="54CA0105"/>
    <w:rsid w:val="54F2499E"/>
    <w:rsid w:val="55824F36"/>
    <w:rsid w:val="55C0367E"/>
    <w:rsid w:val="566D02E4"/>
    <w:rsid w:val="594278B2"/>
    <w:rsid w:val="5D953BD2"/>
    <w:rsid w:val="5E29337C"/>
    <w:rsid w:val="609E6693"/>
    <w:rsid w:val="6AE57EC2"/>
    <w:rsid w:val="6E100D2A"/>
    <w:rsid w:val="6EBE5D9C"/>
    <w:rsid w:val="757B0019"/>
    <w:rsid w:val="759B1959"/>
    <w:rsid w:val="77A9750E"/>
    <w:rsid w:val="7892004D"/>
    <w:rsid w:val="7A075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100" w:after="90" w:line="578" w:lineRule="auto"/>
      <w:outlineLvl w:val="0"/>
    </w:pPr>
    <w:rPr>
      <w:rFonts w:ascii="Calibri" w:hAnsi="Calibri" w:eastAsia="仿宋"/>
      <w:b/>
      <w:bCs/>
      <w:kern w:val="44"/>
      <w:sz w:val="32"/>
      <w:szCs w:val="44"/>
    </w:rPr>
  </w:style>
  <w:style w:type="paragraph" w:styleId="3">
    <w:name w:val="heading 2"/>
    <w:basedOn w:val="1"/>
    <w:next w:val="1"/>
    <w:link w:val="19"/>
    <w:semiHidden/>
    <w:unhideWhenUsed/>
    <w:qFormat/>
    <w:uiPriority w:val="0"/>
    <w:pPr>
      <w:keepNext/>
      <w:keepLines/>
      <w:spacing w:line="412" w:lineRule="auto"/>
      <w:outlineLvl w:val="1"/>
    </w:pPr>
    <w:rPr>
      <w:rFonts w:ascii="Arial" w:hAnsi="Arial" w:eastAsia="黑体"/>
      <w:b/>
      <w:kern w:val="0"/>
      <w:sz w:val="32"/>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4">
    <w:name w:val="annotation text"/>
    <w:basedOn w:val="1"/>
    <w:link w:val="14"/>
    <w:qFormat/>
    <w:uiPriority w:val="0"/>
    <w:pPr>
      <w:jc w:val="left"/>
    </w:pPr>
    <w:rPr>
      <w:rFonts w:ascii="Times New Roman" w:hAnsi="Times New Roman" w:eastAsiaTheme="minorEastAsia" w:cstheme="minorBidi"/>
    </w:rPr>
  </w:style>
  <w:style w:type="paragraph" w:styleId="5">
    <w:name w:val="footer"/>
    <w:basedOn w:val="1"/>
    <w:link w:val="12"/>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1">
    <w:name w:val="Hyperlink"/>
    <w:unhideWhenUsed/>
    <w:qFormat/>
    <w:uiPriority w:val="99"/>
    <w:rPr>
      <w:color w:val="136EC2"/>
      <w:u w:val="single"/>
    </w:rPr>
  </w:style>
  <w:style w:type="character" w:customStyle="1" w:styleId="12">
    <w:name w:val="页脚 Char"/>
    <w:link w:val="5"/>
    <w:qFormat/>
    <w:uiPriority w:val="0"/>
    <w:rPr>
      <w:sz w:val="18"/>
      <w:szCs w:val="18"/>
    </w:rPr>
  </w:style>
  <w:style w:type="character" w:customStyle="1" w:styleId="13">
    <w:name w:val="页脚 字符1"/>
    <w:basedOn w:val="10"/>
    <w:semiHidden/>
    <w:qFormat/>
    <w:uiPriority w:val="99"/>
    <w:rPr>
      <w:rFonts w:ascii="Calibri" w:hAnsi="Calibri" w:eastAsia="宋体" w:cs="Times New Roman"/>
      <w:sz w:val="18"/>
      <w:szCs w:val="18"/>
    </w:rPr>
  </w:style>
  <w:style w:type="character" w:customStyle="1" w:styleId="14">
    <w:name w:val="批注文字 Char"/>
    <w:link w:val="4"/>
    <w:qFormat/>
    <w:uiPriority w:val="0"/>
    <w:rPr>
      <w:rFonts w:ascii="Times New Roman" w:hAnsi="Times New Roman"/>
      <w:szCs w:val="24"/>
    </w:rPr>
  </w:style>
  <w:style w:type="character" w:customStyle="1" w:styleId="15">
    <w:name w:val="批注文字 字符"/>
    <w:basedOn w:val="10"/>
    <w:semiHidden/>
    <w:qFormat/>
    <w:uiPriority w:val="99"/>
    <w:rPr>
      <w:rFonts w:ascii="Calibri" w:hAnsi="Calibri" w:eastAsia="宋体" w:cs="Times New Roman"/>
      <w:szCs w:val="24"/>
    </w:rPr>
  </w:style>
  <w:style w:type="character" w:customStyle="1" w:styleId="16">
    <w:name w:val="5-内文 Char"/>
    <w:link w:val="17"/>
    <w:qFormat/>
    <w:uiPriority w:val="99"/>
    <w:rPr>
      <w:rFonts w:ascii="Times New Roman" w:hAnsi="Times New Roman" w:eastAsia="仿宋_GB2312"/>
      <w:sz w:val="28"/>
      <w:szCs w:val="28"/>
    </w:rPr>
  </w:style>
  <w:style w:type="paragraph" w:customStyle="1" w:styleId="17">
    <w:name w:val="5-内文"/>
    <w:basedOn w:val="1"/>
    <w:link w:val="16"/>
    <w:qFormat/>
    <w:uiPriority w:val="99"/>
    <w:pPr>
      <w:spacing w:beforeLines="25" w:afterLines="25" w:line="300" w:lineRule="auto"/>
      <w:ind w:firstLine="200" w:firstLineChars="200"/>
    </w:pPr>
    <w:rPr>
      <w:rFonts w:ascii="Times New Roman" w:hAnsi="Times New Roman" w:eastAsia="仿宋_GB2312" w:cstheme="minorBidi"/>
      <w:sz w:val="28"/>
      <w:szCs w:val="28"/>
    </w:rPr>
  </w:style>
  <w:style w:type="character" w:customStyle="1" w:styleId="18">
    <w:name w:val="标题 2 字符"/>
    <w:basedOn w:val="10"/>
    <w:semiHidden/>
    <w:qFormat/>
    <w:uiPriority w:val="9"/>
    <w:rPr>
      <w:rFonts w:asciiTheme="majorHAnsi" w:hAnsiTheme="majorHAnsi" w:eastAsiaTheme="majorEastAsia" w:cstheme="majorBidi"/>
      <w:b/>
      <w:bCs/>
      <w:sz w:val="32"/>
      <w:szCs w:val="32"/>
    </w:rPr>
  </w:style>
  <w:style w:type="character" w:customStyle="1" w:styleId="19">
    <w:name w:val="标题 2 Char"/>
    <w:link w:val="3"/>
    <w:semiHidden/>
    <w:qFormat/>
    <w:locked/>
    <w:uiPriority w:val="0"/>
    <w:rPr>
      <w:rFonts w:ascii="Arial" w:hAnsi="Arial" w:eastAsia="黑体" w:cs="Times New Roman"/>
      <w:b/>
      <w:kern w:val="0"/>
      <w:sz w:val="32"/>
      <w:szCs w:val="20"/>
    </w:rPr>
  </w:style>
  <w:style w:type="character" w:customStyle="1" w:styleId="20">
    <w:name w:val="页眉 Char"/>
    <w:basedOn w:val="10"/>
    <w:link w:val="6"/>
    <w:semiHidden/>
    <w:qFormat/>
    <w:uiPriority w:val="99"/>
    <w:rPr>
      <w:rFonts w:ascii="Calibri" w:hAnsi="Calibri" w:eastAsia="宋体" w:cs="Times New Roman"/>
      <w:sz w:val="18"/>
      <w:szCs w:val="18"/>
    </w:rPr>
  </w:style>
  <w:style w:type="paragraph" w:styleId="21">
    <w:name w:val="List Paragraph"/>
    <w:basedOn w:val="1"/>
    <w:qFormat/>
    <w:uiPriority w:val="34"/>
    <w:pPr>
      <w:ind w:firstLine="420" w:firstLineChars="200"/>
    </w:pPr>
  </w:style>
  <w:style w:type="paragraph" w:customStyle="1" w:styleId="22">
    <w:name w:val="_Style 2"/>
    <w:basedOn w:val="1"/>
    <w:qFormat/>
    <w:uiPriority w:val="99"/>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50C038-DD3A-40F2-A02F-3C998CF627D3}">
  <ds:schemaRefs/>
</ds:datastoreItem>
</file>

<file path=docProps/app.xml><?xml version="1.0" encoding="utf-8"?>
<Properties xmlns="http://schemas.openxmlformats.org/officeDocument/2006/extended-properties" xmlns:vt="http://schemas.openxmlformats.org/officeDocument/2006/docPropsVTypes">
  <Template>Normal</Template>
  <Pages>34</Pages>
  <Words>2848</Words>
  <Characters>16239</Characters>
  <Lines>135</Lines>
  <Paragraphs>38</Paragraphs>
  <TotalTime>4</TotalTime>
  <ScaleCrop>false</ScaleCrop>
  <LinksUpToDate>false</LinksUpToDate>
  <CharactersWithSpaces>19049</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2019-03-07T00:48:00Z</dcterms:created>
  <dc:creator>强林 张</dc:creator>
  <cp:lastModifiedBy>Administrator</cp:lastModifiedBy>
  <dcterms:modified xsi:type="dcterms:W3CDTF">2019-09-03T00:20:35Z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