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4226">
      <w:pPr>
        <w:widowControl/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药品陈列与收货验收模块—药品陈列试题单</w:t>
      </w:r>
    </w:p>
    <w:p w14:paraId="23FC7C34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</w:pPr>
    </w:p>
    <w:p w14:paraId="2835ACE9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  <w:t>考核时间：10分钟             题目分值：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"/>
        </w:rPr>
        <w:t>13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  <w:t>分</w:t>
      </w:r>
    </w:p>
    <w:p w14:paraId="2E372E34">
      <w:pPr>
        <w:widowControl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15F44647">
      <w:pPr>
        <w:widowControl/>
        <w:snapToGrid w:val="0"/>
        <w:spacing w:line="360" w:lineRule="auto"/>
        <w:ind w:firstLine="1124" w:firstLineChars="4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一、答题要求</w:t>
      </w:r>
    </w:p>
    <w:p w14:paraId="5738CCE9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在规定时间内，按照GSP规定以及药品分类存放的原则将药品分区分类正确摆放在货架内。</w:t>
      </w:r>
    </w:p>
    <w:p w14:paraId="3919EC8C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1.药品与非药品、内服药与外用药、处方药与非处方药分开；</w:t>
      </w:r>
    </w:p>
    <w:p w14:paraId="329491E6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2.需冷藏储存药品放入冷藏货架（柜）；</w:t>
      </w:r>
    </w:p>
    <w:p w14:paraId="08ADF2A2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3.需阴凉贮存药品放入阴凉区（架）；</w:t>
      </w:r>
    </w:p>
    <w:p w14:paraId="1441EEAC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4.拆零药品放入拆零专柜；</w:t>
      </w:r>
    </w:p>
    <w:p w14:paraId="406DEA57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5.含特殊药品复方制剂、含麻黄碱类复方制剂专柜（区）摆放；</w:t>
      </w:r>
    </w:p>
    <w:p w14:paraId="53C3EBBD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6.包装易混淆药品应分隔摆放；</w:t>
      </w:r>
    </w:p>
    <w:p w14:paraId="1E378D3A">
      <w:pPr>
        <w:pStyle w:val="2"/>
        <w:ind w:firstLine="560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7.药品不得倒置，多剂量液体制剂应直立放置。</w:t>
      </w:r>
    </w:p>
    <w:p w14:paraId="54319C32"/>
    <w:p w14:paraId="0E4217DD"/>
    <w:p w14:paraId="189A29C4">
      <w:pPr>
        <w:pStyle w:val="2"/>
        <w:ind w:firstLine="480"/>
      </w:pPr>
    </w:p>
    <w:p w14:paraId="6D410BAF">
      <w:pPr>
        <w:pStyle w:val="2"/>
        <w:ind w:firstLine="480"/>
      </w:pPr>
    </w:p>
    <w:p w14:paraId="736A1D5A">
      <w:pPr>
        <w:pStyle w:val="2"/>
        <w:ind w:firstLine="480"/>
      </w:pPr>
    </w:p>
    <w:p w14:paraId="48F4EB5F">
      <w:pPr>
        <w:pStyle w:val="2"/>
        <w:ind w:firstLine="480"/>
      </w:pPr>
    </w:p>
    <w:p w14:paraId="76F68814">
      <w:pPr>
        <w:pStyle w:val="2"/>
        <w:ind w:firstLine="480"/>
      </w:pPr>
    </w:p>
    <w:p w14:paraId="6ACF6F09">
      <w:pPr>
        <w:pStyle w:val="2"/>
        <w:ind w:firstLine="480"/>
      </w:pPr>
    </w:p>
    <w:p w14:paraId="32E38B34">
      <w:pPr>
        <w:pStyle w:val="2"/>
        <w:ind w:firstLine="480"/>
      </w:pPr>
    </w:p>
    <w:p w14:paraId="2A16854C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药品陈列与收货验收模块—药品收货验收试题单</w:t>
      </w:r>
    </w:p>
    <w:p w14:paraId="3D0471D4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6E8F94D9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考核时间：10分钟             题目分值：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13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分</w:t>
      </w:r>
    </w:p>
    <w:p w14:paraId="154E49F0">
      <w:pPr>
        <w:widowControl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77772E76">
      <w:pPr>
        <w:widowControl/>
        <w:snapToGrid w:val="0"/>
        <w:spacing w:line="360" w:lineRule="auto"/>
        <w:ind w:firstLine="562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一、试题背景</w:t>
      </w:r>
    </w:p>
    <w:p w14:paraId="323E6080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XXX国药馆欲采购一批药品，拟供货单位和采购的品种均已通过首营审核。现供货单位已将药品送达指定地点，请按照GSP相关要求对到货药品进行收货及验收，将药品放置到指定的区域，并填写收货验收记录。</w:t>
      </w:r>
    </w:p>
    <w:p w14:paraId="1E08DD41">
      <w:pPr>
        <w:spacing w:line="360" w:lineRule="auto"/>
        <w:ind w:firstLine="602" w:firstLineChars="200"/>
        <w:rPr>
          <w:rFonts w:ascii="仿宋" w:hAnsi="仿宋" w:eastAsia="仿宋"/>
          <w:b/>
          <w:color w:val="000000"/>
          <w:sz w:val="30"/>
          <w:szCs w:val="30"/>
        </w:rPr>
      </w:pPr>
      <w:r>
        <w:rPr>
          <w:rFonts w:hint="eastAsia" w:ascii="仿宋" w:hAnsi="仿宋" w:eastAsia="仿宋"/>
          <w:b/>
          <w:color w:val="000000"/>
          <w:sz w:val="30"/>
          <w:szCs w:val="30"/>
        </w:rPr>
        <w:t>二、答题要求</w:t>
      </w:r>
    </w:p>
    <w:p w14:paraId="551CB66B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请</w:t>
      </w:r>
      <w:r>
        <w:rPr>
          <w:rFonts w:hint="eastAsia" w:ascii="仿宋" w:hAnsi="仿宋" w:eastAsia="仿宋"/>
          <w:sz w:val="28"/>
          <w:szCs w:val="28"/>
        </w:rPr>
        <w:t>在规定时间内</w:t>
      </w:r>
      <w:r>
        <w:rPr>
          <w:rFonts w:ascii="仿宋" w:hAnsi="仿宋" w:eastAsia="仿宋"/>
          <w:sz w:val="28"/>
          <w:szCs w:val="28"/>
        </w:rPr>
        <w:t>按照GSP要求及附录4《药品收货与验收》标准进行正确的收货与验收操作，根据检查结果将药品放置相应区域，并填写收货记录和验收记录。</w:t>
      </w:r>
    </w:p>
    <w:p w14:paraId="498EFC5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收货记录和验收记录中已呈现的信息为正确信息。</w:t>
      </w:r>
    </w:p>
    <w:p w14:paraId="0D745F4B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拒收或者不合格药品</w:t>
      </w:r>
      <w:r>
        <w:rPr>
          <w:rFonts w:ascii="仿宋" w:hAnsi="仿宋" w:eastAsia="仿宋"/>
          <w:b/>
          <w:bCs/>
          <w:sz w:val="28"/>
          <w:szCs w:val="28"/>
        </w:rPr>
        <w:t>不需要单独填写“药品拒收报告单”</w:t>
      </w:r>
      <w:r>
        <w:rPr>
          <w:rFonts w:ascii="仿宋" w:hAnsi="仿宋" w:eastAsia="仿宋"/>
          <w:sz w:val="28"/>
          <w:szCs w:val="28"/>
        </w:rPr>
        <w:t>，直接在收货记录和验收记录“处置措施”和“拒收原因”处填写。</w:t>
      </w:r>
    </w:p>
    <w:p w14:paraId="44787C1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单据需要签字处，不要填写你的真实姓名，</w:t>
      </w:r>
      <w:r>
        <w:rPr>
          <w:rFonts w:ascii="仿宋" w:hAnsi="仿宋" w:eastAsia="仿宋"/>
          <w:b/>
          <w:bCs/>
          <w:sz w:val="28"/>
          <w:szCs w:val="28"/>
        </w:rPr>
        <w:t>填写考号</w:t>
      </w:r>
      <w:r>
        <w:rPr>
          <w:rFonts w:ascii="仿宋" w:hAnsi="仿宋" w:eastAsia="仿宋"/>
          <w:sz w:val="28"/>
          <w:szCs w:val="28"/>
        </w:rPr>
        <w:t>。</w:t>
      </w:r>
    </w:p>
    <w:p w14:paraId="5D3E4365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验收过程中</w:t>
      </w:r>
      <w:r>
        <w:rPr>
          <w:rFonts w:ascii="仿宋" w:hAnsi="仿宋" w:eastAsia="仿宋"/>
          <w:b/>
          <w:bCs/>
          <w:sz w:val="28"/>
          <w:szCs w:val="28"/>
        </w:rPr>
        <w:t>不要破坏药品最小包装</w:t>
      </w:r>
      <w:r>
        <w:rPr>
          <w:rFonts w:ascii="仿宋" w:hAnsi="仿宋" w:eastAsia="仿宋"/>
          <w:sz w:val="28"/>
          <w:szCs w:val="28"/>
        </w:rPr>
        <w:t>。</w:t>
      </w:r>
    </w:p>
    <w:p w14:paraId="38AC51E2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</w:t>
      </w:r>
      <w:r>
        <w:rPr>
          <w:rFonts w:ascii="仿宋" w:hAnsi="仿宋" w:eastAsia="仿宋"/>
          <w:sz w:val="28"/>
          <w:szCs w:val="28"/>
        </w:rPr>
        <w:t>收货记录和验收记录中与上一行</w:t>
      </w:r>
      <w:r>
        <w:rPr>
          <w:rFonts w:ascii="仿宋" w:hAnsi="仿宋" w:eastAsia="仿宋"/>
          <w:b/>
          <w:bCs/>
          <w:sz w:val="28"/>
          <w:szCs w:val="28"/>
        </w:rPr>
        <w:t>相同信息可以用“—”表示</w:t>
      </w:r>
      <w:r>
        <w:rPr>
          <w:rFonts w:ascii="仿宋" w:hAnsi="仿宋" w:eastAsia="仿宋"/>
          <w:sz w:val="28"/>
          <w:szCs w:val="28"/>
        </w:rPr>
        <w:t>。</w:t>
      </w:r>
    </w:p>
    <w:p w14:paraId="45CE1CEC">
      <w:pPr>
        <w:spacing w:line="360" w:lineRule="auto"/>
        <w:ind w:firstLine="562" w:firstLineChars="200"/>
        <w:rPr>
          <w:rFonts w:ascii="仿宋" w:hAnsi="仿宋" w:eastAsia="仿宋"/>
          <w:color w:val="0070C0"/>
          <w:sz w:val="24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</w:t>
      </w:r>
      <w:r>
        <w:rPr>
          <w:rFonts w:ascii="仿宋" w:hAnsi="仿宋" w:eastAsia="仿宋"/>
          <w:b/>
          <w:bCs/>
          <w:sz w:val="28"/>
          <w:szCs w:val="28"/>
        </w:rPr>
        <w:t>划“/”处不用填写</w:t>
      </w:r>
      <w:r>
        <w:rPr>
          <w:rFonts w:ascii="仿宋" w:hAnsi="仿宋" w:eastAsia="仿宋"/>
          <w:sz w:val="28"/>
          <w:szCs w:val="28"/>
        </w:rPr>
        <w:t>。</w:t>
      </w:r>
    </w:p>
    <w:p w14:paraId="0F387110">
      <w:pPr>
        <w:ind w:firstLine="640" w:firstLineChars="200"/>
        <w:rPr>
          <w:rFonts w:ascii="宋体" w:hAnsi="宋体"/>
          <w:sz w:val="32"/>
          <w:szCs w:val="32"/>
        </w:rPr>
      </w:pPr>
    </w:p>
    <w:p w14:paraId="035638CD">
      <w:pPr>
        <w:pStyle w:val="2"/>
        <w:ind w:firstLine="640"/>
        <w:rPr>
          <w:rFonts w:ascii="宋体" w:hAnsi="宋体"/>
          <w:sz w:val="32"/>
          <w:szCs w:val="32"/>
        </w:rPr>
      </w:pPr>
    </w:p>
    <w:p w14:paraId="2964502F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77E369F7">
      <w:pPr>
        <w:adjustRightInd w:val="0"/>
        <w:snapToGrid w:val="0"/>
        <w:spacing w:after="156" w:afterLines="50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黑体" w:hAnsi="黑体" w:eastAsia="黑体"/>
          <w:b/>
          <w:sz w:val="32"/>
          <w:szCs w:val="32"/>
        </w:rPr>
        <w:t>药品陈列与收货验收模块—药品收货验收答题纸</w:t>
      </w:r>
    </w:p>
    <w:p w14:paraId="39E50EB4">
      <w:pPr>
        <w:widowControl/>
        <w:snapToGrid w:val="0"/>
        <w:spacing w:line="360" w:lineRule="auto"/>
        <w:ind w:left="1252"/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</w:t>
      </w:r>
      <w:r>
        <w:rPr>
          <w:rFonts w:hint="eastAsia" w:ascii="Times New Roman" w:hAnsi="Times New Roman" w:eastAsia="仿宋_GB2312" w:cs="Times New Roman"/>
          <w:sz w:val="24"/>
          <w:lang w:eastAsia="zh-CN"/>
        </w:rPr>
        <w:t>竞赛编号</w:t>
      </w:r>
      <w:r>
        <w:rPr>
          <w:rFonts w:hint="default" w:ascii="Times New Roman" w:hAnsi="Times New Roman" w:eastAsia="仿宋_GB2312" w:cs="Times New Roman"/>
          <w:sz w:val="24"/>
        </w:rPr>
        <w:t>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4"/>
        </w:rPr>
        <w:t xml:space="preserve">     比赛用时：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</w:p>
    <w:p w14:paraId="2910107E">
      <w:pPr>
        <w:jc w:val="center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eastAsia="黑体"/>
          <w:sz w:val="32"/>
        </w:rPr>
        <w:t>药品收货记录</w:t>
      </w:r>
    </w:p>
    <w:tbl>
      <w:tblPr>
        <w:tblStyle w:val="6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055"/>
        <w:gridCol w:w="1101"/>
        <w:gridCol w:w="835"/>
        <w:gridCol w:w="849"/>
        <w:gridCol w:w="1903"/>
        <w:gridCol w:w="1534"/>
      </w:tblGrid>
      <w:tr w14:paraId="4C40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1" w:type="dxa"/>
            <w:vAlign w:val="center"/>
          </w:tcPr>
          <w:p w14:paraId="685568F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药品名称</w:t>
            </w:r>
          </w:p>
        </w:tc>
        <w:tc>
          <w:tcPr>
            <w:tcW w:w="1055" w:type="dxa"/>
            <w:vAlign w:val="center"/>
          </w:tcPr>
          <w:p w14:paraId="2FA9D37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剂型、规格、生产企业、批准文号等</w:t>
            </w:r>
          </w:p>
        </w:tc>
        <w:tc>
          <w:tcPr>
            <w:tcW w:w="1101" w:type="dxa"/>
            <w:vAlign w:val="center"/>
          </w:tcPr>
          <w:p w14:paraId="2121FAA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生产批号</w:t>
            </w:r>
          </w:p>
        </w:tc>
        <w:tc>
          <w:tcPr>
            <w:tcW w:w="835" w:type="dxa"/>
            <w:vAlign w:val="center"/>
          </w:tcPr>
          <w:p w14:paraId="2F99DFF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收货数量</w:t>
            </w:r>
          </w:p>
        </w:tc>
        <w:tc>
          <w:tcPr>
            <w:tcW w:w="849" w:type="dxa"/>
            <w:vAlign w:val="center"/>
          </w:tcPr>
          <w:p w14:paraId="3D32C86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拒收数量</w:t>
            </w:r>
          </w:p>
        </w:tc>
        <w:tc>
          <w:tcPr>
            <w:tcW w:w="1903" w:type="dxa"/>
            <w:vAlign w:val="center"/>
          </w:tcPr>
          <w:p w14:paraId="603EC29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拒收原因</w:t>
            </w:r>
          </w:p>
        </w:tc>
        <w:tc>
          <w:tcPr>
            <w:tcW w:w="1534" w:type="dxa"/>
            <w:vAlign w:val="center"/>
          </w:tcPr>
          <w:p w14:paraId="62BB733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处理方式</w:t>
            </w:r>
          </w:p>
        </w:tc>
      </w:tr>
      <w:tr w14:paraId="1CB0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4E92539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5E9CB4B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3CCCF46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1DC8977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336782B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250EF2E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4988B5B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3C25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3216D33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30B262D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468694D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3409DC6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7959D18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05C928E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1131EF9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E516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1271434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1E2FE9F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2F2E9DE4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2A6BF76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0AFF713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04A6AD9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95F0BB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5FC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3404911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2E3F601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5055734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79340B0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5C974FF9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33E3F43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4B1D16B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7FA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455FCC2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0726FCA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7DB79DB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082B13E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77A87B2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158A9F3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20B564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C2B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35DF119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49B1F6D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4B57FE8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09CC927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081C41D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3F15AD3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3DA2087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3970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024BFCD0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382E7AE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6A2E94E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1812C18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2298061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3D2E0E86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AEFFBA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32C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63647B3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20D7424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7D163CB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5924F92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7A77F70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674BE26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6538E81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F9E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351" w:type="dxa"/>
            <w:vAlign w:val="center"/>
          </w:tcPr>
          <w:p w14:paraId="5A393171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55" w:type="dxa"/>
            <w:vAlign w:val="center"/>
          </w:tcPr>
          <w:p w14:paraId="5F2AAE8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101" w:type="dxa"/>
            <w:vAlign w:val="center"/>
          </w:tcPr>
          <w:p w14:paraId="0376D2F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35" w:type="dxa"/>
            <w:vAlign w:val="center"/>
          </w:tcPr>
          <w:p w14:paraId="0087A6E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49" w:type="dxa"/>
            <w:vAlign w:val="center"/>
          </w:tcPr>
          <w:p w14:paraId="6F1B5BC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3" w:type="dxa"/>
            <w:vAlign w:val="center"/>
          </w:tcPr>
          <w:p w14:paraId="079C323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E4030D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C99996E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收货日期：    年   月    日    收货人：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（此处不得填写收货人真实姓名）</w:t>
      </w:r>
    </w:p>
    <w:p w14:paraId="5BA000AD">
      <w:p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46E675">
      <w:pPr>
        <w:widowControl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药品验收记录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080"/>
        <w:gridCol w:w="889"/>
        <w:gridCol w:w="889"/>
        <w:gridCol w:w="825"/>
        <w:gridCol w:w="1846"/>
        <w:gridCol w:w="1655"/>
      </w:tblGrid>
      <w:tr w14:paraId="0C408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22" w:type="dxa"/>
            <w:vAlign w:val="center"/>
          </w:tcPr>
          <w:p w14:paraId="4F03E8C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药品名称</w:t>
            </w:r>
          </w:p>
          <w:p w14:paraId="6405DEB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（简写即可）</w:t>
            </w:r>
          </w:p>
        </w:tc>
        <w:tc>
          <w:tcPr>
            <w:tcW w:w="1842" w:type="dxa"/>
            <w:vAlign w:val="center"/>
          </w:tcPr>
          <w:p w14:paraId="503D730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剂型规格生产企业批准文号等</w:t>
            </w:r>
          </w:p>
        </w:tc>
        <w:tc>
          <w:tcPr>
            <w:tcW w:w="1418" w:type="dxa"/>
            <w:vAlign w:val="center"/>
          </w:tcPr>
          <w:p w14:paraId="607208D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验收合格数量</w:t>
            </w:r>
          </w:p>
        </w:tc>
        <w:tc>
          <w:tcPr>
            <w:tcW w:w="1417" w:type="dxa"/>
            <w:vAlign w:val="center"/>
          </w:tcPr>
          <w:p w14:paraId="11C9F64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验收不合格数量</w:t>
            </w:r>
          </w:p>
        </w:tc>
        <w:tc>
          <w:tcPr>
            <w:tcW w:w="1276" w:type="dxa"/>
            <w:vAlign w:val="center"/>
          </w:tcPr>
          <w:p w14:paraId="0BF9B0E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验收结论</w:t>
            </w:r>
          </w:p>
        </w:tc>
        <w:tc>
          <w:tcPr>
            <w:tcW w:w="3544" w:type="dxa"/>
            <w:vAlign w:val="center"/>
          </w:tcPr>
          <w:p w14:paraId="0505313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验收不合格原因</w:t>
            </w:r>
          </w:p>
        </w:tc>
        <w:tc>
          <w:tcPr>
            <w:tcW w:w="3118" w:type="dxa"/>
            <w:vAlign w:val="center"/>
          </w:tcPr>
          <w:p w14:paraId="333ED36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处理方式</w:t>
            </w:r>
          </w:p>
        </w:tc>
      </w:tr>
      <w:tr w14:paraId="44B1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CF43A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7624950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00A3430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4F298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1F8EC8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4597874B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612E34E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1FA0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F9E02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B9DA88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1A56981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716410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C8FDE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68C29E9A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0D4B5FA0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3F51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6241156A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5DF668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166E811A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85B6D62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67FFF2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076C37A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5D9F321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A947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397FA52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0EFBAA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37D9AC8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4BCB90B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13BA7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5AE4DDB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191A8CB3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12B4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1C0C241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D1211C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29EFDCBB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F3B63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A161D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233398FA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0D806BD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287CC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3FD65EA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FA50D7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26FBFA9C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C9F67C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E01B548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22947AE0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353AB69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707A8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557951A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A3F53D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5A7FE12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6EC852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BD250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5423AC2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08D50DA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62C78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26A3D30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5E4B4E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61FCBC36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7CD49B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992EDF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74C004CE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0585382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53381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1B88A2FB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3E13200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51481A64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62959D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B68CCC7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4E8493D5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4F282C4B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  <w:tr w14:paraId="5B40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22" w:type="dxa"/>
            <w:vAlign w:val="center"/>
          </w:tcPr>
          <w:p w14:paraId="291306BC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9F628E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/</w:t>
            </w:r>
          </w:p>
        </w:tc>
        <w:tc>
          <w:tcPr>
            <w:tcW w:w="1418" w:type="dxa"/>
            <w:vAlign w:val="center"/>
          </w:tcPr>
          <w:p w14:paraId="538BC7C9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47C47C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ED999DF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544" w:type="dxa"/>
            <w:vAlign w:val="center"/>
          </w:tcPr>
          <w:p w14:paraId="1CF0C2ED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5B72B971"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 w14:paraId="6689EECF">
      <w:pPr>
        <w:widowControl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验收日期：    年   月    日    验收员：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（此处不得填写收货人真实姓名）</w:t>
      </w:r>
    </w:p>
    <w:p w14:paraId="549B70C3">
      <w:pPr>
        <w:rPr>
          <w:rFonts w:ascii="仿宋" w:hAnsi="仿宋" w:eastAsia="仿宋" w:cs="仿宋"/>
        </w:rPr>
      </w:pPr>
    </w:p>
    <w:p w14:paraId="5A97AA69">
      <w:pPr>
        <w:pStyle w:val="2"/>
        <w:ind w:firstLine="640"/>
        <w:rPr>
          <w:rFonts w:ascii="宋体" w:hAnsi="宋体"/>
          <w:sz w:val="32"/>
          <w:szCs w:val="32"/>
        </w:rPr>
      </w:pPr>
    </w:p>
    <w:p w14:paraId="07715C2F">
      <w:pPr>
        <w:pStyle w:val="2"/>
        <w:ind w:left="0" w:leftChars="0" w:firstLine="0" w:firstLineChars="0"/>
      </w:pPr>
    </w:p>
    <w:p w14:paraId="0C32D79D">
      <w:pPr>
        <w:jc w:val="center"/>
        <w:rPr>
          <w:sz w:val="36"/>
          <w:szCs w:val="36"/>
        </w:rPr>
      </w:pPr>
      <w:r>
        <w:rPr>
          <w:rFonts w:hint="eastAsia" w:ascii="黑体" w:hAnsi="黑体" w:eastAsia="黑体"/>
          <w:b/>
          <w:sz w:val="32"/>
          <w:szCs w:val="32"/>
        </w:rPr>
        <w:t>处方调剂与用药指导模块试题单</w:t>
      </w:r>
    </w:p>
    <w:p w14:paraId="15865EE1">
      <w:pPr>
        <w:jc w:val="center"/>
        <w:rPr>
          <w:sz w:val="36"/>
          <w:szCs w:val="36"/>
        </w:rPr>
      </w:pPr>
    </w:p>
    <w:p w14:paraId="5EF2A418">
      <w:pPr>
        <w:widowControl/>
        <w:adjustRightInd w:val="0"/>
        <w:snapToGrid w:val="0"/>
        <w:spacing w:line="360" w:lineRule="auto"/>
        <w:ind w:firstLine="1124" w:firstLineChars="4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考核时间：20分钟             题目分值：24分</w:t>
      </w:r>
    </w:p>
    <w:p w14:paraId="1D8E1C11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6FD76880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答题要求：</w:t>
      </w:r>
    </w:p>
    <w:p w14:paraId="35D0FCC6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1．对2张处方笺做出合理性审核；</w:t>
      </w:r>
    </w:p>
    <w:p w14:paraId="2D7DFE97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2．对于合理处方，要说明处方中各药的药理作用、作用机制、联合用药的理由，并进行用药交代；</w:t>
      </w:r>
    </w:p>
    <w:p w14:paraId="559CA558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3.对于不合理处方，要点评处方的规范性和适宜性，详尽指出处方中的所有不规范或（和）不适宜之处并说明理由，同时给出合理性建议。</w:t>
      </w:r>
    </w:p>
    <w:p w14:paraId="1F57C36F">
      <w:pPr>
        <w:jc w:val="left"/>
        <w:rPr>
          <w:sz w:val="32"/>
          <w:szCs w:val="40"/>
        </w:rPr>
      </w:pPr>
      <w:r>
        <w:rPr>
          <w:sz w:val="32"/>
          <w:szCs w:val="40"/>
        </w:rPr>
        <w:t>处方1</w:t>
      </w:r>
    </w:p>
    <w:p w14:paraId="36A35FDD">
      <w:pPr>
        <w:jc w:val="center"/>
        <w:rPr>
          <w:b/>
          <w:bCs/>
          <w:sz w:val="32"/>
          <w:szCs w:val="40"/>
        </w:rPr>
      </w:pPr>
      <w:r>
        <w:rPr>
          <w:rFonts w:hint="eastAsia" w:ascii="黑体" w:hAnsi="黑体" w:eastAsia="黑体"/>
          <w:b/>
          <w:sz w:val="32"/>
          <w:szCs w:val="32"/>
        </w:rPr>
        <w:t>处方调剂与用药指导模块处方笺</w:t>
      </w:r>
    </w:p>
    <w:p w14:paraId="34A18278">
      <w:pPr>
        <w:jc w:val="center"/>
        <w:rPr>
          <w:sz w:val="24"/>
          <w:szCs w:val="32"/>
        </w:rPr>
      </w:pPr>
    </w:p>
    <w:p w14:paraId="3316FFA0">
      <w:pPr>
        <w:jc w:val="center"/>
        <w:rPr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102235</wp:posOffset>
                </wp:positionV>
                <wp:extent cx="723900" cy="333375"/>
                <wp:effectExtent l="4445" t="4445" r="18415" b="1270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23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DABBCE3">
                            <w:pPr>
                              <w:ind w:right="240"/>
                              <w:rPr>
                                <w:rFonts w:ascii="仿宋" w:hAnsi="仿宋" w:eastAsia="仿宋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  <w:szCs w:val="32"/>
                              </w:rPr>
                              <w:t>普通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95pt;margin-top:8.05pt;height:26.25pt;width:57pt;z-index:251661312;mso-width-relative:page;mso-height-relative:page;" fillcolor="#FFFFFF" filled="t" stroked="t" coordsize="21600,21600" o:gfxdata="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QAf8+&#10;1AAAAAkBAAAPAAAAAAAAAAEAIAAAACIAAABkcnMvZG93bnJldi54bWxQSwECFAAUAAAACACHTuJA&#10;uLlIJCUCAABYBAAADgAAAAAAAAABACAAAAAjAQAAZHJzL2Uyb0RvYy54bWxQSwUGAAAAAAYABgBZ&#10;AQAAugU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 w14:paraId="2DABBCE3">
                      <w:pPr>
                        <w:ind w:right="240"/>
                        <w:rPr>
                          <w:rFonts w:ascii="仿宋" w:hAnsi="仿宋" w:eastAsia="仿宋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  <w:szCs w:val="32"/>
                        </w:rPr>
                        <w:t>普通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32"/>
        </w:rPr>
        <w:t xml:space="preserve">          </w:t>
      </w:r>
    </w:p>
    <w:p w14:paraId="14596249">
      <w:pPr>
        <w:jc w:val="center"/>
        <w:rPr>
          <w:sz w:val="24"/>
          <w:szCs w:val="32"/>
        </w:rPr>
      </w:pPr>
      <w:r>
        <w:rPr>
          <w:sz w:val="24"/>
          <w:szCs w:val="32"/>
        </w:rPr>
        <w:t xml:space="preserve">         </w:t>
      </w:r>
    </w:p>
    <w:p w14:paraId="441C5719">
      <w:pPr>
        <w:spacing w:line="360" w:lineRule="auto"/>
        <w:rPr>
          <w:sz w:val="28"/>
          <w:szCs w:val="36"/>
          <w:u w:val="single"/>
        </w:rPr>
      </w:pPr>
    </w:p>
    <w:p w14:paraId="0E4625FD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科室：</w:t>
      </w:r>
      <w:r>
        <w:rPr>
          <w:rFonts w:hint="eastAsia"/>
          <w:sz w:val="28"/>
          <w:szCs w:val="28"/>
          <w:u w:val="single"/>
        </w:rPr>
        <w:t>五官科</w:t>
      </w:r>
      <w:r>
        <w:rPr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门诊号：12345    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费别：</w:t>
      </w:r>
      <w:r>
        <w:rPr>
          <w:rFonts w:hint="eastAsia"/>
          <w:sz w:val="28"/>
          <w:szCs w:val="28"/>
          <w:u w:val="single"/>
        </w:rPr>
        <w:t>XX</w:t>
      </w:r>
      <w:r>
        <w:rPr>
          <w:sz w:val="28"/>
          <w:szCs w:val="28"/>
          <w:u w:val="single"/>
        </w:rPr>
        <w:t xml:space="preserve">                   </w:t>
      </w:r>
    </w:p>
    <w:p w14:paraId="342C0E7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姓名：XXX  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性别：</w:t>
      </w:r>
      <w:r>
        <w:rPr>
          <w:rFonts w:hint="eastAsia"/>
          <w:sz w:val="28"/>
          <w:szCs w:val="28"/>
          <w:u w:val="single"/>
        </w:rPr>
        <w:t>女</w:t>
      </w:r>
      <w:r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年龄：44 岁              </w:t>
      </w:r>
    </w:p>
    <w:p w14:paraId="19339D8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临床诊断：</w:t>
      </w:r>
      <w:r>
        <w:rPr>
          <w:rFonts w:hint="eastAsia"/>
          <w:sz w:val="28"/>
          <w:szCs w:val="28"/>
          <w:u w:val="single"/>
        </w:rPr>
        <w:t>变应性鼻炎</w:t>
      </w:r>
      <w:r>
        <w:rPr>
          <w:sz w:val="28"/>
          <w:szCs w:val="28"/>
          <w:u w:val="single"/>
        </w:rPr>
        <w:t xml:space="preserve">                   开具日期：2023.01.05   </w:t>
      </w:r>
    </w:p>
    <w:p w14:paraId="6C2E597E">
      <w:pPr>
        <w:spacing w:line="360" w:lineRule="auto"/>
        <w:ind w:firstLine="280" w:firstLineChars="100"/>
        <w:rPr>
          <w:sz w:val="28"/>
          <w:szCs w:val="28"/>
        </w:rPr>
      </w:pPr>
      <w:r>
        <w:rPr>
          <w:sz w:val="28"/>
          <w:szCs w:val="28"/>
        </w:rPr>
        <w:t>Rp：</w:t>
      </w:r>
    </w:p>
    <w:p w14:paraId="492C2BB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左卡巴斯汀鼻喷雾剂    10ml：5mg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100揿   1瓶      </w:t>
      </w:r>
    </w:p>
    <w:p w14:paraId="3E96B9F7">
      <w:pPr>
        <w:ind w:firstLine="3640" w:firstLineChars="1300"/>
        <w:rPr>
          <w:sz w:val="28"/>
          <w:szCs w:val="28"/>
        </w:rPr>
      </w:pPr>
      <w:r>
        <w:rPr>
          <w:rFonts w:hint="eastAsia"/>
          <w:sz w:val="28"/>
          <w:szCs w:val="28"/>
        </w:rPr>
        <w:t>用法：2喷/次/每鼻孔  bid   喷鼻</w:t>
      </w:r>
    </w:p>
    <w:p w14:paraId="37691D6F">
      <w:pPr>
        <w:ind w:firstLine="560" w:firstLineChars="200"/>
        <w:rPr>
          <w:sz w:val="28"/>
          <w:szCs w:val="28"/>
        </w:rPr>
      </w:pPr>
    </w:p>
    <w:p w14:paraId="569B09F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糠酸莫米松鼻喷雾剂    0.05%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>140揿        1瓶</w:t>
      </w:r>
    </w:p>
    <w:p w14:paraId="14D9E5A8">
      <w:pPr>
        <w:ind w:firstLine="3640" w:firstLineChars="1300"/>
        <w:rPr>
          <w:sz w:val="28"/>
          <w:szCs w:val="28"/>
        </w:rPr>
      </w:pPr>
      <w:r>
        <w:rPr>
          <w:rFonts w:hint="eastAsia"/>
          <w:sz w:val="28"/>
          <w:szCs w:val="28"/>
        </w:rPr>
        <w:t>用法：2喷/次/每鼻孔   sid   喷鼻</w:t>
      </w:r>
    </w:p>
    <w:p w14:paraId="064C15DB">
      <w:pPr>
        <w:ind w:firstLine="4200" w:firstLineChars="2000"/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1860550</wp:posOffset>
                </wp:positionH>
                <wp:positionV relativeFrom="paragraph">
                  <wp:posOffset>351155</wp:posOffset>
                </wp:positionV>
                <wp:extent cx="1301750" cy="1149350"/>
                <wp:effectExtent l="3175" t="3810" r="571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1750" cy="11493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6.5pt;margin-top:27.65pt;height:90.5pt;width:102.5pt;z-index:251662336;mso-width-relative:page;mso-height-relative:page;" filled="f" stroked="t" coordsize="21600,21600" o:gfxdata="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r0dztsAAAAKAQAADwAAAAAAAAABACAAAAAiAAAAZHJzL2Rvd25yZXYueG1sUEsBAhQA&#10;FAAAAAgAh07iQJ0X09zvAQAAwwMAAA4AAAAAAAAAAQAgAAAAKgEAAGRycy9lMm9Eb2MueG1sUEsF&#10;BgAAAAAGAAYAWQEAAIsFAAAAAA==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FEF3266">
      <w:pPr>
        <w:rPr>
          <w:sz w:val="28"/>
          <w:szCs w:val="28"/>
        </w:rPr>
      </w:pPr>
    </w:p>
    <w:p w14:paraId="066D439B">
      <w:pPr>
        <w:ind w:firstLine="3640" w:firstLineChars="130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8C74EE7">
      <w:pPr>
        <w:spacing w:line="360" w:lineRule="auto"/>
        <w:rPr>
          <w:sz w:val="28"/>
          <w:szCs w:val="28"/>
        </w:rPr>
      </w:pPr>
    </w:p>
    <w:p w14:paraId="012AB33D">
      <w:pPr>
        <w:spacing w:line="360" w:lineRule="auto"/>
        <w:rPr>
          <w:sz w:val="28"/>
          <w:szCs w:val="28"/>
        </w:rPr>
      </w:pPr>
    </w:p>
    <w:p w14:paraId="5E2ACAEE">
      <w:pPr>
        <w:spacing w:line="360" w:lineRule="auto"/>
        <w:rPr>
          <w:sz w:val="28"/>
          <w:szCs w:val="28"/>
        </w:rPr>
      </w:pPr>
    </w:p>
    <w:p w14:paraId="2AB7E6E7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医师：张晓明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审核：</w:t>
      </w:r>
      <w:r>
        <w:rPr>
          <w:rFonts w:hint="eastAsia"/>
          <w:sz w:val="28"/>
          <w:szCs w:val="28"/>
          <w:u w:val="single"/>
        </w:rPr>
        <w:t>李红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药价：</w:t>
      </w:r>
      <w:r>
        <w:rPr>
          <w:rFonts w:hint="eastAsia"/>
          <w:sz w:val="28"/>
          <w:szCs w:val="28"/>
          <w:u w:val="single"/>
        </w:rPr>
        <w:t>XX</w:t>
      </w:r>
      <w:r>
        <w:rPr>
          <w:sz w:val="28"/>
          <w:szCs w:val="28"/>
          <w:u w:val="single"/>
        </w:rPr>
        <w:t xml:space="preserve">                </w:t>
      </w:r>
    </w:p>
    <w:p w14:paraId="6C21F412">
      <w:pPr>
        <w:jc w:val="left"/>
        <w:rPr>
          <w:sz w:val="32"/>
          <w:szCs w:val="40"/>
        </w:rPr>
      </w:pPr>
      <w:r>
        <w:rPr>
          <w:sz w:val="28"/>
          <w:szCs w:val="28"/>
          <w:u w:val="single"/>
        </w:rPr>
        <w:t>调配：</w:t>
      </w:r>
      <w:r>
        <w:rPr>
          <w:rFonts w:hint="eastAsia"/>
          <w:sz w:val="28"/>
          <w:szCs w:val="28"/>
          <w:u w:val="single"/>
        </w:rPr>
        <w:t>刘强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>核对/</w:t>
      </w:r>
      <w:r>
        <w:rPr>
          <w:rFonts w:hint="eastAsia"/>
          <w:sz w:val="28"/>
          <w:szCs w:val="28"/>
          <w:u w:val="single"/>
        </w:rPr>
        <w:t>发药药师</w:t>
      </w:r>
      <w:r>
        <w:rPr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>陈杰</w:t>
      </w:r>
      <w:r>
        <w:rPr>
          <w:sz w:val="28"/>
          <w:szCs w:val="28"/>
          <w:u w:val="single"/>
        </w:rPr>
        <w:t xml:space="preserve">                     </w:t>
      </w:r>
    </w:p>
    <w:p w14:paraId="12B05486">
      <w:pPr>
        <w:jc w:val="left"/>
        <w:rPr>
          <w:sz w:val="32"/>
          <w:szCs w:val="40"/>
        </w:rPr>
      </w:pPr>
    </w:p>
    <w:p w14:paraId="6D9D53AB">
      <w:pPr>
        <w:jc w:val="left"/>
        <w:rPr>
          <w:sz w:val="32"/>
          <w:szCs w:val="40"/>
        </w:rPr>
      </w:pPr>
      <w:r>
        <w:rPr>
          <w:sz w:val="32"/>
          <w:szCs w:val="40"/>
        </w:rPr>
        <w:t>处方2</w:t>
      </w:r>
    </w:p>
    <w:p w14:paraId="74C59D71">
      <w:pPr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53E8B85A">
      <w:pPr>
        <w:jc w:val="center"/>
        <w:rPr>
          <w:b/>
          <w:bCs/>
          <w:sz w:val="32"/>
          <w:szCs w:val="40"/>
        </w:rPr>
      </w:pPr>
      <w:r>
        <w:rPr>
          <w:rFonts w:hint="eastAsia" w:ascii="黑体" w:hAnsi="黑体" w:eastAsia="黑体"/>
          <w:b/>
          <w:sz w:val="32"/>
          <w:szCs w:val="32"/>
        </w:rPr>
        <w:t>处方调剂与用药指导模块处方笺</w:t>
      </w:r>
    </w:p>
    <w:p w14:paraId="21F538A7">
      <w:pPr>
        <w:rPr>
          <w:b/>
          <w:bCs/>
          <w:sz w:val="32"/>
          <w:szCs w:val="40"/>
        </w:rPr>
      </w:pPr>
    </w:p>
    <w:p w14:paraId="578B1DFB">
      <w:pPr>
        <w:jc w:val="center"/>
        <w:rPr>
          <w:sz w:val="24"/>
          <w:szCs w:val="32"/>
        </w:rPr>
      </w:pPr>
    </w:p>
    <w:p w14:paraId="0F0A12AF">
      <w:pPr>
        <w:jc w:val="center"/>
        <w:rPr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46990</wp:posOffset>
                </wp:positionV>
                <wp:extent cx="723900" cy="333375"/>
                <wp:effectExtent l="4445" t="4445" r="18415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239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C47A61">
                            <w:pPr>
                              <w:ind w:right="240"/>
                              <w:jc w:val="right"/>
                              <w:rPr>
                                <w:rFonts w:ascii="仿宋" w:hAnsi="仿宋" w:eastAsia="仿宋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  <w:szCs w:val="32"/>
                              </w:rPr>
                              <w:t>普通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7.6pt;margin-top:3.7pt;height:26.25pt;width:57pt;z-index:251659264;mso-width-relative:page;mso-height-relative:page;" fillcolor="#FFFFFF" filled="t" stroked="t" coordsize="21600,21600" o:gfxdata="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Oy+&#10;MtUAAAAIAQAADwAAAAAAAAABACAAAAAiAAAAZHJzL2Rvd25yZXYueG1sUEsBAhQAFAAAAAgAh07i&#10;QO8LIQglAgAAVgQAAA4AAAAAAAAAAQAgAAAAJAEAAGRycy9lMm9Eb2MueG1sUEsFBgAAAAAGAAYA&#10;WQEAALs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 w14:paraId="57C47A61">
                      <w:pPr>
                        <w:ind w:right="240"/>
                        <w:jc w:val="right"/>
                        <w:rPr>
                          <w:rFonts w:ascii="仿宋" w:hAnsi="仿宋" w:eastAsia="仿宋"/>
                          <w:sz w:val="24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  <w:szCs w:val="32"/>
                        </w:rPr>
                        <w:t>普通</w:t>
                      </w:r>
                    </w:p>
                  </w:txbxContent>
                </v:textbox>
              </v:shape>
            </w:pict>
          </mc:Fallback>
        </mc:AlternateContent>
      </w:r>
    </w:p>
    <w:p w14:paraId="107B77A7">
      <w:pPr>
        <w:jc w:val="center"/>
        <w:rPr>
          <w:sz w:val="24"/>
          <w:szCs w:val="32"/>
        </w:rPr>
      </w:pPr>
      <w:r>
        <w:rPr>
          <w:sz w:val="24"/>
          <w:szCs w:val="32"/>
        </w:rPr>
        <w:t xml:space="preserve">                   </w:t>
      </w:r>
    </w:p>
    <w:p w14:paraId="6BA9FE5C">
      <w:pPr>
        <w:spacing w:line="360" w:lineRule="auto"/>
        <w:rPr>
          <w:sz w:val="28"/>
          <w:szCs w:val="36"/>
          <w:u w:val="single"/>
        </w:rPr>
      </w:pPr>
    </w:p>
    <w:p w14:paraId="738FEE34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科室：</w:t>
      </w:r>
      <w:r>
        <w:rPr>
          <w:rFonts w:hint="eastAsia"/>
          <w:sz w:val="28"/>
          <w:szCs w:val="28"/>
          <w:u w:val="single"/>
        </w:rPr>
        <w:t>XX</w:t>
      </w:r>
      <w:r>
        <w:rPr>
          <w:sz w:val="28"/>
          <w:szCs w:val="28"/>
          <w:u w:val="single"/>
        </w:rPr>
        <w:t xml:space="preserve">            门诊号：123456       费别</w:t>
      </w:r>
      <w:r>
        <w:rPr>
          <w:rFonts w:hint="eastAsia"/>
          <w:sz w:val="28"/>
          <w:szCs w:val="28"/>
          <w:u w:val="single"/>
        </w:rPr>
        <w:t>：XX</w:t>
      </w:r>
      <w:r>
        <w:rPr>
          <w:sz w:val="28"/>
          <w:szCs w:val="28"/>
          <w:u w:val="single"/>
        </w:rPr>
        <w:t xml:space="preserve">                   </w:t>
      </w:r>
    </w:p>
    <w:p w14:paraId="73B2388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姓名：XX        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性别：</w:t>
      </w:r>
      <w:r>
        <w:rPr>
          <w:rFonts w:hint="eastAsia"/>
          <w:sz w:val="28"/>
          <w:szCs w:val="28"/>
          <w:u w:val="single"/>
        </w:rPr>
        <w:t>女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年龄：35岁             </w:t>
      </w:r>
    </w:p>
    <w:p w14:paraId="1730563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临床诊断：</w:t>
      </w:r>
      <w:r>
        <w:rPr>
          <w:rFonts w:hint="eastAsia"/>
          <w:sz w:val="28"/>
          <w:szCs w:val="28"/>
          <w:u w:val="single"/>
        </w:rPr>
        <w:t>哮喘、呼吸道感染</w:t>
      </w:r>
      <w:r>
        <w:rPr>
          <w:sz w:val="28"/>
          <w:szCs w:val="28"/>
          <w:u w:val="single"/>
        </w:rPr>
        <w:t xml:space="preserve">            开具日期：2023.01.02        </w:t>
      </w:r>
    </w:p>
    <w:p w14:paraId="34681921">
      <w:pPr>
        <w:spacing w:line="360" w:lineRule="auto"/>
        <w:ind w:firstLine="280" w:firstLineChars="100"/>
        <w:rPr>
          <w:sz w:val="28"/>
          <w:szCs w:val="28"/>
        </w:rPr>
      </w:pPr>
      <w:r>
        <w:rPr>
          <w:sz w:val="28"/>
          <w:szCs w:val="28"/>
        </w:rPr>
        <w:t>Rp：</w:t>
      </w:r>
    </w:p>
    <w:p w14:paraId="1898D3B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氨茶碱缓释片</w:t>
      </w:r>
      <w:r>
        <w:rPr>
          <w:sz w:val="28"/>
          <w:szCs w:val="28"/>
        </w:rPr>
        <w:t xml:space="preserve">          0.1g × 24</w:t>
      </w:r>
      <w:r>
        <w:rPr>
          <w:rFonts w:hint="eastAsia"/>
          <w:sz w:val="28"/>
          <w:szCs w:val="28"/>
        </w:rPr>
        <w:t>片</w:t>
      </w:r>
      <w:r>
        <w:rPr>
          <w:sz w:val="28"/>
          <w:szCs w:val="28"/>
        </w:rPr>
        <w:t xml:space="preserve">  </w:t>
      </w:r>
    </w:p>
    <w:p w14:paraId="39FEED52">
      <w:pPr>
        <w:ind w:firstLine="3640" w:firstLineChars="1300"/>
        <w:rPr>
          <w:sz w:val="28"/>
          <w:szCs w:val="28"/>
        </w:rPr>
      </w:pPr>
      <w:r>
        <w:rPr>
          <w:rFonts w:hint="eastAsia"/>
          <w:sz w:val="28"/>
          <w:szCs w:val="28"/>
        </w:rPr>
        <w:t>用法：0.3g   bid   po</w:t>
      </w:r>
      <w:r>
        <w:rPr>
          <w:sz w:val="28"/>
          <w:szCs w:val="28"/>
        </w:rPr>
        <w:t xml:space="preserve">      </w:t>
      </w:r>
    </w:p>
    <w:p w14:paraId="03E33477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克拉霉素</w:t>
      </w:r>
      <w:r>
        <w:rPr>
          <w:rFonts w:hint="eastAsia"/>
          <w:sz w:val="28"/>
          <w:szCs w:val="28"/>
        </w:rPr>
        <w:t xml:space="preserve">片            </w:t>
      </w:r>
      <w:r>
        <w:rPr>
          <w:sz w:val="28"/>
          <w:szCs w:val="28"/>
        </w:rPr>
        <w:t>250mg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片</w:t>
      </w:r>
    </w:p>
    <w:p w14:paraId="3E606C42">
      <w:pPr>
        <w:ind w:firstLine="3640" w:firstLineChars="1300"/>
        <w:rPr>
          <w:sz w:val="28"/>
          <w:szCs w:val="28"/>
        </w:rPr>
      </w:pPr>
      <w:r>
        <w:rPr>
          <w:rFonts w:hint="eastAsia"/>
          <w:sz w:val="28"/>
          <w:szCs w:val="28"/>
        </w:rPr>
        <w:t>用法：0.25g  bid   po</w:t>
      </w:r>
    </w:p>
    <w:p w14:paraId="1425EE34">
      <w:pPr>
        <w:spacing w:line="360" w:lineRule="auto"/>
        <w:rPr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264160</wp:posOffset>
                </wp:positionV>
                <wp:extent cx="1301750" cy="1149350"/>
                <wp:effectExtent l="3175" t="3810" r="571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1750" cy="11493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6pt;margin-top:20.8pt;height:90.5pt;width:102.5pt;z-index:251660288;mso-width-relative:page;mso-height-relative:page;" filled="f" stroked="t" coordsize="21600,21600" o:gfxdata="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9uEn52wAAAAoBAAAPAAAAAAAAAAEAIAAAACIAAABkcnMvZG93bnJldi54bWxQSwECFAAU&#10;AAAACACHTuJACht+de4BAADBAwAADgAAAAAAAAABACAAAAAqAQAAZHJzL2Uyb0RvYy54bWxQSwUG&#10;AAAAAAYABgBZAQAAigUAAAAA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E300CA6">
      <w:pPr>
        <w:spacing w:line="360" w:lineRule="auto"/>
        <w:rPr>
          <w:sz w:val="28"/>
          <w:szCs w:val="28"/>
        </w:rPr>
      </w:pPr>
    </w:p>
    <w:p w14:paraId="6461E1EB">
      <w:pPr>
        <w:spacing w:line="360" w:lineRule="auto"/>
        <w:rPr>
          <w:sz w:val="28"/>
          <w:szCs w:val="28"/>
        </w:rPr>
      </w:pPr>
    </w:p>
    <w:p w14:paraId="1A24D542">
      <w:pPr>
        <w:spacing w:line="360" w:lineRule="auto"/>
        <w:rPr>
          <w:sz w:val="28"/>
          <w:szCs w:val="28"/>
        </w:rPr>
      </w:pPr>
    </w:p>
    <w:p w14:paraId="1215F323">
      <w:pPr>
        <w:spacing w:line="360" w:lineRule="auto"/>
        <w:rPr>
          <w:sz w:val="28"/>
          <w:szCs w:val="28"/>
          <w:u w:val="single"/>
        </w:rPr>
      </w:pPr>
    </w:p>
    <w:p w14:paraId="6F1D34FE">
      <w:pPr>
        <w:spacing w:line="360" w:lineRule="auto"/>
        <w:rPr>
          <w:sz w:val="28"/>
          <w:szCs w:val="28"/>
          <w:u w:val="single"/>
        </w:rPr>
      </w:pPr>
    </w:p>
    <w:p w14:paraId="4E86E5B7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医师：              审核：</w:t>
      </w:r>
      <w:r>
        <w:rPr>
          <w:rFonts w:hint="eastAsia"/>
          <w:sz w:val="28"/>
          <w:szCs w:val="28"/>
          <w:u w:val="single"/>
        </w:rPr>
        <w:t>李红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>药价：</w:t>
      </w:r>
      <w:r>
        <w:rPr>
          <w:rFonts w:hint="eastAsia"/>
          <w:sz w:val="28"/>
          <w:szCs w:val="28"/>
          <w:u w:val="single"/>
        </w:rPr>
        <w:t>X</w:t>
      </w:r>
      <w:r>
        <w:rPr>
          <w:sz w:val="28"/>
          <w:szCs w:val="28"/>
          <w:u w:val="single"/>
        </w:rPr>
        <w:t xml:space="preserve">X                </w:t>
      </w:r>
    </w:p>
    <w:p w14:paraId="2827779F">
      <w:pPr>
        <w:pStyle w:val="2"/>
        <w:ind w:left="0" w:leftChars="0" w:firstLine="0" w:firstLineChars="0"/>
      </w:pPr>
      <w:r>
        <w:rPr>
          <w:sz w:val="28"/>
          <w:szCs w:val="28"/>
          <w:u w:val="single"/>
        </w:rPr>
        <w:t>调配：</w:t>
      </w:r>
      <w:r>
        <w:rPr>
          <w:rFonts w:hint="eastAsia"/>
          <w:sz w:val="28"/>
          <w:szCs w:val="28"/>
          <w:u w:val="single"/>
        </w:rPr>
        <w:t>李红</w:t>
      </w:r>
      <w:r>
        <w:rPr>
          <w:sz w:val="28"/>
          <w:szCs w:val="28"/>
          <w:u w:val="single"/>
        </w:rPr>
        <w:t xml:space="preserve">          核对</w:t>
      </w:r>
      <w:r>
        <w:rPr>
          <w:rFonts w:hint="eastAsia"/>
          <w:sz w:val="28"/>
          <w:szCs w:val="28"/>
          <w:u w:val="single"/>
        </w:rPr>
        <w:t>/发药药师</w:t>
      </w:r>
      <w:r>
        <w:rPr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>陈杰</w:t>
      </w:r>
      <w:r>
        <w:rPr>
          <w:sz w:val="28"/>
          <w:szCs w:val="28"/>
          <w:u w:val="single"/>
        </w:rPr>
        <w:t xml:space="preserve">                       </w:t>
      </w:r>
    </w:p>
    <w:p w14:paraId="2052CE52">
      <w:pPr>
        <w:jc w:val="center"/>
        <w:rPr>
          <w:rFonts w:hint="eastAsia"/>
          <w:b/>
          <w:bCs/>
          <w:sz w:val="36"/>
          <w:szCs w:val="36"/>
        </w:rPr>
      </w:pPr>
    </w:p>
    <w:p w14:paraId="7A775078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59306DD1">
      <w:pPr>
        <w:adjustRightInd w:val="0"/>
        <w:snapToGrid w:val="0"/>
        <w:spacing w:after="156" w:afterLines="5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处方调剂与用药指导模块——处方1答题纸</w:t>
      </w:r>
    </w:p>
    <w:p w14:paraId="31F1E104">
      <w:pPr>
        <w:widowControl/>
        <w:snapToGrid w:val="0"/>
        <w:spacing w:line="360" w:lineRule="auto"/>
        <w:ind w:firstLine="1920" w:firstLineChars="8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竞赛编</w:t>
      </w:r>
      <w:r>
        <w:rPr>
          <w:rFonts w:hint="eastAsia" w:ascii="仿宋_GB2312" w:hAnsi="仿宋_GB2312" w:eastAsia="仿宋_GB2312" w:cs="仿宋_GB2312"/>
          <w:sz w:val="24"/>
        </w:rPr>
        <w:t>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 xml:space="preserve">       比赛用时：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</w:p>
    <w:tbl>
      <w:tblPr>
        <w:tblStyle w:val="6"/>
        <w:tblW w:w="8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6969"/>
      </w:tblGrid>
      <w:tr w14:paraId="6A8D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63" w:type="dxa"/>
            <w:vAlign w:val="center"/>
          </w:tcPr>
          <w:p w14:paraId="2752141F">
            <w:pPr>
              <w:widowControl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6969" w:type="dxa"/>
            <w:vAlign w:val="center"/>
          </w:tcPr>
          <w:p w14:paraId="12DAAF8C">
            <w:pPr>
              <w:widowControl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填写内容</w:t>
            </w:r>
          </w:p>
        </w:tc>
      </w:tr>
      <w:tr w14:paraId="27B1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63" w:type="dxa"/>
            <w:vAlign w:val="center"/>
          </w:tcPr>
          <w:p w14:paraId="4A3DF8D3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审核结果</w:t>
            </w:r>
          </w:p>
        </w:tc>
        <w:tc>
          <w:tcPr>
            <w:tcW w:w="6969" w:type="dxa"/>
            <w:vAlign w:val="center"/>
          </w:tcPr>
          <w:p w14:paraId="467F9630">
            <w:pPr>
              <w:widowControl/>
              <w:spacing w:line="360" w:lineRule="auto"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处方1：合理处方（  ）   不合理处方（  ）</w:t>
            </w:r>
          </w:p>
        </w:tc>
      </w:tr>
      <w:tr w14:paraId="181B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1663" w:type="dxa"/>
            <w:vMerge w:val="restart"/>
            <w:vAlign w:val="center"/>
          </w:tcPr>
          <w:p w14:paraId="5E93757E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合理处方</w:t>
            </w:r>
          </w:p>
        </w:tc>
        <w:tc>
          <w:tcPr>
            <w:tcW w:w="6969" w:type="dxa"/>
          </w:tcPr>
          <w:p w14:paraId="5A0F4D78">
            <w:pPr>
              <w:widowControl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处方中各药的药理作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用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与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作用机制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：</w:t>
            </w:r>
          </w:p>
        </w:tc>
      </w:tr>
      <w:tr w14:paraId="1F913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663" w:type="dxa"/>
            <w:vMerge w:val="continue"/>
            <w:vAlign w:val="center"/>
          </w:tcPr>
          <w:p w14:paraId="01911E8C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374D904A">
            <w:pPr>
              <w:widowControl/>
              <w:rPr>
                <w:rFonts w:ascii="仿宋_GB2312" w:hAnsi="仿宋_GB2312" w:eastAsia="仿宋" w:cs="仿宋_GB2312"/>
                <w:sz w:val="24"/>
              </w:rPr>
            </w:pPr>
            <w:r>
              <w:rPr>
                <w:rFonts w:ascii="仿宋" w:hAnsi="仿宋" w:eastAsia="仿宋" w:cs="仿宋"/>
                <w:spacing w:val="8"/>
                <w:position w:val="2"/>
                <w:sz w:val="23"/>
                <w:szCs w:val="23"/>
              </w:rPr>
              <w:t>联合用药的理由</w:t>
            </w:r>
            <w:r>
              <w:rPr>
                <w:rFonts w:hint="eastAsia" w:ascii="仿宋" w:hAnsi="仿宋" w:eastAsia="仿宋" w:cs="仿宋"/>
                <w:spacing w:val="8"/>
                <w:position w:val="2"/>
                <w:sz w:val="23"/>
                <w:szCs w:val="23"/>
              </w:rPr>
              <w:t>：</w:t>
            </w:r>
          </w:p>
          <w:p w14:paraId="35A53FE6">
            <w:pPr>
              <w:widowControl/>
              <w:snapToGrid w:val="0"/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1460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</w:trPr>
        <w:tc>
          <w:tcPr>
            <w:tcW w:w="1663" w:type="dxa"/>
            <w:vMerge w:val="continue"/>
            <w:vAlign w:val="center"/>
          </w:tcPr>
          <w:p w14:paraId="2115328C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4540DE41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9"/>
                <w:sz w:val="23"/>
                <w:szCs w:val="23"/>
              </w:rPr>
              <w:t>用药交代：</w:t>
            </w:r>
          </w:p>
          <w:p w14:paraId="649B42B2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335A93C3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34E3654D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12B1FD10">
            <w:pPr>
              <w:widowControl/>
              <w:snapToGrid w:val="0"/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6EC4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63" w:type="dxa"/>
            <w:vMerge w:val="restart"/>
            <w:vAlign w:val="center"/>
          </w:tcPr>
          <w:p w14:paraId="070354DA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不合理处方</w:t>
            </w:r>
          </w:p>
        </w:tc>
        <w:tc>
          <w:tcPr>
            <w:tcW w:w="6969" w:type="dxa"/>
            <w:vAlign w:val="center"/>
          </w:tcPr>
          <w:p w14:paraId="25DAD363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处方1：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不规范处方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 xml:space="preserve">（  ）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不适宜处方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（ ） 二者兼是（  ）</w:t>
            </w:r>
          </w:p>
        </w:tc>
      </w:tr>
      <w:tr w14:paraId="17D2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0" w:hRule="atLeast"/>
        </w:trPr>
        <w:tc>
          <w:tcPr>
            <w:tcW w:w="1663" w:type="dxa"/>
            <w:vMerge w:val="continue"/>
            <w:vAlign w:val="center"/>
          </w:tcPr>
          <w:p w14:paraId="4241203A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577E1F98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15"/>
                <w:sz w:val="23"/>
                <w:szCs w:val="23"/>
              </w:rPr>
              <w:t>写出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处方中的所有</w:t>
            </w:r>
            <w:r>
              <w:rPr>
                <w:rFonts w:hint="eastAsia" w:ascii="仿宋" w:hAnsi="仿宋" w:eastAsia="仿宋" w:cs="仿宋"/>
                <w:spacing w:val="15"/>
                <w:sz w:val="23"/>
                <w:szCs w:val="23"/>
              </w:rPr>
              <w:t>不规范或（和）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不适宜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之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处并说明理由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，同时给出合理性建议：</w:t>
            </w:r>
          </w:p>
          <w:p w14:paraId="1C8EF1D9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32E0CD54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7531CB88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125A0D35">
            <w:pPr>
              <w:widowControl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  <w:p w14:paraId="23B953D7">
            <w:pPr>
              <w:widowControl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</w:tc>
      </w:tr>
    </w:tbl>
    <w:p w14:paraId="75C89A21">
      <w:pPr>
        <w:widowControl/>
        <w:ind w:firstLine="562" w:firstLineChars="200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裁判员签字：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  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            日期：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</w:t>
      </w:r>
    </w:p>
    <w:p w14:paraId="4DB8F7D3">
      <w:pPr>
        <w:jc w:val="center"/>
        <w:rPr>
          <w:rFonts w:hint="eastAsia"/>
          <w:b/>
          <w:bCs/>
          <w:sz w:val="36"/>
          <w:szCs w:val="36"/>
        </w:rPr>
      </w:pPr>
    </w:p>
    <w:p w14:paraId="1218B9BD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115104A9">
      <w:pPr>
        <w:adjustRightInd w:val="0"/>
        <w:snapToGrid w:val="0"/>
        <w:spacing w:after="156" w:afterLines="5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处方调剂与用药指导模块——处方2答题纸 </w:t>
      </w:r>
    </w:p>
    <w:p w14:paraId="6C2C8F79">
      <w:pPr>
        <w:widowControl/>
        <w:snapToGrid w:val="0"/>
        <w:spacing w:line="360" w:lineRule="auto"/>
        <w:ind w:firstLine="1920" w:firstLineChars="8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竞赛编</w:t>
      </w:r>
      <w:r>
        <w:rPr>
          <w:rFonts w:hint="eastAsia" w:ascii="仿宋_GB2312" w:hAnsi="仿宋_GB2312" w:eastAsia="仿宋_GB2312" w:cs="仿宋_GB2312"/>
          <w:sz w:val="24"/>
        </w:rPr>
        <w:t>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 xml:space="preserve">       比赛用时：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</w:p>
    <w:tbl>
      <w:tblPr>
        <w:tblStyle w:val="6"/>
        <w:tblW w:w="86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6969"/>
      </w:tblGrid>
      <w:tr w14:paraId="77D3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663" w:type="dxa"/>
            <w:vAlign w:val="center"/>
          </w:tcPr>
          <w:p w14:paraId="04890B1F">
            <w:pPr>
              <w:widowControl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6969" w:type="dxa"/>
            <w:vAlign w:val="center"/>
          </w:tcPr>
          <w:p w14:paraId="187C68F9">
            <w:pPr>
              <w:widowControl/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填写内容</w:t>
            </w:r>
          </w:p>
        </w:tc>
      </w:tr>
      <w:tr w14:paraId="27C9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63" w:type="dxa"/>
            <w:vAlign w:val="center"/>
          </w:tcPr>
          <w:p w14:paraId="16821C20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审核结果</w:t>
            </w:r>
          </w:p>
        </w:tc>
        <w:tc>
          <w:tcPr>
            <w:tcW w:w="6969" w:type="dxa"/>
            <w:vAlign w:val="center"/>
          </w:tcPr>
          <w:p w14:paraId="187DA901">
            <w:pPr>
              <w:widowControl/>
              <w:spacing w:line="360" w:lineRule="auto"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处方2：合理处方（  ）   不合理处方（  ）</w:t>
            </w:r>
          </w:p>
        </w:tc>
      </w:tr>
      <w:tr w14:paraId="556C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</w:trPr>
        <w:tc>
          <w:tcPr>
            <w:tcW w:w="1663" w:type="dxa"/>
            <w:vMerge w:val="restart"/>
            <w:vAlign w:val="center"/>
          </w:tcPr>
          <w:p w14:paraId="72848159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合理处方</w:t>
            </w:r>
          </w:p>
        </w:tc>
        <w:tc>
          <w:tcPr>
            <w:tcW w:w="6969" w:type="dxa"/>
          </w:tcPr>
          <w:p w14:paraId="60631D6E">
            <w:pPr>
              <w:widowControl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处方中各药的药理作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用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与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作用机制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：</w:t>
            </w:r>
          </w:p>
        </w:tc>
      </w:tr>
      <w:tr w14:paraId="5552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663" w:type="dxa"/>
            <w:vMerge w:val="continue"/>
            <w:vAlign w:val="center"/>
          </w:tcPr>
          <w:p w14:paraId="4DD722B2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515AD976">
            <w:pPr>
              <w:widowControl/>
              <w:rPr>
                <w:rFonts w:ascii="仿宋_GB2312" w:hAnsi="仿宋_GB2312" w:eastAsia="仿宋" w:cs="仿宋_GB2312"/>
                <w:sz w:val="24"/>
              </w:rPr>
            </w:pPr>
            <w:r>
              <w:rPr>
                <w:rFonts w:ascii="仿宋" w:hAnsi="仿宋" w:eastAsia="仿宋" w:cs="仿宋"/>
                <w:spacing w:val="8"/>
                <w:position w:val="2"/>
                <w:sz w:val="23"/>
                <w:szCs w:val="23"/>
              </w:rPr>
              <w:t>联合用药的理由</w:t>
            </w:r>
            <w:r>
              <w:rPr>
                <w:rFonts w:hint="eastAsia" w:ascii="仿宋" w:hAnsi="仿宋" w:eastAsia="仿宋" w:cs="仿宋"/>
                <w:spacing w:val="8"/>
                <w:position w:val="2"/>
                <w:sz w:val="23"/>
                <w:szCs w:val="23"/>
              </w:rPr>
              <w:t>：</w:t>
            </w:r>
          </w:p>
          <w:p w14:paraId="255552B2">
            <w:pPr>
              <w:widowControl/>
              <w:snapToGrid w:val="0"/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160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</w:trPr>
        <w:tc>
          <w:tcPr>
            <w:tcW w:w="1663" w:type="dxa"/>
            <w:vMerge w:val="continue"/>
            <w:vAlign w:val="center"/>
          </w:tcPr>
          <w:p w14:paraId="4CA5F30F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156A6A55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9"/>
                <w:sz w:val="23"/>
                <w:szCs w:val="23"/>
              </w:rPr>
              <w:t>用药交代：</w:t>
            </w:r>
          </w:p>
          <w:p w14:paraId="2E7DF73A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31823653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6B6AE837">
            <w:pPr>
              <w:widowControl/>
              <w:rPr>
                <w:rFonts w:ascii="仿宋" w:hAnsi="仿宋" w:eastAsia="仿宋" w:cs="仿宋"/>
                <w:spacing w:val="9"/>
                <w:sz w:val="23"/>
                <w:szCs w:val="23"/>
              </w:rPr>
            </w:pPr>
          </w:p>
          <w:p w14:paraId="7F5B6C8E">
            <w:pPr>
              <w:widowControl/>
              <w:snapToGrid w:val="0"/>
              <w:spacing w:line="360" w:lineRule="auto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91F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63" w:type="dxa"/>
            <w:vMerge w:val="restart"/>
            <w:vAlign w:val="center"/>
          </w:tcPr>
          <w:p w14:paraId="1CC4041E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8"/>
                <w:szCs w:val="28"/>
              </w:rPr>
              <w:t>不合理处方</w:t>
            </w:r>
          </w:p>
        </w:tc>
        <w:tc>
          <w:tcPr>
            <w:tcW w:w="6969" w:type="dxa"/>
            <w:vAlign w:val="center"/>
          </w:tcPr>
          <w:p w14:paraId="26DEB703">
            <w:pPr>
              <w:widowControl/>
              <w:spacing w:line="360" w:lineRule="auto"/>
              <w:jc w:val="left"/>
              <w:rPr>
                <w:rFonts w:ascii="仿宋" w:hAnsi="仿宋" w:eastAsia="仿宋" w:cs="仿宋"/>
                <w:spacing w:val="7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>处方2：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不规范处方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</w:rPr>
              <w:t xml:space="preserve">（  ） 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不适宜处方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（ ） 二者兼是（  ）</w:t>
            </w:r>
          </w:p>
        </w:tc>
      </w:tr>
      <w:tr w14:paraId="4259E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2" w:hRule="atLeast"/>
        </w:trPr>
        <w:tc>
          <w:tcPr>
            <w:tcW w:w="1663" w:type="dxa"/>
            <w:vMerge w:val="continue"/>
            <w:vAlign w:val="center"/>
          </w:tcPr>
          <w:p w14:paraId="5E29E1F9">
            <w:pPr>
              <w:widowControl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6969" w:type="dxa"/>
          </w:tcPr>
          <w:p w14:paraId="07CF087E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15"/>
                <w:sz w:val="23"/>
                <w:szCs w:val="23"/>
              </w:rPr>
              <w:t>写出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处方中的所有</w:t>
            </w:r>
            <w:r>
              <w:rPr>
                <w:rFonts w:hint="eastAsia" w:ascii="仿宋" w:hAnsi="仿宋" w:eastAsia="仿宋" w:cs="仿宋"/>
                <w:spacing w:val="15"/>
                <w:sz w:val="23"/>
                <w:szCs w:val="23"/>
              </w:rPr>
              <w:t>不规范或（和）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不适宜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之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处并说明理由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，同时给出合理性建议：</w:t>
            </w:r>
          </w:p>
          <w:p w14:paraId="2C8586FE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1998811D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0A9DE9EA">
            <w:pPr>
              <w:widowControl/>
              <w:rPr>
                <w:rFonts w:ascii="仿宋" w:hAnsi="仿宋" w:eastAsia="仿宋" w:cs="仿宋"/>
                <w:spacing w:val="15"/>
                <w:sz w:val="23"/>
                <w:szCs w:val="23"/>
              </w:rPr>
            </w:pPr>
          </w:p>
          <w:p w14:paraId="67236835">
            <w:pPr>
              <w:widowControl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  <w:p w14:paraId="5461ADEB">
            <w:pPr>
              <w:widowControl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</w:tc>
      </w:tr>
    </w:tbl>
    <w:p w14:paraId="0D69D794">
      <w:pPr>
        <w:widowControl/>
        <w:ind w:firstLine="562" w:firstLineChars="200"/>
        <w:rPr>
          <w:rFonts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裁判员签字：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  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            日期：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</w:t>
      </w:r>
    </w:p>
    <w:p w14:paraId="555268EA">
      <w:pPr>
        <w:ind w:firstLine="723" w:firstLineChars="200"/>
        <w:rPr>
          <w:rFonts w:hint="eastAsia"/>
          <w:b/>
          <w:bCs/>
          <w:sz w:val="36"/>
          <w:szCs w:val="36"/>
        </w:rPr>
      </w:pPr>
    </w:p>
    <w:p w14:paraId="03FD7E7F">
      <w:pPr>
        <w:spacing w:line="360" w:lineRule="auto"/>
        <w:rPr>
          <w:rFonts w:ascii="仿宋" w:hAnsi="仿宋" w:eastAsia="仿宋"/>
          <w:sz w:val="24"/>
        </w:rPr>
      </w:pPr>
    </w:p>
    <w:p w14:paraId="5ACDBEAA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慢病管理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与健康教育</w:t>
      </w:r>
      <w:r>
        <w:rPr>
          <w:rFonts w:hint="eastAsia" w:ascii="黑体" w:hAnsi="黑体" w:eastAsia="黑体"/>
          <w:b/>
          <w:sz w:val="32"/>
          <w:szCs w:val="32"/>
        </w:rPr>
        <w:t>模块—慢病管理试题单</w:t>
      </w:r>
    </w:p>
    <w:p w14:paraId="22185B8C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1B7CD0E5">
      <w:pPr>
        <w:widowControl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考核时间：20分钟             题目分值：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30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分</w:t>
      </w:r>
    </w:p>
    <w:p w14:paraId="1E669C2A">
      <w:pPr>
        <w:widowControl/>
        <w:adjustRightInd w:val="0"/>
        <w:snapToGrid w:val="0"/>
        <w:spacing w:line="360" w:lineRule="auto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</w:p>
    <w:p w14:paraId="6181A8DC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 xml:space="preserve">一、试题背景 </w:t>
      </w:r>
    </w:p>
    <w:p w14:paraId="4637E334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患者张某，女，62岁，三年前出现不明原因头晕、乏力、失眠的情况，近期单位组织体检，报告显示血液中总胆固醇及甘油三酯值偏高，建议其进行进一步检查，于是到医院就医，检测结果TC 6.25 mmol/L，TG 2.65 mmol/L，并伴有眼部黄色瘤、角膜环。医生诊断其为原发性混合型高血脂症，开具药物为：阿托伐他汀钙片 10 mg q.d. 口服，非诺贝特片 100 mg t.i.d. 口服。请做用药指导与健康教育。</w:t>
      </w:r>
    </w:p>
    <w:p w14:paraId="69140F37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患者基本情况：患者160 cm，73 Kg，为某企业销售人员，由于工作性质，平日应酬较多，饮食较油腻，存在被动吸烟的情况，平日无其他体育锻炼。自述其母亲于两年前死于心肌梗死。患有高血压5年，服药后血压值130/85 mmHg，无其他疾病史，无过敏史。</w:t>
      </w:r>
    </w:p>
    <w:p w14:paraId="41989C34"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 xml:space="preserve">二、答题要求 </w:t>
      </w:r>
    </w:p>
    <w:p w14:paraId="16AD4DF6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1.根据试题背景资料，填写患者基本信息；</w:t>
      </w:r>
    </w:p>
    <w:p w14:paraId="11948C65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2.根据患者病情和用药信息，对患者正在服用的药物进行用药指导，准确答出治疗药物的作用机制、常见不良反应和用药注意事项；</w:t>
      </w:r>
    </w:p>
    <w:p w14:paraId="0ADAB0BF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3.针对患者情况进行疾病相关知识和日常生活管理的健康教育。</w:t>
      </w:r>
    </w:p>
    <w:p w14:paraId="02BB4FC1">
      <w:pPr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66EF53B6">
      <w:pPr>
        <w:rPr>
          <w:sz w:val="36"/>
          <w:szCs w:val="36"/>
        </w:rPr>
      </w:pPr>
    </w:p>
    <w:p w14:paraId="066B5A98">
      <w:pPr>
        <w:adjustRightInd w:val="0"/>
        <w:snapToGrid w:val="0"/>
        <w:spacing w:after="156" w:afterLines="50" w:line="360" w:lineRule="auto"/>
        <w:jc w:val="center"/>
        <w:rPr>
          <w:rFonts w:ascii="黑体" w:hAnsi="黑体" w:eastAsia="黑体"/>
          <w:b/>
          <w:sz w:val="32"/>
          <w:szCs w:val="32"/>
        </w:rPr>
      </w:pPr>
    </w:p>
    <w:p w14:paraId="0378BBD4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66FC1780">
      <w:pPr>
        <w:adjustRightInd w:val="0"/>
        <w:snapToGrid w:val="0"/>
        <w:spacing w:after="156" w:afterLines="50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50F366C6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慢病管理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与健康教育</w:t>
      </w:r>
      <w:r>
        <w:rPr>
          <w:rFonts w:hint="eastAsia" w:ascii="黑体" w:hAnsi="黑体" w:eastAsia="黑体"/>
          <w:b/>
          <w:sz w:val="32"/>
          <w:szCs w:val="32"/>
        </w:rPr>
        <w:t>模块—慢病管理试题单</w:t>
      </w:r>
    </w:p>
    <w:p w14:paraId="5C2F17F1">
      <w:pPr>
        <w:widowControl/>
        <w:snapToGrid w:val="0"/>
        <w:spacing w:line="360" w:lineRule="auto"/>
        <w:ind w:firstLine="1680" w:firstLineChars="700"/>
        <w:rPr>
          <w:rFonts w:ascii="仿宋_GB2312" w:hAnsi="仿宋_GB2312" w:eastAsia="仿宋_GB2312" w:cs="仿宋_GB2312"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lang w:eastAsia="zh-CN"/>
        </w:rPr>
        <w:t>竞赛编</w:t>
      </w:r>
      <w:r>
        <w:rPr>
          <w:rFonts w:hint="eastAsia" w:ascii="仿宋_GB2312" w:hAnsi="仿宋_GB2312" w:eastAsia="仿宋_GB2312" w:cs="仿宋_GB2312"/>
          <w:sz w:val="24"/>
        </w:rPr>
        <w:t>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</w:rPr>
        <w:t xml:space="preserve">          比赛用时：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</w:p>
    <w:tbl>
      <w:tblPr>
        <w:tblStyle w:val="6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951"/>
        <w:gridCol w:w="5403"/>
      </w:tblGrid>
      <w:tr w14:paraId="591BE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80" w:type="pct"/>
            <w:vMerge w:val="restart"/>
            <w:vAlign w:val="center"/>
          </w:tcPr>
          <w:p w14:paraId="15B668A5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患者基本信息</w:t>
            </w:r>
          </w:p>
        </w:tc>
        <w:tc>
          <w:tcPr>
            <w:tcW w:w="4319" w:type="pct"/>
            <w:gridSpan w:val="2"/>
            <w:vAlign w:val="center"/>
          </w:tcPr>
          <w:p w14:paraId="11D95198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性别：      年龄：     身高：     体重：      BMI：</w:t>
            </w:r>
          </w:p>
        </w:tc>
      </w:tr>
      <w:tr w14:paraId="3699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80" w:type="pct"/>
            <w:vMerge w:val="continue"/>
            <w:vAlign w:val="center"/>
          </w:tcPr>
          <w:p w14:paraId="1F1003C7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446DAAEE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临床诊断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依据</w:t>
            </w:r>
          </w:p>
        </w:tc>
        <w:tc>
          <w:tcPr>
            <w:tcW w:w="3173" w:type="pct"/>
            <w:vAlign w:val="center"/>
          </w:tcPr>
          <w:p w14:paraId="3E434ACC">
            <w:pPr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692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80" w:type="pct"/>
            <w:vMerge w:val="continue"/>
            <w:vAlign w:val="center"/>
          </w:tcPr>
          <w:p w14:paraId="308169C6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6FC38F44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不良嗜好</w:t>
            </w:r>
          </w:p>
        </w:tc>
        <w:tc>
          <w:tcPr>
            <w:tcW w:w="3173" w:type="pct"/>
            <w:vAlign w:val="center"/>
          </w:tcPr>
          <w:p w14:paraId="3C5C28B4">
            <w:pPr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8E92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80" w:type="pct"/>
            <w:vMerge w:val="continue"/>
            <w:vAlign w:val="center"/>
          </w:tcPr>
          <w:p w14:paraId="24645EE8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3999A600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过敏史</w:t>
            </w:r>
          </w:p>
        </w:tc>
        <w:tc>
          <w:tcPr>
            <w:tcW w:w="3173" w:type="pct"/>
            <w:vAlign w:val="center"/>
          </w:tcPr>
          <w:p w14:paraId="56821EEC">
            <w:pPr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CB5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680" w:type="pct"/>
            <w:vMerge w:val="continue"/>
            <w:vAlign w:val="center"/>
          </w:tcPr>
          <w:p w14:paraId="031D56B3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1793B2AC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疾病史</w:t>
            </w:r>
          </w:p>
        </w:tc>
        <w:tc>
          <w:tcPr>
            <w:tcW w:w="3173" w:type="pct"/>
            <w:vAlign w:val="center"/>
          </w:tcPr>
          <w:p w14:paraId="183A3952">
            <w:pPr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  <w:tr w14:paraId="3DC5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680" w:type="pct"/>
            <w:vMerge w:val="continue"/>
            <w:vAlign w:val="center"/>
          </w:tcPr>
          <w:p w14:paraId="021FDCA6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1B60736B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家族史</w:t>
            </w:r>
          </w:p>
        </w:tc>
        <w:tc>
          <w:tcPr>
            <w:tcW w:w="3173" w:type="pct"/>
            <w:vAlign w:val="center"/>
          </w:tcPr>
          <w:p w14:paraId="5E38A2AB">
            <w:pPr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  <w:tr w14:paraId="7186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80" w:type="pct"/>
            <w:vMerge w:val="continue"/>
            <w:vAlign w:val="center"/>
          </w:tcPr>
          <w:p w14:paraId="3267C229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519065A0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</w:rPr>
              <w:t>合并症</w:t>
            </w:r>
          </w:p>
        </w:tc>
        <w:tc>
          <w:tcPr>
            <w:tcW w:w="3173" w:type="pct"/>
            <w:vAlign w:val="center"/>
          </w:tcPr>
          <w:p w14:paraId="2B9796F3">
            <w:pPr>
              <w:rPr>
                <w:rFonts w:ascii="仿宋_GB2312" w:hAnsi="仿宋_GB2312" w:eastAsia="仿宋_GB2312" w:cs="仿宋_GB2312"/>
                <w:bCs/>
                <w:color w:val="000000"/>
                <w:sz w:val="24"/>
              </w:rPr>
            </w:pPr>
          </w:p>
        </w:tc>
      </w:tr>
      <w:tr w14:paraId="58BB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680" w:type="pct"/>
            <w:vMerge w:val="restart"/>
            <w:vAlign w:val="center"/>
          </w:tcPr>
          <w:p w14:paraId="56429391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用药</w:t>
            </w:r>
          </w:p>
          <w:p w14:paraId="5323FD2A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指导</w:t>
            </w:r>
          </w:p>
        </w:tc>
        <w:tc>
          <w:tcPr>
            <w:tcW w:w="1146" w:type="pct"/>
            <w:vMerge w:val="restart"/>
            <w:vAlign w:val="center"/>
          </w:tcPr>
          <w:p w14:paraId="26B405C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药物作用机制</w:t>
            </w:r>
          </w:p>
        </w:tc>
        <w:tc>
          <w:tcPr>
            <w:tcW w:w="3173" w:type="pct"/>
          </w:tcPr>
          <w:p w14:paraId="634E951B">
            <w:pPr>
              <w:snapToGrid w:val="0"/>
              <w:spacing w:line="42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治疗药物1：</w:t>
            </w:r>
          </w:p>
        </w:tc>
      </w:tr>
      <w:tr w14:paraId="1FDA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680" w:type="pct"/>
            <w:vMerge w:val="continue"/>
            <w:vAlign w:val="center"/>
          </w:tcPr>
          <w:p w14:paraId="1F394395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Merge w:val="continue"/>
            <w:vAlign w:val="center"/>
          </w:tcPr>
          <w:p w14:paraId="72E27E26">
            <w:pPr>
              <w:snapToGrid w:val="0"/>
              <w:spacing w:line="42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73" w:type="pct"/>
          </w:tcPr>
          <w:p w14:paraId="760E5B88">
            <w:pPr>
              <w:snapToGrid w:val="0"/>
              <w:spacing w:line="42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治疗药物2：</w:t>
            </w:r>
          </w:p>
        </w:tc>
      </w:tr>
      <w:tr w14:paraId="0205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680" w:type="pct"/>
            <w:vMerge w:val="continue"/>
            <w:vAlign w:val="center"/>
          </w:tcPr>
          <w:p w14:paraId="18C5F1F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Merge w:val="restart"/>
            <w:vAlign w:val="center"/>
          </w:tcPr>
          <w:p w14:paraId="7CDF605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常见不良反应</w:t>
            </w:r>
          </w:p>
          <w:p w14:paraId="20802035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73" w:type="pct"/>
          </w:tcPr>
          <w:p w14:paraId="6E605E0E">
            <w:pPr>
              <w:snapToGrid w:val="0"/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治疗药物1：</w:t>
            </w:r>
          </w:p>
        </w:tc>
      </w:tr>
      <w:tr w14:paraId="0B85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680" w:type="pct"/>
            <w:vMerge w:val="continue"/>
            <w:vAlign w:val="center"/>
          </w:tcPr>
          <w:p w14:paraId="19A561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Merge w:val="continue"/>
            <w:vAlign w:val="center"/>
          </w:tcPr>
          <w:p w14:paraId="78A38FC9">
            <w:pPr>
              <w:snapToGrid w:val="0"/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3173" w:type="pct"/>
          </w:tcPr>
          <w:p w14:paraId="35D01A17">
            <w:pPr>
              <w:snapToGrid w:val="0"/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治疗药物2：</w:t>
            </w:r>
          </w:p>
        </w:tc>
      </w:tr>
      <w:tr w14:paraId="0A0E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</w:trPr>
        <w:tc>
          <w:tcPr>
            <w:tcW w:w="680" w:type="pct"/>
            <w:vMerge w:val="continue"/>
            <w:vAlign w:val="center"/>
          </w:tcPr>
          <w:p w14:paraId="240F5F26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</w:tc>
        <w:tc>
          <w:tcPr>
            <w:tcW w:w="1146" w:type="pct"/>
            <w:vAlign w:val="center"/>
          </w:tcPr>
          <w:p w14:paraId="7CC20400">
            <w:pPr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用药注意事项</w:t>
            </w:r>
          </w:p>
        </w:tc>
        <w:tc>
          <w:tcPr>
            <w:tcW w:w="3173" w:type="pct"/>
            <w:vAlign w:val="center"/>
          </w:tcPr>
          <w:p w14:paraId="3A2073FA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52E6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0" w:hRule="atLeast"/>
        </w:trPr>
        <w:tc>
          <w:tcPr>
            <w:tcW w:w="680" w:type="pct"/>
            <w:vMerge w:val="restart"/>
            <w:vAlign w:val="center"/>
          </w:tcPr>
          <w:p w14:paraId="5B12F007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健康</w:t>
            </w:r>
          </w:p>
          <w:p w14:paraId="008F3003">
            <w:pPr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教育</w:t>
            </w:r>
          </w:p>
        </w:tc>
        <w:tc>
          <w:tcPr>
            <w:tcW w:w="1146" w:type="pct"/>
            <w:vMerge w:val="restart"/>
            <w:vAlign w:val="center"/>
          </w:tcPr>
          <w:p w14:paraId="1031930C">
            <w:pPr>
              <w:pStyle w:val="9"/>
              <w:snapToGrid w:val="0"/>
              <w:ind w:firstLine="0" w:firstLineChars="0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疾病相关知识</w:t>
            </w:r>
          </w:p>
        </w:tc>
        <w:tc>
          <w:tcPr>
            <w:tcW w:w="3173" w:type="pct"/>
          </w:tcPr>
          <w:p w14:paraId="58E2F06D">
            <w:pPr>
              <w:pStyle w:val="9"/>
              <w:snapToGrid w:val="0"/>
              <w:spacing w:line="336" w:lineRule="auto"/>
              <w:ind w:firstLine="0" w:firstLineChars="0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F51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7" w:hRule="atLeast"/>
        </w:trPr>
        <w:tc>
          <w:tcPr>
            <w:tcW w:w="680" w:type="pct"/>
            <w:vMerge w:val="continue"/>
            <w:vAlign w:val="center"/>
          </w:tcPr>
          <w:p w14:paraId="30FFF704">
            <w:pPr>
              <w:pStyle w:val="9"/>
              <w:ind w:firstLine="0" w:firstLineChars="0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46" w:type="pct"/>
            <w:vAlign w:val="center"/>
          </w:tcPr>
          <w:p w14:paraId="66B41603">
            <w:pPr>
              <w:pStyle w:val="9"/>
              <w:snapToGrid w:val="0"/>
              <w:ind w:firstLine="0" w:firstLineChars="0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日常生活管理</w:t>
            </w:r>
          </w:p>
        </w:tc>
        <w:tc>
          <w:tcPr>
            <w:tcW w:w="3173" w:type="pct"/>
          </w:tcPr>
          <w:p w14:paraId="25BD6ED2">
            <w:pPr>
              <w:pStyle w:val="9"/>
              <w:snapToGrid w:val="0"/>
              <w:spacing w:line="336" w:lineRule="auto"/>
              <w:ind w:firstLine="0" w:firstLineChars="0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</w:tbl>
    <w:p w14:paraId="1B18395F">
      <w:pPr>
        <w:widowControl/>
        <w:spacing w:line="360" w:lineRule="auto"/>
        <w:jc w:val="center"/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</w:pPr>
    </w:p>
    <w:p w14:paraId="0B5DB361">
      <w:pPr>
        <w:widowControl/>
        <w:spacing w:line="360" w:lineRule="auto"/>
        <w:ind w:firstLine="281" w:firstLineChars="1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裁判员签字：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  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 xml:space="preserve">            日期：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u w:val="single"/>
          <w:lang w:bidi="ar"/>
        </w:rPr>
        <w:t xml:space="preserve">           </w:t>
      </w:r>
    </w:p>
    <w:p w14:paraId="24B736C1">
      <w:pPr>
        <w:adjustRightInd w:val="0"/>
        <w:snapToGrid w:val="0"/>
        <w:spacing w:after="156" w:afterLines="50"/>
        <w:jc w:val="center"/>
        <w:rPr>
          <w:rFonts w:ascii="黑体" w:hAnsi="黑体" w:eastAsia="黑体"/>
          <w:b/>
          <w:sz w:val="32"/>
          <w:szCs w:val="32"/>
        </w:rPr>
      </w:pPr>
    </w:p>
    <w:p w14:paraId="23BC4B87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0MTQyZDI2ZmQ5MWNlMTA4NDIwODZiOGJiZmNkMTkifQ=="/>
  </w:docVars>
  <w:rsids>
    <w:rsidRoot w:val="00AB6A0E"/>
    <w:rsid w:val="00277649"/>
    <w:rsid w:val="00432355"/>
    <w:rsid w:val="0044446C"/>
    <w:rsid w:val="00766565"/>
    <w:rsid w:val="007714F7"/>
    <w:rsid w:val="007B2745"/>
    <w:rsid w:val="00AB6A0E"/>
    <w:rsid w:val="00AF0418"/>
    <w:rsid w:val="00B4176C"/>
    <w:rsid w:val="01A3273D"/>
    <w:rsid w:val="054C0424"/>
    <w:rsid w:val="08662073"/>
    <w:rsid w:val="0C943AA2"/>
    <w:rsid w:val="12855147"/>
    <w:rsid w:val="1F0C1276"/>
    <w:rsid w:val="1F3F164B"/>
    <w:rsid w:val="20E604A7"/>
    <w:rsid w:val="25CD122E"/>
    <w:rsid w:val="2D6B5402"/>
    <w:rsid w:val="33265955"/>
    <w:rsid w:val="40317AFA"/>
    <w:rsid w:val="4AB03607"/>
    <w:rsid w:val="593860F8"/>
    <w:rsid w:val="5A1A7862"/>
    <w:rsid w:val="5AF71D35"/>
    <w:rsid w:val="5AFF6EAD"/>
    <w:rsid w:val="5F5C7322"/>
    <w:rsid w:val="64A3261A"/>
    <w:rsid w:val="7F1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adjustRightInd w:val="0"/>
      <w:snapToGrid w:val="0"/>
      <w:spacing w:line="360" w:lineRule="auto"/>
      <w:ind w:firstLine="420" w:firstLineChars="200"/>
      <w:jc w:val="left"/>
    </w:pPr>
    <w:rPr>
      <w:sz w:val="24"/>
      <w:szCs w:val="2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2109</Words>
  <Characters>2271</Characters>
  <Lines>32</Lines>
  <Paragraphs>9</Paragraphs>
  <TotalTime>1</TotalTime>
  <ScaleCrop>false</ScaleCrop>
  <LinksUpToDate>false</LinksUpToDate>
  <CharactersWithSpaces>3113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2023-04-16T01:04:00Z</dcterms:created>
  <dc:creator>HUAWEI</dc:creator>
  <cp:lastModifiedBy>瑶</cp:lastModifiedBy>
  <dcterms:modified xsi:type="dcterms:W3CDTF">2024-09-15T04:34:36Z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2A71C25155FF4CA0BF84CEC38D7B090F_13</vt:lpwstr>
  </property>
</Properties>
</file>