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宋体" w:hAnsi="宋体" w:cs="宋体"/>
          <w:b/>
          <w:bCs/>
          <w:color w:val="000000"/>
          <w:kern w:val="0"/>
          <w:sz w:val="44"/>
          <w:szCs w:val="44"/>
        </w:rPr>
      </w:pPr>
    </w:p>
    <w:p>
      <w:pPr>
        <w:snapToGrid w:val="0"/>
        <w:spacing w:line="560" w:lineRule="exact"/>
        <w:jc w:val="center"/>
        <w:rPr>
          <w:rFonts w:ascii="宋体" w:hAnsi="宋体" w:cs="宋体"/>
          <w:b/>
          <w:bCs/>
          <w:color w:val="000000"/>
          <w:kern w:val="0"/>
          <w:sz w:val="44"/>
          <w:szCs w:val="44"/>
        </w:rPr>
      </w:pPr>
      <w:r>
        <w:rPr>
          <w:rFonts w:hint="eastAsia" w:ascii="宋体" w:hAnsi="宋体" w:cs="宋体"/>
          <w:b/>
          <w:bCs/>
          <w:color w:val="000000"/>
          <w:kern w:val="0"/>
          <w:sz w:val="44"/>
          <w:szCs w:val="44"/>
        </w:rPr>
        <w:t>2021年海南省职业院校技能大赛（高职组）</w:t>
      </w:r>
    </w:p>
    <w:p>
      <w:pPr>
        <w:snapToGrid w:val="0"/>
        <w:spacing w:after="312" w:afterLines="100" w:line="560" w:lineRule="exact"/>
        <w:jc w:val="center"/>
        <w:rPr>
          <w:rFonts w:ascii="宋体" w:hAnsi="宋体" w:cs="宋体"/>
          <w:b/>
          <w:bCs/>
          <w:color w:val="000000"/>
          <w:kern w:val="0"/>
          <w:sz w:val="44"/>
          <w:szCs w:val="44"/>
        </w:rPr>
      </w:pPr>
      <w:r>
        <w:rPr>
          <w:rFonts w:hint="eastAsia" w:ascii="宋体" w:hAnsi="宋体" w:cs="宋体"/>
          <w:b/>
          <w:bCs/>
          <w:color w:val="000000"/>
          <w:kern w:val="0"/>
          <w:sz w:val="44"/>
          <w:szCs w:val="44"/>
        </w:rPr>
        <w:t>“智能财税”赛项规程</w:t>
      </w:r>
    </w:p>
    <w:p>
      <w:pPr>
        <w:spacing w:line="560" w:lineRule="exact"/>
        <w:ind w:firstLine="630" w:firstLineChars="196"/>
        <w:rPr>
          <w:rFonts w:ascii="仿宋_GB2312" w:hAnsi="仿宋" w:eastAsia="仿宋_GB2312"/>
          <w:b/>
          <w:color w:val="FF0000"/>
          <w:sz w:val="32"/>
          <w:szCs w:val="32"/>
        </w:rPr>
      </w:pPr>
      <w:bookmarkStart w:id="0" w:name="_Toc382406748"/>
      <w:r>
        <w:rPr>
          <w:rFonts w:hint="eastAsia" w:ascii="仿宋_GB2312" w:hAnsi="仿宋" w:eastAsia="仿宋_GB2312"/>
          <w:b/>
          <w:color w:val="000000"/>
          <w:sz w:val="32"/>
          <w:szCs w:val="32"/>
        </w:rPr>
        <w:t>一、赛项名称</w:t>
      </w:r>
      <w:bookmarkEnd w:id="0"/>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赛项编号：G-70</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赛项名称：智能财税</w:t>
      </w:r>
    </w:p>
    <w:p>
      <w:pPr>
        <w:spacing w:line="560" w:lineRule="exact"/>
        <w:ind w:firstLine="640" w:firstLineChars="200"/>
        <w:rPr>
          <w:rFonts w:ascii="仿宋_GB2312" w:hAnsi="黑体" w:eastAsia="仿宋_GB2312" w:cs="宋体"/>
          <w:sz w:val="32"/>
          <w:szCs w:val="32"/>
        </w:rPr>
      </w:pPr>
      <w:r>
        <w:rPr>
          <w:rFonts w:hint="eastAsia" w:ascii="仿宋_GB2312" w:hAnsi="仿宋" w:eastAsia="仿宋_GB2312" w:cs="宋体"/>
          <w:bCs/>
          <w:kern w:val="0"/>
          <w:sz w:val="32"/>
          <w:szCs w:val="32"/>
        </w:rPr>
        <w:t>赛项组别：高职组</w:t>
      </w:r>
    </w:p>
    <w:p>
      <w:pPr>
        <w:spacing w:line="560" w:lineRule="exact"/>
        <w:ind w:firstLine="640" w:firstLineChars="200"/>
        <w:rPr>
          <w:rFonts w:ascii="仿宋_GB2312" w:hAnsi="黑体" w:eastAsia="仿宋_GB2312" w:cs="宋体"/>
          <w:sz w:val="32"/>
          <w:szCs w:val="32"/>
        </w:rPr>
      </w:pPr>
      <w:r>
        <w:rPr>
          <w:rFonts w:hint="eastAsia" w:ascii="仿宋_GB2312" w:hAnsi="黑体" w:eastAsia="仿宋_GB2312" w:cs="宋体"/>
          <w:sz w:val="32"/>
          <w:szCs w:val="32"/>
        </w:rPr>
        <w:t>竞赛形式</w:t>
      </w:r>
      <w:r>
        <w:rPr>
          <w:rFonts w:hint="eastAsia" w:ascii="仿宋_GB2312" w:hAnsi="仿宋" w:eastAsia="仿宋_GB2312" w:cs="宋体"/>
          <w:bCs/>
          <w:kern w:val="0"/>
          <w:sz w:val="32"/>
          <w:szCs w:val="32"/>
        </w:rPr>
        <w:t>：团体赛</w:t>
      </w:r>
    </w:p>
    <w:p>
      <w:pPr>
        <w:spacing w:line="560" w:lineRule="exact"/>
        <w:ind w:firstLine="640" w:firstLineChars="200"/>
        <w:rPr>
          <w:rFonts w:ascii="仿宋_GB2312" w:hAnsi="仿宋" w:eastAsia="仿宋_GB2312" w:cs="宋体"/>
          <w:bCs/>
          <w:kern w:val="0"/>
          <w:sz w:val="30"/>
          <w:szCs w:val="30"/>
          <w:u w:val="single"/>
        </w:rPr>
      </w:pPr>
      <w:r>
        <w:rPr>
          <w:rFonts w:hint="eastAsia" w:ascii="仿宋_GB2312" w:hAnsi="仿宋" w:eastAsia="仿宋_GB2312" w:cs="宋体"/>
          <w:bCs/>
          <w:kern w:val="0"/>
          <w:sz w:val="32"/>
          <w:szCs w:val="32"/>
        </w:rPr>
        <w:t>赛项专业大类：财经商贸类</w:t>
      </w:r>
    </w:p>
    <w:p>
      <w:pPr>
        <w:spacing w:line="560" w:lineRule="exact"/>
        <w:ind w:firstLine="643" w:firstLineChars="200"/>
        <w:rPr>
          <w:rFonts w:ascii="仿宋_GB2312" w:hAnsi="仿宋" w:eastAsia="仿宋_GB2312"/>
          <w:b/>
          <w:sz w:val="32"/>
          <w:szCs w:val="32"/>
        </w:rPr>
      </w:pPr>
      <w:bookmarkStart w:id="1" w:name="_Toc382406749"/>
      <w:r>
        <w:rPr>
          <w:rFonts w:hint="eastAsia" w:ascii="仿宋_GB2312" w:hAnsi="仿宋" w:eastAsia="仿宋_GB2312"/>
          <w:b/>
          <w:sz w:val="32"/>
          <w:szCs w:val="32"/>
        </w:rPr>
        <w:t>二、竞赛目的</w:t>
      </w:r>
      <w:bookmarkEnd w:id="1"/>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智能财税技能赛项以立德树人为出发点，围绕新经济、新技术、新职业、新专业，聚焦财税改革发展新方向，对接世界技能大赛新理念，支撑数字经济与共享经济背景下财税共享服务新业态和现代企业“业票财税”一体化新模式，通过“以赛促教、以赛促学、以赛促建、以赛促改”，引领职业教育新专业目录中财政税务类和财务会计类专业创新发展，重点关注“财税大数据应用”“大数据与会计”“大数据与财务管理”等新专业建设与数字化改造，通过赛项设置提升数字化财税技术技能人才培养水平。</w:t>
      </w:r>
    </w:p>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三、竞赛内容</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 xml:space="preserve">通过完成业票财税业务一体化处理与机器人应用、税务服务与大数据应用、财务管理与大数据应用等工作领域的典型任务，考察参赛选手大数据与人工智能等新一代信息技术在财税中的应用能力，在新技术新业态环境下的财税职业判断能力，在企业内控制度约束下的人人协同和人机协同处理财税综合业务的能力。 </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竞赛过程分为业票财税与机器人应用技能竞赛、税务服务与大数据应用技能竞赛和财务管理与大数据应用技能竞赛三个赛段，分三场进行。其中业票财税与机器人应用和财务管理与大数据应用赛段采用团队竞赛方式，税务服务与大数据应用赛段采用个人竞赛方式。</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 xml:space="preserve">（一）业票财税与机器人应用 </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1.采购与销售业务处理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（1）系统初始设置</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供应链模块基础设置：包括仓库、库存、科目期初、产品定额消耗、月初在产品及其他个性化设置。</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（2）采购与付款业务处理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根据采购订单生成并审核采购发票，生成并审核采购入库单及验收单，生成并审核付款单，发起采购结算，生成并审核付款核销单，自动生成记账凭证。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（3）销售与收款业务处理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根据销售订单生成并审核销售出库单，开具增值税发票，生成并审核收款单，生成并审核收款核销单，自动生成记账凭证。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2.商旅与费控业务处理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在商旅系统中，根据企业内部制度要求进行差旅费标准设置，其中包括地区级别、交通工具、补贴标准、报销标准等。</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依据企业的实际需求，提供预定机票、酒店等商旅服务及费用控制。</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根据企业报销制度和流程，处理员工报销业务，包括借款、还款、报销冲借款等业务，进行借款报销的账务处理。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3.会计核算与税务核算</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（1）智能票据处理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票据管理模块基础设置：维护商品和服务档案、完善客户信息等基础档案，进行领用发票信息设置。</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发票开具：在票据系统中为企业开具增值税普通发票、增值税专用发票，开具红字发票。进行RPA开票流程设计并运用RPA开票机器人开具电子发票。</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票据采集：对不同业务的进销项发票、费用类票据、银行回单等电子票据或电子影像进行采集。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票据识别与查验：使用票据管理系统对票据电子影像进行OCR识别和查验，人工核查确认识别的正确性；检查各种电子发票，系统自动分类后，人工对分类有误的票据进行分类调整。</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票据审核：对各类票据与业务的吻合性、票据内容的正确性及合法性合规性进行审核。</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（2）票据制单与审核</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检查由票据管理系统开具销售发票后自动生成的记账凭证。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在会计核算系统中，利用通用记账规则，对通过审核的单张票据自动匹配业务类型并自动生成记账凭证，并将该笔业务已采集的相关票据关联至凭证。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在会计核算系统中，采用批量制单自动生成记账凭证。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进行RPA记账流程设计并运用RPA记账机器人生成记账凭证。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对会计核算系统自动生成的记账凭证进行检查，如有错误进行人工调整，并将已采集的相关票据关联至凭证。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对生成的记账凭证进行审核。</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（3）固定资产核算</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基础设置：包括期初资产卡片设置、科目设置等。</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运用会计核算系统，完成固定资产卡片的增、删、改等操作，完成自动生成记账凭证操作。按期间、按类别进行折旧计算并自动生成记账凭证。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（4）职工薪酬和个人所得税业务处理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基础设置：包括工资、社保金、住房公积金、个人所得税等设置。</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运用会计核算系统，进行人员、工资项目的增、删、改操作，计算职工薪酬、社保与住房公积金、个人所得税等。</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检查与修改个人所得税专项扣除与专项附加扣除，以及个人所得税申报等。</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社保与住房公积金批量调整，导出薪酬汇总表及按公司、部门、员工导出薪酬台账。</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运用会计核算系统，自动生成计提工资、社保及住房公积金、代扣个人所得税等记账凭证。</w:t>
      </w:r>
    </w:p>
    <w:p>
      <w:pPr>
        <w:spacing w:line="560" w:lineRule="exact"/>
        <w:ind w:firstLine="640" w:firstLineChars="200"/>
        <w:rPr>
          <w:rFonts w:hint="eastAsia" w:ascii="仿宋_GB2312" w:hAnsi="仿宋" w:eastAsia="仿宋_GB2312" w:cs="宋体"/>
          <w:bCs/>
          <w:kern w:val="0"/>
          <w:sz w:val="32"/>
          <w:szCs w:val="32"/>
        </w:rPr>
      </w:pP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（5）成本核算</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根据企业产品成本核算制度和企业生产业务要求，设置材料分配比例，进行材料分配，核算材料成本。</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审核、归集并分配人工费用、制造费用，填写工费清单，生成记账凭证。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进行成本月结。</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（6）期末会计事项处理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月末结转：结转未交增值税、计提各项税金及附加、结转销售成本、损益结转、结转本年利润等。</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财务报表编制：生成资产负债表、利润表、现金流量表并审核。</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4.纳税申报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对自动生成的一般纳税人和小规模纳税人的增值税纳税申报表、附加税费申报表、城镇土地税使用税、房产税、车船使用税、企业所得税（季报）申报表、财务报表等纳税申报主表与附表内容进行检查与修改。</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审核纳税申报表内容并进行当月纳税申报。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进行RPA报税流程设计并运用RPA报税机器人自动完成纳税申报。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（二）税务服务与大数据应用</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1.企业所得税汇算清缴</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（1）在纳税申报系统中，进行企业基础信息填写、数据导入、数据校验、科目匹配。</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（2）对企业所得税汇算清缴需要调整的收入类项目进行计算和操作。</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（3）对企业所得税汇算清缴需要调整的职工福利费、利息支出、业务招待费、广告费、研发支出、捐赠等支出类项目进行计算和操作。</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（4）在纳税申报系统中审核企业所得税年度汇算清缴表并完成申报。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2.企业税务筹划</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分析企业的纳税种类、适用税率、经济业务流程、所在地区市场情况、行业特点等，结合税收政策制定企业整体税收规划方案。</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针对投资、筹资、经营、股利分配等涉税事项，在法律、法规、允许的范围之内通过合理的事先规划，实现税负最优化。</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充分利用国家减税降费优惠政策，灵活选择适用税率、纳税人身份，合理调整企业组织形式、纳税地点及业务组合，使利润更多的合法留归企业。</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3.配合税务检查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开展税务自查工作，检查税务登记，发票领购、使用、保存情况，核实纳税申报、税款缴纳等事项，梳理财务会计资料及其他相关情况。</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 xml:space="preserve">在税务稽查检查中，协助企业进行纳税事项调整、涉税争议处理方案的解释说明。 </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税务稽查检查结束后，根据稽查结果制定整改措施，代表企业与税务机关进行协商沟通。</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4.大数据税务预警与风险防控</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利用大数据技术筛查企业税务风险点，对涉税风险进行评估，区分税务风险等级。</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根据税务风险等级，综合利用各种分析方法和手段，全面、系统预测企业未来内外部环境及财务数据变化，合理设计税负率及财务数据预警指标。</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根据税务风险评估与预警指标，建立税务风控模型。</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识别增值税发票使用风险，对发票全要素的合规性、合法性进行记录和自动审核，根据相关规定对虚开增值税发票行为作出判断。</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定期了解上下游企业税务、财务状况，对法律和税务风险情况进行记录和自动提示，并作出准确判断和处理。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（三）财务管理与大数据应用</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1.预算管理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（1）预算指标设定：根据企业战略要求和经营预期，修订或设计相应的预算指标体系和数值。</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（2）预算编制：根据市场需求、销售情况、款项回收情况、生产能力等数据编制全面预算。</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（3）预算过程控制：将年度预算细分为月度和季度预算；能根据预算管理制度的规定，熟练地按照授权审批程序完成预算内外的资金拨付。</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（4）预算执行分析与评价：对预算执行实际数与预算数之间的差异进行分析，对预算差异进行调整；根据全面预算的完成情况和各责任主体的执行情况编制考核报告。</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2.成本管理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（1）成本控制目标的设定：根据企业经营目标确定目标成本，根据影响企业产品成本的主要因素确定标准成本，作为各项成本控制目标。</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（2）成本控制：通过跟踪材料购入与耗用、人工、制造费用等成本的支出情况，将标准成本应用到产品生产过程的成本控制中，并采取适当的方法控制生产制造成本，对出现的异常差异情况及时予以纠正。</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成本分析与评价：定期将实际成本与标准成本进行比较，分析差异数据的性质及形成原因；定期对产品成本构成情况进行分析，确定影响产品成本的主要因素；将成本数据与往年、同业数据比较，分析存在差异的原因。</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3.公司金融运作</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（1）熟悉公司融资方式，能够进行融资管理分析，能够选择适合的抵押品进行银行贷款。</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（2）掌握应收账款保理业务流程，确定筹集资金的数量，选择应收账款保理方案，制定对应的偿还计划，对保理业务进行监控。</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（3）分析固定资产融资租赁的现金流量，计算融资租赁设备折旧及相关费率，对购买方案或租赁方案进行决策，对融资租赁进行会计核算。</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（4）掌握股权融资方式，分析企业资本结构，选择合适的融资方式。</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（5）掌握股权投资方式，掌握投资分析方法，计算股权投资账面价值。</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4.大数据财务分析与可视化</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（1）依据企业的资产负债表、利润表、现金流量表，运用数据分析工具进行绝对值和相对值的比较分析，并与行业大数据进行比较。</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（2）依据获取的财务数据，运用数据分析工具，完成偿债能力、营运能力、盈利能力和发展能力分析，并完成可视化呈现。</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（3）运用大数据工具，从互联网获取同行业可比数据，进行行业比较分析，并进行可视化呈现。</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（四）竞赛内容分工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1.业票财税与机器人应用</w:t>
      </w:r>
    </w:p>
    <w:p>
      <w:pPr>
        <w:spacing w:line="560" w:lineRule="exact"/>
        <w:jc w:val="center"/>
        <w:rPr>
          <w:rFonts w:hint="eastAsia" w:ascii="仿宋_GB2312" w:hAnsi="仿宋" w:eastAsia="仿宋_GB2312" w:cs="宋体"/>
          <w:bCs/>
          <w:kern w:val="0"/>
          <w:sz w:val="32"/>
          <w:szCs w:val="32"/>
        </w:rPr>
      </w:pPr>
    </w:p>
    <w:p>
      <w:pPr>
        <w:spacing w:line="560" w:lineRule="exact"/>
        <w:jc w:val="center"/>
        <w:rPr>
          <w:rFonts w:ascii="仿宋_GB2312" w:hAnsi="仿宋" w:eastAsia="仿宋_GB2312" w:cs="宋体"/>
          <w:bCs/>
          <w:kern w:val="0"/>
          <w:sz w:val="32"/>
          <w:szCs w:val="32"/>
        </w:rPr>
      </w:pPr>
      <w:r>
        <w:rPr>
          <w:rFonts w:hint="eastAsia" w:ascii="仿宋_GB2312" w:hAnsi="仿宋" w:eastAsia="仿宋_GB2312" w:cs="宋体"/>
          <w:bCs/>
          <w:kern w:val="0"/>
          <w:sz w:val="32"/>
          <w:szCs w:val="32"/>
        </w:rPr>
        <w:t>表1</w:t>
      </w:r>
      <w:r>
        <w:rPr>
          <w:rFonts w:hint="eastAsia" w:ascii="仿宋_GB2312" w:hAnsi="仿宋" w:eastAsia="仿宋_GB2312" w:cs="宋体"/>
          <w:bCs/>
          <w:kern w:val="0"/>
          <w:sz w:val="32"/>
          <w:szCs w:val="32"/>
          <w:lang w:val="en-US" w:eastAsia="zh-CN"/>
        </w:rPr>
        <w:t xml:space="preserve">  </w:t>
      </w:r>
      <w:r>
        <w:rPr>
          <w:rFonts w:hint="eastAsia" w:ascii="仿宋_GB2312" w:hAnsi="仿宋" w:eastAsia="仿宋_GB2312" w:cs="宋体"/>
          <w:bCs/>
          <w:kern w:val="0"/>
          <w:sz w:val="32"/>
          <w:szCs w:val="32"/>
        </w:rPr>
        <w:t>业票财税与机器人应用岗位任务分工</w:t>
      </w:r>
    </w:p>
    <w:tbl>
      <w:tblPr>
        <w:tblStyle w:val="12"/>
        <w:tblW w:w="0" w:type="auto"/>
        <w:tblInd w:w="3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725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39" w:type="dxa"/>
            <w:tcBorders>
              <w:top w:val="single" w:color="auto" w:sz="4" w:space="0"/>
              <w:left w:val="single" w:color="auto" w:sz="4" w:space="0"/>
            </w:tcBorders>
            <w:shd w:val="clear" w:color="auto" w:fill="E7E6E6"/>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竞赛</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w:t>
            </w:r>
          </w:p>
        </w:tc>
        <w:tc>
          <w:tcPr>
            <w:tcW w:w="7259" w:type="dxa"/>
            <w:tcBorders>
              <w:top w:val="single" w:color="auto" w:sz="4" w:space="0"/>
              <w:right w:val="single" w:color="auto" w:sz="4" w:space="0"/>
            </w:tcBorders>
            <w:shd w:val="clear" w:color="auto" w:fill="E7E6E6"/>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岗位任务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39" w:type="dxa"/>
            <w:tcBorders>
              <w:left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财税主管</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w:t>
            </w:r>
          </w:p>
        </w:tc>
        <w:tc>
          <w:tcPr>
            <w:tcW w:w="7259" w:type="dxa"/>
            <w:tcBorders>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1.进行会计核算系统设置、开票信息设置、辅助核算设置等</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2.采购与付款业务系统初始设置、销售与收款业务系统初始设置。</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3.成本核算模块基础设置</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4.在商旅系统中进行差旅费标准设置</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5.工资核算模块基础设置</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6.资产管理模块基础设置</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7.对生成的记账凭证进行审核</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8.审核成本核算业务并进行成本月结</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9.审核财务报表</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10.审核纳税申报表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39" w:type="dxa"/>
            <w:tcBorders>
              <w:left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业务财务</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w:t>
            </w:r>
          </w:p>
        </w:tc>
        <w:tc>
          <w:tcPr>
            <w:tcW w:w="7259" w:type="dxa"/>
            <w:tcBorders>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1.票据采集</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2.票据识别与查验</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3.票据审核</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4.存货模块设置</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5.采购与付款业务处理</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6.销售与收款业务处理</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7.成本核算模块设置材料分配比例</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8.商旅与费控模块中提供预定机票、酒店费等商旅服务</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9.商旅与费控模块中处理员工借款、报销业务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39" w:type="dxa"/>
            <w:tcBorders>
              <w:left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财务会计</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w:t>
            </w:r>
          </w:p>
        </w:tc>
        <w:tc>
          <w:tcPr>
            <w:tcW w:w="7259" w:type="dxa"/>
            <w:tcBorders>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1.票据制单与审核</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2.固定资产核算</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3.职工薪酬和个人所得税业务处理</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4.进行RPA开票流程设计并运用RPA记账机器人批量生成记账凭证</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5.月末结转</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6.财务报表编制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39" w:type="dxa"/>
            <w:tcBorders>
              <w:left w:val="single" w:color="auto" w:sz="4" w:space="0"/>
              <w:bottom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税务</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会计</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w:t>
            </w:r>
          </w:p>
        </w:tc>
        <w:tc>
          <w:tcPr>
            <w:tcW w:w="7259" w:type="dxa"/>
            <w:tcBorders>
              <w:bottom w:val="single" w:color="auto" w:sz="4" w:space="0"/>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1.发票开具</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2.进行RPA开票流程设计并运用RPA开票机器人进行增值税专用发票、普通发票及电子发票的开具</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3.通过票据管理系统开具的销售发票自动生成记账凭证</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4.利用工资模块进行个人所得税专项扣除与专项附加扣除的检查与修改，进行个人所得税申报的检查与修改</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5.增值税、附加税费、企业所得税（季报）的纳税申报</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6.进行RPA报税流程设计并运用RPA报税机器人自动完成纳税申报</w:t>
            </w:r>
          </w:p>
        </w:tc>
      </w:tr>
    </w:tbl>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2.税务服务与大数据应用</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本赛段为个人赛，不分岗位。</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3.财务管理与大数据应用</w:t>
      </w:r>
    </w:p>
    <w:p>
      <w:pPr>
        <w:spacing w:line="560" w:lineRule="exact"/>
        <w:jc w:val="center"/>
        <w:rPr>
          <w:rFonts w:hint="eastAsia" w:ascii="仿宋_GB2312" w:hAnsi="仿宋" w:eastAsia="仿宋_GB2312" w:cs="宋体"/>
          <w:bCs/>
          <w:kern w:val="0"/>
          <w:sz w:val="32"/>
          <w:szCs w:val="32"/>
        </w:rPr>
      </w:pPr>
    </w:p>
    <w:p>
      <w:pPr>
        <w:spacing w:line="560" w:lineRule="exact"/>
        <w:jc w:val="center"/>
        <w:rPr>
          <w:rFonts w:ascii="仿宋_GB2312" w:hAnsi="仿宋" w:eastAsia="仿宋_GB2312" w:cs="宋体"/>
          <w:bCs/>
          <w:kern w:val="0"/>
          <w:sz w:val="32"/>
          <w:szCs w:val="32"/>
        </w:rPr>
      </w:pPr>
      <w:r>
        <w:rPr>
          <w:rFonts w:hint="eastAsia" w:ascii="仿宋_GB2312" w:hAnsi="仿宋" w:eastAsia="仿宋_GB2312" w:cs="宋体"/>
          <w:bCs/>
          <w:kern w:val="0"/>
          <w:sz w:val="32"/>
          <w:szCs w:val="32"/>
        </w:rPr>
        <w:t>表2   财务管理与大数据应用岗位任务分工</w:t>
      </w:r>
    </w:p>
    <w:tbl>
      <w:tblPr>
        <w:tblStyle w:val="12"/>
        <w:tblW w:w="8611" w:type="dxa"/>
        <w:tblInd w:w="3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85"/>
        <w:gridCol w:w="682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85" w:type="dxa"/>
            <w:tcBorders>
              <w:top w:val="single" w:color="auto" w:sz="4" w:space="0"/>
              <w:left w:val="single" w:color="auto" w:sz="4" w:space="0"/>
            </w:tcBorders>
            <w:shd w:val="clear" w:color="auto" w:fill="E7E6E6"/>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竞赛</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w:t>
            </w:r>
          </w:p>
        </w:tc>
        <w:tc>
          <w:tcPr>
            <w:tcW w:w="6826" w:type="dxa"/>
            <w:tcBorders>
              <w:top w:val="single" w:color="auto" w:sz="4" w:space="0"/>
              <w:right w:val="single" w:color="auto" w:sz="4" w:space="0"/>
            </w:tcBorders>
            <w:shd w:val="clear" w:color="auto" w:fill="E7E6E6"/>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岗位任务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85" w:type="dxa"/>
            <w:tcBorders>
              <w:left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预算管理岗位</w:t>
            </w:r>
          </w:p>
        </w:tc>
        <w:tc>
          <w:tcPr>
            <w:tcW w:w="6826" w:type="dxa"/>
            <w:tcBorders>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预算指标设定：预算编制、预算过程控制、预算执行分析与评价</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兼成本管理审核工作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785" w:type="dxa"/>
            <w:tcBorders>
              <w:left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成本管理岗位</w:t>
            </w:r>
          </w:p>
        </w:tc>
        <w:tc>
          <w:tcPr>
            <w:tcW w:w="6826" w:type="dxa"/>
            <w:tcBorders>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成本管理：成本控制目标的设定、成本控制、成本分析与评价</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兼投资融资审核工作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85" w:type="dxa"/>
            <w:tcBorders>
              <w:left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投资融资岗位</w:t>
            </w:r>
          </w:p>
        </w:tc>
        <w:tc>
          <w:tcPr>
            <w:tcW w:w="6826" w:type="dxa"/>
            <w:tcBorders>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公司金融运作：银行贷款、应收账款保理、固定资产融资租赁、股权融资、股权投资</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兼财务分析审核工作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85" w:type="dxa"/>
            <w:tcBorders>
              <w:left w:val="single" w:color="auto" w:sz="4" w:space="0"/>
              <w:bottom w:val="single" w:color="auto" w:sz="4" w:space="0"/>
            </w:tcBorders>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财务分析岗位</w:t>
            </w:r>
          </w:p>
        </w:tc>
        <w:tc>
          <w:tcPr>
            <w:tcW w:w="6826" w:type="dxa"/>
            <w:tcBorders>
              <w:bottom w:val="single" w:color="auto" w:sz="4" w:space="0"/>
              <w:right w:val="single" w:color="auto" w:sz="4" w:space="0"/>
            </w:tcBorders>
          </w:tcPr>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大数据财务分析与可视化：大数据财务报表分析、财务指标分析等</w:t>
            </w:r>
          </w:p>
          <w:p>
            <w:pPr>
              <w:spacing w:line="380" w:lineRule="exact"/>
              <w:jc w:val="left"/>
              <w:rPr>
                <w:rFonts w:ascii="仿宋_GB2312" w:hAnsi="宋体" w:eastAsia="仿宋_GB2312" w:cs="Arial"/>
                <w:kern w:val="0"/>
                <w:sz w:val="24"/>
              </w:rPr>
            </w:pPr>
            <w:r>
              <w:rPr>
                <w:rFonts w:hint="eastAsia" w:ascii="仿宋_GB2312" w:hAnsi="宋体" w:eastAsia="仿宋_GB2312" w:cs="Arial"/>
                <w:kern w:val="0"/>
                <w:sz w:val="24"/>
              </w:rPr>
              <w:t>兼预算管理审核工作</w:t>
            </w:r>
          </w:p>
        </w:tc>
      </w:tr>
    </w:tbl>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四、竞赛方式</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 xml:space="preserve">竞赛以团体赛和个人赛两种方式进行。分三个赛段，第一赛段业票财税与机器人应用为团体赛；第二赛段税务服务与大数据应用为个人赛；第三赛段财务管理与大数据应用为团体赛。竞赛总时长450分钟，各赛段时长均为150分钟，在一天半内完成。  </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每个参赛队4名选手，每校参赛队不超过2支，不得跨校组队。指导教师须为本校专职教师，每队不超过2名指导教师。</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第一赛段和第三赛段岗位分工于报名时由各参赛学校自行确定，并于9月25日18：00之前完成申报，申报结束不得进行变更。</w:t>
      </w:r>
    </w:p>
    <w:p>
      <w:pPr>
        <w:spacing w:line="560" w:lineRule="exact"/>
        <w:ind w:firstLine="640" w:firstLineChars="200"/>
        <w:rPr>
          <w:rFonts w:ascii="仿宋_GB2312" w:hAnsi="仿宋" w:eastAsia="仿宋_GB2312" w:cs="仿宋_GB2312"/>
          <w:sz w:val="30"/>
          <w:szCs w:val="30"/>
        </w:rPr>
      </w:pPr>
      <w:r>
        <w:rPr>
          <w:rFonts w:hint="eastAsia" w:ascii="仿宋_GB2312" w:hAnsi="仿宋" w:eastAsia="仿宋_GB2312" w:cs="宋体"/>
          <w:bCs/>
          <w:kern w:val="0"/>
          <w:sz w:val="32"/>
          <w:szCs w:val="32"/>
        </w:rPr>
        <w:t>竞赛现场按团队设置竞赛台位，按岗位标注选手座位，竞赛台位在赛前通过抽签决定。竞赛时团队赛同队队员可讨论解决方案但不能更换岗位或代替操作，个人赛禁止相互讨论。</w:t>
      </w:r>
    </w:p>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五、竞赛试题</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本赛项竞赛赛卷采用题库方式，提前免费开放训练平台。正式竞赛赛卷在比赛前由专家抽取并进行补充调整后确定。</w:t>
      </w:r>
    </w:p>
    <w:p>
      <w:pPr>
        <w:spacing w:line="560" w:lineRule="exact"/>
        <w:ind w:firstLine="643" w:firstLineChars="200"/>
        <w:rPr>
          <w:rFonts w:ascii="仿宋_GB2312" w:hAnsi="仿宋" w:eastAsia="仿宋_GB2312" w:cs="仿宋_GB2312"/>
          <w:sz w:val="30"/>
          <w:szCs w:val="30"/>
        </w:rPr>
      </w:pPr>
      <w:r>
        <w:rPr>
          <w:rFonts w:hint="eastAsia" w:ascii="仿宋_GB2312" w:hAnsi="仿宋" w:eastAsia="仿宋_GB2312"/>
          <w:b/>
          <w:sz w:val="32"/>
          <w:szCs w:val="32"/>
        </w:rPr>
        <w:t>六、竞赛规则</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（一）所有参赛人员、各类赛务工作人员必须统一佩戴由大赛组委会签发的相应证件，着装整齐。</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（二）各赛场除现场裁判、赛场配备的工作人员以外，其他人员未经允许不得进入赛场。</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（三）参赛选手需提前30分钟抵达赛场，凭参赛证、学生证和身份证（三证必须齐全）在赛场工作人员引导下进行赛前准备。</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（四）参赛选手进入赛场后，将证件放在桌子指定位置，禁止携带任何通讯设备及与比赛无关的电子设备，一经发现将取消大赛成绩。比赛开始后，迟到15分钟的选手不得进入赛场。</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(五)裁判组对参赛选手的证件进行检查并进行大赛相关事项进行公告。比赛过程中如出现违规、违纪、舞弊等现象，经裁判组裁定将取消大赛成绩。</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（六）参赛选手必须按统一时间参加竞赛，按时开始和结束竞赛。根据赛项提供的相关资料、办公用品及财务应用软件等，完成竞赛要求的各项内容。</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 xml:space="preserve">（七）竞赛期间，选手必须遵守比赛项目操作要求，禁止使用搜索引擎，不得以任何方式与队外人员进行讨论交流，竞赛中途不得离开现场，教师和其他非参赛队员必须回避。 </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（八）参赛选手对竞赛内容有疑问时，如没有更正通知，监考老师不做任何解释。但如遇命题字迹模糊、污点等，可举手报告。</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（九）参赛选手要服从工作人员的管理，接受监考人员的监督和检查。赛场作弊或违反赛场纪律，取消其参赛资格，成绩以零分计算。</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（十）参赛选手完成比赛项目后，将资料和工具整齐摆放在操作平台上，经工作人员清点后方可离开赛场，离开赛场时不得带走任何资料（包括草稿纸）。</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（十一）比赛过程中出现设备或软件故障等问题，应提请项目裁判长确认原因。项目裁判长请示总裁判长同意后，可将该选手大赛时间酌情后延。</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（十二）在竞赛中如发现他人代做、抄袭及被抄袭、队与队之间交流、不按规定时间开始和停止操作等现象，将取消获奖名次，并通报批评。</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（十三）在竞赛全程中</w:t>
      </w:r>
      <w:r>
        <w:rPr>
          <w:rFonts w:hint="eastAsia" w:ascii="仿宋_GB2312" w:hAnsi="仿宋" w:eastAsia="仿宋_GB2312" w:cs="宋体"/>
          <w:bCs/>
          <w:kern w:val="0"/>
          <w:sz w:val="32"/>
          <w:szCs w:val="32"/>
          <w:lang w:val="en-US" w:eastAsia="zh-CN"/>
        </w:rPr>
        <w:t>,</w:t>
      </w:r>
      <w:r>
        <w:rPr>
          <w:rFonts w:hint="eastAsia" w:ascii="仿宋_GB2312" w:hAnsi="仿宋" w:eastAsia="仿宋_GB2312" w:cs="宋体"/>
          <w:bCs/>
          <w:kern w:val="0"/>
          <w:sz w:val="32"/>
          <w:szCs w:val="32"/>
        </w:rPr>
        <w:t>不得使用任何移动存储设备、开启无线网络、非法访问他人计算机。赛场技术服务区将实时监控上述行为。</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（十四）摄影摄像工作人员及其他人员必经大赛组委会允许方可进入赛场，且应听从现场工作人员的安排和管理，不能影响赛事的正常进行。</w:t>
      </w:r>
    </w:p>
    <w:p>
      <w:pPr>
        <w:spacing w:line="560" w:lineRule="exact"/>
        <w:ind w:firstLine="640" w:firstLineChars="200"/>
        <w:rPr>
          <w:rFonts w:ascii="仿宋_GB2312" w:hAnsi="仿宋" w:eastAsia="仿宋_GB2312" w:cs="仿宋_GB2312"/>
          <w:sz w:val="30"/>
          <w:szCs w:val="30"/>
        </w:rPr>
      </w:pPr>
      <w:r>
        <w:rPr>
          <w:rFonts w:hint="eastAsia" w:ascii="仿宋_GB2312" w:hAnsi="仿宋" w:eastAsia="仿宋_GB2312" w:cs="宋体"/>
          <w:bCs/>
          <w:kern w:val="0"/>
          <w:sz w:val="32"/>
          <w:szCs w:val="32"/>
        </w:rPr>
        <w:t>（十五）对于违反上述规定的，总裁判长有权终止其所在团队或个人的比赛，劝令其离开赛场。</w:t>
      </w:r>
    </w:p>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七、竞赛环境</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（一）竞赛场地设在承办院校指定的竞赛机房内，场地内设置满足所有参赛团队的竞赛环境。</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（二）竞赛场地需按实际参赛队伍数量及参赛选手人数预置相应的工作台位，每个台位4台计算机配单屏，适当设置备用台位。</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 xml:space="preserve">（三）需选用企业级稳定的交接机，交换机百兆及以上，网络带宽不得低于100兆，不得进行网络限速，要确保网络稳定。考场固定IP地址，系统不接收非授权的IP地址接入。 </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（四）竞赛场地内设置裁判席、仲裁席、技术支持人员专席等，便于竞赛全程的观摩、监督和裁判等相关工作。</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（五）设置安全通道和警戒线，确保进入赛场的大赛参观、采访、视察的人员限定在安全区域内活动，以保证大赛安全有序进行。</w:t>
      </w:r>
    </w:p>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八、技术规范</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（一）教育部《职业教育专业目录（2021年）》（教职成〔2021〕2号）。</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（二）企业内部控制基本规范及配套指引。</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（三）截止2020年12月31日发布并开始在一般企业实施的《企业会计准则》。</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（四）截止2020年12月31日发布并开始实施的《管理会计基本指引》《管理会计应用指引》。</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（五）截止2020年12月31日发布并开始实施的税收政策。</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（六）截止2020年12月31日发布并开始实施的其它相关财经类法规、制度等。</w:t>
      </w:r>
    </w:p>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九、技术平台</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（一）软件平台</w:t>
      </w:r>
    </w:p>
    <w:p>
      <w:pPr>
        <w:spacing w:line="560" w:lineRule="exact"/>
        <w:ind w:firstLine="640" w:firstLineChars="200"/>
        <w:rPr>
          <w:rFonts w:hint="eastAsia" w:ascii="仿宋_GB2312" w:hAnsi="仿宋" w:eastAsia="仿宋_GB2312" w:cs="宋体"/>
          <w:bCs/>
          <w:kern w:val="0"/>
          <w:sz w:val="32"/>
          <w:szCs w:val="32"/>
        </w:rPr>
      </w:pPr>
      <w:r>
        <w:rPr>
          <w:rFonts w:hint="eastAsia" w:ascii="仿宋_GB2312" w:hAnsi="仿宋" w:eastAsia="仿宋_GB2312" w:cs="宋体"/>
          <w:bCs/>
          <w:kern w:val="0"/>
          <w:sz w:val="32"/>
          <w:szCs w:val="32"/>
        </w:rPr>
        <w:t>智能财税竞赛平台，平台采用微服务架构，数据服务和应用服务部署在云端，为典型的K8S集群以及分布式存储，支持远程应用，可通过互联网连接登录使用，保障数十万人同时在线操作，具有极强的稳定性。</w:t>
      </w:r>
    </w:p>
    <w:p>
      <w:pPr>
        <w:spacing w:line="560" w:lineRule="exact"/>
        <w:ind w:firstLine="640" w:firstLineChars="200"/>
        <w:rPr>
          <w:rFonts w:ascii="仿宋_GB2312" w:hAnsi="仿宋" w:eastAsia="仿宋_GB2312" w:cs="仿宋_GB2312"/>
          <w:sz w:val="30"/>
          <w:szCs w:val="30"/>
        </w:rPr>
      </w:pPr>
      <w:r>
        <w:rPr>
          <w:rFonts w:hint="eastAsia" w:ascii="仿宋_GB2312" w:hAnsi="仿宋" w:eastAsia="仿宋_GB2312" w:cs="宋体"/>
          <w:bCs/>
          <w:kern w:val="0"/>
          <w:sz w:val="32"/>
          <w:szCs w:val="32"/>
        </w:rPr>
        <w:t>（二）硬件平台</w:t>
      </w:r>
    </w:p>
    <w:tbl>
      <w:tblPr>
        <w:tblStyle w:val="12"/>
        <w:tblW w:w="847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402"/>
        <w:gridCol w:w="1565"/>
        <w:gridCol w:w="4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66" w:type="dxa"/>
            <w:shd w:val="clear" w:color="auto" w:fill="auto"/>
            <w:noWrap/>
            <w:vAlign w:val="center"/>
          </w:tcPr>
          <w:p>
            <w:pPr>
              <w:widowControl/>
              <w:jc w:val="center"/>
              <w:textAlignment w:val="center"/>
              <w:rPr>
                <w:rFonts w:ascii="仿宋_GB2312" w:hAnsi="仿宋" w:eastAsia="仿宋_GB2312" w:cs="仿宋_GB2312"/>
                <w:b/>
                <w:bCs/>
                <w:sz w:val="24"/>
                <w:szCs w:val="24"/>
              </w:rPr>
            </w:pPr>
            <w:r>
              <w:rPr>
                <w:rFonts w:hint="eastAsia" w:ascii="仿宋_GB2312" w:hAnsi="仿宋" w:eastAsia="仿宋_GB2312" w:cs="仿宋_GB2312"/>
                <w:b/>
                <w:bCs/>
                <w:sz w:val="24"/>
                <w:szCs w:val="24"/>
              </w:rPr>
              <w:t>序号</w:t>
            </w:r>
          </w:p>
        </w:tc>
        <w:tc>
          <w:tcPr>
            <w:tcW w:w="1402" w:type="dxa"/>
            <w:shd w:val="clear" w:color="auto" w:fill="auto"/>
            <w:noWrap/>
            <w:vAlign w:val="center"/>
          </w:tcPr>
          <w:p>
            <w:pPr>
              <w:widowControl/>
              <w:jc w:val="center"/>
              <w:textAlignment w:val="center"/>
              <w:rPr>
                <w:rFonts w:ascii="仿宋_GB2312" w:hAnsi="仿宋" w:eastAsia="仿宋_GB2312" w:cs="仿宋_GB2312"/>
                <w:b/>
                <w:bCs/>
                <w:sz w:val="24"/>
                <w:szCs w:val="24"/>
              </w:rPr>
            </w:pPr>
            <w:r>
              <w:rPr>
                <w:rFonts w:hint="eastAsia" w:ascii="仿宋_GB2312" w:hAnsi="仿宋" w:eastAsia="仿宋_GB2312" w:cs="仿宋_GB2312"/>
                <w:b/>
                <w:bCs/>
                <w:sz w:val="24"/>
                <w:szCs w:val="24"/>
              </w:rPr>
              <w:t>项目</w:t>
            </w:r>
          </w:p>
        </w:tc>
        <w:tc>
          <w:tcPr>
            <w:tcW w:w="1565" w:type="dxa"/>
            <w:shd w:val="clear" w:color="auto" w:fill="auto"/>
            <w:noWrap/>
            <w:vAlign w:val="center"/>
          </w:tcPr>
          <w:p>
            <w:pPr>
              <w:widowControl/>
              <w:jc w:val="center"/>
              <w:textAlignment w:val="center"/>
              <w:rPr>
                <w:rFonts w:ascii="仿宋_GB2312" w:hAnsi="仿宋" w:eastAsia="仿宋_GB2312" w:cs="仿宋_GB2312"/>
                <w:b/>
                <w:bCs/>
                <w:sz w:val="24"/>
                <w:szCs w:val="24"/>
              </w:rPr>
            </w:pPr>
            <w:r>
              <w:rPr>
                <w:rFonts w:hint="eastAsia" w:ascii="仿宋_GB2312" w:hAnsi="仿宋" w:eastAsia="仿宋_GB2312" w:cs="仿宋_GB2312"/>
                <w:b/>
                <w:bCs/>
                <w:sz w:val="24"/>
                <w:szCs w:val="24"/>
              </w:rPr>
              <w:t>硬件</w:t>
            </w:r>
            <w:r>
              <w:rPr>
                <w:rFonts w:ascii="仿宋_GB2312" w:hAnsi="仿宋" w:eastAsia="仿宋_GB2312" w:cs="仿宋_GB2312"/>
                <w:b/>
                <w:bCs/>
                <w:sz w:val="24"/>
                <w:szCs w:val="24"/>
              </w:rPr>
              <w:t>/</w:t>
            </w:r>
            <w:r>
              <w:rPr>
                <w:rFonts w:hint="eastAsia" w:ascii="仿宋_GB2312" w:hAnsi="仿宋" w:eastAsia="仿宋_GB2312" w:cs="仿宋_GB2312"/>
                <w:b/>
                <w:bCs/>
                <w:sz w:val="24"/>
                <w:szCs w:val="24"/>
              </w:rPr>
              <w:t>名称</w:t>
            </w:r>
          </w:p>
        </w:tc>
        <w:tc>
          <w:tcPr>
            <w:tcW w:w="4737" w:type="dxa"/>
            <w:shd w:val="clear" w:color="auto" w:fill="auto"/>
            <w:vAlign w:val="center"/>
          </w:tcPr>
          <w:p>
            <w:pPr>
              <w:widowControl/>
              <w:jc w:val="center"/>
              <w:textAlignment w:val="center"/>
              <w:rPr>
                <w:rFonts w:ascii="仿宋_GB2312" w:hAnsi="仿宋" w:eastAsia="仿宋_GB2312" w:cs="仿宋_GB2312"/>
                <w:b/>
                <w:bCs/>
                <w:sz w:val="24"/>
                <w:szCs w:val="24"/>
              </w:rPr>
            </w:pPr>
            <w:r>
              <w:rPr>
                <w:rFonts w:hint="eastAsia" w:ascii="仿宋_GB2312" w:hAnsi="仿宋" w:eastAsia="仿宋_GB2312" w:cs="仿宋_GB2312"/>
                <w:b/>
                <w:bCs/>
                <w:sz w:val="24"/>
                <w:szCs w:val="24"/>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66" w:type="dxa"/>
            <w:vMerge w:val="restart"/>
            <w:shd w:val="clear" w:color="auto" w:fill="auto"/>
            <w:vAlign w:val="center"/>
          </w:tcPr>
          <w:p>
            <w:pPr>
              <w:widowControl/>
              <w:jc w:val="center"/>
              <w:textAlignment w:val="center"/>
              <w:rPr>
                <w:rFonts w:ascii="仿宋_GB2312" w:hAnsi="仿宋" w:eastAsia="仿宋_GB2312" w:cs="仿宋_GB2312"/>
                <w:sz w:val="24"/>
                <w:szCs w:val="24"/>
              </w:rPr>
            </w:pPr>
            <w:r>
              <w:rPr>
                <w:rFonts w:ascii="仿宋_GB2312" w:hAnsi="仿宋" w:eastAsia="仿宋_GB2312" w:cs="仿宋_GB2312"/>
                <w:sz w:val="24"/>
                <w:szCs w:val="24"/>
              </w:rPr>
              <w:t>1</w:t>
            </w:r>
          </w:p>
        </w:tc>
        <w:tc>
          <w:tcPr>
            <w:tcW w:w="1402" w:type="dxa"/>
            <w:vMerge w:val="restart"/>
            <w:shd w:val="clear" w:color="auto" w:fill="auto"/>
            <w:vAlign w:val="center"/>
          </w:tcPr>
          <w:p>
            <w:pPr>
              <w:widowControl/>
              <w:jc w:val="center"/>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比赛机</w:t>
            </w:r>
            <w:r>
              <w:rPr>
                <w:rFonts w:ascii="仿宋_GB2312" w:hAnsi="仿宋" w:eastAsia="仿宋_GB2312" w:cs="仿宋_GB2312"/>
                <w:sz w:val="24"/>
                <w:szCs w:val="24"/>
              </w:rPr>
              <w:br w:type="textWrapping"/>
            </w:r>
            <w:r>
              <w:rPr>
                <w:rFonts w:hint="eastAsia" w:ascii="仿宋_GB2312" w:hAnsi="仿宋" w:eastAsia="仿宋_GB2312" w:cs="仿宋_GB2312"/>
                <w:sz w:val="24"/>
                <w:szCs w:val="24"/>
              </w:rPr>
              <w:t>（屏蔽</w:t>
            </w:r>
            <w:r>
              <w:rPr>
                <w:rFonts w:ascii="仿宋_GB2312" w:hAnsi="仿宋" w:eastAsia="仿宋_GB2312" w:cs="仿宋_GB2312"/>
                <w:sz w:val="24"/>
                <w:szCs w:val="24"/>
              </w:rPr>
              <w:t>USB</w:t>
            </w:r>
            <w:r>
              <w:rPr>
                <w:rFonts w:hint="eastAsia" w:ascii="仿宋_GB2312" w:hAnsi="仿宋" w:eastAsia="仿宋_GB2312" w:cs="仿宋_GB2312"/>
                <w:sz w:val="24"/>
                <w:szCs w:val="24"/>
              </w:rPr>
              <w:t>接口）</w:t>
            </w: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ascii="仿宋_GB2312" w:hAnsi="仿宋" w:eastAsia="仿宋_GB2312" w:cs="仿宋_GB2312"/>
                <w:sz w:val="24"/>
                <w:szCs w:val="24"/>
              </w:rPr>
              <w:t>CPU</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双核，主频</w:t>
            </w:r>
            <w:r>
              <w:rPr>
                <w:rFonts w:ascii="仿宋_GB2312" w:hAnsi="仿宋" w:eastAsia="仿宋_GB2312" w:cs="仿宋_GB2312"/>
                <w:sz w:val="24"/>
                <w:szCs w:val="24"/>
              </w:rPr>
              <w:t>2.0Ghz</w:t>
            </w:r>
            <w:r>
              <w:rPr>
                <w:rFonts w:hint="eastAsia" w:ascii="仿宋_GB2312" w:hAnsi="仿宋" w:eastAsia="仿宋_GB2312" w:cs="仿宋_GB2312"/>
                <w:sz w:val="24"/>
                <w:szCs w:val="24"/>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内存</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ascii="仿宋_GB2312" w:hAnsi="仿宋" w:eastAsia="仿宋_GB2312" w:cs="仿宋_GB2312"/>
                <w:sz w:val="24"/>
                <w:szCs w:val="24"/>
              </w:rPr>
              <w:t>8G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操作系统</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ascii="仿宋_GB2312" w:hAnsi="仿宋" w:eastAsia="仿宋_GB2312" w:cs="仿宋_GB2312"/>
                <w:sz w:val="24"/>
                <w:szCs w:val="24"/>
              </w:rPr>
              <w:t xml:space="preserve">Windows 7 </w:t>
            </w:r>
            <w:r>
              <w:rPr>
                <w:rFonts w:hint="eastAsia" w:ascii="仿宋_GB2312" w:hAnsi="仿宋" w:eastAsia="仿宋_GB2312" w:cs="仿宋_GB2312"/>
                <w:sz w:val="24"/>
                <w:szCs w:val="24"/>
              </w:rPr>
              <w:t>或更高版本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显示器</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屏幕分辨率</w:t>
            </w:r>
            <w:r>
              <w:rPr>
                <w:rFonts w:ascii="仿宋_GB2312" w:hAnsi="仿宋" w:eastAsia="仿宋_GB2312" w:cs="仿宋_GB2312"/>
                <w:sz w:val="24"/>
                <w:szCs w:val="24"/>
              </w:rPr>
              <w:t>1920*1080,</w:t>
            </w:r>
            <w:r>
              <w:rPr>
                <w:rFonts w:hint="eastAsia" w:ascii="仿宋_GB2312" w:hAnsi="仿宋" w:eastAsia="仿宋_GB2312" w:cs="仿宋_GB2312"/>
                <w:sz w:val="24"/>
                <w:szCs w:val="24"/>
              </w:rPr>
              <w:t>双屏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网卡</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百兆网卡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浏览器</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浏览器</w:t>
            </w:r>
            <w:r>
              <w:rPr>
                <w:rFonts w:ascii="仿宋_GB2312" w:hAnsi="仿宋" w:eastAsia="仿宋_GB2312" w:cs="仿宋_GB2312"/>
                <w:sz w:val="24"/>
                <w:szCs w:val="24"/>
              </w:rPr>
              <w:t xml:space="preserve">Chrome </w:t>
            </w:r>
            <w:r>
              <w:rPr>
                <w:rFonts w:hint="eastAsia" w:ascii="仿宋_GB2312" w:hAnsi="仿宋" w:eastAsia="仿宋_GB2312" w:cs="仿宋_GB2312"/>
                <w:sz w:val="24"/>
                <w:szCs w:val="24"/>
              </w:rPr>
              <w:t>版本</w:t>
            </w:r>
            <w:r>
              <w:rPr>
                <w:rFonts w:ascii="仿宋_GB2312" w:hAnsi="仿宋" w:eastAsia="仿宋_GB2312" w:cs="仿宋_GB2312"/>
                <w:sz w:val="24"/>
                <w:szCs w:val="24"/>
              </w:rPr>
              <w:t>78</w:t>
            </w:r>
            <w:r>
              <w:rPr>
                <w:rFonts w:hint="eastAsia" w:ascii="仿宋_GB2312" w:hAnsi="仿宋" w:eastAsia="仿宋_GB2312" w:cs="仿宋_GB2312"/>
                <w:sz w:val="24"/>
                <w:szCs w:val="24"/>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66" w:type="dxa"/>
            <w:shd w:val="clear" w:color="auto" w:fill="auto"/>
            <w:vAlign w:val="center"/>
          </w:tcPr>
          <w:p>
            <w:pPr>
              <w:widowControl/>
              <w:jc w:val="center"/>
              <w:textAlignment w:val="center"/>
              <w:rPr>
                <w:rFonts w:ascii="仿宋_GB2312" w:hAnsi="仿宋" w:eastAsia="仿宋_GB2312" w:cs="仿宋_GB2312"/>
                <w:sz w:val="24"/>
                <w:szCs w:val="24"/>
              </w:rPr>
            </w:pPr>
            <w:r>
              <w:rPr>
                <w:rFonts w:ascii="仿宋_GB2312" w:hAnsi="仿宋" w:eastAsia="仿宋_GB2312" w:cs="仿宋_GB2312"/>
                <w:sz w:val="24"/>
                <w:szCs w:val="24"/>
              </w:rPr>
              <w:t>2</w:t>
            </w:r>
          </w:p>
        </w:tc>
        <w:tc>
          <w:tcPr>
            <w:tcW w:w="1402" w:type="dxa"/>
            <w:vMerge w:val="restart"/>
            <w:shd w:val="clear" w:color="auto" w:fill="auto"/>
            <w:vAlign w:val="center"/>
          </w:tcPr>
          <w:p>
            <w:pPr>
              <w:widowControl/>
              <w:jc w:val="center"/>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宽带</w:t>
            </w: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网络交换机</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桌面交换机百兆以上，核心交换机千兆以上。选用企业级稳定的交换机。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66" w:type="dxa"/>
            <w:shd w:val="clear" w:color="auto" w:fill="auto"/>
            <w:vAlign w:val="center"/>
          </w:tcPr>
          <w:p>
            <w:pPr>
              <w:widowControl/>
              <w:jc w:val="center"/>
              <w:textAlignment w:val="center"/>
              <w:rPr>
                <w:rFonts w:ascii="仿宋_GB2312" w:hAnsi="仿宋" w:eastAsia="仿宋_GB2312" w:cs="仿宋_GB2312"/>
                <w:sz w:val="24"/>
                <w:szCs w:val="24"/>
              </w:rPr>
            </w:pPr>
            <w:r>
              <w:rPr>
                <w:rFonts w:ascii="仿宋_GB2312" w:hAnsi="仿宋" w:eastAsia="仿宋_GB2312" w:cs="仿宋_GB2312"/>
                <w:sz w:val="24"/>
                <w:szCs w:val="24"/>
              </w:rPr>
              <w:t>3</w:t>
            </w: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网络带宽</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校级网关以每一百人</w:t>
            </w:r>
            <w:r>
              <w:rPr>
                <w:rFonts w:ascii="仿宋_GB2312" w:hAnsi="仿宋" w:eastAsia="仿宋_GB2312" w:cs="仿宋_GB2312"/>
                <w:sz w:val="24"/>
                <w:szCs w:val="24"/>
              </w:rPr>
              <w:t>100</w:t>
            </w:r>
            <w:r>
              <w:rPr>
                <w:rFonts w:hint="eastAsia" w:ascii="仿宋_GB2312" w:hAnsi="仿宋" w:eastAsia="仿宋_GB2312" w:cs="仿宋_GB2312"/>
                <w:sz w:val="24"/>
                <w:szCs w:val="24"/>
              </w:rPr>
              <w:t>兆配置为标准，不低于</w:t>
            </w:r>
            <w:r>
              <w:rPr>
                <w:rFonts w:ascii="仿宋_GB2312" w:hAnsi="仿宋" w:eastAsia="仿宋_GB2312" w:cs="仿宋_GB2312"/>
                <w:sz w:val="24"/>
                <w:szCs w:val="24"/>
              </w:rPr>
              <w:t>100</w:t>
            </w:r>
            <w:r>
              <w:rPr>
                <w:rFonts w:hint="eastAsia" w:ascii="仿宋_GB2312" w:hAnsi="仿宋" w:eastAsia="仿宋_GB2312" w:cs="仿宋_GB2312"/>
                <w:sz w:val="24"/>
                <w:szCs w:val="24"/>
              </w:rPr>
              <w:t>兆，根据人数的增加相应的线性增加带宽。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66" w:type="dxa"/>
            <w:shd w:val="clear" w:color="auto" w:fill="auto"/>
            <w:vAlign w:val="center"/>
          </w:tcPr>
          <w:p>
            <w:pPr>
              <w:widowControl/>
              <w:jc w:val="center"/>
              <w:textAlignment w:val="center"/>
              <w:rPr>
                <w:rFonts w:ascii="仿宋_GB2312" w:hAnsi="仿宋" w:eastAsia="仿宋_GB2312" w:cs="仿宋_GB2312"/>
                <w:sz w:val="24"/>
                <w:szCs w:val="24"/>
              </w:rPr>
            </w:pPr>
            <w:r>
              <w:rPr>
                <w:rFonts w:ascii="仿宋_GB2312" w:hAnsi="仿宋" w:eastAsia="仿宋_GB2312" w:cs="仿宋_GB2312"/>
                <w:sz w:val="24"/>
                <w:szCs w:val="24"/>
              </w:rPr>
              <w:t>4</w:t>
            </w:r>
          </w:p>
        </w:tc>
        <w:tc>
          <w:tcPr>
            <w:tcW w:w="1402" w:type="dxa"/>
            <w:shd w:val="clear" w:color="auto" w:fill="auto"/>
            <w:vAlign w:val="center"/>
          </w:tcPr>
          <w:p>
            <w:pPr>
              <w:widowControl/>
              <w:jc w:val="center"/>
              <w:textAlignment w:val="center"/>
              <w:rPr>
                <w:rFonts w:ascii="仿宋_GB2312" w:hAnsi="仿宋" w:eastAsia="仿宋_GB2312" w:cs="仿宋_GB2312"/>
                <w:sz w:val="24"/>
                <w:szCs w:val="24"/>
              </w:rPr>
            </w:pPr>
            <w:r>
              <w:rPr>
                <w:rFonts w:ascii="仿宋_GB2312" w:hAnsi="仿宋" w:eastAsia="仿宋_GB2312" w:cs="仿宋_GB2312"/>
                <w:sz w:val="24"/>
                <w:szCs w:val="24"/>
              </w:rPr>
              <w:t>UPS</w:t>
            </w:r>
            <w:r>
              <w:rPr>
                <w:rFonts w:hint="eastAsia" w:ascii="仿宋_GB2312" w:hAnsi="仿宋" w:eastAsia="仿宋_GB2312" w:cs="仿宋_GB2312"/>
                <w:sz w:val="24"/>
                <w:szCs w:val="24"/>
              </w:rPr>
              <w:t>紧急供电</w:t>
            </w: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断电保障</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额定功率：</w:t>
            </w:r>
            <w:r>
              <w:rPr>
                <w:rFonts w:ascii="仿宋_GB2312" w:hAnsi="仿宋" w:eastAsia="仿宋_GB2312" w:cs="仿宋_GB2312"/>
                <w:sz w:val="24"/>
                <w:szCs w:val="24"/>
              </w:rPr>
              <w:t>3KVA</w:t>
            </w:r>
            <w:r>
              <w:rPr>
                <w:rFonts w:hint="eastAsia" w:ascii="仿宋_GB2312" w:hAnsi="仿宋" w:eastAsia="仿宋_GB2312" w:cs="仿宋_GB2312"/>
                <w:sz w:val="24"/>
                <w:szCs w:val="24"/>
              </w:rPr>
              <w:t>；后备时间：</w:t>
            </w:r>
            <w:r>
              <w:rPr>
                <w:rFonts w:ascii="仿宋_GB2312" w:hAnsi="仿宋" w:eastAsia="仿宋_GB2312" w:cs="仿宋_GB2312"/>
                <w:sz w:val="24"/>
                <w:szCs w:val="24"/>
              </w:rPr>
              <w:t>3.5</w:t>
            </w:r>
            <w:r>
              <w:rPr>
                <w:rFonts w:hint="eastAsia" w:ascii="仿宋_GB2312" w:hAnsi="仿宋" w:eastAsia="仿宋_GB2312" w:cs="仿宋_GB2312"/>
                <w:sz w:val="24"/>
                <w:szCs w:val="24"/>
              </w:rPr>
              <w:t>小时；电池类型：输出电压：</w:t>
            </w:r>
            <w:r>
              <w:rPr>
                <w:rFonts w:ascii="仿宋_GB2312" w:hAnsi="仿宋" w:eastAsia="仿宋_GB2312" w:cs="仿宋_GB2312"/>
                <w:sz w:val="24"/>
                <w:szCs w:val="24"/>
              </w:rPr>
              <w:t>230V</w:t>
            </w:r>
            <w:r>
              <w:rPr>
                <w:rFonts w:hint="eastAsia" w:ascii="仿宋_GB2312" w:hAnsi="仿宋" w:eastAsia="仿宋_GB2312" w:cs="仿宋_GB2312"/>
                <w:sz w:val="24"/>
                <w:szCs w:val="24"/>
              </w:rPr>
              <w:t>±</w:t>
            </w:r>
            <w:r>
              <w:rPr>
                <w:rFonts w:ascii="仿宋_GB2312" w:hAnsi="仿宋" w:eastAsia="仿宋_GB2312" w:cs="仿宋_GB2312"/>
                <w:sz w:val="24"/>
                <w:szCs w:val="24"/>
              </w:rPr>
              <w:t>5%V</w:t>
            </w:r>
            <w:r>
              <w:rPr>
                <w:rFonts w:hint="eastAsia" w:ascii="仿宋_GB2312" w:hAnsi="仿宋" w:eastAsia="仿宋_GB2312" w:cs="仿宋_GB231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5" w:hRule="atLeast"/>
        </w:trPr>
        <w:tc>
          <w:tcPr>
            <w:tcW w:w="766" w:type="dxa"/>
            <w:vMerge w:val="restart"/>
            <w:shd w:val="clear" w:color="auto" w:fill="auto"/>
            <w:vAlign w:val="center"/>
          </w:tcPr>
          <w:p>
            <w:pPr>
              <w:widowControl/>
              <w:jc w:val="center"/>
              <w:textAlignment w:val="center"/>
              <w:rPr>
                <w:rFonts w:ascii="仿宋_GB2312" w:hAnsi="仿宋" w:eastAsia="仿宋_GB2312" w:cs="仿宋_GB2312"/>
                <w:sz w:val="24"/>
                <w:szCs w:val="24"/>
              </w:rPr>
            </w:pPr>
            <w:r>
              <w:rPr>
                <w:rFonts w:ascii="仿宋_GB2312" w:hAnsi="仿宋" w:eastAsia="仿宋_GB2312" w:cs="仿宋_GB2312"/>
                <w:sz w:val="24"/>
                <w:szCs w:val="24"/>
              </w:rPr>
              <w:t>5</w:t>
            </w:r>
          </w:p>
        </w:tc>
        <w:tc>
          <w:tcPr>
            <w:tcW w:w="1402" w:type="dxa"/>
            <w:vMerge w:val="restart"/>
            <w:shd w:val="clear" w:color="auto" w:fill="auto"/>
            <w:vAlign w:val="center"/>
          </w:tcPr>
          <w:p>
            <w:pPr>
              <w:widowControl/>
              <w:jc w:val="center"/>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竞赛观摩巡查系统</w:t>
            </w: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红外半球摄像机</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每个赛场需保证所有比赛机界面监控视频、音频全程无盲区全覆盖，并能清晰的监控到所有考生上半身。具备显示监控界面功能显示屏。网络摄像机要求摄像头像素</w:t>
            </w:r>
            <w:r>
              <w:rPr>
                <w:rFonts w:ascii="仿宋_GB2312" w:hAnsi="仿宋" w:eastAsia="仿宋_GB2312" w:cs="仿宋_GB2312"/>
                <w:sz w:val="24"/>
                <w:szCs w:val="24"/>
              </w:rPr>
              <w:t>400</w:t>
            </w:r>
            <w:r>
              <w:rPr>
                <w:rFonts w:hint="eastAsia" w:ascii="仿宋_GB2312" w:hAnsi="仿宋" w:eastAsia="仿宋_GB2312" w:cs="仿宋_GB2312"/>
                <w:sz w:val="24"/>
                <w:szCs w:val="24"/>
              </w:rPr>
              <w:t>万以上，水平视场角可达</w:t>
            </w:r>
            <w:r>
              <w:rPr>
                <w:rFonts w:ascii="仿宋_GB2312" w:hAnsi="仿宋" w:eastAsia="仿宋_GB2312" w:cs="仿宋_GB2312"/>
                <w:sz w:val="24"/>
                <w:szCs w:val="24"/>
              </w:rPr>
              <w:t>93</w:t>
            </w:r>
            <w:r>
              <w:rPr>
                <w:rFonts w:hint="eastAsia" w:ascii="仿宋_GB2312" w:hAnsi="仿宋" w:eastAsia="仿宋_GB2312" w:cs="仿宋_GB2312"/>
                <w:sz w:val="24"/>
                <w:szCs w:val="24"/>
              </w:rPr>
              <w:t>°，具有本地存储功能，红外照射距离</w:t>
            </w:r>
            <w:r>
              <w:rPr>
                <w:rFonts w:ascii="仿宋_GB2312" w:hAnsi="仿宋" w:eastAsia="仿宋_GB2312" w:cs="仿宋_GB2312"/>
                <w:sz w:val="24"/>
                <w:szCs w:val="24"/>
              </w:rPr>
              <w:t>30</w:t>
            </w:r>
            <w:r>
              <w:rPr>
                <w:rFonts w:hint="eastAsia" w:ascii="仿宋_GB2312" w:hAnsi="仿宋" w:eastAsia="仿宋_GB2312" w:cs="仿宋_GB2312"/>
                <w:sz w:val="24"/>
                <w:szCs w:val="24"/>
              </w:rPr>
              <w:t>米。配套拾音器，对考场音频做采集并留存，支持通过多媒体设备进行切换及开关控制。符合《公共安全视频监控联网系统信息传输、交换、控制技术要求》</w:t>
            </w:r>
            <w:r>
              <w:rPr>
                <w:rFonts w:ascii="仿宋_GB2312" w:hAnsi="仿宋" w:eastAsia="仿宋_GB2312" w:cs="仿宋_GB2312"/>
                <w:sz w:val="24"/>
                <w:szCs w:val="24"/>
              </w:rPr>
              <w:t>GB/T28181-2016</w:t>
            </w:r>
            <w:r>
              <w:rPr>
                <w:rFonts w:hint="eastAsia" w:ascii="仿宋_GB2312" w:hAnsi="仿宋" w:eastAsia="仿宋_GB2312" w:cs="仿宋_GB231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接入交换机</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ascii="仿宋_GB2312" w:hAnsi="仿宋" w:eastAsia="仿宋_GB2312" w:cs="仿宋_GB2312"/>
                <w:sz w:val="24"/>
                <w:szCs w:val="24"/>
              </w:rPr>
              <w:t>24</w:t>
            </w:r>
            <w:r>
              <w:rPr>
                <w:rFonts w:hint="eastAsia" w:ascii="仿宋_GB2312" w:hAnsi="仿宋" w:eastAsia="仿宋_GB2312" w:cs="仿宋_GB2312"/>
                <w:sz w:val="24"/>
                <w:szCs w:val="24"/>
              </w:rPr>
              <w:t>个</w:t>
            </w:r>
            <w:r>
              <w:rPr>
                <w:rFonts w:ascii="仿宋_GB2312" w:hAnsi="仿宋" w:eastAsia="仿宋_GB2312" w:cs="仿宋_GB2312"/>
                <w:sz w:val="24"/>
                <w:szCs w:val="24"/>
              </w:rPr>
              <w:t>10/100/1000Base-T</w:t>
            </w:r>
            <w:r>
              <w:rPr>
                <w:rFonts w:hint="eastAsia" w:ascii="仿宋_GB2312" w:hAnsi="仿宋" w:eastAsia="仿宋_GB2312" w:cs="仿宋_GB2312"/>
                <w:sz w:val="24"/>
                <w:szCs w:val="24"/>
              </w:rPr>
              <w:t>以太网端口</w:t>
            </w:r>
            <w:r>
              <w:rPr>
                <w:rFonts w:ascii="仿宋_GB2312" w:hAnsi="仿宋" w:eastAsia="仿宋_GB2312" w:cs="仿宋_GB2312"/>
                <w:sz w:val="24"/>
                <w:szCs w:val="24"/>
              </w:rPr>
              <w:t>,4</w:t>
            </w:r>
            <w:r>
              <w:rPr>
                <w:rFonts w:hint="eastAsia" w:ascii="仿宋_GB2312" w:hAnsi="仿宋" w:eastAsia="仿宋_GB2312" w:cs="仿宋_GB2312"/>
                <w:sz w:val="24"/>
                <w:szCs w:val="24"/>
              </w:rPr>
              <w:t>个千兆</w:t>
            </w:r>
            <w:r>
              <w:rPr>
                <w:rFonts w:ascii="仿宋_GB2312" w:hAnsi="仿宋" w:eastAsia="仿宋_GB2312" w:cs="仿宋_GB2312"/>
                <w:sz w:val="24"/>
                <w:szCs w:val="24"/>
              </w:rPr>
              <w:t>SFP,PoE+,370W POE</w:t>
            </w:r>
            <w:r>
              <w:rPr>
                <w:rFonts w:hint="eastAsia" w:ascii="仿宋_GB2312" w:hAnsi="仿宋" w:eastAsia="仿宋_GB2312" w:cs="仿宋_GB2312"/>
                <w:sz w:val="24"/>
                <w:szCs w:val="24"/>
              </w:rPr>
              <w:t>交流供电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网络硬盘录像机</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支持</w:t>
            </w:r>
            <w:r>
              <w:rPr>
                <w:rFonts w:ascii="仿宋_GB2312" w:hAnsi="仿宋" w:eastAsia="仿宋_GB2312" w:cs="仿宋_GB2312"/>
                <w:sz w:val="24"/>
                <w:szCs w:val="24"/>
              </w:rPr>
              <w:t>32</w:t>
            </w:r>
            <w:r>
              <w:rPr>
                <w:rFonts w:hint="eastAsia" w:ascii="仿宋_GB2312" w:hAnsi="仿宋" w:eastAsia="仿宋_GB2312" w:cs="仿宋_GB2312"/>
                <w:sz w:val="24"/>
                <w:szCs w:val="24"/>
              </w:rPr>
              <w:t>路网络视频输入；最大输入带宽为</w:t>
            </w:r>
            <w:r>
              <w:rPr>
                <w:rFonts w:ascii="仿宋_GB2312" w:hAnsi="仿宋" w:eastAsia="仿宋_GB2312" w:cs="仿宋_GB2312"/>
                <w:sz w:val="24"/>
                <w:szCs w:val="24"/>
              </w:rPr>
              <w:t>320Mbps</w:t>
            </w:r>
            <w:r>
              <w:rPr>
                <w:rFonts w:hint="eastAsia" w:ascii="仿宋_GB2312" w:hAnsi="仿宋" w:eastAsia="仿宋_GB2312" w:cs="仿宋_GB2312"/>
                <w:sz w:val="24"/>
                <w:szCs w:val="24"/>
              </w:rPr>
              <w:t>；支持接入视频</w:t>
            </w:r>
            <w:r>
              <w:rPr>
                <w:rFonts w:ascii="仿宋_GB2312" w:hAnsi="仿宋" w:eastAsia="仿宋_GB2312" w:cs="仿宋_GB2312"/>
                <w:sz w:val="24"/>
                <w:szCs w:val="24"/>
              </w:rPr>
              <w:t>1-36</w:t>
            </w:r>
            <w:r>
              <w:rPr>
                <w:rFonts w:hint="eastAsia" w:ascii="仿宋_GB2312" w:hAnsi="仿宋" w:eastAsia="仿宋_GB2312" w:cs="仿宋_GB2312"/>
                <w:sz w:val="24"/>
                <w:szCs w:val="24"/>
              </w:rPr>
              <w:t>多级别画面分割预览，最大支持</w:t>
            </w:r>
            <w:r>
              <w:rPr>
                <w:rFonts w:ascii="仿宋_GB2312" w:hAnsi="仿宋" w:eastAsia="仿宋_GB2312" w:cs="仿宋_GB2312"/>
                <w:sz w:val="24"/>
                <w:szCs w:val="24"/>
              </w:rPr>
              <w:t>32</w:t>
            </w:r>
            <w:r>
              <w:rPr>
                <w:rFonts w:hint="eastAsia" w:ascii="仿宋_GB2312" w:hAnsi="仿宋" w:eastAsia="仿宋_GB2312" w:cs="仿宋_GB2312"/>
                <w:sz w:val="24"/>
                <w:szCs w:val="24"/>
              </w:rPr>
              <w:t>路视频并发录像，录像分辨率支持</w:t>
            </w:r>
            <w:r>
              <w:rPr>
                <w:rFonts w:ascii="仿宋_GB2312" w:hAnsi="仿宋" w:eastAsia="仿宋_GB2312" w:cs="仿宋_GB2312"/>
                <w:sz w:val="24"/>
                <w:szCs w:val="24"/>
              </w:rPr>
              <w:t>4K</w:t>
            </w:r>
            <w:r>
              <w:rPr>
                <w:rFonts w:hint="eastAsia" w:ascii="仿宋_GB2312" w:hAnsi="仿宋" w:eastAsia="仿宋_GB2312" w:cs="仿宋_GB2312"/>
                <w:sz w:val="24"/>
                <w:szCs w:val="24"/>
              </w:rPr>
              <w:t>、</w:t>
            </w:r>
            <w:r>
              <w:rPr>
                <w:rFonts w:ascii="仿宋_GB2312" w:hAnsi="仿宋" w:eastAsia="仿宋_GB2312" w:cs="仿宋_GB2312"/>
                <w:sz w:val="24"/>
                <w:szCs w:val="24"/>
              </w:rPr>
              <w:t>1080p</w:t>
            </w:r>
            <w:r>
              <w:rPr>
                <w:rFonts w:hint="eastAsia" w:ascii="仿宋_GB2312" w:hAnsi="仿宋" w:eastAsia="仿宋_GB2312" w:cs="仿宋_GB2312"/>
                <w:sz w:val="24"/>
                <w:szCs w:val="24"/>
              </w:rPr>
              <w:t>、</w:t>
            </w:r>
            <w:r>
              <w:rPr>
                <w:rFonts w:ascii="仿宋_GB2312" w:hAnsi="仿宋" w:eastAsia="仿宋_GB2312" w:cs="仿宋_GB2312"/>
                <w:sz w:val="24"/>
                <w:szCs w:val="24"/>
              </w:rPr>
              <w:t>720p</w:t>
            </w:r>
            <w:r>
              <w:rPr>
                <w:rFonts w:hint="eastAsia" w:ascii="仿宋_GB2312" w:hAnsi="仿宋" w:eastAsia="仿宋_GB2312" w:cs="仿宋_GB2312"/>
                <w:sz w:val="24"/>
                <w:szCs w:val="24"/>
              </w:rPr>
              <w:t>及以下分辨率；最大支持</w:t>
            </w:r>
            <w:r>
              <w:rPr>
                <w:rFonts w:ascii="仿宋_GB2312" w:hAnsi="仿宋" w:eastAsia="仿宋_GB2312" w:cs="仿宋_GB2312"/>
                <w:sz w:val="24"/>
                <w:szCs w:val="24"/>
              </w:rPr>
              <w:t>4K</w:t>
            </w:r>
            <w:r>
              <w:rPr>
                <w:rFonts w:hint="eastAsia" w:ascii="仿宋_GB2312" w:hAnsi="仿宋" w:eastAsia="仿宋_GB2312" w:cs="仿宋_GB2312"/>
                <w:sz w:val="24"/>
                <w:szCs w:val="24"/>
              </w:rPr>
              <w:t>分辨率输出，支持录像回放，附带音频输出。符合《公共安全视频监控联网系统信息传输、交换、控制技术要求》</w:t>
            </w:r>
            <w:r>
              <w:rPr>
                <w:rFonts w:ascii="仿宋_GB2312" w:hAnsi="仿宋" w:eastAsia="仿宋_GB2312" w:cs="仿宋_GB2312"/>
                <w:sz w:val="24"/>
                <w:szCs w:val="24"/>
              </w:rPr>
              <w:t>GB/T28181-2016</w:t>
            </w:r>
            <w:r>
              <w:rPr>
                <w:rFonts w:hint="eastAsia" w:ascii="仿宋_GB2312" w:hAnsi="仿宋" w:eastAsia="仿宋_GB2312" w:cs="仿宋_GB2312"/>
                <w:sz w:val="24"/>
                <w:szCs w:val="24"/>
              </w:rPr>
              <w:t>。符合《国家教育考试网上巡查系统视频标准技术规范》</w:t>
            </w:r>
            <w:r>
              <w:rPr>
                <w:rFonts w:ascii="仿宋_GB2312" w:hAnsi="仿宋" w:eastAsia="仿宋_GB2312" w:cs="仿宋_GB2312"/>
                <w:sz w:val="24"/>
                <w:szCs w:val="24"/>
              </w:rPr>
              <w:t>JY/T-KS-JS-2017-1</w:t>
            </w:r>
            <w:r>
              <w:rPr>
                <w:rFonts w:hint="eastAsia" w:ascii="仿宋_GB2312" w:hAnsi="仿宋" w:eastAsia="仿宋_GB2312" w:cs="仿宋_GB231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766" w:type="dxa"/>
            <w:vMerge w:val="continue"/>
            <w:shd w:val="clear" w:color="auto" w:fill="auto"/>
            <w:vAlign w:val="center"/>
          </w:tcPr>
          <w:p>
            <w:pPr>
              <w:jc w:val="center"/>
              <w:rPr>
                <w:rFonts w:ascii="仿宋_GB2312" w:hAnsi="仿宋" w:eastAsia="仿宋_GB2312" w:cs="仿宋_GB2312"/>
                <w:sz w:val="24"/>
                <w:szCs w:val="24"/>
              </w:rPr>
            </w:pPr>
          </w:p>
        </w:tc>
        <w:tc>
          <w:tcPr>
            <w:tcW w:w="1402" w:type="dxa"/>
            <w:vMerge w:val="continue"/>
            <w:shd w:val="clear" w:color="auto" w:fill="auto"/>
            <w:vAlign w:val="center"/>
          </w:tcPr>
          <w:p>
            <w:pPr>
              <w:jc w:val="center"/>
              <w:rPr>
                <w:rFonts w:ascii="仿宋_GB2312" w:hAnsi="仿宋" w:eastAsia="仿宋_GB2312" w:cs="仿宋_GB2312"/>
                <w:sz w:val="24"/>
                <w:szCs w:val="24"/>
              </w:rPr>
            </w:pPr>
          </w:p>
        </w:tc>
        <w:tc>
          <w:tcPr>
            <w:tcW w:w="1565"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硬盘</w:t>
            </w:r>
          </w:p>
        </w:tc>
        <w:tc>
          <w:tcPr>
            <w:tcW w:w="4737" w:type="dxa"/>
            <w:shd w:val="clear" w:color="auto" w:fill="auto"/>
            <w:vAlign w:val="center"/>
          </w:tcPr>
          <w:p>
            <w:pPr>
              <w:widowControl/>
              <w:jc w:val="left"/>
              <w:textAlignment w:val="center"/>
              <w:rPr>
                <w:rFonts w:ascii="仿宋_GB2312" w:hAnsi="仿宋" w:eastAsia="仿宋_GB2312" w:cs="仿宋_GB2312"/>
                <w:sz w:val="24"/>
                <w:szCs w:val="24"/>
              </w:rPr>
            </w:pPr>
            <w:r>
              <w:rPr>
                <w:rFonts w:hint="eastAsia" w:ascii="仿宋_GB2312" w:hAnsi="仿宋" w:eastAsia="仿宋_GB2312" w:cs="仿宋_GB2312"/>
                <w:sz w:val="24"/>
                <w:szCs w:val="24"/>
              </w:rPr>
              <w:t>监控级硬盘，</w:t>
            </w:r>
            <w:r>
              <w:rPr>
                <w:rFonts w:ascii="仿宋_GB2312" w:hAnsi="仿宋" w:eastAsia="仿宋_GB2312" w:cs="仿宋_GB2312"/>
                <w:sz w:val="24"/>
                <w:szCs w:val="24"/>
              </w:rPr>
              <w:t>6TB/5900rpm/256MB/SATA3</w:t>
            </w:r>
            <w:r>
              <w:rPr>
                <w:rFonts w:hint="eastAsia" w:ascii="仿宋_GB2312" w:hAnsi="仿宋" w:eastAsia="仿宋_GB2312" w:cs="仿宋_GB2312"/>
                <w:sz w:val="24"/>
                <w:szCs w:val="24"/>
              </w:rPr>
              <w:t>，对考场监控视频做留存，并保障留存视频内显示考场全覆盖、无盲区，可进行任一考生的考场行为追溯。</w:t>
            </w:r>
          </w:p>
        </w:tc>
      </w:tr>
    </w:tbl>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十、成绩评定</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1.业票财税与机器人应用赛段分值分布</w:t>
      </w:r>
    </w:p>
    <w:p>
      <w:pPr>
        <w:spacing w:line="560" w:lineRule="exact"/>
        <w:ind w:firstLine="640" w:firstLineChars="200"/>
        <w:rPr>
          <w:rFonts w:hint="eastAsia" w:ascii="仿宋_GB2312" w:hAnsi="仿宋" w:eastAsia="仿宋_GB2312" w:cs="宋体"/>
          <w:bCs/>
          <w:kern w:val="0"/>
          <w:sz w:val="32"/>
          <w:szCs w:val="32"/>
        </w:rPr>
      </w:pPr>
      <w:r>
        <w:rPr>
          <w:rFonts w:hint="eastAsia" w:ascii="仿宋_GB2312" w:hAnsi="仿宋" w:eastAsia="仿宋_GB2312" w:cs="宋体"/>
          <w:bCs/>
          <w:kern w:val="0"/>
          <w:sz w:val="32"/>
          <w:szCs w:val="32"/>
        </w:rPr>
        <w:t>业票财税与机器人应用赛段分值分布，见表4。</w:t>
      </w:r>
    </w:p>
    <w:p>
      <w:pPr>
        <w:pStyle w:val="2"/>
        <w:rPr>
          <w:rFonts w:hint="eastAsia"/>
        </w:rPr>
      </w:pPr>
    </w:p>
    <w:p>
      <w:pPr>
        <w:spacing w:line="560" w:lineRule="exact"/>
        <w:jc w:val="center"/>
        <w:rPr>
          <w:rFonts w:ascii="仿宋_GB2312" w:hAnsi="仿宋" w:eastAsia="仿宋_GB2312" w:cs="宋体"/>
          <w:bCs/>
          <w:kern w:val="0"/>
          <w:sz w:val="32"/>
          <w:szCs w:val="32"/>
        </w:rPr>
      </w:pPr>
      <w:r>
        <w:rPr>
          <w:rFonts w:hint="eastAsia" w:ascii="仿宋_GB2312" w:hAnsi="仿宋" w:eastAsia="仿宋_GB2312" w:cs="宋体"/>
          <w:bCs/>
          <w:kern w:val="0"/>
          <w:sz w:val="32"/>
          <w:szCs w:val="32"/>
        </w:rPr>
        <w:t>表4</w:t>
      </w:r>
      <w:r>
        <w:rPr>
          <w:rFonts w:hint="eastAsia" w:ascii="仿宋_GB2312" w:hAnsi="仿宋" w:eastAsia="仿宋_GB2312" w:cs="宋体"/>
          <w:bCs/>
          <w:kern w:val="0"/>
          <w:sz w:val="32"/>
          <w:szCs w:val="32"/>
          <w:lang w:val="en-US" w:eastAsia="zh-CN"/>
        </w:rPr>
        <w:t xml:space="preserve">  </w:t>
      </w:r>
      <w:r>
        <w:rPr>
          <w:rFonts w:hint="eastAsia" w:ascii="仿宋_GB2312" w:hAnsi="仿宋" w:eastAsia="仿宋_GB2312" w:cs="宋体"/>
          <w:bCs/>
          <w:kern w:val="0"/>
          <w:sz w:val="32"/>
          <w:szCs w:val="32"/>
        </w:rPr>
        <w:t>业票财税与机器人应用岗位任务分值分布表</w:t>
      </w:r>
    </w:p>
    <w:tbl>
      <w:tblPr>
        <w:tblStyle w:val="12"/>
        <w:tblW w:w="8686"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7073"/>
        <w:gridCol w:w="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Borders>
              <w:tl2br w:val="nil"/>
              <w:tr2bl w:val="nil"/>
            </w:tcBorders>
            <w:shd w:val="clear" w:color="auto" w:fill="E7E6E6"/>
            <w:vAlign w:val="center"/>
          </w:tcPr>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竞赛</w:t>
            </w:r>
          </w:p>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岗位</w:t>
            </w:r>
          </w:p>
        </w:tc>
        <w:tc>
          <w:tcPr>
            <w:tcW w:w="7073" w:type="dxa"/>
            <w:tcBorders>
              <w:tl2br w:val="nil"/>
              <w:tr2bl w:val="nil"/>
            </w:tcBorders>
            <w:shd w:val="clear" w:color="auto" w:fill="E7E6E6"/>
            <w:vAlign w:val="center"/>
          </w:tcPr>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宋体" w:eastAsia="仿宋_GB2312" w:cs="宋体"/>
                <w:color w:val="0D0D0D"/>
                <w:kern w:val="0"/>
                <w:sz w:val="24"/>
                <w:szCs w:val="24"/>
              </w:rPr>
              <w:t>评分内容</w:t>
            </w:r>
          </w:p>
        </w:tc>
        <w:tc>
          <w:tcPr>
            <w:tcW w:w="645" w:type="dxa"/>
            <w:tcBorders>
              <w:tl2br w:val="nil"/>
              <w:tr2bl w:val="nil"/>
            </w:tcBorders>
            <w:shd w:val="clear" w:color="auto" w:fill="E7E6E6"/>
            <w:vAlign w:val="center"/>
          </w:tcPr>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分 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restart"/>
            <w:tcBorders>
              <w:tl2br w:val="nil"/>
              <w:tr2bl w:val="nil"/>
            </w:tcBorders>
            <w:vAlign w:val="bottom"/>
          </w:tcPr>
          <w:p>
            <w:pPr>
              <w:spacing w:line="400" w:lineRule="exact"/>
              <w:jc w:val="center"/>
              <w:rPr>
                <w:rFonts w:ascii="仿宋_GB2312" w:hAnsi="等线" w:eastAsia="仿宋_GB2312"/>
                <w:color w:val="0D0D0D"/>
                <w:kern w:val="0"/>
                <w:sz w:val="24"/>
                <w:szCs w:val="24"/>
              </w:rPr>
            </w:pPr>
          </w:p>
          <w:p>
            <w:pPr>
              <w:spacing w:line="400" w:lineRule="exact"/>
              <w:jc w:val="center"/>
              <w:rPr>
                <w:rFonts w:ascii="仿宋_GB2312" w:hAnsi="等线" w:eastAsia="仿宋_GB2312"/>
                <w:color w:val="0D0D0D"/>
                <w:kern w:val="0"/>
                <w:sz w:val="24"/>
                <w:szCs w:val="24"/>
              </w:rPr>
            </w:pPr>
          </w:p>
          <w:p>
            <w:pPr>
              <w:spacing w:line="400" w:lineRule="exact"/>
              <w:jc w:val="center"/>
              <w:rPr>
                <w:rFonts w:ascii="仿宋_GB2312" w:hAnsi="等线" w:eastAsia="仿宋_GB2312"/>
                <w:color w:val="0D0D0D"/>
                <w:kern w:val="0"/>
                <w:sz w:val="24"/>
                <w:szCs w:val="24"/>
              </w:rPr>
            </w:pPr>
          </w:p>
          <w:p>
            <w:pPr>
              <w:spacing w:line="400" w:lineRule="exact"/>
              <w:jc w:val="center"/>
              <w:rPr>
                <w:rFonts w:ascii="仿宋_GB2312" w:hAnsi="等线" w:eastAsia="仿宋_GB2312"/>
                <w:color w:val="0D0D0D"/>
                <w:kern w:val="0"/>
                <w:sz w:val="24"/>
                <w:szCs w:val="24"/>
              </w:rPr>
            </w:pPr>
          </w:p>
          <w:p>
            <w:pPr>
              <w:spacing w:line="400" w:lineRule="exact"/>
              <w:jc w:val="center"/>
              <w:rPr>
                <w:rFonts w:ascii="仿宋_GB2312" w:hAnsi="等线" w:eastAsia="仿宋_GB2312"/>
                <w:color w:val="0D0D0D"/>
                <w:kern w:val="0"/>
                <w:sz w:val="24"/>
                <w:szCs w:val="24"/>
              </w:rPr>
            </w:pPr>
          </w:p>
          <w:p>
            <w:pPr>
              <w:spacing w:line="400" w:lineRule="exact"/>
              <w:jc w:val="center"/>
              <w:rPr>
                <w:rFonts w:ascii="仿宋_GB2312" w:hAnsi="等线" w:eastAsia="仿宋_GB2312"/>
                <w:color w:val="0D0D0D"/>
                <w:kern w:val="0"/>
                <w:sz w:val="24"/>
                <w:szCs w:val="24"/>
              </w:rPr>
            </w:pPr>
          </w:p>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财税主管岗位</w:t>
            </w:r>
          </w:p>
          <w:p>
            <w:pPr>
              <w:widowControl/>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1.系统设置</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进行会计核算系统设置、开票信息设置、辅助核算设置等</w:t>
            </w:r>
          </w:p>
          <w:p>
            <w:pPr>
              <w:spacing w:line="400" w:lineRule="exact"/>
              <w:ind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在商旅系统中，根据企业内部制度要求进行差旅费标准设置，其中包括地区级别、交通工具、补贴标准、报销标准等</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2</w:t>
            </w:r>
            <w:r>
              <w:rPr>
                <w:rFonts w:hint="eastAsia" w:ascii="仿宋_GB2312" w:hAnsi="等线" w:eastAsia="仿宋_GB2312"/>
                <w:color w:val="0D0D0D"/>
                <w:kern w:val="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Borders>
              <w:tl2br w:val="nil"/>
              <w:tr2bl w:val="nil"/>
            </w:tcBorders>
            <w:vAlign w:val="center"/>
          </w:tcPr>
          <w:p>
            <w:pPr>
              <w:widowControl/>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ascii="仿宋_GB2312" w:hAnsi="等线" w:eastAsia="仿宋_GB2312"/>
                <w:color w:val="0D0D0D"/>
                <w:kern w:val="0"/>
                <w:sz w:val="24"/>
                <w:szCs w:val="24"/>
              </w:rPr>
              <w:t>2.</w:t>
            </w:r>
            <w:r>
              <w:rPr>
                <w:rFonts w:hint="eastAsia" w:ascii="仿宋_GB2312" w:hAnsi="等线" w:eastAsia="仿宋_GB2312"/>
                <w:color w:val="0D0D0D"/>
                <w:kern w:val="0"/>
                <w:sz w:val="24"/>
                <w:szCs w:val="24"/>
              </w:rPr>
              <w:t>成本核算</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审核、归集并分配人工费用、制造费用，填写工费清单，生成记账凭证</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进行成本月结</w:t>
            </w:r>
          </w:p>
          <w:p>
            <w:pPr>
              <w:spacing w:line="400" w:lineRule="exact"/>
              <w:ind w:firstLine="240" w:firstLineChars="100"/>
              <w:rPr>
                <w:rFonts w:ascii="仿宋_GB2312" w:hAnsi="等线" w:eastAsia="仿宋_GB2312"/>
                <w:color w:val="0D0D0D"/>
                <w:kern w:val="0"/>
                <w:sz w:val="24"/>
                <w:szCs w:val="24"/>
              </w:rPr>
            </w:pP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Borders>
              <w:tl2br w:val="nil"/>
              <w:tr2bl w:val="nil"/>
            </w:tcBorders>
            <w:vAlign w:val="center"/>
          </w:tcPr>
          <w:p>
            <w:pPr>
              <w:widowControl/>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3</w:t>
            </w:r>
            <w:r>
              <w:rPr>
                <w:rFonts w:ascii="仿宋_GB2312" w:hAnsi="等线" w:eastAsia="仿宋_GB2312"/>
                <w:color w:val="0D0D0D"/>
                <w:kern w:val="0"/>
                <w:sz w:val="24"/>
                <w:szCs w:val="24"/>
              </w:rPr>
              <w:t>.</w:t>
            </w:r>
            <w:r>
              <w:rPr>
                <w:rFonts w:hint="eastAsia" w:ascii="仿宋_GB2312" w:hAnsi="等线" w:eastAsia="仿宋_GB2312"/>
                <w:color w:val="0D0D0D"/>
                <w:kern w:val="0"/>
                <w:sz w:val="24"/>
                <w:szCs w:val="24"/>
              </w:rPr>
              <w:t>审核业务</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对生成的记账凭证进行审核</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对会计报表进行审核</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对纳税申报表进行审核</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restart"/>
            <w:tcBorders>
              <w:tl2br w:val="nil"/>
              <w:tr2bl w:val="nil"/>
            </w:tcBorders>
            <w:vAlign w:val="center"/>
          </w:tcPr>
          <w:p>
            <w:pPr>
              <w:widowControl/>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业务财务岗位</w:t>
            </w: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1</w:t>
            </w:r>
            <w:r>
              <w:rPr>
                <w:rFonts w:ascii="仿宋_GB2312" w:hAnsi="等线" w:eastAsia="仿宋_GB2312"/>
                <w:color w:val="0D0D0D"/>
                <w:kern w:val="0"/>
                <w:sz w:val="24"/>
                <w:szCs w:val="24"/>
              </w:rPr>
              <w:t>.</w:t>
            </w:r>
            <w:r>
              <w:rPr>
                <w:rFonts w:hint="eastAsia" w:ascii="仿宋_GB2312" w:hAnsi="等线" w:eastAsia="仿宋_GB2312"/>
                <w:color w:val="0D0D0D"/>
                <w:kern w:val="0"/>
                <w:sz w:val="24"/>
                <w:szCs w:val="24"/>
              </w:rPr>
              <w:t>票据采集</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不同业务的进销项发票、费用类票据、银行回单等电子票据或电子影像进行采集</w:t>
            </w:r>
          </w:p>
          <w:p>
            <w:pPr>
              <w:spacing w:line="400" w:lineRule="exact"/>
              <w:ind w:firstLine="240" w:firstLineChars="100"/>
              <w:rPr>
                <w:rFonts w:ascii="仿宋_GB2312" w:hAnsi="等线" w:eastAsia="仿宋_GB2312"/>
                <w:color w:val="0D0D0D"/>
                <w:kern w:val="0"/>
                <w:sz w:val="24"/>
                <w:szCs w:val="24"/>
              </w:rPr>
            </w:pPr>
            <w:r>
              <w:rPr>
                <w:rFonts w:ascii="仿宋_GB2312" w:hAnsi="等线" w:eastAsia="仿宋_GB2312"/>
                <w:color w:val="0D0D0D"/>
                <w:kern w:val="0"/>
                <w:sz w:val="24"/>
                <w:szCs w:val="24"/>
              </w:rPr>
              <w:t>2.</w:t>
            </w:r>
            <w:r>
              <w:rPr>
                <w:rFonts w:hint="eastAsia" w:ascii="仿宋_GB2312" w:hAnsi="等线" w:eastAsia="仿宋_GB2312"/>
                <w:color w:val="0D0D0D"/>
                <w:kern w:val="0"/>
                <w:sz w:val="24"/>
                <w:szCs w:val="24"/>
              </w:rPr>
              <w:t>票据识别与查验</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使用票据管理系统对票据电子影像进行OCR识别和查验，人工核查确认识别的正确性；检查各种电子发票；系统自动分类后人工对分类有误的票据进行分类调整</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3</w:t>
            </w:r>
            <w:r>
              <w:rPr>
                <w:rFonts w:ascii="仿宋_GB2312" w:hAnsi="等线" w:eastAsia="仿宋_GB2312"/>
                <w:color w:val="0D0D0D"/>
                <w:kern w:val="0"/>
                <w:sz w:val="24"/>
                <w:szCs w:val="24"/>
              </w:rPr>
              <w:t>.</w:t>
            </w:r>
            <w:r>
              <w:rPr>
                <w:rFonts w:hint="eastAsia" w:ascii="仿宋_GB2312" w:hAnsi="等线" w:eastAsia="仿宋_GB2312"/>
                <w:color w:val="0D0D0D"/>
                <w:kern w:val="0"/>
                <w:sz w:val="24"/>
                <w:szCs w:val="24"/>
              </w:rPr>
              <w:t>票据审核</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对各类票据与业务的吻合性、票据内容的正确性及合法性合规性进行审核</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Borders>
              <w:tl2br w:val="nil"/>
              <w:tr2bl w:val="nil"/>
            </w:tcBorders>
            <w:vAlign w:val="center"/>
          </w:tcPr>
          <w:p>
            <w:pPr>
              <w:widowControl/>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snapToGrid w:val="0"/>
              <w:spacing w:line="400" w:lineRule="exact"/>
              <w:ind w:firstLine="240" w:firstLineChars="100"/>
              <w:rPr>
                <w:rFonts w:ascii="仿宋_GB2312" w:hAnsi="等线" w:eastAsia="仿宋_GB2312"/>
                <w:color w:val="0D0D0D"/>
                <w:kern w:val="0"/>
                <w:sz w:val="24"/>
                <w:szCs w:val="24"/>
              </w:rPr>
            </w:pPr>
            <w:r>
              <w:rPr>
                <w:rFonts w:ascii="仿宋_GB2312" w:hAnsi="等线" w:eastAsia="仿宋_GB2312"/>
                <w:color w:val="0D0D0D"/>
                <w:kern w:val="0"/>
                <w:sz w:val="24"/>
                <w:szCs w:val="24"/>
              </w:rPr>
              <w:t>4.</w:t>
            </w:r>
            <w:r>
              <w:rPr>
                <w:rFonts w:hint="eastAsia" w:ascii="仿宋_GB2312" w:hAnsi="等线" w:eastAsia="仿宋_GB2312"/>
                <w:color w:val="0D0D0D"/>
                <w:kern w:val="0"/>
                <w:sz w:val="24"/>
                <w:szCs w:val="24"/>
              </w:rPr>
              <w:t>存货模块设置</w:t>
            </w:r>
          </w:p>
          <w:p>
            <w:pPr>
              <w:snapToGrid w:val="0"/>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进行仓库、库存、科目期初、产品定额消耗、月初在产品及其它个性化设置</w:t>
            </w:r>
          </w:p>
          <w:p>
            <w:pPr>
              <w:snapToGrid w:val="0"/>
              <w:spacing w:line="400" w:lineRule="exact"/>
              <w:ind w:firstLine="240" w:firstLineChars="100"/>
              <w:rPr>
                <w:rFonts w:ascii="仿宋_GB2312" w:hAnsi="等线" w:eastAsia="仿宋_GB2312"/>
                <w:color w:val="0D0D0D"/>
                <w:kern w:val="0"/>
                <w:sz w:val="24"/>
                <w:szCs w:val="24"/>
              </w:rPr>
            </w:pPr>
            <w:r>
              <w:rPr>
                <w:rFonts w:ascii="仿宋_GB2312" w:hAnsi="等线" w:eastAsia="仿宋_GB2312"/>
                <w:color w:val="0D0D0D"/>
                <w:kern w:val="0"/>
                <w:sz w:val="24"/>
                <w:szCs w:val="24"/>
              </w:rPr>
              <w:t>5.</w:t>
            </w:r>
            <w:r>
              <w:rPr>
                <w:rFonts w:hint="eastAsia" w:ascii="仿宋_GB2312" w:hAnsi="等线" w:eastAsia="仿宋_GB2312"/>
                <w:color w:val="0D0D0D"/>
                <w:kern w:val="0"/>
                <w:sz w:val="24"/>
                <w:szCs w:val="24"/>
              </w:rPr>
              <w:t>采购与付款业务处理</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根据采购订单生成并审核采购发票，生成并审核采购入库单及验收单，生成并审核付款单，发起采购结算，生成并审核付款核销单，自动生成记账凭证</w:t>
            </w:r>
          </w:p>
          <w:p>
            <w:pPr>
              <w:snapToGrid w:val="0"/>
              <w:spacing w:line="400" w:lineRule="exact"/>
              <w:ind w:firstLine="240" w:firstLineChars="100"/>
              <w:rPr>
                <w:rFonts w:ascii="仿宋_GB2312" w:hAnsi="等线" w:eastAsia="仿宋_GB2312"/>
                <w:color w:val="0D0D0D"/>
                <w:kern w:val="0"/>
                <w:sz w:val="24"/>
                <w:szCs w:val="24"/>
              </w:rPr>
            </w:pPr>
            <w:r>
              <w:rPr>
                <w:rFonts w:ascii="仿宋_GB2312" w:hAnsi="等线" w:eastAsia="仿宋_GB2312"/>
                <w:color w:val="0D0D0D"/>
                <w:kern w:val="0"/>
                <w:sz w:val="24"/>
                <w:szCs w:val="24"/>
              </w:rPr>
              <w:t>6.</w:t>
            </w:r>
            <w:r>
              <w:rPr>
                <w:rFonts w:hint="eastAsia" w:ascii="仿宋_GB2312" w:hAnsi="等线" w:eastAsia="仿宋_GB2312"/>
                <w:color w:val="0D0D0D"/>
                <w:kern w:val="0"/>
                <w:sz w:val="24"/>
                <w:szCs w:val="24"/>
              </w:rPr>
              <w:t>销售与收款业务处理</w:t>
            </w:r>
          </w:p>
          <w:p>
            <w:pPr>
              <w:snapToGrid w:val="0"/>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根据销售订单生成并审核销售出库单，开具增值税发票，生成并审核收款单，生成并审核收款核销单，自动生成记账凭证</w:t>
            </w:r>
          </w:p>
          <w:p>
            <w:pPr>
              <w:snapToGrid w:val="0"/>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7</w:t>
            </w:r>
            <w:r>
              <w:rPr>
                <w:rFonts w:ascii="仿宋_GB2312" w:hAnsi="等线" w:eastAsia="仿宋_GB2312"/>
                <w:color w:val="0D0D0D"/>
                <w:kern w:val="0"/>
                <w:sz w:val="24"/>
                <w:szCs w:val="24"/>
              </w:rPr>
              <w:t>.</w:t>
            </w:r>
            <w:r>
              <w:rPr>
                <w:rFonts w:hint="eastAsia" w:ascii="仿宋_GB2312" w:hAnsi="等线" w:eastAsia="仿宋_GB2312"/>
                <w:color w:val="0D0D0D"/>
                <w:kern w:val="0"/>
                <w:sz w:val="24"/>
                <w:szCs w:val="24"/>
              </w:rPr>
              <w:t>成本核算</w:t>
            </w:r>
          </w:p>
          <w:p>
            <w:pPr>
              <w:snapToGrid w:val="0"/>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根据企业产品成本核算制度和企业生产业务要求，设置材料分配比例，进行材料分配，核算材料成本。</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6</w:t>
            </w:r>
            <w:r>
              <w:rPr>
                <w:rFonts w:ascii="仿宋_GB2312" w:hAnsi="等线" w:eastAsia="仿宋_GB2312"/>
                <w:color w:val="0D0D0D"/>
                <w:kern w:val="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Borders>
              <w:tl2br w:val="nil"/>
              <w:tr2bl w:val="nil"/>
            </w:tcBorders>
            <w:vAlign w:val="center"/>
          </w:tcPr>
          <w:p>
            <w:pPr>
              <w:widowControl/>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ascii="仿宋_GB2312" w:hAnsi="等线" w:eastAsia="仿宋_GB2312"/>
                <w:color w:val="0D0D0D"/>
                <w:sz w:val="24"/>
                <w:szCs w:val="24"/>
              </w:rPr>
              <w:t>8.</w:t>
            </w:r>
            <w:r>
              <w:rPr>
                <w:rFonts w:hint="eastAsia" w:ascii="仿宋_GB2312" w:hAnsi="等线" w:eastAsia="仿宋_GB2312"/>
                <w:color w:val="0D0D0D"/>
                <w:sz w:val="24"/>
                <w:szCs w:val="24"/>
              </w:rPr>
              <w:t>商旅与费控</w:t>
            </w:r>
          </w:p>
          <w:p>
            <w:pPr>
              <w:pStyle w:val="5"/>
              <w:adjustRightInd w:val="0"/>
              <w:snapToGrid w:val="0"/>
              <w:spacing w:after="0" w:line="400" w:lineRule="exact"/>
              <w:ind w:left="1"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依据企业的实际需求，提供预定机票、酒店费等商旅服务及费用控制</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根据企业报销制度和流程，处理员工报销业务，包括借款、还款、报销冲借款等业务，进行借款报销的账务处理</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2</w:t>
            </w:r>
            <w:r>
              <w:rPr>
                <w:rFonts w:hint="eastAsia" w:ascii="仿宋_GB2312" w:hAnsi="等线" w:eastAsia="仿宋_GB2312"/>
                <w:color w:val="0D0D0D"/>
                <w:kern w:val="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968" w:type="dxa"/>
            <w:vMerge w:val="restart"/>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财务会计岗位</w:t>
            </w: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1</w:t>
            </w:r>
            <w:r>
              <w:rPr>
                <w:rFonts w:ascii="仿宋_GB2312" w:hAnsi="等线" w:eastAsia="仿宋_GB2312"/>
                <w:color w:val="0D0D0D"/>
                <w:kern w:val="0"/>
                <w:sz w:val="24"/>
                <w:szCs w:val="24"/>
              </w:rPr>
              <w:t>.</w:t>
            </w:r>
            <w:r>
              <w:rPr>
                <w:rFonts w:hint="eastAsia" w:ascii="仿宋_GB2312" w:hAnsi="等线" w:eastAsia="仿宋_GB2312"/>
                <w:color w:val="0D0D0D"/>
                <w:kern w:val="0"/>
                <w:sz w:val="24"/>
                <w:szCs w:val="24"/>
              </w:rPr>
              <w:t>票据制单与审核</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检查由票据管理系统开具销售发票后自动生成的记账凭证</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在会计核算系统中，利用记账通用规则，对通过审核的单张单据自动匹配业务类型并自动生成记账凭证，并将该笔业务已采集的相关票据关联至凭证</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在会计核算系统中，采用批量制单自动生成记账凭证</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对会计核算系统自动生成的记账凭证进行检查，如有错误进行人工调整，并将已采集的相关票据关联至凭证</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对有辅助核算项的凭证进行增、删、改、查等操作</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进行RPA记账流程设计并运用RPA记账机器人生成记账凭证</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5</w:t>
            </w:r>
            <w:r>
              <w:rPr>
                <w:rFonts w:hint="eastAsia" w:ascii="仿宋_GB2312" w:hAnsi="等线" w:eastAsia="仿宋_GB2312"/>
                <w:color w:val="0D0D0D"/>
                <w:kern w:val="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968" w:type="dxa"/>
            <w:vMerge w:val="continue"/>
            <w:tcBorders>
              <w:tl2br w:val="nil"/>
              <w:tr2bl w:val="nil"/>
            </w:tcBorders>
            <w:vAlign w:val="center"/>
          </w:tcPr>
          <w:p>
            <w:pPr>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snapToGrid w:val="0"/>
              <w:spacing w:line="400" w:lineRule="exact"/>
              <w:ind w:firstLine="240" w:firstLineChars="100"/>
              <w:rPr>
                <w:rFonts w:ascii="仿宋_GB2312" w:hAnsi="等线" w:eastAsia="仿宋_GB2312"/>
                <w:color w:val="0D0D0D"/>
                <w:kern w:val="0"/>
                <w:sz w:val="24"/>
                <w:szCs w:val="24"/>
              </w:rPr>
            </w:pPr>
            <w:r>
              <w:rPr>
                <w:rFonts w:ascii="仿宋_GB2312" w:hAnsi="等线" w:eastAsia="仿宋_GB2312"/>
                <w:color w:val="0D0D0D"/>
                <w:kern w:val="0"/>
                <w:sz w:val="24"/>
                <w:szCs w:val="24"/>
              </w:rPr>
              <w:t>2.</w:t>
            </w:r>
            <w:r>
              <w:rPr>
                <w:rFonts w:hint="eastAsia" w:ascii="仿宋_GB2312" w:hAnsi="等线" w:eastAsia="仿宋_GB2312"/>
                <w:color w:val="0D0D0D"/>
                <w:kern w:val="0"/>
                <w:sz w:val="24"/>
                <w:szCs w:val="24"/>
              </w:rPr>
              <w:t>固定资产核算</w:t>
            </w:r>
          </w:p>
          <w:p>
            <w:pPr>
              <w:snapToGrid w:val="0"/>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进行基础设置包括期初资产卡片设置、科目设置等</w:t>
            </w:r>
          </w:p>
          <w:p>
            <w:pPr>
              <w:snapToGrid w:val="0"/>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运用会计核算系统，完成固定资产卡片的增、删、改等操作，完成自动生成记账凭证操作。按期间按类别进行折旧计算并自动生成记账凭证</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进行固定资产折旧的计算并自动生成记账凭证</w:t>
            </w:r>
          </w:p>
          <w:p>
            <w:pPr>
              <w:snapToGrid w:val="0"/>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完成固定资产清理业务处理</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68" w:type="dxa"/>
            <w:vMerge w:val="continue"/>
            <w:tcBorders>
              <w:tl2br w:val="nil"/>
              <w:tr2bl w:val="nil"/>
            </w:tcBorders>
            <w:vAlign w:val="center"/>
          </w:tcPr>
          <w:p>
            <w:pPr>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3.职工薪酬和个人所得税业务处理</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基础设置：包括工资、社保金、住房公积金、个人所得税等设置</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运用会计核算系统，进行人员、工资项目的增、删、改操作，计算职工薪酬、社保与住房公积金、个人所得税等</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检查与修改个人所得税专项扣除与专项附加扣除，以及个人所得税申报等</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社保与住房公积金批量调整，导出薪酬汇总表及按公司、部门、员工导出薪酬台账</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运用会计核算系统，自动生成计提工资、社保及住房公积金、代扣个人所得税等记账凭证</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68" w:type="dxa"/>
            <w:vMerge w:val="continue"/>
            <w:tcBorders>
              <w:tl2br w:val="nil"/>
              <w:tr2bl w:val="nil"/>
            </w:tcBorders>
            <w:vAlign w:val="center"/>
          </w:tcPr>
          <w:p>
            <w:pPr>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pStyle w:val="5"/>
              <w:spacing w:after="0" w:line="400" w:lineRule="exact"/>
              <w:ind w:left="0" w:leftChars="0" w:firstLine="240" w:firstLineChars="100"/>
              <w:rPr>
                <w:rFonts w:ascii="仿宋_GB2312" w:eastAsia="仿宋_GB2312"/>
                <w:color w:val="0D0D0D"/>
                <w:sz w:val="24"/>
                <w:szCs w:val="24"/>
              </w:rPr>
            </w:pPr>
            <w:r>
              <w:rPr>
                <w:rFonts w:ascii="仿宋_GB2312" w:eastAsia="仿宋_GB2312"/>
                <w:color w:val="0D0D0D"/>
                <w:sz w:val="24"/>
                <w:szCs w:val="24"/>
              </w:rPr>
              <w:t>4.</w:t>
            </w:r>
            <w:r>
              <w:rPr>
                <w:rFonts w:hint="eastAsia" w:ascii="仿宋_GB2312" w:eastAsia="仿宋_GB2312"/>
                <w:color w:val="0D0D0D"/>
                <w:sz w:val="24"/>
                <w:szCs w:val="24"/>
              </w:rPr>
              <w:t>期末会计事项处理</w:t>
            </w:r>
          </w:p>
          <w:p>
            <w:pPr>
              <w:pStyle w:val="5"/>
              <w:spacing w:after="0" w:line="400" w:lineRule="exact"/>
              <w:ind w:left="0" w:leftChars="0" w:firstLine="240" w:firstLineChars="100"/>
              <w:rPr>
                <w:rFonts w:ascii="仿宋_GB2312" w:eastAsia="仿宋_GB2312"/>
                <w:color w:val="0D0D0D"/>
                <w:sz w:val="24"/>
                <w:szCs w:val="24"/>
              </w:rPr>
            </w:pPr>
            <w:r>
              <w:rPr>
                <w:rFonts w:hint="eastAsia" w:ascii="仿宋_GB2312" w:eastAsia="仿宋_GB2312"/>
                <w:color w:val="0D0D0D"/>
                <w:sz w:val="24"/>
                <w:szCs w:val="24"/>
              </w:rPr>
              <w:t>月末结转，结转未交增值税、计提各项税金及附加、结转销售成本、损益结转、结转本年利润等</w:t>
            </w:r>
          </w:p>
          <w:p>
            <w:pPr>
              <w:pStyle w:val="5"/>
              <w:spacing w:after="0" w:line="400" w:lineRule="exact"/>
              <w:ind w:left="0" w:leftChars="0" w:firstLine="240" w:firstLineChars="100"/>
              <w:rPr>
                <w:rFonts w:ascii="仿宋_GB2312" w:eastAsia="仿宋_GB2312"/>
                <w:color w:val="0D0D0D"/>
                <w:sz w:val="24"/>
                <w:szCs w:val="24"/>
              </w:rPr>
            </w:pPr>
            <w:r>
              <w:rPr>
                <w:rFonts w:hint="eastAsia" w:ascii="仿宋_GB2312" w:eastAsia="仿宋_GB2312"/>
                <w:color w:val="0D0D0D"/>
                <w:sz w:val="24"/>
                <w:szCs w:val="24"/>
              </w:rPr>
              <w:t>财务报表编制，生成资产负债表、利润表、现金流量表并审核</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restart"/>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税务会计岗位</w:t>
            </w: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1</w:t>
            </w:r>
            <w:r>
              <w:rPr>
                <w:rFonts w:ascii="仿宋_GB2312" w:hAnsi="等线" w:eastAsia="仿宋_GB2312"/>
                <w:color w:val="0D0D0D"/>
                <w:kern w:val="0"/>
                <w:sz w:val="24"/>
                <w:szCs w:val="24"/>
              </w:rPr>
              <w:t>.</w:t>
            </w:r>
            <w:r>
              <w:rPr>
                <w:rFonts w:hint="eastAsia" w:ascii="仿宋_GB2312" w:hAnsi="等线" w:eastAsia="仿宋_GB2312"/>
                <w:color w:val="0D0D0D"/>
                <w:kern w:val="0"/>
                <w:sz w:val="24"/>
                <w:szCs w:val="24"/>
              </w:rPr>
              <w:t>发票业务</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领用发票、添加商品服务档案、完善客户信息管理等基础准备工作</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在票据系统中为企业开具增值税普通发票、增值税专用发票，开具红字发票</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进行RPA开票流程设计并运用RPA开票机器人进行电子发票的开具</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3</w:t>
            </w:r>
            <w:r>
              <w:rPr>
                <w:rFonts w:hint="eastAsia" w:ascii="仿宋_GB2312" w:hAnsi="等线" w:eastAsia="仿宋_GB2312"/>
                <w:color w:val="0D0D0D"/>
                <w:kern w:val="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Borders>
              <w:tl2br w:val="nil"/>
              <w:tr2bl w:val="nil"/>
            </w:tcBorders>
            <w:vAlign w:val="center"/>
          </w:tcPr>
          <w:p>
            <w:pPr>
              <w:spacing w:line="400" w:lineRule="exact"/>
              <w:jc w:val="center"/>
              <w:rPr>
                <w:rFonts w:ascii="仿宋_GB2312" w:hAnsi="等线" w:eastAsia="仿宋_GB2312"/>
                <w:color w:val="0D0D0D"/>
                <w:kern w:val="0"/>
                <w:sz w:val="24"/>
                <w:szCs w:val="24"/>
              </w:rPr>
            </w:pPr>
          </w:p>
        </w:tc>
        <w:tc>
          <w:tcPr>
            <w:tcW w:w="7073" w:type="dxa"/>
            <w:tcBorders>
              <w:tl2br w:val="nil"/>
              <w:tr2bl w:val="nil"/>
            </w:tcBorders>
          </w:tcPr>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2</w:t>
            </w:r>
            <w:r>
              <w:rPr>
                <w:rFonts w:ascii="仿宋_GB2312" w:hAnsi="等线" w:eastAsia="仿宋_GB2312"/>
                <w:color w:val="0D0D0D"/>
                <w:kern w:val="0"/>
                <w:sz w:val="24"/>
                <w:szCs w:val="24"/>
              </w:rPr>
              <w:t>.</w:t>
            </w:r>
            <w:r>
              <w:rPr>
                <w:rFonts w:hint="eastAsia" w:ascii="仿宋_GB2312" w:hAnsi="等线" w:eastAsia="仿宋_GB2312"/>
                <w:color w:val="0D0D0D"/>
                <w:kern w:val="0"/>
                <w:sz w:val="24"/>
                <w:szCs w:val="24"/>
              </w:rPr>
              <w:t>纳税申报</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利用工资模块进行个人所得税专项扣除与专项附加扣除的检查与修改，进行个人所得税申报的检查与修改</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对自动生成的一般纳税人和小规模纳税人的增值税纳税申报表、附加税费申报表、企业所得税（季报）申报表、房产税、财务报表等纳税申报主表与附表内容进行检查与修改</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进行当月纳税申报</w:t>
            </w:r>
          </w:p>
          <w:p>
            <w:pPr>
              <w:spacing w:line="400" w:lineRule="exact"/>
              <w:ind w:firstLine="240" w:firstLineChars="100"/>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进行RPA报税流程设计并运用RPA报税机器人自动完成纳税申报</w:t>
            </w:r>
          </w:p>
        </w:tc>
        <w:tc>
          <w:tcPr>
            <w:tcW w:w="645" w:type="dxa"/>
            <w:tcBorders>
              <w:tl2br w:val="nil"/>
              <w:tr2bl w:val="nil"/>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7</w:t>
            </w:r>
            <w:r>
              <w:rPr>
                <w:rFonts w:hint="eastAsia" w:ascii="仿宋_GB2312" w:hAnsi="等线" w:eastAsia="仿宋_GB2312"/>
                <w:color w:val="0D0D0D"/>
                <w:kern w:val="0"/>
                <w:sz w:val="24"/>
                <w:szCs w:val="24"/>
              </w:rPr>
              <w:t>0</w:t>
            </w:r>
          </w:p>
        </w:tc>
      </w:tr>
    </w:tbl>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 税务服务与大数据应用赛段分值分布</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税务服务与大数据应用赛段分值分布，见表5。</w:t>
      </w:r>
    </w:p>
    <w:p>
      <w:pPr>
        <w:spacing w:line="560" w:lineRule="exact"/>
        <w:ind w:firstLine="640" w:firstLineChars="200"/>
        <w:rPr>
          <w:rFonts w:hint="eastAsia" w:ascii="仿宋_GB2312" w:hAnsi="仿宋" w:eastAsia="仿宋_GB2312" w:cs="宋体"/>
          <w:bCs/>
          <w:kern w:val="0"/>
          <w:sz w:val="32"/>
          <w:szCs w:val="32"/>
        </w:rPr>
      </w:pPr>
    </w:p>
    <w:p>
      <w:pPr>
        <w:spacing w:line="560" w:lineRule="exact"/>
        <w:ind w:firstLine="640" w:firstLineChars="200"/>
        <w:rPr>
          <w:rFonts w:hint="eastAsia" w:ascii="仿宋_GB2312" w:hAnsi="仿宋" w:eastAsia="仿宋_GB2312" w:cs="宋体"/>
          <w:bCs/>
          <w:kern w:val="0"/>
          <w:sz w:val="32"/>
          <w:szCs w:val="32"/>
        </w:rPr>
      </w:pPr>
    </w:p>
    <w:p>
      <w:pPr>
        <w:spacing w:line="560" w:lineRule="exact"/>
        <w:jc w:val="center"/>
        <w:rPr>
          <w:rFonts w:ascii="仿宋_GB2312" w:hAnsi="仿宋" w:eastAsia="仿宋_GB2312" w:cs="宋体"/>
          <w:bCs/>
          <w:kern w:val="0"/>
          <w:sz w:val="32"/>
          <w:szCs w:val="32"/>
        </w:rPr>
      </w:pPr>
      <w:r>
        <w:rPr>
          <w:rFonts w:hint="eastAsia" w:ascii="仿宋_GB2312" w:hAnsi="仿宋" w:eastAsia="仿宋_GB2312" w:cs="宋体"/>
          <w:bCs/>
          <w:kern w:val="0"/>
          <w:sz w:val="32"/>
          <w:szCs w:val="32"/>
        </w:rPr>
        <w:t>表5  税务服务与大数据应用岗位任务分值分布表</w:t>
      </w:r>
    </w:p>
    <w:tbl>
      <w:tblPr>
        <w:tblStyle w:val="12"/>
        <w:tblW w:w="9840" w:type="dxa"/>
        <w:tblInd w:w="-33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205"/>
        <w:gridCol w:w="64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tcBorders>
              <w:top w:val="single" w:color="auto" w:sz="4" w:space="0"/>
              <w:left w:val="single" w:color="auto" w:sz="4" w:space="0"/>
            </w:tcBorders>
            <w:shd w:val="clear" w:color="auto" w:fill="E7E6E6"/>
            <w:vAlign w:val="center"/>
          </w:tcPr>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竞赛</w:t>
            </w:r>
          </w:p>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项目</w:t>
            </w:r>
          </w:p>
        </w:tc>
        <w:tc>
          <w:tcPr>
            <w:tcW w:w="8205" w:type="dxa"/>
            <w:tcBorders>
              <w:top w:val="single" w:color="auto" w:sz="4" w:space="0"/>
            </w:tcBorders>
            <w:shd w:val="clear" w:color="auto" w:fill="E7E6E6"/>
            <w:vAlign w:val="center"/>
          </w:tcPr>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宋体" w:eastAsia="仿宋_GB2312" w:cs="宋体"/>
                <w:b/>
                <w:bCs/>
                <w:i w:val="0"/>
                <w:iCs w:val="0"/>
                <w:color w:val="0D0D0D"/>
                <w:kern w:val="0"/>
                <w:sz w:val="24"/>
                <w:szCs w:val="24"/>
              </w:rPr>
              <w:t>评分内容</w:t>
            </w:r>
          </w:p>
        </w:tc>
        <w:tc>
          <w:tcPr>
            <w:tcW w:w="645" w:type="dxa"/>
            <w:tcBorders>
              <w:top w:val="single" w:color="auto" w:sz="4" w:space="0"/>
              <w:right w:val="single" w:color="auto" w:sz="4" w:space="0"/>
            </w:tcBorders>
            <w:shd w:val="clear" w:color="auto" w:fill="E7E6E6"/>
            <w:vAlign w:val="center"/>
          </w:tcPr>
          <w:p>
            <w:pPr>
              <w:widowControl/>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分 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restart"/>
            <w:tcBorders>
              <w:left w:val="single" w:color="auto" w:sz="4" w:space="0"/>
            </w:tcBorders>
            <w:vAlign w:val="center"/>
          </w:tcPr>
          <w:p>
            <w:pPr>
              <w:widowControl/>
              <w:spacing w:line="400" w:lineRule="exact"/>
              <w:jc w:val="center"/>
              <w:rPr>
                <w:rFonts w:ascii="仿宋_GB2312" w:hAnsi="等线" w:eastAsia="仿宋_GB2312"/>
                <w:color w:val="0D0D0D"/>
                <w:kern w:val="0"/>
                <w:sz w:val="24"/>
                <w:szCs w:val="24"/>
              </w:rPr>
            </w:pPr>
            <w:r>
              <w:rPr>
                <w:rFonts w:hint="eastAsia" w:ascii="仿宋_GB2312" w:eastAsia="仿宋_GB2312"/>
                <w:color w:val="0D0D0D"/>
                <w:sz w:val="24"/>
                <w:szCs w:val="24"/>
              </w:rPr>
              <w:t>企业所得税年度汇算清缴</w:t>
            </w:r>
          </w:p>
        </w:tc>
        <w:tc>
          <w:tcPr>
            <w:tcW w:w="8205" w:type="dxa"/>
          </w:tcPr>
          <w:p>
            <w:pPr>
              <w:pStyle w:val="5"/>
              <w:adjustRightInd w:val="0"/>
              <w:snapToGrid w:val="0"/>
              <w:spacing w:line="400" w:lineRule="exact"/>
              <w:ind w:left="0" w:leftChars="0" w:firstLine="0" w:firstLineChars="0"/>
              <w:rPr>
                <w:rFonts w:ascii="仿宋_GB2312" w:hAnsi="等线" w:eastAsia="仿宋_GB2312"/>
                <w:color w:val="0D0D0D"/>
                <w:sz w:val="24"/>
                <w:szCs w:val="24"/>
              </w:rPr>
            </w:pPr>
            <w:r>
              <w:rPr>
                <w:rFonts w:hint="eastAsia" w:ascii="仿宋_GB2312" w:hAnsi="等线" w:eastAsia="仿宋_GB2312"/>
                <w:color w:val="0D0D0D"/>
                <w:sz w:val="24"/>
                <w:szCs w:val="24"/>
              </w:rPr>
              <w:t>在纳税申报系统中，进行数据导入，数据校验，科目匹配</w:t>
            </w:r>
          </w:p>
        </w:tc>
        <w:tc>
          <w:tcPr>
            <w:tcW w:w="645" w:type="dxa"/>
            <w:vMerge w:val="restart"/>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continue"/>
            <w:tcBorders>
              <w:left w:val="single" w:color="auto" w:sz="4" w:space="0"/>
            </w:tcBorders>
            <w:vAlign w:val="center"/>
          </w:tcPr>
          <w:p>
            <w:pPr>
              <w:widowControl/>
              <w:spacing w:line="400" w:lineRule="exact"/>
              <w:jc w:val="center"/>
              <w:rPr>
                <w:rFonts w:ascii="仿宋_GB2312" w:hAnsi="等线" w:eastAsia="仿宋_GB2312"/>
                <w:color w:val="0D0D0D"/>
                <w:kern w:val="0"/>
                <w:sz w:val="24"/>
                <w:szCs w:val="24"/>
              </w:rPr>
            </w:pPr>
          </w:p>
        </w:tc>
        <w:tc>
          <w:tcPr>
            <w:tcW w:w="8205" w:type="dxa"/>
          </w:tcPr>
          <w:p>
            <w:pPr>
              <w:snapToGrid w:val="0"/>
              <w:spacing w:line="400" w:lineRule="exact"/>
              <w:rPr>
                <w:rFonts w:ascii="仿宋_GB2312" w:hAnsi="等线" w:eastAsia="仿宋_GB2312"/>
                <w:color w:val="0D0D0D"/>
                <w:kern w:val="0"/>
                <w:sz w:val="24"/>
                <w:szCs w:val="24"/>
              </w:rPr>
            </w:pPr>
            <w:r>
              <w:rPr>
                <w:rFonts w:hint="eastAsia" w:ascii="仿宋_GB2312" w:hAnsi="等线" w:eastAsia="仿宋_GB2312"/>
                <w:color w:val="0D0D0D"/>
                <w:sz w:val="24"/>
                <w:szCs w:val="24"/>
              </w:rPr>
              <w:t>在纳税申报系统中对所得税汇算清缴需要调整的收入类项目进行计算和操作</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continue"/>
            <w:tcBorders>
              <w:left w:val="single" w:color="auto" w:sz="4" w:space="0"/>
            </w:tcBorders>
            <w:vAlign w:val="center"/>
          </w:tcPr>
          <w:p>
            <w:pPr>
              <w:widowControl/>
              <w:spacing w:line="400" w:lineRule="exact"/>
              <w:jc w:val="center"/>
              <w:rPr>
                <w:rFonts w:ascii="仿宋_GB2312" w:hAnsi="等线" w:eastAsia="仿宋_GB2312"/>
                <w:color w:val="0D0D0D"/>
                <w:kern w:val="0"/>
                <w:sz w:val="24"/>
                <w:szCs w:val="24"/>
              </w:rPr>
            </w:pPr>
          </w:p>
        </w:tc>
        <w:tc>
          <w:tcPr>
            <w:tcW w:w="8205" w:type="dxa"/>
          </w:tcPr>
          <w:p>
            <w:pPr>
              <w:pStyle w:val="5"/>
              <w:adjustRightInd w:val="0"/>
              <w:snapToGrid w:val="0"/>
              <w:spacing w:line="400" w:lineRule="exact"/>
              <w:ind w:left="0" w:leftChars="0" w:firstLine="0" w:firstLineChars="0"/>
              <w:rPr>
                <w:rFonts w:ascii="仿宋_GB2312" w:hAnsi="等线" w:eastAsia="仿宋_GB2312"/>
                <w:color w:val="0D0D0D"/>
                <w:sz w:val="24"/>
                <w:szCs w:val="24"/>
              </w:rPr>
            </w:pPr>
            <w:r>
              <w:rPr>
                <w:rFonts w:hint="eastAsia" w:ascii="仿宋_GB2312" w:hAnsi="等线" w:eastAsia="仿宋_GB2312"/>
                <w:color w:val="0D0D0D"/>
                <w:sz w:val="24"/>
                <w:szCs w:val="24"/>
              </w:rPr>
              <w:t>在纳税申报系统中对所得税汇算清缴需要调整的职工福利费、利息支出、业务招待费、广告费、研发支出、捐赠等支出类项目进行计算和操作</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continue"/>
            <w:tcBorders>
              <w:left w:val="single" w:color="auto" w:sz="4" w:space="0"/>
            </w:tcBorders>
            <w:vAlign w:val="center"/>
          </w:tcPr>
          <w:p>
            <w:pPr>
              <w:widowControl/>
              <w:spacing w:line="400" w:lineRule="exact"/>
              <w:jc w:val="center"/>
              <w:rPr>
                <w:rFonts w:ascii="仿宋_GB2312" w:hAnsi="等线" w:eastAsia="仿宋_GB2312"/>
                <w:color w:val="0D0D0D"/>
                <w:kern w:val="0"/>
                <w:sz w:val="24"/>
                <w:szCs w:val="24"/>
              </w:rPr>
            </w:pPr>
          </w:p>
        </w:tc>
        <w:tc>
          <w:tcPr>
            <w:tcW w:w="8205" w:type="dxa"/>
          </w:tcPr>
          <w:p>
            <w:pPr>
              <w:pStyle w:val="5"/>
              <w:adjustRightInd w:val="0"/>
              <w:snapToGrid w:val="0"/>
              <w:spacing w:line="400" w:lineRule="exact"/>
              <w:ind w:left="0" w:leftChars="0" w:firstLine="0" w:firstLineChars="0"/>
              <w:rPr>
                <w:rFonts w:ascii="仿宋_GB2312" w:hAnsi="等线" w:eastAsia="仿宋_GB2312"/>
                <w:color w:val="0D0D0D"/>
                <w:sz w:val="24"/>
                <w:szCs w:val="24"/>
              </w:rPr>
            </w:pPr>
            <w:r>
              <w:rPr>
                <w:rFonts w:hint="eastAsia" w:ascii="仿宋_GB2312" w:hAnsi="等线" w:eastAsia="仿宋_GB2312"/>
                <w:color w:val="0D0D0D"/>
                <w:sz w:val="24"/>
                <w:szCs w:val="24"/>
              </w:rPr>
              <w:t>在纳税申报系统中审核企业所得税年度汇算清缴表并申报企业所得税</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990" w:type="dxa"/>
            <w:vMerge w:val="restart"/>
            <w:tcBorders>
              <w:left w:val="single" w:color="auto" w:sz="4" w:space="0"/>
            </w:tcBorders>
            <w:vAlign w:val="center"/>
          </w:tcPr>
          <w:p>
            <w:pPr>
              <w:spacing w:line="400" w:lineRule="exact"/>
              <w:jc w:val="center"/>
              <w:rPr>
                <w:rFonts w:ascii="仿宋_GB2312" w:hAnsi="宋体" w:eastAsia="仿宋_GB2312"/>
                <w:color w:val="0D0D0D"/>
                <w:kern w:val="0"/>
                <w:sz w:val="24"/>
                <w:szCs w:val="24"/>
              </w:rPr>
            </w:pPr>
            <w:r>
              <w:rPr>
                <w:rFonts w:hint="eastAsia" w:ascii="仿宋_GB2312" w:hAnsi="宋体" w:eastAsia="仿宋_GB2312"/>
                <w:color w:val="0D0D0D"/>
                <w:kern w:val="0"/>
                <w:sz w:val="24"/>
                <w:szCs w:val="24"/>
              </w:rPr>
              <w:t>税务筹划</w:t>
            </w:r>
          </w:p>
        </w:tc>
        <w:tc>
          <w:tcPr>
            <w:tcW w:w="8205" w:type="dxa"/>
          </w:tcPr>
          <w:p>
            <w:pPr>
              <w:pStyle w:val="10"/>
              <w:spacing w:line="400" w:lineRule="exact"/>
              <w:rPr>
                <w:rFonts w:ascii="仿宋_GB2312" w:hAnsi="等线" w:eastAsia="仿宋_GB2312"/>
                <w:color w:val="0D0D0D"/>
                <w:kern w:val="2"/>
              </w:rPr>
            </w:pPr>
            <w:r>
              <w:rPr>
                <w:rFonts w:hint="eastAsia" w:ascii="仿宋_GB2312" w:hAnsi="等线" w:eastAsia="仿宋_GB2312"/>
                <w:color w:val="0D0D0D"/>
                <w:kern w:val="2"/>
              </w:rPr>
              <w:t>分析企业的纳税种类、适用税率、经济业务流程、所在地区市场情况、行业特点等，结合税收政策制定企业整体税收规划方案</w:t>
            </w:r>
          </w:p>
        </w:tc>
        <w:tc>
          <w:tcPr>
            <w:tcW w:w="645" w:type="dxa"/>
            <w:vMerge w:val="restart"/>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990" w:type="dxa"/>
            <w:vMerge w:val="continue"/>
            <w:tcBorders>
              <w:left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Pr>
          <w:p>
            <w:pPr>
              <w:pStyle w:val="10"/>
              <w:spacing w:line="400" w:lineRule="exact"/>
              <w:rPr>
                <w:rFonts w:ascii="仿宋_GB2312" w:hAnsi="等线" w:eastAsia="仿宋_GB2312"/>
                <w:color w:val="0D0D0D"/>
                <w:kern w:val="2"/>
              </w:rPr>
            </w:pPr>
            <w:r>
              <w:rPr>
                <w:rFonts w:hint="eastAsia" w:ascii="仿宋_GB2312" w:hAnsi="等线" w:eastAsia="仿宋_GB2312"/>
                <w:color w:val="0D0D0D"/>
                <w:kern w:val="2"/>
              </w:rPr>
              <w:t>针对投资、筹资、经营、股利分配等涉税事项，在法律、法规、允许的范围之内通过合理的事先规划，实现税负最优化</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90" w:type="dxa"/>
            <w:vMerge w:val="continue"/>
            <w:tcBorders>
              <w:left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Pr>
          <w:p>
            <w:pPr>
              <w:pStyle w:val="10"/>
              <w:spacing w:line="400" w:lineRule="exact"/>
              <w:rPr>
                <w:rFonts w:ascii="仿宋_GB2312" w:hAnsi="等线" w:eastAsia="仿宋_GB2312"/>
                <w:color w:val="0D0D0D"/>
                <w:kern w:val="2"/>
              </w:rPr>
            </w:pPr>
            <w:r>
              <w:rPr>
                <w:rFonts w:hint="eastAsia" w:ascii="仿宋_GB2312" w:hAnsi="等线" w:eastAsia="仿宋_GB2312"/>
                <w:color w:val="0D0D0D"/>
                <w:kern w:val="2"/>
              </w:rPr>
              <w:t>充分利用国家减税降费优惠政策，灵活选择适用税率、纳税人身份，合理调整企业组织形式、纳税地点及业务组合，使利润更多的合法留归企业</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990" w:type="dxa"/>
            <w:vMerge w:val="restart"/>
            <w:tcBorders>
              <w:left w:val="single" w:color="auto" w:sz="4" w:space="0"/>
            </w:tcBorders>
            <w:vAlign w:val="center"/>
          </w:tcPr>
          <w:p>
            <w:pPr>
              <w:spacing w:line="400" w:lineRule="exact"/>
              <w:jc w:val="center"/>
              <w:rPr>
                <w:rFonts w:ascii="仿宋_GB2312" w:hAnsi="等线" w:eastAsia="仿宋_GB2312"/>
                <w:color w:val="0D0D0D"/>
                <w:kern w:val="0"/>
                <w:sz w:val="24"/>
                <w:szCs w:val="24"/>
              </w:rPr>
            </w:pPr>
            <w:r>
              <w:rPr>
                <w:rFonts w:hint="eastAsia" w:ascii="仿宋_GB2312" w:eastAsia="仿宋_GB2312"/>
                <w:color w:val="0D0D0D"/>
                <w:sz w:val="24"/>
                <w:szCs w:val="24"/>
              </w:rPr>
              <w:t>纳税检查支持</w:t>
            </w:r>
          </w:p>
        </w:tc>
        <w:tc>
          <w:tcPr>
            <w:tcW w:w="8205" w:type="dxa"/>
          </w:tcPr>
          <w:p>
            <w:pPr>
              <w:widowControl/>
              <w:shd w:val="clear" w:color="auto" w:fill="FFFFFF"/>
              <w:spacing w:line="400" w:lineRule="exact"/>
              <w:rPr>
                <w:rFonts w:ascii="仿宋_GB2312" w:hAnsi="等线" w:eastAsia="仿宋_GB2312"/>
                <w:color w:val="0D0D0D"/>
                <w:sz w:val="24"/>
                <w:szCs w:val="24"/>
              </w:rPr>
            </w:pPr>
            <w:r>
              <w:rPr>
                <w:rFonts w:hint="eastAsia" w:ascii="仿宋_GB2312" w:hAnsi="等线" w:eastAsia="仿宋_GB2312"/>
                <w:color w:val="0D0D0D"/>
                <w:sz w:val="24"/>
                <w:szCs w:val="24"/>
              </w:rPr>
              <w:t>开展税务自查工作，检查税务登记，发票领购、使用、保存情况，核实纳税申报、税款缴纳等事项，梳理财务会计资料及其他相关情况</w:t>
            </w:r>
          </w:p>
        </w:tc>
        <w:tc>
          <w:tcPr>
            <w:tcW w:w="645" w:type="dxa"/>
            <w:vMerge w:val="restart"/>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990" w:type="dxa"/>
            <w:vMerge w:val="continue"/>
            <w:tcBorders>
              <w:left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Pr>
          <w:p>
            <w:pPr>
              <w:widowControl/>
              <w:shd w:val="clear" w:color="auto" w:fill="FFFFFF"/>
              <w:spacing w:line="400" w:lineRule="exact"/>
              <w:rPr>
                <w:rFonts w:hint="eastAsia" w:ascii="仿宋_GB2312" w:hAnsi="等线" w:eastAsia="仿宋_GB2312"/>
                <w:color w:val="0D0D0D"/>
                <w:sz w:val="24"/>
                <w:szCs w:val="24"/>
              </w:rPr>
            </w:pPr>
            <w:r>
              <w:rPr>
                <w:rFonts w:hint="eastAsia" w:ascii="仿宋_GB2312" w:hAnsi="等线" w:eastAsia="仿宋_GB2312"/>
                <w:color w:val="0D0D0D"/>
                <w:sz w:val="24"/>
                <w:szCs w:val="24"/>
              </w:rPr>
              <w:t>在税务稽查检查中，协助企业进行纳税事项调整、争议处理方案的解释说明</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90" w:type="dxa"/>
            <w:vMerge w:val="continue"/>
            <w:tcBorders>
              <w:left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Pr>
          <w:p>
            <w:pPr>
              <w:widowControl/>
              <w:shd w:val="clear" w:color="auto" w:fill="FFFFFF"/>
              <w:spacing w:line="400" w:lineRule="exact"/>
              <w:rPr>
                <w:rFonts w:hint="eastAsia" w:ascii="仿宋_GB2312" w:hAnsi="等线" w:eastAsia="仿宋_GB2312"/>
                <w:color w:val="0D0D0D"/>
                <w:sz w:val="24"/>
                <w:szCs w:val="24"/>
              </w:rPr>
            </w:pPr>
            <w:r>
              <w:rPr>
                <w:rFonts w:hint="eastAsia" w:ascii="仿宋_GB2312" w:hAnsi="等线" w:eastAsia="仿宋_GB2312"/>
                <w:color w:val="0D0D0D"/>
                <w:sz w:val="24"/>
                <w:szCs w:val="24"/>
              </w:rPr>
              <w:t>税务稽查检查结束后，根据稽查结果制定整改措施，代表企业与税务机关进行协商沟通</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restart"/>
            <w:tcBorders>
              <w:left w:val="single" w:color="auto" w:sz="4" w:space="0"/>
            </w:tcBorders>
            <w:vAlign w:val="center"/>
          </w:tcPr>
          <w:p>
            <w:pPr>
              <w:spacing w:line="400" w:lineRule="exact"/>
              <w:jc w:val="center"/>
              <w:rPr>
                <w:rFonts w:ascii="仿宋_GB2312" w:hAnsi="等线" w:eastAsia="仿宋_GB2312"/>
                <w:color w:val="0D0D0D"/>
                <w:kern w:val="0"/>
                <w:sz w:val="24"/>
                <w:szCs w:val="24"/>
              </w:rPr>
            </w:pPr>
            <w:r>
              <w:rPr>
                <w:rFonts w:hint="eastAsia" w:ascii="仿宋_GB2312" w:eastAsia="仿宋_GB2312"/>
                <w:color w:val="0D0D0D"/>
                <w:sz w:val="24"/>
                <w:szCs w:val="24"/>
              </w:rPr>
              <w:t>大数据税务预警与风控</w:t>
            </w:r>
          </w:p>
        </w:tc>
        <w:tc>
          <w:tcPr>
            <w:tcW w:w="8205" w:type="dxa"/>
          </w:tcPr>
          <w:p>
            <w:pPr>
              <w:spacing w:line="400" w:lineRule="exact"/>
              <w:rPr>
                <w:rFonts w:ascii="仿宋_GB2312" w:hAnsi="等线" w:eastAsia="仿宋_GB2312"/>
                <w:color w:val="0D0D0D"/>
                <w:sz w:val="24"/>
                <w:szCs w:val="24"/>
              </w:rPr>
            </w:pPr>
            <w:r>
              <w:rPr>
                <w:rFonts w:hint="eastAsia" w:ascii="仿宋_GB2312" w:hAnsi="等线" w:eastAsia="仿宋_GB2312"/>
                <w:color w:val="0D0D0D"/>
                <w:sz w:val="24"/>
                <w:szCs w:val="24"/>
              </w:rPr>
              <w:t>利用大数据技术筛查企业税务风险点，对涉税风险进行评估，区分税务风险等级</w:t>
            </w:r>
          </w:p>
        </w:tc>
        <w:tc>
          <w:tcPr>
            <w:tcW w:w="645" w:type="dxa"/>
            <w:vMerge w:val="restart"/>
            <w:tcBorders>
              <w:right w:val="single" w:color="auto" w:sz="4" w:space="0"/>
            </w:tcBorders>
            <w:vAlign w:val="center"/>
          </w:tcPr>
          <w:p>
            <w:pPr>
              <w:spacing w:line="400" w:lineRule="exact"/>
              <w:jc w:val="center"/>
              <w:rPr>
                <w:rFonts w:ascii="仿宋_GB2312" w:hAnsi="等线" w:eastAsia="仿宋_GB2312"/>
                <w:color w:val="0D0D0D"/>
                <w:sz w:val="24"/>
                <w:szCs w:val="24"/>
              </w:rPr>
            </w:pPr>
            <w:r>
              <w:rPr>
                <w:rFonts w:ascii="仿宋_GB2312" w:hAnsi="等线" w:eastAsia="仿宋_GB2312"/>
                <w:color w:val="0D0D0D"/>
                <w:kern w:val="0"/>
                <w:sz w:val="24"/>
                <w:szCs w:val="24"/>
              </w:rPr>
              <w:t>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continue"/>
            <w:tcBorders>
              <w:left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Pr>
          <w:p>
            <w:pPr>
              <w:spacing w:line="400" w:lineRule="exact"/>
              <w:rPr>
                <w:rFonts w:ascii="仿宋_GB2312" w:hAnsi="等线" w:eastAsia="仿宋_GB2312"/>
                <w:color w:val="0D0D0D"/>
                <w:sz w:val="24"/>
                <w:szCs w:val="24"/>
              </w:rPr>
            </w:pPr>
            <w:r>
              <w:rPr>
                <w:rFonts w:hint="eastAsia" w:ascii="仿宋_GB2312" w:hAnsi="等线" w:eastAsia="仿宋_GB2312"/>
                <w:color w:val="0D0D0D"/>
                <w:sz w:val="24"/>
                <w:szCs w:val="24"/>
              </w:rPr>
              <w:t>根据税务风险等级，综合利用各种分析方法和手段，全面、系统预测企业未来内外部环境及财务数据变化，合理设计税负率及财务数据预警指标</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continue"/>
            <w:tcBorders>
              <w:left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Pr>
          <w:p>
            <w:pPr>
              <w:pStyle w:val="5"/>
              <w:spacing w:line="400" w:lineRule="exact"/>
              <w:ind w:left="0" w:leftChars="0" w:firstLine="0" w:firstLineChars="0"/>
              <w:rPr>
                <w:rFonts w:ascii="仿宋_GB2312" w:hAnsi="等线" w:eastAsia="仿宋_GB2312"/>
                <w:color w:val="0D0D0D"/>
                <w:sz w:val="24"/>
                <w:szCs w:val="24"/>
              </w:rPr>
            </w:pPr>
            <w:r>
              <w:rPr>
                <w:rFonts w:hint="eastAsia" w:ascii="仿宋_GB2312" w:hAnsi="等线" w:eastAsia="仿宋_GB2312"/>
                <w:color w:val="0D0D0D"/>
                <w:sz w:val="24"/>
                <w:szCs w:val="24"/>
              </w:rPr>
              <w:t>根据税务风险评估与预警指标，建立税务风控模型</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continue"/>
            <w:tcBorders>
              <w:left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Pr>
          <w:p>
            <w:pPr>
              <w:spacing w:line="400" w:lineRule="exact"/>
              <w:rPr>
                <w:rFonts w:ascii="仿宋_GB2312" w:hAnsi="等线" w:eastAsia="仿宋_GB2312"/>
                <w:color w:val="0D0D0D"/>
                <w:sz w:val="24"/>
                <w:szCs w:val="24"/>
              </w:rPr>
            </w:pPr>
            <w:r>
              <w:rPr>
                <w:rFonts w:hint="eastAsia" w:ascii="仿宋_GB2312" w:hAnsi="等线" w:eastAsia="仿宋_GB2312"/>
                <w:color w:val="0D0D0D"/>
                <w:sz w:val="24"/>
                <w:szCs w:val="24"/>
              </w:rPr>
              <w:t>识别增值税发票使用风险，对发票全要素的合规性、合法性进行记录和自动审核，根据相关规定对虚开增值税发票行为作出判断</w:t>
            </w:r>
          </w:p>
        </w:tc>
        <w:tc>
          <w:tcPr>
            <w:tcW w:w="645" w:type="dxa"/>
            <w:vMerge w:val="continue"/>
            <w:tcBorders>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 w:type="dxa"/>
            <w:vMerge w:val="continue"/>
            <w:tcBorders>
              <w:left w:val="single" w:color="auto" w:sz="4" w:space="0"/>
              <w:bottom w:val="single" w:color="auto" w:sz="4" w:space="0"/>
            </w:tcBorders>
            <w:vAlign w:val="center"/>
          </w:tcPr>
          <w:p>
            <w:pPr>
              <w:spacing w:line="400" w:lineRule="exact"/>
              <w:jc w:val="center"/>
              <w:rPr>
                <w:rFonts w:ascii="仿宋_GB2312" w:hAnsi="等线" w:eastAsia="仿宋_GB2312"/>
                <w:color w:val="0D0D0D"/>
                <w:kern w:val="0"/>
                <w:sz w:val="24"/>
                <w:szCs w:val="24"/>
              </w:rPr>
            </w:pPr>
          </w:p>
        </w:tc>
        <w:tc>
          <w:tcPr>
            <w:tcW w:w="8205" w:type="dxa"/>
            <w:tcBorders>
              <w:bottom w:val="single" w:color="auto" w:sz="4" w:space="0"/>
            </w:tcBorders>
          </w:tcPr>
          <w:p>
            <w:pPr>
              <w:spacing w:line="400" w:lineRule="exact"/>
              <w:rPr>
                <w:rFonts w:ascii="仿宋_GB2312" w:hAnsi="等线" w:eastAsia="仿宋_GB2312"/>
                <w:color w:val="0D0D0D"/>
                <w:sz w:val="24"/>
                <w:szCs w:val="24"/>
              </w:rPr>
            </w:pPr>
            <w:r>
              <w:rPr>
                <w:rFonts w:hint="eastAsia" w:ascii="仿宋_GB2312" w:hAnsi="等线" w:eastAsia="仿宋_GB2312"/>
                <w:color w:val="0D0D0D"/>
                <w:sz w:val="24"/>
                <w:szCs w:val="24"/>
              </w:rPr>
              <w:t>定期了解上下游企业税务、财务状况，对法律和税务风险情况进行记录和自动提示，并作出准确判断和处理</w:t>
            </w:r>
          </w:p>
        </w:tc>
        <w:tc>
          <w:tcPr>
            <w:tcW w:w="645" w:type="dxa"/>
            <w:vMerge w:val="continue"/>
            <w:tcBorders>
              <w:bottom w:val="single" w:color="auto" w:sz="4" w:space="0"/>
              <w:right w:val="single" w:color="auto" w:sz="4" w:space="0"/>
            </w:tcBorders>
            <w:vAlign w:val="center"/>
          </w:tcPr>
          <w:p>
            <w:pPr>
              <w:spacing w:line="400" w:lineRule="exact"/>
              <w:jc w:val="center"/>
              <w:rPr>
                <w:rFonts w:ascii="仿宋_GB2312" w:hAnsi="等线" w:eastAsia="仿宋_GB2312"/>
                <w:color w:val="0D0D0D"/>
                <w:kern w:val="0"/>
                <w:sz w:val="24"/>
                <w:szCs w:val="24"/>
              </w:rPr>
            </w:pPr>
          </w:p>
        </w:tc>
      </w:tr>
    </w:tbl>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3.财务管理与大数据应用赛段分值分布</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财务管理与大数据应用赛段分值分布，见表6。</w:t>
      </w:r>
    </w:p>
    <w:p>
      <w:pPr>
        <w:spacing w:line="560" w:lineRule="exact"/>
        <w:jc w:val="center"/>
        <w:rPr>
          <w:rFonts w:ascii="仿宋_GB2312" w:hAnsi="仿宋" w:eastAsia="仿宋_GB2312" w:cs="宋体"/>
          <w:bCs/>
          <w:kern w:val="0"/>
          <w:sz w:val="32"/>
          <w:szCs w:val="32"/>
        </w:rPr>
      </w:pPr>
      <w:r>
        <w:rPr>
          <w:rFonts w:hint="eastAsia" w:ascii="仿宋_GB2312" w:hAnsi="仿宋" w:eastAsia="仿宋_GB2312" w:cs="宋体"/>
          <w:bCs/>
          <w:kern w:val="0"/>
          <w:sz w:val="32"/>
          <w:szCs w:val="32"/>
        </w:rPr>
        <w:t>表6   财务管理与大数据应用岗位任务分值分布表</w:t>
      </w:r>
    </w:p>
    <w:tbl>
      <w:tblPr>
        <w:tblStyle w:val="12"/>
        <w:tblW w:w="8941" w:type="dxa"/>
        <w:tblInd w:w="3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6946"/>
        <w:gridCol w:w="88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10" w:type="dxa"/>
            <w:tcBorders>
              <w:top w:val="single" w:color="auto" w:sz="4" w:space="0"/>
              <w:left w:val="single" w:color="auto" w:sz="4" w:space="0"/>
            </w:tcBorders>
            <w:shd w:val="clear" w:color="auto" w:fill="E7E6E6"/>
            <w:vAlign w:val="center"/>
          </w:tcPr>
          <w:p>
            <w:pPr>
              <w:widowControl/>
              <w:snapToGrid w:val="0"/>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竞赛</w:t>
            </w:r>
          </w:p>
          <w:p>
            <w:pPr>
              <w:widowControl/>
              <w:snapToGrid w:val="0"/>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岗位</w:t>
            </w:r>
          </w:p>
        </w:tc>
        <w:tc>
          <w:tcPr>
            <w:tcW w:w="6946" w:type="dxa"/>
            <w:tcBorders>
              <w:top w:val="single" w:color="auto" w:sz="4" w:space="0"/>
            </w:tcBorders>
            <w:shd w:val="clear" w:color="auto" w:fill="E7E6E6"/>
            <w:vAlign w:val="center"/>
          </w:tcPr>
          <w:p>
            <w:pPr>
              <w:widowControl/>
              <w:snapToGrid w:val="0"/>
              <w:spacing w:line="400" w:lineRule="exact"/>
              <w:jc w:val="center"/>
              <w:rPr>
                <w:rFonts w:ascii="仿宋_GB2312" w:hAnsi="等线" w:eastAsia="仿宋_GB2312" w:cs="仿宋_GB2312"/>
                <w:b/>
                <w:color w:val="0D0D0D"/>
                <w:kern w:val="0"/>
                <w:sz w:val="24"/>
                <w:szCs w:val="24"/>
              </w:rPr>
            </w:pPr>
            <w:r>
              <w:rPr>
                <w:rFonts w:hint="eastAsia" w:ascii="仿宋_GB2312" w:hAnsi="宋体" w:eastAsia="仿宋_GB2312" w:cs="宋体"/>
                <w:b/>
                <w:bCs/>
                <w:color w:val="0D0D0D"/>
                <w:kern w:val="0"/>
                <w:sz w:val="24"/>
                <w:szCs w:val="24"/>
              </w:rPr>
              <w:t>评分内容</w:t>
            </w:r>
          </w:p>
        </w:tc>
        <w:tc>
          <w:tcPr>
            <w:tcW w:w="885" w:type="dxa"/>
            <w:tcBorders>
              <w:top w:val="single" w:color="auto" w:sz="4" w:space="0"/>
              <w:right w:val="single" w:color="auto" w:sz="4" w:space="0"/>
            </w:tcBorders>
            <w:shd w:val="clear" w:color="auto" w:fill="E7E6E6"/>
            <w:vAlign w:val="center"/>
          </w:tcPr>
          <w:p>
            <w:pPr>
              <w:widowControl/>
              <w:snapToGrid w:val="0"/>
              <w:spacing w:line="400" w:lineRule="exact"/>
              <w:jc w:val="center"/>
              <w:rPr>
                <w:rFonts w:ascii="仿宋_GB2312" w:hAnsi="等线" w:eastAsia="仿宋_GB2312" w:cs="仿宋_GB2312"/>
                <w:b/>
                <w:color w:val="0D0D0D"/>
                <w:kern w:val="0"/>
                <w:sz w:val="24"/>
                <w:szCs w:val="24"/>
              </w:rPr>
            </w:pPr>
            <w:r>
              <w:rPr>
                <w:rFonts w:hint="eastAsia" w:ascii="仿宋_GB2312" w:hAnsi="等线" w:eastAsia="仿宋_GB2312" w:cs="仿宋_GB2312"/>
                <w:b/>
                <w:color w:val="0D0D0D"/>
                <w:kern w:val="0"/>
                <w:sz w:val="24"/>
                <w:szCs w:val="24"/>
              </w:rPr>
              <w:t>分 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110" w:type="dxa"/>
            <w:vMerge w:val="restart"/>
            <w:tcBorders>
              <w:left w:val="single" w:color="auto" w:sz="4" w:space="0"/>
            </w:tcBorders>
            <w:vAlign w:val="center"/>
          </w:tcPr>
          <w:p>
            <w:pPr>
              <w:snapToGrid w:val="0"/>
              <w:spacing w:line="400" w:lineRule="exact"/>
              <w:jc w:val="center"/>
              <w:rPr>
                <w:rFonts w:ascii="仿宋_GB2312" w:hAnsi="宋体" w:eastAsia="仿宋_GB2312"/>
                <w:color w:val="0D0D0D"/>
                <w:kern w:val="0"/>
                <w:sz w:val="24"/>
                <w:szCs w:val="24"/>
              </w:rPr>
            </w:pPr>
            <w:r>
              <w:rPr>
                <w:rFonts w:hint="eastAsia" w:ascii="仿宋_GB2312" w:eastAsia="仿宋_GB2312"/>
                <w:color w:val="0D0D0D"/>
                <w:sz w:val="24"/>
                <w:szCs w:val="24"/>
              </w:rPr>
              <w:t>预算管理岗位</w:t>
            </w:r>
          </w:p>
        </w:tc>
        <w:tc>
          <w:tcPr>
            <w:tcW w:w="6946" w:type="dxa"/>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预算指标设定</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预算编制</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预算过程控制</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预算</w:t>
            </w:r>
            <w:r>
              <w:rPr>
                <w:rFonts w:ascii="仿宋_GB2312" w:hAnsi="等线" w:eastAsia="仿宋_GB2312"/>
                <w:color w:val="0D0D0D"/>
                <w:sz w:val="24"/>
                <w:szCs w:val="24"/>
              </w:rPr>
              <w:t>执行分析与</w:t>
            </w:r>
            <w:r>
              <w:rPr>
                <w:rFonts w:hint="eastAsia" w:ascii="仿宋_GB2312" w:hAnsi="等线" w:eastAsia="仿宋_GB2312"/>
                <w:color w:val="0D0D0D"/>
                <w:sz w:val="24"/>
                <w:szCs w:val="24"/>
              </w:rPr>
              <w:t>评价</w:t>
            </w:r>
          </w:p>
        </w:tc>
        <w:tc>
          <w:tcPr>
            <w:tcW w:w="885" w:type="dxa"/>
            <w:tcBorders>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110" w:type="dxa"/>
            <w:vMerge w:val="continue"/>
            <w:tcBorders>
              <w:lef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p>
        </w:tc>
        <w:tc>
          <w:tcPr>
            <w:tcW w:w="6946" w:type="dxa"/>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成本管理审核工作</w:t>
            </w:r>
          </w:p>
        </w:tc>
        <w:tc>
          <w:tcPr>
            <w:tcW w:w="885" w:type="dxa"/>
            <w:tcBorders>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110" w:type="dxa"/>
            <w:vMerge w:val="restart"/>
            <w:tcBorders>
              <w:lef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hint="eastAsia" w:ascii="仿宋_GB2312" w:eastAsia="仿宋_GB2312"/>
                <w:color w:val="0D0D0D"/>
                <w:sz w:val="24"/>
                <w:szCs w:val="24"/>
              </w:rPr>
              <w:t>成本管理岗位</w:t>
            </w:r>
          </w:p>
        </w:tc>
        <w:tc>
          <w:tcPr>
            <w:tcW w:w="6946" w:type="dxa"/>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成本控制目标的设定</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成本控制</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成本分析与评价</w:t>
            </w:r>
          </w:p>
        </w:tc>
        <w:tc>
          <w:tcPr>
            <w:tcW w:w="885" w:type="dxa"/>
            <w:tcBorders>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7</w:t>
            </w:r>
            <w:r>
              <w:rPr>
                <w:rFonts w:hint="eastAsia" w:ascii="仿宋_GB2312" w:hAnsi="等线" w:eastAsia="仿宋_GB2312"/>
                <w:color w:val="0D0D0D"/>
                <w:kern w:val="0"/>
                <w:sz w:val="24"/>
                <w:szCs w:val="24"/>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110" w:type="dxa"/>
            <w:vMerge w:val="continue"/>
            <w:tcBorders>
              <w:lef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p>
        </w:tc>
        <w:tc>
          <w:tcPr>
            <w:tcW w:w="6946" w:type="dxa"/>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投资融资审核工作</w:t>
            </w:r>
          </w:p>
        </w:tc>
        <w:tc>
          <w:tcPr>
            <w:tcW w:w="885" w:type="dxa"/>
            <w:tcBorders>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hint="eastAsia" w:ascii="仿宋_GB2312" w:hAnsi="等线" w:eastAsia="仿宋_GB2312"/>
                <w:color w:val="0D0D0D"/>
                <w:kern w:val="0"/>
                <w:sz w:val="24"/>
                <w:szCs w:val="24"/>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10" w:type="dxa"/>
            <w:vMerge w:val="restart"/>
            <w:tcBorders>
              <w:left w:val="single" w:color="auto" w:sz="4" w:space="0"/>
            </w:tcBorders>
            <w:vAlign w:val="center"/>
          </w:tcPr>
          <w:p>
            <w:pPr>
              <w:pStyle w:val="5"/>
              <w:adjustRightInd w:val="0"/>
              <w:snapToGrid w:val="0"/>
              <w:spacing w:after="0" w:line="400" w:lineRule="exact"/>
              <w:ind w:left="0" w:leftChars="0"/>
              <w:rPr>
                <w:rFonts w:ascii="仿宋_GB2312" w:hAnsi="等线" w:eastAsia="仿宋_GB2312"/>
                <w:color w:val="0D0D0D"/>
                <w:sz w:val="24"/>
                <w:szCs w:val="24"/>
              </w:rPr>
            </w:pPr>
            <w:r>
              <w:rPr>
                <w:rFonts w:hint="eastAsia" w:ascii="仿宋_GB2312" w:hAnsi="等线" w:eastAsia="仿宋_GB2312"/>
                <w:color w:val="0D0D0D"/>
                <w:sz w:val="24"/>
                <w:szCs w:val="24"/>
              </w:rPr>
              <w:t>投资融</w:t>
            </w:r>
          </w:p>
          <w:p>
            <w:pPr>
              <w:pStyle w:val="5"/>
              <w:adjustRightInd w:val="0"/>
              <w:snapToGrid w:val="0"/>
              <w:spacing w:after="0" w:line="400" w:lineRule="exact"/>
              <w:ind w:left="0" w:leftChars="0"/>
              <w:rPr>
                <w:rFonts w:ascii="仿宋_GB2312" w:hAnsi="等线"/>
                <w:color w:val="0D0D0D"/>
                <w:kern w:val="0"/>
                <w:sz w:val="24"/>
              </w:rPr>
            </w:pPr>
            <w:r>
              <w:rPr>
                <w:rFonts w:hint="eastAsia" w:ascii="仿宋_GB2312" w:hAnsi="等线" w:eastAsia="仿宋_GB2312"/>
                <w:color w:val="0D0D0D"/>
                <w:sz w:val="24"/>
                <w:szCs w:val="24"/>
              </w:rPr>
              <w:t>资岗位</w:t>
            </w:r>
          </w:p>
        </w:tc>
        <w:tc>
          <w:tcPr>
            <w:tcW w:w="6946" w:type="dxa"/>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银行贷款</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应收账款保理</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固定资产融资租赁</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股权融资</w:t>
            </w:r>
          </w:p>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股权投资</w:t>
            </w:r>
          </w:p>
        </w:tc>
        <w:tc>
          <w:tcPr>
            <w:tcW w:w="885" w:type="dxa"/>
            <w:tcBorders>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10" w:type="dxa"/>
            <w:vMerge w:val="continue"/>
            <w:tcBorders>
              <w:lef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p>
        </w:tc>
        <w:tc>
          <w:tcPr>
            <w:tcW w:w="6946" w:type="dxa"/>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财务分析审核工作</w:t>
            </w:r>
          </w:p>
        </w:tc>
        <w:tc>
          <w:tcPr>
            <w:tcW w:w="885" w:type="dxa"/>
            <w:tcBorders>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10" w:type="dxa"/>
            <w:vMerge w:val="restart"/>
            <w:tcBorders>
              <w:left w:val="single" w:color="auto" w:sz="4" w:space="0"/>
            </w:tcBorders>
            <w:vAlign w:val="center"/>
          </w:tcPr>
          <w:p>
            <w:pPr>
              <w:pStyle w:val="5"/>
              <w:adjustRightInd w:val="0"/>
              <w:snapToGrid w:val="0"/>
              <w:spacing w:after="0" w:line="400" w:lineRule="exact"/>
              <w:ind w:left="0" w:leftChars="0"/>
              <w:rPr>
                <w:rFonts w:ascii="仿宋_GB2312" w:hAnsi="等线" w:eastAsia="仿宋_GB2312"/>
                <w:color w:val="0D0D0D"/>
                <w:sz w:val="24"/>
                <w:szCs w:val="24"/>
              </w:rPr>
            </w:pPr>
            <w:r>
              <w:rPr>
                <w:rFonts w:hint="eastAsia" w:ascii="仿宋_GB2312" w:hAnsi="等线" w:eastAsia="仿宋_GB2312"/>
                <w:color w:val="0D0D0D"/>
                <w:sz w:val="24"/>
                <w:szCs w:val="24"/>
              </w:rPr>
              <w:t>财务分</w:t>
            </w:r>
          </w:p>
          <w:p>
            <w:pPr>
              <w:pStyle w:val="5"/>
              <w:adjustRightInd w:val="0"/>
              <w:snapToGrid w:val="0"/>
              <w:spacing w:after="0" w:line="400" w:lineRule="exact"/>
              <w:ind w:left="0" w:leftChars="0"/>
              <w:rPr>
                <w:rFonts w:ascii="仿宋_GB2312" w:hAnsi="等线"/>
                <w:color w:val="0D0D0D"/>
                <w:kern w:val="0"/>
                <w:sz w:val="24"/>
              </w:rPr>
            </w:pPr>
            <w:r>
              <w:rPr>
                <w:rFonts w:hint="eastAsia" w:ascii="仿宋_GB2312" w:hAnsi="等线" w:eastAsia="仿宋_GB2312"/>
                <w:color w:val="0D0D0D"/>
                <w:sz w:val="24"/>
                <w:szCs w:val="24"/>
              </w:rPr>
              <w:t>析岗位</w:t>
            </w:r>
          </w:p>
        </w:tc>
        <w:tc>
          <w:tcPr>
            <w:tcW w:w="6946" w:type="dxa"/>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大数据财务分析与可视化：大数据财务表报分析、大数据财务指标分析</w:t>
            </w:r>
          </w:p>
        </w:tc>
        <w:tc>
          <w:tcPr>
            <w:tcW w:w="885" w:type="dxa"/>
            <w:tcBorders>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10" w:type="dxa"/>
            <w:vMerge w:val="continue"/>
            <w:tcBorders>
              <w:left w:val="single" w:color="auto" w:sz="4" w:space="0"/>
              <w:bottom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p>
        </w:tc>
        <w:tc>
          <w:tcPr>
            <w:tcW w:w="6946" w:type="dxa"/>
            <w:tcBorders>
              <w:bottom w:val="single" w:color="auto" w:sz="4" w:space="0"/>
            </w:tcBorders>
          </w:tcPr>
          <w:p>
            <w:pPr>
              <w:pStyle w:val="5"/>
              <w:adjustRightInd w:val="0"/>
              <w:snapToGrid w:val="0"/>
              <w:spacing w:after="0" w:line="400" w:lineRule="exact"/>
              <w:ind w:left="0" w:leftChars="0" w:firstLine="240" w:firstLineChars="100"/>
              <w:rPr>
                <w:rFonts w:ascii="仿宋_GB2312" w:hAnsi="等线" w:eastAsia="仿宋_GB2312"/>
                <w:color w:val="0D0D0D"/>
                <w:sz w:val="24"/>
                <w:szCs w:val="24"/>
              </w:rPr>
            </w:pPr>
            <w:r>
              <w:rPr>
                <w:rFonts w:hint="eastAsia" w:ascii="仿宋_GB2312" w:hAnsi="等线" w:eastAsia="仿宋_GB2312"/>
                <w:color w:val="0D0D0D"/>
                <w:sz w:val="24"/>
                <w:szCs w:val="24"/>
              </w:rPr>
              <w:t>预算管理审核工作</w:t>
            </w:r>
          </w:p>
        </w:tc>
        <w:tc>
          <w:tcPr>
            <w:tcW w:w="885" w:type="dxa"/>
            <w:tcBorders>
              <w:bottom w:val="single" w:color="auto" w:sz="4" w:space="0"/>
              <w:right w:val="single" w:color="auto" w:sz="4" w:space="0"/>
            </w:tcBorders>
            <w:vAlign w:val="center"/>
          </w:tcPr>
          <w:p>
            <w:pPr>
              <w:snapToGrid w:val="0"/>
              <w:spacing w:line="400" w:lineRule="exact"/>
              <w:jc w:val="center"/>
              <w:rPr>
                <w:rFonts w:ascii="仿宋_GB2312" w:hAnsi="等线" w:eastAsia="仿宋_GB2312"/>
                <w:color w:val="0D0D0D"/>
                <w:kern w:val="0"/>
                <w:sz w:val="24"/>
                <w:szCs w:val="24"/>
              </w:rPr>
            </w:pPr>
            <w:r>
              <w:rPr>
                <w:rFonts w:ascii="仿宋_GB2312" w:hAnsi="等线" w:eastAsia="仿宋_GB2312"/>
                <w:color w:val="0D0D0D"/>
                <w:kern w:val="0"/>
                <w:sz w:val="24"/>
                <w:szCs w:val="24"/>
              </w:rPr>
              <w:t>30</w:t>
            </w:r>
          </w:p>
        </w:tc>
      </w:tr>
    </w:tbl>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赛项评分标准制定遵循“公平、公正、公开”的原则，按照《全国职业院校技能大赛成绩管理办法》的相关要求，根据本赛项自身的特点，编制评分细则，应用信息化系统进行机考评分，无人为因素干扰，每个团队的最终竞赛成绩按百分制折算，折算成绩=（团队总成绩÷1200）×100。具体包含以下三个模块：</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1.业票财税与机器人应用，4名选手，每名选手100分；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2.税务服务与大数据应用，4名选手，每名选手100分；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3.财务管理与大数据应用，4名选手，每名选手100分。</w:t>
      </w:r>
    </w:p>
    <w:p>
      <w:pPr>
        <w:snapToGrid w:val="0"/>
        <w:spacing w:line="600" w:lineRule="exact"/>
        <w:ind w:firstLine="643" w:firstLineChars="200"/>
        <w:rPr>
          <w:rFonts w:ascii="仿宋" w:hAnsi="仿宋" w:eastAsia="仿宋"/>
          <w:b/>
          <w:bCs/>
          <w:kern w:val="0"/>
          <w:sz w:val="32"/>
          <w:szCs w:val="32"/>
        </w:rPr>
      </w:pPr>
      <w:r>
        <w:rPr>
          <w:rFonts w:hint="eastAsia" w:ascii="仿宋" w:hAnsi="仿宋" w:eastAsia="仿宋"/>
          <w:b/>
          <w:bCs/>
          <w:kern w:val="0"/>
          <w:sz w:val="32"/>
          <w:szCs w:val="32"/>
        </w:rPr>
        <w:t>十一、奖项设定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（一）奖项设置。团体赛以本项目实际参赛总队数为基数分别设立一、二、三等奖，获奖比例分别为10%、20%、30% (小数点后四舍五入);当选手成绩排名在获奖比例内，但比赛分数低于本赛项最高分数60%的不能获奖。</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（二）获奖选手及指导老师由组委会颁发荣誉证书。</w:t>
      </w:r>
    </w:p>
    <w:p>
      <w:pPr>
        <w:spacing w:line="56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十二、申诉与仲裁</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1.海南省职业院校技能大赛设仲裁工作委员会，赛点设仲裁工作组,组长由大赛组委会办公室指派，组员为赛项裁判长和赛点执委会主任。</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参赛队对赛事过程、工作人员工作若有疑异,在事实清楚,证据充分的前提下可由参赛队领队以书面形式向赛点仲裁组提出申诉。报告应对申诉事件的现象、发生时间、涉及人员、申诉依据等进行充分、实事求是的叙述。非书面申诉不予受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3.提出申诉应在赛项比赛结束后1小时内向赛点仲裁组提出。超过时效不予受理。提出申诉后申诉人及相关涉及人员不得离开赛点，否则视为自行放弃申诉。</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4.赛点仲裁工作组在接到申诉报告后的2小时内组织复议，并及时将复议结果以书面形式告知申诉方。</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5.对赛点仲裁组复议结果不服的，可由代表队所在院校校级领导向大赛仲裁委员会提出申诉。大赛仲裁委员会的仲裁结果为最终结果。</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6.申诉方不得以任何理由拒绝接收仲裁结果；不得以任何理由采取过激行为扰乱赛场秩序；仲裁结果由申诉人签收，不能代收；如在约定时间和地点申诉人离开，视为撤诉。</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7.申诉方可随时提出放弃申诉。</w:t>
      </w:r>
    </w:p>
    <w:p>
      <w:pPr>
        <w:spacing w:line="560" w:lineRule="exact"/>
        <w:ind w:firstLine="630" w:firstLineChars="196"/>
        <w:rPr>
          <w:rFonts w:ascii="仿宋_GB2312" w:hAnsi="仿宋" w:eastAsia="仿宋_GB2312"/>
          <w:b/>
          <w:sz w:val="32"/>
          <w:szCs w:val="32"/>
        </w:rPr>
      </w:pPr>
      <w:r>
        <w:rPr>
          <w:rFonts w:hint="eastAsia" w:ascii="仿宋_GB2312" w:hAnsi="仿宋" w:eastAsia="仿宋_GB2312"/>
          <w:b/>
          <w:sz w:val="32"/>
          <w:szCs w:val="32"/>
        </w:rPr>
        <w:t>十三、竞赛观摩</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1.由于赛项特点及赛场条件限制，本赛项不设置现场观摩环节。</w:t>
      </w:r>
    </w:p>
    <w:p>
      <w:pPr>
        <w:spacing w:line="560" w:lineRule="exact"/>
        <w:ind w:firstLine="640" w:firstLineChars="200"/>
        <w:rPr>
          <w:rFonts w:ascii="仿宋_GB2312" w:hAnsi="仿宋_GB2312" w:eastAsia="仿宋_GB2312" w:cs="仿宋_GB2312"/>
          <w:color w:val="000000" w:themeColor="text1"/>
          <w:kern w:val="0"/>
          <w:sz w:val="30"/>
          <w:szCs w:val="30"/>
        </w:rPr>
      </w:pPr>
      <w:r>
        <w:rPr>
          <w:rFonts w:hint="eastAsia" w:ascii="仿宋_GB2312" w:hAnsi="仿宋" w:eastAsia="仿宋_GB2312" w:cs="宋体"/>
          <w:bCs/>
          <w:kern w:val="0"/>
          <w:sz w:val="32"/>
          <w:szCs w:val="32"/>
        </w:rPr>
        <w:t>2.新闻媒体等进入赛场必须经过大赛执委会允许，由专人陪同并听从现场工作人员的安排和管理，不能影响比赛进行。</w:t>
      </w:r>
    </w:p>
    <w:p>
      <w:pPr>
        <w:spacing w:line="560" w:lineRule="exact"/>
        <w:ind w:firstLine="596" w:firstLineChars="198"/>
        <w:rPr>
          <w:rFonts w:ascii="仿宋_GB2312" w:hAnsi="仿宋" w:eastAsia="仿宋_GB2312"/>
          <w:b/>
          <w:color w:val="000000" w:themeColor="text1"/>
          <w:sz w:val="30"/>
          <w:szCs w:val="30"/>
        </w:rPr>
      </w:pPr>
      <w:r>
        <w:rPr>
          <w:rFonts w:hint="eastAsia" w:ascii="仿宋_GB2312" w:hAnsi="仿宋" w:eastAsia="仿宋_GB2312"/>
          <w:b/>
          <w:color w:val="000000" w:themeColor="text1"/>
          <w:sz w:val="30"/>
          <w:szCs w:val="30"/>
        </w:rPr>
        <w:t>十四、竞赛视频</w:t>
      </w:r>
    </w:p>
    <w:p>
      <w:pPr>
        <w:snapToGrid w:val="0"/>
        <w:spacing w:line="560" w:lineRule="exact"/>
        <w:ind w:firstLine="640" w:firstLineChars="200"/>
        <w:rPr>
          <w:rFonts w:ascii="仿宋_GB2312" w:hAnsi="仿宋_GB2312" w:eastAsia="仿宋_GB2312" w:cs="仿宋_GB2312"/>
          <w:color w:val="000000" w:themeColor="text1"/>
          <w:kern w:val="0"/>
          <w:sz w:val="30"/>
          <w:szCs w:val="30"/>
        </w:rPr>
      </w:pPr>
      <w:r>
        <w:rPr>
          <w:rFonts w:hint="eastAsia" w:ascii="仿宋_GB2312" w:hAnsi="仿宋" w:eastAsia="仿宋_GB2312" w:cs="宋体"/>
          <w:bCs/>
          <w:kern w:val="0"/>
          <w:sz w:val="32"/>
          <w:szCs w:val="32"/>
        </w:rPr>
        <w:t>赛场内部署无盲点录像设备，对比赛过程全程实时录像。</w:t>
      </w:r>
    </w:p>
    <w:p>
      <w:pPr>
        <w:snapToGrid w:val="0"/>
        <w:spacing w:line="560" w:lineRule="exact"/>
        <w:ind w:firstLine="596" w:firstLineChars="198"/>
        <w:rPr>
          <w:rFonts w:ascii="仿宋_GB2312" w:hAnsi="仿宋" w:eastAsia="仿宋_GB2312" w:cs="仿宋_GB2312"/>
          <w:b/>
          <w:bCs/>
          <w:sz w:val="30"/>
          <w:szCs w:val="30"/>
        </w:rPr>
      </w:pPr>
      <w:r>
        <w:rPr>
          <w:rFonts w:hint="eastAsia" w:ascii="仿宋_GB2312" w:hAnsi="仿宋" w:eastAsia="仿宋_GB2312" w:cs="仿宋_GB2312"/>
          <w:b/>
          <w:bCs/>
          <w:sz w:val="30"/>
          <w:szCs w:val="30"/>
        </w:rPr>
        <w:t>十五、竞赛须知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（一）参赛队须知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1.参赛资格。参赛选手须为同一院校全日制在籍高职学生（含本科院校中高职类全日制在籍学生，五年制中职四、五年级在籍学生），年龄不超过25周岁，年龄计算的截止时间为2021年10月1日。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选手报名。各参赛院校须按照规定的时间和要求上报参赛信息，参赛选手和指导教师报名获得确认后不得更换人员和第一赛段的岗位。如比赛前参赛选手和指导教师因故无法参赛，须由省级教育行政部门离开赛7个工作日之前出具书面说明，经大赛执委会办公室核实后予以更换。如备赛过程中参赛选手和指导教师因故无法参赛，视为弃赛。竞赛开始后，参赛队不得更换参赛队员。</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3.熟悉场地。参赛选手、裁判员、工作人员、赛项组织者等人员均需按照赛项执委会要求准时到达赛项举办地点，及时办理相关手续，领取相关证件，熟悉场地，做好赛前准备工作。</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成绩评定与结果公布。竞赛成绩通过计算机自动评分、竞赛过程中相关技术人员不得随意操作系统，从计算机系统输出成绩的全过程需要接受两名监督员的监督，并进行现场录像。系统输出的竞赛成绩，需在监督员的监督下由两个裁判员一起移交给加密裁判合并计算竞赛成绩，并经裁判长及有关人员签字确认后在赛场外张贴公布。</w:t>
      </w:r>
    </w:p>
    <w:p>
      <w:pPr>
        <w:spacing w:line="560" w:lineRule="exact"/>
        <w:ind w:firstLine="640" w:firstLineChars="200"/>
      </w:pPr>
      <w:r>
        <w:rPr>
          <w:rFonts w:hint="eastAsia" w:ascii="仿宋_GB2312" w:hAnsi="仿宋" w:eastAsia="仿宋_GB2312" w:cs="宋体"/>
          <w:bCs/>
          <w:kern w:val="0"/>
          <w:sz w:val="32"/>
          <w:szCs w:val="32"/>
        </w:rPr>
        <w:t>5.竞赛日程安排（具体日程安排以比赛报到日安排为准）</w:t>
      </w:r>
    </w:p>
    <w:tbl>
      <w:tblPr>
        <w:tblStyle w:val="12"/>
        <w:tblpPr w:leftFromText="180" w:rightFromText="180" w:vertAnchor="text" w:horzAnchor="page" w:tblpX="936" w:tblpY="290"/>
        <w:tblOverlap w:val="never"/>
        <w:tblW w:w="103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4"/>
        <w:gridCol w:w="2512"/>
        <w:gridCol w:w="2790"/>
        <w:gridCol w:w="2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44" w:type="dxa"/>
            <w:vAlign w:val="center"/>
          </w:tcPr>
          <w:p>
            <w:pPr>
              <w:tabs>
                <w:tab w:val="center" w:pos="1006"/>
              </w:tabs>
              <w:spacing w:line="380" w:lineRule="exact"/>
              <w:jc w:val="center"/>
              <w:rPr>
                <w:rFonts w:ascii="仿宋_GB2312" w:hAnsi="宋体" w:eastAsia="仿宋_GB2312" w:cs="Arial"/>
                <w:b/>
                <w:kern w:val="0"/>
                <w:sz w:val="24"/>
              </w:rPr>
            </w:pPr>
            <w:r>
              <w:rPr>
                <w:rFonts w:hint="eastAsia" w:ascii="仿宋_GB2312" w:hAnsi="宋体" w:eastAsia="仿宋_GB2312" w:cs="Arial"/>
                <w:b/>
                <w:kern w:val="0"/>
                <w:sz w:val="24"/>
              </w:rPr>
              <w:t>日期</w:t>
            </w:r>
          </w:p>
        </w:tc>
        <w:tc>
          <w:tcPr>
            <w:tcW w:w="2512" w:type="dxa"/>
            <w:vAlign w:val="center"/>
          </w:tcPr>
          <w:p>
            <w:pPr>
              <w:tabs>
                <w:tab w:val="center" w:pos="1006"/>
              </w:tabs>
              <w:spacing w:line="380" w:lineRule="exact"/>
              <w:jc w:val="center"/>
              <w:rPr>
                <w:rFonts w:ascii="仿宋_GB2312" w:hAnsi="宋体" w:eastAsia="仿宋_GB2312" w:cs="Arial"/>
                <w:b/>
                <w:kern w:val="0"/>
                <w:sz w:val="24"/>
              </w:rPr>
            </w:pPr>
            <w:r>
              <w:rPr>
                <w:rFonts w:hint="eastAsia" w:ascii="仿宋_GB2312" w:hAnsi="宋体" w:eastAsia="仿宋_GB2312" w:cs="Arial"/>
                <w:b/>
                <w:kern w:val="0"/>
                <w:sz w:val="24"/>
              </w:rPr>
              <w:t>时间</w:t>
            </w:r>
          </w:p>
        </w:tc>
        <w:tc>
          <w:tcPr>
            <w:tcW w:w="2790" w:type="dxa"/>
            <w:vAlign w:val="center"/>
          </w:tcPr>
          <w:p>
            <w:pPr>
              <w:tabs>
                <w:tab w:val="center" w:pos="1006"/>
              </w:tabs>
              <w:spacing w:line="380" w:lineRule="exact"/>
              <w:jc w:val="center"/>
              <w:rPr>
                <w:rFonts w:ascii="仿宋_GB2312" w:hAnsi="宋体" w:eastAsia="仿宋_GB2312" w:cs="Arial"/>
                <w:b/>
                <w:kern w:val="0"/>
                <w:sz w:val="24"/>
              </w:rPr>
            </w:pPr>
            <w:r>
              <w:rPr>
                <w:rFonts w:hint="eastAsia" w:ascii="仿宋_GB2312" w:hAnsi="宋体" w:eastAsia="仿宋_GB2312" w:cs="Arial"/>
                <w:b/>
                <w:kern w:val="0"/>
                <w:sz w:val="24"/>
              </w:rPr>
              <w:t>内 容</w:t>
            </w:r>
          </w:p>
        </w:tc>
        <w:tc>
          <w:tcPr>
            <w:tcW w:w="2863" w:type="dxa"/>
            <w:vAlign w:val="center"/>
          </w:tcPr>
          <w:p>
            <w:pPr>
              <w:tabs>
                <w:tab w:val="center" w:pos="1006"/>
              </w:tabs>
              <w:spacing w:line="380" w:lineRule="exact"/>
              <w:jc w:val="center"/>
              <w:rPr>
                <w:rFonts w:ascii="仿宋_GB2312" w:hAnsi="宋体" w:eastAsia="仿宋_GB2312" w:cs="Arial"/>
                <w:b/>
                <w:kern w:val="0"/>
                <w:sz w:val="24"/>
              </w:rPr>
            </w:pPr>
            <w:r>
              <w:rPr>
                <w:rFonts w:hint="eastAsia" w:ascii="仿宋_GB2312" w:hAnsi="宋体" w:eastAsia="仿宋_GB2312" w:cs="Arial"/>
                <w:b/>
                <w:kern w:val="0"/>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2144"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highlight w:val="red"/>
              </w:rPr>
              <w:t>2021年10月27日</w:t>
            </w: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14:30—17:30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参赛队报到、</w:t>
            </w:r>
            <w:bookmarkStart w:id="2" w:name="_GoBack"/>
            <w:bookmarkEnd w:id="2"/>
            <w:r>
              <w:rPr>
                <w:rFonts w:hint="eastAsia" w:ascii="仿宋_GB2312" w:hAnsi="宋体" w:eastAsia="仿宋_GB2312" w:cs="Arial"/>
                <w:kern w:val="0"/>
                <w:sz w:val="24"/>
              </w:rPr>
              <w:t>提交健康码、熟悉场地</w:t>
            </w:r>
          </w:p>
        </w:tc>
        <w:tc>
          <w:tcPr>
            <w:tcW w:w="2863"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第二实训楼</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3-307</w:t>
            </w:r>
          </w:p>
          <w:p>
            <w:pPr>
              <w:pStyle w:val="2"/>
              <w:ind w:firstLine="0" w:firstLineChars="0"/>
              <w:jc w:val="center"/>
              <w:rPr>
                <w:rFonts w:hint="eastAsia" w:ascii="仿宋_GB2312" w:hAnsi="宋体" w:eastAsia="仿宋_GB2312" w:cs="Arial"/>
                <w:kern w:val="0"/>
                <w:sz w:val="24"/>
              </w:rPr>
            </w:pPr>
            <w:r>
              <w:rPr>
                <w:rFonts w:hint="eastAsia" w:ascii="仿宋_GB2312" w:hAnsi="宋体" w:eastAsia="仿宋_GB2312" w:cs="Arial"/>
                <w:kern w:val="0"/>
                <w:sz w:val="24"/>
              </w:rPr>
              <w:t>联系人：符老师</w:t>
            </w:r>
          </w:p>
          <w:p>
            <w:pPr>
              <w:pStyle w:val="2"/>
              <w:ind w:firstLine="0" w:firstLineChars="0"/>
              <w:jc w:val="center"/>
              <w:rPr>
                <w:rFonts w:ascii="仿宋_GB2312" w:hAnsi="宋体" w:eastAsia="仿宋_GB2312" w:cs="Arial"/>
                <w:kern w:val="0"/>
                <w:sz w:val="24"/>
              </w:rPr>
            </w:pPr>
            <w:r>
              <w:rPr>
                <w:rFonts w:hint="eastAsia" w:ascii="仿宋_GB2312" w:hAnsi="宋体" w:eastAsia="仿宋_GB2312" w:cs="Arial"/>
                <w:kern w:val="0"/>
                <w:sz w:val="24"/>
              </w:rPr>
              <w:t>18876081092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144" w:type="dxa"/>
            <w:vMerge w:val="restart"/>
            <w:vAlign w:val="center"/>
          </w:tcPr>
          <w:p>
            <w:pPr>
              <w:spacing w:line="380" w:lineRule="exact"/>
              <w:jc w:val="center"/>
              <w:rPr>
                <w:rFonts w:ascii="仿宋_GB2312" w:hAnsi="宋体" w:eastAsia="仿宋_GB2312" w:cs="Arial"/>
                <w:kern w:val="0"/>
                <w:sz w:val="24"/>
                <w:highlight w:val="red"/>
              </w:rPr>
            </w:pPr>
            <w:r>
              <w:rPr>
                <w:rFonts w:hint="eastAsia" w:ascii="仿宋_GB2312" w:hAnsi="宋体" w:eastAsia="仿宋_GB2312" w:cs="Arial"/>
                <w:kern w:val="0"/>
                <w:sz w:val="24"/>
                <w:highlight w:val="red"/>
              </w:rPr>
              <w:t>2021年10月28日</w:t>
            </w: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08:00—08:30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选手检录、测量体温并抽取工位，在志愿者引导下进入赛场</w:t>
            </w:r>
          </w:p>
        </w:tc>
        <w:tc>
          <w:tcPr>
            <w:tcW w:w="2863" w:type="dxa"/>
            <w:vMerge w:val="restart"/>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第二实训楼</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3-210、3-307</w:t>
            </w:r>
          </w:p>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8:30-9:00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裁判讲解比赛注意事项</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参赛选手检查比赛网址是否正常、核对账号</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9:00-11:30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选手比赛环节</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11:30—14:00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午餐休息</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14:00-14:30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选手检录、测量体温并抽取工位，在志愿者引导下进入赛场</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14:30-15:00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裁判讲解比赛注意事项</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参赛选手检查比赛网址是否正常、核对账号</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15:00-17:30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选手比赛环节</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restart"/>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highlight w:val="red"/>
              </w:rPr>
              <w:t>2021年10月29日</w:t>
            </w: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8:00-8:30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选手检录、测量体温并抽取工位，在志愿者引导下进入赛场</w:t>
            </w:r>
          </w:p>
        </w:tc>
        <w:tc>
          <w:tcPr>
            <w:tcW w:w="2863" w:type="dxa"/>
            <w:vMerge w:val="restart"/>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第二实训楼</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3-210、3-307</w:t>
            </w:r>
          </w:p>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8:30-9:00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裁判讲解比赛注意事项</w:t>
            </w:r>
          </w:p>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参赛选手检查比赛网址是否正常、核对账号</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9:00-11:30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选手比赛环节</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11:30-13:30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午餐休息</w:t>
            </w:r>
          </w:p>
        </w:tc>
        <w:tc>
          <w:tcPr>
            <w:tcW w:w="2863" w:type="dxa"/>
            <w:vMerge w:val="continue"/>
            <w:vAlign w:val="center"/>
          </w:tcPr>
          <w:p>
            <w:pPr>
              <w:spacing w:line="380" w:lineRule="exact"/>
              <w:jc w:val="center"/>
              <w:rPr>
                <w:rFonts w:ascii="仿宋_GB2312" w:hAnsi="宋体" w:eastAsia="仿宋_GB2312" w:cs="Arial"/>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144" w:type="dxa"/>
            <w:vMerge w:val="continue"/>
            <w:vAlign w:val="center"/>
          </w:tcPr>
          <w:p>
            <w:pPr>
              <w:spacing w:line="380" w:lineRule="exact"/>
              <w:jc w:val="center"/>
              <w:rPr>
                <w:rFonts w:ascii="仿宋_GB2312" w:hAnsi="宋体" w:eastAsia="仿宋_GB2312" w:cs="Arial"/>
                <w:kern w:val="0"/>
                <w:sz w:val="24"/>
              </w:rPr>
            </w:pPr>
          </w:p>
        </w:tc>
        <w:tc>
          <w:tcPr>
            <w:tcW w:w="2512"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13:30-16:30</w:t>
            </w:r>
          </w:p>
        </w:tc>
        <w:tc>
          <w:tcPr>
            <w:tcW w:w="2790" w:type="dxa"/>
            <w:vAlign w:val="center"/>
          </w:tcPr>
          <w:p>
            <w:pPr>
              <w:spacing w:line="380" w:lineRule="exact"/>
              <w:jc w:val="center"/>
              <w:rPr>
                <w:rFonts w:ascii="仿宋_GB2312" w:hAnsi="宋体" w:eastAsia="仿宋_GB2312" w:cs="Arial"/>
                <w:kern w:val="0"/>
                <w:sz w:val="24"/>
              </w:rPr>
            </w:pPr>
            <w:r>
              <w:rPr>
                <w:rFonts w:hint="eastAsia" w:ascii="仿宋_GB2312" w:hAnsi="宋体" w:eastAsia="仿宋_GB2312" w:cs="Arial"/>
                <w:kern w:val="0"/>
                <w:sz w:val="24"/>
              </w:rPr>
              <w:t>统计成绩、裁判组评定</w:t>
            </w:r>
            <w:r>
              <w:rPr>
                <w:rFonts w:hint="eastAsia" w:ascii="仿宋_GB2312" w:hAnsi="宋体" w:eastAsia="仿宋_GB2312" w:cs="Arial"/>
                <w:kern w:val="0"/>
                <w:sz w:val="24"/>
                <w:lang w:eastAsia="zh-CN"/>
              </w:rPr>
              <w:t>、</w:t>
            </w:r>
            <w:r>
              <w:rPr>
                <w:rFonts w:hint="eastAsia" w:ascii="仿宋_GB2312" w:hAnsi="宋体" w:eastAsia="仿宋_GB2312" w:cs="Arial"/>
                <w:kern w:val="0"/>
                <w:sz w:val="24"/>
              </w:rPr>
              <w:t>公布成绩</w:t>
            </w:r>
          </w:p>
        </w:tc>
        <w:tc>
          <w:tcPr>
            <w:tcW w:w="2863" w:type="dxa"/>
            <w:vMerge w:val="continue"/>
            <w:vAlign w:val="center"/>
          </w:tcPr>
          <w:p>
            <w:pPr>
              <w:spacing w:line="380" w:lineRule="exact"/>
              <w:jc w:val="center"/>
              <w:rPr>
                <w:rFonts w:ascii="仿宋_GB2312" w:hAnsi="宋体" w:eastAsia="仿宋_GB2312" w:cs="Arial"/>
                <w:kern w:val="0"/>
                <w:sz w:val="24"/>
              </w:rPr>
            </w:pPr>
          </w:p>
        </w:tc>
      </w:tr>
    </w:tbl>
    <w:p>
      <w:pPr>
        <w:snapToGrid w:val="0"/>
        <w:spacing w:line="560" w:lineRule="exact"/>
        <w:rPr>
          <w:rFonts w:ascii="仿宋_GB2312" w:hAnsi="仿宋" w:eastAsia="仿宋_GB2312" w:cs="仿宋_GB2312"/>
          <w:sz w:val="30"/>
          <w:szCs w:val="30"/>
        </w:rPr>
      </w:pP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（二）指导教师须知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1.领队、指导教师须严格遵守赛场纪律，服从裁判，文明竞赛。</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2.竞赛期间，指导教师不得进入赛场内进行指导。</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3.正式报名的领队、指导教师原则上不得更换。</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4.竞赛期间各参赛队不得以任何形式向裁判透露参赛信息或沟通竞赛事宜，有关竞赛所有问题须由领队按规范要求向赛项执委会或仲裁组反映或协商。</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（三）参赛选手须知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1.参赛选手应按有关要求如实填报个人信息，否则取消竞赛资格。</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2.参赛选手凭统一印制的参赛证、有效身份证件参加竞赛，并注意仪容仪表整洁、大方。</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3.参赛选手应认真学习领会本次竞赛相关文件，自觉遵守大赛纪律，服从指挥，听从安排，文明参赛。</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4.参赛选手应提前30分钟抵达赛场，凭参赛证、身份证件检录，按要求入场，不得迟到早退。</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5.参赛选手须在确认竞赛内容和现场设备等无误后开始竞赛。在竞赛过程中，如有疑问，参赛选手举手示意，项目裁判长应按照有关要求及时予以答疑，但选手不得对业务技能相关知识和操作询问裁判人员。如遇设备或软件等故障，参赛选手应举手示意。项目裁判长、技术人员等应及时予以解决。确因计算机软件或硬件故障，致使操作无法继续的，经项目裁判长确认，予以启用备用计算机。如遇身体不适，参赛选手应举手示意，现场医务人员按应急预案救治。</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6.各参赛选手必须按规范要求操作竞赛设备。一旦出现较严重的安全事故，经裁判长批准后将立即取消其参赛资格。</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7.竞赛时间终了，选手应全体起立，结束操作。经现场指挥人员发出指令后，方可离开赛场。</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8.在竞赛期间，未经执委会的批准，参赛选手不得接受其他单位和个人进行的与竞赛内容相关的采访。参赛选手不得将竞赛的相关信息私自公布。</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（四）工作人员须知</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1.大赛期间，工作人员应遵守赛场相关规定。新闻媒体等进入赛场必须经执委会允许，由专人陪同并且听从现场工作人员的安排和管理，不能影响比赛进行。</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2</w:t>
      </w:r>
      <w:r>
        <w:rPr>
          <w:rFonts w:hint="eastAsia" w:ascii="仿宋_GB2312" w:hAnsi="仿宋" w:eastAsia="仿宋_GB2312" w:cs="宋体"/>
          <w:bCs/>
          <w:kern w:val="0"/>
          <w:sz w:val="32"/>
          <w:szCs w:val="32"/>
          <w:lang w:val="en-US" w:eastAsia="zh-CN"/>
        </w:rPr>
        <w:t>.</w:t>
      </w:r>
      <w:r>
        <w:rPr>
          <w:rFonts w:hint="eastAsia" w:ascii="仿宋_GB2312" w:hAnsi="仿宋" w:eastAsia="仿宋_GB2312" w:cs="宋体"/>
          <w:bCs/>
          <w:kern w:val="0"/>
          <w:sz w:val="32"/>
          <w:szCs w:val="32"/>
        </w:rPr>
        <w:t>在选手比赛时，工作人员及赛场所有人员必须保持安静，不得随意走动、喧哗、提示或出现对选手有影响的动作。除经特别允许，工作人员进入赛场后请关闭手机。</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3.比赛期间，由赛项执委会负责处理突发事件，由仲裁组人员处理申诉事项，由监督人员对裁判人员和现场评分员进行监督，工作人员不得私自处理有关选手比赛成绩的相关事件。</w:t>
      </w:r>
    </w:p>
    <w:p>
      <w:pPr>
        <w:spacing w:line="560" w:lineRule="exact"/>
        <w:ind w:firstLine="640" w:firstLineChars="200"/>
        <w:rPr>
          <w:rFonts w:ascii="仿宋_GB2312" w:hAnsi="仿宋" w:eastAsia="仿宋_GB2312" w:cs="宋体"/>
          <w:bCs/>
          <w:kern w:val="0"/>
          <w:sz w:val="32"/>
          <w:szCs w:val="32"/>
        </w:rPr>
      </w:pPr>
      <w:r>
        <w:rPr>
          <w:rFonts w:hint="eastAsia" w:ascii="仿宋_GB2312" w:hAnsi="仿宋" w:eastAsia="仿宋_GB2312" w:cs="宋体"/>
          <w:bCs/>
          <w:kern w:val="0"/>
          <w:sz w:val="32"/>
          <w:szCs w:val="32"/>
        </w:rPr>
        <w:t>本赛项最终解释权归大赛组委会。</w:t>
      </w:r>
    </w:p>
    <w:p>
      <w:pPr>
        <w:spacing w:line="560" w:lineRule="exact"/>
        <w:ind w:firstLine="640" w:firstLineChars="200"/>
        <w:rPr>
          <w:rFonts w:ascii="仿宋_GB2312" w:hAnsi="仿宋" w:eastAsia="仿宋_GB2312" w:cs="宋体"/>
          <w:bCs/>
          <w:kern w:val="0"/>
          <w:sz w:val="32"/>
          <w:szCs w:val="32"/>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5E60DD"/>
    <w:rsid w:val="00002EE1"/>
    <w:rsid w:val="00017A23"/>
    <w:rsid w:val="000205C9"/>
    <w:rsid w:val="000400B6"/>
    <w:rsid w:val="00056961"/>
    <w:rsid w:val="00057906"/>
    <w:rsid w:val="000634FB"/>
    <w:rsid w:val="00066B5F"/>
    <w:rsid w:val="00083337"/>
    <w:rsid w:val="00087C2D"/>
    <w:rsid w:val="000904DB"/>
    <w:rsid w:val="000A5C6A"/>
    <w:rsid w:val="000C501E"/>
    <w:rsid w:val="000E00B3"/>
    <w:rsid w:val="000E55F6"/>
    <w:rsid w:val="001047CC"/>
    <w:rsid w:val="00107742"/>
    <w:rsid w:val="001141CD"/>
    <w:rsid w:val="00115EF5"/>
    <w:rsid w:val="00136039"/>
    <w:rsid w:val="00153AC1"/>
    <w:rsid w:val="00154364"/>
    <w:rsid w:val="0017345B"/>
    <w:rsid w:val="00175636"/>
    <w:rsid w:val="001A4F5B"/>
    <w:rsid w:val="001B4486"/>
    <w:rsid w:val="001C522E"/>
    <w:rsid w:val="00221417"/>
    <w:rsid w:val="0023683D"/>
    <w:rsid w:val="002644A4"/>
    <w:rsid w:val="00264786"/>
    <w:rsid w:val="00281B79"/>
    <w:rsid w:val="002842E9"/>
    <w:rsid w:val="00290CA4"/>
    <w:rsid w:val="00291D62"/>
    <w:rsid w:val="0029248A"/>
    <w:rsid w:val="00297811"/>
    <w:rsid w:val="002B0CBA"/>
    <w:rsid w:val="002B1575"/>
    <w:rsid w:val="002C000C"/>
    <w:rsid w:val="00313925"/>
    <w:rsid w:val="003146CD"/>
    <w:rsid w:val="003174E1"/>
    <w:rsid w:val="00330338"/>
    <w:rsid w:val="003417A8"/>
    <w:rsid w:val="00355D58"/>
    <w:rsid w:val="00360E02"/>
    <w:rsid w:val="003648AB"/>
    <w:rsid w:val="003757CF"/>
    <w:rsid w:val="003B71DB"/>
    <w:rsid w:val="003E45AF"/>
    <w:rsid w:val="003F1D64"/>
    <w:rsid w:val="00402DC0"/>
    <w:rsid w:val="0040356C"/>
    <w:rsid w:val="00415DC0"/>
    <w:rsid w:val="00417A4A"/>
    <w:rsid w:val="00486038"/>
    <w:rsid w:val="00486902"/>
    <w:rsid w:val="004A1B39"/>
    <w:rsid w:val="004B43B1"/>
    <w:rsid w:val="004B663C"/>
    <w:rsid w:val="004C28F1"/>
    <w:rsid w:val="004C3FEA"/>
    <w:rsid w:val="004E0334"/>
    <w:rsid w:val="004F0683"/>
    <w:rsid w:val="00505F58"/>
    <w:rsid w:val="00524C80"/>
    <w:rsid w:val="00540C5A"/>
    <w:rsid w:val="005438E6"/>
    <w:rsid w:val="00574F5E"/>
    <w:rsid w:val="00591B54"/>
    <w:rsid w:val="00597722"/>
    <w:rsid w:val="005B6F11"/>
    <w:rsid w:val="005C5C16"/>
    <w:rsid w:val="005E063E"/>
    <w:rsid w:val="005E60DD"/>
    <w:rsid w:val="005F152F"/>
    <w:rsid w:val="00613BE2"/>
    <w:rsid w:val="006214AB"/>
    <w:rsid w:val="006314F8"/>
    <w:rsid w:val="006413C0"/>
    <w:rsid w:val="006459DC"/>
    <w:rsid w:val="006520AB"/>
    <w:rsid w:val="00682B46"/>
    <w:rsid w:val="00683515"/>
    <w:rsid w:val="00685D66"/>
    <w:rsid w:val="0069408C"/>
    <w:rsid w:val="006954C0"/>
    <w:rsid w:val="00697107"/>
    <w:rsid w:val="006A186B"/>
    <w:rsid w:val="006B0DB6"/>
    <w:rsid w:val="006B6871"/>
    <w:rsid w:val="006C3D31"/>
    <w:rsid w:val="006C660A"/>
    <w:rsid w:val="006F73AE"/>
    <w:rsid w:val="00703912"/>
    <w:rsid w:val="00711E03"/>
    <w:rsid w:val="00720CBA"/>
    <w:rsid w:val="00742CCE"/>
    <w:rsid w:val="00775B93"/>
    <w:rsid w:val="007B000E"/>
    <w:rsid w:val="007B27CA"/>
    <w:rsid w:val="007D2CE9"/>
    <w:rsid w:val="007E0B9E"/>
    <w:rsid w:val="007E7D1C"/>
    <w:rsid w:val="007E7E11"/>
    <w:rsid w:val="007F5101"/>
    <w:rsid w:val="00812FC9"/>
    <w:rsid w:val="00814AB7"/>
    <w:rsid w:val="00817442"/>
    <w:rsid w:val="00825E6D"/>
    <w:rsid w:val="00834C17"/>
    <w:rsid w:val="008444AB"/>
    <w:rsid w:val="00844C80"/>
    <w:rsid w:val="00846977"/>
    <w:rsid w:val="008539CA"/>
    <w:rsid w:val="00857A0C"/>
    <w:rsid w:val="00861E8F"/>
    <w:rsid w:val="00873CCA"/>
    <w:rsid w:val="00877FAC"/>
    <w:rsid w:val="008B0605"/>
    <w:rsid w:val="008B49C1"/>
    <w:rsid w:val="008E045D"/>
    <w:rsid w:val="00904102"/>
    <w:rsid w:val="009135E0"/>
    <w:rsid w:val="0092198B"/>
    <w:rsid w:val="009306AC"/>
    <w:rsid w:val="0094186D"/>
    <w:rsid w:val="009820C4"/>
    <w:rsid w:val="00982D53"/>
    <w:rsid w:val="00985A5C"/>
    <w:rsid w:val="00987CE0"/>
    <w:rsid w:val="009A738E"/>
    <w:rsid w:val="009C24E6"/>
    <w:rsid w:val="009D6F23"/>
    <w:rsid w:val="009E561C"/>
    <w:rsid w:val="00A00B0B"/>
    <w:rsid w:val="00A147D0"/>
    <w:rsid w:val="00A15EA6"/>
    <w:rsid w:val="00A27F4C"/>
    <w:rsid w:val="00A335D0"/>
    <w:rsid w:val="00A43992"/>
    <w:rsid w:val="00A63692"/>
    <w:rsid w:val="00A6620F"/>
    <w:rsid w:val="00A726B7"/>
    <w:rsid w:val="00A77AB5"/>
    <w:rsid w:val="00A91091"/>
    <w:rsid w:val="00AB414C"/>
    <w:rsid w:val="00AC2543"/>
    <w:rsid w:val="00AC451C"/>
    <w:rsid w:val="00AC6269"/>
    <w:rsid w:val="00AD17D3"/>
    <w:rsid w:val="00AD1C87"/>
    <w:rsid w:val="00B01D3B"/>
    <w:rsid w:val="00B055F5"/>
    <w:rsid w:val="00B1037E"/>
    <w:rsid w:val="00B11B79"/>
    <w:rsid w:val="00B2157D"/>
    <w:rsid w:val="00B25C06"/>
    <w:rsid w:val="00B8492E"/>
    <w:rsid w:val="00BA3632"/>
    <w:rsid w:val="00BA423E"/>
    <w:rsid w:val="00BB22CA"/>
    <w:rsid w:val="00BC655F"/>
    <w:rsid w:val="00BF5387"/>
    <w:rsid w:val="00C0270B"/>
    <w:rsid w:val="00C0679B"/>
    <w:rsid w:val="00C134EE"/>
    <w:rsid w:val="00C261DD"/>
    <w:rsid w:val="00C36CFE"/>
    <w:rsid w:val="00C65D99"/>
    <w:rsid w:val="00C8717C"/>
    <w:rsid w:val="00C9510E"/>
    <w:rsid w:val="00CC2B2C"/>
    <w:rsid w:val="00CD0A05"/>
    <w:rsid w:val="00CD11D8"/>
    <w:rsid w:val="00CD52AE"/>
    <w:rsid w:val="00CD671D"/>
    <w:rsid w:val="00CE03D7"/>
    <w:rsid w:val="00CF67D0"/>
    <w:rsid w:val="00CF7ADE"/>
    <w:rsid w:val="00D04478"/>
    <w:rsid w:val="00D04B4C"/>
    <w:rsid w:val="00D05485"/>
    <w:rsid w:val="00D20743"/>
    <w:rsid w:val="00D30B6C"/>
    <w:rsid w:val="00D3116F"/>
    <w:rsid w:val="00D83F45"/>
    <w:rsid w:val="00D967C3"/>
    <w:rsid w:val="00DA61BE"/>
    <w:rsid w:val="00DA769A"/>
    <w:rsid w:val="00DB49B5"/>
    <w:rsid w:val="00DB6195"/>
    <w:rsid w:val="00DB6E58"/>
    <w:rsid w:val="00DD05A4"/>
    <w:rsid w:val="00DD2359"/>
    <w:rsid w:val="00DE2662"/>
    <w:rsid w:val="00DE6A55"/>
    <w:rsid w:val="00DF3111"/>
    <w:rsid w:val="00E04241"/>
    <w:rsid w:val="00E17629"/>
    <w:rsid w:val="00E35CC2"/>
    <w:rsid w:val="00E70D55"/>
    <w:rsid w:val="00EB3F13"/>
    <w:rsid w:val="00EC04F7"/>
    <w:rsid w:val="00ED4420"/>
    <w:rsid w:val="00ED7B01"/>
    <w:rsid w:val="00EE756B"/>
    <w:rsid w:val="00F0094A"/>
    <w:rsid w:val="00F01D57"/>
    <w:rsid w:val="00F06E30"/>
    <w:rsid w:val="00F2710D"/>
    <w:rsid w:val="00F350BD"/>
    <w:rsid w:val="00F36DB4"/>
    <w:rsid w:val="00F4509C"/>
    <w:rsid w:val="00F50D4A"/>
    <w:rsid w:val="00F52C65"/>
    <w:rsid w:val="00F717C3"/>
    <w:rsid w:val="00F9755B"/>
    <w:rsid w:val="00FA243B"/>
    <w:rsid w:val="00FA2E0C"/>
    <w:rsid w:val="00FB4F1B"/>
    <w:rsid w:val="03417DCB"/>
    <w:rsid w:val="034B7FBB"/>
    <w:rsid w:val="035045FC"/>
    <w:rsid w:val="047A3274"/>
    <w:rsid w:val="0B5824D1"/>
    <w:rsid w:val="0BD7041C"/>
    <w:rsid w:val="0FB51A64"/>
    <w:rsid w:val="13216697"/>
    <w:rsid w:val="18F676F0"/>
    <w:rsid w:val="198F4B0D"/>
    <w:rsid w:val="1C044CFD"/>
    <w:rsid w:val="20167CFF"/>
    <w:rsid w:val="25993090"/>
    <w:rsid w:val="28EE59FB"/>
    <w:rsid w:val="2A7D31E5"/>
    <w:rsid w:val="2C38602C"/>
    <w:rsid w:val="31140521"/>
    <w:rsid w:val="32033418"/>
    <w:rsid w:val="34D84B6C"/>
    <w:rsid w:val="470E2C86"/>
    <w:rsid w:val="49D86FAB"/>
    <w:rsid w:val="4FBA5A0D"/>
    <w:rsid w:val="54D15481"/>
    <w:rsid w:val="55E71D00"/>
    <w:rsid w:val="59021103"/>
    <w:rsid w:val="5B4D123E"/>
    <w:rsid w:val="67C56C8C"/>
    <w:rsid w:val="67C97C6A"/>
    <w:rsid w:val="68872901"/>
    <w:rsid w:val="69297F38"/>
    <w:rsid w:val="6F6907B7"/>
    <w:rsid w:val="719B07BC"/>
    <w:rsid w:val="74672FE2"/>
    <w:rsid w:val="77BA0200"/>
    <w:rsid w:val="7849389C"/>
    <w:rsid w:val="7B557A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420" w:firstLineChars="100"/>
    </w:pPr>
    <w:rPr>
      <w:rFonts w:ascii="微软雅黑" w:hAnsi="微软雅黑" w:eastAsia="微软雅黑" w:cs="微软雅黑"/>
    </w:rPr>
  </w:style>
  <w:style w:type="paragraph" w:styleId="3">
    <w:name w:val="Body Text"/>
    <w:basedOn w:val="1"/>
    <w:qFormat/>
    <w:uiPriority w:val="0"/>
    <w:pPr>
      <w:spacing w:after="120"/>
    </w:pPr>
  </w:style>
  <w:style w:type="paragraph" w:styleId="4">
    <w:name w:val="annotation text"/>
    <w:basedOn w:val="1"/>
    <w:link w:val="16"/>
    <w:semiHidden/>
    <w:unhideWhenUsed/>
    <w:qFormat/>
    <w:uiPriority w:val="99"/>
    <w:pPr>
      <w:jc w:val="left"/>
    </w:pPr>
  </w:style>
  <w:style w:type="paragraph" w:styleId="5">
    <w:name w:val="Body Text Indent"/>
    <w:basedOn w:val="1"/>
    <w:link w:val="15"/>
    <w:unhideWhenUsed/>
    <w:qFormat/>
    <w:uiPriority w:val="99"/>
    <w:pPr>
      <w:spacing w:after="120"/>
      <w:ind w:left="420" w:leftChars="200"/>
    </w:pPr>
    <w:rPr>
      <w:rFonts w:cs="Times New Roman"/>
      <w:szCs w:val="22"/>
    </w:rPr>
  </w:style>
  <w:style w:type="paragraph" w:styleId="6">
    <w:name w:val="Plain Text"/>
    <w:basedOn w:val="1"/>
    <w:unhideWhenUsed/>
    <w:qFormat/>
    <w:uiPriority w:val="99"/>
    <w:rPr>
      <w:rFonts w:ascii="宋体" w:hAnsi="Courier New" w:cs="Courier New"/>
    </w:rPr>
  </w:style>
  <w:style w:type="paragraph" w:styleId="7">
    <w:name w:val="Balloon Text"/>
    <w:basedOn w:val="1"/>
    <w:link w:val="18"/>
    <w:semiHidden/>
    <w:unhideWhenUsed/>
    <w:qFormat/>
    <w:uiPriority w:val="99"/>
    <w:rPr>
      <w:sz w:val="18"/>
      <w:szCs w:val="18"/>
    </w:rPr>
  </w:style>
  <w:style w:type="paragraph" w:styleId="8">
    <w:name w:val="footer"/>
    <w:basedOn w:val="1"/>
    <w:link w:val="20"/>
    <w:unhideWhenUsed/>
    <w:qFormat/>
    <w:uiPriority w:val="99"/>
    <w:pPr>
      <w:tabs>
        <w:tab w:val="center" w:pos="4153"/>
        <w:tab w:val="right" w:pos="8306"/>
      </w:tabs>
      <w:snapToGrid w:val="0"/>
      <w:jc w:val="left"/>
    </w:pPr>
    <w:rPr>
      <w:sz w:val="18"/>
      <w:szCs w:val="18"/>
    </w:rPr>
  </w:style>
  <w:style w:type="paragraph" w:styleId="9">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1">
    <w:name w:val="annotation subject"/>
    <w:basedOn w:val="4"/>
    <w:next w:val="4"/>
    <w:link w:val="17"/>
    <w:semiHidden/>
    <w:unhideWhenUsed/>
    <w:qFormat/>
    <w:uiPriority w:val="99"/>
    <w:rPr>
      <w:b/>
      <w:bCs/>
    </w:rPr>
  </w:style>
  <w:style w:type="character" w:styleId="14">
    <w:name w:val="annotation reference"/>
    <w:basedOn w:val="13"/>
    <w:semiHidden/>
    <w:unhideWhenUsed/>
    <w:qFormat/>
    <w:uiPriority w:val="99"/>
    <w:rPr>
      <w:sz w:val="21"/>
      <w:szCs w:val="21"/>
    </w:rPr>
  </w:style>
  <w:style w:type="character" w:customStyle="1" w:styleId="15">
    <w:name w:val="正文文本缩进 Char"/>
    <w:basedOn w:val="13"/>
    <w:link w:val="5"/>
    <w:qFormat/>
    <w:uiPriority w:val="99"/>
    <w:rPr>
      <w:rFonts w:ascii="Calibri" w:hAnsi="Calibri" w:eastAsia="宋体" w:cs="Times New Roman"/>
    </w:rPr>
  </w:style>
  <w:style w:type="character" w:customStyle="1" w:styleId="16">
    <w:name w:val="批注文字 Char"/>
    <w:basedOn w:val="13"/>
    <w:link w:val="4"/>
    <w:semiHidden/>
    <w:qFormat/>
    <w:uiPriority w:val="99"/>
    <w:rPr>
      <w:rFonts w:ascii="Calibri" w:hAnsi="Calibri" w:eastAsia="宋体" w:cs="Calibri"/>
      <w:szCs w:val="21"/>
    </w:rPr>
  </w:style>
  <w:style w:type="character" w:customStyle="1" w:styleId="17">
    <w:name w:val="批注主题 Char"/>
    <w:basedOn w:val="16"/>
    <w:link w:val="11"/>
    <w:semiHidden/>
    <w:qFormat/>
    <w:uiPriority w:val="99"/>
    <w:rPr>
      <w:rFonts w:ascii="Calibri" w:hAnsi="Calibri" w:eastAsia="宋体" w:cs="Calibri"/>
      <w:b/>
      <w:bCs/>
      <w:szCs w:val="21"/>
    </w:rPr>
  </w:style>
  <w:style w:type="character" w:customStyle="1" w:styleId="18">
    <w:name w:val="批注框文本 Char"/>
    <w:basedOn w:val="13"/>
    <w:link w:val="7"/>
    <w:semiHidden/>
    <w:qFormat/>
    <w:uiPriority w:val="99"/>
    <w:rPr>
      <w:rFonts w:ascii="Calibri" w:hAnsi="Calibri" w:eastAsia="宋体" w:cs="Calibri"/>
      <w:sz w:val="18"/>
      <w:szCs w:val="18"/>
    </w:rPr>
  </w:style>
  <w:style w:type="character" w:customStyle="1" w:styleId="19">
    <w:name w:val="页眉 Char"/>
    <w:basedOn w:val="13"/>
    <w:link w:val="9"/>
    <w:qFormat/>
    <w:uiPriority w:val="99"/>
    <w:rPr>
      <w:rFonts w:ascii="Calibri" w:hAnsi="Calibri" w:eastAsia="宋体" w:cs="Calibri"/>
      <w:kern w:val="2"/>
      <w:sz w:val="18"/>
      <w:szCs w:val="18"/>
    </w:rPr>
  </w:style>
  <w:style w:type="character" w:customStyle="1" w:styleId="20">
    <w:name w:val="页脚 Char"/>
    <w:basedOn w:val="13"/>
    <w:link w:val="8"/>
    <w:qFormat/>
    <w:uiPriority w:val="99"/>
    <w:rPr>
      <w:rFonts w:ascii="Calibri" w:hAnsi="Calibri" w:eastAsia="宋体" w:cs="Calibri"/>
      <w:kern w:val="2"/>
      <w:sz w:val="18"/>
      <w:szCs w:val="18"/>
    </w:rPr>
  </w:style>
  <w:style w:type="paragraph" w:customStyle="1" w:styleId="21">
    <w:name w:val="Char"/>
    <w:basedOn w:val="1"/>
    <w:qFormat/>
    <w:uiPriority w:val="0"/>
    <w:pPr>
      <w:widowControl/>
      <w:spacing w:after="160" w:line="240" w:lineRule="exact"/>
      <w:jc w:val="left"/>
    </w:pPr>
    <w:rPr>
      <w:rFonts w:ascii="Arial" w:hAnsi="Arial" w:eastAsia="Times New Roman" w:cs="Verdana"/>
      <w:b/>
      <w:kern w:val="0"/>
      <w:sz w:val="24"/>
      <w:szCs w:val="24"/>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3EAA1B-46AD-423C-B1D4-A7D88381A3A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26</Pages>
  <Words>2009</Words>
  <Characters>11454</Characters>
  <Lines>95</Lines>
  <Paragraphs>26</Paragraphs>
  <TotalTime>3</TotalTime>
  <ScaleCrop>false</ScaleCrop>
  <LinksUpToDate>false</LinksUpToDate>
  <CharactersWithSpaces>13437</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2021-06-30T12:50:00Z</dcterms:created>
  <dc:creator>江南</dc:creator>
  <cp:lastModifiedBy>Administrator</cp:lastModifiedBy>
  <dcterms:modified xsi:type="dcterms:W3CDTF">2021-07-05T07:41:01Z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DF5E1708798147C9A500409A572514E9</vt:lpwstr>
  </property>
</Properties>
</file>