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640" w:firstLineChars="200"/>
        <w:rPr>
          <w:rFonts w:ascii="宋体" w:hAnsi="宋体" w:cs="宋体"/>
          <w:sz w:val="32"/>
          <w:szCs w:val="32"/>
        </w:rPr>
      </w:pPr>
    </w:p>
    <w:p>
      <w:pPr>
        <w:snapToGrid w:val="0"/>
        <w:spacing w:line="540" w:lineRule="exact"/>
        <w:jc w:val="center"/>
        <w:rPr>
          <w:rFonts w:ascii="Arial Narrow" w:hAnsi="黑体" w:eastAsia="黑体" w:cs="宋体"/>
          <w:b/>
          <w:sz w:val="36"/>
          <w:szCs w:val="36"/>
        </w:rPr>
      </w:pPr>
      <w:r>
        <w:rPr>
          <w:rFonts w:hint="eastAsia" w:ascii="Arial Narrow" w:hAnsi="黑体" w:eastAsia="黑体" w:cs="宋体"/>
          <w:b/>
          <w:sz w:val="36"/>
          <w:szCs w:val="36"/>
        </w:rPr>
        <w:t>2022年海南省职业院校技能大赛</w:t>
      </w:r>
    </w:p>
    <w:p>
      <w:pPr>
        <w:snapToGrid w:val="0"/>
        <w:spacing w:line="540" w:lineRule="exact"/>
        <w:jc w:val="center"/>
        <w:rPr>
          <w:rFonts w:ascii="Arial Narrow" w:hAnsi="黑体" w:eastAsia="黑体" w:cs="宋体"/>
          <w:b/>
          <w:sz w:val="36"/>
          <w:szCs w:val="36"/>
        </w:rPr>
      </w:pPr>
      <w:r>
        <w:rPr>
          <w:rFonts w:ascii="Arial Narrow" w:hAnsi="黑体" w:eastAsia="黑体" w:cs="宋体"/>
          <w:b/>
          <w:sz w:val="36"/>
          <w:szCs w:val="36"/>
        </w:rPr>
        <w:t>赛项规程（</w:t>
      </w:r>
      <w:r>
        <w:rPr>
          <w:rFonts w:hint="eastAsia" w:ascii="Arial Narrow" w:hAnsi="黑体" w:eastAsia="黑体" w:cs="宋体"/>
          <w:b/>
          <w:sz w:val="36"/>
          <w:szCs w:val="36"/>
        </w:rPr>
        <w:t>高</w:t>
      </w:r>
      <w:r>
        <w:rPr>
          <w:rFonts w:ascii="Arial Narrow" w:hAnsi="黑体" w:eastAsia="黑体" w:cs="宋体"/>
          <w:b/>
          <w:sz w:val="36"/>
          <w:szCs w:val="36"/>
        </w:rPr>
        <w:t>职组）</w:t>
      </w:r>
    </w:p>
    <w:p>
      <w:pPr>
        <w:spacing w:line="360" w:lineRule="auto"/>
        <w:ind w:firstLine="200"/>
        <w:rPr>
          <w:rFonts w:ascii="Arial Narrow" w:hAnsi="Arial Narrow" w:eastAsia="仿宋_GB2312"/>
          <w:sz w:val="30"/>
          <w:szCs w:val="30"/>
        </w:rPr>
      </w:pPr>
    </w:p>
    <w:p>
      <w:pPr>
        <w:spacing w:line="560" w:lineRule="exact"/>
        <w:ind w:firstLine="562" w:firstLineChars="200"/>
        <w:rPr>
          <w:rFonts w:ascii="Arial Narrow" w:hAnsi="Arial Narrow" w:eastAsia="仿宋_GB2312" w:cs="宋体"/>
          <w:sz w:val="28"/>
          <w:szCs w:val="28"/>
        </w:rPr>
      </w:pPr>
      <w:r>
        <w:rPr>
          <w:rFonts w:hint="eastAsia" w:ascii="仿宋_GB2312" w:hAnsi="黑体" w:eastAsia="仿宋_GB2312" w:cs="黑体"/>
          <w:b/>
          <w:bCs/>
          <w:sz w:val="28"/>
          <w:szCs w:val="28"/>
        </w:rPr>
        <w:t>一、赛项名称</w:t>
      </w:r>
      <w:bookmarkStart w:id="4" w:name="_GoBack"/>
      <w:bookmarkEnd w:id="4"/>
    </w:p>
    <w:p>
      <w:pPr>
        <w:spacing w:line="560" w:lineRule="exact"/>
        <w:ind w:firstLine="543" w:firstLineChars="194"/>
        <w:rPr>
          <w:rFonts w:ascii="Arial Narrow" w:hAnsi="Arial Narrow" w:eastAsia="仿宋_GB2312" w:cs="宋体"/>
          <w:sz w:val="28"/>
          <w:szCs w:val="28"/>
          <w:u w:val="single"/>
        </w:rPr>
      </w:pPr>
      <w:r>
        <w:rPr>
          <w:rFonts w:hint="eastAsia" w:ascii="Arial Narrow" w:hAnsi="Arial Narrow" w:eastAsia="仿宋_GB2312" w:cs="宋体"/>
          <w:sz w:val="28"/>
          <w:szCs w:val="28"/>
        </w:rPr>
        <w:t>赛项名称：电子商务技能</w:t>
      </w:r>
    </w:p>
    <w:p>
      <w:pPr>
        <w:spacing w:line="560" w:lineRule="exact"/>
        <w:ind w:firstLine="543" w:firstLineChars="194"/>
        <w:rPr>
          <w:rFonts w:ascii="Arial Narrow" w:hAnsi="Arial Narrow" w:eastAsia="仿宋_GB2312" w:cs="宋体"/>
          <w:sz w:val="28"/>
          <w:szCs w:val="28"/>
        </w:rPr>
      </w:pPr>
      <w:r>
        <w:rPr>
          <w:rFonts w:hint="eastAsia" w:ascii="Arial Narrow" w:hAnsi="Arial Narrow" w:eastAsia="仿宋_GB2312" w:cs="宋体"/>
          <w:sz w:val="28"/>
          <w:szCs w:val="28"/>
        </w:rPr>
        <w:t>英文名称：E-Commerce Skills</w:t>
      </w:r>
    </w:p>
    <w:p>
      <w:pPr>
        <w:spacing w:line="560" w:lineRule="exact"/>
        <w:ind w:firstLine="543" w:firstLineChars="194"/>
        <w:rPr>
          <w:rFonts w:ascii="Arial Narrow" w:hAnsi="Arial Narrow" w:eastAsia="仿宋_GB2312" w:cs="宋体"/>
          <w:sz w:val="28"/>
          <w:szCs w:val="28"/>
        </w:rPr>
      </w:pPr>
      <w:r>
        <w:rPr>
          <w:rFonts w:hint="eastAsia" w:ascii="Arial Narrow" w:hAnsi="Arial Narrow" w:eastAsia="仿宋_GB2312" w:cs="宋体"/>
          <w:sz w:val="28"/>
          <w:szCs w:val="28"/>
        </w:rPr>
        <w:t>赛项组别：高职</w:t>
      </w:r>
    </w:p>
    <w:p>
      <w:pPr>
        <w:spacing w:line="560" w:lineRule="exact"/>
        <w:ind w:firstLine="543" w:firstLineChars="194"/>
        <w:rPr>
          <w:rFonts w:ascii="Arial Narrow" w:hAnsi="Arial Narrow" w:eastAsia="仿宋_GB2312" w:cs="宋体"/>
          <w:sz w:val="28"/>
          <w:szCs w:val="28"/>
        </w:rPr>
      </w:pPr>
      <w:r>
        <w:rPr>
          <w:rFonts w:hint="eastAsia" w:ascii="Arial Narrow" w:hAnsi="Arial Narrow" w:eastAsia="仿宋_GB2312" w:cs="宋体"/>
          <w:sz w:val="28"/>
          <w:szCs w:val="28"/>
        </w:rPr>
        <w:t>赛项归属：财经商贸大类</w:t>
      </w:r>
    </w:p>
    <w:p>
      <w:pPr>
        <w:pStyle w:val="2"/>
        <w:rPr>
          <w:rFonts w:eastAsia="仿宋_GB2312"/>
          <w:color w:val="FF0000"/>
          <w:lang w:val="en-US"/>
        </w:rPr>
      </w:pPr>
    </w:p>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二、竞赛目的</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赛项坚持“以高水平赛事推动职业教育高质量发展”为主线，对接产业前沿技术，引领职业院校专业建设与课程建设改革，引入行业标准，促进产教融合、校企合作。通过竞赛，考察参赛选手职业道德、职业素养、技术技能水平和创业能力，展示职业教育改革成果，全面提升教学质量，推动电子商务从业人员整体水平的提升，激发大学生电子商务创业热情，推动“大众创业、万众创新”在高等职业教育中落地实施，充分发挥对职业教育“树旗、导航、定标、催化”的作用， 推进“岗课赛证”综合育人。</w:t>
      </w:r>
    </w:p>
    <w:p>
      <w:pPr>
        <w:spacing w:line="560" w:lineRule="atLeas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三、竞赛内容</w:t>
      </w:r>
    </w:p>
    <w:p>
      <w:pPr>
        <w:spacing w:line="560" w:lineRule="atLeas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本赛项通过考察参赛选手直播营销、视觉营销、网店运营推广等重要工作任务的完成质量以及选手职业素养作为竞赛内容,全面考察选手的数据分析能力、视觉营销能力、营销策划能力、网络营销能力、直播营销能力、网店运营能力、供应链管理能力和团队合作能力。。</w:t>
      </w:r>
    </w:p>
    <w:p>
      <w:pPr>
        <w:pStyle w:val="4"/>
        <w:spacing w:line="560" w:lineRule="exact"/>
        <w:ind w:firstLine="482" w:firstLineChars="200"/>
        <w:jc w:val="center"/>
        <w:rPr>
          <w:rFonts w:ascii="仿宋_GB2312" w:hAnsi="仿宋" w:eastAsia="仿宋_GB2312"/>
          <w:b/>
          <w:sz w:val="24"/>
        </w:rPr>
      </w:pPr>
      <w:r>
        <w:rPr>
          <w:rFonts w:hint="eastAsia" w:ascii="仿宋_GB2312" w:hAnsi="仿宋" w:eastAsia="仿宋_GB2312"/>
          <w:b/>
          <w:sz w:val="24"/>
        </w:rPr>
        <w:t>表1 竞赛内容与岗位、知识、技能</w:t>
      </w:r>
    </w:p>
    <w:tbl>
      <w:tblPr>
        <w:tblStyle w:val="1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6"/>
        <w:gridCol w:w="1701"/>
        <w:gridCol w:w="2393"/>
        <w:gridCol w:w="2126"/>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6" w:type="dxa"/>
            <w:vAlign w:val="center"/>
          </w:tcPr>
          <w:p>
            <w:pPr>
              <w:jc w:val="center"/>
              <w:rPr>
                <w:rFonts w:ascii="仿宋_GB2312" w:hAnsi="宋体" w:eastAsia="仿宋_GB2312"/>
                <w:b/>
                <w:color w:val="000000"/>
                <w:sz w:val="24"/>
              </w:rPr>
            </w:pPr>
            <w:r>
              <w:rPr>
                <w:rFonts w:hint="eastAsia" w:ascii="仿宋_GB2312" w:hAnsi="宋体" w:eastAsia="仿宋_GB2312"/>
                <w:b/>
                <w:color w:val="000000"/>
                <w:sz w:val="24"/>
              </w:rPr>
              <w:t>竞赛内容</w:t>
            </w:r>
          </w:p>
        </w:tc>
        <w:tc>
          <w:tcPr>
            <w:tcW w:w="1701" w:type="dxa"/>
            <w:vAlign w:val="center"/>
          </w:tcPr>
          <w:p>
            <w:pPr>
              <w:jc w:val="center"/>
              <w:rPr>
                <w:rFonts w:ascii="仿宋_GB2312" w:hAnsi="宋体" w:eastAsia="仿宋_GB2312"/>
                <w:b/>
                <w:color w:val="000000"/>
                <w:sz w:val="24"/>
              </w:rPr>
            </w:pPr>
            <w:r>
              <w:rPr>
                <w:rFonts w:hint="eastAsia" w:ascii="仿宋_GB2312" w:hAnsi="宋体" w:eastAsia="仿宋_GB2312"/>
                <w:b/>
                <w:color w:val="000000"/>
                <w:sz w:val="24"/>
              </w:rPr>
              <w:t>岗位</w:t>
            </w:r>
          </w:p>
        </w:tc>
        <w:tc>
          <w:tcPr>
            <w:tcW w:w="2393" w:type="dxa"/>
            <w:vAlign w:val="center"/>
          </w:tcPr>
          <w:p>
            <w:pPr>
              <w:jc w:val="center"/>
              <w:rPr>
                <w:rFonts w:ascii="仿宋_GB2312" w:hAnsi="宋体" w:eastAsia="仿宋_GB2312"/>
                <w:b/>
                <w:color w:val="000000"/>
                <w:sz w:val="24"/>
              </w:rPr>
            </w:pPr>
            <w:r>
              <w:rPr>
                <w:rFonts w:hint="eastAsia" w:ascii="仿宋_GB2312" w:hAnsi="宋体" w:eastAsia="仿宋_GB2312"/>
                <w:b/>
                <w:color w:val="000000"/>
                <w:sz w:val="24"/>
              </w:rPr>
              <w:t>知识</w:t>
            </w:r>
          </w:p>
        </w:tc>
        <w:tc>
          <w:tcPr>
            <w:tcW w:w="2835" w:type="dxa"/>
            <w:gridSpan w:val="2"/>
            <w:vAlign w:val="center"/>
          </w:tcPr>
          <w:p>
            <w:pPr>
              <w:jc w:val="center"/>
              <w:rPr>
                <w:rFonts w:ascii="仿宋_GB2312" w:hAnsi="宋体" w:eastAsia="仿宋_GB2312"/>
                <w:b/>
                <w:color w:val="000000"/>
                <w:sz w:val="24"/>
              </w:rPr>
            </w:pPr>
            <w:r>
              <w:rPr>
                <w:rFonts w:hint="eastAsia" w:ascii="仿宋_GB2312" w:hAnsi="宋体" w:eastAsia="仿宋_GB2312"/>
                <w:b/>
                <w:color w:val="000000"/>
                <w:sz w:val="24"/>
              </w:rPr>
              <w:t>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6" w:type="dxa"/>
            <w:vAlign w:val="center"/>
          </w:tcPr>
          <w:p>
            <w:pPr>
              <w:pStyle w:val="22"/>
              <w:spacing w:before="1"/>
              <w:jc w:val="center"/>
              <w:rPr>
                <w:rFonts w:ascii="仿宋_GB2312" w:eastAsia="仿宋_GB2312"/>
                <w:color w:val="000000"/>
                <w:szCs w:val="21"/>
              </w:rPr>
            </w:pPr>
            <w:r>
              <w:rPr>
                <w:szCs w:val="21"/>
              </w:rPr>
              <w:t>直播营销</w:t>
            </w:r>
          </w:p>
        </w:tc>
        <w:tc>
          <w:tcPr>
            <w:tcW w:w="1701" w:type="dxa"/>
            <w:vAlign w:val="center"/>
          </w:tcPr>
          <w:p>
            <w:pPr>
              <w:pStyle w:val="22"/>
              <w:spacing w:before="1"/>
              <w:ind w:right="90"/>
              <w:jc w:val="center"/>
              <w:rPr>
                <w:rFonts w:ascii="仿宋_GB2312" w:eastAsia="仿宋_GB2312"/>
                <w:color w:val="000000"/>
                <w:szCs w:val="21"/>
              </w:rPr>
            </w:pPr>
            <w:r>
              <w:rPr>
                <w:szCs w:val="21"/>
              </w:rPr>
              <w:t>直播销售员</w:t>
            </w:r>
          </w:p>
        </w:tc>
        <w:tc>
          <w:tcPr>
            <w:tcW w:w="2393" w:type="dxa"/>
            <w:vAlign w:val="center"/>
          </w:tcPr>
          <w:p>
            <w:pPr>
              <w:pStyle w:val="22"/>
              <w:spacing w:line="242" w:lineRule="auto"/>
              <w:ind w:right="33"/>
              <w:jc w:val="center"/>
              <w:rPr>
                <w:rFonts w:ascii="仿宋_GB2312" w:eastAsia="仿宋_GB2312"/>
                <w:color w:val="000000"/>
                <w:szCs w:val="21"/>
              </w:rPr>
            </w:pPr>
            <w:r>
              <w:rPr>
                <w:szCs w:val="21"/>
              </w:rPr>
              <w:t>直播营销策划、直播流程及规则、直播开场方式、商品介绍技巧、互动方案制定、弹幕互动、直播收尾方式。</w:t>
            </w:r>
          </w:p>
        </w:tc>
        <w:tc>
          <w:tcPr>
            <w:tcW w:w="2126" w:type="dxa"/>
            <w:vAlign w:val="center"/>
          </w:tcPr>
          <w:p>
            <w:pPr>
              <w:pStyle w:val="22"/>
              <w:spacing w:line="242" w:lineRule="auto"/>
              <w:ind w:right="-29"/>
              <w:jc w:val="center"/>
              <w:rPr>
                <w:rFonts w:ascii="仿宋_GB2312" w:eastAsia="仿宋_GB2312"/>
                <w:color w:val="000000"/>
                <w:szCs w:val="21"/>
              </w:rPr>
            </w:pPr>
            <w:r>
              <w:rPr>
                <w:szCs w:val="21"/>
              </w:rPr>
              <w:t>直播策划、直播开场、商品介绍、商</w:t>
            </w:r>
            <w:r>
              <w:rPr>
                <w:spacing w:val="-4"/>
                <w:szCs w:val="21"/>
              </w:rPr>
              <w:t>品推销、弹幕互动、引导关注、团队合作等能力</w:t>
            </w:r>
          </w:p>
        </w:tc>
        <w:tc>
          <w:tcPr>
            <w:tcW w:w="709" w:type="dxa"/>
            <w:vMerge w:val="restart"/>
            <w:vAlign w:val="center"/>
          </w:tcPr>
          <w:p>
            <w:pPr>
              <w:jc w:val="left"/>
              <w:rPr>
                <w:rFonts w:ascii="仿宋_GB2312" w:hAnsi="宋体" w:eastAsia="仿宋_GB2312"/>
                <w:color w:val="000000"/>
                <w:sz w:val="24"/>
              </w:rPr>
            </w:pPr>
            <w:r>
              <w:rPr>
                <w:rFonts w:hint="eastAsia" w:ascii="仿宋_GB2312" w:hAnsi="宋体" w:eastAsia="仿宋_GB2312"/>
                <w:color w:val="000000"/>
                <w:sz w:val="24"/>
              </w:rPr>
              <w:t>数据分析能力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6" w:type="dxa"/>
            <w:vAlign w:val="center"/>
          </w:tcPr>
          <w:p>
            <w:pPr>
              <w:pStyle w:val="22"/>
              <w:jc w:val="center"/>
              <w:rPr>
                <w:rFonts w:ascii="仿宋_GB2312" w:eastAsia="仿宋_GB2312"/>
                <w:color w:val="000000"/>
                <w:szCs w:val="21"/>
              </w:rPr>
            </w:pPr>
            <w:r>
              <w:rPr>
                <w:szCs w:val="21"/>
              </w:rPr>
              <w:t>视觉营销</w:t>
            </w:r>
          </w:p>
        </w:tc>
        <w:tc>
          <w:tcPr>
            <w:tcW w:w="1701" w:type="dxa"/>
            <w:vAlign w:val="center"/>
          </w:tcPr>
          <w:p>
            <w:pPr>
              <w:pStyle w:val="22"/>
              <w:spacing w:line="242" w:lineRule="auto"/>
              <w:ind w:right="349"/>
              <w:jc w:val="center"/>
              <w:rPr>
                <w:szCs w:val="21"/>
              </w:rPr>
            </w:pPr>
            <w:r>
              <w:rPr>
                <w:szCs w:val="21"/>
              </w:rPr>
              <w:t>网络编辑</w:t>
            </w:r>
          </w:p>
          <w:p>
            <w:pPr>
              <w:pStyle w:val="22"/>
              <w:spacing w:line="242" w:lineRule="auto"/>
              <w:ind w:right="349"/>
              <w:jc w:val="center"/>
              <w:rPr>
                <w:rFonts w:ascii="仿宋_GB2312" w:eastAsia="仿宋_GB2312"/>
                <w:color w:val="000000"/>
                <w:szCs w:val="21"/>
              </w:rPr>
            </w:pPr>
            <w:r>
              <w:rPr>
                <w:szCs w:val="21"/>
              </w:rPr>
              <w:t>网店美工</w:t>
            </w:r>
          </w:p>
        </w:tc>
        <w:tc>
          <w:tcPr>
            <w:tcW w:w="2393" w:type="dxa"/>
            <w:vAlign w:val="center"/>
          </w:tcPr>
          <w:p>
            <w:pPr>
              <w:pStyle w:val="22"/>
              <w:spacing w:before="148" w:line="242" w:lineRule="auto"/>
              <w:ind w:right="95"/>
              <w:jc w:val="center"/>
              <w:rPr>
                <w:rFonts w:ascii="仿宋_GB2312" w:eastAsia="仿宋_GB2312"/>
                <w:color w:val="000000"/>
                <w:szCs w:val="21"/>
              </w:rPr>
            </w:pPr>
            <w:r>
              <w:rPr>
                <w:spacing w:val="-5"/>
                <w:szCs w:val="21"/>
              </w:rPr>
              <w:t xml:space="preserve">网店知识包含 </w:t>
            </w:r>
            <w:r>
              <w:rPr>
                <w:szCs w:val="21"/>
              </w:rPr>
              <w:t>PC</w:t>
            </w:r>
            <w:r>
              <w:rPr>
                <w:spacing w:val="-16"/>
                <w:szCs w:val="21"/>
              </w:rPr>
              <w:t xml:space="preserve"> 店 </w:t>
            </w:r>
            <w:r>
              <w:rPr>
                <w:spacing w:val="-12"/>
                <w:szCs w:val="21"/>
              </w:rPr>
              <w:t>铺、跨境店铺和移动店</w:t>
            </w:r>
            <w:r>
              <w:rPr>
                <w:spacing w:val="-9"/>
                <w:szCs w:val="21"/>
              </w:rPr>
              <w:t>铺开设流程与规范，商</w:t>
            </w:r>
            <w:r>
              <w:rPr>
                <w:szCs w:val="21"/>
              </w:rPr>
              <w:t>品知识包括商品属性、展示方式、信息采集、美术、网页知识。</w:t>
            </w:r>
          </w:p>
        </w:tc>
        <w:tc>
          <w:tcPr>
            <w:tcW w:w="2126" w:type="dxa"/>
            <w:vAlign w:val="center"/>
          </w:tcPr>
          <w:p>
            <w:pPr>
              <w:pStyle w:val="22"/>
              <w:spacing w:line="242" w:lineRule="auto"/>
              <w:ind w:right="-29"/>
              <w:jc w:val="center"/>
              <w:rPr>
                <w:rFonts w:ascii="仿宋_GB2312" w:eastAsia="仿宋_GB2312"/>
                <w:color w:val="000000"/>
                <w:szCs w:val="21"/>
              </w:rPr>
            </w:pPr>
            <w:r>
              <w:rPr>
                <w:spacing w:val="-2"/>
                <w:szCs w:val="21"/>
              </w:rPr>
              <w:t>文案策划、视觉识别</w:t>
            </w:r>
            <w:r>
              <w:rPr>
                <w:szCs w:val="21"/>
              </w:rPr>
              <w:t>（VI</w:t>
            </w:r>
            <w:r>
              <w:rPr>
                <w:spacing w:val="-120"/>
                <w:szCs w:val="21"/>
              </w:rPr>
              <w:t>）</w:t>
            </w:r>
            <w:r>
              <w:rPr>
                <w:spacing w:val="-3"/>
                <w:szCs w:val="21"/>
              </w:rPr>
              <w:t>、商品图片处理、广告设计、首页设计、详情页设</w:t>
            </w:r>
            <w:r>
              <w:rPr>
                <w:spacing w:val="-5"/>
                <w:szCs w:val="21"/>
              </w:rPr>
              <w:t>计、专题页设计、网页设计、文档管理等技能。</w:t>
            </w:r>
          </w:p>
        </w:tc>
        <w:tc>
          <w:tcPr>
            <w:tcW w:w="709" w:type="dxa"/>
            <w:vMerge w:val="continue"/>
            <w:vAlign w:val="center"/>
          </w:tcPr>
          <w:p>
            <w:pPr>
              <w:rPr>
                <w:rFonts w:ascii="仿宋_GB2312" w:hAnsi="宋体" w:eastAsia="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6" w:type="dxa"/>
            <w:vAlign w:val="center"/>
          </w:tcPr>
          <w:p>
            <w:pPr>
              <w:pStyle w:val="22"/>
              <w:jc w:val="center"/>
              <w:rPr>
                <w:rFonts w:ascii="仿宋_GB2312" w:eastAsia="仿宋_GB2312"/>
                <w:color w:val="000000"/>
                <w:szCs w:val="21"/>
              </w:rPr>
            </w:pPr>
            <w:r>
              <w:rPr>
                <w:szCs w:val="21"/>
              </w:rPr>
              <w:t>网店运营推广</w:t>
            </w:r>
          </w:p>
        </w:tc>
        <w:tc>
          <w:tcPr>
            <w:tcW w:w="1701" w:type="dxa"/>
            <w:vAlign w:val="center"/>
          </w:tcPr>
          <w:p>
            <w:pPr>
              <w:pStyle w:val="22"/>
              <w:spacing w:line="242" w:lineRule="auto"/>
              <w:ind w:right="349"/>
              <w:jc w:val="center"/>
              <w:rPr>
                <w:szCs w:val="21"/>
              </w:rPr>
            </w:pPr>
            <w:r>
              <w:rPr>
                <w:szCs w:val="21"/>
              </w:rPr>
              <w:t>运营经理</w:t>
            </w:r>
          </w:p>
          <w:p>
            <w:pPr>
              <w:pStyle w:val="22"/>
              <w:spacing w:line="242" w:lineRule="auto"/>
              <w:ind w:right="349"/>
              <w:jc w:val="center"/>
              <w:rPr>
                <w:szCs w:val="21"/>
              </w:rPr>
            </w:pPr>
            <w:r>
              <w:rPr>
                <w:szCs w:val="21"/>
              </w:rPr>
              <w:t>推广专员</w:t>
            </w:r>
          </w:p>
          <w:p>
            <w:pPr>
              <w:pStyle w:val="22"/>
              <w:spacing w:line="242" w:lineRule="auto"/>
              <w:ind w:right="349"/>
              <w:jc w:val="center"/>
              <w:rPr>
                <w:rFonts w:ascii="仿宋_GB2312" w:eastAsia="仿宋_GB2312"/>
                <w:color w:val="000000"/>
                <w:szCs w:val="21"/>
              </w:rPr>
            </w:pPr>
            <w:r>
              <w:rPr>
                <w:szCs w:val="21"/>
              </w:rPr>
              <w:t>店长</w:t>
            </w:r>
          </w:p>
        </w:tc>
        <w:tc>
          <w:tcPr>
            <w:tcW w:w="2393" w:type="dxa"/>
            <w:vAlign w:val="center"/>
          </w:tcPr>
          <w:p>
            <w:pPr>
              <w:pStyle w:val="22"/>
              <w:spacing w:line="242" w:lineRule="auto"/>
              <w:ind w:right="30"/>
              <w:jc w:val="center"/>
              <w:rPr>
                <w:rFonts w:ascii="仿宋_GB2312" w:eastAsia="仿宋_GB2312"/>
                <w:color w:val="000000"/>
                <w:szCs w:val="21"/>
              </w:rPr>
            </w:pPr>
            <w:r>
              <w:rPr>
                <w:spacing w:val="-7"/>
                <w:szCs w:val="21"/>
              </w:rPr>
              <w:t>关键词优化</w:t>
            </w:r>
            <w:r>
              <w:rPr>
                <w:szCs w:val="21"/>
              </w:rPr>
              <w:t>（SEO</w:t>
            </w:r>
            <w:r>
              <w:rPr>
                <w:spacing w:val="-120"/>
                <w:szCs w:val="21"/>
              </w:rPr>
              <w:t>）</w:t>
            </w:r>
            <w:r>
              <w:rPr>
                <w:spacing w:val="-16"/>
                <w:szCs w:val="21"/>
              </w:rPr>
              <w:t>，关键词竞价推广</w:t>
            </w:r>
            <w:r>
              <w:rPr>
                <w:spacing w:val="-3"/>
                <w:szCs w:val="21"/>
              </w:rPr>
              <w:t>（SEM</w:t>
            </w:r>
            <w:r>
              <w:rPr>
                <w:spacing w:val="-123"/>
                <w:szCs w:val="21"/>
              </w:rPr>
              <w:t>）</w:t>
            </w:r>
            <w:r>
              <w:rPr>
                <w:spacing w:val="-3"/>
                <w:szCs w:val="21"/>
              </w:rPr>
              <w:t>，</w:t>
            </w:r>
            <w:r>
              <w:rPr>
                <w:szCs w:val="21"/>
              </w:rPr>
              <w:t>市场营销（4P</w:t>
            </w:r>
            <w:r>
              <w:rPr>
                <w:spacing w:val="-120"/>
                <w:szCs w:val="21"/>
              </w:rPr>
              <w:t>）</w:t>
            </w:r>
            <w:r>
              <w:rPr>
                <w:szCs w:val="21"/>
              </w:rPr>
              <w:t>，消费</w:t>
            </w:r>
            <w:r>
              <w:rPr>
                <w:spacing w:val="-8"/>
                <w:szCs w:val="21"/>
              </w:rPr>
              <w:t>心理和消费行为学，采购管理，财税知识。</w:t>
            </w:r>
          </w:p>
        </w:tc>
        <w:tc>
          <w:tcPr>
            <w:tcW w:w="2126" w:type="dxa"/>
            <w:vAlign w:val="center"/>
          </w:tcPr>
          <w:p>
            <w:pPr>
              <w:pStyle w:val="22"/>
              <w:spacing w:line="242" w:lineRule="auto"/>
              <w:ind w:right="438"/>
              <w:jc w:val="center"/>
              <w:rPr>
                <w:rFonts w:ascii="仿宋_GB2312" w:eastAsia="仿宋_GB2312"/>
                <w:color w:val="000000"/>
                <w:szCs w:val="21"/>
              </w:rPr>
            </w:pPr>
            <w:r>
              <w:rPr>
                <w:szCs w:val="21"/>
              </w:rPr>
              <w:t xml:space="preserve">网络营销能力 店铺规划能力 </w:t>
            </w:r>
            <w:r>
              <w:rPr>
                <w:spacing w:val="-3"/>
                <w:szCs w:val="21"/>
              </w:rPr>
              <w:t>供应链管理能力</w:t>
            </w:r>
            <w:r>
              <w:rPr>
                <w:szCs w:val="21"/>
              </w:rPr>
              <w:t>财务分析能力 团队合作能力</w:t>
            </w:r>
          </w:p>
        </w:tc>
        <w:tc>
          <w:tcPr>
            <w:tcW w:w="709" w:type="dxa"/>
            <w:vMerge w:val="continue"/>
            <w:vAlign w:val="center"/>
          </w:tcPr>
          <w:p>
            <w:pPr>
              <w:pStyle w:val="4"/>
              <w:rPr>
                <w:rFonts w:ascii="仿宋_GB2312" w:hAnsi="仿宋" w:eastAsia="仿宋_GB2312"/>
                <w:sz w:val="24"/>
              </w:rPr>
            </w:pPr>
          </w:p>
        </w:tc>
      </w:tr>
    </w:tbl>
    <w:p>
      <w:pPr>
        <w:pStyle w:val="4"/>
        <w:spacing w:line="560" w:lineRule="exact"/>
        <w:ind w:firstLine="482" w:firstLineChars="200"/>
        <w:jc w:val="center"/>
        <w:rPr>
          <w:rFonts w:ascii="仿宋_GB2312" w:hAnsi="仿宋" w:eastAsia="仿宋_GB2312"/>
          <w:b/>
          <w:sz w:val="24"/>
        </w:rPr>
      </w:pPr>
      <w:r>
        <w:rPr>
          <w:rFonts w:hint="eastAsia" w:ascii="仿宋_GB2312" w:hAnsi="仿宋" w:eastAsia="仿宋_GB2312"/>
          <w:b/>
          <w:sz w:val="24"/>
        </w:rPr>
        <w:t>表2 竞赛内容与分值、竞赛方式、竞赛时间</w:t>
      </w:r>
    </w:p>
    <w:tbl>
      <w:tblPr>
        <w:tblStyle w:val="10"/>
        <w:tblW w:w="8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1439"/>
        <w:gridCol w:w="1599"/>
        <w:gridCol w:w="2669"/>
        <w:gridCol w:w="13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vAlign w:val="center"/>
          </w:tcPr>
          <w:p>
            <w:pPr>
              <w:pStyle w:val="4"/>
              <w:jc w:val="center"/>
              <w:rPr>
                <w:rFonts w:ascii="仿宋_GB2312" w:hAnsi="仿宋" w:eastAsia="仿宋_GB2312"/>
                <w:b/>
                <w:sz w:val="24"/>
              </w:rPr>
            </w:pPr>
            <w:r>
              <w:rPr>
                <w:rFonts w:hint="eastAsia" w:ascii="仿宋_GB2312" w:hAnsi="仿宋" w:eastAsia="仿宋_GB2312"/>
                <w:b/>
                <w:sz w:val="24"/>
              </w:rPr>
              <w:t>竞赛阶段</w:t>
            </w:r>
          </w:p>
        </w:tc>
        <w:tc>
          <w:tcPr>
            <w:tcW w:w="1439" w:type="dxa"/>
            <w:vAlign w:val="center"/>
          </w:tcPr>
          <w:p>
            <w:pPr>
              <w:pStyle w:val="4"/>
              <w:jc w:val="center"/>
              <w:rPr>
                <w:rFonts w:ascii="仿宋_GB2312" w:hAnsi="仿宋" w:eastAsia="仿宋_GB2312"/>
                <w:b/>
                <w:sz w:val="24"/>
              </w:rPr>
            </w:pPr>
            <w:r>
              <w:rPr>
                <w:rFonts w:hint="eastAsia" w:ascii="仿宋_GB2312" w:hAnsi="仿宋" w:eastAsia="仿宋_GB2312"/>
                <w:b/>
                <w:sz w:val="24"/>
              </w:rPr>
              <w:t>竞赛内容</w:t>
            </w:r>
          </w:p>
        </w:tc>
        <w:tc>
          <w:tcPr>
            <w:tcW w:w="1599" w:type="dxa"/>
          </w:tcPr>
          <w:p>
            <w:pPr>
              <w:pStyle w:val="4"/>
              <w:jc w:val="center"/>
              <w:rPr>
                <w:rFonts w:ascii="仿宋_GB2312" w:hAnsi="仿宋" w:eastAsia="仿宋_GB2312"/>
                <w:b/>
                <w:sz w:val="24"/>
              </w:rPr>
            </w:pPr>
            <w:r>
              <w:rPr>
                <w:rFonts w:hint="eastAsia" w:ascii="仿宋_GB2312" w:hAnsi="仿宋" w:eastAsia="仿宋_GB2312"/>
                <w:b/>
                <w:sz w:val="24"/>
              </w:rPr>
              <w:t>分值</w:t>
            </w:r>
          </w:p>
        </w:tc>
        <w:tc>
          <w:tcPr>
            <w:tcW w:w="2669" w:type="dxa"/>
            <w:vAlign w:val="center"/>
          </w:tcPr>
          <w:p>
            <w:pPr>
              <w:pStyle w:val="4"/>
              <w:jc w:val="center"/>
              <w:rPr>
                <w:rFonts w:ascii="仿宋_GB2312" w:hAnsi="仿宋" w:eastAsia="仿宋_GB2312"/>
                <w:b/>
                <w:sz w:val="24"/>
              </w:rPr>
            </w:pPr>
            <w:r>
              <w:rPr>
                <w:rFonts w:hint="eastAsia" w:ascii="仿宋_GB2312" w:hAnsi="仿宋" w:eastAsia="仿宋_GB2312"/>
                <w:b/>
                <w:sz w:val="24"/>
              </w:rPr>
              <w:t>竞赛方式</w:t>
            </w:r>
          </w:p>
        </w:tc>
        <w:tc>
          <w:tcPr>
            <w:tcW w:w="1358" w:type="dxa"/>
            <w:vAlign w:val="center"/>
          </w:tcPr>
          <w:p>
            <w:pPr>
              <w:pStyle w:val="4"/>
              <w:jc w:val="center"/>
              <w:rPr>
                <w:rFonts w:ascii="仿宋_GB2312" w:hAnsi="仿宋" w:eastAsia="仿宋_GB2312"/>
                <w:b/>
                <w:sz w:val="24"/>
              </w:rPr>
            </w:pPr>
            <w:r>
              <w:rPr>
                <w:rFonts w:hint="eastAsia" w:ascii="仿宋_GB2312" w:hAnsi="仿宋" w:eastAsia="仿宋_GB2312"/>
                <w:b/>
                <w:sz w:val="24"/>
              </w:rPr>
              <w:t>竞赛时间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vMerge w:val="restart"/>
            <w:vAlign w:val="center"/>
          </w:tcPr>
          <w:p>
            <w:pPr>
              <w:pStyle w:val="4"/>
              <w:rPr>
                <w:rFonts w:ascii="仿宋_GB2312" w:hAnsi="仿宋" w:eastAsia="仿宋_GB2312"/>
                <w:sz w:val="24"/>
              </w:rPr>
            </w:pPr>
            <w:r>
              <w:rPr>
                <w:rFonts w:hint="eastAsia" w:ascii="仿宋_GB2312" w:hAnsi="仿宋" w:eastAsia="仿宋_GB2312"/>
                <w:sz w:val="24"/>
              </w:rPr>
              <w:t>第一阶段</w:t>
            </w:r>
          </w:p>
        </w:tc>
        <w:tc>
          <w:tcPr>
            <w:tcW w:w="1439" w:type="dxa"/>
          </w:tcPr>
          <w:p>
            <w:pPr>
              <w:pStyle w:val="22"/>
              <w:spacing w:line="242" w:lineRule="auto"/>
              <w:ind w:right="30"/>
              <w:jc w:val="center"/>
              <w:rPr>
                <w:spacing w:val="-7"/>
                <w:szCs w:val="21"/>
              </w:rPr>
            </w:pPr>
            <w:r>
              <w:rPr>
                <w:spacing w:val="-7"/>
                <w:szCs w:val="21"/>
              </w:rPr>
              <w:t>直播营销</w:t>
            </w:r>
          </w:p>
        </w:tc>
        <w:tc>
          <w:tcPr>
            <w:tcW w:w="1599" w:type="dxa"/>
          </w:tcPr>
          <w:p>
            <w:pPr>
              <w:pStyle w:val="22"/>
              <w:spacing w:line="242" w:lineRule="auto"/>
              <w:ind w:right="30"/>
              <w:jc w:val="center"/>
              <w:rPr>
                <w:spacing w:val="-7"/>
                <w:szCs w:val="21"/>
              </w:rPr>
            </w:pPr>
            <w:r>
              <w:rPr>
                <w:spacing w:val="-7"/>
                <w:szCs w:val="21"/>
              </w:rPr>
              <w:t>30 分</w:t>
            </w:r>
          </w:p>
        </w:tc>
        <w:tc>
          <w:tcPr>
            <w:tcW w:w="2669" w:type="dxa"/>
          </w:tcPr>
          <w:p>
            <w:pPr>
              <w:pStyle w:val="22"/>
              <w:spacing w:line="242" w:lineRule="auto"/>
              <w:ind w:right="30"/>
              <w:jc w:val="center"/>
              <w:rPr>
                <w:spacing w:val="-7"/>
                <w:szCs w:val="21"/>
              </w:rPr>
            </w:pPr>
            <w:r>
              <w:rPr>
                <w:spacing w:val="-7"/>
                <w:szCs w:val="21"/>
              </w:rPr>
              <w:t>2 人分工合作</w:t>
            </w:r>
          </w:p>
        </w:tc>
        <w:tc>
          <w:tcPr>
            <w:tcW w:w="1358" w:type="dxa"/>
          </w:tcPr>
          <w:p>
            <w:pPr>
              <w:pStyle w:val="22"/>
              <w:spacing w:line="242" w:lineRule="auto"/>
              <w:ind w:right="30"/>
              <w:jc w:val="center"/>
              <w:rPr>
                <w:spacing w:val="-7"/>
                <w:szCs w:val="21"/>
              </w:rPr>
            </w:pPr>
            <w:r>
              <w:rPr>
                <w:spacing w:val="-7"/>
                <w:szCs w:val="21"/>
              </w:rPr>
              <w:t>120 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vMerge w:val="continue"/>
            <w:vAlign w:val="center"/>
          </w:tcPr>
          <w:p>
            <w:pPr>
              <w:pStyle w:val="4"/>
              <w:rPr>
                <w:rFonts w:ascii="仿宋_GB2312" w:hAnsi="仿宋" w:eastAsia="仿宋_GB2312"/>
                <w:sz w:val="24"/>
              </w:rPr>
            </w:pPr>
          </w:p>
        </w:tc>
        <w:tc>
          <w:tcPr>
            <w:tcW w:w="1439" w:type="dxa"/>
          </w:tcPr>
          <w:p>
            <w:pPr>
              <w:pStyle w:val="22"/>
              <w:spacing w:line="242" w:lineRule="auto"/>
              <w:ind w:right="30"/>
              <w:jc w:val="center"/>
              <w:rPr>
                <w:spacing w:val="-7"/>
                <w:szCs w:val="21"/>
              </w:rPr>
            </w:pPr>
            <w:r>
              <w:rPr>
                <w:spacing w:val="-7"/>
                <w:szCs w:val="21"/>
              </w:rPr>
              <w:t>视觉营销</w:t>
            </w:r>
          </w:p>
        </w:tc>
        <w:tc>
          <w:tcPr>
            <w:tcW w:w="1599" w:type="dxa"/>
          </w:tcPr>
          <w:p>
            <w:pPr>
              <w:pStyle w:val="22"/>
              <w:spacing w:line="242" w:lineRule="auto"/>
              <w:ind w:right="30"/>
              <w:jc w:val="center"/>
              <w:rPr>
                <w:spacing w:val="-7"/>
                <w:szCs w:val="21"/>
              </w:rPr>
            </w:pPr>
            <w:r>
              <w:rPr>
                <w:spacing w:val="-7"/>
                <w:szCs w:val="21"/>
              </w:rPr>
              <w:t>25 分</w:t>
            </w:r>
          </w:p>
        </w:tc>
        <w:tc>
          <w:tcPr>
            <w:tcW w:w="2669" w:type="dxa"/>
          </w:tcPr>
          <w:p>
            <w:pPr>
              <w:pStyle w:val="22"/>
              <w:spacing w:line="242" w:lineRule="auto"/>
              <w:ind w:right="30"/>
              <w:jc w:val="center"/>
              <w:rPr>
                <w:spacing w:val="-7"/>
                <w:szCs w:val="21"/>
              </w:rPr>
            </w:pPr>
            <w:r>
              <w:rPr>
                <w:spacing w:val="-7"/>
                <w:szCs w:val="21"/>
              </w:rPr>
              <w:t>2 人分工合作</w:t>
            </w:r>
          </w:p>
        </w:tc>
        <w:tc>
          <w:tcPr>
            <w:tcW w:w="1358" w:type="dxa"/>
          </w:tcPr>
          <w:p>
            <w:pPr>
              <w:pStyle w:val="22"/>
              <w:spacing w:line="242" w:lineRule="auto"/>
              <w:ind w:right="30"/>
              <w:jc w:val="center"/>
              <w:rPr>
                <w:spacing w:val="-7"/>
                <w:szCs w:val="21"/>
              </w:rPr>
            </w:pPr>
            <w:r>
              <w:rPr>
                <w:spacing w:val="-7"/>
                <w:szCs w:val="21"/>
              </w:rPr>
              <w:t>120 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vAlign w:val="center"/>
          </w:tcPr>
          <w:p>
            <w:pPr>
              <w:pStyle w:val="4"/>
              <w:rPr>
                <w:rFonts w:ascii="仿宋_GB2312" w:hAnsi="仿宋" w:eastAsia="仿宋_GB2312"/>
                <w:sz w:val="24"/>
              </w:rPr>
            </w:pPr>
            <w:r>
              <w:rPr>
                <w:rFonts w:hint="eastAsia" w:ascii="仿宋_GB2312" w:hAnsi="仿宋" w:eastAsia="仿宋_GB2312"/>
                <w:sz w:val="24"/>
              </w:rPr>
              <w:t>第二阶段</w:t>
            </w:r>
          </w:p>
        </w:tc>
        <w:tc>
          <w:tcPr>
            <w:tcW w:w="1439" w:type="dxa"/>
          </w:tcPr>
          <w:p>
            <w:pPr>
              <w:pStyle w:val="22"/>
              <w:spacing w:line="242" w:lineRule="auto"/>
              <w:ind w:right="30"/>
              <w:jc w:val="center"/>
              <w:rPr>
                <w:spacing w:val="-7"/>
                <w:szCs w:val="21"/>
              </w:rPr>
            </w:pPr>
            <w:r>
              <w:rPr>
                <w:spacing w:val="-7"/>
                <w:szCs w:val="21"/>
              </w:rPr>
              <w:t>网店运营推广</w:t>
            </w:r>
          </w:p>
        </w:tc>
        <w:tc>
          <w:tcPr>
            <w:tcW w:w="1599" w:type="dxa"/>
          </w:tcPr>
          <w:p>
            <w:pPr>
              <w:pStyle w:val="22"/>
              <w:spacing w:line="242" w:lineRule="auto"/>
              <w:ind w:right="30"/>
              <w:jc w:val="center"/>
              <w:rPr>
                <w:spacing w:val="-7"/>
                <w:szCs w:val="21"/>
              </w:rPr>
            </w:pPr>
            <w:r>
              <w:rPr>
                <w:spacing w:val="-7"/>
                <w:szCs w:val="21"/>
              </w:rPr>
              <w:t>45 分</w:t>
            </w:r>
          </w:p>
        </w:tc>
        <w:tc>
          <w:tcPr>
            <w:tcW w:w="2669" w:type="dxa"/>
          </w:tcPr>
          <w:p>
            <w:pPr>
              <w:pStyle w:val="22"/>
              <w:spacing w:line="242" w:lineRule="auto"/>
              <w:ind w:right="30"/>
              <w:jc w:val="center"/>
              <w:rPr>
                <w:spacing w:val="-7"/>
                <w:szCs w:val="21"/>
              </w:rPr>
            </w:pPr>
            <w:r>
              <w:rPr>
                <w:spacing w:val="-7"/>
                <w:szCs w:val="21"/>
              </w:rPr>
              <w:t>4 人分工合作</w:t>
            </w:r>
          </w:p>
        </w:tc>
        <w:tc>
          <w:tcPr>
            <w:tcW w:w="1358" w:type="dxa"/>
          </w:tcPr>
          <w:p>
            <w:pPr>
              <w:pStyle w:val="22"/>
              <w:spacing w:line="242" w:lineRule="auto"/>
              <w:ind w:right="30"/>
              <w:jc w:val="center"/>
              <w:rPr>
                <w:spacing w:val="-7"/>
                <w:szCs w:val="21"/>
              </w:rPr>
            </w:pPr>
            <w:r>
              <w:rPr>
                <w:spacing w:val="-7"/>
                <w:szCs w:val="21"/>
              </w:rPr>
              <w:t>300 分钟</w:t>
            </w:r>
          </w:p>
        </w:tc>
      </w:tr>
    </w:tbl>
    <w:p>
      <w:pPr>
        <w:spacing w:line="560" w:lineRule="atLeas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四、竞赛方式</w:t>
      </w:r>
    </w:p>
    <w:p>
      <w:pPr>
        <w:spacing w:line="560" w:lineRule="atLeas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1.本赛项为团体赛。以院校为单位组队参赛，不得跨校组队，同一学校相同项目报名参赛队不超过2支,每队4名选手，1名领队，不超过2名指导教师。</w:t>
      </w:r>
    </w:p>
    <w:p>
      <w:pPr>
        <w:spacing w:line="560" w:lineRule="exact"/>
        <w:ind w:firstLine="545" w:firstLineChars="194"/>
        <w:rPr>
          <w:rFonts w:ascii="仿宋_GB2312" w:hAnsi="黑体" w:eastAsia="仿宋_GB2312" w:cs="黑体"/>
          <w:b/>
          <w:bCs/>
          <w:sz w:val="28"/>
          <w:szCs w:val="28"/>
        </w:rPr>
      </w:pPr>
      <w:r>
        <w:rPr>
          <w:rFonts w:hint="eastAsia" w:ascii="仿宋_GB2312" w:hAnsi="黑体" w:eastAsia="仿宋_GB2312" w:cs="黑体"/>
          <w:b/>
          <w:bCs/>
          <w:sz w:val="28"/>
          <w:szCs w:val="28"/>
        </w:rPr>
        <w:t>五、竞赛流程</w:t>
      </w:r>
    </w:p>
    <w:p>
      <w:pPr>
        <w:pStyle w:val="2"/>
        <w:rPr>
          <w:lang w:val="en-US" w:bidi="ar-SA"/>
        </w:rPr>
      </w:pPr>
    </w:p>
    <w:tbl>
      <w:tblPr>
        <w:tblStyle w:val="1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1984"/>
        <w:gridCol w:w="2835"/>
        <w:gridCol w:w="2268"/>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Align w:val="center"/>
          </w:tcPr>
          <w:p>
            <w:pPr>
              <w:pStyle w:val="4"/>
              <w:rPr>
                <w:rFonts w:ascii="仿宋_GB2312" w:hAnsi="仿宋" w:eastAsia="仿宋_GB2312"/>
                <w:b/>
                <w:sz w:val="24"/>
              </w:rPr>
            </w:pPr>
            <w:r>
              <w:rPr>
                <w:rFonts w:hint="eastAsia" w:ascii="仿宋_GB2312" w:hAnsi="仿宋" w:eastAsia="仿宋_GB2312"/>
                <w:b/>
                <w:sz w:val="24"/>
              </w:rPr>
              <w:t>日期</w:t>
            </w:r>
          </w:p>
        </w:tc>
        <w:tc>
          <w:tcPr>
            <w:tcW w:w="1984" w:type="dxa"/>
            <w:vAlign w:val="center"/>
          </w:tcPr>
          <w:p>
            <w:pPr>
              <w:pStyle w:val="4"/>
              <w:rPr>
                <w:rFonts w:ascii="仿宋_GB2312" w:hAnsi="仿宋" w:eastAsia="仿宋_GB2312"/>
                <w:b/>
                <w:sz w:val="24"/>
              </w:rPr>
            </w:pPr>
            <w:r>
              <w:rPr>
                <w:rFonts w:hint="eastAsia" w:ascii="仿宋_GB2312" w:hAnsi="仿宋" w:eastAsia="仿宋_GB2312"/>
                <w:b/>
                <w:sz w:val="24"/>
              </w:rPr>
              <w:t>时间</w:t>
            </w:r>
          </w:p>
        </w:tc>
        <w:tc>
          <w:tcPr>
            <w:tcW w:w="2835" w:type="dxa"/>
            <w:vAlign w:val="center"/>
          </w:tcPr>
          <w:p>
            <w:pPr>
              <w:pStyle w:val="4"/>
              <w:rPr>
                <w:rFonts w:ascii="仿宋_GB2312" w:hAnsi="仿宋" w:eastAsia="仿宋_GB2312"/>
                <w:b/>
                <w:sz w:val="24"/>
              </w:rPr>
            </w:pPr>
            <w:r>
              <w:rPr>
                <w:rFonts w:hint="eastAsia" w:ascii="仿宋_GB2312" w:hAnsi="仿宋" w:eastAsia="仿宋_GB2312"/>
                <w:b/>
                <w:sz w:val="24"/>
              </w:rPr>
              <w:t>事项</w:t>
            </w:r>
          </w:p>
        </w:tc>
        <w:tc>
          <w:tcPr>
            <w:tcW w:w="2268" w:type="dxa"/>
            <w:vAlign w:val="center"/>
          </w:tcPr>
          <w:p>
            <w:pPr>
              <w:pStyle w:val="4"/>
              <w:rPr>
                <w:rFonts w:ascii="仿宋_GB2312" w:hAnsi="仿宋" w:eastAsia="仿宋_GB2312"/>
                <w:b/>
                <w:sz w:val="24"/>
              </w:rPr>
            </w:pPr>
            <w:r>
              <w:rPr>
                <w:rFonts w:hint="eastAsia" w:ascii="仿宋_GB2312" w:hAnsi="仿宋" w:eastAsia="仿宋_GB2312"/>
                <w:b/>
                <w:sz w:val="24"/>
              </w:rPr>
              <w:t>参加人员</w:t>
            </w:r>
          </w:p>
        </w:tc>
        <w:tc>
          <w:tcPr>
            <w:tcW w:w="1418" w:type="dxa"/>
            <w:vAlign w:val="center"/>
          </w:tcPr>
          <w:p>
            <w:pPr>
              <w:pStyle w:val="4"/>
              <w:rPr>
                <w:rFonts w:ascii="仿宋_GB2312" w:hAnsi="仿宋" w:eastAsia="仿宋_GB2312"/>
                <w:b/>
                <w:sz w:val="24"/>
              </w:rPr>
            </w:pPr>
            <w:r>
              <w:rPr>
                <w:rFonts w:hint="eastAsia" w:ascii="仿宋_GB2312" w:hAnsi="仿宋" w:eastAsia="仿宋_GB2312"/>
                <w:b/>
                <w:sz w:val="24"/>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restart"/>
            <w:vAlign w:val="center"/>
          </w:tcPr>
          <w:p>
            <w:pPr>
              <w:pStyle w:val="4"/>
              <w:rPr>
                <w:rFonts w:ascii="仿宋_GB2312" w:hAnsi="仿宋" w:eastAsia="仿宋_GB2312"/>
                <w:sz w:val="24"/>
              </w:rPr>
            </w:pPr>
            <w:r>
              <w:rPr>
                <w:rFonts w:hint="eastAsia" w:ascii="仿宋_GB2312" w:hAnsi="仿宋" w:eastAsia="仿宋_GB2312"/>
                <w:sz w:val="24"/>
              </w:rPr>
              <w:t>报到日</w:t>
            </w:r>
          </w:p>
        </w:tc>
        <w:tc>
          <w:tcPr>
            <w:tcW w:w="1984" w:type="dxa"/>
            <w:vAlign w:val="center"/>
          </w:tcPr>
          <w:p>
            <w:pPr>
              <w:pStyle w:val="4"/>
              <w:rPr>
                <w:rFonts w:ascii="仿宋_GB2312" w:hAnsi="仿宋" w:eastAsia="仿宋_GB2312"/>
                <w:sz w:val="24"/>
              </w:rPr>
            </w:pPr>
            <w:r>
              <w:rPr>
                <w:rFonts w:hint="eastAsia" w:ascii="仿宋_GB2312" w:hAnsi="仿宋" w:eastAsia="仿宋_GB2312"/>
                <w:sz w:val="24"/>
              </w:rPr>
              <w:t>08:00～13:00</w:t>
            </w:r>
          </w:p>
        </w:tc>
        <w:tc>
          <w:tcPr>
            <w:tcW w:w="2835" w:type="dxa"/>
            <w:vAlign w:val="center"/>
          </w:tcPr>
          <w:p>
            <w:pPr>
              <w:pStyle w:val="4"/>
              <w:rPr>
                <w:rFonts w:ascii="仿宋_GB2312" w:hAnsi="仿宋" w:eastAsia="仿宋_GB2312"/>
                <w:sz w:val="24"/>
              </w:rPr>
            </w:pPr>
            <w:r>
              <w:rPr>
                <w:rFonts w:hint="eastAsia" w:ascii="仿宋_GB2312" w:hAnsi="仿宋" w:eastAsia="仿宋_GB2312"/>
                <w:sz w:val="24"/>
              </w:rPr>
              <w:t>参赛队报到，安排住宿，领取资料</w:t>
            </w:r>
          </w:p>
        </w:tc>
        <w:tc>
          <w:tcPr>
            <w:tcW w:w="2268" w:type="dxa"/>
            <w:vAlign w:val="center"/>
          </w:tcPr>
          <w:p>
            <w:pPr>
              <w:pStyle w:val="4"/>
              <w:rPr>
                <w:rFonts w:ascii="仿宋_GB2312" w:hAnsi="仿宋" w:eastAsia="仿宋_GB2312"/>
                <w:sz w:val="24"/>
              </w:rPr>
            </w:pPr>
            <w:r>
              <w:rPr>
                <w:rFonts w:hint="eastAsia" w:ascii="仿宋_GB2312" w:hAnsi="仿宋" w:eastAsia="仿宋_GB2312"/>
                <w:sz w:val="24"/>
              </w:rPr>
              <w:t>工作人员，参赛队</w:t>
            </w:r>
          </w:p>
        </w:tc>
        <w:tc>
          <w:tcPr>
            <w:tcW w:w="1418" w:type="dxa"/>
            <w:vAlign w:val="center"/>
          </w:tcPr>
          <w:p>
            <w:pPr>
              <w:pStyle w:val="4"/>
              <w:rPr>
                <w:rFonts w:ascii="仿宋_GB2312" w:hAnsi="仿宋" w:eastAsia="仿宋_GB2312"/>
                <w:sz w:val="24"/>
              </w:rPr>
            </w:pPr>
            <w:r>
              <w:rPr>
                <w:rFonts w:hint="eastAsia" w:ascii="仿宋_GB2312" w:hAnsi="仿宋" w:eastAsia="仿宋_GB2312"/>
                <w:sz w:val="24"/>
              </w:rPr>
              <w:t>住宿酒店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4"/>
              <w:rPr>
                <w:rFonts w:ascii="仿宋_GB2312" w:hAnsi="仿宋" w:eastAsia="仿宋_GB2312"/>
                <w:sz w:val="24"/>
              </w:rPr>
            </w:pPr>
          </w:p>
        </w:tc>
        <w:tc>
          <w:tcPr>
            <w:tcW w:w="1984" w:type="dxa"/>
            <w:vAlign w:val="center"/>
          </w:tcPr>
          <w:p>
            <w:pPr>
              <w:pStyle w:val="4"/>
              <w:rPr>
                <w:rFonts w:ascii="仿宋_GB2312" w:hAnsi="仿宋" w:eastAsia="仿宋_GB2312"/>
                <w:sz w:val="24"/>
              </w:rPr>
            </w:pPr>
            <w:r>
              <w:rPr>
                <w:rFonts w:hint="eastAsia" w:ascii="仿宋_GB2312" w:hAnsi="仿宋" w:eastAsia="仿宋_GB2312"/>
                <w:sz w:val="24"/>
              </w:rPr>
              <w:t>14:30</w:t>
            </w:r>
          </w:p>
        </w:tc>
        <w:tc>
          <w:tcPr>
            <w:tcW w:w="2835" w:type="dxa"/>
            <w:vAlign w:val="center"/>
          </w:tcPr>
          <w:p>
            <w:pPr>
              <w:pStyle w:val="4"/>
              <w:rPr>
                <w:rFonts w:ascii="仿宋_GB2312" w:hAnsi="仿宋" w:eastAsia="仿宋_GB2312"/>
                <w:sz w:val="24"/>
              </w:rPr>
            </w:pPr>
            <w:r>
              <w:rPr>
                <w:rFonts w:hint="eastAsia" w:ascii="仿宋_GB2312" w:hAnsi="仿宋" w:eastAsia="仿宋_GB2312"/>
                <w:sz w:val="24"/>
              </w:rPr>
              <w:t>参赛队领队乘车往学校</w:t>
            </w:r>
          </w:p>
        </w:tc>
        <w:tc>
          <w:tcPr>
            <w:tcW w:w="2268" w:type="dxa"/>
            <w:vAlign w:val="center"/>
          </w:tcPr>
          <w:p>
            <w:pPr>
              <w:pStyle w:val="4"/>
              <w:rPr>
                <w:rFonts w:ascii="仿宋_GB2312" w:hAnsi="仿宋" w:eastAsia="仿宋_GB2312"/>
                <w:sz w:val="24"/>
              </w:rPr>
            </w:pPr>
          </w:p>
        </w:tc>
        <w:tc>
          <w:tcPr>
            <w:tcW w:w="1418" w:type="dxa"/>
            <w:vAlign w:val="center"/>
          </w:tcPr>
          <w:p>
            <w:pPr>
              <w:pStyle w:val="4"/>
              <w:rPr>
                <w:rFonts w:ascii="仿宋_GB2312" w:hAnsi="仿宋"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4"/>
              <w:rPr>
                <w:rFonts w:ascii="仿宋_GB2312" w:hAnsi="仿宋" w:eastAsia="仿宋_GB2312"/>
                <w:sz w:val="24"/>
              </w:rPr>
            </w:pPr>
          </w:p>
        </w:tc>
        <w:tc>
          <w:tcPr>
            <w:tcW w:w="1984" w:type="dxa"/>
            <w:vAlign w:val="center"/>
          </w:tcPr>
          <w:p>
            <w:pPr>
              <w:pStyle w:val="4"/>
              <w:rPr>
                <w:rFonts w:ascii="仿宋_GB2312" w:hAnsi="仿宋" w:eastAsia="仿宋_GB2312"/>
                <w:sz w:val="24"/>
              </w:rPr>
            </w:pPr>
            <w:r>
              <w:rPr>
                <w:rFonts w:hint="eastAsia" w:ascii="仿宋_GB2312" w:hAnsi="仿宋" w:eastAsia="仿宋_GB2312"/>
                <w:sz w:val="24"/>
              </w:rPr>
              <w:t>14:45～15:30</w:t>
            </w:r>
          </w:p>
        </w:tc>
        <w:tc>
          <w:tcPr>
            <w:tcW w:w="2835" w:type="dxa"/>
            <w:vAlign w:val="center"/>
          </w:tcPr>
          <w:p>
            <w:pPr>
              <w:pStyle w:val="4"/>
              <w:rPr>
                <w:rFonts w:ascii="仿宋_GB2312" w:hAnsi="仿宋" w:eastAsia="仿宋_GB2312"/>
                <w:sz w:val="24"/>
              </w:rPr>
            </w:pPr>
            <w:r>
              <w:rPr>
                <w:rFonts w:hint="eastAsia" w:ascii="仿宋_GB2312" w:hAnsi="仿宋" w:eastAsia="仿宋_GB2312"/>
                <w:sz w:val="24"/>
              </w:rPr>
              <w:t>领队会</w:t>
            </w:r>
          </w:p>
        </w:tc>
        <w:tc>
          <w:tcPr>
            <w:tcW w:w="2268" w:type="dxa"/>
            <w:vAlign w:val="center"/>
          </w:tcPr>
          <w:p>
            <w:pPr>
              <w:pStyle w:val="4"/>
              <w:rPr>
                <w:rFonts w:ascii="仿宋_GB2312" w:hAnsi="仿宋" w:eastAsia="仿宋_GB2312"/>
                <w:sz w:val="24"/>
              </w:rPr>
            </w:pPr>
            <w:r>
              <w:rPr>
                <w:rFonts w:hint="eastAsia" w:ascii="仿宋_GB2312" w:hAnsi="仿宋" w:eastAsia="仿宋_GB2312"/>
                <w:sz w:val="24"/>
              </w:rPr>
              <w:t>各参赛队领队</w:t>
            </w:r>
          </w:p>
        </w:tc>
        <w:tc>
          <w:tcPr>
            <w:tcW w:w="1418" w:type="dxa"/>
            <w:vAlign w:val="center"/>
          </w:tcPr>
          <w:p>
            <w:pPr>
              <w:pStyle w:val="4"/>
              <w:rPr>
                <w:rFonts w:ascii="仿宋_GB2312" w:hAnsi="仿宋" w:eastAsia="仿宋_GB2312"/>
                <w:sz w:val="24"/>
              </w:rPr>
            </w:pPr>
            <w:r>
              <w:rPr>
                <w:rFonts w:hint="eastAsia" w:ascii="仿宋_GB2312" w:hAnsi="仿宋" w:eastAsia="仿宋_GB2312"/>
                <w:sz w:val="24"/>
              </w:rPr>
              <w:t>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4"/>
              <w:rPr>
                <w:rFonts w:ascii="仿宋_GB2312" w:hAnsi="仿宋" w:eastAsia="仿宋_GB2312"/>
                <w:sz w:val="24"/>
              </w:rPr>
            </w:pPr>
          </w:p>
        </w:tc>
        <w:tc>
          <w:tcPr>
            <w:tcW w:w="1984" w:type="dxa"/>
            <w:vAlign w:val="center"/>
          </w:tcPr>
          <w:p>
            <w:pPr>
              <w:pStyle w:val="4"/>
              <w:rPr>
                <w:rFonts w:ascii="仿宋_GB2312" w:hAnsi="仿宋" w:eastAsia="仿宋_GB2312"/>
                <w:sz w:val="24"/>
              </w:rPr>
            </w:pPr>
            <w:r>
              <w:rPr>
                <w:rFonts w:hint="eastAsia" w:ascii="仿宋_GB2312" w:hAnsi="仿宋" w:eastAsia="仿宋_GB2312"/>
                <w:sz w:val="24"/>
              </w:rPr>
              <w:t>15:30～16:20</w:t>
            </w:r>
          </w:p>
        </w:tc>
        <w:tc>
          <w:tcPr>
            <w:tcW w:w="2835" w:type="dxa"/>
            <w:vAlign w:val="center"/>
          </w:tcPr>
          <w:p>
            <w:pPr>
              <w:pStyle w:val="4"/>
              <w:rPr>
                <w:rFonts w:ascii="仿宋_GB2312" w:hAnsi="仿宋" w:eastAsia="仿宋_GB2312"/>
                <w:sz w:val="24"/>
              </w:rPr>
            </w:pPr>
            <w:r>
              <w:rPr>
                <w:rFonts w:hint="eastAsia" w:ascii="仿宋_GB2312" w:hAnsi="仿宋" w:eastAsia="仿宋_GB2312"/>
                <w:sz w:val="24"/>
              </w:rPr>
              <w:t>熟悉赛场</w:t>
            </w:r>
          </w:p>
        </w:tc>
        <w:tc>
          <w:tcPr>
            <w:tcW w:w="2268" w:type="dxa"/>
            <w:vAlign w:val="center"/>
          </w:tcPr>
          <w:p>
            <w:pPr>
              <w:pStyle w:val="4"/>
              <w:rPr>
                <w:rFonts w:ascii="仿宋_GB2312" w:hAnsi="仿宋" w:eastAsia="仿宋_GB2312"/>
                <w:sz w:val="24"/>
              </w:rPr>
            </w:pPr>
            <w:r>
              <w:rPr>
                <w:rFonts w:hint="eastAsia" w:ascii="仿宋_GB2312" w:hAnsi="仿宋" w:eastAsia="仿宋_GB2312"/>
                <w:sz w:val="24"/>
              </w:rPr>
              <w:t>赛场技术人员、各参赛队领队</w:t>
            </w:r>
          </w:p>
        </w:tc>
        <w:tc>
          <w:tcPr>
            <w:tcW w:w="1418" w:type="dxa"/>
            <w:vAlign w:val="center"/>
          </w:tcPr>
          <w:p>
            <w:pPr>
              <w:pStyle w:val="4"/>
              <w:rPr>
                <w:rFonts w:ascii="仿宋_GB2312" w:hAnsi="仿宋" w:eastAsia="仿宋_GB2312"/>
                <w:sz w:val="24"/>
              </w:rPr>
            </w:pPr>
            <w:r>
              <w:rPr>
                <w:rFonts w:hint="eastAsia" w:ascii="仿宋_GB2312" w:hAnsi="仿宋" w:eastAsia="仿宋_GB2312"/>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4"/>
              <w:rPr>
                <w:rFonts w:ascii="仿宋_GB2312" w:hAnsi="仿宋" w:eastAsia="仿宋_GB2312"/>
                <w:sz w:val="24"/>
              </w:rPr>
            </w:pPr>
          </w:p>
        </w:tc>
        <w:tc>
          <w:tcPr>
            <w:tcW w:w="1984" w:type="dxa"/>
            <w:vAlign w:val="center"/>
          </w:tcPr>
          <w:p>
            <w:pPr>
              <w:pStyle w:val="4"/>
              <w:rPr>
                <w:rFonts w:ascii="仿宋_GB2312" w:hAnsi="仿宋" w:eastAsia="仿宋_GB2312"/>
                <w:sz w:val="24"/>
              </w:rPr>
            </w:pPr>
            <w:r>
              <w:rPr>
                <w:rFonts w:hint="eastAsia" w:ascii="仿宋_GB2312" w:hAnsi="仿宋" w:eastAsia="仿宋_GB2312"/>
                <w:sz w:val="24"/>
              </w:rPr>
              <w:t>16:20</w:t>
            </w:r>
          </w:p>
        </w:tc>
        <w:tc>
          <w:tcPr>
            <w:tcW w:w="2835" w:type="dxa"/>
            <w:vAlign w:val="center"/>
          </w:tcPr>
          <w:p>
            <w:pPr>
              <w:pStyle w:val="4"/>
              <w:rPr>
                <w:rFonts w:ascii="仿宋_GB2312" w:hAnsi="仿宋" w:eastAsia="仿宋_GB2312"/>
                <w:sz w:val="24"/>
              </w:rPr>
            </w:pPr>
            <w:r>
              <w:rPr>
                <w:rFonts w:hint="eastAsia" w:ascii="仿宋_GB2312" w:hAnsi="仿宋" w:eastAsia="仿宋_GB2312"/>
                <w:sz w:val="24"/>
              </w:rPr>
              <w:t>回住宿宾馆</w:t>
            </w:r>
          </w:p>
        </w:tc>
        <w:tc>
          <w:tcPr>
            <w:tcW w:w="2268" w:type="dxa"/>
            <w:vAlign w:val="center"/>
          </w:tcPr>
          <w:p>
            <w:pPr>
              <w:pStyle w:val="4"/>
              <w:rPr>
                <w:rFonts w:ascii="仿宋_GB2312" w:hAnsi="仿宋" w:eastAsia="仿宋_GB2312"/>
                <w:sz w:val="24"/>
              </w:rPr>
            </w:pPr>
          </w:p>
        </w:tc>
        <w:tc>
          <w:tcPr>
            <w:tcW w:w="1418" w:type="dxa"/>
            <w:vAlign w:val="center"/>
          </w:tcPr>
          <w:p>
            <w:pPr>
              <w:pStyle w:val="4"/>
              <w:rPr>
                <w:rFonts w:ascii="仿宋_GB2312" w:hAnsi="仿宋" w:eastAsia="仿宋_GB2312"/>
                <w:sz w:val="24"/>
              </w:rPr>
            </w:pPr>
            <w:r>
              <w:rPr>
                <w:rFonts w:hint="eastAsia" w:ascii="仿宋_GB2312" w:hAnsi="仿宋" w:eastAsia="仿宋_GB2312"/>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restart"/>
            <w:vAlign w:val="center"/>
          </w:tcPr>
          <w:p>
            <w:pPr>
              <w:pStyle w:val="4"/>
              <w:rPr>
                <w:rFonts w:ascii="仿宋_GB2312" w:hAnsi="仿宋" w:eastAsia="仿宋_GB2312"/>
                <w:sz w:val="24"/>
              </w:rPr>
            </w:pPr>
            <w:r>
              <w:rPr>
                <w:rFonts w:hint="eastAsia" w:ascii="仿宋_GB2312" w:hAnsi="仿宋" w:eastAsia="仿宋_GB2312"/>
                <w:sz w:val="24"/>
              </w:rPr>
              <w:t>竞赛日</w:t>
            </w:r>
          </w:p>
        </w:tc>
        <w:tc>
          <w:tcPr>
            <w:tcW w:w="1984" w:type="dxa"/>
            <w:vAlign w:val="center"/>
          </w:tcPr>
          <w:p>
            <w:pPr>
              <w:pStyle w:val="4"/>
              <w:rPr>
                <w:rFonts w:ascii="仿宋_GB2312" w:hAnsi="仿宋" w:eastAsia="仿宋_GB2312"/>
                <w:sz w:val="24"/>
              </w:rPr>
            </w:pPr>
            <w:r>
              <w:rPr>
                <w:rFonts w:hint="eastAsia" w:ascii="仿宋_GB2312" w:hAnsi="仿宋" w:eastAsia="仿宋_GB2312"/>
                <w:sz w:val="24"/>
              </w:rPr>
              <w:t>7:30</w:t>
            </w:r>
          </w:p>
        </w:tc>
        <w:tc>
          <w:tcPr>
            <w:tcW w:w="2835" w:type="dxa"/>
            <w:vAlign w:val="center"/>
          </w:tcPr>
          <w:p>
            <w:pPr>
              <w:pStyle w:val="4"/>
              <w:rPr>
                <w:rFonts w:ascii="仿宋_GB2312" w:hAnsi="仿宋" w:eastAsia="仿宋_GB2312"/>
                <w:sz w:val="24"/>
              </w:rPr>
            </w:pPr>
            <w:r>
              <w:rPr>
                <w:rFonts w:hint="eastAsia" w:ascii="仿宋_GB2312" w:hAnsi="仿宋" w:eastAsia="仿宋_GB2312"/>
                <w:sz w:val="24"/>
              </w:rPr>
              <w:t>参赛队竞赛场地前集合</w:t>
            </w:r>
          </w:p>
        </w:tc>
        <w:tc>
          <w:tcPr>
            <w:tcW w:w="2268" w:type="dxa"/>
            <w:vAlign w:val="center"/>
          </w:tcPr>
          <w:p>
            <w:pPr>
              <w:pStyle w:val="4"/>
              <w:rPr>
                <w:rFonts w:ascii="仿宋_GB2312" w:hAnsi="仿宋" w:eastAsia="仿宋_GB2312"/>
                <w:sz w:val="24"/>
              </w:rPr>
            </w:pPr>
            <w:r>
              <w:rPr>
                <w:rFonts w:hint="eastAsia" w:ascii="仿宋_GB2312" w:hAnsi="仿宋" w:eastAsia="仿宋_GB2312"/>
                <w:sz w:val="24"/>
              </w:rPr>
              <w:t>各参赛队</w:t>
            </w:r>
          </w:p>
        </w:tc>
        <w:tc>
          <w:tcPr>
            <w:tcW w:w="1418" w:type="dxa"/>
            <w:vAlign w:val="center"/>
          </w:tcPr>
          <w:p>
            <w:pPr>
              <w:pStyle w:val="4"/>
              <w:rPr>
                <w:rFonts w:ascii="仿宋_GB2312" w:hAnsi="仿宋" w:eastAsia="仿宋_GB2312"/>
                <w:sz w:val="24"/>
              </w:rPr>
            </w:pPr>
            <w:r>
              <w:rPr>
                <w:rFonts w:hint="eastAsia" w:ascii="仿宋_GB2312" w:hAnsi="仿宋" w:eastAsia="仿宋_GB2312"/>
                <w:sz w:val="24"/>
              </w:rPr>
              <w:t>竞赛场地前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4"/>
              <w:rPr>
                <w:rFonts w:ascii="仿宋_GB2312" w:hAnsi="仿宋" w:eastAsia="仿宋_GB2312"/>
                <w:sz w:val="24"/>
              </w:rPr>
            </w:pPr>
          </w:p>
        </w:tc>
        <w:tc>
          <w:tcPr>
            <w:tcW w:w="1984" w:type="dxa"/>
            <w:vAlign w:val="center"/>
          </w:tcPr>
          <w:p>
            <w:pPr>
              <w:pStyle w:val="4"/>
              <w:rPr>
                <w:rFonts w:ascii="仿宋_GB2312" w:hAnsi="仿宋" w:eastAsia="仿宋_GB2312"/>
                <w:sz w:val="24"/>
              </w:rPr>
            </w:pPr>
            <w:r>
              <w:rPr>
                <w:rFonts w:hint="eastAsia" w:ascii="仿宋_GB2312" w:hAnsi="仿宋" w:eastAsia="仿宋_GB2312"/>
                <w:sz w:val="24"/>
              </w:rPr>
              <w:t>7:30～7:45</w:t>
            </w:r>
          </w:p>
          <w:p>
            <w:pPr>
              <w:pStyle w:val="4"/>
              <w:rPr>
                <w:rFonts w:ascii="仿宋_GB2312" w:hAnsi="仿宋" w:eastAsia="仿宋_GB2312"/>
                <w:sz w:val="24"/>
              </w:rPr>
            </w:pPr>
            <w:r>
              <w:rPr>
                <w:rFonts w:hint="eastAsia" w:ascii="仿宋_GB2312" w:hAnsi="仿宋" w:eastAsia="仿宋_GB2312"/>
                <w:sz w:val="24"/>
              </w:rPr>
              <w:t>开始</w:t>
            </w:r>
          </w:p>
        </w:tc>
        <w:tc>
          <w:tcPr>
            <w:tcW w:w="2835" w:type="dxa"/>
            <w:vAlign w:val="center"/>
          </w:tcPr>
          <w:p>
            <w:pPr>
              <w:pStyle w:val="4"/>
              <w:rPr>
                <w:rFonts w:ascii="仿宋_GB2312" w:hAnsi="仿宋" w:eastAsia="仿宋_GB2312"/>
                <w:sz w:val="24"/>
              </w:rPr>
            </w:pPr>
            <w:r>
              <w:rPr>
                <w:rFonts w:hint="eastAsia" w:ascii="仿宋_GB2312" w:hAnsi="仿宋" w:eastAsia="仿宋_GB2312"/>
                <w:sz w:val="24"/>
              </w:rPr>
              <w:t>大赛检录进场</w:t>
            </w:r>
          </w:p>
          <w:p>
            <w:pPr>
              <w:pStyle w:val="4"/>
              <w:rPr>
                <w:rFonts w:ascii="仿宋_GB2312" w:hAnsi="仿宋" w:eastAsia="仿宋_GB2312"/>
                <w:sz w:val="24"/>
              </w:rPr>
            </w:pPr>
            <w:r>
              <w:rPr>
                <w:rFonts w:hint="eastAsia" w:ascii="仿宋_GB2312" w:hAnsi="仿宋" w:eastAsia="仿宋_GB2312"/>
                <w:sz w:val="24"/>
              </w:rPr>
              <w:t>第一次抽签加密（抽序号）</w:t>
            </w:r>
          </w:p>
        </w:tc>
        <w:tc>
          <w:tcPr>
            <w:tcW w:w="2268" w:type="dxa"/>
            <w:vAlign w:val="center"/>
          </w:tcPr>
          <w:p>
            <w:pPr>
              <w:pStyle w:val="4"/>
              <w:rPr>
                <w:rFonts w:ascii="仿宋_GB2312" w:hAnsi="仿宋" w:eastAsia="仿宋_GB2312"/>
                <w:sz w:val="24"/>
              </w:rPr>
            </w:pPr>
            <w:r>
              <w:rPr>
                <w:rFonts w:hint="eastAsia" w:ascii="仿宋_GB2312" w:hAnsi="仿宋" w:eastAsia="仿宋_GB2312"/>
                <w:sz w:val="24"/>
              </w:rPr>
              <w:t>参赛选手，第一次抽签裁判</w:t>
            </w:r>
          </w:p>
        </w:tc>
        <w:tc>
          <w:tcPr>
            <w:tcW w:w="1418" w:type="dxa"/>
            <w:vAlign w:val="center"/>
          </w:tcPr>
          <w:p>
            <w:pPr>
              <w:pStyle w:val="4"/>
              <w:rPr>
                <w:rFonts w:ascii="仿宋_GB2312" w:hAnsi="仿宋" w:eastAsia="仿宋_GB2312"/>
                <w:sz w:val="24"/>
              </w:rPr>
            </w:pPr>
            <w:r>
              <w:rPr>
                <w:rFonts w:hint="eastAsia" w:ascii="仿宋_GB2312" w:hAnsi="仿宋" w:eastAsia="仿宋_GB2312"/>
                <w:sz w:val="24"/>
              </w:rPr>
              <w:t>一次抽签区域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4"/>
              <w:rPr>
                <w:rFonts w:ascii="仿宋_GB2312" w:hAnsi="仿宋" w:eastAsia="仿宋_GB2312"/>
                <w:sz w:val="24"/>
              </w:rPr>
            </w:pPr>
          </w:p>
        </w:tc>
        <w:tc>
          <w:tcPr>
            <w:tcW w:w="1984" w:type="dxa"/>
            <w:vAlign w:val="center"/>
          </w:tcPr>
          <w:p>
            <w:pPr>
              <w:pStyle w:val="4"/>
              <w:rPr>
                <w:rFonts w:ascii="仿宋_GB2312" w:hAnsi="仿宋" w:eastAsia="仿宋_GB2312"/>
                <w:sz w:val="24"/>
              </w:rPr>
            </w:pPr>
            <w:r>
              <w:rPr>
                <w:rFonts w:hint="eastAsia" w:ascii="仿宋_GB2312" w:hAnsi="仿宋" w:eastAsia="仿宋_GB2312"/>
                <w:sz w:val="24"/>
              </w:rPr>
              <w:t>7:45～8:00</w:t>
            </w:r>
          </w:p>
          <w:p>
            <w:pPr>
              <w:pStyle w:val="4"/>
              <w:rPr>
                <w:rFonts w:ascii="仿宋_GB2312" w:hAnsi="仿宋" w:eastAsia="仿宋_GB2312"/>
                <w:sz w:val="24"/>
              </w:rPr>
            </w:pPr>
            <w:r>
              <w:rPr>
                <w:rFonts w:hint="eastAsia" w:ascii="仿宋_GB2312" w:hAnsi="仿宋" w:eastAsia="仿宋_GB2312"/>
                <w:sz w:val="24"/>
              </w:rPr>
              <w:t>开始</w:t>
            </w:r>
          </w:p>
        </w:tc>
        <w:tc>
          <w:tcPr>
            <w:tcW w:w="2835" w:type="dxa"/>
            <w:vAlign w:val="center"/>
          </w:tcPr>
          <w:p>
            <w:pPr>
              <w:pStyle w:val="4"/>
              <w:rPr>
                <w:rFonts w:ascii="仿宋_GB2312" w:hAnsi="仿宋" w:eastAsia="仿宋_GB2312"/>
                <w:sz w:val="24"/>
              </w:rPr>
            </w:pPr>
            <w:r>
              <w:rPr>
                <w:rFonts w:hint="eastAsia" w:ascii="仿宋_GB2312" w:hAnsi="仿宋" w:eastAsia="仿宋_GB2312"/>
                <w:sz w:val="24"/>
              </w:rPr>
              <w:t>第二次抽签加密（抽工位号）</w:t>
            </w:r>
          </w:p>
        </w:tc>
        <w:tc>
          <w:tcPr>
            <w:tcW w:w="2268" w:type="dxa"/>
            <w:vAlign w:val="center"/>
          </w:tcPr>
          <w:p>
            <w:pPr>
              <w:pStyle w:val="4"/>
              <w:rPr>
                <w:rFonts w:ascii="仿宋_GB2312" w:hAnsi="仿宋" w:eastAsia="仿宋_GB2312"/>
                <w:sz w:val="24"/>
              </w:rPr>
            </w:pPr>
            <w:r>
              <w:rPr>
                <w:rFonts w:hint="eastAsia" w:ascii="仿宋_GB2312" w:hAnsi="仿宋" w:eastAsia="仿宋_GB2312"/>
                <w:sz w:val="24"/>
              </w:rPr>
              <w:t>参赛选手，第二次抽签裁判</w:t>
            </w:r>
          </w:p>
        </w:tc>
        <w:tc>
          <w:tcPr>
            <w:tcW w:w="1418" w:type="dxa"/>
            <w:vAlign w:val="center"/>
          </w:tcPr>
          <w:p>
            <w:pPr>
              <w:pStyle w:val="4"/>
              <w:rPr>
                <w:rFonts w:ascii="仿宋_GB2312" w:hAnsi="仿宋" w:eastAsia="仿宋_GB2312"/>
                <w:sz w:val="24"/>
              </w:rPr>
            </w:pPr>
            <w:r>
              <w:rPr>
                <w:rFonts w:hint="eastAsia" w:ascii="仿宋_GB2312" w:hAnsi="仿宋" w:eastAsia="仿宋_GB2312"/>
                <w:sz w:val="24"/>
              </w:rPr>
              <w:t>二次抽签区域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4"/>
              <w:rPr>
                <w:rFonts w:ascii="仿宋_GB2312" w:hAnsi="仿宋" w:eastAsia="仿宋_GB2312"/>
                <w:sz w:val="24"/>
              </w:rPr>
            </w:pPr>
          </w:p>
        </w:tc>
        <w:tc>
          <w:tcPr>
            <w:tcW w:w="1984" w:type="dxa"/>
            <w:vAlign w:val="center"/>
          </w:tcPr>
          <w:p>
            <w:pPr>
              <w:pStyle w:val="4"/>
              <w:rPr>
                <w:rFonts w:ascii="仿宋_GB2312" w:hAnsi="仿宋" w:eastAsia="仿宋_GB2312"/>
                <w:sz w:val="24"/>
              </w:rPr>
            </w:pPr>
            <w:r>
              <w:rPr>
                <w:rFonts w:hint="eastAsia" w:ascii="仿宋_GB2312" w:hAnsi="仿宋" w:eastAsia="仿宋_GB2312"/>
                <w:sz w:val="24"/>
              </w:rPr>
              <w:t>8:00～12:10</w:t>
            </w:r>
          </w:p>
        </w:tc>
        <w:tc>
          <w:tcPr>
            <w:tcW w:w="2835" w:type="dxa"/>
            <w:vAlign w:val="center"/>
          </w:tcPr>
          <w:p>
            <w:pPr>
              <w:pStyle w:val="4"/>
              <w:rPr>
                <w:rFonts w:ascii="仿宋_GB2312" w:hAnsi="仿宋" w:eastAsia="仿宋_GB2312"/>
                <w:sz w:val="24"/>
              </w:rPr>
            </w:pPr>
            <w:r>
              <w:rPr>
                <w:rFonts w:hint="eastAsia" w:ascii="仿宋_GB2312" w:hAnsi="仿宋" w:eastAsia="仿宋_GB2312"/>
                <w:sz w:val="24"/>
              </w:rPr>
              <w:t>直播营销、视觉营销</w:t>
            </w:r>
          </w:p>
        </w:tc>
        <w:tc>
          <w:tcPr>
            <w:tcW w:w="2268" w:type="dxa"/>
            <w:vAlign w:val="center"/>
          </w:tcPr>
          <w:p>
            <w:pPr>
              <w:pStyle w:val="4"/>
              <w:rPr>
                <w:rFonts w:ascii="仿宋_GB2312" w:hAnsi="仿宋" w:eastAsia="仿宋_GB2312"/>
                <w:sz w:val="24"/>
              </w:rPr>
            </w:pPr>
            <w:r>
              <w:rPr>
                <w:rFonts w:hint="eastAsia" w:ascii="仿宋_GB2312" w:hAnsi="仿宋" w:eastAsia="仿宋_GB2312"/>
                <w:sz w:val="24"/>
              </w:rPr>
              <w:t>参赛选手、裁判</w:t>
            </w:r>
          </w:p>
        </w:tc>
        <w:tc>
          <w:tcPr>
            <w:tcW w:w="1418" w:type="dxa"/>
            <w:vAlign w:val="center"/>
          </w:tcPr>
          <w:p>
            <w:pPr>
              <w:pStyle w:val="4"/>
              <w:rPr>
                <w:rFonts w:ascii="仿宋_GB2312" w:hAnsi="仿宋" w:eastAsia="仿宋_GB2312"/>
                <w:sz w:val="24"/>
              </w:rPr>
            </w:pPr>
            <w:r>
              <w:rPr>
                <w:rFonts w:hint="eastAsia" w:ascii="仿宋_GB2312" w:hAnsi="仿宋" w:eastAsia="仿宋_GB2312"/>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4"/>
              <w:rPr>
                <w:rFonts w:ascii="仿宋_GB2312" w:hAnsi="仿宋" w:eastAsia="仿宋_GB2312"/>
                <w:sz w:val="24"/>
              </w:rPr>
            </w:pPr>
          </w:p>
        </w:tc>
        <w:tc>
          <w:tcPr>
            <w:tcW w:w="1984" w:type="dxa"/>
            <w:vAlign w:val="center"/>
          </w:tcPr>
          <w:p>
            <w:pPr>
              <w:pStyle w:val="4"/>
              <w:rPr>
                <w:rFonts w:ascii="仿宋_GB2312" w:hAnsi="仿宋" w:eastAsia="仿宋_GB2312"/>
                <w:sz w:val="24"/>
              </w:rPr>
            </w:pPr>
            <w:r>
              <w:rPr>
                <w:rFonts w:hint="eastAsia" w:ascii="仿宋_GB2312" w:hAnsi="仿宋" w:eastAsia="仿宋_GB2312"/>
                <w:sz w:val="24"/>
              </w:rPr>
              <w:t>12:10～12:40</w:t>
            </w:r>
          </w:p>
        </w:tc>
        <w:tc>
          <w:tcPr>
            <w:tcW w:w="2835" w:type="dxa"/>
            <w:vAlign w:val="center"/>
          </w:tcPr>
          <w:p>
            <w:pPr>
              <w:pStyle w:val="4"/>
              <w:rPr>
                <w:rFonts w:ascii="仿宋_GB2312" w:hAnsi="仿宋" w:eastAsia="仿宋_GB2312"/>
                <w:sz w:val="24"/>
              </w:rPr>
            </w:pPr>
            <w:r>
              <w:rPr>
                <w:rFonts w:hint="eastAsia" w:ascii="仿宋_GB2312" w:hAnsi="仿宋" w:eastAsia="仿宋_GB2312"/>
                <w:sz w:val="24"/>
              </w:rPr>
              <w:t>午餐</w:t>
            </w:r>
          </w:p>
        </w:tc>
        <w:tc>
          <w:tcPr>
            <w:tcW w:w="2268" w:type="dxa"/>
            <w:vAlign w:val="center"/>
          </w:tcPr>
          <w:p>
            <w:pPr>
              <w:pStyle w:val="4"/>
              <w:rPr>
                <w:rFonts w:ascii="仿宋_GB2312" w:hAnsi="仿宋" w:eastAsia="仿宋_GB2312"/>
                <w:sz w:val="24"/>
              </w:rPr>
            </w:pPr>
            <w:r>
              <w:rPr>
                <w:rFonts w:hint="eastAsia" w:ascii="仿宋_GB2312" w:hAnsi="仿宋" w:eastAsia="仿宋_GB2312"/>
                <w:sz w:val="24"/>
              </w:rPr>
              <w:t>参赛选手、裁判</w:t>
            </w:r>
          </w:p>
          <w:p>
            <w:pPr>
              <w:pStyle w:val="4"/>
              <w:rPr>
                <w:rFonts w:ascii="仿宋_GB2312" w:hAnsi="仿宋" w:eastAsia="仿宋_GB2312"/>
                <w:sz w:val="24"/>
              </w:rPr>
            </w:pPr>
            <w:r>
              <w:rPr>
                <w:rFonts w:hint="eastAsia" w:ascii="仿宋_GB2312" w:hAnsi="仿宋" w:eastAsia="仿宋_GB2312"/>
                <w:sz w:val="24"/>
              </w:rPr>
              <w:t>工作人员</w:t>
            </w:r>
          </w:p>
        </w:tc>
        <w:tc>
          <w:tcPr>
            <w:tcW w:w="1418" w:type="dxa"/>
            <w:vAlign w:val="center"/>
          </w:tcPr>
          <w:p>
            <w:pPr>
              <w:pStyle w:val="4"/>
              <w:rPr>
                <w:rFonts w:ascii="仿宋_GB2312" w:hAnsi="仿宋"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4"/>
              <w:rPr>
                <w:rFonts w:ascii="仿宋_GB2312" w:hAnsi="仿宋" w:eastAsia="仿宋_GB2312"/>
                <w:sz w:val="24"/>
              </w:rPr>
            </w:pPr>
          </w:p>
        </w:tc>
        <w:tc>
          <w:tcPr>
            <w:tcW w:w="1984" w:type="dxa"/>
            <w:vAlign w:val="center"/>
          </w:tcPr>
          <w:p>
            <w:pPr>
              <w:pStyle w:val="4"/>
              <w:rPr>
                <w:rFonts w:ascii="仿宋_GB2312" w:hAnsi="仿宋" w:eastAsia="仿宋_GB2312"/>
                <w:sz w:val="24"/>
              </w:rPr>
            </w:pPr>
            <w:r>
              <w:rPr>
                <w:rFonts w:hint="eastAsia" w:ascii="仿宋_GB2312" w:hAnsi="仿宋" w:eastAsia="仿宋_GB2312"/>
                <w:sz w:val="24"/>
              </w:rPr>
              <w:t>12:40～17:00</w:t>
            </w:r>
          </w:p>
        </w:tc>
        <w:tc>
          <w:tcPr>
            <w:tcW w:w="2835" w:type="dxa"/>
            <w:vAlign w:val="center"/>
          </w:tcPr>
          <w:p>
            <w:pPr>
              <w:pStyle w:val="4"/>
              <w:rPr>
                <w:rFonts w:ascii="仿宋_GB2312" w:hAnsi="仿宋" w:eastAsia="仿宋_GB2312"/>
                <w:sz w:val="24"/>
              </w:rPr>
            </w:pPr>
            <w:r>
              <w:rPr>
                <w:rFonts w:hint="eastAsia" w:ascii="仿宋_GB2312" w:hAnsi="仿宋" w:eastAsia="仿宋_GB2312"/>
                <w:sz w:val="24"/>
              </w:rPr>
              <w:t>网店运营推广</w:t>
            </w:r>
          </w:p>
        </w:tc>
        <w:tc>
          <w:tcPr>
            <w:tcW w:w="2268" w:type="dxa"/>
            <w:vAlign w:val="center"/>
          </w:tcPr>
          <w:p>
            <w:pPr>
              <w:pStyle w:val="4"/>
              <w:rPr>
                <w:rFonts w:ascii="仿宋_GB2312" w:hAnsi="仿宋" w:eastAsia="仿宋_GB2312"/>
                <w:sz w:val="24"/>
              </w:rPr>
            </w:pPr>
            <w:r>
              <w:rPr>
                <w:rFonts w:hint="eastAsia" w:ascii="仿宋_GB2312" w:hAnsi="仿宋" w:eastAsia="仿宋_GB2312"/>
                <w:sz w:val="24"/>
              </w:rPr>
              <w:t>参赛选手、裁判</w:t>
            </w:r>
          </w:p>
        </w:tc>
        <w:tc>
          <w:tcPr>
            <w:tcW w:w="1418" w:type="dxa"/>
            <w:vAlign w:val="center"/>
          </w:tcPr>
          <w:p>
            <w:pPr>
              <w:pStyle w:val="4"/>
              <w:rPr>
                <w:rFonts w:ascii="仿宋_GB2312" w:hAnsi="仿宋" w:eastAsia="仿宋_GB2312"/>
                <w:sz w:val="24"/>
              </w:rPr>
            </w:pPr>
            <w:r>
              <w:rPr>
                <w:rFonts w:hint="eastAsia" w:ascii="仿宋_GB2312" w:hAnsi="仿宋" w:eastAsia="仿宋_GB2312"/>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vMerge w:val="continue"/>
            <w:vAlign w:val="center"/>
          </w:tcPr>
          <w:p>
            <w:pPr>
              <w:pStyle w:val="4"/>
              <w:rPr>
                <w:rFonts w:ascii="仿宋_GB2312" w:hAnsi="仿宋" w:eastAsia="仿宋_GB2312"/>
                <w:sz w:val="24"/>
              </w:rPr>
            </w:pPr>
          </w:p>
        </w:tc>
        <w:tc>
          <w:tcPr>
            <w:tcW w:w="1984" w:type="dxa"/>
            <w:vAlign w:val="center"/>
          </w:tcPr>
          <w:p>
            <w:pPr>
              <w:pStyle w:val="4"/>
              <w:rPr>
                <w:rFonts w:ascii="仿宋_GB2312" w:hAnsi="仿宋" w:eastAsia="仿宋_GB2312"/>
                <w:sz w:val="24"/>
              </w:rPr>
            </w:pPr>
            <w:r>
              <w:rPr>
                <w:rFonts w:hint="eastAsia" w:ascii="仿宋_GB2312" w:hAnsi="仿宋" w:eastAsia="仿宋_GB2312"/>
                <w:sz w:val="24"/>
              </w:rPr>
              <w:t>19:00</w:t>
            </w:r>
          </w:p>
        </w:tc>
        <w:tc>
          <w:tcPr>
            <w:tcW w:w="6521" w:type="dxa"/>
            <w:gridSpan w:val="3"/>
            <w:vAlign w:val="center"/>
          </w:tcPr>
          <w:p>
            <w:pPr>
              <w:pStyle w:val="4"/>
              <w:rPr>
                <w:rFonts w:ascii="仿宋_GB2312" w:hAnsi="仿宋" w:eastAsia="仿宋_GB2312"/>
                <w:sz w:val="24"/>
              </w:rPr>
            </w:pPr>
            <w:r>
              <w:rPr>
                <w:rFonts w:hint="eastAsia" w:ascii="仿宋_GB2312" w:hAnsi="仿宋" w:eastAsia="仿宋_GB2312"/>
                <w:sz w:val="24"/>
              </w:rPr>
              <w:t>成绩公布</w:t>
            </w:r>
          </w:p>
        </w:tc>
      </w:tr>
    </w:tbl>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六、竞赛试题</w:t>
      </w:r>
    </w:p>
    <w:p>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本赛项于开赛 1 个月前公布样卷，正式赛卷要求于比赛当日，经赛卷随机排序后，在现场监督人员监督下由裁判长指定相关人员抽取。</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（一）直播营销</w:t>
      </w:r>
    </w:p>
    <w:p>
      <w:pPr>
        <w:pStyle w:val="9"/>
        <w:ind w:left="0" w:firstLine="560" w:firstLineChars="200"/>
        <w:rPr>
          <w:rFonts w:ascii="仿宋_GB2312" w:hAnsi="仿宋" w:eastAsia="仿宋_GB2312" w:cs="仿宋"/>
          <w:color w:val="FF0000"/>
          <w:kern w:val="0"/>
        </w:rPr>
      </w:pPr>
      <w:r>
        <w:rPr>
          <w:rFonts w:hint="eastAsia" w:ascii="仿宋_GB2312" w:hAnsi="仿宋" w:eastAsia="仿宋_GB2312" w:cs="仿宋"/>
          <w:kern w:val="0"/>
        </w:rPr>
        <w:t>1.赛题立意</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2021年8月，商务部发布《商务部关于加强“十四五”时期商务领域标准化建设的指导意见》，要求促进直播电商、社交电商等规 范发展。在相关政策的影响下，大力促进直播营销行业的经营发展。直播营销作为新兴行业蓬勃发展，有望成为未来经济发展的重要引擎。</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为切实发挥直播营销促进产业集聚、消费升级的重要作用，推动线上线下深度融合，打造数字经济新优势，直播营销模块内容设计着重于将知识、实践技能与职业素养相互融合，重点考察选手的直播策划能力、商品推销能力、节奏把控能力、互动营销能力，培养高素质复合型直播营销人才，推动传统企业转型升级，助力社会经济高质量发展。</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2.情境创设</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方圆经营一家网店“方圆箱包店”，主要销售拉杆箱、钱包、手拿包、双肩背包、斜挎包等商品。由于商品质量上乘，店铺回头客也很多，所以日常销量还是不错的。明天正好是店铺开店一周年，方圆打算进行一场直播，精心挑选了两款福利商品，回馈店铺的新老粉丝。</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请你以方圆的身份，根据背景介绍以及商品资料，在 2 小时内策划一场 10 分钟的直播，并进行直播演示。两款商品的介绍如下：</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（1）钱包</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钱包可用于装钱或者其他小件物品，便于随身携带使用，通常有巴掌大小，如今钱包除了以上作用外还可以是随身装饰品或当做家庭照片夹使用。</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（2）手拿包</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手拿包一般比较小巧，以商业人士使用居多，给人一种绅士并且诚信、专业的感觉，手拿包也方便生意人携带自己的名片、银行卡、手机、驾驶证件、钥匙等。</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3.任务设计</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（1）直播营销策划</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1）直播商品购买页面设置</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要求：根据背景资料，为两款直播商品各选择 5 张主图以及 6 张详情描述图，并为每款商品设置符合背景资料介绍的标题。</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2）直播时长策划</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要求：直播时长要达到 10 分钟。3）直播商品链接关联</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要求：讲解的商品正确关联商品链接。4）互动方案制定</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要求：能够根据给定的背景，制定直播过程中的互动方案。</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（2）直播实施</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直播画面始终围绕主播或竞赛商品，画面清晰明亮；直播过程中没有 10 秒以上的卡顿、冷场。</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1）直播开场</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要求：包含问好、自我介绍、直播主题、促销活动四项内容。2）商品介绍</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要求：有商品属性、特色、卖点的介绍，有商品日常价格、直播促销价的说明，有商品的特写展示。同时，要回答弹幕中出现的相关问题，每个商品需要回答 3 个问题，每个问题回答时间为 20 秒，回答内容要与背景资料一致。</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3）直播互动</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要求：能够根据互动方案，在直播过程中与观众进行互动。4）直播结尾</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要求：结尾需要包含引导关注、感谢语两项内容。4.赛题答案</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（1）根据提供的商品资料，正确设置商品主图、详情图，并且能够正确关联商品链接；直播时长符合要求。</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（2）根据提供的商品资料，撰写包含商品核心词、属性词、营销词等内容的标题。</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（3）根据提供的商品资料，策划并完成一场完整的直播，直播讲解包含直播开场、商品介绍、直播收尾、弹幕问题回答，直播内容围绕主播或商品，画面清晰流畅，直播过程中没有超过 10 秒的卡顿及冷场。直播开场包含问好、自我介绍、直播主题及促销活动；商品介绍部分能够运用FAB 法则，采用合理的引入方式，正确介绍商品属性、卖点、特色以及价格说明，且有商品特写的展示；直播收尾通过引导关注、感谢语等内容的讲解，将直播间观众转化为粉丝，引发观众留恋。</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（4）根据给定的背景资料，制定符合要求的直播互动方案，并在直播时与观众进行互动，互动节奏安排合理恰当，互动规则讲解完整详细，主播讲解与后台推送同步，互动效果良好。</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（二）视觉营销</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1.赛题立意</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随着电子商务新业态、新模式的蓬勃发展，“视觉营销”一词逐渐走进我们的视野，不论是网络广告还是电商店铺，都涉及视觉的设计和打造，对于商家而言，既是机遇也是挑战。视觉营销可以有效调动消费者的积极性，将视觉效果转化为销售额。通过互联网的巨大优势，视觉效果的打造可以有力吸引消费者的注意，为产品转化打下良好的基础。</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视觉营销模块紧跟产业发展趋势和电子商务行业人才需求，及时将产业发展的新动向、新技术、新工艺、新规范纳入竞赛内容，衔接1+X 网店运营推广职业技能等级证书（初级）中网店装修工作领域的技能要求；并立足课堂教学，通过大赛资源转化补充课堂教学内容， 将课程教学和职业技能竞赛进行融合，以赛促教、以赛促学，完善教学评价考核方式。</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视觉营销模块内容设计注重知识、技能、素养相互衔接，考察选手的视觉营销能力，突出专业特色，服务企业人才需求，助力经济社会高质量发展。</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2.情境创设</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店铺即将要销售拉杆箱、钱包、手拿包、双肩背包、斜挎包五款商品，为了更好地通过视觉营销提升店铺人气，提高商品转化率，现需要结合视觉营销元素，完成五款商品的视觉营销。其中拉杆箱、手拿包、双肩背包、斜挎包四款商品只做 Banner 图，每款商品均提供素材图片，包括商品整体展示图、细节展示图等；钱包这款商品需要做主图和详情页，提供素材图片，包括商品整体展示图、细节展示图、商品评价等。</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五款商品的介绍如下：</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（1）拉杆箱</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拉杆箱是具有拉杆和滚轮的行李箱，通常用来放置旅途所需要的衣物等个人用品，有单管拉杆及双管拉杆之分，尤其适合于需要远途旅行，或者自驾游的人群，可以大大减轻行走的负担。</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（2）钱包</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钱包可用于装钱或者其他小件物品，便于随身携带使用，通常有巴掌大小，如今钱包除了以上作用外还可以是随身装饰品或当做家庭照片夹使用。</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（3）手拿包</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手拿包一般比较小巧，以商业人士使用居多，给人一种绅士并且诚信、专业的感觉，手拿包也方便生意人携带自己的名片、银行卡、手机、驾驶证件、钥匙等。</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（4）双肩背包</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双肩背包可以用于装行李等小物件，也被广泛当做运动旅行包使用。根据双肩包不同的用途可分为双肩电脑背包、运动双肩包、时尚双肩包等，根据材质的不同可分为帆布包、牛津布包、尼龙布包等。</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（5）斜挎包</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斜挎包方便而且大方，可跟随人们出入各种场合，斜挎包的结构设计决定包的实用、耐用、舒适等很多方面的性能，长度一般会到臀部的位置，放短点也可把包包搭在腰部。</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3.任务设计</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（1）网店开设</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按照竞赛流程开设店铺，设置店铺信息，包括店主姓名、身份证号、身份证复印件(大小不可超过 150K)、银行账号、店铺名称、店铺主营、店铺特色、营业执照、店铺分类。背景材料由赛项执委会提供，如下表所示：</w:t>
      </w:r>
    </w:p>
    <w:tbl>
      <w:tblPr>
        <w:tblStyle w:val="1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54"/>
        <w:gridCol w:w="42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4354" w:type="dxa"/>
            <w:vAlign w:val="center"/>
          </w:tcPr>
          <w:p>
            <w:pPr>
              <w:pStyle w:val="22"/>
              <w:spacing w:before="133"/>
              <w:jc w:val="center"/>
              <w:rPr>
                <w:sz w:val="22"/>
                <w:szCs w:val="21"/>
              </w:rPr>
            </w:pPr>
            <w:r>
              <w:rPr>
                <w:sz w:val="22"/>
                <w:szCs w:val="21"/>
              </w:rPr>
              <w:t>身份证号码</w:t>
            </w:r>
          </w:p>
        </w:tc>
        <w:tc>
          <w:tcPr>
            <w:tcW w:w="4228" w:type="dxa"/>
            <w:vAlign w:val="center"/>
          </w:tcPr>
          <w:p>
            <w:pPr>
              <w:pStyle w:val="22"/>
              <w:spacing w:before="133"/>
              <w:jc w:val="center"/>
              <w:rPr>
                <w:sz w:val="22"/>
                <w:szCs w:val="21"/>
              </w:rPr>
            </w:pPr>
            <w:r>
              <w:rPr>
                <w:sz w:val="22"/>
                <w:szCs w:val="21"/>
              </w:rPr>
              <w:t>370125454650147890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4354" w:type="dxa"/>
            <w:vAlign w:val="center"/>
          </w:tcPr>
          <w:p>
            <w:pPr>
              <w:pStyle w:val="22"/>
              <w:spacing w:before="133"/>
              <w:jc w:val="center"/>
              <w:rPr>
                <w:sz w:val="22"/>
                <w:szCs w:val="21"/>
              </w:rPr>
            </w:pPr>
            <w:r>
              <w:rPr>
                <w:sz w:val="22"/>
                <w:szCs w:val="21"/>
              </w:rPr>
              <w:t>银行账户</w:t>
            </w:r>
          </w:p>
        </w:tc>
        <w:tc>
          <w:tcPr>
            <w:tcW w:w="4228" w:type="dxa"/>
            <w:vAlign w:val="center"/>
          </w:tcPr>
          <w:p>
            <w:pPr>
              <w:pStyle w:val="22"/>
              <w:spacing w:before="133"/>
              <w:jc w:val="center"/>
              <w:rPr>
                <w:sz w:val="22"/>
                <w:szCs w:val="21"/>
              </w:rPr>
            </w:pPr>
            <w:r>
              <w:rPr>
                <w:sz w:val="22"/>
                <w:szCs w:val="21"/>
              </w:rPr>
              <w:t>12345678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4354" w:type="dxa"/>
            <w:vAlign w:val="center"/>
          </w:tcPr>
          <w:p>
            <w:pPr>
              <w:pStyle w:val="22"/>
              <w:spacing w:before="133"/>
              <w:jc w:val="center"/>
              <w:rPr>
                <w:sz w:val="22"/>
                <w:szCs w:val="21"/>
              </w:rPr>
            </w:pPr>
            <w:r>
              <w:rPr>
                <w:sz w:val="22"/>
                <w:szCs w:val="21"/>
              </w:rPr>
              <w:t>联系电话</w:t>
            </w:r>
          </w:p>
        </w:tc>
        <w:tc>
          <w:tcPr>
            <w:tcW w:w="4228" w:type="dxa"/>
            <w:vAlign w:val="center"/>
          </w:tcPr>
          <w:p>
            <w:pPr>
              <w:pStyle w:val="22"/>
              <w:spacing w:before="133"/>
              <w:jc w:val="center"/>
              <w:rPr>
                <w:sz w:val="22"/>
                <w:szCs w:val="21"/>
              </w:rPr>
            </w:pPr>
            <w:r>
              <w:rPr>
                <w:sz w:val="22"/>
                <w:szCs w:val="21"/>
              </w:rPr>
              <w:t>15900000000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4354" w:type="dxa"/>
            <w:vAlign w:val="center"/>
          </w:tcPr>
          <w:p>
            <w:pPr>
              <w:pStyle w:val="22"/>
              <w:spacing w:before="132"/>
              <w:jc w:val="center"/>
              <w:rPr>
                <w:sz w:val="22"/>
                <w:szCs w:val="21"/>
              </w:rPr>
            </w:pPr>
            <w:r>
              <w:rPr>
                <w:sz w:val="22"/>
                <w:szCs w:val="21"/>
              </w:rPr>
              <w:t>详细地址</w:t>
            </w:r>
          </w:p>
        </w:tc>
        <w:tc>
          <w:tcPr>
            <w:tcW w:w="4228" w:type="dxa"/>
            <w:vAlign w:val="center"/>
          </w:tcPr>
          <w:p>
            <w:pPr>
              <w:pStyle w:val="22"/>
              <w:spacing w:before="132"/>
              <w:jc w:val="center"/>
              <w:rPr>
                <w:sz w:val="22"/>
                <w:szCs w:val="21"/>
              </w:rPr>
            </w:pPr>
            <w:r>
              <w:rPr>
                <w:sz w:val="22"/>
                <w:szCs w:val="21"/>
              </w:rPr>
              <w:t>华都省华都市华都街 1 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4354" w:type="dxa"/>
            <w:vAlign w:val="center"/>
          </w:tcPr>
          <w:p>
            <w:pPr>
              <w:pStyle w:val="22"/>
              <w:spacing w:before="132"/>
              <w:jc w:val="center"/>
              <w:rPr>
                <w:sz w:val="22"/>
                <w:szCs w:val="21"/>
              </w:rPr>
            </w:pPr>
            <w:r>
              <w:rPr>
                <w:sz w:val="22"/>
                <w:szCs w:val="21"/>
              </w:rPr>
              <w:t>营业执照</w:t>
            </w:r>
          </w:p>
        </w:tc>
        <w:tc>
          <w:tcPr>
            <w:tcW w:w="4228" w:type="dxa"/>
            <w:vAlign w:val="center"/>
          </w:tcPr>
          <w:p>
            <w:pPr>
              <w:pStyle w:val="22"/>
              <w:spacing w:before="132"/>
              <w:jc w:val="center"/>
              <w:rPr>
                <w:sz w:val="22"/>
                <w:szCs w:val="21"/>
              </w:rPr>
            </w:pPr>
            <w:r>
              <w:rPr>
                <w:sz w:val="22"/>
                <w:szCs w:val="21"/>
              </w:rPr>
              <w:t>110108010048290</w:t>
            </w:r>
          </w:p>
        </w:tc>
      </w:tr>
    </w:tbl>
    <w:p>
      <w:pPr>
        <w:pStyle w:val="9"/>
        <w:ind w:left="0" w:firstLine="0" w:firstLineChars="0"/>
        <w:rPr>
          <w:rFonts w:ascii="仿宋_GB2312" w:hAnsi="仿宋" w:eastAsia="仿宋_GB2312" w:cs="仿宋"/>
          <w:kern w:val="0"/>
        </w:rPr>
      </w:pPr>
    </w:p>
    <w:tbl>
      <w:tblPr>
        <w:tblStyle w:val="1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54"/>
        <w:gridCol w:w="42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4354" w:type="dxa"/>
          </w:tcPr>
          <w:p>
            <w:pPr>
              <w:pStyle w:val="22"/>
              <w:spacing w:before="132"/>
              <w:jc w:val="center"/>
              <w:rPr>
                <w:sz w:val="22"/>
                <w:szCs w:val="21"/>
              </w:rPr>
            </w:pPr>
            <w:r>
              <w:rPr>
                <w:sz w:val="22"/>
                <w:szCs w:val="21"/>
              </w:rPr>
              <w:t>Identity Card No.</w:t>
            </w:r>
          </w:p>
        </w:tc>
        <w:tc>
          <w:tcPr>
            <w:tcW w:w="4228" w:type="dxa"/>
          </w:tcPr>
          <w:p>
            <w:pPr>
              <w:pStyle w:val="22"/>
              <w:spacing w:before="132"/>
              <w:jc w:val="center"/>
              <w:rPr>
                <w:sz w:val="22"/>
                <w:szCs w:val="21"/>
              </w:rPr>
            </w:pPr>
            <w:r>
              <w:rPr>
                <w:sz w:val="22"/>
                <w:szCs w:val="21"/>
              </w:rPr>
              <w:t>370125454650147890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4354" w:type="dxa"/>
          </w:tcPr>
          <w:p>
            <w:pPr>
              <w:pStyle w:val="22"/>
              <w:spacing w:before="132"/>
              <w:jc w:val="center"/>
              <w:rPr>
                <w:sz w:val="22"/>
                <w:szCs w:val="21"/>
              </w:rPr>
            </w:pPr>
            <w:r>
              <w:rPr>
                <w:sz w:val="22"/>
                <w:szCs w:val="21"/>
              </w:rPr>
              <w:t>Bank Account</w:t>
            </w:r>
          </w:p>
        </w:tc>
        <w:tc>
          <w:tcPr>
            <w:tcW w:w="4228" w:type="dxa"/>
          </w:tcPr>
          <w:p>
            <w:pPr>
              <w:pStyle w:val="22"/>
              <w:spacing w:before="132"/>
              <w:jc w:val="center"/>
              <w:rPr>
                <w:sz w:val="22"/>
                <w:szCs w:val="21"/>
              </w:rPr>
            </w:pPr>
            <w:r>
              <w:rPr>
                <w:sz w:val="22"/>
                <w:szCs w:val="21"/>
              </w:rPr>
              <w:t>12345678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4354" w:type="dxa"/>
          </w:tcPr>
          <w:p>
            <w:pPr>
              <w:pStyle w:val="22"/>
              <w:spacing w:before="132"/>
              <w:jc w:val="center"/>
              <w:rPr>
                <w:sz w:val="22"/>
                <w:szCs w:val="21"/>
              </w:rPr>
            </w:pPr>
            <w:r>
              <w:rPr>
                <w:sz w:val="22"/>
                <w:szCs w:val="21"/>
              </w:rPr>
              <w:t>Contact No.</w:t>
            </w:r>
          </w:p>
        </w:tc>
        <w:tc>
          <w:tcPr>
            <w:tcW w:w="4228" w:type="dxa"/>
          </w:tcPr>
          <w:p>
            <w:pPr>
              <w:pStyle w:val="22"/>
              <w:spacing w:before="132"/>
              <w:jc w:val="center"/>
              <w:rPr>
                <w:sz w:val="22"/>
                <w:szCs w:val="21"/>
              </w:rPr>
            </w:pPr>
            <w:r>
              <w:rPr>
                <w:sz w:val="22"/>
                <w:szCs w:val="21"/>
              </w:rPr>
              <w:t>15900000000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4354" w:type="dxa"/>
          </w:tcPr>
          <w:p>
            <w:pPr>
              <w:pStyle w:val="22"/>
              <w:spacing w:before="132"/>
              <w:jc w:val="center"/>
              <w:rPr>
                <w:sz w:val="22"/>
                <w:szCs w:val="21"/>
              </w:rPr>
            </w:pPr>
          </w:p>
          <w:p>
            <w:pPr>
              <w:pStyle w:val="22"/>
              <w:spacing w:before="132"/>
              <w:jc w:val="center"/>
              <w:rPr>
                <w:sz w:val="22"/>
                <w:szCs w:val="21"/>
              </w:rPr>
            </w:pPr>
            <w:r>
              <w:rPr>
                <w:sz w:val="22"/>
                <w:szCs w:val="21"/>
              </w:rPr>
              <w:t>Full Address</w:t>
            </w:r>
          </w:p>
        </w:tc>
        <w:tc>
          <w:tcPr>
            <w:tcW w:w="4228" w:type="dxa"/>
          </w:tcPr>
          <w:p>
            <w:pPr>
              <w:pStyle w:val="22"/>
              <w:spacing w:before="132"/>
              <w:jc w:val="center"/>
              <w:rPr>
                <w:sz w:val="22"/>
                <w:szCs w:val="21"/>
                <w:lang w:val="en-US"/>
              </w:rPr>
            </w:pPr>
            <w:r>
              <w:rPr>
                <w:sz w:val="22"/>
                <w:szCs w:val="21"/>
                <w:lang w:val="en-US"/>
              </w:rPr>
              <w:t>No.1,HuaduStreet,</w:t>
            </w:r>
            <w:r>
              <w:rPr>
                <w:sz w:val="22"/>
                <w:szCs w:val="21"/>
                <w:lang w:val="en-US"/>
              </w:rPr>
              <w:tab/>
            </w:r>
            <w:r>
              <w:rPr>
                <w:sz w:val="22"/>
                <w:szCs w:val="21"/>
                <w:lang w:val="en-US"/>
              </w:rPr>
              <w:t>Huadu</w:t>
            </w:r>
          </w:p>
          <w:p>
            <w:pPr>
              <w:pStyle w:val="22"/>
              <w:spacing w:before="132"/>
              <w:jc w:val="center"/>
              <w:rPr>
                <w:sz w:val="22"/>
                <w:szCs w:val="21"/>
                <w:lang w:val="en-US"/>
              </w:rPr>
            </w:pPr>
            <w:r>
              <w:rPr>
                <w:sz w:val="22"/>
                <w:szCs w:val="21"/>
                <w:lang w:val="en-US"/>
              </w:rPr>
              <w:t>City, Huadu Province, China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4354" w:type="dxa"/>
          </w:tcPr>
          <w:p>
            <w:pPr>
              <w:pStyle w:val="22"/>
              <w:spacing w:before="132"/>
              <w:jc w:val="center"/>
              <w:rPr>
                <w:sz w:val="22"/>
                <w:szCs w:val="21"/>
              </w:rPr>
            </w:pPr>
            <w:r>
              <w:rPr>
                <w:sz w:val="22"/>
                <w:szCs w:val="21"/>
              </w:rPr>
              <w:t>Business License</w:t>
            </w:r>
          </w:p>
        </w:tc>
        <w:tc>
          <w:tcPr>
            <w:tcW w:w="4228" w:type="dxa"/>
          </w:tcPr>
          <w:p>
            <w:pPr>
              <w:pStyle w:val="22"/>
              <w:spacing w:before="132"/>
              <w:jc w:val="center"/>
              <w:rPr>
                <w:sz w:val="22"/>
                <w:szCs w:val="21"/>
              </w:rPr>
            </w:pPr>
            <w:r>
              <w:rPr>
                <w:sz w:val="22"/>
                <w:szCs w:val="21"/>
              </w:rPr>
              <w:t>110108010048290</w:t>
            </w:r>
          </w:p>
        </w:tc>
      </w:tr>
    </w:tbl>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（2）店标(logo)、店招设计与制作</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店标（Logo）、店招大小适宜、比例精准、没有压缩变形，能体现店铺所销售的商品，设计独特，具有一定的创新性。</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1）PC 电商店铺要求：制作 1 张尺寸为 230*70 像素、大小不超过 150K 的图片作为店标；PC 电商店铺不制作店招。</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2）移动电商店铺要求：制作 1 张尺寸为 100*100 像素、大小不超过 80K 的图片作为店标；制作 1 张尺寸为 642*200 像素、大小不超过 200K 的图片作为店招。</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3）跨境电商店铺要求：制作 1 张尺寸为 230*70 像素、大小不超过 150K 的图片作为店标；跨境电商店铺不制作店招。</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（3）网店Banner 设计与制作</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Banner 主题与店铺所经营的商品具有相关性；设计具有吸引力和营销导向；设计规格符合要求。</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1）PC 电商店铺要求：制作 4 张尺寸为 727*416 像素、大小不超过 150K 的图片。</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2）移动电商店铺要求：制作 4 张尺寸为 608*304 像素、大小不超过 150K 的图片。</w:t>
      </w:r>
    </w:p>
    <w:p>
      <w:pPr>
        <w:pStyle w:val="9"/>
        <w:ind w:left="0" w:firstLine="560" w:firstLineChars="200"/>
        <w:rPr>
          <w:rFonts w:ascii="仿宋_GB2312" w:hAnsi="仿宋" w:eastAsia="仿宋_GB2312" w:cs="仿宋"/>
          <w:color w:val="FF0000"/>
          <w:kern w:val="0"/>
        </w:rPr>
      </w:pPr>
      <w:r>
        <w:rPr>
          <w:rFonts w:hint="eastAsia" w:ascii="仿宋_GB2312" w:hAnsi="仿宋" w:eastAsia="仿宋_GB2312" w:cs="仿宋"/>
          <w:kern w:val="0"/>
        </w:rPr>
        <w:t>3）跨境电商店铺要求：制作 4 张尺寸为 980*300 像素、大小不超过 150K 的图片。</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（4）商品主图设计与制作</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图片必须能较好地反映出该商品的功能特点、对顾客有很好的吸引力，保证图片有较好的清晰度，图文结合，文字不能影响图片的整体美观、不能本末倒置。</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1）PC 电商店铺要求：制作 4 张尺寸为 800*800 像素、大小不超过 200K 的图片。</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2）移动电商店铺要求：制作 4 张尺寸为 600*600 像素、大小不超过 200K 的图片。</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3）跨境电商店铺要求：制作 6 张尺寸为 800*800 像素、大小不超过 200K 的图片。</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（5）商品详情页设计与制作</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商品描述中需包含商品信息（图片、文本或图文混排）、商品展示（图片）、促销信息、支付与配送信息、售后信息、评价等。体现该商品的适用人群，及对该类人群有何种价值与优势；商品信息中可以允许以促销为目的宣传用语，但不允许过分夸张。</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1）PC 电商店铺要求：运用 HTML+CSS 和图片配合对商品描述进行排版；要求使用 Dreamweaver 处理成 HTML 代码或者用 Photoshop 设计成图片后放入商品描述里添加。</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2）移动电商店铺要求：商品详情页所有图片总大小不能超过1536K；图片建议宽度为 480～620 像素、高度不超过 960 像素；当在图片上添加文字时，建议中文字体大于等于 30 号字，英文和阿拉伯数字大于等于 20 号字；若添加文字内容较多，可使用纯文本的方式进行编辑。</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3）跨境电商店铺要求：运用 HTML+CSS 和图片配合对商品描述进行排版；建议使用 Dreamweaver 处理成 HTML 代码或者用Photoshop设计成图片后放入商品描述里添加。</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4.赛题答案</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（1）PC 电商店铺及跨境电商店铺首页需根据给定的背景及素材，结合试题要求，设计并制作与经营商品具有相关性的店标及 Banner 。店标设计独特，有一定的创新性；Banner 图片主题统一，设计具有吸引力并且具有一定的营销导向，能够提高店铺整体风格。</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（2）PC 电商店铺及电商店铺详情页需根据给定的背景及素材， 结合试题要求，设置能体现商品属性、特点及卖点的关键词，其中英 文部分表达准确；设计并制作尺寸及数量符合规范的商品详情页图片。其中，商品主图设计美观，主题突出，有视觉冲击力；商品描述图片 采用图文混排，需包含商品属性、特点、卖点、适用人群、配送、支 付、售后、评价等相关内容的信息，其中英文部分表达准确，图片内 容真实，不允许过度修饰。</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（3）移动电商店铺装修需根据试题要求，把 PC 电商店铺的内容准确无误的移植到移动电商店铺，内容完整、图片清晰，不存在缺项漏项。</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（4）移动电商店铺店招需根据给定的网店开设装修素材，结合背景资料及试题要求，设计并制作与店标搭配协调且能够突出店铺特色的店招图片。</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5）视觉营销整体设计能够体现营销策划的相关内容，含有推荐商品、促销活动的标识和以促销为目的的宣传用语，跨境店铺装修中的促销用语要准确；店铺首页及商品详情页设计需突出重点，符合浏览习惯，布局设计合理，层次清晰，能够提高买家的兴趣，达到产品推广的目的。</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（三）网店运营推广</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1.赛题立意</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2020 年以来，习近平总书记在不同场合多次就发展电子商务作出重要指示，对发展农村电商、跨境电商、丝路电商等提出要求，明确指出电子商务是大有可为的。李克强总理在 2021 年的《政府工作报告》中三次提及电子商务，高度肯定了电子商务在抗疫中的重要作用，要求继续推动线上线下融合，促进电子商务发展。党的十九届五中全会指出，要发展数字经济，坚定不移建设数字中国。电子商务作为数字经济中规模最大、表现最活跃、发展势头最好的新业态新动能， 网店运营推广是电子商务新发展格局蓝图中非常重要的一环，必将在畅通国内大循环，促进国内国际双循环中发挥重要作用。一方面是党中央、国务院高度重视电子商务发展，另一方面新趋势、新业态、新职业层出不穷，所以要求电子商务相关从业人员必须顺应时代潮流，努力使自己成为具备创新型、应用型、技能型等多重维度的综合型人才。本模块紧跟产业发展趋势和行业、企业人才需求，及时将产业发展的新动向、新技术、新工艺、新规范纳入竞赛内容，对接网店运营推广相关岗位（群）；衔接 1+X 网店运营推广职业技能等级证书（高级）中的技能要求；并对接《高等职业学校电子商务专业教学标准》， 立足课堂教学，通过大赛资源转化补充课堂教学内容，将课程教学和职业技能竞赛进行融合，以赛促教、以赛促学，完善教学评价方式。</w:t>
      </w:r>
    </w:p>
    <w:p>
      <w:pPr>
        <w:pStyle w:val="9"/>
        <w:ind w:left="0" w:firstLine="0" w:firstLineChars="0"/>
        <w:rPr>
          <w:rFonts w:ascii="仿宋_GB2312" w:hAnsi="仿宋" w:eastAsia="仿宋_GB2312" w:cs="仿宋"/>
          <w:kern w:val="0"/>
        </w:rPr>
      </w:pPr>
      <w:r>
        <w:rPr>
          <w:rFonts w:hint="eastAsia" w:ascii="仿宋_GB2312" w:hAnsi="仿宋" w:eastAsia="仿宋_GB2312" w:cs="仿宋"/>
          <w:kern w:val="0"/>
        </w:rPr>
        <w:t>本模块内容设计注重知识、技能、素养相互衔接，考察选手的市场洞察分析能力、目标人群选择与店铺定位能力、商品选品与定价能力、流量获取与转化能力、运营数据分析能力以及团队合作能力， 突出专业特色，服务企业人才需求，助力经济社会高质量发展。</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2.情境创设</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参赛团队在给定的运营推广预算范围内，在相同的竞争环境下， 分析市场数据，做好区域、商品、人群定位；租赁办公场所，建立配送中心，装修网店，采购商品；根据数据魔方进行搜索引擎优化（SEO） 操作、获取尽可能多的自然流量，进行关键词竞价（SEM）推广、获取尽可能多的付费流量，进行站外推广（电视广告、网盟、百度竞价排名）获取尽可能多的站外流量，引导买家进店消费；针对不同消费人群采取不同策略，制定商品价格，促成交易，提升转化率；处理订单，配送商品，结算资金；规划资金需求，控制成本，分析财务指标， 调整策略，创造最大利润。</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（1）市场数据</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市场数据提供市场需求数据和关键词数据。</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市场需求数据包括期初 4 类以及以后的十几类商品在 15 个城市中 4 种人群的需求量和市场平均价格。卖家根据市场需求数据，分析热销商品，以尽可能低的价格采购商品；分析买家区域分布，就近建立配送中心；确定目标人群，推出团购、秒杀、套餐、促销等优惠活动，促成交易。</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关键词数据提供买家搜索的关键词展现量、点击量、点击率、转化量、转化率、平均点击单价、搜索相关性等信息。根据关键词数据， 判断“买家怎么来”。买家通过搜索关键词来寻找所需要的商品，一方面卖家通过优化标题的关键词尽可能匹配买家搜索的关键词，即SEO，属于自然流量；另一方面卖家通过设置与推广商品相关的关键词和点击价格，在买家搜索相应关键词时获得推广商品展现与点击， 卖家按照所获流量（点击数）付费，进行商品精准推广，即SEM，属于付费流量。卖家通过SEO 和SEM 引导买家进店消费。</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（2）采购中标规则</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只能在有配送中心的城市进行投标。采购投标时，同一种商品投标单价高的成交，直到所有商品全部成交为止。如果竞标价格相同， 则与供应商的关系值高的优先成交；如果竞标价格相同，与供应商的关系值也相同，则媒体影响力高的优先成交；继续比较社会慈善，销售额，投标提交的先后顺序来依次交易。</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（3）物流运费设置规则</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发布商品时卖家可以选择卖家承担运费或买家承担运费。买家承担运费时，卖家可以创建运费模板或者直接输入各种物流方式的物流运费，买家会将商品一口价和物流运费一同支付给卖家；但卖家可以采用任意物流方式运输（只要在买家规定的时间内送达，否则将承担退单的违约责任），配送完成后由卖家支付物流公司的实际运费。卖家承担运费时，买家只需将商品一口价支付给卖家，配送完成后由卖家支付物流公司的实际运费。</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创建运费模板时，卖家可分别设置各种物流方式的默认运费及每超过一件需要增加的运费；每超过一件需要增加的运费不能高于默认运费的 0.5 倍；直接输入各种物流方式的物流运费时，此物流运费为整单（若干件）的物流运费。</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（4）SEO 优化规则</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每种商品最多可以选择 7 个标题关键词，通过优化标题关键词尽可能匹配买家搜索的关键词，在买家搜索某个关键词时，展示与该关键词相关的商品，并取得靠前的自然排名。</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SEO 排名得分=关键词相关性（数据魔方提供）*SEO 关键词匹配方式得分*0.4+商品绩效得分*0.06。</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SEO 关键词匹配方式分为：完全匹配、高度匹配、部分匹配。只有当买家搜索的词与卖家设置的标题关键词完全相同时称为完全匹配，SEO 关键词匹配方式得分为 1；当买家搜索的词是卖家设置的标题关键词的子集时称为高度匹配，SEO 关键词匹配方式得分为0.5；当买家搜索的词与卖家设置的标题关键词文字部分匹配时称为部分匹配，SEO 关键词匹配方式得分为 0.2。例如，卖家标题关键词设置为“韩版 棉衣”，三种匹配方式如下：买家搜索关键词为“韩版 棉衣”时，匹配方式为完全匹配；买家搜索关键词为“韩版”或“棉衣”时，匹配方式为高度匹配；买家搜索关键词为“男款 棉衣”或“韩版 外套”这一类型词时，匹配方式为部分匹配。</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商品绩效：商品绩效得分（总分 100）=商品点击率得分+商品点击量得分+ 商品转化率得分+商品转化量得分+退单率得分+保修得分。</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 xml:space="preserve">商品展现量：该商品被展现的次数。 </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商品点击量：该商品被点击的次数。商品点击率：商品点击量/商品展现量。</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商品转化量：该商品最终达成的成交单数。</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 xml:space="preserve">商品转化率：商品转化量/商品点击量。  </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商品退单量：该商品累计退单的数量。</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商品退单率：商品退单量/商品成交量（订单数）。</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保修：售后服务类型，会产生售后服务费用。</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（5）SEM 推广规则</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通过对自己所销售商品相关的关键词出具一定的竞价价格，在买家搜索其中某个关键词时，展示与该关键词相关的商品，并取得靠前的搜索排名。</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SEM 排名得分=质量分*竞价价格。</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质量分=关键词搜索相关性*0.4+商品绩效*0.06。</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竞价价格：为取得靠前的排名为某关键词所出的一次点击的价格。卖家实际为某个 SEM 关键词的一次点击支付的费用=该关键词排名下一名的竞价价格*（下一名的质量得分/本组的质量得分）+0.01 例如，一个卖家 A 与卖家B 都选取了“办公家具”这个关键词做  SEM 推广，且在该关键词的搜索排名中卖家A 排名第一，卖家B 排名第二。卖家 A 竞价价格为 1.5，卖家 B 竞价价格为 1。卖家A 该词质量分 10 分，卖家 B 该词质量分 8 分。则卖家 A 实际为该关键词一次点击支付的费用=1*（8 分/10 分）+0.01=0.81 元。</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SEM 关键词匹配方式分为：精确匹配、中心匹配、广泛匹配。精确匹配是卖家投放的关键词与买家搜索的关键词完全相同才能被搜索到；</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中心匹配是指卖家投放的关键词是买家搜索的关键词的子集时也能被搜索到；广泛匹配是指卖家投放的关键词与买家搜索的关键词有一部分相同即可被搜索到。例如：设置为精确匹配时，卖家投放“棉衣”，买家搜索“棉衣”时可搜索到卖家；设置为中心匹配时，卖家投放“棉衣”，买家搜索“韩版 棉衣” 也可搜索到卖家；设置为广泛匹配时，卖家投放“韩版 棉衣”，买家搜索“韩版” 或“短款 棉衣”时可搜索到卖家。</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（6）SEM 管理规则</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每个推广组对应一个商品，但是每个商品可以对应多个推广组，所以针对同一个商品的不同关键词设定不同的竞价价格可以更好地达到SEM 推广效果。</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（7）营销活动设置规则</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团购：团购价格=商品价格×团购折扣。秒杀：秒杀价格=商品价格×50%。</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套餐：套餐可组合多种商品搭配出售，套餐价格=套餐包含商品的单价总和。</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促销：满就送、多买折扣、买第几件折扣促销。</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（8）资金借贷规则</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短贷利率：5%，民间融资利率：15%，长期贷款利率：10%。</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（9）信誉度</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获得订单后，在客户的需求期限内正常交货，获得 1 的信誉度； 违约第 1 单，获得－1 的信誉度，违约第 2 单获得－2 的信誉度，依次类推，违约的第N 单获得－N 的信誉度。</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信誉度为负后无法获得来自综合人群、品牌人群的订单。3.任务设计</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（1）办公场所设立</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选手可以根据市场数据分析，进行办公场所设立，包含选择办公城市、选择办公场所类型和招贤纳士三部分；根据不同城市的城市影响力、租金差、工资差等信息选择合适的办公城市；根据办公场所的容纳人数、租赁价格、维修费用等信息选择合适的办公场所；根据员工的业务能力、工资增长率及基本工资选择合适的人员。</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（2）配送中心设立</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选手可以根据体积、租赁价格、维修费用、管理费用及搬迁费用选择合适的配送中心，并为每个配送中心设置默认的配送区域及默认的物流方式。</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（3）店铺开设</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选手可以根据运营策略开设C 店和B 店，其中 B 店筹备周期需要4 期，每期费用为 60。</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（4）网店装修</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选手可以根据运营策略，对网店进行装修，装修可以增加视觉值， 每种装修费用不同，获得的视觉值也不同。</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（5）采购投标</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选手可以根据采购预算，制定采购投标方案进行投标，为店铺采购所需要的商品。</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（6）商品入库</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选手可以根据目标人群所在区域，对采购到的商品进行入库，以提高配送时效，降低配送成本。</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（7）商品发布</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选手可以对商品进行发布，主要包括设置商品基本信息、采用适合的定价策略进行定价、设置运费模板以及售后服务等。</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（8）SEO 优化</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选手可以根据市场数据分析，优化商品的标题关键词，以尽可能匹配买家搜索的关键词，在买家搜索某个关键词时，展示与该关键词相关的商品，并取得靠前的自然排名。</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（9）SEM 推广</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选手可以能够通过对自己所销售商品相关的关键词出具一定的竞价价格，在买家搜索其中某个关键词时，展示与该关键词相关的商品，并取得靠前的搜索排名。</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（10）营销活动</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选手可以根据目标人群特点，针对性制定营销活动，包括团购、秒杀、套餐、促销等，以提高店铺的转化率。</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（11）站外推广</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选手可以通过站外流量（电视广告、网盟、百度竞价排名等渠道） 来获取新的订单。</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（12）订单分发</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选手可以根据实际运营情况，对订单进行分发处理，分为手动分发和自动分发两种。</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（13）物流选择</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选手可以根据运营需求，为不同订单选择不同的物流方式。</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（14）货物出库</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选手可以根据订单的到货周期，合理安排商品出库。</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（15）财务处理</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选手根据运营状况，选择以不同的方式进行资金借贷，并支付人员工资、租赁费、管理费、维修费、应交税费等。</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4.赛题答案</w:t>
      </w:r>
    </w:p>
    <w:p>
      <w:pPr>
        <w:pStyle w:val="9"/>
        <w:ind w:left="0" w:firstLine="560" w:firstLineChars="200"/>
        <w:rPr>
          <w:rFonts w:ascii="仿宋_GB2312" w:hAnsi="仿宋" w:eastAsia="仿宋_GB2312" w:cs="仿宋"/>
          <w:kern w:val="0"/>
        </w:rPr>
      </w:pPr>
      <w:r>
        <w:rPr>
          <w:rFonts w:hint="eastAsia" w:ascii="仿宋_GB2312" w:hAnsi="仿宋" w:eastAsia="仿宋_GB2312" w:cs="仿宋"/>
          <w:kern w:val="0"/>
        </w:rPr>
        <w:t>以参赛选手的“所有者权益”为主，企业可持续性经营能力为辅计算经营得分，每个赛场根据各队的经营得分进行排序，第一名 45分，按照名次递减 2 分，第二名 43 分依次类推。</w:t>
      </w:r>
    </w:p>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七、竞赛规则</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报名资格：</w:t>
      </w:r>
      <w:bookmarkStart w:id="0" w:name="OLE_LINK2"/>
      <w:r>
        <w:rPr>
          <w:rFonts w:hint="eastAsia" w:ascii="仿宋_GB2312" w:hAnsi="仿宋" w:cs="仿宋"/>
        </w:rPr>
        <w:t>参赛选手须为普通高等学校全日制在籍专科学生；本科院校中高职类全日制在籍学生；五年制高职四、五年级学生。选手年龄须不超过25周岁</w:t>
      </w:r>
      <w:r>
        <w:rPr>
          <w:rFonts w:hint="eastAsia" w:ascii="仿宋_GB2312" w:hAnsi="仿宋" w:cs="仿宋"/>
          <w:lang w:eastAsia="zh-CN"/>
        </w:rPr>
        <w:t>（</w:t>
      </w:r>
      <w:r>
        <w:rPr>
          <w:rFonts w:hint="eastAsia" w:ascii="仿宋_GB2312" w:hAnsi="仿宋" w:eastAsia="仿宋_GB2312" w:cs="仿宋"/>
          <w:kern w:val="0"/>
          <w:sz w:val="30"/>
          <w:szCs w:val="30"/>
          <w:lang w:val="en-US" w:eastAsia="zh-CN"/>
        </w:rPr>
        <w:t>1998年5月1日及以后出生</w:t>
      </w:r>
      <w:r>
        <w:rPr>
          <w:rFonts w:hint="eastAsia" w:ascii="仿宋_GB2312" w:hAnsi="仿宋" w:cs="仿宋"/>
          <w:lang w:eastAsia="zh-CN"/>
        </w:rPr>
        <w:t>）</w:t>
      </w:r>
      <w:r>
        <w:rPr>
          <w:rFonts w:hint="eastAsia" w:ascii="仿宋_GB2312" w:hAnsi="仿宋" w:cs="仿宋"/>
        </w:rPr>
        <w:t>。</w:t>
      </w:r>
    </w:p>
    <w:bookmarkEnd w:id="0"/>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报名要求：参赛选手和指导教师报名获得确认后不得随意更换。如比赛前参赛选手和指导教师因故无法参赛，须由省级教育行政部门于参与赛项开赛10个工作日之前出具书面说明，经大赛执委会办公室核实后予以更换。团体赛选手因特殊原因不能参加比赛时，由大赛执委会办公室根据赛项的特点决定是否可进行缺员比赛，并上报大赛执委会备案。如未经报备，发现实际参赛选手与报名信息不符的情况，均不得入场。凡在往届全国职业院校技能大赛中获一等奖的选手，不能再参加同一项目同一组别的比赛。</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熟悉场地：比赛日前一天下午15:30～16:20开放赛场，熟悉场地。</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领队会议：比赛日前一天下午14:45～15:30召开领队会议，由各参赛队的领队和指导教师参加，会议讲解竞赛注意事项并进行赛前答疑。</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检录：</w:t>
      </w:r>
      <w:r>
        <w:t>由检录工作人员依照检录表进行点名核对，并检查确定无误后向裁判长递交检录单。</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加密：</w:t>
      </w:r>
      <w:r>
        <w:t>所有比赛项目在比赛的当天进行两次加密，加密后参赛选手中途不得擅自离开赛场。分别由两组加密裁判组织实施加密工作，管理加密结果。监督员全程监督加密过程。第一组加密裁判，组织参赛选手进行第一次抽签，产生参赛编号，替换选手参赛证等个人身份信息，在《</w:t>
      </w:r>
      <w:r>
        <w:rPr>
          <w:rFonts w:hint="eastAsia"/>
        </w:rPr>
        <w:t>海南省</w:t>
      </w:r>
      <w:r>
        <w:t>职业院校技能大赛一次加密记录表》中填写一次加密记录表后，连同选手参赛证等个人身份信息证件，当即装入一次加密结果密封袋中单独保管。第二组加密裁判，组织参赛选手进行第二次抽签，确定赛位号，替换选手参赛编号，在《</w:t>
      </w:r>
      <w:r>
        <w:rPr>
          <w:rFonts w:hint="eastAsia"/>
        </w:rPr>
        <w:t>海南省</w:t>
      </w:r>
      <w:r>
        <w:t>职业院校技能大赛二次加密记录表》中填写二次加密记录表后，连同选手参赛编号，当即装入二次加密结果密封袋中单独保管。所有加密结果密封袋的封条均需相应的加密裁判和监督人员签字。密封袋在监督人员监督下由加密裁判放置于保密室的保险柜中保存。</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引导：</w:t>
      </w:r>
      <w:r>
        <w:t>参赛选手凭赛位号进入赛场，不得携带其他显示个人身份信息</w:t>
      </w:r>
      <w:r>
        <w:rPr>
          <w:rFonts w:hint="eastAsia"/>
        </w:rPr>
        <w:t>的物品，不得携带</w:t>
      </w:r>
      <w:r>
        <w:rPr>
          <w:rFonts w:hint="eastAsia" w:ascii="仿宋_GB2312" w:hAnsi="仿宋" w:cs="仿宋"/>
        </w:rPr>
        <w:t>与竞赛无关的电子设备、通讯设备及其他相关资料与用品</w:t>
      </w:r>
      <w:r>
        <w:t>。现场裁判负责引导参赛队伍至赛位前等待竞赛指令。比赛开始前，在没有裁判允许的情况下，严禁随意触碰竞赛设施和阅读赛卷内容。比赛中途不得离开赛场。</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由裁判长宣布比赛开始，各参赛队开始竞赛。</w:t>
      </w:r>
    </w:p>
    <w:p>
      <w:pPr>
        <w:pStyle w:val="19"/>
        <w:numPr>
          <w:ilvl w:val="0"/>
          <w:numId w:val="1"/>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竞赛过程中，如遇设备或软件等故障，参赛选手应“举手”示意。裁判、技术人员等应及时予以解决。确因计算机软件或硬件故障，致使操作无法继续的，经裁判同意，予以启用备用计算机。如遇身体不适，参赛选手应“举手”示意，现场医务人员按应急预案救治。如有其它问题，参赛选手应“举手”示意，裁判应按照有关要求及时予以答疑。</w:t>
      </w:r>
    </w:p>
    <w:p>
      <w:pPr>
        <w:pStyle w:val="19"/>
        <w:numPr>
          <w:ilvl w:val="0"/>
          <w:numId w:val="1"/>
        </w:numPr>
        <w:tabs>
          <w:tab w:val="left" w:pos="851"/>
          <w:tab w:val="left" w:pos="993"/>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运营推广竞赛结束后，裁判公布竞赛结果，并将成绩登录在竞赛成绩单上。各参赛队伍派一名参赛代表在竞赛成绩单上签字，裁判监督所有参赛队伍签字后，裁判签字。</w:t>
      </w:r>
    </w:p>
    <w:p>
      <w:pPr>
        <w:pStyle w:val="19"/>
        <w:numPr>
          <w:ilvl w:val="0"/>
          <w:numId w:val="1"/>
        </w:numPr>
        <w:tabs>
          <w:tab w:val="left" w:pos="851"/>
          <w:tab w:val="left" w:pos="993"/>
        </w:tabs>
        <w:adjustRightInd w:val="0"/>
        <w:snapToGrid w:val="0"/>
        <w:spacing w:beforeLines="0" w:afterLines="0" w:line="560" w:lineRule="exact"/>
        <w:ind w:left="0" w:firstLine="567" w:firstLineChars="0"/>
        <w:rPr>
          <w:rFonts w:ascii="仿宋_GB2312" w:hAnsi="仿宋" w:cs="仿宋"/>
        </w:rPr>
      </w:pPr>
      <w:r>
        <w:rPr>
          <w:rFonts w:ascii="仿宋_GB2312" w:hAnsi="仿宋" w:cs="仿宋"/>
        </w:rPr>
        <w:t>记分员将解密后的各参赛队伍（选手）成绩汇总成最终成绩单，经裁判长、监督组签字后进行</w:t>
      </w:r>
      <w:r>
        <w:rPr>
          <w:rFonts w:hint="eastAsia" w:ascii="仿宋_GB2312" w:hAnsi="仿宋" w:cs="仿宋"/>
        </w:rPr>
        <w:t>公布</w:t>
      </w:r>
      <w:r>
        <w:rPr>
          <w:rFonts w:ascii="仿宋_GB2312" w:hAnsi="仿宋" w:cs="仿宋"/>
        </w:rPr>
        <w:t>。</w:t>
      </w:r>
      <w:r>
        <w:rPr>
          <w:rFonts w:hint="eastAsia" w:ascii="仿宋_GB2312" w:hAnsi="仿宋" w:cs="仿宋"/>
        </w:rPr>
        <w:t>公布</w:t>
      </w:r>
      <w:r>
        <w:rPr>
          <w:rFonts w:ascii="仿宋_GB2312" w:hAnsi="仿宋" w:cs="仿宋"/>
        </w:rPr>
        <w:t>时间为2小时。成绩</w:t>
      </w:r>
      <w:r>
        <w:rPr>
          <w:rFonts w:hint="eastAsia" w:ascii="仿宋_GB2312" w:hAnsi="仿宋" w:cs="仿宋"/>
        </w:rPr>
        <w:t>公布</w:t>
      </w:r>
      <w:r>
        <w:rPr>
          <w:rFonts w:ascii="仿宋_GB2312" w:hAnsi="仿宋" w:cs="仿宋"/>
        </w:rPr>
        <w:t>无异议后，由仲裁员在成绩单上签字，并在闭赛式上公布竞赛成绩。</w:t>
      </w:r>
    </w:p>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八、竞赛环境</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竞赛场地设在体育馆内或电脑机房，根据报名院校场地内设置若干个团队的竞赛环境，分赛场；</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一个参赛队一个机位，每个机位三台电脑，其中一台备用，两张桌子，四把椅子；</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竞赛场地内设置背景板、宣传横幅及壁挂图，营造竞赛氛围；</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局域网络。采用星形网络拓扑结构，安装千兆交换机。网线与电源线隐蔽铺设。</w:t>
      </w:r>
    </w:p>
    <w:p>
      <w:pPr>
        <w:pStyle w:val="19"/>
        <w:numPr>
          <w:ilvl w:val="0"/>
          <w:numId w:val="2"/>
        </w:numPr>
        <w:tabs>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利用UPS防止现场因突然断电导致的系统数据丢失，额定功率：3KVA，后备时间：2小时，电池类型：输出电压：230V±5%V。</w:t>
      </w:r>
    </w:p>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九、技术规范</w:t>
      </w:r>
    </w:p>
    <w:p>
      <w:pPr>
        <w:adjustRightInd w:val="0"/>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参赛团队遵循以下规范：</w:t>
      </w:r>
    </w:p>
    <w:p>
      <w:pPr>
        <w:adjustRightInd w:val="0"/>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教学标准：《高等职业学校电子商务专业教学标准》和国家级职业教育专业教学资源库《电子商务专业教学资源库》。</w:t>
      </w:r>
    </w:p>
    <w:p>
      <w:pPr>
        <w:adjustRightInd w:val="0"/>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行业规范：采用主流电商平台的首页、详情页操作规范，SEO 优化规则、SEM 竞价规则。</w:t>
      </w:r>
    </w:p>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十、技术平台</w:t>
      </w:r>
    </w:p>
    <w:tbl>
      <w:tblPr>
        <w:tblStyle w:val="10"/>
        <w:tblW w:w="9035" w:type="dxa"/>
        <w:tblInd w:w="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372"/>
        <w:gridCol w:w="666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0" w:hRule="atLeast"/>
        </w:trPr>
        <w:tc>
          <w:tcPr>
            <w:tcW w:w="2372" w:type="dxa"/>
            <w:vAlign w:val="center"/>
          </w:tcPr>
          <w:p>
            <w:pPr>
              <w:spacing w:line="560" w:lineRule="exact"/>
              <w:jc w:val="center"/>
              <w:rPr>
                <w:rFonts w:ascii="仿宋_GB2312" w:hAnsi="仿宋" w:eastAsia="仿宋_GB2312"/>
                <w:b/>
                <w:sz w:val="24"/>
              </w:rPr>
            </w:pPr>
            <w:r>
              <w:rPr>
                <w:rFonts w:hint="eastAsia" w:ascii="仿宋_GB2312" w:hAnsi="仿宋" w:eastAsia="仿宋_GB2312"/>
                <w:b/>
                <w:sz w:val="24"/>
              </w:rPr>
              <w:t>品名</w:t>
            </w:r>
          </w:p>
        </w:tc>
        <w:tc>
          <w:tcPr>
            <w:tcW w:w="6663" w:type="dxa"/>
            <w:vAlign w:val="center"/>
          </w:tcPr>
          <w:p>
            <w:pPr>
              <w:spacing w:line="560" w:lineRule="exact"/>
              <w:jc w:val="center"/>
              <w:rPr>
                <w:rFonts w:ascii="仿宋_GB2312" w:hAnsi="仿宋" w:eastAsia="仿宋_GB2312"/>
                <w:b/>
                <w:sz w:val="24"/>
              </w:rPr>
            </w:pPr>
            <w:r>
              <w:rPr>
                <w:rFonts w:hint="eastAsia" w:ascii="仿宋_GB2312" w:hAnsi="仿宋" w:eastAsia="仿宋_GB2312"/>
                <w:b/>
                <w:sz w:val="24"/>
              </w:rPr>
              <w:t>规格要求说明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6" w:hRule="atLeast"/>
        </w:trPr>
        <w:tc>
          <w:tcPr>
            <w:tcW w:w="2372" w:type="dxa"/>
            <w:vAlign w:val="center"/>
          </w:tcPr>
          <w:p>
            <w:pPr>
              <w:rPr>
                <w:rFonts w:ascii="仿宋_GB2312" w:hAnsi="仿宋" w:eastAsia="仿宋_GB2312"/>
                <w:sz w:val="24"/>
              </w:rPr>
            </w:pPr>
            <w:r>
              <w:rPr>
                <w:rFonts w:hint="eastAsia" w:ascii="仿宋_GB2312" w:hAnsi="仿宋" w:eastAsia="仿宋_GB2312"/>
                <w:sz w:val="24"/>
              </w:rPr>
              <w:t>参赛选手计算机</w:t>
            </w:r>
          </w:p>
        </w:tc>
        <w:tc>
          <w:tcPr>
            <w:tcW w:w="6663" w:type="dxa"/>
          </w:tcPr>
          <w:p>
            <w:pPr>
              <w:widowControl/>
              <w:jc w:val="left"/>
              <w:rPr>
                <w:rFonts w:ascii="仿宋_GB2312" w:hAnsi="仿宋" w:eastAsia="仿宋_GB2312"/>
                <w:sz w:val="24"/>
              </w:rPr>
            </w:pPr>
            <w:r>
              <w:rPr>
                <w:rFonts w:hint="eastAsia" w:ascii="仿宋_GB2312" w:hAnsi="仿宋" w:eastAsia="仿宋_GB2312"/>
                <w:sz w:val="24"/>
              </w:rPr>
              <w:t>配置要求：酷睿 I5 双核 3.0 以上 CPU；8G 以上内存；100G 以上硬盘；2G 显存以上独立显卡，千兆网卡。预装 Windows7 以上操作系统；预装火狐浏览器；预装录屏软件；预装全拼、简拼、微软拼音等中文输入法和英文输入法；预装Dreamweaver CS6 和 Fireworks CS6 简体中文版；预装</w:t>
            </w:r>
          </w:p>
          <w:p>
            <w:pPr>
              <w:widowControl/>
              <w:jc w:val="left"/>
              <w:rPr>
                <w:rFonts w:ascii="仿宋_GB2312" w:hAnsi="仿宋" w:eastAsia="仿宋_GB2312"/>
                <w:sz w:val="24"/>
              </w:rPr>
            </w:pPr>
            <w:r>
              <w:rPr>
                <w:rFonts w:hint="eastAsia" w:ascii="仿宋_GB2312" w:hAnsi="仿宋" w:eastAsia="仿宋_GB2312"/>
                <w:sz w:val="24"/>
              </w:rPr>
              <w:t>AdobePhotoshop CS6 版本。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6" w:hRule="atLeast"/>
        </w:trPr>
        <w:tc>
          <w:tcPr>
            <w:tcW w:w="2372" w:type="dxa"/>
            <w:vAlign w:val="center"/>
          </w:tcPr>
          <w:p>
            <w:pPr>
              <w:rPr>
                <w:rFonts w:ascii="仿宋_GB2312" w:hAnsi="仿宋" w:eastAsia="仿宋_GB2312"/>
                <w:sz w:val="24"/>
              </w:rPr>
            </w:pPr>
            <w:r>
              <w:rPr>
                <w:rFonts w:hint="eastAsia" w:ascii="仿宋_GB2312" w:hAnsi="仿宋" w:eastAsia="仿宋_GB2312"/>
                <w:sz w:val="24"/>
              </w:rPr>
              <w:t>参赛选手直播设备</w:t>
            </w:r>
          </w:p>
        </w:tc>
        <w:tc>
          <w:tcPr>
            <w:tcW w:w="6663" w:type="dxa"/>
            <w:vAlign w:val="center"/>
          </w:tcPr>
          <w:p>
            <w:pPr>
              <w:rPr>
                <w:rFonts w:ascii="仿宋_GB2312" w:hAnsi="仿宋" w:eastAsia="仿宋_GB2312"/>
                <w:sz w:val="24"/>
              </w:rPr>
            </w:pPr>
            <w:r>
              <w:rPr>
                <w:rFonts w:hint="eastAsia" w:ascii="仿宋_GB2312" w:hAnsi="仿宋" w:eastAsia="仿宋_GB2312"/>
                <w:sz w:val="24"/>
              </w:rPr>
              <w:t>由承办方提供直播手机、耳机、三脚架、补光灯、直播商品, 并提供充足的备用设备，其中手机需配置 Android 10 以上操作系统 ，3GB+32GB 以上内存，前摄摄像头 500 万以上像素。参赛选手只允许使用大赛统一提供的直播设备、直播背景，</w:t>
            </w:r>
          </w:p>
          <w:p>
            <w:pPr>
              <w:rPr>
                <w:rFonts w:ascii="仿宋_GB2312" w:hAnsi="仿宋" w:eastAsia="仿宋_GB2312"/>
                <w:sz w:val="24"/>
              </w:rPr>
            </w:pPr>
            <w:r>
              <w:rPr>
                <w:rFonts w:hint="eastAsia" w:ascii="仿宋_GB2312" w:hAnsi="仿宋" w:eastAsia="仿宋_GB2312"/>
                <w:sz w:val="24"/>
              </w:rPr>
              <w:t>不允许自带设备或更改直播背景。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4" w:hRule="atLeast"/>
        </w:trPr>
        <w:tc>
          <w:tcPr>
            <w:tcW w:w="2372" w:type="dxa"/>
          </w:tcPr>
          <w:p>
            <w:pPr>
              <w:rPr>
                <w:rFonts w:ascii="仿宋_GB2312" w:hAnsi="仿宋" w:eastAsia="仿宋_GB2312"/>
                <w:sz w:val="24"/>
              </w:rPr>
            </w:pPr>
            <w:r>
              <w:rPr>
                <w:rFonts w:hint="eastAsia" w:ascii="仿宋_GB2312" w:hAnsi="仿宋" w:eastAsia="仿宋_GB2312"/>
                <w:sz w:val="24"/>
              </w:rPr>
              <w:t>现场布置</w:t>
            </w:r>
          </w:p>
        </w:tc>
        <w:tc>
          <w:tcPr>
            <w:tcW w:w="6663" w:type="dxa"/>
          </w:tcPr>
          <w:p>
            <w:pPr>
              <w:rPr>
                <w:rFonts w:ascii="仿宋_GB2312" w:hAnsi="仿宋" w:eastAsia="仿宋_GB2312"/>
                <w:sz w:val="24"/>
              </w:rPr>
            </w:pPr>
            <w:r>
              <w:rPr>
                <w:rFonts w:hint="eastAsia" w:ascii="仿宋_GB2312" w:hAnsi="仿宋" w:eastAsia="仿宋_GB2312"/>
                <w:sz w:val="24"/>
              </w:rPr>
              <w:t>工位隔断、环境布置、桌椅等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2372" w:type="dxa"/>
          </w:tcPr>
          <w:p>
            <w:pPr>
              <w:rPr>
                <w:rFonts w:ascii="仿宋_GB2312" w:hAnsi="仿宋" w:eastAsia="仿宋_GB2312"/>
                <w:sz w:val="24"/>
              </w:rPr>
            </w:pPr>
            <w:r>
              <w:rPr>
                <w:rFonts w:hint="eastAsia" w:ascii="仿宋_GB2312" w:hAnsi="仿宋" w:eastAsia="仿宋_GB2312"/>
                <w:sz w:val="24"/>
              </w:rPr>
              <w:t>网络连接设备</w:t>
            </w:r>
          </w:p>
        </w:tc>
        <w:tc>
          <w:tcPr>
            <w:tcW w:w="6663" w:type="dxa"/>
          </w:tcPr>
          <w:p>
            <w:pPr>
              <w:rPr>
                <w:rFonts w:ascii="仿宋_GB2312" w:hAnsi="仿宋" w:eastAsia="仿宋_GB2312"/>
                <w:sz w:val="24"/>
              </w:rPr>
            </w:pPr>
            <w:r>
              <w:rPr>
                <w:rFonts w:hint="eastAsia" w:ascii="仿宋_GB2312" w:hAnsi="仿宋" w:eastAsia="仿宋_GB2312"/>
                <w:sz w:val="24"/>
              </w:rPr>
              <w:t>提供网络布线、千兆交换机、AC 控制器、无线 AP</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2372" w:type="dxa"/>
            <w:vAlign w:val="center"/>
          </w:tcPr>
          <w:p>
            <w:pPr>
              <w:rPr>
                <w:rFonts w:ascii="仿宋_GB2312" w:hAnsi="仿宋" w:eastAsia="仿宋_GB2312"/>
                <w:sz w:val="24"/>
              </w:rPr>
            </w:pPr>
            <w:r>
              <w:rPr>
                <w:rFonts w:hint="eastAsia" w:ascii="仿宋_GB2312" w:hAnsi="仿宋" w:eastAsia="仿宋_GB2312"/>
                <w:sz w:val="24"/>
              </w:rPr>
              <w:t>竞赛服务器</w:t>
            </w:r>
          </w:p>
        </w:tc>
        <w:tc>
          <w:tcPr>
            <w:tcW w:w="6663" w:type="dxa"/>
            <w:vAlign w:val="center"/>
          </w:tcPr>
          <w:p>
            <w:pPr>
              <w:rPr>
                <w:rFonts w:ascii="仿宋_GB2312" w:hAnsi="仿宋" w:eastAsia="仿宋_GB2312"/>
                <w:sz w:val="24"/>
              </w:rPr>
            </w:pPr>
            <w:r>
              <w:rPr>
                <w:rFonts w:hint="eastAsia" w:ascii="仿宋_GB2312" w:hAnsi="仿宋" w:eastAsia="仿宋_GB2312"/>
                <w:sz w:val="24"/>
              </w:rPr>
              <w:t>配置要求：英特尔至强 E5 系列 E5-2683 v4 十六核以上</w:t>
            </w:r>
          </w:p>
          <w:p>
            <w:pPr>
              <w:rPr>
                <w:rFonts w:ascii="仿宋_GB2312" w:hAnsi="仿宋" w:eastAsia="仿宋_GB2312"/>
                <w:sz w:val="24"/>
              </w:rPr>
            </w:pPr>
            <w:r>
              <w:rPr>
                <w:rFonts w:hint="eastAsia" w:ascii="仿宋_GB2312" w:hAnsi="仿宋" w:eastAsia="仿宋_GB2312"/>
                <w:sz w:val="24"/>
              </w:rPr>
              <w:t>CPU；16GB 以上内存；硬盘：500G 以上、转速：10000 RPM 或固定 P4510；千兆网卡。</w:t>
            </w:r>
          </w:p>
          <w:p>
            <w:pPr>
              <w:rPr>
                <w:rFonts w:ascii="仿宋_GB2312" w:hAnsi="仿宋" w:eastAsia="仿宋_GB2312"/>
                <w:sz w:val="24"/>
              </w:rPr>
            </w:pPr>
            <w:r>
              <w:rPr>
                <w:rFonts w:hint="eastAsia" w:ascii="仿宋_GB2312" w:hAnsi="仿宋" w:eastAsia="仿宋_GB2312"/>
                <w:sz w:val="24"/>
              </w:rPr>
              <w:t>预装 Windows Server 2008 R2 操作系统及 IIS 7.5；预装Microsoft SQL Server 2005 数据库。</w:t>
            </w:r>
          </w:p>
          <w:p>
            <w:pPr>
              <w:rPr>
                <w:rFonts w:ascii="仿宋_GB2312" w:hAnsi="仿宋" w:eastAsia="仿宋_GB2312"/>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2372" w:type="dxa"/>
            <w:vAlign w:val="center"/>
          </w:tcPr>
          <w:p>
            <w:pPr>
              <w:rPr>
                <w:rFonts w:ascii="仿宋_GB2312" w:hAnsi="仿宋" w:eastAsia="仿宋_GB2312"/>
                <w:sz w:val="24"/>
              </w:rPr>
            </w:pPr>
            <w:r>
              <w:rPr>
                <w:rFonts w:hint="eastAsia" w:ascii="仿宋_GB2312" w:hAnsi="仿宋" w:eastAsia="仿宋_GB2312"/>
                <w:sz w:val="24"/>
              </w:rPr>
              <w:t>竞赛软件</w:t>
            </w:r>
          </w:p>
        </w:tc>
        <w:tc>
          <w:tcPr>
            <w:tcW w:w="6663" w:type="dxa"/>
            <w:vAlign w:val="center"/>
          </w:tcPr>
          <w:p>
            <w:pPr>
              <w:rPr>
                <w:rFonts w:ascii="仿宋_GB2312" w:hAnsi="仿宋" w:eastAsia="仿宋_GB2312"/>
                <w:sz w:val="24"/>
              </w:rPr>
            </w:pPr>
            <w:r>
              <w:rPr>
                <w:rFonts w:hint="eastAsia" w:ascii="仿宋_GB2312" w:hAnsi="仿宋" w:eastAsia="仿宋_GB2312"/>
                <w:sz w:val="24"/>
              </w:rPr>
              <w:t>沿用2021年高职组电子商务国赛软件：中教畅享电子商务综合实训与竞赛系统V4.0</w:t>
            </w:r>
          </w:p>
        </w:tc>
      </w:tr>
    </w:tbl>
    <w:p>
      <w:pPr>
        <w:spacing w:line="560" w:lineRule="exact"/>
        <w:ind w:firstLine="562" w:firstLineChars="200"/>
        <w:rPr>
          <w:rFonts w:ascii="仿宋_GB2312" w:hAnsi="黑体" w:eastAsia="仿宋_GB2312" w:cs="黑体"/>
          <w:b/>
          <w:bCs/>
          <w:sz w:val="28"/>
          <w:szCs w:val="28"/>
        </w:rPr>
      </w:pPr>
    </w:p>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十一、成绩评定</w:t>
      </w:r>
    </w:p>
    <w:p>
      <w:pPr>
        <w:widowControl/>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评分方法：分为笔纸测量（或计算机代替）方式评判（依据客观数据评判）和现场操作评价方式评判（依据主观判断评判）。直播营销（部分）、网店运营推广采取测量方式评判；直播营销（部分）、视觉营销采取评价方式评判，由裁判长按 3 名裁判员一组组成评判小组，每名裁判员按照“0-3”4 个分数等级（0 分为不符合技能要求， 1 分为基本符合技能要求，2 分为符合技能要求，3 分为超出技能要求）独立评判，如 3 名裁判员之间的评判结果差距超出 1 个分数等级， 则重新进行评判。</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2．成绩复核：为保障成绩评判的准确性，监督组将对赛项总成绩排名前30%的所有参赛队的成绩进行复核；对其余成绩进行抽检复核，抽检覆盖率不得低于15%。如发现成绩错误以书面方式及时告知裁判长，由裁判长更正成绩并签字确认。复核、抽检错误率超过5%的，裁判组将对所有成绩进行复核。</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3．赛项最终得分：按 100 分制计分，由高到低进行排名，如出现总成绩相同的情况，优先以网店运营推广成绩进行排名，若网店运营推广成绩相同则按照视觉营销成绩进行排名，最终成绩经复核无误，由裁判长、监督人员和仲裁人员签字确认后公布。</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4.评分标准</w:t>
      </w:r>
    </w:p>
    <w:tbl>
      <w:tblPr>
        <w:tblStyle w:val="10"/>
        <w:tblW w:w="9367" w:type="dxa"/>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
        <w:gridCol w:w="746"/>
        <w:gridCol w:w="1374"/>
        <w:gridCol w:w="4281"/>
        <w:gridCol w:w="1008"/>
        <w:gridCol w:w="10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50" w:type="dxa"/>
          </w:tcPr>
          <w:p>
            <w:pPr>
              <w:pStyle w:val="22"/>
              <w:rPr>
                <w:rFonts w:ascii="Times New Roman"/>
                <w:sz w:val="24"/>
              </w:rPr>
            </w:pPr>
          </w:p>
        </w:tc>
        <w:tc>
          <w:tcPr>
            <w:tcW w:w="746" w:type="dxa"/>
          </w:tcPr>
          <w:p>
            <w:pPr>
              <w:pStyle w:val="22"/>
              <w:spacing w:before="175"/>
              <w:ind w:left="140" w:right="136"/>
              <w:jc w:val="center"/>
            </w:pPr>
            <w:r>
              <w:t>内容</w:t>
            </w:r>
          </w:p>
        </w:tc>
        <w:tc>
          <w:tcPr>
            <w:tcW w:w="5655" w:type="dxa"/>
            <w:gridSpan w:val="2"/>
          </w:tcPr>
          <w:p>
            <w:pPr>
              <w:pStyle w:val="22"/>
              <w:spacing w:before="19"/>
              <w:ind w:left="2384" w:right="2380"/>
              <w:jc w:val="center"/>
            </w:pPr>
            <w:r>
              <w:t>评分细则</w:t>
            </w:r>
          </w:p>
        </w:tc>
        <w:tc>
          <w:tcPr>
            <w:tcW w:w="1008" w:type="dxa"/>
          </w:tcPr>
          <w:p>
            <w:pPr>
              <w:pStyle w:val="22"/>
              <w:spacing w:before="175"/>
              <w:ind w:left="167" w:right="161"/>
              <w:jc w:val="center"/>
            </w:pPr>
            <w:r>
              <w:t>分值</w:t>
            </w:r>
          </w:p>
        </w:tc>
        <w:tc>
          <w:tcPr>
            <w:tcW w:w="1008" w:type="dxa"/>
          </w:tcPr>
          <w:p>
            <w:pPr>
              <w:pStyle w:val="22"/>
              <w:spacing w:before="19"/>
              <w:ind w:left="167" w:right="161"/>
              <w:jc w:val="center"/>
            </w:pPr>
            <w:r>
              <w:t>评分方</w:t>
            </w:r>
          </w:p>
          <w:p>
            <w:pPr>
              <w:pStyle w:val="22"/>
              <w:spacing w:before="43"/>
              <w:ind w:left="8"/>
              <w:jc w:val="center"/>
            </w:pPr>
            <w:r>
              <w:rPr>
                <w:w w:val="99"/>
              </w:rPr>
              <w:t>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950" w:type="dxa"/>
            <w:vMerge w:val="restart"/>
            <w:vAlign w:val="center"/>
          </w:tcPr>
          <w:p>
            <w:pPr>
              <w:pStyle w:val="22"/>
              <w:jc w:val="center"/>
              <w:rPr>
                <w:sz w:val="20"/>
              </w:rPr>
            </w:pPr>
          </w:p>
          <w:p>
            <w:pPr>
              <w:pStyle w:val="22"/>
              <w:jc w:val="center"/>
              <w:rPr>
                <w:sz w:val="20"/>
              </w:rPr>
            </w:pPr>
          </w:p>
          <w:p>
            <w:pPr>
              <w:pStyle w:val="22"/>
              <w:jc w:val="center"/>
              <w:rPr>
                <w:sz w:val="20"/>
              </w:rPr>
            </w:pPr>
          </w:p>
          <w:p>
            <w:pPr>
              <w:pStyle w:val="22"/>
              <w:jc w:val="center"/>
              <w:rPr>
                <w:sz w:val="20"/>
              </w:rPr>
            </w:pPr>
          </w:p>
          <w:p>
            <w:pPr>
              <w:pStyle w:val="22"/>
              <w:jc w:val="center"/>
              <w:rPr>
                <w:sz w:val="20"/>
              </w:rPr>
            </w:pPr>
          </w:p>
          <w:p>
            <w:pPr>
              <w:pStyle w:val="22"/>
              <w:jc w:val="center"/>
              <w:rPr>
                <w:sz w:val="20"/>
              </w:rPr>
            </w:pPr>
          </w:p>
          <w:p>
            <w:pPr>
              <w:pStyle w:val="22"/>
              <w:jc w:val="center"/>
              <w:rPr>
                <w:sz w:val="20"/>
              </w:rPr>
            </w:pPr>
          </w:p>
          <w:p>
            <w:pPr>
              <w:pStyle w:val="22"/>
              <w:jc w:val="center"/>
              <w:rPr>
                <w:sz w:val="20"/>
              </w:rPr>
            </w:pPr>
          </w:p>
          <w:p>
            <w:pPr>
              <w:pStyle w:val="22"/>
              <w:spacing w:before="9"/>
              <w:jc w:val="center"/>
              <w:rPr>
                <w:sz w:val="29"/>
              </w:rPr>
            </w:pPr>
          </w:p>
          <w:p>
            <w:pPr>
              <w:pStyle w:val="22"/>
              <w:spacing w:line="278" w:lineRule="auto"/>
              <w:ind w:left="369" w:right="150" w:hanging="212"/>
            </w:pPr>
            <w:r>
              <w:t>直播营销</w:t>
            </w:r>
          </w:p>
        </w:tc>
        <w:tc>
          <w:tcPr>
            <w:tcW w:w="746" w:type="dxa"/>
          </w:tcPr>
          <w:p>
            <w:pPr>
              <w:pStyle w:val="22"/>
              <w:spacing w:before="10"/>
              <w:rPr>
                <w:sz w:val="25"/>
              </w:rPr>
            </w:pPr>
          </w:p>
          <w:p>
            <w:pPr>
              <w:pStyle w:val="22"/>
              <w:ind w:left="140" w:right="136"/>
              <w:jc w:val="center"/>
            </w:pPr>
            <w:r>
              <w:t>总则</w:t>
            </w:r>
          </w:p>
        </w:tc>
        <w:tc>
          <w:tcPr>
            <w:tcW w:w="5655" w:type="dxa"/>
            <w:gridSpan w:val="2"/>
          </w:tcPr>
          <w:p>
            <w:pPr>
              <w:pStyle w:val="22"/>
              <w:spacing w:before="19"/>
              <w:ind w:left="106"/>
            </w:pPr>
            <w:r>
              <w:t>1.直播过程中，如果暴露选手真实姓名、学校等个人信息，</w:t>
            </w:r>
          </w:p>
          <w:p>
            <w:pPr>
              <w:pStyle w:val="22"/>
              <w:spacing w:before="2" w:line="310" w:lineRule="atLeast"/>
              <w:ind w:left="106" w:right="97"/>
            </w:pPr>
            <w:r>
              <w:rPr>
                <w:spacing w:val="-2"/>
              </w:rPr>
              <w:t>直播记零分。</w:t>
            </w:r>
            <w:r>
              <w:t>2.</w:t>
            </w:r>
            <w:r>
              <w:rPr>
                <w:spacing w:val="-5"/>
              </w:rPr>
              <w:t xml:space="preserve">直播过程中出现不文明词汇，扣 </w:t>
            </w:r>
            <w:r>
              <w:t>1</w:t>
            </w:r>
            <w:r>
              <w:rPr>
                <w:spacing w:val="-22"/>
              </w:rPr>
              <w:t xml:space="preserve"> 分。</w:t>
            </w:r>
            <w:r>
              <w:t>3.直播过程中出现意识形态问题，直播记零分。</w:t>
            </w:r>
          </w:p>
        </w:tc>
        <w:tc>
          <w:tcPr>
            <w:tcW w:w="1008" w:type="dxa"/>
          </w:tcPr>
          <w:p>
            <w:pPr>
              <w:pStyle w:val="22"/>
              <w:rPr>
                <w:rFonts w:ascii="Times New Roman"/>
                <w:sz w:val="24"/>
              </w:rPr>
            </w:pPr>
          </w:p>
        </w:tc>
        <w:tc>
          <w:tcPr>
            <w:tcW w:w="1008" w:type="dxa"/>
          </w:tcPr>
          <w:p>
            <w:pPr>
              <w:pStyle w:val="22"/>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trPr>
        <w:tc>
          <w:tcPr>
            <w:tcW w:w="950" w:type="dxa"/>
            <w:vMerge w:val="continue"/>
          </w:tcPr>
          <w:p>
            <w:pPr>
              <w:rPr>
                <w:sz w:val="2"/>
                <w:szCs w:val="2"/>
              </w:rPr>
            </w:pPr>
          </w:p>
        </w:tc>
        <w:tc>
          <w:tcPr>
            <w:tcW w:w="746" w:type="dxa"/>
          </w:tcPr>
          <w:p>
            <w:pPr>
              <w:pStyle w:val="22"/>
              <w:rPr>
                <w:sz w:val="20"/>
              </w:rPr>
            </w:pPr>
          </w:p>
          <w:p>
            <w:pPr>
              <w:pStyle w:val="22"/>
              <w:spacing w:before="2"/>
              <w:rPr>
                <w:sz w:val="18"/>
              </w:rPr>
            </w:pPr>
          </w:p>
          <w:p>
            <w:pPr>
              <w:pStyle w:val="22"/>
              <w:spacing w:line="278" w:lineRule="auto"/>
              <w:ind w:left="161" w:right="154"/>
            </w:pPr>
            <w:r>
              <w:t>互动方案制定</w:t>
            </w:r>
          </w:p>
        </w:tc>
        <w:tc>
          <w:tcPr>
            <w:tcW w:w="5655" w:type="dxa"/>
            <w:gridSpan w:val="2"/>
          </w:tcPr>
          <w:p>
            <w:pPr>
              <w:pStyle w:val="22"/>
              <w:spacing w:before="21"/>
              <w:ind w:left="106"/>
            </w:pPr>
            <w:r>
              <w:t>制定互动方案时，从以下 5 类互动中至少选择 4 类：</w:t>
            </w:r>
          </w:p>
          <w:p>
            <w:pPr>
              <w:pStyle w:val="22"/>
              <w:numPr>
                <w:ilvl w:val="0"/>
                <w:numId w:val="3"/>
              </w:numPr>
              <w:tabs>
                <w:tab w:val="left" w:pos="634"/>
              </w:tabs>
              <w:spacing w:before="43"/>
              <w:ind w:hanging="528"/>
            </w:pPr>
            <w:r>
              <w:rPr>
                <w:spacing w:val="-1"/>
                <w:w w:val="95"/>
              </w:rPr>
              <w:t>公告</w:t>
            </w:r>
          </w:p>
          <w:p>
            <w:pPr>
              <w:pStyle w:val="22"/>
              <w:numPr>
                <w:ilvl w:val="0"/>
                <w:numId w:val="3"/>
              </w:numPr>
              <w:tabs>
                <w:tab w:val="left" w:pos="634"/>
              </w:tabs>
              <w:spacing w:before="43"/>
              <w:ind w:hanging="528"/>
            </w:pPr>
            <w:r>
              <w:rPr>
                <w:spacing w:val="-1"/>
                <w:w w:val="95"/>
              </w:rPr>
              <w:t>关注</w:t>
            </w:r>
          </w:p>
          <w:p>
            <w:pPr>
              <w:pStyle w:val="22"/>
              <w:numPr>
                <w:ilvl w:val="0"/>
                <w:numId w:val="3"/>
              </w:numPr>
              <w:tabs>
                <w:tab w:val="left" w:pos="634"/>
              </w:tabs>
              <w:spacing w:before="43"/>
              <w:ind w:hanging="528"/>
            </w:pPr>
            <w:r>
              <w:t>优惠券、裂变优惠券</w:t>
            </w:r>
          </w:p>
          <w:p>
            <w:pPr>
              <w:pStyle w:val="22"/>
              <w:numPr>
                <w:ilvl w:val="0"/>
                <w:numId w:val="3"/>
              </w:numPr>
              <w:tabs>
                <w:tab w:val="left" w:pos="634"/>
              </w:tabs>
              <w:spacing w:before="42"/>
              <w:ind w:hanging="528"/>
            </w:pPr>
            <w:r>
              <w:t>倒计时红包</w:t>
            </w:r>
          </w:p>
          <w:p>
            <w:pPr>
              <w:pStyle w:val="22"/>
              <w:numPr>
                <w:ilvl w:val="0"/>
                <w:numId w:val="3"/>
              </w:numPr>
              <w:tabs>
                <w:tab w:val="left" w:pos="634"/>
              </w:tabs>
              <w:spacing w:before="43"/>
              <w:ind w:hanging="528"/>
            </w:pPr>
            <w:r>
              <w:t>投票</w:t>
            </w:r>
          </w:p>
        </w:tc>
        <w:tc>
          <w:tcPr>
            <w:tcW w:w="1008" w:type="dxa"/>
          </w:tcPr>
          <w:p>
            <w:pPr>
              <w:pStyle w:val="22"/>
              <w:rPr>
                <w:sz w:val="20"/>
              </w:rPr>
            </w:pPr>
          </w:p>
          <w:p>
            <w:pPr>
              <w:pStyle w:val="22"/>
              <w:rPr>
                <w:sz w:val="20"/>
              </w:rPr>
            </w:pPr>
          </w:p>
          <w:p>
            <w:pPr>
              <w:pStyle w:val="22"/>
              <w:spacing w:before="6"/>
              <w:rPr>
                <w:sz w:val="22"/>
              </w:rPr>
            </w:pPr>
          </w:p>
          <w:p>
            <w:pPr>
              <w:pStyle w:val="22"/>
              <w:ind w:left="167" w:right="161"/>
              <w:jc w:val="center"/>
            </w:pPr>
            <w:r>
              <w:t>1 分</w:t>
            </w:r>
          </w:p>
        </w:tc>
        <w:tc>
          <w:tcPr>
            <w:tcW w:w="1008" w:type="dxa"/>
          </w:tcPr>
          <w:p>
            <w:pPr>
              <w:pStyle w:val="22"/>
              <w:rPr>
                <w:sz w:val="20"/>
              </w:rPr>
            </w:pPr>
          </w:p>
          <w:p>
            <w:pPr>
              <w:pStyle w:val="22"/>
              <w:rPr>
                <w:sz w:val="20"/>
              </w:rPr>
            </w:pPr>
          </w:p>
          <w:p>
            <w:pPr>
              <w:pStyle w:val="22"/>
              <w:spacing w:before="132" w:line="278" w:lineRule="auto"/>
              <w:ind w:left="398" w:right="179" w:hanging="212"/>
            </w:pPr>
            <w:r>
              <w:t>测量评分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950" w:type="dxa"/>
            <w:vMerge w:val="continue"/>
          </w:tcPr>
          <w:p>
            <w:pPr>
              <w:rPr>
                <w:sz w:val="2"/>
                <w:szCs w:val="2"/>
              </w:rPr>
            </w:pPr>
          </w:p>
        </w:tc>
        <w:tc>
          <w:tcPr>
            <w:tcW w:w="746" w:type="dxa"/>
            <w:vMerge w:val="restart"/>
          </w:tcPr>
          <w:p>
            <w:pPr>
              <w:pStyle w:val="22"/>
              <w:rPr>
                <w:sz w:val="20"/>
              </w:rPr>
            </w:pPr>
          </w:p>
          <w:p>
            <w:pPr>
              <w:pStyle w:val="22"/>
              <w:rPr>
                <w:sz w:val="20"/>
              </w:rPr>
            </w:pPr>
          </w:p>
          <w:p>
            <w:pPr>
              <w:pStyle w:val="22"/>
              <w:rPr>
                <w:sz w:val="20"/>
              </w:rPr>
            </w:pPr>
          </w:p>
          <w:p>
            <w:pPr>
              <w:pStyle w:val="22"/>
              <w:spacing w:before="4"/>
              <w:rPr>
                <w:sz w:val="19"/>
              </w:rPr>
            </w:pPr>
          </w:p>
          <w:p>
            <w:pPr>
              <w:pStyle w:val="22"/>
              <w:spacing w:line="278" w:lineRule="auto"/>
              <w:ind w:left="161" w:right="154"/>
            </w:pPr>
            <w:r>
              <w:t>直播策划</w:t>
            </w:r>
          </w:p>
        </w:tc>
        <w:tc>
          <w:tcPr>
            <w:tcW w:w="1374" w:type="dxa"/>
          </w:tcPr>
          <w:p>
            <w:pPr>
              <w:pStyle w:val="22"/>
              <w:spacing w:before="20"/>
              <w:ind w:left="87" w:right="81"/>
              <w:jc w:val="center"/>
            </w:pPr>
            <w:r>
              <w:t>商品 1 主图</w:t>
            </w:r>
          </w:p>
        </w:tc>
        <w:tc>
          <w:tcPr>
            <w:tcW w:w="4281" w:type="dxa"/>
          </w:tcPr>
          <w:p>
            <w:pPr>
              <w:pStyle w:val="22"/>
              <w:spacing w:before="42"/>
              <w:ind w:left="107" w:right="-15"/>
            </w:pPr>
            <w:r>
              <w:rPr>
                <w:spacing w:val="-18"/>
              </w:rPr>
              <w:t xml:space="preserve">商品 </w:t>
            </w:r>
            <w:r>
              <w:t>1</w:t>
            </w:r>
            <w:r>
              <w:rPr>
                <w:spacing w:val="-13"/>
              </w:rPr>
              <w:t xml:space="preserve"> 主图设置正确，且主图数量达到 </w:t>
            </w:r>
            <w:r>
              <w:t>5</w:t>
            </w:r>
            <w:r>
              <w:rPr>
                <w:spacing w:val="-20"/>
              </w:rPr>
              <w:t xml:space="preserve"> 张。</w:t>
            </w:r>
          </w:p>
        </w:tc>
        <w:tc>
          <w:tcPr>
            <w:tcW w:w="1008" w:type="dxa"/>
          </w:tcPr>
          <w:p>
            <w:pPr>
              <w:pStyle w:val="22"/>
              <w:spacing w:before="176"/>
              <w:ind w:left="214"/>
            </w:pPr>
            <w:r>
              <w:t>0.5 分</w:t>
            </w:r>
          </w:p>
        </w:tc>
        <w:tc>
          <w:tcPr>
            <w:tcW w:w="1008" w:type="dxa"/>
          </w:tcPr>
          <w:p>
            <w:pPr>
              <w:pStyle w:val="22"/>
              <w:spacing w:before="20"/>
              <w:ind w:left="167" w:right="161"/>
              <w:jc w:val="center"/>
            </w:pPr>
            <w:r>
              <w:t>测量评</w:t>
            </w:r>
          </w:p>
          <w:p>
            <w:pPr>
              <w:pStyle w:val="22"/>
              <w:spacing w:before="43"/>
              <w:ind w:left="8"/>
              <w:jc w:val="center"/>
            </w:pP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tcPr>
          <w:p>
            <w:pPr>
              <w:pStyle w:val="22"/>
              <w:spacing w:before="20" w:line="278" w:lineRule="auto"/>
              <w:ind w:left="581" w:right="153" w:hanging="420"/>
            </w:pPr>
            <w:r>
              <w:rPr>
                <w:spacing w:val="-18"/>
              </w:rPr>
              <w:t xml:space="preserve">商品 </w:t>
            </w:r>
            <w:r>
              <w:t>1</w:t>
            </w:r>
            <w:r>
              <w:rPr>
                <w:spacing w:val="-25"/>
              </w:rPr>
              <w:t xml:space="preserve"> 详情</w:t>
            </w:r>
            <w:r>
              <w:t>图</w:t>
            </w:r>
          </w:p>
        </w:tc>
        <w:tc>
          <w:tcPr>
            <w:tcW w:w="4281" w:type="dxa"/>
          </w:tcPr>
          <w:p>
            <w:pPr>
              <w:pStyle w:val="22"/>
              <w:spacing w:before="44"/>
              <w:ind w:left="107"/>
            </w:pPr>
            <w:r>
              <w:t>包含正确的属性图、特点图、整体图、特写</w:t>
            </w:r>
          </w:p>
          <w:p>
            <w:pPr>
              <w:pStyle w:val="22"/>
              <w:spacing w:before="88"/>
              <w:ind w:left="107"/>
            </w:pPr>
            <w:r>
              <w:t>图、配送说明图、售后说明图。</w:t>
            </w:r>
          </w:p>
        </w:tc>
        <w:tc>
          <w:tcPr>
            <w:tcW w:w="1008" w:type="dxa"/>
          </w:tcPr>
          <w:p>
            <w:pPr>
              <w:pStyle w:val="22"/>
              <w:spacing w:before="3"/>
              <w:rPr>
                <w:sz w:val="17"/>
              </w:rPr>
            </w:pPr>
          </w:p>
          <w:p>
            <w:pPr>
              <w:pStyle w:val="22"/>
              <w:spacing w:before="1"/>
              <w:ind w:left="214"/>
            </w:pPr>
            <w:r>
              <w:t>0.5 分</w:t>
            </w:r>
          </w:p>
        </w:tc>
        <w:tc>
          <w:tcPr>
            <w:tcW w:w="1008" w:type="dxa"/>
          </w:tcPr>
          <w:p>
            <w:pPr>
              <w:pStyle w:val="22"/>
              <w:spacing w:before="65" w:line="278" w:lineRule="auto"/>
              <w:ind w:left="398" w:right="179" w:hanging="212"/>
            </w:pPr>
            <w:r>
              <w:t>测量评分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tcPr>
          <w:p>
            <w:pPr>
              <w:pStyle w:val="22"/>
              <w:spacing w:before="19"/>
              <w:ind w:left="87" w:right="79"/>
              <w:jc w:val="center"/>
            </w:pPr>
            <w:r>
              <w:t>直播间商品</w:t>
            </w:r>
          </w:p>
          <w:p>
            <w:pPr>
              <w:pStyle w:val="22"/>
              <w:spacing w:before="43"/>
              <w:ind w:left="87" w:right="81"/>
              <w:jc w:val="center"/>
            </w:pPr>
            <w:r>
              <w:t>1 链接</w:t>
            </w:r>
          </w:p>
        </w:tc>
        <w:tc>
          <w:tcPr>
            <w:tcW w:w="4281" w:type="dxa"/>
          </w:tcPr>
          <w:p>
            <w:pPr>
              <w:pStyle w:val="22"/>
              <w:spacing w:before="43"/>
              <w:ind w:left="107"/>
            </w:pPr>
            <w:r>
              <w:t>讲解的商品 1 正确关联商品 1 链接。</w:t>
            </w:r>
          </w:p>
        </w:tc>
        <w:tc>
          <w:tcPr>
            <w:tcW w:w="1008" w:type="dxa"/>
          </w:tcPr>
          <w:p>
            <w:pPr>
              <w:pStyle w:val="22"/>
              <w:spacing w:before="175"/>
              <w:ind w:left="214"/>
            </w:pPr>
            <w:r>
              <w:t>0.5 分</w:t>
            </w:r>
          </w:p>
        </w:tc>
        <w:tc>
          <w:tcPr>
            <w:tcW w:w="1008" w:type="dxa"/>
          </w:tcPr>
          <w:p>
            <w:pPr>
              <w:pStyle w:val="22"/>
              <w:spacing w:before="19"/>
              <w:ind w:left="167" w:right="161"/>
              <w:jc w:val="center"/>
            </w:pPr>
            <w:r>
              <w:t>测量评</w:t>
            </w:r>
          </w:p>
          <w:p>
            <w:pPr>
              <w:pStyle w:val="22"/>
              <w:spacing w:before="43"/>
              <w:ind w:left="8"/>
              <w:jc w:val="center"/>
            </w:pP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tcPr>
          <w:p>
            <w:pPr>
              <w:pStyle w:val="22"/>
              <w:spacing w:before="19"/>
              <w:ind w:left="87" w:right="81"/>
              <w:jc w:val="center"/>
            </w:pPr>
            <w:r>
              <w:t>商品 2 主图</w:t>
            </w:r>
          </w:p>
        </w:tc>
        <w:tc>
          <w:tcPr>
            <w:tcW w:w="4281" w:type="dxa"/>
          </w:tcPr>
          <w:p>
            <w:pPr>
              <w:pStyle w:val="22"/>
              <w:spacing w:before="43"/>
              <w:ind w:left="107" w:right="-15"/>
            </w:pPr>
            <w:r>
              <w:rPr>
                <w:spacing w:val="-18"/>
              </w:rPr>
              <w:t xml:space="preserve">商品 </w:t>
            </w:r>
            <w:r>
              <w:t>2</w:t>
            </w:r>
            <w:r>
              <w:rPr>
                <w:spacing w:val="-13"/>
              </w:rPr>
              <w:t xml:space="preserve"> 主图设置正确，且主图数量达到 </w:t>
            </w:r>
            <w:r>
              <w:t>5</w:t>
            </w:r>
            <w:r>
              <w:rPr>
                <w:spacing w:val="-20"/>
              </w:rPr>
              <w:t xml:space="preserve"> 张。</w:t>
            </w:r>
          </w:p>
        </w:tc>
        <w:tc>
          <w:tcPr>
            <w:tcW w:w="1008" w:type="dxa"/>
          </w:tcPr>
          <w:p>
            <w:pPr>
              <w:pStyle w:val="22"/>
              <w:spacing w:before="175"/>
              <w:ind w:left="214"/>
            </w:pPr>
            <w:r>
              <w:t>0.5 分</w:t>
            </w:r>
          </w:p>
        </w:tc>
        <w:tc>
          <w:tcPr>
            <w:tcW w:w="1008" w:type="dxa"/>
          </w:tcPr>
          <w:p>
            <w:pPr>
              <w:pStyle w:val="22"/>
              <w:spacing w:before="19"/>
              <w:ind w:left="167" w:right="161"/>
              <w:jc w:val="center"/>
            </w:pPr>
            <w:r>
              <w:t>测量评</w:t>
            </w:r>
          </w:p>
          <w:p>
            <w:pPr>
              <w:pStyle w:val="22"/>
              <w:spacing w:before="43"/>
              <w:ind w:left="8"/>
              <w:jc w:val="center"/>
            </w:pP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950" w:type="dxa"/>
            <w:vMerge w:val="continue"/>
          </w:tcPr>
          <w:p>
            <w:pPr>
              <w:pStyle w:val="22"/>
              <w:rPr>
                <w:rFonts w:ascii="Times New Roman"/>
                <w:sz w:val="20"/>
              </w:rPr>
            </w:pPr>
          </w:p>
        </w:tc>
        <w:tc>
          <w:tcPr>
            <w:tcW w:w="746" w:type="dxa"/>
            <w:vMerge w:val="restart"/>
          </w:tcPr>
          <w:p>
            <w:pPr>
              <w:pStyle w:val="22"/>
              <w:rPr>
                <w:rFonts w:ascii="Times New Roman"/>
                <w:sz w:val="20"/>
              </w:rPr>
            </w:pPr>
          </w:p>
        </w:tc>
        <w:tc>
          <w:tcPr>
            <w:tcW w:w="1374" w:type="dxa"/>
          </w:tcPr>
          <w:p>
            <w:pPr>
              <w:pStyle w:val="22"/>
              <w:spacing w:before="21" w:line="278" w:lineRule="auto"/>
              <w:ind w:left="581" w:right="153" w:hanging="420"/>
            </w:pPr>
            <w:r>
              <w:rPr>
                <w:spacing w:val="-18"/>
              </w:rPr>
              <w:t xml:space="preserve">商品 </w:t>
            </w:r>
            <w:r>
              <w:t>2</w:t>
            </w:r>
            <w:r>
              <w:rPr>
                <w:spacing w:val="-25"/>
              </w:rPr>
              <w:t xml:space="preserve"> 详情</w:t>
            </w:r>
            <w:r>
              <w:t>图</w:t>
            </w:r>
          </w:p>
        </w:tc>
        <w:tc>
          <w:tcPr>
            <w:tcW w:w="4281" w:type="dxa"/>
          </w:tcPr>
          <w:p>
            <w:pPr>
              <w:pStyle w:val="22"/>
              <w:spacing w:before="45"/>
              <w:ind w:left="107"/>
            </w:pPr>
            <w:r>
              <w:t>包含正确的属性图、特点图、整体图、特写</w:t>
            </w:r>
          </w:p>
          <w:p>
            <w:pPr>
              <w:pStyle w:val="22"/>
              <w:spacing w:before="88"/>
              <w:ind w:left="107"/>
            </w:pPr>
            <w:r>
              <w:t>图、配送说明图、售后说明图。</w:t>
            </w:r>
          </w:p>
        </w:tc>
        <w:tc>
          <w:tcPr>
            <w:tcW w:w="1008" w:type="dxa"/>
          </w:tcPr>
          <w:p>
            <w:pPr>
              <w:pStyle w:val="22"/>
              <w:spacing w:before="4"/>
              <w:rPr>
                <w:sz w:val="17"/>
              </w:rPr>
            </w:pPr>
          </w:p>
          <w:p>
            <w:pPr>
              <w:pStyle w:val="22"/>
              <w:spacing w:before="1"/>
              <w:ind w:left="214"/>
            </w:pPr>
            <w:r>
              <w:t>0.5 分</w:t>
            </w:r>
          </w:p>
        </w:tc>
        <w:tc>
          <w:tcPr>
            <w:tcW w:w="1008" w:type="dxa"/>
          </w:tcPr>
          <w:p>
            <w:pPr>
              <w:pStyle w:val="22"/>
              <w:spacing w:before="66" w:line="278" w:lineRule="auto"/>
              <w:ind w:left="398" w:right="179" w:hanging="212"/>
            </w:pPr>
            <w:r>
              <w:t>测量评分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tcPr>
          <w:p>
            <w:pPr>
              <w:pStyle w:val="22"/>
              <w:spacing w:before="20"/>
              <w:ind w:left="87" w:right="79"/>
              <w:jc w:val="center"/>
            </w:pPr>
            <w:r>
              <w:t>直播间商品</w:t>
            </w:r>
          </w:p>
          <w:p>
            <w:pPr>
              <w:pStyle w:val="22"/>
              <w:spacing w:before="43"/>
              <w:ind w:left="87" w:right="81"/>
              <w:jc w:val="center"/>
            </w:pPr>
            <w:r>
              <w:t>2 链接</w:t>
            </w:r>
          </w:p>
        </w:tc>
        <w:tc>
          <w:tcPr>
            <w:tcW w:w="4281" w:type="dxa"/>
          </w:tcPr>
          <w:p>
            <w:pPr>
              <w:pStyle w:val="22"/>
              <w:spacing w:before="42"/>
              <w:ind w:left="107"/>
            </w:pPr>
            <w:r>
              <w:t>讲解的商品 2 正确关联商品 2 链接。</w:t>
            </w:r>
          </w:p>
        </w:tc>
        <w:tc>
          <w:tcPr>
            <w:tcW w:w="1008" w:type="dxa"/>
          </w:tcPr>
          <w:p>
            <w:pPr>
              <w:pStyle w:val="22"/>
              <w:spacing w:before="176"/>
              <w:ind w:left="214"/>
            </w:pPr>
            <w:r>
              <w:t>0.5 分</w:t>
            </w:r>
          </w:p>
        </w:tc>
        <w:tc>
          <w:tcPr>
            <w:tcW w:w="1008" w:type="dxa"/>
          </w:tcPr>
          <w:p>
            <w:pPr>
              <w:pStyle w:val="22"/>
              <w:spacing w:before="20"/>
              <w:ind w:left="167" w:right="161"/>
              <w:jc w:val="center"/>
            </w:pPr>
            <w:r>
              <w:t>测量评</w:t>
            </w:r>
          </w:p>
          <w:p>
            <w:pPr>
              <w:pStyle w:val="22"/>
              <w:spacing w:before="43"/>
              <w:ind w:left="8"/>
              <w:jc w:val="center"/>
            </w:pP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tcPr>
          <w:p>
            <w:pPr>
              <w:pStyle w:val="22"/>
              <w:spacing w:before="20"/>
              <w:ind w:left="87" w:right="79"/>
              <w:jc w:val="center"/>
            </w:pPr>
            <w:r>
              <w:t>直播时长</w:t>
            </w:r>
          </w:p>
        </w:tc>
        <w:tc>
          <w:tcPr>
            <w:tcW w:w="4281" w:type="dxa"/>
          </w:tcPr>
          <w:p>
            <w:pPr>
              <w:pStyle w:val="22"/>
              <w:spacing w:before="44"/>
              <w:ind w:left="107"/>
            </w:pPr>
            <w:r>
              <w:t>直播时长达到 10 分钟。</w:t>
            </w:r>
          </w:p>
        </w:tc>
        <w:tc>
          <w:tcPr>
            <w:tcW w:w="1008" w:type="dxa"/>
            <w:vAlign w:val="center"/>
          </w:tcPr>
          <w:p>
            <w:pPr>
              <w:pStyle w:val="22"/>
              <w:spacing w:before="176"/>
              <w:ind w:right="161"/>
              <w:jc w:val="center"/>
            </w:pPr>
            <w:r>
              <w:t>1 分</w:t>
            </w:r>
          </w:p>
        </w:tc>
        <w:tc>
          <w:tcPr>
            <w:tcW w:w="1008" w:type="dxa"/>
            <w:vAlign w:val="center"/>
          </w:tcPr>
          <w:p>
            <w:pPr>
              <w:pStyle w:val="22"/>
              <w:spacing w:before="20"/>
              <w:ind w:right="161"/>
              <w:jc w:val="center"/>
            </w:pPr>
            <w:r>
              <w:t>测量评</w:t>
            </w: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tcPr>
          <w:p>
            <w:pPr>
              <w:pStyle w:val="22"/>
              <w:spacing w:before="175"/>
              <w:ind w:left="87" w:right="81"/>
              <w:jc w:val="center"/>
            </w:pPr>
            <w:r>
              <w:t>商品 1 标题</w:t>
            </w:r>
          </w:p>
        </w:tc>
        <w:tc>
          <w:tcPr>
            <w:tcW w:w="4281" w:type="dxa"/>
          </w:tcPr>
          <w:p>
            <w:pPr>
              <w:pStyle w:val="22"/>
              <w:spacing w:before="19"/>
              <w:ind w:left="107"/>
            </w:pPr>
            <w:r>
              <w:t>标题中包含商品 1 的核心词、属性词、营销</w:t>
            </w:r>
          </w:p>
          <w:p>
            <w:pPr>
              <w:pStyle w:val="22"/>
              <w:spacing w:before="43"/>
              <w:ind w:left="107"/>
            </w:pPr>
            <w:r>
              <w:t>词等关键词，且符合背景资料的描述。</w:t>
            </w:r>
          </w:p>
        </w:tc>
        <w:tc>
          <w:tcPr>
            <w:tcW w:w="1008" w:type="dxa"/>
            <w:vAlign w:val="center"/>
          </w:tcPr>
          <w:p>
            <w:pPr>
              <w:pStyle w:val="22"/>
              <w:spacing w:before="175"/>
              <w:ind w:right="161"/>
              <w:jc w:val="center"/>
            </w:pPr>
            <w:r>
              <w:t>1 分</w:t>
            </w:r>
          </w:p>
        </w:tc>
        <w:tc>
          <w:tcPr>
            <w:tcW w:w="1008" w:type="dxa"/>
            <w:vAlign w:val="center"/>
          </w:tcPr>
          <w:p>
            <w:pPr>
              <w:pStyle w:val="22"/>
              <w:spacing w:before="19"/>
              <w:ind w:right="161"/>
              <w:jc w:val="center"/>
            </w:pPr>
            <w:r>
              <w:t>评价评</w:t>
            </w: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tcPr>
          <w:p>
            <w:pPr>
              <w:pStyle w:val="22"/>
              <w:spacing w:before="5"/>
              <w:rPr>
                <w:sz w:val="17"/>
              </w:rPr>
            </w:pPr>
          </w:p>
          <w:p>
            <w:pPr>
              <w:pStyle w:val="22"/>
              <w:ind w:left="87" w:right="81"/>
              <w:jc w:val="center"/>
            </w:pPr>
            <w:r>
              <w:t>商品 2 标题</w:t>
            </w:r>
          </w:p>
        </w:tc>
        <w:tc>
          <w:tcPr>
            <w:tcW w:w="4281" w:type="dxa"/>
          </w:tcPr>
          <w:p>
            <w:pPr>
              <w:pStyle w:val="22"/>
              <w:spacing w:before="43"/>
              <w:ind w:left="107"/>
            </w:pPr>
            <w:r>
              <w:t>标题中包含商品 2 的核心词、属性词、营销</w:t>
            </w:r>
          </w:p>
          <w:p>
            <w:pPr>
              <w:pStyle w:val="22"/>
              <w:spacing w:before="88"/>
              <w:ind w:left="107"/>
            </w:pPr>
            <w:r>
              <w:t>词等关键词，且符合背景资料的描述。</w:t>
            </w:r>
          </w:p>
        </w:tc>
        <w:tc>
          <w:tcPr>
            <w:tcW w:w="1008" w:type="dxa"/>
            <w:vAlign w:val="center"/>
          </w:tcPr>
          <w:p>
            <w:pPr>
              <w:pStyle w:val="22"/>
              <w:ind w:right="161"/>
              <w:jc w:val="center"/>
            </w:pPr>
            <w:r>
              <w:t>1 分</w:t>
            </w:r>
          </w:p>
        </w:tc>
        <w:tc>
          <w:tcPr>
            <w:tcW w:w="1008" w:type="dxa"/>
            <w:vAlign w:val="center"/>
          </w:tcPr>
          <w:p>
            <w:pPr>
              <w:pStyle w:val="22"/>
              <w:spacing w:before="67" w:line="278" w:lineRule="auto"/>
              <w:ind w:right="179"/>
              <w:jc w:val="center"/>
            </w:pPr>
            <w:r>
              <w:t>评价评分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0" w:type="dxa"/>
            <w:vMerge w:val="continue"/>
          </w:tcPr>
          <w:p>
            <w:pPr>
              <w:rPr>
                <w:sz w:val="2"/>
                <w:szCs w:val="2"/>
              </w:rPr>
            </w:pPr>
          </w:p>
        </w:tc>
        <w:tc>
          <w:tcPr>
            <w:tcW w:w="746" w:type="dxa"/>
            <w:vMerge w:val="restart"/>
          </w:tcPr>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spacing w:before="1"/>
              <w:rPr>
                <w:sz w:val="23"/>
              </w:rPr>
            </w:pPr>
          </w:p>
          <w:p>
            <w:pPr>
              <w:pStyle w:val="22"/>
              <w:spacing w:line="278" w:lineRule="auto"/>
              <w:ind w:left="161" w:right="154"/>
            </w:pPr>
            <w:r>
              <w:t>直播实施</w:t>
            </w:r>
          </w:p>
        </w:tc>
        <w:tc>
          <w:tcPr>
            <w:tcW w:w="1374" w:type="dxa"/>
          </w:tcPr>
          <w:p>
            <w:pPr>
              <w:pStyle w:val="22"/>
              <w:rPr>
                <w:sz w:val="20"/>
              </w:rPr>
            </w:pPr>
          </w:p>
          <w:p>
            <w:pPr>
              <w:pStyle w:val="22"/>
              <w:spacing w:before="2"/>
              <w:rPr>
                <w:sz w:val="18"/>
              </w:rPr>
            </w:pPr>
          </w:p>
          <w:p>
            <w:pPr>
              <w:pStyle w:val="22"/>
              <w:spacing w:before="1"/>
              <w:ind w:left="87" w:right="79"/>
              <w:jc w:val="center"/>
            </w:pPr>
            <w:r>
              <w:t>直播开场</w:t>
            </w:r>
          </w:p>
        </w:tc>
        <w:tc>
          <w:tcPr>
            <w:tcW w:w="4281" w:type="dxa"/>
          </w:tcPr>
          <w:p>
            <w:pPr>
              <w:pStyle w:val="22"/>
              <w:spacing w:before="22" w:line="278" w:lineRule="auto"/>
              <w:ind w:left="107" w:right="172"/>
            </w:pPr>
            <w:r>
              <w:rPr>
                <w:w w:val="95"/>
              </w:rPr>
              <w:t>能够进行直播开场讲解，通过问好、自我介 绍、直播主题、促销活动等内容的讲解，营 造直播氛围，快速将直播间观众带入直播场</w:t>
            </w:r>
          </w:p>
          <w:p>
            <w:pPr>
              <w:pStyle w:val="22"/>
              <w:spacing w:line="269" w:lineRule="exact"/>
              <w:ind w:left="107"/>
            </w:pPr>
            <w:r>
              <w:t>景中。</w:t>
            </w:r>
          </w:p>
        </w:tc>
        <w:tc>
          <w:tcPr>
            <w:tcW w:w="1008" w:type="dxa"/>
            <w:vAlign w:val="center"/>
          </w:tcPr>
          <w:p>
            <w:pPr>
              <w:pStyle w:val="22"/>
              <w:spacing w:before="1"/>
              <w:ind w:right="161"/>
              <w:jc w:val="center"/>
            </w:pPr>
            <w:r>
              <w:t>1 分</w:t>
            </w:r>
          </w:p>
        </w:tc>
        <w:tc>
          <w:tcPr>
            <w:tcW w:w="1008" w:type="dxa"/>
            <w:vAlign w:val="center"/>
          </w:tcPr>
          <w:p>
            <w:pPr>
              <w:pStyle w:val="22"/>
              <w:spacing w:line="278" w:lineRule="auto"/>
              <w:ind w:right="179"/>
              <w:jc w:val="center"/>
            </w:pPr>
            <w:r>
              <w:t>评价评分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restart"/>
          </w:tcPr>
          <w:p>
            <w:pPr>
              <w:pStyle w:val="22"/>
              <w:spacing w:before="21"/>
              <w:ind w:left="161"/>
            </w:pPr>
            <w:r>
              <w:t>商品 1 介绍</w:t>
            </w:r>
          </w:p>
        </w:tc>
        <w:tc>
          <w:tcPr>
            <w:tcW w:w="4281" w:type="dxa"/>
          </w:tcPr>
          <w:p>
            <w:pPr>
              <w:pStyle w:val="22"/>
              <w:spacing w:before="21" w:line="278" w:lineRule="auto"/>
              <w:ind w:left="107" w:right="172"/>
            </w:pPr>
            <w:r>
              <w:rPr>
                <w:spacing w:val="-6"/>
              </w:rPr>
              <w:t xml:space="preserve">能够选择合适的商品 </w:t>
            </w:r>
            <w:r>
              <w:t>1</w:t>
            </w:r>
            <w:r>
              <w:rPr>
                <w:spacing w:val="-12"/>
              </w:rPr>
              <w:t xml:space="preserve"> 引入方式</w:t>
            </w:r>
            <w:r>
              <w:t>（比如问题</w:t>
            </w:r>
            <w:r>
              <w:rPr>
                <w:w w:val="95"/>
              </w:rPr>
              <w:t>情境引入、故事引入、热点引入等），使商</w:t>
            </w:r>
          </w:p>
          <w:p>
            <w:pPr>
              <w:pStyle w:val="22"/>
              <w:spacing w:line="269" w:lineRule="exact"/>
              <w:ind w:left="107"/>
            </w:pPr>
            <w:r>
              <w:t>品 1 讲解更自然。</w:t>
            </w:r>
          </w:p>
        </w:tc>
        <w:tc>
          <w:tcPr>
            <w:tcW w:w="1008" w:type="dxa"/>
            <w:vAlign w:val="center"/>
          </w:tcPr>
          <w:p>
            <w:pPr>
              <w:pStyle w:val="22"/>
              <w:ind w:right="161"/>
              <w:jc w:val="center"/>
            </w:pPr>
            <w:r>
              <w:t>1 分</w:t>
            </w:r>
          </w:p>
        </w:tc>
        <w:tc>
          <w:tcPr>
            <w:tcW w:w="1008" w:type="dxa"/>
            <w:vAlign w:val="center"/>
          </w:tcPr>
          <w:p>
            <w:pPr>
              <w:pStyle w:val="22"/>
              <w:spacing w:before="177" w:line="278" w:lineRule="auto"/>
              <w:ind w:right="179"/>
              <w:jc w:val="center"/>
            </w:pPr>
            <w:r>
              <w:t>评价评分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Borders>
              <w:top w:val="nil"/>
            </w:tcBorders>
          </w:tcPr>
          <w:p>
            <w:pPr>
              <w:rPr>
                <w:sz w:val="2"/>
                <w:szCs w:val="2"/>
              </w:rPr>
            </w:pPr>
          </w:p>
        </w:tc>
        <w:tc>
          <w:tcPr>
            <w:tcW w:w="4281" w:type="dxa"/>
          </w:tcPr>
          <w:p>
            <w:pPr>
              <w:pStyle w:val="22"/>
              <w:spacing w:before="177"/>
              <w:ind w:left="107"/>
            </w:pPr>
            <w:r>
              <w:t>正确介绍商品 1 的基本属性。</w:t>
            </w:r>
          </w:p>
        </w:tc>
        <w:tc>
          <w:tcPr>
            <w:tcW w:w="1008" w:type="dxa"/>
            <w:vAlign w:val="center"/>
          </w:tcPr>
          <w:p>
            <w:pPr>
              <w:pStyle w:val="22"/>
              <w:spacing w:before="177"/>
              <w:jc w:val="center"/>
            </w:pPr>
            <w:r>
              <w:t>0.5 分</w:t>
            </w:r>
          </w:p>
        </w:tc>
        <w:tc>
          <w:tcPr>
            <w:tcW w:w="1008" w:type="dxa"/>
            <w:vAlign w:val="center"/>
          </w:tcPr>
          <w:p>
            <w:pPr>
              <w:pStyle w:val="22"/>
              <w:spacing w:before="21"/>
              <w:ind w:right="161"/>
              <w:jc w:val="center"/>
            </w:pPr>
            <w:r>
              <w:t>测量评</w:t>
            </w: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Borders>
              <w:top w:val="nil"/>
            </w:tcBorders>
          </w:tcPr>
          <w:p>
            <w:pPr>
              <w:rPr>
                <w:sz w:val="2"/>
                <w:szCs w:val="2"/>
              </w:rPr>
            </w:pPr>
          </w:p>
        </w:tc>
        <w:tc>
          <w:tcPr>
            <w:tcW w:w="4281" w:type="dxa"/>
          </w:tcPr>
          <w:p>
            <w:pPr>
              <w:pStyle w:val="22"/>
              <w:spacing w:before="83"/>
              <w:ind w:left="107"/>
            </w:pPr>
            <w:r>
              <w:t>能够讲解商品 1 的卖点及特色，突出商品 1</w:t>
            </w:r>
          </w:p>
          <w:p>
            <w:pPr>
              <w:pStyle w:val="22"/>
              <w:spacing w:before="43"/>
              <w:ind w:left="107" w:right="-15"/>
            </w:pPr>
            <w:r>
              <w:rPr>
                <w:spacing w:val="-10"/>
              </w:rPr>
              <w:t xml:space="preserve">优势，强化直播间观众对直播商品 </w:t>
            </w:r>
            <w:r>
              <w:t>1</w:t>
            </w:r>
            <w:r>
              <w:rPr>
                <w:spacing w:val="-12"/>
              </w:rPr>
              <w:t xml:space="preserve"> 的认知。</w:t>
            </w:r>
          </w:p>
        </w:tc>
        <w:tc>
          <w:tcPr>
            <w:tcW w:w="1008" w:type="dxa"/>
            <w:vAlign w:val="center"/>
          </w:tcPr>
          <w:p>
            <w:pPr>
              <w:pStyle w:val="22"/>
              <w:ind w:right="161"/>
              <w:jc w:val="center"/>
            </w:pPr>
            <w:r>
              <w:t>1 分</w:t>
            </w:r>
          </w:p>
        </w:tc>
        <w:tc>
          <w:tcPr>
            <w:tcW w:w="1008" w:type="dxa"/>
            <w:vAlign w:val="center"/>
          </w:tcPr>
          <w:p>
            <w:pPr>
              <w:pStyle w:val="22"/>
              <w:spacing w:before="83" w:line="278" w:lineRule="auto"/>
              <w:ind w:right="179"/>
              <w:jc w:val="center"/>
            </w:pPr>
            <w:r>
              <w:t>评价评分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Borders>
              <w:top w:val="nil"/>
            </w:tcBorders>
          </w:tcPr>
          <w:p>
            <w:pPr>
              <w:rPr>
                <w:sz w:val="2"/>
                <w:szCs w:val="2"/>
              </w:rPr>
            </w:pPr>
          </w:p>
        </w:tc>
        <w:tc>
          <w:tcPr>
            <w:tcW w:w="4281" w:type="dxa"/>
          </w:tcPr>
          <w:p>
            <w:pPr>
              <w:pStyle w:val="22"/>
              <w:spacing w:before="20"/>
              <w:ind w:left="107"/>
            </w:pPr>
            <w:r>
              <w:t>有商品 1 的日常价格、直播促销价的说明，</w:t>
            </w:r>
          </w:p>
          <w:p>
            <w:pPr>
              <w:pStyle w:val="22"/>
              <w:spacing w:before="43"/>
              <w:ind w:left="107"/>
            </w:pPr>
            <w:r>
              <w:t>并使用倒计时营造抢购氛围。</w:t>
            </w:r>
          </w:p>
        </w:tc>
        <w:tc>
          <w:tcPr>
            <w:tcW w:w="1008" w:type="dxa"/>
            <w:vAlign w:val="center"/>
          </w:tcPr>
          <w:p>
            <w:pPr>
              <w:pStyle w:val="22"/>
              <w:spacing w:before="176"/>
              <w:ind w:right="161"/>
              <w:jc w:val="center"/>
            </w:pPr>
            <w:r>
              <w:t>1 分</w:t>
            </w:r>
          </w:p>
        </w:tc>
        <w:tc>
          <w:tcPr>
            <w:tcW w:w="1008" w:type="dxa"/>
            <w:vAlign w:val="center"/>
          </w:tcPr>
          <w:p>
            <w:pPr>
              <w:pStyle w:val="22"/>
              <w:spacing w:before="20"/>
              <w:ind w:right="161"/>
              <w:jc w:val="center"/>
            </w:pPr>
            <w:r>
              <w:t>评价评</w:t>
            </w: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Borders>
              <w:top w:val="nil"/>
            </w:tcBorders>
          </w:tcPr>
          <w:p>
            <w:pPr>
              <w:rPr>
                <w:sz w:val="2"/>
                <w:szCs w:val="2"/>
              </w:rPr>
            </w:pPr>
          </w:p>
        </w:tc>
        <w:tc>
          <w:tcPr>
            <w:tcW w:w="4281" w:type="dxa"/>
          </w:tcPr>
          <w:p>
            <w:pPr>
              <w:pStyle w:val="22"/>
              <w:spacing w:before="20"/>
              <w:ind w:left="107"/>
            </w:pPr>
            <w:r>
              <w:t>能够将 FAB 法则（属性、作用、益处）融入</w:t>
            </w:r>
          </w:p>
          <w:p>
            <w:pPr>
              <w:pStyle w:val="22"/>
              <w:spacing w:before="43"/>
              <w:ind w:left="107"/>
            </w:pPr>
            <w:r>
              <w:t>到商品 1 的介绍中。</w:t>
            </w:r>
          </w:p>
        </w:tc>
        <w:tc>
          <w:tcPr>
            <w:tcW w:w="1008" w:type="dxa"/>
            <w:vAlign w:val="center"/>
          </w:tcPr>
          <w:p>
            <w:pPr>
              <w:pStyle w:val="22"/>
              <w:spacing w:before="176"/>
              <w:ind w:right="161"/>
              <w:jc w:val="center"/>
            </w:pPr>
            <w:r>
              <w:t>1 分</w:t>
            </w:r>
          </w:p>
        </w:tc>
        <w:tc>
          <w:tcPr>
            <w:tcW w:w="1008" w:type="dxa"/>
            <w:vAlign w:val="center"/>
          </w:tcPr>
          <w:p>
            <w:pPr>
              <w:pStyle w:val="22"/>
              <w:spacing w:before="20"/>
              <w:ind w:right="161"/>
              <w:jc w:val="center"/>
            </w:pPr>
            <w:r>
              <w:t>评价评</w:t>
            </w: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Borders>
              <w:top w:val="nil"/>
            </w:tcBorders>
          </w:tcPr>
          <w:p>
            <w:pPr>
              <w:rPr>
                <w:sz w:val="2"/>
                <w:szCs w:val="2"/>
              </w:rPr>
            </w:pPr>
          </w:p>
        </w:tc>
        <w:tc>
          <w:tcPr>
            <w:tcW w:w="4281" w:type="dxa"/>
          </w:tcPr>
          <w:p>
            <w:pPr>
              <w:pStyle w:val="22"/>
              <w:spacing w:before="178"/>
              <w:ind w:left="107"/>
            </w:pPr>
            <w:r>
              <w:t>有商品 1 的特写展示。</w:t>
            </w:r>
          </w:p>
        </w:tc>
        <w:tc>
          <w:tcPr>
            <w:tcW w:w="1008" w:type="dxa"/>
            <w:vAlign w:val="center"/>
          </w:tcPr>
          <w:p>
            <w:pPr>
              <w:pStyle w:val="22"/>
              <w:spacing w:before="178"/>
              <w:jc w:val="center"/>
            </w:pPr>
            <w:r>
              <w:t>0.5 分</w:t>
            </w:r>
          </w:p>
        </w:tc>
        <w:tc>
          <w:tcPr>
            <w:tcW w:w="1008" w:type="dxa"/>
            <w:vAlign w:val="center"/>
          </w:tcPr>
          <w:p>
            <w:pPr>
              <w:pStyle w:val="22"/>
              <w:spacing w:before="22"/>
              <w:ind w:right="161"/>
              <w:jc w:val="center"/>
            </w:pPr>
            <w:r>
              <w:t>测量评</w:t>
            </w: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tcPr>
          <w:p>
            <w:pPr>
              <w:pStyle w:val="22"/>
              <w:spacing w:before="21"/>
              <w:ind w:left="87" w:right="81"/>
              <w:jc w:val="center"/>
            </w:pPr>
            <w:r>
              <w:t>商品 1 弹幕</w:t>
            </w:r>
          </w:p>
          <w:p>
            <w:pPr>
              <w:pStyle w:val="22"/>
              <w:spacing w:before="43"/>
              <w:ind w:left="87" w:right="81"/>
              <w:jc w:val="center"/>
            </w:pPr>
            <w:r>
              <w:t>问题</w:t>
            </w:r>
          </w:p>
        </w:tc>
        <w:tc>
          <w:tcPr>
            <w:tcW w:w="4281" w:type="dxa"/>
          </w:tcPr>
          <w:p>
            <w:pPr>
              <w:pStyle w:val="22"/>
              <w:spacing w:before="21"/>
              <w:ind w:left="107"/>
            </w:pPr>
            <w:r>
              <w:t>弹幕问题出现后，需在下一个弹幕问题消失</w:t>
            </w:r>
          </w:p>
          <w:p>
            <w:pPr>
              <w:pStyle w:val="22"/>
              <w:spacing w:before="43"/>
              <w:ind w:left="107"/>
            </w:pPr>
            <w:r>
              <w:t>前准确完成前一个弹幕问题的回答。</w:t>
            </w:r>
          </w:p>
        </w:tc>
        <w:tc>
          <w:tcPr>
            <w:tcW w:w="1008" w:type="dxa"/>
            <w:vAlign w:val="center"/>
          </w:tcPr>
          <w:p>
            <w:pPr>
              <w:pStyle w:val="22"/>
              <w:spacing w:before="177"/>
              <w:jc w:val="center"/>
            </w:pPr>
            <w:r>
              <w:t>1.5 分</w:t>
            </w:r>
          </w:p>
        </w:tc>
        <w:tc>
          <w:tcPr>
            <w:tcW w:w="1008" w:type="dxa"/>
            <w:vAlign w:val="center"/>
          </w:tcPr>
          <w:p>
            <w:pPr>
              <w:pStyle w:val="22"/>
              <w:spacing w:before="21"/>
              <w:ind w:right="161"/>
              <w:jc w:val="center"/>
            </w:pPr>
            <w:r>
              <w:t>评价评</w:t>
            </w: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7"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restart"/>
          </w:tcPr>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spacing w:before="8"/>
              <w:rPr>
                <w:sz w:val="15"/>
              </w:rPr>
            </w:pPr>
          </w:p>
          <w:p>
            <w:pPr>
              <w:pStyle w:val="22"/>
              <w:ind w:left="161"/>
            </w:pPr>
            <w:r>
              <w:t>商品 2 介绍</w:t>
            </w:r>
          </w:p>
        </w:tc>
        <w:tc>
          <w:tcPr>
            <w:tcW w:w="4281" w:type="dxa"/>
          </w:tcPr>
          <w:p>
            <w:pPr>
              <w:pStyle w:val="22"/>
              <w:spacing w:before="45"/>
              <w:ind w:left="107"/>
            </w:pPr>
            <w:r>
              <w:t>能够选择合适的商品 2 引入方式（比如问题</w:t>
            </w:r>
          </w:p>
          <w:p>
            <w:pPr>
              <w:pStyle w:val="22"/>
              <w:spacing w:before="7" w:line="350" w:lineRule="atLeast"/>
              <w:ind w:left="107" w:right="127"/>
            </w:pPr>
            <w:r>
              <w:rPr>
                <w:w w:val="95"/>
              </w:rPr>
              <w:t>情境引入、故事引入、热点引入等），使商</w:t>
            </w:r>
            <w:r>
              <w:t>品 2 讲解更自然。</w:t>
            </w:r>
          </w:p>
        </w:tc>
        <w:tc>
          <w:tcPr>
            <w:tcW w:w="1008" w:type="dxa"/>
            <w:vAlign w:val="center"/>
          </w:tcPr>
          <w:p>
            <w:pPr>
              <w:pStyle w:val="22"/>
              <w:spacing w:before="146"/>
              <w:ind w:right="161"/>
              <w:jc w:val="center"/>
            </w:pPr>
            <w:r>
              <w:t>1 分</w:t>
            </w:r>
          </w:p>
        </w:tc>
        <w:tc>
          <w:tcPr>
            <w:tcW w:w="1008" w:type="dxa"/>
            <w:vAlign w:val="center"/>
          </w:tcPr>
          <w:p>
            <w:pPr>
              <w:pStyle w:val="22"/>
              <w:spacing w:line="278" w:lineRule="auto"/>
              <w:ind w:right="179"/>
              <w:jc w:val="center"/>
            </w:pPr>
            <w:r>
              <w:t>评价评分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Pr>
          <w:p>
            <w:pPr>
              <w:rPr>
                <w:sz w:val="2"/>
                <w:szCs w:val="2"/>
              </w:rPr>
            </w:pPr>
          </w:p>
        </w:tc>
        <w:tc>
          <w:tcPr>
            <w:tcW w:w="4281" w:type="dxa"/>
          </w:tcPr>
          <w:p>
            <w:pPr>
              <w:pStyle w:val="22"/>
              <w:spacing w:before="175"/>
              <w:ind w:left="107"/>
            </w:pPr>
            <w:r>
              <w:t>正确介绍商品 2 的基本属性。</w:t>
            </w:r>
          </w:p>
        </w:tc>
        <w:tc>
          <w:tcPr>
            <w:tcW w:w="1008" w:type="dxa"/>
            <w:vAlign w:val="center"/>
          </w:tcPr>
          <w:p>
            <w:pPr>
              <w:pStyle w:val="22"/>
              <w:spacing w:before="175"/>
              <w:jc w:val="center"/>
            </w:pPr>
            <w:r>
              <w:t>0.5 分</w:t>
            </w:r>
          </w:p>
        </w:tc>
        <w:tc>
          <w:tcPr>
            <w:tcW w:w="1008" w:type="dxa"/>
            <w:vAlign w:val="center"/>
          </w:tcPr>
          <w:p>
            <w:pPr>
              <w:pStyle w:val="22"/>
              <w:spacing w:before="19"/>
              <w:ind w:right="161"/>
              <w:jc w:val="center"/>
            </w:pPr>
            <w:r>
              <w:t>测量评</w:t>
            </w:r>
          </w:p>
          <w:p>
            <w:pPr>
              <w:pStyle w:val="22"/>
              <w:spacing w:before="43"/>
              <w:ind w:left="8"/>
              <w:jc w:val="center"/>
            </w:pP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Pr>
          <w:p>
            <w:pPr>
              <w:rPr>
                <w:sz w:val="2"/>
                <w:szCs w:val="2"/>
              </w:rPr>
            </w:pPr>
          </w:p>
        </w:tc>
        <w:tc>
          <w:tcPr>
            <w:tcW w:w="4281" w:type="dxa"/>
          </w:tcPr>
          <w:p>
            <w:pPr>
              <w:pStyle w:val="22"/>
              <w:spacing w:before="42"/>
              <w:ind w:left="107"/>
            </w:pPr>
            <w:r>
              <w:t>能够讲解商品 2 的卖点及特色，突出商品 2</w:t>
            </w:r>
          </w:p>
          <w:p>
            <w:pPr>
              <w:pStyle w:val="22"/>
              <w:spacing w:before="89"/>
              <w:ind w:left="107" w:right="-15"/>
            </w:pPr>
            <w:r>
              <w:rPr>
                <w:spacing w:val="-10"/>
              </w:rPr>
              <w:t xml:space="preserve">优势，强化直播间观众对直播商品 </w:t>
            </w:r>
            <w:r>
              <w:t>2</w:t>
            </w:r>
            <w:r>
              <w:rPr>
                <w:spacing w:val="-12"/>
              </w:rPr>
              <w:t xml:space="preserve"> 的认知。</w:t>
            </w:r>
          </w:p>
        </w:tc>
        <w:tc>
          <w:tcPr>
            <w:tcW w:w="1008" w:type="dxa"/>
            <w:vAlign w:val="center"/>
          </w:tcPr>
          <w:p>
            <w:pPr>
              <w:pStyle w:val="22"/>
              <w:ind w:right="161"/>
              <w:jc w:val="center"/>
            </w:pPr>
            <w:r>
              <w:t>1 分</w:t>
            </w:r>
          </w:p>
        </w:tc>
        <w:tc>
          <w:tcPr>
            <w:tcW w:w="1008" w:type="dxa"/>
            <w:vAlign w:val="center"/>
          </w:tcPr>
          <w:p>
            <w:pPr>
              <w:pStyle w:val="22"/>
              <w:spacing w:before="66" w:line="278" w:lineRule="auto"/>
              <w:ind w:right="179"/>
              <w:jc w:val="center"/>
            </w:pPr>
            <w:r>
              <w:t>评价评分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Pr>
          <w:p>
            <w:pPr>
              <w:rPr>
                <w:sz w:val="2"/>
                <w:szCs w:val="2"/>
              </w:rPr>
            </w:pPr>
          </w:p>
        </w:tc>
        <w:tc>
          <w:tcPr>
            <w:tcW w:w="4281" w:type="dxa"/>
          </w:tcPr>
          <w:p>
            <w:pPr>
              <w:pStyle w:val="22"/>
              <w:spacing w:before="45"/>
              <w:ind w:left="107"/>
            </w:pPr>
            <w:r>
              <w:t>有商品 2 的日常价格、直播促销价的说明，</w:t>
            </w:r>
          </w:p>
          <w:p>
            <w:pPr>
              <w:pStyle w:val="22"/>
              <w:spacing w:before="88"/>
              <w:ind w:left="107"/>
            </w:pPr>
            <w:r>
              <w:t>并使用倒计时营造抢购氛围。</w:t>
            </w:r>
          </w:p>
        </w:tc>
        <w:tc>
          <w:tcPr>
            <w:tcW w:w="1008" w:type="dxa"/>
            <w:vAlign w:val="center"/>
          </w:tcPr>
          <w:p>
            <w:pPr>
              <w:pStyle w:val="22"/>
              <w:spacing w:before="1"/>
              <w:ind w:right="161"/>
              <w:jc w:val="center"/>
            </w:pPr>
            <w:r>
              <w:t>1 分</w:t>
            </w:r>
          </w:p>
        </w:tc>
        <w:tc>
          <w:tcPr>
            <w:tcW w:w="1008" w:type="dxa"/>
            <w:vAlign w:val="center"/>
          </w:tcPr>
          <w:p>
            <w:pPr>
              <w:pStyle w:val="22"/>
              <w:spacing w:before="66" w:line="278" w:lineRule="auto"/>
              <w:ind w:right="179"/>
              <w:jc w:val="center"/>
            </w:pPr>
            <w:r>
              <w:t>评价评分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Pr>
          <w:p>
            <w:pPr>
              <w:rPr>
                <w:sz w:val="2"/>
                <w:szCs w:val="2"/>
              </w:rPr>
            </w:pPr>
          </w:p>
        </w:tc>
        <w:tc>
          <w:tcPr>
            <w:tcW w:w="4281" w:type="dxa"/>
          </w:tcPr>
          <w:p>
            <w:pPr>
              <w:pStyle w:val="22"/>
              <w:spacing w:before="42"/>
              <w:ind w:left="107"/>
            </w:pPr>
            <w:r>
              <w:t>能够将 FAB 法则（属性、作用、益处）融入</w:t>
            </w:r>
          </w:p>
          <w:p>
            <w:pPr>
              <w:pStyle w:val="22"/>
              <w:spacing w:before="91"/>
              <w:ind w:left="107"/>
            </w:pPr>
            <w:r>
              <w:t>到商品 2 的介绍中。</w:t>
            </w:r>
          </w:p>
        </w:tc>
        <w:tc>
          <w:tcPr>
            <w:tcW w:w="1008" w:type="dxa"/>
            <w:vAlign w:val="center"/>
          </w:tcPr>
          <w:p>
            <w:pPr>
              <w:pStyle w:val="22"/>
              <w:ind w:right="161"/>
              <w:jc w:val="center"/>
            </w:pPr>
            <w:r>
              <w:t>1 分</w:t>
            </w:r>
          </w:p>
        </w:tc>
        <w:tc>
          <w:tcPr>
            <w:tcW w:w="1008" w:type="dxa"/>
            <w:vAlign w:val="center"/>
          </w:tcPr>
          <w:p>
            <w:pPr>
              <w:pStyle w:val="22"/>
              <w:spacing w:before="66" w:line="278" w:lineRule="auto"/>
              <w:ind w:right="179"/>
              <w:jc w:val="center"/>
            </w:pPr>
            <w:r>
              <w:t>评价评分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Pr>
          <w:p>
            <w:pPr>
              <w:rPr>
                <w:sz w:val="2"/>
                <w:szCs w:val="2"/>
              </w:rPr>
            </w:pPr>
          </w:p>
        </w:tc>
        <w:tc>
          <w:tcPr>
            <w:tcW w:w="4281" w:type="dxa"/>
            <w:vMerge w:val="restart"/>
          </w:tcPr>
          <w:p>
            <w:pPr>
              <w:pStyle w:val="22"/>
              <w:spacing w:before="44"/>
              <w:ind w:left="107"/>
            </w:pPr>
            <w:r>
              <w:t>有商品 2 的特写展示。</w:t>
            </w:r>
          </w:p>
        </w:tc>
        <w:tc>
          <w:tcPr>
            <w:tcW w:w="1008" w:type="dxa"/>
            <w:vMerge w:val="restart"/>
            <w:vAlign w:val="center"/>
          </w:tcPr>
          <w:p>
            <w:pPr>
              <w:pStyle w:val="22"/>
              <w:spacing w:before="44"/>
              <w:ind w:left="214"/>
              <w:jc w:val="center"/>
            </w:pPr>
            <w:r>
              <w:t>0.5 分</w:t>
            </w:r>
          </w:p>
        </w:tc>
        <w:tc>
          <w:tcPr>
            <w:tcW w:w="1008" w:type="dxa"/>
            <w:vMerge w:val="restart"/>
            <w:vAlign w:val="center"/>
          </w:tcPr>
          <w:p>
            <w:pPr>
              <w:pStyle w:val="22"/>
              <w:spacing w:before="44"/>
              <w:jc w:val="center"/>
            </w:pPr>
            <w:r>
              <w:t>测量评</w:t>
            </w:r>
          </w:p>
          <w:p>
            <w:pPr>
              <w:pStyle w:val="22"/>
              <w:spacing w:before="21"/>
              <w:ind w:left="8"/>
              <w:jc w:val="center"/>
            </w:pP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50" w:type="dxa"/>
            <w:vMerge w:val="continue"/>
          </w:tcPr>
          <w:p>
            <w:pPr>
              <w:pStyle w:val="22"/>
              <w:rPr>
                <w:rFonts w:ascii="Times New Roman"/>
                <w:sz w:val="20"/>
              </w:rPr>
            </w:pPr>
          </w:p>
        </w:tc>
        <w:tc>
          <w:tcPr>
            <w:tcW w:w="746" w:type="dxa"/>
            <w:vMerge w:val="restart"/>
          </w:tcPr>
          <w:p>
            <w:pPr>
              <w:pStyle w:val="22"/>
              <w:rPr>
                <w:rFonts w:ascii="Times New Roman"/>
                <w:sz w:val="20"/>
              </w:rPr>
            </w:pPr>
          </w:p>
        </w:tc>
        <w:tc>
          <w:tcPr>
            <w:tcW w:w="1374" w:type="dxa"/>
            <w:vMerge w:val="continue"/>
          </w:tcPr>
          <w:p>
            <w:pPr>
              <w:pStyle w:val="22"/>
              <w:rPr>
                <w:rFonts w:ascii="Times New Roman"/>
                <w:sz w:val="20"/>
              </w:rPr>
            </w:pPr>
          </w:p>
        </w:tc>
        <w:tc>
          <w:tcPr>
            <w:tcW w:w="4281" w:type="dxa"/>
            <w:vMerge w:val="continue"/>
          </w:tcPr>
          <w:p>
            <w:pPr>
              <w:pStyle w:val="22"/>
              <w:rPr>
                <w:rFonts w:ascii="Times New Roman"/>
                <w:sz w:val="20"/>
              </w:rPr>
            </w:pPr>
          </w:p>
        </w:tc>
        <w:tc>
          <w:tcPr>
            <w:tcW w:w="1008" w:type="dxa"/>
            <w:vMerge w:val="continue"/>
            <w:vAlign w:val="center"/>
          </w:tcPr>
          <w:p>
            <w:pPr>
              <w:pStyle w:val="22"/>
              <w:jc w:val="center"/>
              <w:rPr>
                <w:rFonts w:ascii="Times New Roman"/>
                <w:sz w:val="20"/>
              </w:rPr>
            </w:pPr>
          </w:p>
        </w:tc>
        <w:tc>
          <w:tcPr>
            <w:tcW w:w="1008" w:type="dxa"/>
            <w:vMerge w:val="continue"/>
            <w:vAlign w:val="center"/>
          </w:tcPr>
          <w:p>
            <w:pPr>
              <w:pStyle w:val="22"/>
              <w:spacing w:before="21"/>
              <w:ind w:left="8"/>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tcPr>
          <w:p>
            <w:pPr>
              <w:pStyle w:val="22"/>
              <w:spacing w:before="69" w:line="278" w:lineRule="auto"/>
              <w:ind w:left="476" w:right="153" w:hanging="315"/>
            </w:pPr>
            <w:r>
              <w:rPr>
                <w:spacing w:val="-18"/>
              </w:rPr>
              <w:t xml:space="preserve">商品 </w:t>
            </w:r>
            <w:r>
              <w:t>2</w:t>
            </w:r>
            <w:r>
              <w:rPr>
                <w:spacing w:val="-25"/>
              </w:rPr>
              <w:t xml:space="preserve"> 弹幕</w:t>
            </w:r>
            <w:r>
              <w:t>问题</w:t>
            </w:r>
          </w:p>
        </w:tc>
        <w:tc>
          <w:tcPr>
            <w:tcW w:w="4281" w:type="dxa"/>
          </w:tcPr>
          <w:p>
            <w:pPr>
              <w:pStyle w:val="22"/>
              <w:spacing w:before="44"/>
              <w:ind w:left="107"/>
            </w:pPr>
            <w:r>
              <w:t>弹幕问题出现后，需在下一个弹幕问题消失</w:t>
            </w:r>
          </w:p>
          <w:p>
            <w:pPr>
              <w:pStyle w:val="22"/>
              <w:spacing w:before="89"/>
              <w:ind w:left="107"/>
            </w:pPr>
            <w:r>
              <w:t>前准确完成前一个弹幕问题的回答。</w:t>
            </w:r>
          </w:p>
        </w:tc>
        <w:tc>
          <w:tcPr>
            <w:tcW w:w="1008" w:type="dxa"/>
            <w:vAlign w:val="center"/>
          </w:tcPr>
          <w:p>
            <w:pPr>
              <w:pStyle w:val="22"/>
              <w:spacing w:before="1"/>
              <w:jc w:val="center"/>
            </w:pPr>
            <w:r>
              <w:t>1.5 分</w:t>
            </w:r>
          </w:p>
        </w:tc>
        <w:tc>
          <w:tcPr>
            <w:tcW w:w="1008" w:type="dxa"/>
            <w:vAlign w:val="center"/>
          </w:tcPr>
          <w:p>
            <w:pPr>
              <w:pStyle w:val="22"/>
              <w:spacing w:before="69" w:line="278" w:lineRule="auto"/>
              <w:ind w:right="179"/>
              <w:jc w:val="center"/>
            </w:pPr>
            <w:r>
              <w:t>评价评分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tcPr>
          <w:p>
            <w:pPr>
              <w:pStyle w:val="22"/>
              <w:spacing w:before="11"/>
              <w:rPr>
                <w:sz w:val="25"/>
              </w:rPr>
            </w:pPr>
          </w:p>
          <w:p>
            <w:pPr>
              <w:pStyle w:val="22"/>
              <w:ind w:left="87" w:right="79"/>
              <w:jc w:val="center"/>
            </w:pPr>
            <w:r>
              <w:t>直播结尾</w:t>
            </w:r>
          </w:p>
        </w:tc>
        <w:tc>
          <w:tcPr>
            <w:tcW w:w="4281" w:type="dxa"/>
          </w:tcPr>
          <w:p>
            <w:pPr>
              <w:pStyle w:val="22"/>
              <w:spacing w:before="20" w:line="278" w:lineRule="auto"/>
              <w:ind w:left="107" w:right="172"/>
            </w:pPr>
            <w:r>
              <w:rPr>
                <w:w w:val="95"/>
              </w:rPr>
              <w:t>能够进行直播收尾讲解，通过引导关注、感 谢语等内容的讲解，将直播间观众转化为粉</w:t>
            </w:r>
          </w:p>
          <w:p>
            <w:pPr>
              <w:pStyle w:val="22"/>
              <w:spacing w:line="269" w:lineRule="exact"/>
              <w:ind w:left="107"/>
            </w:pPr>
            <w:r>
              <w:t>丝，引发观众留恋。</w:t>
            </w:r>
          </w:p>
        </w:tc>
        <w:tc>
          <w:tcPr>
            <w:tcW w:w="1008" w:type="dxa"/>
            <w:vAlign w:val="center"/>
          </w:tcPr>
          <w:p>
            <w:pPr>
              <w:pStyle w:val="22"/>
              <w:jc w:val="center"/>
            </w:pPr>
            <w:r>
              <w:t>1 分</w:t>
            </w:r>
          </w:p>
        </w:tc>
        <w:tc>
          <w:tcPr>
            <w:tcW w:w="1008" w:type="dxa"/>
            <w:vAlign w:val="center"/>
          </w:tcPr>
          <w:p>
            <w:pPr>
              <w:pStyle w:val="22"/>
              <w:spacing w:before="176" w:line="278" w:lineRule="auto"/>
              <w:ind w:right="179"/>
              <w:jc w:val="center"/>
            </w:pPr>
            <w:r>
              <w:t>评价评分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tcPr>
          <w:p>
            <w:pPr>
              <w:pStyle w:val="22"/>
              <w:rPr>
                <w:sz w:val="26"/>
              </w:rPr>
            </w:pPr>
          </w:p>
          <w:p>
            <w:pPr>
              <w:pStyle w:val="22"/>
              <w:spacing w:before="1"/>
              <w:ind w:left="87" w:right="79"/>
              <w:jc w:val="center"/>
            </w:pPr>
            <w:r>
              <w:t>直播视频</w:t>
            </w:r>
          </w:p>
        </w:tc>
        <w:tc>
          <w:tcPr>
            <w:tcW w:w="4281" w:type="dxa"/>
          </w:tcPr>
          <w:p>
            <w:pPr>
              <w:pStyle w:val="22"/>
              <w:spacing w:before="22"/>
              <w:ind w:left="107"/>
            </w:pPr>
            <w:r>
              <w:t>直播画面始终围绕主播或竞赛商品，画面清</w:t>
            </w:r>
          </w:p>
          <w:p>
            <w:pPr>
              <w:pStyle w:val="22"/>
              <w:spacing w:before="2" w:line="310" w:lineRule="atLeast"/>
              <w:ind w:left="107" w:right="66"/>
            </w:pPr>
            <w:r>
              <w:rPr>
                <w:spacing w:val="-5"/>
              </w:rPr>
              <w:t xml:space="preserve">晰明亮；直播过程中没有 </w:t>
            </w:r>
            <w:r>
              <w:t>10</w:t>
            </w:r>
            <w:r>
              <w:rPr>
                <w:spacing w:val="-8"/>
              </w:rPr>
              <w:t xml:space="preserve"> 秒以上的卡顿、冷场</w:t>
            </w:r>
          </w:p>
        </w:tc>
        <w:tc>
          <w:tcPr>
            <w:tcW w:w="1008" w:type="dxa"/>
            <w:vAlign w:val="center"/>
          </w:tcPr>
          <w:p>
            <w:pPr>
              <w:pStyle w:val="22"/>
              <w:spacing w:before="1"/>
              <w:jc w:val="center"/>
            </w:pPr>
            <w:r>
              <w:t>1 分</w:t>
            </w:r>
          </w:p>
        </w:tc>
        <w:tc>
          <w:tcPr>
            <w:tcW w:w="1008" w:type="dxa"/>
            <w:vAlign w:val="center"/>
          </w:tcPr>
          <w:p>
            <w:pPr>
              <w:pStyle w:val="22"/>
              <w:spacing w:before="178" w:line="278" w:lineRule="auto"/>
              <w:ind w:left="398" w:right="179" w:hanging="212"/>
              <w:jc w:val="center"/>
            </w:pPr>
            <w:r>
              <w:t>测量评分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tcPr>
          <w:p>
            <w:pPr>
              <w:pStyle w:val="22"/>
              <w:rPr>
                <w:sz w:val="20"/>
              </w:rPr>
            </w:pPr>
          </w:p>
          <w:p>
            <w:pPr>
              <w:pStyle w:val="22"/>
              <w:rPr>
                <w:sz w:val="20"/>
              </w:rPr>
            </w:pPr>
          </w:p>
          <w:p>
            <w:pPr>
              <w:pStyle w:val="22"/>
              <w:spacing w:before="7"/>
              <w:rPr>
                <w:sz w:val="22"/>
              </w:rPr>
            </w:pPr>
          </w:p>
          <w:p>
            <w:pPr>
              <w:pStyle w:val="22"/>
              <w:ind w:left="87" w:right="79"/>
              <w:jc w:val="center"/>
            </w:pPr>
            <w:r>
              <w:t>互动效果</w:t>
            </w:r>
          </w:p>
        </w:tc>
        <w:tc>
          <w:tcPr>
            <w:tcW w:w="4281" w:type="dxa"/>
          </w:tcPr>
          <w:p>
            <w:pPr>
              <w:pStyle w:val="22"/>
              <w:spacing w:before="21" w:line="278" w:lineRule="auto"/>
              <w:ind w:left="107" w:right="172"/>
            </w:pPr>
            <w:r>
              <w:rPr>
                <w:w w:val="95"/>
              </w:rPr>
              <w:t>互动节奏安排合理恰当，能够有效活跃直播</w:t>
            </w:r>
            <w:r>
              <w:t>间氛围；</w:t>
            </w:r>
          </w:p>
          <w:p>
            <w:pPr>
              <w:pStyle w:val="22"/>
              <w:spacing w:line="278" w:lineRule="auto"/>
              <w:ind w:left="107" w:right="172"/>
            </w:pPr>
            <w:r>
              <w:rPr>
                <w:w w:val="95"/>
              </w:rPr>
              <w:t>主播讲解互动与后台推送互动配合默契，没</w:t>
            </w:r>
            <w:r>
              <w:t>有明显的卡壳、延误情况；</w:t>
            </w:r>
          </w:p>
          <w:p>
            <w:pPr>
              <w:pStyle w:val="22"/>
              <w:spacing w:line="269" w:lineRule="exact"/>
              <w:ind w:left="107"/>
            </w:pPr>
            <w:r>
              <w:t>能够准确详细地讲解互动规则，引导观众参</w:t>
            </w:r>
          </w:p>
          <w:p>
            <w:pPr>
              <w:pStyle w:val="22"/>
              <w:spacing w:before="43"/>
              <w:ind w:left="107"/>
            </w:pPr>
            <w:r>
              <w:t>与互动，关注直播间。</w:t>
            </w:r>
          </w:p>
        </w:tc>
        <w:tc>
          <w:tcPr>
            <w:tcW w:w="1008" w:type="dxa"/>
            <w:vAlign w:val="center"/>
          </w:tcPr>
          <w:p>
            <w:pPr>
              <w:pStyle w:val="22"/>
              <w:jc w:val="center"/>
            </w:pPr>
            <w:r>
              <w:t>2 分</w:t>
            </w:r>
          </w:p>
        </w:tc>
        <w:tc>
          <w:tcPr>
            <w:tcW w:w="1008" w:type="dxa"/>
            <w:vAlign w:val="center"/>
          </w:tcPr>
          <w:p>
            <w:pPr>
              <w:pStyle w:val="22"/>
              <w:spacing w:before="133" w:line="278" w:lineRule="auto"/>
              <w:ind w:right="179"/>
              <w:jc w:val="center"/>
            </w:pPr>
            <w:r>
              <w:t>评价评分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tcPr>
          <w:p>
            <w:pPr>
              <w:pStyle w:val="22"/>
              <w:spacing w:before="177" w:line="278" w:lineRule="auto"/>
              <w:ind w:left="370" w:right="151" w:hanging="209"/>
            </w:pPr>
            <w:r>
              <w:t>直播效果整体评价</w:t>
            </w:r>
          </w:p>
        </w:tc>
        <w:tc>
          <w:tcPr>
            <w:tcW w:w="4281" w:type="dxa"/>
          </w:tcPr>
          <w:p>
            <w:pPr>
              <w:pStyle w:val="22"/>
              <w:spacing w:before="21"/>
              <w:ind w:left="107" w:right="-15"/>
            </w:pPr>
            <w:r>
              <w:rPr>
                <w:spacing w:val="-3"/>
              </w:rPr>
              <w:t>能对背景资料进行加工，内容讲解逻辑清晰，</w:t>
            </w:r>
          </w:p>
          <w:p>
            <w:pPr>
              <w:pStyle w:val="22"/>
              <w:spacing w:before="2" w:line="310" w:lineRule="atLeast"/>
              <w:ind w:left="107" w:right="172"/>
            </w:pPr>
            <w:r>
              <w:rPr>
                <w:w w:val="95"/>
              </w:rPr>
              <w:t>节奏把控到位，内容有吸引力，直播讲解充</w:t>
            </w:r>
            <w:r>
              <w:t>满激情，画面构图合理。</w:t>
            </w:r>
          </w:p>
        </w:tc>
        <w:tc>
          <w:tcPr>
            <w:tcW w:w="1008" w:type="dxa"/>
            <w:vAlign w:val="center"/>
          </w:tcPr>
          <w:p>
            <w:pPr>
              <w:pStyle w:val="22"/>
              <w:jc w:val="center"/>
            </w:pPr>
            <w:r>
              <w:t>5 分</w:t>
            </w:r>
          </w:p>
        </w:tc>
        <w:tc>
          <w:tcPr>
            <w:tcW w:w="1008" w:type="dxa"/>
            <w:vAlign w:val="center"/>
          </w:tcPr>
          <w:p>
            <w:pPr>
              <w:pStyle w:val="22"/>
              <w:spacing w:before="177" w:line="278" w:lineRule="auto"/>
              <w:ind w:right="179"/>
              <w:jc w:val="center"/>
            </w:pPr>
            <w:r>
              <w:t>评价评分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0" w:hRule="atLeast"/>
        </w:trPr>
        <w:tc>
          <w:tcPr>
            <w:tcW w:w="950" w:type="dxa"/>
            <w:vMerge w:val="restart"/>
          </w:tcPr>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spacing w:before="148" w:line="278" w:lineRule="auto"/>
              <w:ind w:left="108" w:right="97"/>
            </w:pPr>
            <w:r>
              <w:rPr>
                <w:spacing w:val="-26"/>
              </w:rPr>
              <w:t>视 觉 营</w:t>
            </w:r>
            <w:r>
              <w:t>销</w:t>
            </w:r>
          </w:p>
        </w:tc>
        <w:tc>
          <w:tcPr>
            <w:tcW w:w="746" w:type="dxa"/>
          </w:tcPr>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spacing w:before="143"/>
              <w:ind w:left="108"/>
            </w:pPr>
            <w:r>
              <w:t>总则</w:t>
            </w:r>
          </w:p>
        </w:tc>
        <w:tc>
          <w:tcPr>
            <w:tcW w:w="5655" w:type="dxa"/>
            <w:gridSpan w:val="2"/>
          </w:tcPr>
          <w:p>
            <w:pPr>
              <w:pStyle w:val="22"/>
              <w:spacing w:before="21" w:line="278" w:lineRule="auto"/>
              <w:ind w:left="106" w:right="-15"/>
            </w:pPr>
            <w:r>
              <w:t>1</w:t>
            </w:r>
            <w:r>
              <w:rPr>
                <w:spacing w:val="-2"/>
              </w:rPr>
              <w:t>.在所有需要以图片展示的得分项目中，如果有图片变形模</w:t>
            </w:r>
            <w:r>
              <w:rPr>
                <w:spacing w:val="-4"/>
              </w:rPr>
              <w:t>糊失真等情况存在，则该项得分减半。</w:t>
            </w:r>
            <w:r>
              <w:t>2.在对图片数量有明</w:t>
            </w:r>
            <w:r>
              <w:rPr>
                <w:spacing w:val="-2"/>
              </w:rPr>
              <w:t>确要求的得分项目中，如果出现图片数量不足，则该项不得</w:t>
            </w:r>
            <w:r>
              <w:rPr>
                <w:spacing w:val="-5"/>
              </w:rPr>
              <w:t>分。</w:t>
            </w:r>
            <w:r>
              <w:t>3</w:t>
            </w:r>
            <w:r>
              <w:rPr>
                <w:spacing w:val="-2"/>
              </w:rPr>
              <w:t>.如果竞赛作品与赛题完全不相关，则该项不得分。</w:t>
            </w:r>
            <w:r>
              <w:t xml:space="preserve">4. </w:t>
            </w:r>
            <w:r>
              <w:rPr>
                <w:spacing w:val="6"/>
              </w:rPr>
              <w:t>跨境店铺在视觉展现方面应考虑到国外客户对电商网站的</w:t>
            </w:r>
            <w:r>
              <w:rPr>
                <w:spacing w:val="-7"/>
              </w:rPr>
              <w:t xml:space="preserve">视觉偏好，如果与 </w:t>
            </w:r>
            <w:r>
              <w:t>PC</w:t>
            </w:r>
            <w:r>
              <w:rPr>
                <w:spacing w:val="-9"/>
              </w:rPr>
              <w:t xml:space="preserve"> 端一致，只是将中文改成英文或拼音， </w:t>
            </w:r>
            <w:r>
              <w:rPr>
                <w:spacing w:val="-10"/>
              </w:rPr>
              <w:t>那么跨境店铺各部分要在实际得分基础上减半。</w:t>
            </w:r>
            <w:r>
              <w:t>5.如果在作</w:t>
            </w:r>
            <w:r>
              <w:rPr>
                <w:spacing w:val="-1"/>
              </w:rPr>
              <w:t>品中任何位置显示参赛院校或者参赛选手信息的，则视觉营</w:t>
            </w:r>
            <w:r>
              <w:rPr>
                <w:spacing w:val="-3"/>
              </w:rPr>
              <w:t>销计零分。</w:t>
            </w:r>
            <w:r>
              <w:t>6</w:t>
            </w:r>
            <w:r>
              <w:rPr>
                <w:spacing w:val="-1"/>
              </w:rPr>
              <w:t>.在装修作品中使用不文明因素、意识形态有问</w:t>
            </w:r>
          </w:p>
          <w:p>
            <w:pPr>
              <w:pStyle w:val="22"/>
              <w:spacing w:line="268" w:lineRule="exact"/>
              <w:ind w:left="106"/>
            </w:pPr>
            <w:r>
              <w:t>题等情况，开设装修记零分。</w:t>
            </w:r>
          </w:p>
        </w:tc>
        <w:tc>
          <w:tcPr>
            <w:tcW w:w="1008" w:type="dxa"/>
            <w:vAlign w:val="center"/>
          </w:tcPr>
          <w:p>
            <w:pPr>
              <w:pStyle w:val="22"/>
              <w:jc w:val="center"/>
              <w:rPr>
                <w:rFonts w:ascii="Times New Roman"/>
                <w:sz w:val="20"/>
              </w:rPr>
            </w:pPr>
          </w:p>
        </w:tc>
        <w:tc>
          <w:tcPr>
            <w:tcW w:w="1008" w:type="dxa"/>
            <w:vAlign w:val="center"/>
          </w:tcPr>
          <w:p>
            <w:pPr>
              <w:pStyle w:val="22"/>
              <w:jc w:val="center"/>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950" w:type="dxa"/>
            <w:vMerge w:val="continue"/>
          </w:tcPr>
          <w:p>
            <w:pPr>
              <w:rPr>
                <w:sz w:val="2"/>
                <w:szCs w:val="2"/>
              </w:rPr>
            </w:pPr>
          </w:p>
        </w:tc>
        <w:tc>
          <w:tcPr>
            <w:tcW w:w="746" w:type="dxa"/>
            <w:vMerge w:val="restart"/>
          </w:tcPr>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spacing w:before="2"/>
              <w:rPr>
                <w:sz w:val="17"/>
              </w:rPr>
            </w:pPr>
          </w:p>
          <w:p>
            <w:pPr>
              <w:pStyle w:val="22"/>
              <w:ind w:left="108"/>
            </w:pPr>
            <w:r>
              <w:t>PC 电</w:t>
            </w:r>
          </w:p>
          <w:p>
            <w:pPr>
              <w:pStyle w:val="22"/>
              <w:spacing w:before="43" w:line="278" w:lineRule="auto"/>
              <w:ind w:left="108" w:right="97"/>
            </w:pPr>
            <w:r>
              <w:t>商 店铺</w:t>
            </w:r>
          </w:p>
        </w:tc>
        <w:tc>
          <w:tcPr>
            <w:tcW w:w="1374" w:type="dxa"/>
            <w:vMerge w:val="restart"/>
          </w:tcPr>
          <w:p>
            <w:pPr>
              <w:pStyle w:val="22"/>
              <w:rPr>
                <w:sz w:val="20"/>
              </w:rPr>
            </w:pPr>
          </w:p>
          <w:p>
            <w:pPr>
              <w:pStyle w:val="22"/>
              <w:rPr>
                <w:sz w:val="20"/>
              </w:rPr>
            </w:pPr>
          </w:p>
          <w:p>
            <w:pPr>
              <w:pStyle w:val="22"/>
              <w:spacing w:before="10"/>
              <w:rPr>
                <w:sz w:val="22"/>
              </w:rPr>
            </w:pPr>
          </w:p>
          <w:p>
            <w:pPr>
              <w:pStyle w:val="22"/>
              <w:spacing w:before="1"/>
              <w:ind w:left="87" w:right="81"/>
              <w:jc w:val="center"/>
            </w:pPr>
            <w:r>
              <w:t>首页</w:t>
            </w:r>
          </w:p>
        </w:tc>
        <w:tc>
          <w:tcPr>
            <w:tcW w:w="4281" w:type="dxa"/>
          </w:tcPr>
          <w:p>
            <w:pPr>
              <w:pStyle w:val="22"/>
              <w:spacing w:before="20"/>
              <w:ind w:left="107"/>
            </w:pPr>
            <w:r>
              <w:t>店标设计独特，有一定的创新性，并且能够</w:t>
            </w:r>
          </w:p>
          <w:p>
            <w:pPr>
              <w:pStyle w:val="22"/>
              <w:spacing w:before="43"/>
              <w:ind w:left="107"/>
            </w:pPr>
            <w:r>
              <w:t>反映出店铺所销售的商品。</w:t>
            </w:r>
          </w:p>
        </w:tc>
        <w:tc>
          <w:tcPr>
            <w:tcW w:w="1008" w:type="dxa"/>
            <w:vAlign w:val="center"/>
          </w:tcPr>
          <w:p>
            <w:pPr>
              <w:pStyle w:val="22"/>
              <w:spacing w:before="176"/>
              <w:jc w:val="center"/>
            </w:pPr>
            <w:r>
              <w:t>0.5 分</w:t>
            </w:r>
          </w:p>
        </w:tc>
        <w:tc>
          <w:tcPr>
            <w:tcW w:w="1008" w:type="dxa"/>
            <w:vAlign w:val="center"/>
          </w:tcPr>
          <w:p>
            <w:pPr>
              <w:pStyle w:val="22"/>
              <w:spacing w:before="20"/>
              <w:jc w:val="center"/>
            </w:pPr>
            <w:r>
              <w:t>评 价 评</w:t>
            </w:r>
          </w:p>
          <w:p>
            <w:pPr>
              <w:pStyle w:val="22"/>
              <w:spacing w:before="43"/>
              <w:ind w:left="108"/>
              <w:jc w:val="center"/>
            </w:pP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Borders>
              <w:top w:val="nil"/>
            </w:tcBorders>
          </w:tcPr>
          <w:p>
            <w:pPr>
              <w:rPr>
                <w:sz w:val="2"/>
                <w:szCs w:val="2"/>
              </w:rPr>
            </w:pPr>
          </w:p>
        </w:tc>
        <w:tc>
          <w:tcPr>
            <w:tcW w:w="4281" w:type="dxa"/>
          </w:tcPr>
          <w:p>
            <w:pPr>
              <w:pStyle w:val="22"/>
              <w:spacing w:before="20" w:line="278" w:lineRule="auto"/>
              <w:ind w:left="107" w:right="97"/>
            </w:pPr>
            <w:r>
              <w:rPr>
                <w:spacing w:val="-20"/>
              </w:rPr>
              <w:t xml:space="preserve">网店 </w:t>
            </w:r>
            <w:r>
              <w:t>Banner</w:t>
            </w:r>
            <w:r>
              <w:rPr>
                <w:spacing w:val="-10"/>
              </w:rPr>
              <w:t xml:space="preserve"> 图片主题统一，与店铺经营商品具有相关性，Banner</w:t>
            </w:r>
            <w:r>
              <w:rPr>
                <w:spacing w:val="-8"/>
              </w:rPr>
              <w:t xml:space="preserve"> 设计具有吸引力并且具</w:t>
            </w:r>
            <w:r>
              <w:t>有一定的营销导向，Banner</w:t>
            </w:r>
            <w:r>
              <w:rPr>
                <w:spacing w:val="-9"/>
              </w:rPr>
              <w:t xml:space="preserve"> 整体设计能够提</w:t>
            </w:r>
          </w:p>
          <w:p>
            <w:pPr>
              <w:pStyle w:val="22"/>
              <w:spacing w:line="269" w:lineRule="exact"/>
              <w:ind w:left="107"/>
            </w:pPr>
            <w:r>
              <w:t>高店铺整体风格。</w:t>
            </w:r>
          </w:p>
        </w:tc>
        <w:tc>
          <w:tcPr>
            <w:tcW w:w="1008" w:type="dxa"/>
            <w:vAlign w:val="center"/>
          </w:tcPr>
          <w:p>
            <w:pPr>
              <w:pStyle w:val="22"/>
              <w:jc w:val="center"/>
            </w:pPr>
            <w:r>
              <w:t>2 分</w:t>
            </w:r>
          </w:p>
        </w:tc>
        <w:tc>
          <w:tcPr>
            <w:tcW w:w="1008" w:type="dxa"/>
            <w:vAlign w:val="center"/>
          </w:tcPr>
          <w:p>
            <w:pPr>
              <w:pStyle w:val="22"/>
              <w:spacing w:line="278" w:lineRule="auto"/>
              <w:ind w:right="33"/>
              <w:jc w:val="center"/>
            </w:pPr>
            <w:r>
              <w:t>评 价 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restart"/>
          </w:tcPr>
          <w:p>
            <w:pPr>
              <w:pStyle w:val="22"/>
              <w:rPr>
                <w:sz w:val="20"/>
              </w:rPr>
            </w:pPr>
          </w:p>
          <w:p>
            <w:pPr>
              <w:pStyle w:val="22"/>
              <w:rPr>
                <w:sz w:val="20"/>
              </w:rPr>
            </w:pPr>
          </w:p>
          <w:p>
            <w:pPr>
              <w:pStyle w:val="22"/>
              <w:rPr>
                <w:sz w:val="20"/>
              </w:rPr>
            </w:pPr>
          </w:p>
          <w:p>
            <w:pPr>
              <w:pStyle w:val="22"/>
              <w:spacing w:before="8"/>
              <w:rPr>
                <w:sz w:val="27"/>
              </w:rPr>
            </w:pPr>
          </w:p>
          <w:p>
            <w:pPr>
              <w:pStyle w:val="22"/>
              <w:spacing w:before="1"/>
              <w:ind w:left="370"/>
            </w:pPr>
            <w:r>
              <w:t>详情页</w:t>
            </w:r>
          </w:p>
        </w:tc>
        <w:tc>
          <w:tcPr>
            <w:tcW w:w="4281" w:type="dxa"/>
          </w:tcPr>
          <w:p>
            <w:pPr>
              <w:pStyle w:val="22"/>
              <w:spacing w:before="22"/>
              <w:ind w:left="107"/>
            </w:pPr>
            <w:r>
              <w:t>商品标题体现商品属性、特点、卖点的关键</w:t>
            </w:r>
          </w:p>
          <w:p>
            <w:pPr>
              <w:pStyle w:val="22"/>
              <w:spacing w:before="43"/>
              <w:ind w:left="107"/>
            </w:pPr>
            <w:r>
              <w:t>词。</w:t>
            </w:r>
          </w:p>
        </w:tc>
        <w:tc>
          <w:tcPr>
            <w:tcW w:w="1008" w:type="dxa"/>
            <w:vAlign w:val="center"/>
          </w:tcPr>
          <w:p>
            <w:pPr>
              <w:pStyle w:val="22"/>
              <w:spacing w:before="178"/>
              <w:jc w:val="center"/>
            </w:pPr>
            <w:r>
              <w:t>0.5 分</w:t>
            </w:r>
          </w:p>
        </w:tc>
        <w:tc>
          <w:tcPr>
            <w:tcW w:w="1008" w:type="dxa"/>
            <w:vAlign w:val="center"/>
          </w:tcPr>
          <w:p>
            <w:pPr>
              <w:pStyle w:val="22"/>
              <w:spacing w:before="22"/>
              <w:jc w:val="center"/>
            </w:pPr>
            <w:r>
              <w:t>测 量 评</w:t>
            </w:r>
          </w:p>
          <w:p>
            <w:pPr>
              <w:pStyle w:val="22"/>
              <w:spacing w:before="43"/>
              <w:ind w:left="108"/>
              <w:jc w:val="center"/>
            </w:pP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Borders>
              <w:top w:val="nil"/>
            </w:tcBorders>
          </w:tcPr>
          <w:p>
            <w:pPr>
              <w:rPr>
                <w:sz w:val="2"/>
                <w:szCs w:val="2"/>
              </w:rPr>
            </w:pPr>
          </w:p>
        </w:tc>
        <w:tc>
          <w:tcPr>
            <w:tcW w:w="4281" w:type="dxa"/>
          </w:tcPr>
          <w:p>
            <w:pPr>
              <w:pStyle w:val="22"/>
              <w:spacing w:before="21"/>
              <w:ind w:left="107"/>
            </w:pPr>
            <w:r>
              <w:t>商品主图设计美观，主题突出，有视觉冲击</w:t>
            </w:r>
          </w:p>
          <w:p>
            <w:pPr>
              <w:pStyle w:val="22"/>
              <w:spacing w:before="43"/>
              <w:ind w:left="107"/>
            </w:pPr>
            <w:r>
              <w:t>力。</w:t>
            </w:r>
          </w:p>
        </w:tc>
        <w:tc>
          <w:tcPr>
            <w:tcW w:w="1008" w:type="dxa"/>
            <w:vAlign w:val="center"/>
          </w:tcPr>
          <w:p>
            <w:pPr>
              <w:pStyle w:val="22"/>
              <w:spacing w:before="177"/>
              <w:jc w:val="center"/>
            </w:pPr>
            <w:r>
              <w:t>2 分</w:t>
            </w:r>
          </w:p>
        </w:tc>
        <w:tc>
          <w:tcPr>
            <w:tcW w:w="1008" w:type="dxa"/>
            <w:vAlign w:val="center"/>
          </w:tcPr>
          <w:p>
            <w:pPr>
              <w:pStyle w:val="22"/>
              <w:spacing w:before="21"/>
              <w:jc w:val="center"/>
            </w:pPr>
            <w:r>
              <w:t>评 价 评</w:t>
            </w:r>
          </w:p>
          <w:p>
            <w:pPr>
              <w:pStyle w:val="22"/>
              <w:spacing w:before="43"/>
              <w:ind w:left="108"/>
              <w:jc w:val="center"/>
            </w:pP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Borders>
              <w:top w:val="nil"/>
            </w:tcBorders>
          </w:tcPr>
          <w:p>
            <w:pPr>
              <w:rPr>
                <w:sz w:val="2"/>
                <w:szCs w:val="2"/>
              </w:rPr>
            </w:pPr>
          </w:p>
        </w:tc>
        <w:tc>
          <w:tcPr>
            <w:tcW w:w="4281" w:type="dxa"/>
          </w:tcPr>
          <w:p>
            <w:pPr>
              <w:pStyle w:val="22"/>
              <w:spacing w:before="21" w:line="278" w:lineRule="auto"/>
              <w:ind w:left="107" w:right="-15"/>
            </w:pPr>
            <w:r>
              <w:rPr>
                <w:spacing w:val="-3"/>
              </w:rPr>
              <w:t xml:space="preserve">商品相关属性描述，需包含商品属性，特点， </w:t>
            </w:r>
            <w:r>
              <w:rPr>
                <w:spacing w:val="3"/>
              </w:rPr>
              <w:t>卖点，适用人群，配送，支付，售后，评价等相关内容的信息；此部分图文混排得分更</w:t>
            </w:r>
          </w:p>
          <w:p>
            <w:pPr>
              <w:pStyle w:val="22"/>
              <w:spacing w:line="268" w:lineRule="exact"/>
              <w:ind w:left="107"/>
            </w:pPr>
            <w:r>
              <w:t>高。</w:t>
            </w:r>
          </w:p>
        </w:tc>
        <w:tc>
          <w:tcPr>
            <w:tcW w:w="1008" w:type="dxa"/>
            <w:vAlign w:val="center"/>
          </w:tcPr>
          <w:p>
            <w:pPr>
              <w:pStyle w:val="22"/>
              <w:jc w:val="center"/>
            </w:pPr>
            <w:r>
              <w:t>5 分</w:t>
            </w:r>
          </w:p>
        </w:tc>
        <w:tc>
          <w:tcPr>
            <w:tcW w:w="1008" w:type="dxa"/>
            <w:vAlign w:val="center"/>
          </w:tcPr>
          <w:p>
            <w:pPr>
              <w:pStyle w:val="22"/>
              <w:spacing w:line="278" w:lineRule="auto"/>
              <w:ind w:right="33"/>
              <w:jc w:val="center"/>
            </w:pPr>
            <w:r>
              <w:t>测 量 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trPr>
        <w:tc>
          <w:tcPr>
            <w:tcW w:w="950" w:type="dxa"/>
            <w:vMerge w:val="continue"/>
          </w:tcPr>
          <w:p>
            <w:pPr>
              <w:pStyle w:val="22"/>
              <w:rPr>
                <w:rFonts w:ascii="Times New Roman"/>
                <w:sz w:val="20"/>
              </w:rPr>
            </w:pPr>
          </w:p>
        </w:tc>
        <w:tc>
          <w:tcPr>
            <w:tcW w:w="746" w:type="dxa"/>
            <w:vMerge w:val="restart"/>
          </w:tcPr>
          <w:p>
            <w:pPr>
              <w:pStyle w:val="22"/>
              <w:rPr>
                <w:sz w:val="20"/>
              </w:rPr>
            </w:pPr>
          </w:p>
          <w:p>
            <w:pPr>
              <w:pStyle w:val="22"/>
              <w:spacing w:before="6"/>
              <w:rPr>
                <w:sz w:val="25"/>
              </w:rPr>
            </w:pPr>
          </w:p>
          <w:p>
            <w:pPr>
              <w:pStyle w:val="22"/>
              <w:ind w:left="108"/>
            </w:pPr>
            <w:r>
              <w:t>移 动</w:t>
            </w:r>
          </w:p>
          <w:p>
            <w:pPr>
              <w:pStyle w:val="22"/>
              <w:spacing w:before="43" w:line="278" w:lineRule="auto"/>
              <w:ind w:left="108" w:right="97"/>
            </w:pPr>
            <w:r>
              <w:t>电 商店铺</w:t>
            </w:r>
          </w:p>
        </w:tc>
        <w:tc>
          <w:tcPr>
            <w:tcW w:w="5655" w:type="dxa"/>
            <w:gridSpan w:val="2"/>
          </w:tcPr>
          <w:p>
            <w:pPr>
              <w:pStyle w:val="22"/>
              <w:spacing w:before="21" w:line="278" w:lineRule="auto"/>
              <w:ind w:left="106" w:right="47"/>
            </w:pPr>
            <w:r>
              <w:t>能够按照要求把 PC 电商店铺的内容准确无误的移植到移动电商店铺，不存在缺项漏项。移动电商店铺完整独立。</w:t>
            </w:r>
          </w:p>
        </w:tc>
        <w:tc>
          <w:tcPr>
            <w:tcW w:w="1008" w:type="dxa"/>
            <w:vAlign w:val="center"/>
          </w:tcPr>
          <w:p>
            <w:pPr>
              <w:pStyle w:val="22"/>
              <w:spacing w:before="1"/>
              <w:jc w:val="center"/>
            </w:pPr>
            <w:r>
              <w:t>1 分</w:t>
            </w:r>
          </w:p>
        </w:tc>
        <w:tc>
          <w:tcPr>
            <w:tcW w:w="1008" w:type="dxa"/>
            <w:vAlign w:val="center"/>
          </w:tcPr>
          <w:p>
            <w:pPr>
              <w:pStyle w:val="22"/>
              <w:spacing w:before="105" w:line="278" w:lineRule="auto"/>
              <w:ind w:right="33"/>
              <w:jc w:val="center"/>
            </w:pPr>
            <w:r>
              <w:t>评 价 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5655" w:type="dxa"/>
            <w:gridSpan w:val="2"/>
          </w:tcPr>
          <w:p>
            <w:pPr>
              <w:pStyle w:val="22"/>
              <w:spacing w:before="20"/>
              <w:ind w:left="106"/>
            </w:pPr>
            <w:r>
              <w:t>内容完整的前提下，移动电商店铺的图片不能存在模糊失真</w:t>
            </w:r>
          </w:p>
          <w:p>
            <w:pPr>
              <w:pStyle w:val="22"/>
              <w:spacing w:before="43"/>
              <w:ind w:left="106"/>
            </w:pPr>
            <w:r>
              <w:t>或者压缩变形的情况出现。</w:t>
            </w:r>
          </w:p>
        </w:tc>
        <w:tc>
          <w:tcPr>
            <w:tcW w:w="1008" w:type="dxa"/>
            <w:vAlign w:val="center"/>
          </w:tcPr>
          <w:p>
            <w:pPr>
              <w:pStyle w:val="22"/>
              <w:spacing w:before="177"/>
              <w:jc w:val="center"/>
            </w:pPr>
            <w:r>
              <w:t>1 分</w:t>
            </w:r>
          </w:p>
        </w:tc>
        <w:tc>
          <w:tcPr>
            <w:tcW w:w="1008" w:type="dxa"/>
            <w:vAlign w:val="center"/>
          </w:tcPr>
          <w:p>
            <w:pPr>
              <w:pStyle w:val="22"/>
              <w:spacing w:before="20"/>
              <w:jc w:val="center"/>
            </w:pPr>
            <w:r>
              <w:t>评 价 评</w:t>
            </w:r>
          </w:p>
          <w:p>
            <w:pPr>
              <w:pStyle w:val="22"/>
              <w:spacing w:before="43"/>
              <w:ind w:left="108"/>
              <w:jc w:val="center"/>
            </w:pP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5655" w:type="dxa"/>
            <w:gridSpan w:val="2"/>
          </w:tcPr>
          <w:p>
            <w:pPr>
              <w:pStyle w:val="22"/>
              <w:spacing w:before="20"/>
              <w:ind w:left="106"/>
            </w:pPr>
            <w:r>
              <w:t>移动电商店铺的店招设计能够突出店铺的特色，与店标搭配</w:t>
            </w:r>
          </w:p>
          <w:p>
            <w:pPr>
              <w:pStyle w:val="22"/>
              <w:spacing w:before="43"/>
              <w:ind w:left="106"/>
            </w:pPr>
            <w:r>
              <w:t>协调。</w:t>
            </w:r>
          </w:p>
        </w:tc>
        <w:tc>
          <w:tcPr>
            <w:tcW w:w="1008" w:type="dxa"/>
            <w:vAlign w:val="center"/>
          </w:tcPr>
          <w:p>
            <w:pPr>
              <w:pStyle w:val="22"/>
              <w:spacing w:before="176"/>
              <w:jc w:val="center"/>
            </w:pPr>
            <w:r>
              <w:t>0.5 分</w:t>
            </w:r>
          </w:p>
        </w:tc>
        <w:tc>
          <w:tcPr>
            <w:tcW w:w="1008" w:type="dxa"/>
            <w:vAlign w:val="center"/>
          </w:tcPr>
          <w:p>
            <w:pPr>
              <w:pStyle w:val="22"/>
              <w:spacing w:before="20"/>
              <w:jc w:val="center"/>
            </w:pPr>
            <w:r>
              <w:t>评 价 评</w:t>
            </w:r>
          </w:p>
          <w:p>
            <w:pPr>
              <w:pStyle w:val="22"/>
              <w:spacing w:before="43"/>
              <w:ind w:left="108"/>
              <w:jc w:val="center"/>
            </w:pP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50" w:type="dxa"/>
            <w:vMerge w:val="continue"/>
          </w:tcPr>
          <w:p>
            <w:pPr>
              <w:rPr>
                <w:sz w:val="2"/>
                <w:szCs w:val="2"/>
              </w:rPr>
            </w:pPr>
          </w:p>
        </w:tc>
        <w:tc>
          <w:tcPr>
            <w:tcW w:w="746" w:type="dxa"/>
            <w:vMerge w:val="restart"/>
          </w:tcPr>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rPr>
                <w:sz w:val="20"/>
              </w:rPr>
            </w:pPr>
          </w:p>
          <w:p>
            <w:pPr>
              <w:pStyle w:val="22"/>
              <w:spacing w:before="3"/>
              <w:rPr>
                <w:sz w:val="22"/>
              </w:rPr>
            </w:pPr>
          </w:p>
          <w:p>
            <w:pPr>
              <w:pStyle w:val="22"/>
              <w:spacing w:line="278" w:lineRule="auto"/>
              <w:ind w:left="108" w:right="207"/>
            </w:pPr>
            <w:r>
              <w:t>跨境电商店铺</w:t>
            </w:r>
          </w:p>
        </w:tc>
        <w:tc>
          <w:tcPr>
            <w:tcW w:w="1374" w:type="dxa"/>
            <w:vMerge w:val="restart"/>
          </w:tcPr>
          <w:p>
            <w:pPr>
              <w:pStyle w:val="22"/>
              <w:rPr>
                <w:sz w:val="20"/>
              </w:rPr>
            </w:pPr>
          </w:p>
          <w:p>
            <w:pPr>
              <w:pStyle w:val="22"/>
              <w:rPr>
                <w:sz w:val="20"/>
              </w:rPr>
            </w:pPr>
          </w:p>
          <w:p>
            <w:pPr>
              <w:pStyle w:val="22"/>
              <w:rPr>
                <w:sz w:val="20"/>
              </w:rPr>
            </w:pPr>
          </w:p>
          <w:p>
            <w:pPr>
              <w:pStyle w:val="22"/>
              <w:spacing w:before="7"/>
              <w:rPr>
                <w:sz w:val="15"/>
              </w:rPr>
            </w:pPr>
          </w:p>
          <w:p>
            <w:pPr>
              <w:pStyle w:val="22"/>
              <w:ind w:left="87" w:right="81"/>
              <w:jc w:val="center"/>
            </w:pPr>
            <w:r>
              <w:t>首页</w:t>
            </w:r>
          </w:p>
        </w:tc>
        <w:tc>
          <w:tcPr>
            <w:tcW w:w="4281" w:type="dxa"/>
          </w:tcPr>
          <w:p>
            <w:pPr>
              <w:pStyle w:val="22"/>
              <w:spacing w:before="20"/>
              <w:ind w:left="107"/>
            </w:pPr>
            <w:r>
              <w:t>店标设计独特，有一定的创新性，并且能够</w:t>
            </w:r>
          </w:p>
          <w:p>
            <w:pPr>
              <w:pStyle w:val="22"/>
              <w:spacing w:before="43"/>
              <w:ind w:left="107"/>
            </w:pPr>
            <w:r>
              <w:t>反映出店铺所销售的商品。</w:t>
            </w:r>
          </w:p>
        </w:tc>
        <w:tc>
          <w:tcPr>
            <w:tcW w:w="1008" w:type="dxa"/>
            <w:vAlign w:val="center"/>
          </w:tcPr>
          <w:p>
            <w:pPr>
              <w:pStyle w:val="22"/>
              <w:spacing w:before="176"/>
              <w:jc w:val="center"/>
            </w:pPr>
            <w:r>
              <w:t>0.5 分</w:t>
            </w:r>
          </w:p>
        </w:tc>
        <w:tc>
          <w:tcPr>
            <w:tcW w:w="1008" w:type="dxa"/>
            <w:vAlign w:val="center"/>
          </w:tcPr>
          <w:p>
            <w:pPr>
              <w:pStyle w:val="22"/>
              <w:spacing w:before="20"/>
              <w:jc w:val="center"/>
            </w:pPr>
            <w:r>
              <w:t>评 价 评</w:t>
            </w:r>
          </w:p>
          <w:p>
            <w:pPr>
              <w:pStyle w:val="22"/>
              <w:spacing w:before="43"/>
              <w:ind w:left="108"/>
              <w:jc w:val="center"/>
            </w:pP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Borders>
              <w:top w:val="nil"/>
            </w:tcBorders>
          </w:tcPr>
          <w:p>
            <w:pPr>
              <w:rPr>
                <w:sz w:val="2"/>
                <w:szCs w:val="2"/>
              </w:rPr>
            </w:pPr>
          </w:p>
        </w:tc>
        <w:tc>
          <w:tcPr>
            <w:tcW w:w="4281" w:type="dxa"/>
          </w:tcPr>
          <w:p>
            <w:pPr>
              <w:pStyle w:val="22"/>
              <w:spacing w:before="22" w:line="278" w:lineRule="auto"/>
              <w:ind w:left="107" w:right="97"/>
            </w:pPr>
            <w:r>
              <w:rPr>
                <w:spacing w:val="-20"/>
              </w:rPr>
              <w:t xml:space="preserve">网店 </w:t>
            </w:r>
            <w:r>
              <w:t>Banner</w:t>
            </w:r>
            <w:r>
              <w:rPr>
                <w:spacing w:val="-10"/>
              </w:rPr>
              <w:t xml:space="preserve"> 图片主题统一，与店铺经营商品具有相关性，banner</w:t>
            </w:r>
            <w:r>
              <w:rPr>
                <w:spacing w:val="-8"/>
              </w:rPr>
              <w:t xml:space="preserve"> 设计具有吸引力并且具</w:t>
            </w:r>
          </w:p>
          <w:p>
            <w:pPr>
              <w:pStyle w:val="22"/>
              <w:spacing w:line="269" w:lineRule="exact"/>
              <w:ind w:left="107" w:right="-15"/>
            </w:pPr>
            <w:r>
              <w:rPr>
                <w:spacing w:val="-4"/>
              </w:rPr>
              <w:t>有一定的营销导向，能够提高店铺整体风格。</w:t>
            </w:r>
          </w:p>
        </w:tc>
        <w:tc>
          <w:tcPr>
            <w:tcW w:w="1008" w:type="dxa"/>
            <w:vAlign w:val="center"/>
          </w:tcPr>
          <w:p>
            <w:pPr>
              <w:pStyle w:val="22"/>
              <w:spacing w:before="1"/>
              <w:jc w:val="center"/>
            </w:pPr>
            <w:r>
              <w:t>2 分</w:t>
            </w:r>
          </w:p>
        </w:tc>
        <w:tc>
          <w:tcPr>
            <w:tcW w:w="1008" w:type="dxa"/>
            <w:vAlign w:val="center"/>
          </w:tcPr>
          <w:p>
            <w:pPr>
              <w:pStyle w:val="22"/>
              <w:spacing w:before="178" w:line="278" w:lineRule="auto"/>
              <w:ind w:right="33"/>
              <w:jc w:val="center"/>
            </w:pPr>
            <w:r>
              <w:t>评 价 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Borders>
              <w:top w:val="nil"/>
            </w:tcBorders>
          </w:tcPr>
          <w:p>
            <w:pPr>
              <w:rPr>
                <w:sz w:val="2"/>
                <w:szCs w:val="2"/>
              </w:rPr>
            </w:pPr>
          </w:p>
        </w:tc>
        <w:tc>
          <w:tcPr>
            <w:tcW w:w="4281" w:type="dxa"/>
          </w:tcPr>
          <w:p>
            <w:pPr>
              <w:pStyle w:val="22"/>
              <w:spacing w:before="177"/>
              <w:ind w:left="107" w:right="-15"/>
            </w:pPr>
            <w:r>
              <w:rPr>
                <w:spacing w:val="-3"/>
              </w:rPr>
              <w:t>网店产品展示设计风格统一，产品分类清晰。</w:t>
            </w:r>
          </w:p>
        </w:tc>
        <w:tc>
          <w:tcPr>
            <w:tcW w:w="1008" w:type="dxa"/>
            <w:vAlign w:val="center"/>
          </w:tcPr>
          <w:p>
            <w:pPr>
              <w:pStyle w:val="22"/>
              <w:spacing w:before="177"/>
              <w:jc w:val="center"/>
            </w:pPr>
            <w:r>
              <w:t>1 分</w:t>
            </w:r>
          </w:p>
        </w:tc>
        <w:tc>
          <w:tcPr>
            <w:tcW w:w="1008" w:type="dxa"/>
            <w:vAlign w:val="center"/>
          </w:tcPr>
          <w:p>
            <w:pPr>
              <w:pStyle w:val="22"/>
              <w:spacing w:before="21"/>
              <w:jc w:val="center"/>
            </w:pPr>
            <w:r>
              <w:t>评 价 评</w:t>
            </w:r>
          </w:p>
          <w:p>
            <w:pPr>
              <w:pStyle w:val="22"/>
              <w:spacing w:before="43"/>
              <w:ind w:left="108"/>
              <w:jc w:val="center"/>
            </w:pP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restart"/>
          </w:tcPr>
          <w:p>
            <w:pPr>
              <w:pStyle w:val="22"/>
              <w:rPr>
                <w:sz w:val="20"/>
              </w:rPr>
            </w:pPr>
          </w:p>
          <w:p>
            <w:pPr>
              <w:pStyle w:val="22"/>
              <w:rPr>
                <w:sz w:val="20"/>
              </w:rPr>
            </w:pPr>
          </w:p>
          <w:p>
            <w:pPr>
              <w:pStyle w:val="22"/>
              <w:rPr>
                <w:sz w:val="20"/>
              </w:rPr>
            </w:pPr>
          </w:p>
          <w:p>
            <w:pPr>
              <w:pStyle w:val="22"/>
              <w:rPr>
                <w:sz w:val="20"/>
              </w:rPr>
            </w:pPr>
          </w:p>
          <w:p>
            <w:pPr>
              <w:pStyle w:val="22"/>
              <w:spacing w:before="2"/>
              <w:rPr>
                <w:sz w:val="20"/>
              </w:rPr>
            </w:pPr>
          </w:p>
          <w:p>
            <w:pPr>
              <w:pStyle w:val="22"/>
              <w:ind w:left="370"/>
            </w:pPr>
            <w:r>
              <w:t>详情页</w:t>
            </w:r>
          </w:p>
        </w:tc>
        <w:tc>
          <w:tcPr>
            <w:tcW w:w="4281" w:type="dxa"/>
          </w:tcPr>
          <w:p>
            <w:pPr>
              <w:pStyle w:val="22"/>
              <w:spacing w:before="21"/>
              <w:ind w:left="107"/>
            </w:pPr>
            <w:r>
              <w:t>设置给定商品的英文标题，商品标题体现商</w:t>
            </w:r>
          </w:p>
          <w:p>
            <w:pPr>
              <w:pStyle w:val="22"/>
              <w:spacing w:before="43"/>
              <w:ind w:left="107"/>
            </w:pPr>
            <w:r>
              <w:t>品属性特点卖点的关键词，英文表达准确</w:t>
            </w:r>
          </w:p>
        </w:tc>
        <w:tc>
          <w:tcPr>
            <w:tcW w:w="1008" w:type="dxa"/>
            <w:vAlign w:val="center"/>
          </w:tcPr>
          <w:p>
            <w:pPr>
              <w:pStyle w:val="22"/>
              <w:spacing w:before="177"/>
              <w:jc w:val="center"/>
            </w:pPr>
            <w:r>
              <w:t>1 分</w:t>
            </w:r>
          </w:p>
        </w:tc>
        <w:tc>
          <w:tcPr>
            <w:tcW w:w="1008" w:type="dxa"/>
            <w:vAlign w:val="center"/>
          </w:tcPr>
          <w:p>
            <w:pPr>
              <w:pStyle w:val="22"/>
              <w:spacing w:before="21"/>
              <w:jc w:val="center"/>
            </w:pPr>
            <w:r>
              <w:t>评 价 评</w:t>
            </w:r>
          </w:p>
          <w:p>
            <w:pPr>
              <w:pStyle w:val="22"/>
              <w:spacing w:before="43"/>
              <w:ind w:left="108"/>
              <w:jc w:val="center"/>
            </w:pP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Borders>
              <w:top w:val="nil"/>
            </w:tcBorders>
          </w:tcPr>
          <w:p>
            <w:pPr>
              <w:rPr>
                <w:sz w:val="2"/>
                <w:szCs w:val="2"/>
              </w:rPr>
            </w:pPr>
          </w:p>
        </w:tc>
        <w:tc>
          <w:tcPr>
            <w:tcW w:w="4281" w:type="dxa"/>
          </w:tcPr>
          <w:p>
            <w:pPr>
              <w:pStyle w:val="22"/>
              <w:spacing w:before="20"/>
              <w:ind w:left="107" w:right="-15"/>
            </w:pPr>
            <w:r>
              <w:rPr>
                <w:spacing w:val="-3"/>
              </w:rPr>
              <w:t>商品主图设计美观，主题突出，图片要真实，</w:t>
            </w:r>
          </w:p>
          <w:p>
            <w:pPr>
              <w:pStyle w:val="22"/>
              <w:spacing w:before="43"/>
              <w:ind w:left="107"/>
            </w:pPr>
            <w:r>
              <w:t>不过分修饰。</w:t>
            </w:r>
          </w:p>
        </w:tc>
        <w:tc>
          <w:tcPr>
            <w:tcW w:w="1008" w:type="dxa"/>
            <w:vAlign w:val="center"/>
          </w:tcPr>
          <w:p>
            <w:pPr>
              <w:pStyle w:val="22"/>
              <w:spacing w:before="176"/>
              <w:jc w:val="center"/>
            </w:pPr>
            <w:r>
              <w:t>1 分</w:t>
            </w:r>
          </w:p>
        </w:tc>
        <w:tc>
          <w:tcPr>
            <w:tcW w:w="1008" w:type="dxa"/>
            <w:vAlign w:val="center"/>
          </w:tcPr>
          <w:p>
            <w:pPr>
              <w:pStyle w:val="22"/>
              <w:spacing w:before="20"/>
              <w:jc w:val="center"/>
            </w:pPr>
            <w:r>
              <w:t>评 价 评</w:t>
            </w:r>
          </w:p>
          <w:p>
            <w:pPr>
              <w:pStyle w:val="22"/>
              <w:spacing w:before="43"/>
              <w:ind w:left="108"/>
              <w:jc w:val="center"/>
            </w:pP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Borders>
              <w:top w:val="nil"/>
            </w:tcBorders>
          </w:tcPr>
          <w:p>
            <w:pPr>
              <w:rPr>
                <w:sz w:val="2"/>
                <w:szCs w:val="2"/>
              </w:rPr>
            </w:pPr>
          </w:p>
        </w:tc>
        <w:tc>
          <w:tcPr>
            <w:tcW w:w="4281" w:type="dxa"/>
          </w:tcPr>
          <w:p>
            <w:pPr>
              <w:pStyle w:val="22"/>
              <w:spacing w:before="20" w:line="278" w:lineRule="auto"/>
              <w:ind w:left="107" w:right="-15"/>
            </w:pPr>
            <w:r>
              <w:rPr>
                <w:spacing w:val="-3"/>
              </w:rPr>
              <w:t xml:space="preserve">商品相关属性描述，需包含商品属性，特点， </w:t>
            </w:r>
            <w:r>
              <w:rPr>
                <w:spacing w:val="3"/>
              </w:rPr>
              <w:t>卖点，适用人群，配送，支付，售后，评价</w:t>
            </w:r>
          </w:p>
          <w:p>
            <w:pPr>
              <w:pStyle w:val="22"/>
              <w:spacing w:line="269" w:lineRule="exact"/>
              <w:ind w:left="107"/>
            </w:pPr>
            <w:r>
              <w:t>等相关内容的信息。</w:t>
            </w:r>
          </w:p>
        </w:tc>
        <w:tc>
          <w:tcPr>
            <w:tcW w:w="1008" w:type="dxa"/>
            <w:vAlign w:val="center"/>
          </w:tcPr>
          <w:p>
            <w:pPr>
              <w:pStyle w:val="22"/>
              <w:jc w:val="center"/>
            </w:pPr>
            <w:r>
              <w:t>2 分</w:t>
            </w:r>
          </w:p>
        </w:tc>
        <w:tc>
          <w:tcPr>
            <w:tcW w:w="1008" w:type="dxa"/>
            <w:vAlign w:val="center"/>
          </w:tcPr>
          <w:p>
            <w:pPr>
              <w:pStyle w:val="22"/>
              <w:spacing w:before="176" w:line="278" w:lineRule="auto"/>
              <w:ind w:right="33"/>
              <w:jc w:val="center"/>
            </w:pPr>
            <w:r>
              <w:t>测 量 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50" w:type="dxa"/>
            <w:vMerge w:val="continue"/>
          </w:tcPr>
          <w:p>
            <w:pPr>
              <w:rPr>
                <w:sz w:val="2"/>
                <w:szCs w:val="2"/>
              </w:rPr>
            </w:pPr>
          </w:p>
        </w:tc>
        <w:tc>
          <w:tcPr>
            <w:tcW w:w="746" w:type="dxa"/>
            <w:vMerge w:val="continue"/>
            <w:tcBorders>
              <w:top w:val="nil"/>
            </w:tcBorders>
          </w:tcPr>
          <w:p>
            <w:pPr>
              <w:rPr>
                <w:sz w:val="2"/>
                <w:szCs w:val="2"/>
              </w:rPr>
            </w:pPr>
          </w:p>
        </w:tc>
        <w:tc>
          <w:tcPr>
            <w:tcW w:w="1374" w:type="dxa"/>
            <w:vMerge w:val="continue"/>
            <w:tcBorders>
              <w:top w:val="nil"/>
            </w:tcBorders>
          </w:tcPr>
          <w:p>
            <w:pPr>
              <w:rPr>
                <w:sz w:val="2"/>
                <w:szCs w:val="2"/>
              </w:rPr>
            </w:pPr>
          </w:p>
        </w:tc>
        <w:tc>
          <w:tcPr>
            <w:tcW w:w="4281" w:type="dxa"/>
          </w:tcPr>
          <w:p>
            <w:pPr>
              <w:pStyle w:val="22"/>
              <w:spacing w:before="20"/>
              <w:ind w:left="107"/>
            </w:pPr>
            <w:r>
              <w:t>英文表达准确，图片内容真实，不允许过度</w:t>
            </w:r>
          </w:p>
          <w:p>
            <w:pPr>
              <w:pStyle w:val="22"/>
              <w:spacing w:before="43"/>
              <w:ind w:left="107"/>
            </w:pPr>
            <w:r>
              <w:t>修饰。</w:t>
            </w:r>
          </w:p>
        </w:tc>
        <w:tc>
          <w:tcPr>
            <w:tcW w:w="1008" w:type="dxa"/>
            <w:vAlign w:val="center"/>
          </w:tcPr>
          <w:p>
            <w:pPr>
              <w:pStyle w:val="22"/>
              <w:spacing w:before="176"/>
              <w:jc w:val="center"/>
            </w:pPr>
            <w:r>
              <w:t>1 分</w:t>
            </w:r>
          </w:p>
        </w:tc>
        <w:tc>
          <w:tcPr>
            <w:tcW w:w="1008" w:type="dxa"/>
            <w:vAlign w:val="center"/>
          </w:tcPr>
          <w:p>
            <w:pPr>
              <w:pStyle w:val="22"/>
              <w:spacing w:before="20"/>
              <w:jc w:val="center"/>
            </w:pPr>
            <w:r>
              <w:t>评 价 评</w:t>
            </w:r>
          </w:p>
          <w:p>
            <w:pPr>
              <w:pStyle w:val="22"/>
              <w:spacing w:before="43"/>
              <w:ind w:left="108"/>
              <w:jc w:val="center"/>
            </w:pPr>
            <w:r>
              <w:rPr>
                <w:w w:val="99"/>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950" w:type="dxa"/>
            <w:vMerge w:val="continue"/>
          </w:tcPr>
          <w:p>
            <w:pPr>
              <w:rPr>
                <w:sz w:val="2"/>
                <w:szCs w:val="2"/>
              </w:rPr>
            </w:pPr>
          </w:p>
        </w:tc>
        <w:tc>
          <w:tcPr>
            <w:tcW w:w="746" w:type="dxa"/>
          </w:tcPr>
          <w:p>
            <w:pPr>
              <w:pStyle w:val="22"/>
              <w:rPr>
                <w:sz w:val="26"/>
              </w:rPr>
            </w:pPr>
          </w:p>
          <w:p>
            <w:pPr>
              <w:pStyle w:val="22"/>
              <w:spacing w:before="1" w:line="278" w:lineRule="auto"/>
              <w:ind w:left="108" w:right="97"/>
            </w:pPr>
            <w:r>
              <w:t>营 销策划</w:t>
            </w:r>
          </w:p>
        </w:tc>
        <w:tc>
          <w:tcPr>
            <w:tcW w:w="5655" w:type="dxa"/>
            <w:gridSpan w:val="2"/>
          </w:tcPr>
          <w:p>
            <w:pPr>
              <w:pStyle w:val="22"/>
              <w:spacing w:before="22" w:line="278" w:lineRule="auto"/>
              <w:ind w:left="106" w:right="95"/>
            </w:pPr>
            <w:r>
              <w:rPr>
                <w:spacing w:val="-1"/>
                <w:w w:val="95"/>
              </w:rPr>
              <w:t xml:space="preserve">网店整体装修中能够体现营销策划的相关内容，含有推荐商 </w:t>
            </w:r>
            <w:r>
              <w:rPr>
                <w:spacing w:val="-4"/>
                <w:w w:val="95"/>
              </w:rPr>
              <w:t xml:space="preserve">品、促销活动的标识和以促销为目的的宣传用语，但是不允 </w:t>
            </w:r>
            <w:r>
              <w:rPr>
                <w:w w:val="95"/>
              </w:rPr>
              <w:t>许过分夸张;跨境店铺装修中的促销用语不允许出现错别英</w:t>
            </w:r>
          </w:p>
          <w:p>
            <w:pPr>
              <w:pStyle w:val="22"/>
              <w:spacing w:line="269" w:lineRule="exact"/>
              <w:ind w:left="106"/>
            </w:pPr>
            <w:r>
              <w:t>文单词。</w:t>
            </w:r>
          </w:p>
        </w:tc>
        <w:tc>
          <w:tcPr>
            <w:tcW w:w="1008" w:type="dxa"/>
            <w:vAlign w:val="center"/>
          </w:tcPr>
          <w:p>
            <w:pPr>
              <w:pStyle w:val="22"/>
              <w:jc w:val="center"/>
            </w:pPr>
            <w:r>
              <w:t>2 分</w:t>
            </w:r>
          </w:p>
        </w:tc>
        <w:tc>
          <w:tcPr>
            <w:tcW w:w="1008" w:type="dxa"/>
            <w:vAlign w:val="center"/>
          </w:tcPr>
          <w:p>
            <w:pPr>
              <w:pStyle w:val="22"/>
              <w:spacing w:before="1" w:line="278" w:lineRule="auto"/>
              <w:ind w:right="33"/>
              <w:jc w:val="center"/>
            </w:pPr>
            <w:r>
              <w:t>评 价 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0" w:type="dxa"/>
            <w:vMerge w:val="continue"/>
          </w:tcPr>
          <w:p>
            <w:pPr>
              <w:rPr>
                <w:sz w:val="2"/>
                <w:szCs w:val="2"/>
              </w:rPr>
            </w:pPr>
          </w:p>
        </w:tc>
        <w:tc>
          <w:tcPr>
            <w:tcW w:w="746" w:type="dxa"/>
          </w:tcPr>
          <w:p>
            <w:pPr>
              <w:pStyle w:val="22"/>
              <w:rPr>
                <w:sz w:val="26"/>
              </w:rPr>
            </w:pPr>
          </w:p>
          <w:p>
            <w:pPr>
              <w:pStyle w:val="22"/>
              <w:spacing w:line="278" w:lineRule="auto"/>
              <w:ind w:left="108" w:right="97"/>
            </w:pPr>
            <w:r>
              <w:t>视 觉营销</w:t>
            </w:r>
          </w:p>
        </w:tc>
        <w:tc>
          <w:tcPr>
            <w:tcW w:w="5655" w:type="dxa"/>
            <w:gridSpan w:val="2"/>
          </w:tcPr>
          <w:p>
            <w:pPr>
              <w:pStyle w:val="22"/>
              <w:spacing w:before="21" w:line="278" w:lineRule="auto"/>
              <w:ind w:left="106" w:right="95"/>
            </w:pPr>
            <w:r>
              <w:rPr>
                <w:spacing w:val="-2"/>
                <w:w w:val="95"/>
              </w:rPr>
              <w:t xml:space="preserve">店铺首页及商品详情页的装修要重点突出，符合目标消费者 </w:t>
            </w:r>
            <w:r>
              <w:rPr>
                <w:spacing w:val="-5"/>
                <w:w w:val="95"/>
              </w:rPr>
              <w:t xml:space="preserve">的浏览习惯，布局设计上能够引导消费者的视觉关注点，层 </w:t>
            </w:r>
            <w:r>
              <w:rPr>
                <w:spacing w:val="-6"/>
                <w:w w:val="95"/>
              </w:rPr>
              <w:t>次清晰，能够通过视觉的冲击和审美视觉感观提高买家的兴</w:t>
            </w:r>
          </w:p>
          <w:p>
            <w:pPr>
              <w:pStyle w:val="22"/>
              <w:spacing w:line="269" w:lineRule="exact"/>
              <w:ind w:left="106"/>
            </w:pPr>
            <w:r>
              <w:t>趣，达到产品推广的目的。</w:t>
            </w:r>
          </w:p>
        </w:tc>
        <w:tc>
          <w:tcPr>
            <w:tcW w:w="1008" w:type="dxa"/>
            <w:vAlign w:val="center"/>
          </w:tcPr>
          <w:p>
            <w:pPr>
              <w:pStyle w:val="22"/>
              <w:jc w:val="center"/>
            </w:pPr>
            <w:r>
              <w:t>2 分</w:t>
            </w:r>
          </w:p>
        </w:tc>
        <w:tc>
          <w:tcPr>
            <w:tcW w:w="1008" w:type="dxa"/>
            <w:vAlign w:val="center"/>
          </w:tcPr>
          <w:p>
            <w:pPr>
              <w:pStyle w:val="22"/>
              <w:spacing w:line="278" w:lineRule="auto"/>
              <w:ind w:right="33"/>
              <w:jc w:val="center"/>
            </w:pPr>
            <w:r>
              <w:t>评 价 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950" w:type="dxa"/>
          </w:tcPr>
          <w:p>
            <w:pPr>
              <w:pStyle w:val="22"/>
              <w:spacing w:before="177" w:line="278" w:lineRule="auto"/>
              <w:ind w:left="108" w:right="97"/>
            </w:pPr>
            <w:r>
              <w:rPr>
                <w:spacing w:val="-26"/>
              </w:rPr>
              <w:t>网 店 运</w:t>
            </w:r>
            <w:r>
              <w:t>营推广</w:t>
            </w:r>
          </w:p>
        </w:tc>
        <w:tc>
          <w:tcPr>
            <w:tcW w:w="6401" w:type="dxa"/>
            <w:gridSpan w:val="3"/>
          </w:tcPr>
          <w:p>
            <w:pPr>
              <w:pStyle w:val="22"/>
              <w:spacing w:before="21" w:line="278" w:lineRule="auto"/>
              <w:ind w:left="108" w:right="88"/>
            </w:pPr>
            <w:r>
              <w:rPr>
                <w:w w:val="95"/>
              </w:rPr>
              <w:t xml:space="preserve">以各队“所有者权益”为主，企业可持续性经营能力为辅自动计算  </w:t>
            </w:r>
            <w:r>
              <w:t>经营得分，每个赛场根据各队的经营得分进行排序，第一名 45 分，</w:t>
            </w:r>
          </w:p>
          <w:p>
            <w:pPr>
              <w:pStyle w:val="22"/>
              <w:spacing w:line="269" w:lineRule="exact"/>
              <w:ind w:left="108"/>
            </w:pPr>
            <w:r>
              <w:t>按照名次递减 2 分，第二名 43 分依次类推。</w:t>
            </w:r>
          </w:p>
        </w:tc>
        <w:tc>
          <w:tcPr>
            <w:tcW w:w="1008" w:type="dxa"/>
            <w:vAlign w:val="center"/>
          </w:tcPr>
          <w:p>
            <w:pPr>
              <w:pStyle w:val="22"/>
              <w:jc w:val="center"/>
            </w:pPr>
            <w:r>
              <w:t>45 分</w:t>
            </w:r>
          </w:p>
        </w:tc>
        <w:tc>
          <w:tcPr>
            <w:tcW w:w="1008" w:type="dxa"/>
            <w:vAlign w:val="center"/>
          </w:tcPr>
          <w:p>
            <w:pPr>
              <w:pStyle w:val="22"/>
              <w:spacing w:before="177" w:line="278" w:lineRule="auto"/>
              <w:ind w:right="33"/>
              <w:jc w:val="center"/>
            </w:pPr>
            <w:r>
              <w:t>测 量 评分</w:t>
            </w:r>
          </w:p>
        </w:tc>
      </w:tr>
    </w:tbl>
    <w:p>
      <w:pPr>
        <w:spacing w:line="560" w:lineRule="exact"/>
        <w:rPr>
          <w:rFonts w:ascii="仿宋_GB2312" w:hAnsi="黑体" w:eastAsia="仿宋_GB2312" w:cs="黑体"/>
          <w:b/>
          <w:bCs/>
          <w:color w:val="FF0000"/>
          <w:sz w:val="28"/>
          <w:szCs w:val="28"/>
        </w:rPr>
      </w:pPr>
    </w:p>
    <w:p>
      <w:pPr>
        <w:spacing w:line="560" w:lineRule="exact"/>
        <w:rPr>
          <w:rFonts w:ascii="仿宋_GB2312" w:hAnsi="黑体" w:eastAsia="仿宋_GB2312" w:cs="黑体"/>
          <w:b/>
          <w:bCs/>
          <w:sz w:val="28"/>
          <w:szCs w:val="28"/>
        </w:rPr>
      </w:pPr>
      <w:r>
        <w:rPr>
          <w:rFonts w:hint="eastAsia" w:ascii="仿宋_GB2312" w:hAnsi="黑体" w:eastAsia="仿宋_GB2312" w:cs="黑体"/>
          <w:b/>
          <w:bCs/>
          <w:sz w:val="28"/>
          <w:szCs w:val="28"/>
        </w:rPr>
        <w:t>十二、奖项设定</w:t>
      </w:r>
    </w:p>
    <w:p>
      <w:pPr>
        <w:pStyle w:val="2"/>
        <w:rPr>
          <w:rFonts w:ascii="仿宋_GB2312" w:hAnsi="仿宋" w:eastAsia="仿宋_GB2312" w:cs="仿宋"/>
          <w:lang w:val="en-US" w:bidi="ar-SA"/>
        </w:rPr>
      </w:pPr>
      <w:r>
        <w:rPr>
          <w:rFonts w:hint="eastAsia" w:ascii="仿宋_GB2312" w:hAnsi="仿宋" w:eastAsia="仿宋_GB2312" w:cs="仿宋"/>
          <w:lang w:val="en-US" w:bidi="ar-SA"/>
        </w:rPr>
        <w:t>参照海南省教育厅技能大赛文件。</w:t>
      </w:r>
    </w:p>
    <w:p>
      <w:pPr>
        <w:pStyle w:val="2"/>
        <w:rPr>
          <w:rFonts w:ascii="仿宋_GB2312" w:hAnsi="仿宋" w:eastAsia="仿宋_GB2312" w:cs="仿宋"/>
          <w:lang w:val="en-US" w:bidi="ar-SA"/>
        </w:rPr>
      </w:pPr>
    </w:p>
    <w:p>
      <w:pPr>
        <w:spacing w:line="560" w:lineRule="exact"/>
        <w:rPr>
          <w:rFonts w:ascii="仿宋_GB2312" w:hAnsi="黑体" w:eastAsia="仿宋_GB2312" w:cs="黑体"/>
          <w:b/>
          <w:bCs/>
          <w:sz w:val="28"/>
          <w:szCs w:val="28"/>
        </w:rPr>
      </w:pPr>
      <w:r>
        <w:rPr>
          <w:rFonts w:hint="eastAsia" w:ascii="仿宋_GB2312" w:hAnsi="黑体" w:eastAsia="仿宋_GB2312" w:cs="黑体"/>
          <w:b/>
          <w:bCs/>
          <w:sz w:val="28"/>
          <w:szCs w:val="28"/>
        </w:rPr>
        <w:t>十三、赛场预案</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（一）疫情防控</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为确保竞赛安全顺利举办，需要切实做好竞赛期间疫情防控工作：</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1.按照相关要求，提前做好相关准备工作。抵达大赛承办地后，服从当地疫情防控管理。</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2.中、高风险区人员及具有 14 日内中高风险区旅行史人员，按照赛项当地疫情指挥部的防疫政策执行核酸检测或隔离后，方可参赛，具体以比赛时的疫情政策为准。</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3.乘坐公共交通工具时请做好个人防护，全程佩戴口罩，尽量减少与其他人员交流,避免聚集,与同乘者尽量保持距离，尽量少接触车上的扶手、拉环等部位，接触后避免碰触眼、鼻、口，并及时洗手。</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4.各参赛代表队及所有参加大赛人员持健康通行码绿码，接受体温检测，体温低于 37.3℃方可入场。在测温正常且做好个人防护前提下可有序流动。进入密闭会场时，需佩戴普通医用口罩。</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5.参赛过程中身体状况异常的，大赛执委会将协调卫生健康部门组织疾控机构和医疗机构专家对其进行核酸检测，并提出专业评估建议。</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6.大赛应避免人员聚集，要将赛事疫情防控要求、报名报到办法、交通食宿、赛前训练及比赛日程安排等，提前告知参赛人员，确保各类人员错峰、有序报到和参赛。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7.竞赛场地各参赛工位间隔不小于 1.5 米，并为参赛选手提供免洗洗手液、医用口罩等防护用品。</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（二）非正常停电</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竞赛现场如出现突然非正常停电的，按下述步骤进行处理：</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1.裁判员提示参赛选手，工作人员提示观摩人员要保持镇静，防止踩踏事件发生；</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2.裁判员提示参赛选手在电源保护装置的有效时间内备份计算机操作数据，并等候处理决定；</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3.必要时，保卫人员开启安全通道，有序疏散现场人员离场；</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4.裁判长视情况决定启动备用电源或延迟竞赛。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5.现场电力恢复后，由裁判组集体商定根据竞赛内容特点的不同可采用继续比赛、顺延比赛时间、重赛等处理办法。</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（三）竞赛设备故障</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竞赛过程中，如遇竞赛设备故障，按下列程序报告并处理：</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1.参赛选手持“故障”示意牌示意，说明故障现象，裁判员、技术员等应及时予以解决。</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2.确因设备无法继续操作，经由裁判员提出申请，报裁判长批准后，予以启用备用设备。</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3.竞赛设置了关键节点的自动备份功能，裁判长根据实际情况授权工作人员恢复备份数据。</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4.数据恢复正常后，由裁判组集体商定根据竞赛内容特点的不同可采用继续比赛、顺延比赛时间、重赛等处理办法。</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（四）参赛队员发生意外受伤或急病等情况</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参赛队员发生意外受伤或急病等情况，应按下列步骤进行处理：</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1.参赛选手持“医务”示意牌示意；</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2.现场医务人员迅速到达现场，救治或急送最近医院进行救治；</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3.参赛队其他队员可在不违反有关规定的情况下，协同完成竞赛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事项。</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（五）参赛现场出现暴力，人员拥堵，急性传染病人员进入等情况</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1.参赛现场出现暴力，人员拥堵，急性传染病人员进入等情况，应按下述步骤进行处理：</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有关人员迅速向赛项总指挥汇报，并由赛项总指挥向赛项执委会汇报，并由赛项执委会根据事态发展情况确定是否及时报告公安部门，公共卫生部门及医疗部门，在保证赛场内人员人生安全的原则下，尽量不扩大事态；</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3.根据赛前制定的现场保卫人员的职责范围，以及突发情况应对的赛前演练安排，赛项保卫人员迅速就位，对赛场内除参赛队以外的其他人员进行有序疏散；</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4.人员疏散后进行现场清理，如消毒，找出突发事件隐患并进行处理等；</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5.进行处理后，在保证参赛队员人身安全的前提下，继续有序组织竞赛。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（六）暴雨洪灾，火灾等事故</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如遇暴雨洪灾，火灾等事故，应按下述步骤进行处理：</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1.赛项执委会负责与公安，医疗，气象，交通等部门取得联系，并根据情况确定是否继续竞赛；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2.立即组织相关人员到现场，疏散人群，进行应急处理，如使用灭火装置灭掉明火等，必要时封存竞赛现场，停止竞赛；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3.现场裁判做好参赛选手工作，工作人员做好观摩人员的思想工作，确保事态不人为扩张。</w:t>
      </w:r>
    </w:p>
    <w:p>
      <w:pPr>
        <w:pStyle w:val="2"/>
        <w:rPr>
          <w:lang w:val="en-US" w:bidi="ar-SA"/>
        </w:rPr>
      </w:pPr>
    </w:p>
    <w:p>
      <w:pPr>
        <w:spacing w:line="560" w:lineRule="exact"/>
        <w:rPr>
          <w:rFonts w:ascii="仿宋_GB2312" w:hAnsi="黑体" w:eastAsia="仿宋_GB2312" w:cs="黑体"/>
          <w:b/>
          <w:bCs/>
          <w:sz w:val="28"/>
          <w:szCs w:val="28"/>
        </w:rPr>
      </w:pPr>
      <w:r>
        <w:rPr>
          <w:rFonts w:hint="eastAsia" w:ascii="仿宋_GB2312" w:hAnsi="黑体" w:eastAsia="仿宋_GB2312" w:cs="黑体"/>
          <w:b/>
          <w:bCs/>
          <w:sz w:val="28"/>
          <w:szCs w:val="28"/>
        </w:rPr>
        <w:t>十四、赛项安全</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赛事安全是电子商务技能竞赛一切工作顺利开展的先决条件，是赛事筹备和运行工作必须考虑的核心问题。赛项大赛执委会采取切实有效措施保证大赛期间参赛选手、指导教师、工作人员及观众的人身安全。</w:t>
      </w:r>
    </w:p>
    <w:p>
      <w:pPr>
        <w:pStyle w:val="19"/>
        <w:adjustRightInd w:val="0"/>
        <w:snapToGrid w:val="0"/>
        <w:spacing w:beforeLines="0" w:afterLines="0" w:line="560" w:lineRule="exact"/>
        <w:ind w:firstLine="560"/>
        <w:rPr>
          <w:rFonts w:ascii="仿宋_GB2312" w:hAnsi="仿宋" w:cs="仿宋"/>
        </w:rPr>
      </w:pPr>
      <w:bookmarkStart w:id="1" w:name="_Toc361563584"/>
      <w:r>
        <w:rPr>
          <w:rFonts w:hint="eastAsia" w:ascii="仿宋_GB2312" w:hAnsi="仿宋" w:cs="仿宋"/>
        </w:rPr>
        <w:t>（一）比赛环境</w:t>
      </w:r>
      <w:bookmarkEnd w:id="1"/>
    </w:p>
    <w:p>
      <w:pPr>
        <w:pStyle w:val="19"/>
        <w:numPr>
          <w:ilvl w:val="0"/>
          <w:numId w:val="4"/>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大赛执委会须在赛前组织专人对比赛现场布置，赛场内的器材、设备，应符合国家有关安全规定。如有必要，也可进行赛场仿真模拟测试，以发现可能出现的问题。承办单位赛前须按照大赛执委会要求排除安全隐患。</w:t>
      </w:r>
    </w:p>
    <w:p>
      <w:pPr>
        <w:pStyle w:val="19"/>
        <w:numPr>
          <w:ilvl w:val="0"/>
          <w:numId w:val="4"/>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赛场周围要设立警戒线，防止无关人员进入发生意外事件。在具有危险性的操作环节，裁判员要严防选手出现错误操作。</w:t>
      </w:r>
    </w:p>
    <w:p>
      <w:pPr>
        <w:pStyle w:val="19"/>
        <w:numPr>
          <w:ilvl w:val="0"/>
          <w:numId w:val="4"/>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承办单位应提供保证应急预案实施的条件。对于比赛内容涉及高空作业、可能有坠物、大用电量、易发生火灾等情况的赛项，必须明确制度和预案，并配备急救人员与设施。</w:t>
      </w:r>
    </w:p>
    <w:p>
      <w:pPr>
        <w:pStyle w:val="19"/>
        <w:numPr>
          <w:ilvl w:val="0"/>
          <w:numId w:val="4"/>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大赛期间，承办单位须在赛场管理的关键岗位，增加力量。</w:t>
      </w:r>
    </w:p>
    <w:p>
      <w:pPr>
        <w:pStyle w:val="19"/>
        <w:numPr>
          <w:ilvl w:val="0"/>
          <w:numId w:val="4"/>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参赛选手进入赛位、赛事裁判工作人员进入工作场所，严禁携带通讯、照相摄录设备，禁止携带记录用具。如确有需要，由赛场统一配置、统一管理。赛项可根据需要配置安检设备对进入赛场重要部位的人员进行安检。</w:t>
      </w:r>
    </w:p>
    <w:p>
      <w:pPr>
        <w:pStyle w:val="19"/>
        <w:adjustRightInd w:val="0"/>
        <w:snapToGrid w:val="0"/>
        <w:spacing w:beforeLines="0" w:afterLines="0" w:line="560" w:lineRule="exact"/>
        <w:ind w:left="560" w:firstLine="0" w:firstLineChars="0"/>
        <w:rPr>
          <w:rFonts w:ascii="仿宋_GB2312" w:hAnsi="仿宋" w:cs="仿宋"/>
        </w:rPr>
      </w:pPr>
      <w:bookmarkStart w:id="2" w:name="_Toc361563586"/>
      <w:r>
        <w:rPr>
          <w:rFonts w:hint="eastAsia" w:ascii="仿宋_GB2312" w:hAnsi="仿宋" w:cs="仿宋"/>
        </w:rPr>
        <w:t>（二）组队责任</w:t>
      </w:r>
      <w:bookmarkEnd w:id="2"/>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1.各学校组织代表队时，须安排为参赛选手购买大赛期间的人身意外伤害保险。</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2.各学校代表队组成后，须制定相关管理制度，并对所有选手、指导教师进行安全教育。</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3.各参赛队伍须加强对参与比赛人员的安全管理，实现与赛场安全管理的对接。</w:t>
      </w:r>
    </w:p>
    <w:p>
      <w:pPr>
        <w:pStyle w:val="19"/>
        <w:adjustRightInd w:val="0"/>
        <w:snapToGrid w:val="0"/>
        <w:spacing w:beforeLines="0" w:afterLines="0" w:line="560" w:lineRule="exact"/>
        <w:ind w:left="560" w:firstLine="0" w:firstLineChars="0"/>
        <w:rPr>
          <w:rFonts w:ascii="仿宋_GB2312" w:hAnsi="仿宋" w:cs="仿宋"/>
        </w:rPr>
      </w:pPr>
      <w:bookmarkStart w:id="3" w:name="_Toc361563588"/>
      <w:r>
        <w:rPr>
          <w:rFonts w:hint="eastAsia" w:ascii="仿宋_GB2312" w:hAnsi="仿宋" w:cs="仿宋"/>
        </w:rPr>
        <w:t>（三）处罚措施</w:t>
      </w:r>
      <w:bookmarkEnd w:id="3"/>
    </w:p>
    <w:p>
      <w:pPr>
        <w:pStyle w:val="19"/>
        <w:adjustRightInd w:val="0"/>
        <w:snapToGrid w:val="0"/>
        <w:spacing w:beforeLines="0" w:afterLines="0" w:line="560" w:lineRule="exact"/>
        <w:ind w:left="560" w:firstLine="0" w:firstLineChars="0"/>
        <w:rPr>
          <w:rFonts w:ascii="仿宋_GB2312" w:hAnsi="仿宋" w:cs="仿宋"/>
        </w:rPr>
      </w:pPr>
      <w:r>
        <w:rPr>
          <w:rFonts w:hint="eastAsia" w:ascii="仿宋_GB2312" w:hAnsi="仿宋" w:cs="仿宋"/>
        </w:rPr>
        <w:t>1.因参赛队伍原因造成重大安全事故的，取消其获奖资格。</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2.参赛队伍有发生重大安全事故隐患，经赛场工作人员提示、警告无效的，可取消其继续比赛的资格。</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3.赛事工作人员违规的，按照相应的制度追究责任。情节恶劣并造成重大安全事故的，由司法机关追究相应法律责任。</w:t>
      </w:r>
    </w:p>
    <w:p>
      <w:pPr>
        <w:spacing w:line="560" w:lineRule="exact"/>
        <w:ind w:firstLine="562" w:firstLineChars="200"/>
        <w:rPr>
          <w:rFonts w:ascii="仿宋_GB2312" w:hAnsi="黑体" w:eastAsia="仿宋_GB2312" w:cs="黑体"/>
          <w:b/>
          <w:bCs/>
          <w:sz w:val="28"/>
          <w:szCs w:val="28"/>
        </w:rPr>
      </w:pPr>
    </w:p>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十五、竞赛须知</w:t>
      </w:r>
    </w:p>
    <w:p>
      <w:pPr>
        <w:adjustRightInd w:val="0"/>
        <w:snapToGrid w:val="0"/>
        <w:spacing w:line="560" w:lineRule="exact"/>
        <w:ind w:left="562"/>
        <w:rPr>
          <w:rFonts w:ascii="仿宋_GB2312" w:hAnsi="仿宋" w:eastAsia="仿宋_GB2312" w:cs="仿宋"/>
          <w:sz w:val="28"/>
          <w:szCs w:val="28"/>
        </w:rPr>
      </w:pPr>
      <w:r>
        <w:rPr>
          <w:rFonts w:hint="eastAsia" w:ascii="仿宋_GB2312" w:hAnsi="仿宋" w:eastAsia="仿宋_GB2312" w:cs="仿宋"/>
          <w:sz w:val="28"/>
          <w:szCs w:val="28"/>
        </w:rPr>
        <w:t>（一）参赛队须知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1.参赛队名称统一使用学校名称，不使用其他组织、团体名称；不接受跨校组队报名。</w:t>
      </w:r>
    </w:p>
    <w:p>
      <w:pPr>
        <w:pStyle w:val="19"/>
        <w:adjustRightInd w:val="0"/>
        <w:snapToGrid w:val="0"/>
        <w:spacing w:beforeLines="0" w:afterLines="0" w:line="560" w:lineRule="exact"/>
        <w:ind w:firstLine="560"/>
        <w:rPr>
          <w:rFonts w:ascii="仿宋_GB2312" w:hAnsi="仿宋" w:cs="仿宋"/>
        </w:rPr>
      </w:pPr>
      <w:r>
        <w:rPr>
          <w:rFonts w:ascii="仿宋_GB2312" w:hAnsi="仿宋" w:cs="仿宋"/>
        </w:rPr>
        <w:t>2</w:t>
      </w:r>
      <w:r>
        <w:rPr>
          <w:rFonts w:hint="eastAsia" w:ascii="仿宋_GB2312" w:hAnsi="仿宋" w:cs="仿宋"/>
        </w:rPr>
        <w:t>.参赛队按照大赛赛程安排，凭大赛组委会颁发的参赛证和有效身份证件参加比赛及相关活动。</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3.参赛队员需要购买保险。</w:t>
      </w:r>
    </w:p>
    <w:p>
      <w:pPr>
        <w:adjustRightInd w:val="0"/>
        <w:snapToGrid w:val="0"/>
        <w:spacing w:line="560" w:lineRule="exact"/>
        <w:ind w:left="562"/>
        <w:rPr>
          <w:rFonts w:ascii="仿宋_GB2312" w:hAnsi="仿宋" w:eastAsia="仿宋_GB2312" w:cs="仿宋"/>
          <w:b/>
          <w:sz w:val="28"/>
          <w:szCs w:val="28"/>
        </w:rPr>
      </w:pPr>
      <w:r>
        <w:rPr>
          <w:rFonts w:hint="eastAsia" w:ascii="仿宋_GB2312" w:hAnsi="仿宋" w:eastAsia="仿宋_GB2312" w:cs="仿宋"/>
          <w:sz w:val="28"/>
          <w:szCs w:val="28"/>
        </w:rPr>
        <w:t>（二）指导教师须知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1.各参赛代表队要发扬良好道德风尚，听从指挥，服从裁判，不弄虚作假。如发现弄虚作假者，取消参赛资格，名次无效。</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2.各代表队领队要坚决执行竞赛的各项规定，加强对参赛人员的管理，做好赛前准备工作，督促选手带好证件等竞赛相关材料。</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3.竞赛过程中，除参加当场次竞赛的选手、执行裁判员、现场工作人员和经批准的人员外，领队、指导教师及其他人员一律不得进入竞赛现场。</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4.参赛代表队若对竞赛过程有异议，在规定的时间内由领队向赛项仲裁工作组提出书面报告。</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5.对申诉的仲裁结果，领队要带头服从和执行，并做好选手工作。参赛选手不得因申诉或对处理意见不服而停止竞赛，否则以弃权处理。</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6.指导老师应及时查看大赛专用网页有关赛项的通知和内容，认真研究和掌握本赛项竞赛的规程、技术规范和赛场要求，指导选手做好赛前的一切技术准备和竞赛准备。</w:t>
      </w:r>
    </w:p>
    <w:p>
      <w:pPr>
        <w:pStyle w:val="19"/>
        <w:adjustRightInd w:val="0"/>
        <w:snapToGrid w:val="0"/>
        <w:spacing w:beforeLines="0" w:afterLines="0" w:line="560" w:lineRule="exact"/>
        <w:ind w:firstLine="560"/>
        <w:rPr>
          <w:rFonts w:ascii="仿宋_GB2312" w:hAnsi="仿宋" w:cs="仿宋"/>
          <w:b/>
        </w:rPr>
      </w:pPr>
      <w:r>
        <w:rPr>
          <w:rFonts w:hint="eastAsia" w:ascii="仿宋_GB2312" w:hAnsi="仿宋" w:cs="仿宋"/>
        </w:rPr>
        <w:t>（三）参赛选手须知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1.参赛选手应按有关要求如实填报个人信息，否则取消竞赛资格。</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2.参赛选手凭统一印制的参赛证和有效身份证件参加竞赛。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3.参赛选手应认真学习领会本次竞赛相关文件，自觉遵守大赛纪律，服从指挥，听从安排，文明参赛。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4.参赛选手请勿携带与竞赛无关的电子设备、通讯设备及其他资料与用品。</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5.应提前15分钟抵达赛场，凭参赛证、身份证件检录，按要求入场，不得迟到早退。</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6.参赛选手应按抽签结果在指定位置就坐。</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7.参赛选手须在确认竞赛内容和现场设备等无误后开始竞赛。</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8.各参赛选手必须按规范要求操作竞赛设备。一旦出现较严重的安全事故，经裁判长批准后将立即取消其参赛资格。</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9.竞赛时间结束了，选手应全体起立，结束操作。签字确认成绩后方可离开赛场。</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10.在竞赛期间，未经大赛执委会的批准，参赛选手不得接受其他单位和个人进行的与竞赛内容相关的采访。参赛选手不得将竞赛的相关信息私自公布。</w:t>
      </w:r>
    </w:p>
    <w:p>
      <w:pPr>
        <w:pStyle w:val="19"/>
        <w:adjustRightInd w:val="0"/>
        <w:snapToGrid w:val="0"/>
        <w:spacing w:beforeLines="0" w:afterLines="0" w:line="560" w:lineRule="exact"/>
        <w:ind w:firstLine="560"/>
        <w:rPr>
          <w:rFonts w:ascii="仿宋_GB2312" w:hAnsi="仿宋" w:cs="仿宋"/>
          <w:b/>
        </w:rPr>
      </w:pPr>
      <w:r>
        <w:rPr>
          <w:rFonts w:hint="eastAsia" w:ascii="仿宋_GB2312" w:hAnsi="仿宋" w:cs="仿宋"/>
        </w:rPr>
        <w:t>（四）工作人员须知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1.工作人员必须统一佩戴由大赛组委会签发的相应证件，着装整齐。</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2.工作人员不得影响参赛选手比赛，不允许有影响比赛公平的行为。</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3.服从领导，听从指挥，以高度负责的精神、严肃认真的态度做好各项工作。</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4.熟悉比赛规程，认真遵守各项比赛规则和工作要求。</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5.坚守岗位，如有急事需要离开岗位时，应经领导同意，并做好工作衔接。</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6.严格遵守比赛纪律，如发现其他人员有违反比赛纪律的行为，应予以制止。情节严重的，应向竞赛组委会反映。</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7.发扬无私奉献和团结协作的精神，提供热情、优质服务。</w:t>
      </w:r>
    </w:p>
    <w:p>
      <w:pPr>
        <w:pStyle w:val="19"/>
        <w:adjustRightInd w:val="0"/>
        <w:snapToGrid w:val="0"/>
        <w:spacing w:beforeLines="0" w:afterLines="0" w:line="560" w:lineRule="exact"/>
        <w:ind w:firstLine="560"/>
        <w:rPr>
          <w:rFonts w:ascii="仿宋_GB2312" w:hAnsi="仿宋" w:cs="仿宋"/>
          <w:color w:val="FF0000"/>
        </w:rPr>
      </w:pPr>
    </w:p>
    <w:p>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十六、申诉与仲裁</w:t>
      </w:r>
    </w:p>
    <w:p>
      <w:pPr>
        <w:pStyle w:val="19"/>
        <w:adjustRightInd w:val="0"/>
        <w:snapToGrid w:val="0"/>
        <w:spacing w:beforeLines="0" w:afterLines="0" w:line="560" w:lineRule="exact"/>
        <w:ind w:firstLine="560"/>
        <w:rPr>
          <w:rFonts w:ascii="仿宋_GB2312" w:hAnsi="仿宋" w:cs="仿宋"/>
        </w:rPr>
      </w:pPr>
      <w:r>
        <w:rPr>
          <w:rFonts w:hint="eastAsia" w:ascii="仿宋_GB2312" w:hAnsi="仿宋" w:cs="仿宋"/>
        </w:rPr>
        <w:t>本赛项在比赛过程中若出现有失公正或有关人员违规等现象，代表队领队可在比赛结束后（选手赛场比赛内容全部完成）2小时之内向仲裁组提出书面申诉。超过时效不予受理。仲裁委员会在接到申诉后的2个小时内组织复议，并及时反馈复议结果。仲裁委员会的仲裁结果为最终结果。</w:t>
      </w:r>
    </w:p>
    <w:p>
      <w:pPr>
        <w:pStyle w:val="19"/>
        <w:adjustRightInd w:val="0"/>
        <w:snapToGrid w:val="0"/>
        <w:spacing w:beforeLines="0" w:afterLines="0" w:line="560" w:lineRule="exact"/>
        <w:ind w:firstLine="560"/>
        <w:rPr>
          <w:rFonts w:ascii="仿宋_GB2312" w:hAnsi="仿宋" w:cs="仿宋"/>
        </w:rPr>
      </w:pPr>
    </w:p>
    <w:p>
      <w:pPr>
        <w:pStyle w:val="19"/>
        <w:adjustRightInd w:val="0"/>
        <w:snapToGrid w:val="0"/>
        <w:spacing w:beforeLines="0" w:afterLines="0" w:line="560" w:lineRule="exact"/>
        <w:ind w:firstLine="560"/>
        <w:rPr>
          <w:rFonts w:ascii="仿宋_GB2312" w:hAnsi="仿宋" w:cs="仿宋"/>
          <w:color w:val="FF0000"/>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121AD2"/>
    <w:multiLevelType w:val="multilevel"/>
    <w:tmpl w:val="11121AD2"/>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3C9610AF"/>
    <w:multiLevelType w:val="multilevel"/>
    <w:tmpl w:val="3C9610AF"/>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4C1BAE26"/>
    <w:multiLevelType w:val="multilevel"/>
    <w:tmpl w:val="4C1BAE26"/>
    <w:lvl w:ilvl="0" w:tentative="0">
      <w:start w:val="1"/>
      <w:numFmt w:val="decimal"/>
      <w:lvlText w:val="（%1）"/>
      <w:lvlJc w:val="left"/>
      <w:pPr>
        <w:ind w:left="633" w:hanging="527"/>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1140" w:hanging="527"/>
      </w:pPr>
      <w:rPr>
        <w:rFonts w:hint="default"/>
        <w:lang w:val="zh-CN" w:eastAsia="zh-CN" w:bidi="zh-CN"/>
      </w:rPr>
    </w:lvl>
    <w:lvl w:ilvl="2" w:tentative="0">
      <w:start w:val="0"/>
      <w:numFmt w:val="bullet"/>
      <w:lvlText w:val="•"/>
      <w:lvlJc w:val="left"/>
      <w:pPr>
        <w:ind w:left="1641" w:hanging="527"/>
      </w:pPr>
      <w:rPr>
        <w:rFonts w:hint="default"/>
        <w:lang w:val="zh-CN" w:eastAsia="zh-CN" w:bidi="zh-CN"/>
      </w:rPr>
    </w:lvl>
    <w:lvl w:ilvl="3" w:tentative="0">
      <w:start w:val="0"/>
      <w:numFmt w:val="bullet"/>
      <w:lvlText w:val="•"/>
      <w:lvlJc w:val="left"/>
      <w:pPr>
        <w:ind w:left="2141" w:hanging="527"/>
      </w:pPr>
      <w:rPr>
        <w:rFonts w:hint="default"/>
        <w:lang w:val="zh-CN" w:eastAsia="zh-CN" w:bidi="zh-CN"/>
      </w:rPr>
    </w:lvl>
    <w:lvl w:ilvl="4" w:tentative="0">
      <w:start w:val="0"/>
      <w:numFmt w:val="bullet"/>
      <w:lvlText w:val="•"/>
      <w:lvlJc w:val="left"/>
      <w:pPr>
        <w:ind w:left="2642" w:hanging="527"/>
      </w:pPr>
      <w:rPr>
        <w:rFonts w:hint="default"/>
        <w:lang w:val="zh-CN" w:eastAsia="zh-CN" w:bidi="zh-CN"/>
      </w:rPr>
    </w:lvl>
    <w:lvl w:ilvl="5" w:tentative="0">
      <w:start w:val="0"/>
      <w:numFmt w:val="bullet"/>
      <w:lvlText w:val="•"/>
      <w:lvlJc w:val="left"/>
      <w:pPr>
        <w:ind w:left="3142" w:hanging="527"/>
      </w:pPr>
      <w:rPr>
        <w:rFonts w:hint="default"/>
        <w:lang w:val="zh-CN" w:eastAsia="zh-CN" w:bidi="zh-CN"/>
      </w:rPr>
    </w:lvl>
    <w:lvl w:ilvl="6" w:tentative="0">
      <w:start w:val="0"/>
      <w:numFmt w:val="bullet"/>
      <w:lvlText w:val="•"/>
      <w:lvlJc w:val="left"/>
      <w:pPr>
        <w:ind w:left="3643" w:hanging="527"/>
      </w:pPr>
      <w:rPr>
        <w:rFonts w:hint="default"/>
        <w:lang w:val="zh-CN" w:eastAsia="zh-CN" w:bidi="zh-CN"/>
      </w:rPr>
    </w:lvl>
    <w:lvl w:ilvl="7" w:tentative="0">
      <w:start w:val="0"/>
      <w:numFmt w:val="bullet"/>
      <w:lvlText w:val="•"/>
      <w:lvlJc w:val="left"/>
      <w:pPr>
        <w:ind w:left="4143" w:hanging="527"/>
      </w:pPr>
      <w:rPr>
        <w:rFonts w:hint="default"/>
        <w:lang w:val="zh-CN" w:eastAsia="zh-CN" w:bidi="zh-CN"/>
      </w:rPr>
    </w:lvl>
    <w:lvl w:ilvl="8" w:tentative="0">
      <w:start w:val="0"/>
      <w:numFmt w:val="bullet"/>
      <w:lvlText w:val="•"/>
      <w:lvlJc w:val="left"/>
      <w:pPr>
        <w:ind w:left="4644" w:hanging="527"/>
      </w:pPr>
      <w:rPr>
        <w:rFonts w:hint="default"/>
        <w:lang w:val="zh-CN" w:eastAsia="zh-CN" w:bidi="zh-CN"/>
      </w:rPr>
    </w:lvl>
  </w:abstractNum>
  <w:abstractNum w:abstractNumId="3">
    <w:nsid w:val="608C2E0E"/>
    <w:multiLevelType w:val="multilevel"/>
    <w:tmpl w:val="608C2E0E"/>
    <w:lvl w:ilvl="0" w:tentative="0">
      <w:start w:val="1"/>
      <w:numFmt w:val="decimal"/>
      <w:lvlText w:val="%1."/>
      <w:lvlJc w:val="left"/>
      <w:pPr>
        <w:ind w:left="988"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0YjU1YWZlYjE5MWVkM2U5NWRlNzU4MzVmODhjODMifQ=="/>
  </w:docVars>
  <w:rsids>
    <w:rsidRoot w:val="004E26C3"/>
    <w:rsid w:val="00011878"/>
    <w:rsid w:val="00025EE9"/>
    <w:rsid w:val="00046149"/>
    <w:rsid w:val="000B4F8B"/>
    <w:rsid w:val="000D529B"/>
    <w:rsid w:val="00130F3C"/>
    <w:rsid w:val="001476FB"/>
    <w:rsid w:val="001849BF"/>
    <w:rsid w:val="001A3D4E"/>
    <w:rsid w:val="001C5496"/>
    <w:rsid w:val="001E312F"/>
    <w:rsid w:val="0020032F"/>
    <w:rsid w:val="002460A7"/>
    <w:rsid w:val="00257807"/>
    <w:rsid w:val="00260DD8"/>
    <w:rsid w:val="00281AD2"/>
    <w:rsid w:val="002D5FF4"/>
    <w:rsid w:val="00390437"/>
    <w:rsid w:val="00454820"/>
    <w:rsid w:val="00473A65"/>
    <w:rsid w:val="00476653"/>
    <w:rsid w:val="00482465"/>
    <w:rsid w:val="00487CE9"/>
    <w:rsid w:val="00495A06"/>
    <w:rsid w:val="004C7FC9"/>
    <w:rsid w:val="004E26C3"/>
    <w:rsid w:val="005A7F4C"/>
    <w:rsid w:val="005D5AE7"/>
    <w:rsid w:val="005E4CB5"/>
    <w:rsid w:val="005F0D01"/>
    <w:rsid w:val="00640BF8"/>
    <w:rsid w:val="00692B66"/>
    <w:rsid w:val="006B09D4"/>
    <w:rsid w:val="006F5A5F"/>
    <w:rsid w:val="00702623"/>
    <w:rsid w:val="0073736F"/>
    <w:rsid w:val="00774F00"/>
    <w:rsid w:val="00783CB7"/>
    <w:rsid w:val="00811C7D"/>
    <w:rsid w:val="00823179"/>
    <w:rsid w:val="00846091"/>
    <w:rsid w:val="0086177D"/>
    <w:rsid w:val="008A460C"/>
    <w:rsid w:val="008C4228"/>
    <w:rsid w:val="008F000B"/>
    <w:rsid w:val="009010CE"/>
    <w:rsid w:val="00931CC5"/>
    <w:rsid w:val="00952997"/>
    <w:rsid w:val="00956DD9"/>
    <w:rsid w:val="00980718"/>
    <w:rsid w:val="009945C6"/>
    <w:rsid w:val="009A25BB"/>
    <w:rsid w:val="009C0F83"/>
    <w:rsid w:val="00A06104"/>
    <w:rsid w:val="00A33371"/>
    <w:rsid w:val="00A46C2C"/>
    <w:rsid w:val="00A87C91"/>
    <w:rsid w:val="00AA4F00"/>
    <w:rsid w:val="00B560FA"/>
    <w:rsid w:val="00C22C28"/>
    <w:rsid w:val="00C23C83"/>
    <w:rsid w:val="00C3179C"/>
    <w:rsid w:val="00C549B7"/>
    <w:rsid w:val="00CC215C"/>
    <w:rsid w:val="00CC4095"/>
    <w:rsid w:val="00CE0199"/>
    <w:rsid w:val="00CE6DC0"/>
    <w:rsid w:val="00CE7D67"/>
    <w:rsid w:val="00D15D61"/>
    <w:rsid w:val="00D43B4F"/>
    <w:rsid w:val="00DC4933"/>
    <w:rsid w:val="00DE1256"/>
    <w:rsid w:val="00E503E3"/>
    <w:rsid w:val="00E71955"/>
    <w:rsid w:val="00E825AF"/>
    <w:rsid w:val="00EC31CD"/>
    <w:rsid w:val="00F20CD7"/>
    <w:rsid w:val="00F30F71"/>
    <w:rsid w:val="00F335DC"/>
    <w:rsid w:val="00F42343"/>
    <w:rsid w:val="00F448E8"/>
    <w:rsid w:val="00F54980"/>
    <w:rsid w:val="00FD7452"/>
    <w:rsid w:val="00FE52FD"/>
    <w:rsid w:val="00FE570A"/>
    <w:rsid w:val="00FF739B"/>
    <w:rsid w:val="014F1E5C"/>
    <w:rsid w:val="016F6BA1"/>
    <w:rsid w:val="02A778FD"/>
    <w:rsid w:val="03516D75"/>
    <w:rsid w:val="06FC59BD"/>
    <w:rsid w:val="09C93363"/>
    <w:rsid w:val="13E42ACF"/>
    <w:rsid w:val="16F978E5"/>
    <w:rsid w:val="1A0027CD"/>
    <w:rsid w:val="200D7492"/>
    <w:rsid w:val="287A6C97"/>
    <w:rsid w:val="28EA66FE"/>
    <w:rsid w:val="2919713D"/>
    <w:rsid w:val="2CD10034"/>
    <w:rsid w:val="35BF40E8"/>
    <w:rsid w:val="36ED6E41"/>
    <w:rsid w:val="37BA64A0"/>
    <w:rsid w:val="3D7E7CCA"/>
    <w:rsid w:val="3D8F3F0E"/>
    <w:rsid w:val="3FBC1E7E"/>
    <w:rsid w:val="47CF6718"/>
    <w:rsid w:val="48CE639C"/>
    <w:rsid w:val="4ACC3711"/>
    <w:rsid w:val="4D8F75A6"/>
    <w:rsid w:val="55824F36"/>
    <w:rsid w:val="55F81265"/>
    <w:rsid w:val="59514B97"/>
    <w:rsid w:val="5D58549A"/>
    <w:rsid w:val="5F4C470E"/>
    <w:rsid w:val="62AD5DC8"/>
    <w:rsid w:val="63C8678D"/>
    <w:rsid w:val="67EB60F1"/>
    <w:rsid w:val="68474013"/>
    <w:rsid w:val="6AE121A5"/>
    <w:rsid w:val="6BF30CC1"/>
    <w:rsid w:val="6C273DAE"/>
    <w:rsid w:val="6E100D2A"/>
    <w:rsid w:val="6FE47FE0"/>
    <w:rsid w:val="7255691E"/>
    <w:rsid w:val="742F5032"/>
    <w:rsid w:val="74955B4A"/>
    <w:rsid w:val="757B0019"/>
    <w:rsid w:val="759B1959"/>
    <w:rsid w:val="7A2A7B82"/>
    <w:rsid w:val="7EC70F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link w:val="13"/>
    <w:semiHidden/>
    <w:unhideWhenUsed/>
    <w:qFormat/>
    <w:uiPriority w:val="0"/>
    <w:pPr>
      <w:keepNext/>
      <w:keepLines/>
      <w:spacing w:line="412" w:lineRule="auto"/>
      <w:outlineLvl w:val="1"/>
    </w:pPr>
    <w:rPr>
      <w:rFonts w:ascii="Arial" w:hAnsi="Arial" w:eastAsia="黑体"/>
      <w:b/>
      <w:kern w:val="0"/>
      <w:sz w:val="32"/>
      <w:szCs w:val="20"/>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pPr>
      <w:ind w:left="640"/>
    </w:pPr>
    <w:rPr>
      <w:rFonts w:ascii="宋体" w:hAnsi="宋体" w:cs="宋体"/>
      <w:sz w:val="28"/>
      <w:szCs w:val="28"/>
      <w:lang w:val="zh-CN" w:bidi="zh-CN"/>
    </w:rPr>
  </w:style>
  <w:style w:type="paragraph" w:styleId="4">
    <w:name w:val="annotation text"/>
    <w:basedOn w:val="1"/>
    <w:link w:val="16"/>
    <w:qFormat/>
    <w:uiPriority w:val="0"/>
    <w:pPr>
      <w:jc w:val="left"/>
    </w:pPr>
    <w:rPr>
      <w:rFonts w:ascii="Times New Roman" w:hAnsi="Times New Roman" w:eastAsiaTheme="minorEastAsia" w:cstheme="minorBidi"/>
    </w:rPr>
  </w:style>
  <w:style w:type="paragraph" w:styleId="5">
    <w:name w:val="footer"/>
    <w:basedOn w:val="1"/>
    <w:link w:val="14"/>
    <w:qFormat/>
    <w:uiPriority w:val="0"/>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2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paragraph" w:styleId="8">
    <w:name w:val="Title"/>
    <w:basedOn w:val="1"/>
    <w:next w:val="1"/>
    <w:link w:val="24"/>
    <w:qFormat/>
    <w:uiPriority w:val="99"/>
    <w:pPr>
      <w:spacing w:before="240" w:after="60"/>
      <w:jc w:val="center"/>
      <w:outlineLvl w:val="0"/>
    </w:pPr>
    <w:rPr>
      <w:rFonts w:asciiTheme="majorHAnsi" w:hAnsiTheme="majorHAnsi" w:cstheme="majorBidi"/>
      <w:b/>
      <w:bCs/>
      <w:sz w:val="32"/>
      <w:szCs w:val="32"/>
    </w:rPr>
  </w:style>
  <w:style w:type="paragraph" w:styleId="9">
    <w:name w:val="Body Text First Indent"/>
    <w:basedOn w:val="2"/>
    <w:qFormat/>
    <w:uiPriority w:val="0"/>
    <w:pPr>
      <w:ind w:firstLine="420" w:firstLineChars="100"/>
    </w:pPr>
  </w:style>
  <w:style w:type="character" w:styleId="12">
    <w:name w:val="Hyperlink"/>
    <w:unhideWhenUsed/>
    <w:qFormat/>
    <w:uiPriority w:val="99"/>
    <w:rPr>
      <w:color w:val="136EC2"/>
      <w:u w:val="single"/>
    </w:rPr>
  </w:style>
  <w:style w:type="character" w:customStyle="1" w:styleId="13">
    <w:name w:val="标题 2 字符1"/>
    <w:link w:val="3"/>
    <w:semiHidden/>
    <w:qFormat/>
    <w:locked/>
    <w:uiPriority w:val="0"/>
    <w:rPr>
      <w:rFonts w:ascii="Arial" w:hAnsi="Arial" w:eastAsia="黑体" w:cs="Times New Roman"/>
      <w:b/>
      <w:kern w:val="0"/>
      <w:sz w:val="32"/>
      <w:szCs w:val="20"/>
    </w:rPr>
  </w:style>
  <w:style w:type="character" w:customStyle="1" w:styleId="14">
    <w:name w:val="页脚 字符"/>
    <w:link w:val="5"/>
    <w:qFormat/>
    <w:uiPriority w:val="0"/>
    <w:rPr>
      <w:sz w:val="18"/>
      <w:szCs w:val="18"/>
    </w:rPr>
  </w:style>
  <w:style w:type="character" w:customStyle="1" w:styleId="15">
    <w:name w:val="页脚 字符1"/>
    <w:basedOn w:val="11"/>
    <w:semiHidden/>
    <w:qFormat/>
    <w:uiPriority w:val="99"/>
    <w:rPr>
      <w:rFonts w:ascii="Calibri" w:hAnsi="Calibri" w:eastAsia="宋体" w:cs="Times New Roman"/>
      <w:sz w:val="18"/>
      <w:szCs w:val="18"/>
    </w:rPr>
  </w:style>
  <w:style w:type="character" w:customStyle="1" w:styleId="16">
    <w:name w:val="批注文字 字符1"/>
    <w:link w:val="4"/>
    <w:qFormat/>
    <w:uiPriority w:val="0"/>
    <w:rPr>
      <w:rFonts w:ascii="Times New Roman" w:hAnsi="Times New Roman"/>
      <w:szCs w:val="24"/>
    </w:rPr>
  </w:style>
  <w:style w:type="character" w:customStyle="1" w:styleId="17">
    <w:name w:val="批注文字 字符"/>
    <w:basedOn w:val="11"/>
    <w:semiHidden/>
    <w:qFormat/>
    <w:uiPriority w:val="99"/>
    <w:rPr>
      <w:rFonts w:ascii="Calibri" w:hAnsi="Calibri" w:eastAsia="宋体" w:cs="Times New Roman"/>
      <w:szCs w:val="24"/>
    </w:rPr>
  </w:style>
  <w:style w:type="character" w:customStyle="1" w:styleId="18">
    <w:name w:val="5-内文 Char"/>
    <w:link w:val="19"/>
    <w:qFormat/>
    <w:uiPriority w:val="99"/>
    <w:rPr>
      <w:rFonts w:ascii="Times New Roman" w:hAnsi="Times New Roman" w:eastAsia="仿宋_GB2312"/>
      <w:sz w:val="28"/>
      <w:szCs w:val="28"/>
    </w:rPr>
  </w:style>
  <w:style w:type="paragraph" w:customStyle="1" w:styleId="19">
    <w:name w:val="5-内文"/>
    <w:basedOn w:val="1"/>
    <w:link w:val="18"/>
    <w:qFormat/>
    <w:uiPriority w:val="99"/>
    <w:pPr>
      <w:spacing w:beforeLines="25" w:afterLines="25" w:line="300" w:lineRule="auto"/>
      <w:ind w:firstLine="200" w:firstLineChars="200"/>
    </w:pPr>
    <w:rPr>
      <w:rFonts w:ascii="Times New Roman" w:hAnsi="Times New Roman" w:eastAsia="仿宋_GB2312" w:cstheme="minorBidi"/>
      <w:sz w:val="28"/>
      <w:szCs w:val="28"/>
    </w:rPr>
  </w:style>
  <w:style w:type="character" w:customStyle="1" w:styleId="20">
    <w:name w:val="标题 2 字符"/>
    <w:basedOn w:val="11"/>
    <w:semiHidden/>
    <w:qFormat/>
    <w:uiPriority w:val="9"/>
    <w:rPr>
      <w:rFonts w:asciiTheme="majorHAnsi" w:hAnsiTheme="majorHAnsi" w:eastAsiaTheme="majorEastAsia" w:cstheme="majorBidi"/>
      <w:b/>
      <w:bCs/>
      <w:sz w:val="32"/>
      <w:szCs w:val="32"/>
    </w:rPr>
  </w:style>
  <w:style w:type="character" w:customStyle="1" w:styleId="21">
    <w:name w:val="页眉 字符"/>
    <w:basedOn w:val="11"/>
    <w:link w:val="6"/>
    <w:semiHidden/>
    <w:qFormat/>
    <w:uiPriority w:val="99"/>
    <w:rPr>
      <w:rFonts w:ascii="Calibri" w:hAnsi="Calibri" w:eastAsia="宋体" w:cs="Times New Roman"/>
      <w:sz w:val="18"/>
      <w:szCs w:val="18"/>
    </w:rPr>
  </w:style>
  <w:style w:type="paragraph" w:customStyle="1" w:styleId="22">
    <w:name w:val="Table Paragraph"/>
    <w:basedOn w:val="1"/>
    <w:qFormat/>
    <w:uiPriority w:val="1"/>
    <w:rPr>
      <w:rFonts w:ascii="宋体" w:hAnsi="宋体" w:cs="宋体"/>
      <w:lang w:val="zh-CN" w:bidi="zh-CN"/>
    </w:rPr>
  </w:style>
  <w:style w:type="paragraph" w:styleId="23">
    <w:name w:val="List Paragraph"/>
    <w:basedOn w:val="1"/>
    <w:qFormat/>
    <w:uiPriority w:val="1"/>
    <w:pPr>
      <w:ind w:left="640" w:firstLine="559"/>
    </w:pPr>
    <w:rPr>
      <w:rFonts w:ascii="宋体" w:hAnsi="宋体" w:cs="宋体"/>
      <w:lang w:val="zh-CN" w:bidi="zh-CN"/>
    </w:rPr>
  </w:style>
  <w:style w:type="character" w:customStyle="1" w:styleId="24">
    <w:name w:val="标题 字符"/>
    <w:link w:val="8"/>
    <w:qFormat/>
    <w:locked/>
    <w:uiPriority w:val="99"/>
    <w:rPr>
      <w:rFonts w:eastAsia="宋体" w:asciiTheme="majorHAnsi" w:hAnsiTheme="majorHAnsi" w:cstheme="majorBidi"/>
      <w:b/>
      <w:bCs/>
      <w:kern w:val="2"/>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058C8F3-FEA3-49CB-A1CE-148E9AB5A044}">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17894</Words>
  <Characters>18859</Characters>
  <Lines>144</Lines>
  <Paragraphs>40</Paragraphs>
  <TotalTime>0</TotalTime>
  <ScaleCrop>false</ScaleCrop>
  <LinksUpToDate>false</LinksUpToDate>
  <CharactersWithSpaces>19410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2019-03-07T00:48:00Z</dcterms:created>
  <dc:creator>强林 张</dc:creator>
  <cp:lastModifiedBy>王鹏程</cp:lastModifiedBy>
  <dcterms:modified xsi:type="dcterms:W3CDTF">2022-07-29T03:18:14Z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C520F69C11C3470CA36C430D66CBFEE9</vt:lpwstr>
  </property>
</Properties>
</file>