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firstLine="420"/>
        <w:jc w:val="center"/>
        <w:outlineLvl w:val="0"/>
        <w:rPr>
          <w:rFonts w:hint="default" w:ascii="仿宋" w:hAnsi="仿宋" w:eastAsia="仿宋"/>
          <w:b/>
          <w:bCs w:val="0"/>
          <w:sz w:val="44"/>
          <w:szCs w:val="44"/>
          <w:lang w:val="en-US" w:eastAsia="zh-CN"/>
        </w:rPr>
      </w:pPr>
      <w:r>
        <w:rPr>
          <w:rFonts w:hint="eastAsia" w:ascii="仿宋" w:hAnsi="仿宋" w:eastAsia="仿宋"/>
          <w:b/>
          <w:bCs w:val="0"/>
          <w:sz w:val="44"/>
          <w:szCs w:val="44"/>
          <w:lang w:val="en-US" w:eastAsia="zh-CN"/>
        </w:rPr>
        <w:t>2022年海南</w:t>
      </w:r>
      <w:r>
        <w:rPr>
          <w:rFonts w:hint="eastAsia" w:ascii="仿宋" w:hAnsi="仿宋" w:eastAsia="仿宋"/>
          <w:b/>
          <w:bCs w:val="0"/>
          <w:sz w:val="44"/>
          <w:szCs w:val="44"/>
        </w:rPr>
        <w:t>省职</w:t>
      </w:r>
      <w:r>
        <w:rPr>
          <w:rFonts w:hint="eastAsia" w:ascii="仿宋" w:hAnsi="仿宋" w:eastAsia="仿宋"/>
          <w:b/>
          <w:bCs w:val="0"/>
          <w:sz w:val="44"/>
          <w:szCs w:val="44"/>
          <w:lang w:val="en-US" w:eastAsia="zh-CN"/>
        </w:rPr>
        <w:t>业</w:t>
      </w:r>
      <w:r>
        <w:rPr>
          <w:rFonts w:hint="eastAsia" w:ascii="仿宋" w:hAnsi="仿宋" w:eastAsia="仿宋"/>
          <w:b/>
          <w:bCs w:val="0"/>
          <w:sz w:val="44"/>
          <w:szCs w:val="44"/>
        </w:rPr>
        <w:t>院校技能大赛</w:t>
      </w:r>
      <w:r>
        <w:rPr>
          <w:rFonts w:hint="eastAsia" w:ascii="仿宋" w:hAnsi="仿宋" w:eastAsia="仿宋"/>
          <w:b/>
          <w:bCs w:val="0"/>
          <w:sz w:val="44"/>
          <w:szCs w:val="44"/>
          <w:lang w:eastAsia="zh-CN"/>
        </w:rPr>
        <w:t>（</w:t>
      </w:r>
      <w:r>
        <w:rPr>
          <w:rFonts w:hint="eastAsia" w:ascii="仿宋" w:hAnsi="仿宋" w:eastAsia="仿宋"/>
          <w:b/>
          <w:bCs w:val="0"/>
          <w:sz w:val="44"/>
          <w:szCs w:val="44"/>
          <w:lang w:val="en-US" w:eastAsia="zh-CN"/>
        </w:rPr>
        <w:t>高职组）</w:t>
      </w:r>
    </w:p>
    <w:p>
      <w:pPr>
        <w:snapToGrid w:val="0"/>
        <w:spacing w:line="560" w:lineRule="exact"/>
        <w:ind w:firstLine="420"/>
        <w:jc w:val="center"/>
        <w:outlineLvl w:val="0"/>
        <w:rPr>
          <w:rFonts w:ascii="仿宋" w:hAnsi="仿宋" w:eastAsia="仿宋"/>
          <w:b/>
          <w:bCs w:val="0"/>
          <w:color w:val="FF0000"/>
          <w:sz w:val="44"/>
          <w:szCs w:val="44"/>
        </w:rPr>
      </w:pPr>
      <w:r>
        <w:rPr>
          <w:rFonts w:hint="eastAsia" w:ascii="仿宋" w:hAnsi="仿宋" w:eastAsia="仿宋"/>
          <w:b/>
          <w:bCs w:val="0"/>
          <w:sz w:val="44"/>
          <w:szCs w:val="44"/>
        </w:rPr>
        <w:t>互联网+国际贸易综合技能赛项</w:t>
      </w:r>
      <w:r>
        <w:rPr>
          <w:rFonts w:hint="eastAsia" w:ascii="仿宋" w:hAnsi="仿宋" w:eastAsia="仿宋"/>
          <w:b/>
          <w:bCs w:val="0"/>
          <w:sz w:val="44"/>
          <w:szCs w:val="44"/>
          <w:lang w:val="en-US" w:eastAsia="zh-CN"/>
        </w:rPr>
        <w:t>竞赛</w:t>
      </w:r>
      <w:r>
        <w:rPr>
          <w:rFonts w:hint="eastAsia" w:ascii="仿宋" w:hAnsi="仿宋" w:eastAsia="仿宋"/>
          <w:b/>
          <w:bCs w:val="0"/>
          <w:sz w:val="44"/>
          <w:szCs w:val="44"/>
        </w:rPr>
        <w:t>规程</w:t>
      </w:r>
    </w:p>
    <w:p>
      <w:pPr>
        <w:spacing w:line="560" w:lineRule="exact"/>
        <w:ind w:firstLine="200"/>
        <w:rPr>
          <w:rFonts w:ascii="仿宋" w:hAnsi="仿宋" w:eastAsia="仿宋"/>
          <w:b/>
          <w:sz w:val="30"/>
          <w:szCs w:val="30"/>
        </w:rPr>
      </w:pP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bookmarkStart w:id="0" w:name="_Toc61004411"/>
      <w:r>
        <w:rPr>
          <w:rFonts w:hint="eastAsia" w:ascii="仿宋" w:hAnsi="仿宋" w:eastAsia="仿宋" w:cs="宋体"/>
          <w:b/>
          <w:sz w:val="30"/>
          <w:szCs w:val="30"/>
        </w:rPr>
        <w:t>一、竞赛名称</w:t>
      </w:r>
      <w:bookmarkEnd w:id="0"/>
    </w:p>
    <w:p>
      <w:pPr>
        <w:spacing w:line="360" w:lineRule="auto"/>
        <w:ind w:firstLine="600" w:firstLineChars="200"/>
        <w:rPr>
          <w:rFonts w:ascii="仿宋" w:hAnsi="仿宋" w:eastAsia="仿宋" w:cs="宋体"/>
          <w:sz w:val="30"/>
          <w:szCs w:val="30"/>
          <w:u w:val="single"/>
        </w:rPr>
      </w:pPr>
      <w:r>
        <w:rPr>
          <w:rFonts w:hint="eastAsia" w:ascii="仿宋" w:hAnsi="仿宋" w:eastAsia="仿宋" w:cs="宋体"/>
          <w:sz w:val="30"/>
          <w:szCs w:val="30"/>
        </w:rPr>
        <w:t>赛项名称：互联网+国际贸易综合技能</w:t>
      </w:r>
    </w:p>
    <w:p>
      <w:pPr>
        <w:spacing w:line="360" w:lineRule="auto"/>
        <w:ind w:firstLine="600" w:firstLineChars="200"/>
        <w:rPr>
          <w:rFonts w:ascii="Arial Narrow" w:hAnsi="Arial Narrow" w:eastAsia="仿宋_GB2312" w:cs="宋体"/>
          <w:sz w:val="30"/>
          <w:szCs w:val="30"/>
          <w:u w:val="single"/>
        </w:rPr>
      </w:pPr>
      <w:r>
        <w:rPr>
          <w:rFonts w:ascii="仿宋" w:hAnsi="仿宋" w:eastAsia="仿宋"/>
          <w:sz w:val="30"/>
          <w:szCs w:val="30"/>
        </w:rPr>
        <w:t>英文名称：</w:t>
      </w:r>
      <w:r>
        <w:rPr>
          <w:rFonts w:ascii="Arial Narrow" w:hAnsi="Arial Narrow" w:eastAsia="仿宋_GB2312" w:cs="宋体"/>
          <w:sz w:val="30"/>
          <w:szCs w:val="30"/>
        </w:rPr>
        <w:t>Internet Plus Integrated Skills in International Trade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赛项组别：高职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赛项归属产业：现代服务业</w:t>
      </w: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bookmarkStart w:id="1" w:name="_Toc61004412"/>
      <w:r>
        <w:rPr>
          <w:rFonts w:hint="eastAsia" w:ascii="仿宋" w:hAnsi="仿宋" w:eastAsia="仿宋" w:cs="宋体"/>
          <w:b/>
          <w:sz w:val="30"/>
          <w:szCs w:val="30"/>
        </w:rPr>
        <w:t>二、竞赛目的</w:t>
      </w:r>
      <w:bookmarkEnd w:id="1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本赛项以服务“构建国内国际双循环相互促进的新发展格局”为目标，以助力“一带一路”建设为核心，以国际贸易最新业态发展为驱动，瞄准世界高水平的国际贸易行业技能，在检验教学成果的同时，搭建专业、课程、培养机制改革平台，促进专业建设、教学改革的深入进行，切实提高教学质量和人才培养水平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赛项设计充分发挥技能大赛对高校专业建设的促进和引领作用，以高难度的竞赛内容为要求，实现对学生的团队协同创新能力、沟通能力、尽责抗压能力及专业岗位能力的综合检验；以高水平的技能竞赛质量为杠杆，努力营造全社会崇尚技能的氛围；以高标准的竞赛模式为抓手，全面推行“教、学、做、练、赛”一体化教学模式，提高全国高校学生的参与度，为“互联网+”背景下国际贸易教育教学改革提供了新的思路与方向。以此为基础，探索建立适应国际贸易新形势下的世界高水平职业岗位标准，为院校教学课程设置及岗位职业能力培养提供有效依据,从而实现产教深度融合，在高校和行业中营造尊重技能、崇尚技能的浓厚氛围。</w:t>
      </w: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bookmarkStart w:id="2" w:name="_Toc61004413"/>
      <w:r>
        <w:rPr>
          <w:rFonts w:hint="eastAsia" w:ascii="仿宋" w:hAnsi="仿宋" w:eastAsia="仿宋" w:cs="宋体"/>
          <w:b/>
          <w:sz w:val="30"/>
          <w:szCs w:val="30"/>
        </w:rPr>
        <w:t>三、竞赛内容</w:t>
      </w:r>
      <w:bookmarkEnd w:id="2"/>
    </w:p>
    <w:p>
      <w:pPr>
        <w:spacing w:line="360" w:lineRule="auto"/>
        <w:ind w:firstLine="600" w:firstLineChars="200"/>
        <w:outlineLvl w:val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（一）竞赛内容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本竞赛分为外贸B2B模块、外贸B2C模块两项内容。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外贸B2B模块：各参赛院校选手通过外贸B2B平台推广公司和产品，带来业务机会，并与模拟其他国家（或地区）公司的选手磋商交易，业务操作至合同签订为止。选手需在规定时间内争取尽量多的业务机会，体现业务多样性，同时还必须做好每笔业务的成本核算，实现利润最大化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30"/>
          <w:szCs w:val="30"/>
        </w:rPr>
        <w:t>外贸B2C模块：各参赛院校选手通过外贸B2C数据运营推广公司和产品，以努力提升公司的投资回报率（ROI）为目标，以回合制竞争博弈为形式，对国际市场环境数据和公司运营结果数据进行挖掘与分析，完成外销产品开发、国内采购、产品上下架、国际市场定价、引流、国际物流配送、国际支付、财务管理等各个运营环节的决策实施，并且在逐次展开的回合中不断优化本公司的数据运营战略与决策。考察选手外贸B2C数据运营的需求意识、成本意识、风险意识、利润意识、竞争意识及数据挖掘分析能力和运营决策能力。</w:t>
      </w:r>
    </w:p>
    <w:p>
      <w:pPr>
        <w:spacing w:line="360" w:lineRule="auto"/>
        <w:ind w:firstLine="2940" w:firstLineChars="10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竞赛内容详见表1</w:t>
      </w:r>
    </w:p>
    <w:tbl>
      <w:tblPr>
        <w:tblStyle w:val="9"/>
        <w:tblW w:w="8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3"/>
        <w:gridCol w:w="974"/>
        <w:gridCol w:w="1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tblHeader/>
          <w:jc w:val="center"/>
        </w:trPr>
        <w:tc>
          <w:tcPr>
            <w:tcW w:w="581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比赛内容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比重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时长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tblHeader/>
          <w:jc w:val="center"/>
        </w:trPr>
        <w:tc>
          <w:tcPr>
            <w:tcW w:w="5813" w:type="dxa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外贸B2B模块：基于B2B跨境平台的产品展示、营销推广、进出口价格核算、成本控制、贸易磋商和合同签订。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50%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tblHeader/>
          <w:jc w:val="center"/>
        </w:trPr>
        <w:tc>
          <w:tcPr>
            <w:tcW w:w="5813" w:type="dxa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外贸B2C模块：基于外贸B2C数据挖掘及分析，开展商品开发及采购、营销推广、价格核算、国际物流管理、财务管理等运营活动。</w:t>
            </w:r>
          </w:p>
        </w:tc>
        <w:tc>
          <w:tcPr>
            <w:tcW w:w="97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50%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5小时</w:t>
            </w:r>
          </w:p>
        </w:tc>
      </w:tr>
    </w:tbl>
    <w:p>
      <w:pPr>
        <w:spacing w:line="360" w:lineRule="auto"/>
        <w:ind w:firstLine="600" w:firstLineChars="200"/>
        <w:outlineLvl w:val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（二）竞赛方案</w:t>
      </w:r>
    </w:p>
    <w:p>
      <w:pPr>
        <w:spacing w:line="360" w:lineRule="auto"/>
        <w:ind w:firstLine="600" w:firstLineChars="200"/>
        <w:outlineLvl w:val="0"/>
        <w:rPr>
          <w:rFonts w:ascii="仿宋" w:hAnsi="仿宋" w:eastAsia="仿宋"/>
          <w:sz w:val="30"/>
          <w:szCs w:val="30"/>
        </w:rPr>
      </w:pPr>
      <w:bookmarkStart w:id="3" w:name="_Toc61004414"/>
      <w:r>
        <w:rPr>
          <w:rFonts w:hint="eastAsia" w:ascii="仿宋" w:hAnsi="仿宋" w:eastAsia="仿宋"/>
          <w:sz w:val="30"/>
          <w:szCs w:val="30"/>
        </w:rPr>
        <w:t>1. 外贸B2B模块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（1）竞赛方式为上机竞赛；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（2）竞赛总时间为4小时；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（3）竞赛形式为模拟不同国家间进行进出口贸易。每个参赛队的2组选手通过组内2名选手的团队合作，与其他参赛队伍开展进出口贸易；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（4）选手需完成B2B跨境平台推广、进出口交易磋商、进出口业务成本核算、进出口合同的缮制与审核等贸易流程；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（5）同一学校、同一参赛队、同一国家的选手无法进行交易；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（6）各笔业务进行至合同签订确认即告完成，无需完成后续履约过程。业务盈亏情况以相应预算表中实际发生额数字为准；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（7）所有业务采用统一的保险条款及投保加成，海运方式下按照“协会货物(A)险条款（ICC Clause A）＋战争险（War Risks）＋罢工险（Strike）”进行投保，空运方式下按照“航空运输一切险（Air Transportation All Risks）＋战争险（War Risks）＋罢工险（Strike）”进行投保，且投保加成统一为110%；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（8）单笔业务成交金额不能超过公司当前资金，且不允许贷款；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（9）每组选手可完成的业务笔数不超过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20</w:t>
      </w:r>
      <w:r>
        <w:rPr>
          <w:rFonts w:hint="eastAsia" w:ascii="仿宋" w:hAnsi="仿宋" w:eastAsia="仿宋"/>
          <w:sz w:val="30"/>
          <w:szCs w:val="30"/>
        </w:rPr>
        <w:t>笔。</w:t>
      </w:r>
    </w:p>
    <w:p>
      <w:pPr>
        <w:spacing w:line="360" w:lineRule="auto"/>
        <w:ind w:firstLine="600" w:firstLineChars="200"/>
        <w:outlineLvl w:val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 外贸B2C模块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（1）竞赛方式为上机竞赛；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（2）竞赛共计8回合，竞赛总时间为5小时；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（3）每个参赛队的2组选手通过组内2名选手的团队合作，开展外贸B2C数据运营，与其他参赛队模拟的同质企业在同一市场环境中展开竞争；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4）每回合开始后，参赛队可根据当前市场快讯、汇率、税收政策、仓储物流及海外仓信息、外贸B2C平台政策、竞品信息等，结合企业运营产生的财务、订单、利润、库存等数据，进行数据挖掘与分析，制定企业运营战略及决策，并在系统中实施；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（5）每回合每店铺发布新商品数量上限为50个，每回合每店铺在售商品数量上限为100个</w:t>
      </w:r>
      <w:r>
        <w:rPr>
          <w:rFonts w:hint="eastAsia" w:ascii="仿宋" w:hAnsi="仿宋" w:eastAsia="仿宋"/>
          <w:sz w:val="30"/>
          <w:szCs w:val="30"/>
          <w:lang w:eastAsia="zh-CN"/>
        </w:rPr>
        <w:t>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（6）每回合结束后，系统将根据当前所有参赛队所做的决策，结合当前市场环境进行运算，给出各参赛队运营结果与成绩。参赛队可根据运营结果对运营战略及决策进行优化，并付诸实施，直至比赛结束；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（7）参赛队如出现资金链断裂等情况，可导致经营的公司破产。参赛队在公司破产后可重新创建公司继续经营，直至比赛结束。</w:t>
      </w: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r>
        <w:rPr>
          <w:rFonts w:hint="eastAsia" w:ascii="仿宋" w:hAnsi="仿宋" w:eastAsia="仿宋" w:cs="宋体"/>
          <w:b/>
          <w:sz w:val="30"/>
          <w:szCs w:val="30"/>
        </w:rPr>
        <w:t>四、竞赛方式</w:t>
      </w:r>
      <w:bookmarkEnd w:id="3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（一）本竞赛为团体赛，团体赛不得跨校组队，同一学校相同项目报名参赛队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支。每队4名选手，不超过2名指导教师。1名领队老师可由指导老师兼任。每支队伍的4名学生以自由组合方式自行分为2组，分组一旦确定不可更改。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二）竞赛场地设电脑机房，场地内设置满足参赛队伍数量的竞赛环境，场地将根据报名参赛队伍数量分隔成多个区域，每个区域内设置多个赛位。一个参赛队的每个小组的两名选手一个机位，每个机位两台电脑，其中一台电脑备用，桌椅备足。比赛连续进行，比赛过程中不同组选手不允许进行接触和交流。</w:t>
      </w:r>
    </w:p>
    <w:p>
      <w:pPr>
        <w:outlineLvl w:val="0"/>
        <w:rPr>
          <w:rFonts w:hint="eastAsia" w:ascii="仿宋" w:hAnsi="仿宋" w:eastAsia="仿宋" w:cs="宋体"/>
          <w:b/>
          <w:sz w:val="30"/>
          <w:szCs w:val="30"/>
        </w:rPr>
      </w:pPr>
      <w:bookmarkStart w:id="4" w:name="_Toc61004415"/>
      <w:r>
        <w:rPr>
          <w:rFonts w:hint="eastAsia" w:ascii="仿宋" w:hAnsi="仿宋" w:eastAsia="仿宋" w:cs="宋体"/>
          <w:b/>
          <w:sz w:val="30"/>
          <w:szCs w:val="30"/>
        </w:rPr>
        <w:t>五、竞赛流程</w:t>
      </w:r>
      <w:bookmarkEnd w:id="4"/>
    </w:p>
    <w:p>
      <w:pPr>
        <w:spacing w:line="560" w:lineRule="exact"/>
        <w:jc w:val="center"/>
        <w:rPr>
          <w:rFonts w:hint="eastAsia" w:ascii="仿宋" w:hAnsi="仿宋" w:eastAsia="仿宋" w:cs="宋体"/>
          <w:sz w:val="24"/>
          <w:szCs w:val="30"/>
        </w:rPr>
      </w:pPr>
      <w:r>
        <w:rPr>
          <w:rFonts w:hint="eastAsia" w:ascii="仿宋" w:hAnsi="仿宋" w:eastAsia="仿宋" w:cs="宋体"/>
          <w:sz w:val="24"/>
          <w:szCs w:val="30"/>
        </w:rPr>
        <w:t>表2 竞赛流程</w:t>
      </w:r>
    </w:p>
    <w:p>
      <w:pPr>
        <w:spacing w:line="560" w:lineRule="exact"/>
        <w:jc w:val="center"/>
        <w:rPr>
          <w:rFonts w:hint="eastAsia" w:ascii="仿宋" w:hAnsi="仿宋" w:eastAsia="仿宋" w:cs="宋体"/>
          <w:sz w:val="24"/>
          <w:szCs w:val="30"/>
        </w:rPr>
      </w:pPr>
    </w:p>
    <w:tbl>
      <w:tblPr>
        <w:tblStyle w:val="9"/>
        <w:tblW w:w="84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588"/>
        <w:gridCol w:w="2000"/>
        <w:gridCol w:w="1800"/>
        <w:gridCol w:w="937"/>
        <w:gridCol w:w="14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63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bookmarkStart w:id="5" w:name="_Toc61004416"/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日期</w:t>
            </w: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时间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事项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参加人员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地点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b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b/>
                <w:sz w:val="24"/>
                <w:shd w:val="clear" w:color="auto" w:fill="FFFFFF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restart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10月29日</w:t>
            </w: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：00开始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参赛队报到，领取资料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工作人员、参赛队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会议室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:30-1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:00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领队会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各参赛队领队、裁判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会议室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:00-1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:30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抽签赛位号，提交分组名单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参赛选手、抽签加密裁判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会议室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:30-1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:00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熟悉场地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各参赛队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:00以后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检查封闭赛场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监督组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restart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  <w:lang w:val="en-US" w:eastAsia="zh-CN"/>
              </w:rPr>
              <w:t>10月30</w:t>
            </w: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日</w:t>
            </w: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7:30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选手检录进场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各参赛队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竞赛场地前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选手进入赛场按照赛位号就座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7:50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领队、指导教师入场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各参赛队、工作人员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观摩休息区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_GB2312"/>
                <w:sz w:val="24"/>
                <w:shd w:val="clear" w:color="auto" w:fill="FFFFFF"/>
              </w:rPr>
            </w:pPr>
            <w:r>
              <w:rPr>
                <w:rFonts w:ascii="仿宋_GB2312" w:hAnsi="仿宋" w:eastAsia="仿宋_GB2312"/>
                <w:sz w:val="24"/>
                <w:shd w:val="clear" w:color="auto" w:fill="FFFFFF"/>
              </w:rPr>
              <w:t>8</w:t>
            </w: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:</w:t>
            </w:r>
            <w:r>
              <w:rPr>
                <w:rFonts w:ascii="仿宋_GB2312" w:hAnsi="仿宋" w:eastAsia="仿宋_GB2312"/>
                <w:sz w:val="24"/>
                <w:shd w:val="clear" w:color="auto" w:fill="FFFFFF"/>
              </w:rPr>
              <w:t>0</w:t>
            </w: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0-12:00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外贸B2B模块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12:00-13:00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午餐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选手不允许离开竞赛场地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13:10-13:50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外贸B2C模块（R1）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第一回合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13:50-14:30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外贸B2C模块（R2）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第二回合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14:30-15:10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外贸B2C模块（R3）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第三回合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15:10-15:50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外贸B2C模块（R4）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第四回合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_GB2312" w:hAnsi="仿宋" w:eastAsia="仿宋_GB2312"/>
                <w:sz w:val="24"/>
                <w:shd w:val="clear" w:color="auto" w:fill="FFFFFF"/>
              </w:rPr>
            </w:pPr>
            <w:r>
              <w:rPr>
                <w:rFonts w:hint="eastAsia" w:ascii="仿宋_GB2312" w:hAnsi="仿宋" w:eastAsia="仿宋_GB2312"/>
                <w:sz w:val="24"/>
                <w:shd w:val="clear" w:color="auto" w:fill="FFFFFF"/>
              </w:rPr>
              <w:t>15:50-16:30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外贸B2C模块（R5）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第五回合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16:30-17:10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外贸B2C模块（R6）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第六回合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17:10-17:50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外贸B2C模块（R7）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第七回合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17:50-18:10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外贸B2C模块（R8）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参赛选手、现场裁判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第八回合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18:20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封闭赛场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裁判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639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88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19:30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公布成绩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参赛选手、领队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hd w:val="clear" w:color="auto" w:fill="FFFFFF"/>
              </w:rPr>
            </w:pPr>
            <w:r>
              <w:rPr>
                <w:rFonts w:hint="eastAsia" w:ascii="仿宋" w:hAnsi="仿宋" w:eastAsia="仿宋"/>
                <w:sz w:val="24"/>
                <w:shd w:val="clear" w:color="auto" w:fill="FFFFFF"/>
              </w:rPr>
              <w:t>竞赛场地</w:t>
            </w:r>
          </w:p>
        </w:tc>
        <w:tc>
          <w:tcPr>
            <w:tcW w:w="1499" w:type="dxa"/>
            <w:noWrap w:val="0"/>
            <w:vAlign w:val="center"/>
          </w:tcPr>
          <w:p>
            <w:pPr>
              <w:shd w:val="solid" w:color="FFFFFF" w:fill="auto"/>
              <w:autoSpaceDN w:val="0"/>
              <w:adjustRightInd w:val="0"/>
              <w:snapToGrid w:val="0"/>
              <w:rPr>
                <w:rFonts w:ascii="仿宋" w:hAnsi="仿宋" w:eastAsia="仿宋"/>
                <w:sz w:val="24"/>
                <w:shd w:val="clear" w:color="auto" w:fill="FFFFFF"/>
              </w:rPr>
            </w:pPr>
          </w:p>
        </w:tc>
      </w:tr>
    </w:tbl>
    <w:p>
      <w:pPr>
        <w:outlineLvl w:val="0"/>
        <w:rPr>
          <w:rFonts w:hint="eastAsia" w:ascii="仿宋" w:hAnsi="仿宋" w:eastAsia="仿宋" w:cs="宋体"/>
          <w:b/>
          <w:sz w:val="28"/>
          <w:szCs w:val="28"/>
        </w:rPr>
      </w:pP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r>
        <w:rPr>
          <w:rFonts w:hint="eastAsia" w:ascii="仿宋" w:hAnsi="仿宋" w:eastAsia="仿宋" w:cs="宋体"/>
          <w:b/>
          <w:sz w:val="30"/>
          <w:szCs w:val="30"/>
        </w:rPr>
        <w:t>六、竞赛规则</w:t>
      </w:r>
      <w:bookmarkEnd w:id="5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（一）报名资格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参赛选手须为高等职业院校全日制在籍学生</w:t>
      </w:r>
      <w:r>
        <w:rPr>
          <w:rFonts w:hint="eastAsia" w:ascii="仿宋" w:hAnsi="仿宋" w:eastAsia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参赛年龄不超过25周岁</w:t>
      </w:r>
      <w:bookmarkStart w:id="18" w:name="_GoBack"/>
      <w:bookmarkEnd w:id="18"/>
      <w:r>
        <w:rPr>
          <w:rFonts w:hint="eastAsia" w:ascii="仿宋" w:hAnsi="仿宋" w:eastAsia="仿宋"/>
          <w:sz w:val="30"/>
          <w:szCs w:val="30"/>
        </w:rPr>
        <w:t>；五年制高职学生报名参赛的，四、五年级学生参加高职组比赛。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（二）报名要求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参赛选手和指导教师报名获得确认后不得随意更换。如备赛过程中参赛选手和指导教师因故无法参赛，须由学校行政部门于开赛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/>
          <w:sz w:val="30"/>
          <w:szCs w:val="30"/>
        </w:rPr>
        <w:t>个工作日之前出具书面说明，经竞赛组委会办公室核实后予以更换。竞赛开始后，参赛队不得更换参赛队员。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（三）赛前准备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1.熟悉场地：比赛日前一天下午开放赛场，熟悉场地。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.抽签仪式：比赛前一小时内举行抽签仪式，由各参赛队自行确定一名选手抽签，通过抽签确定各参赛队伍的赛场座次。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/>
          <w:sz w:val="30"/>
          <w:szCs w:val="30"/>
        </w:rPr>
        <w:t>．参赛队员入场：参赛选手应提前15分钟到达赛场，凭参赛证、身份证检录，经体温检测后，按要求入场，不得迟到早退。现场裁判负责核对参赛队员信息；严禁参赛选手携带任何电子设备、通讯设备及其他相关资料与用品入场。整个竞赛过程中，请全程佩戴口罩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（四）比赛期间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1.各参赛队伍打开电脑，根据对应的账号密码进入竞赛平台，由裁判长宣布比赛开始，各参赛队伍开始竞赛。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竞赛过程中，如有疑问，参赛选手应持“咨询”示意牌示意，项目裁判长应按照有关要求及时予以答疑。如遇设备或软件等故障，参赛选手应持“故障”示意牌示意。项目裁判长、技术人员等应及时予以解决。确因计算机软件或硬件故障，致使操作无法继续的，经项目裁判长确认，予以启用备用计算机。如遇身体不适，参赛选手应持“医务”示意牌示意，现场医务人员按应急预案救治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3.竞赛过程中不得在任何地方出现与参赛者身份信息相关的内容，一经发现，以作弊论处，取消比赛成绩并通报。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（五）成绩公布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1.竞赛结束后，经公示程序后，裁判公布竞赛结果，并将成绩登录在竞赛成绩单上。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2.必要的裁判等相关人员签字后，裁判长签字。赛场裁判将数据进行备份和保存，成绩单提交给竞赛组委会备案。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3．参赛代表队若对赛事有异议，可由领队按规程提出书面申诉。</w:t>
      </w: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bookmarkStart w:id="6" w:name="_Toc61004417"/>
      <w:r>
        <w:rPr>
          <w:rFonts w:hint="eastAsia" w:ascii="仿宋" w:hAnsi="仿宋" w:eastAsia="仿宋" w:cs="宋体"/>
          <w:b/>
          <w:sz w:val="30"/>
          <w:szCs w:val="30"/>
        </w:rPr>
        <w:t>七、竞赛环境</w:t>
      </w:r>
      <w:bookmarkEnd w:id="6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竞赛场地设在电脑机房，场地内设置满足参赛团队数量的竞赛环境，分隔成A、B两个区域，每个区域内设置相应数量的赛位。一个参赛队的每个小组的两名选手一个机位，每个机位两台电脑，其中一台电脑备用，桌椅备足。</w:t>
      </w:r>
    </w:p>
    <w:p>
      <w:pPr>
        <w:spacing w:line="360" w:lineRule="auto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（二）竞赛场地内设置宣传横幅，营造竞赛氛围；</w:t>
      </w:r>
    </w:p>
    <w:p>
      <w:pPr>
        <w:spacing w:line="360" w:lineRule="auto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</w:t>
      </w:r>
      <w:r>
        <w:rPr>
          <w:rFonts w:hint="eastAsia" w:ascii="仿宋" w:hAnsi="仿宋" w:eastAsia="仿宋" w:cs="宋体"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 w:cs="宋体"/>
          <w:sz w:val="30"/>
          <w:szCs w:val="30"/>
        </w:rPr>
        <w:t>）局域网络。采用星形网络拓扑结构，安装千兆交换机。网线与电源线隐蔽铺设。采用独立网络环境，不连接INTERNET，禁止外部电脑接入。</w:t>
      </w:r>
    </w:p>
    <w:p>
      <w:pPr>
        <w:spacing w:line="360" w:lineRule="auto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</w:t>
      </w:r>
      <w:r>
        <w:rPr>
          <w:rFonts w:hint="eastAsia" w:ascii="仿宋" w:hAnsi="仿宋" w:eastAsia="仿宋" w:cs="宋体"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 w:cs="宋体"/>
          <w:sz w:val="30"/>
          <w:szCs w:val="30"/>
        </w:rPr>
        <w:t>）安全保障。采用统一的杀毒软件对服务器进行防毒保护。屏蔽竞赛现场使用的电脑USB接口。部署具有网络管理、账号管理和日志管理功能的综合监控系统。</w:t>
      </w:r>
    </w:p>
    <w:p>
      <w:pPr>
        <w:spacing w:line="360" w:lineRule="auto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</w:t>
      </w:r>
      <w:r>
        <w:rPr>
          <w:rFonts w:hint="eastAsia" w:ascii="仿宋" w:hAnsi="仿宋" w:eastAsia="仿宋" w:cs="宋体"/>
          <w:sz w:val="30"/>
          <w:szCs w:val="30"/>
          <w:lang w:val="en-US" w:eastAsia="zh-CN"/>
        </w:rPr>
        <w:t>五</w:t>
      </w:r>
      <w:r>
        <w:rPr>
          <w:rFonts w:hint="eastAsia" w:ascii="仿宋" w:hAnsi="仿宋" w:eastAsia="仿宋" w:cs="宋体"/>
          <w:sz w:val="30"/>
          <w:szCs w:val="30"/>
        </w:rPr>
        <w:t>）采用双路供电；利用UPS防止现场因突然断电导致的系统数据丢失，额定功率：3KVA，后备时间：2小时，电池类型：输出电压：230V±5%V。</w:t>
      </w:r>
    </w:p>
    <w:p>
      <w:pPr>
        <w:outlineLvl w:val="0"/>
        <w:rPr>
          <w:rFonts w:ascii="仿宋" w:hAnsi="仿宋" w:eastAsia="仿宋"/>
          <w:sz w:val="30"/>
          <w:szCs w:val="30"/>
        </w:rPr>
      </w:pPr>
      <w:bookmarkStart w:id="7" w:name="_Toc61004418"/>
      <w:r>
        <w:rPr>
          <w:rFonts w:hint="eastAsia" w:ascii="仿宋" w:hAnsi="仿宋" w:eastAsia="仿宋" w:cs="宋体"/>
          <w:b/>
          <w:sz w:val="30"/>
          <w:szCs w:val="30"/>
        </w:rPr>
        <w:t>八、技术规范</w:t>
      </w:r>
      <w:bookmarkEnd w:id="7"/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（一）依据国际规范：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《联合国国际货物销售合同公约》</w:t>
      </w:r>
    </w:p>
    <w:p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（the United Nations Convention on Contracts for the International Sale of Goods，CISG）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国际商会《跟单信用证统一惯例</w:t>
      </w:r>
      <w:r>
        <w:rPr>
          <w:rFonts w:ascii="仿宋" w:hAnsi="仿宋" w:eastAsia="仿宋"/>
          <w:sz w:val="30"/>
          <w:szCs w:val="30"/>
        </w:rPr>
        <w:t>（UCP600）</w:t>
      </w:r>
      <w:r>
        <w:rPr>
          <w:rFonts w:hint="eastAsia" w:ascii="仿宋" w:hAnsi="仿宋" w:eastAsia="仿宋" w:cs="宋体"/>
          <w:sz w:val="30"/>
          <w:szCs w:val="30"/>
        </w:rPr>
        <w:t>》</w:t>
      </w:r>
    </w:p>
    <w:p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（Uniform Customs and Practice for Documentary Credits）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《2020国际贸易术语解释通则》</w:t>
      </w:r>
    </w:p>
    <w:p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（Incoterms International Rules for the Interpretation of Trade Terms）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国际商会《托收统一规则</w:t>
      </w:r>
      <w:r>
        <w:rPr>
          <w:rFonts w:ascii="仿宋" w:hAnsi="仿宋" w:eastAsia="仿宋"/>
          <w:sz w:val="30"/>
          <w:szCs w:val="30"/>
        </w:rPr>
        <w:t>（URC522）</w:t>
      </w:r>
      <w:r>
        <w:rPr>
          <w:rFonts w:hint="eastAsia" w:ascii="仿宋" w:hAnsi="仿宋" w:eastAsia="仿宋" w:cs="宋体"/>
          <w:sz w:val="30"/>
          <w:szCs w:val="30"/>
        </w:rPr>
        <w:t>》</w:t>
      </w:r>
    </w:p>
    <w:p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（Uniform RulesforCollections,ICCPublicationNo.522）</w:t>
      </w:r>
    </w:p>
    <w:p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（二）依据国家标准：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GB∕T 38652-2020 电子商务业务术语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（三）依据职业教育国家教学资源库：</w:t>
      </w:r>
    </w:p>
    <w:p>
      <w:pPr>
        <w:spacing w:line="560" w:lineRule="exact"/>
        <w:ind w:firstLine="600" w:firstLineChars="200"/>
        <w:rPr>
          <w:rFonts w:ascii="仿宋" w:hAnsi="仿宋" w:eastAsia="仿宋" w:cs="宋体"/>
          <w:sz w:val="30"/>
          <w:szCs w:val="30"/>
        </w:rPr>
      </w:pPr>
      <w:r>
        <w:rPr>
          <w:rFonts w:hint="eastAsia" w:ascii="仿宋" w:hAnsi="仿宋" w:eastAsia="仿宋" w:cs="宋体"/>
          <w:sz w:val="30"/>
          <w:szCs w:val="30"/>
        </w:rPr>
        <w:t>《职业教育国际贸易专业国家教学资源库》</w:t>
      </w:r>
    </w:p>
    <w:p>
      <w:pPr>
        <w:outlineLvl w:val="0"/>
        <w:rPr>
          <w:rFonts w:ascii="仿宋" w:hAnsi="仿宋" w:eastAsia="仿宋" w:cs="宋体"/>
          <w:b/>
          <w:sz w:val="30"/>
          <w:szCs w:val="30"/>
        </w:rPr>
      </w:pPr>
      <w:bookmarkStart w:id="8" w:name="_Toc61004419"/>
      <w:r>
        <w:rPr>
          <w:rFonts w:hint="eastAsia" w:ascii="仿宋" w:hAnsi="仿宋" w:eastAsia="仿宋" w:cs="宋体"/>
          <w:b/>
          <w:sz w:val="30"/>
          <w:szCs w:val="30"/>
        </w:rPr>
        <w:t>九、技术平台</w:t>
      </w:r>
      <w:bookmarkEnd w:id="8"/>
    </w:p>
    <w:p>
      <w:pPr>
        <w:spacing w:line="560" w:lineRule="exact"/>
        <w:jc w:val="center"/>
        <w:rPr>
          <w:rFonts w:ascii="仿宋" w:hAnsi="仿宋" w:eastAsia="仿宋" w:cs="宋体"/>
          <w:sz w:val="24"/>
          <w:szCs w:val="30"/>
        </w:rPr>
      </w:pPr>
      <w:r>
        <w:rPr>
          <w:rFonts w:hint="eastAsia" w:ascii="仿宋" w:hAnsi="仿宋" w:eastAsia="仿宋" w:cs="宋体"/>
          <w:sz w:val="24"/>
          <w:szCs w:val="30"/>
        </w:rPr>
        <w:t>表3 竞赛场地设备规格要求</w:t>
      </w:r>
    </w:p>
    <w:tbl>
      <w:tblPr>
        <w:tblStyle w:val="9"/>
        <w:tblW w:w="818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588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650" w:hRule="atLeast"/>
          <w:jc w:val="center"/>
        </w:trPr>
        <w:tc>
          <w:tcPr>
            <w:tcW w:w="229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center"/>
              <w:rPr>
                <w:rFonts w:ascii="仿宋" w:hAnsi="仿宋" w:eastAsia="仿宋"/>
                <w:b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b/>
                <w:color w:val="0D0D0D"/>
                <w:kern w:val="2"/>
              </w:rPr>
              <w:t>品名</w:t>
            </w:r>
          </w:p>
        </w:tc>
        <w:tc>
          <w:tcPr>
            <w:tcW w:w="588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center"/>
              <w:rPr>
                <w:rFonts w:ascii="仿宋" w:hAnsi="仿宋" w:eastAsia="仿宋"/>
                <w:b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b/>
                <w:color w:val="0D0D0D"/>
                <w:kern w:val="2"/>
              </w:rPr>
              <w:t>规格要求说明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29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color w:val="0D0D0D"/>
                <w:kern w:val="2"/>
              </w:rPr>
              <w:t>参赛选手计算机</w:t>
            </w:r>
          </w:p>
        </w:tc>
        <w:tc>
          <w:tcPr>
            <w:tcW w:w="5886" w:type="dxa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 w:cs="仿宋"/>
              </w:rPr>
              <w:t>满足支持竞赛软件的硬件及软件要求。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29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color w:val="0D0D0D"/>
                <w:kern w:val="2"/>
              </w:rPr>
              <w:t>网络连接设备</w:t>
            </w:r>
          </w:p>
        </w:tc>
        <w:tc>
          <w:tcPr>
            <w:tcW w:w="588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 w:cs="仿宋"/>
              </w:rPr>
              <w:t>提供网络布线、交换机。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296" w:type="dxa"/>
            <w:vAlign w:val="center"/>
          </w:tcPr>
          <w:p>
            <w:pPr>
              <w:pStyle w:val="8"/>
              <w:adjustRightInd w:val="0"/>
              <w:snapToGrid w:val="0"/>
              <w:spacing w:before="0" w:beforeAutospacing="0" w:after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color w:val="0D0D0D"/>
                <w:kern w:val="2"/>
              </w:rPr>
              <w:t>竞赛服务器</w:t>
            </w:r>
          </w:p>
        </w:tc>
        <w:tc>
          <w:tcPr>
            <w:tcW w:w="5886" w:type="dxa"/>
            <w:vAlign w:val="center"/>
          </w:tcPr>
          <w:p>
            <w:pPr>
              <w:pStyle w:val="8"/>
              <w:adjustRightInd w:val="0"/>
              <w:snapToGrid w:val="0"/>
              <w:spacing w:before="0" w:beforeAutospacing="0" w:after="0" w:afterAutospacing="0"/>
              <w:jc w:val="both"/>
              <w:rPr>
                <w:rFonts w:ascii="仿宋" w:hAnsi="仿宋" w:eastAsia="仿宋"/>
                <w:color w:val="0D0D0D"/>
                <w:kern w:val="2"/>
              </w:rPr>
            </w:pPr>
            <w:r>
              <w:rPr>
                <w:rFonts w:hint="eastAsia" w:ascii="仿宋" w:hAnsi="仿宋" w:eastAsia="仿宋"/>
                <w:color w:val="0D0D0D"/>
                <w:kern w:val="2"/>
              </w:rPr>
              <w:t>CPU：Xeon 2.0G（双核）以上；内存：16GB（含）以上；硬盘：2T（含）以上，有C盘，D盘两个以上硬盘分区；网卡：千兆网卡；操作系统： Windows Server 2008 R2 SP1（或Windows Server 2008 Service Pack 2、Windows Server 2012、Windows Server 2012 R2），安装IIS 7.0以上；数据库： Microsoft SQL Server 2008 R2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229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kern w:val="2"/>
              </w:rPr>
            </w:pPr>
            <w:r>
              <w:rPr>
                <w:rFonts w:hint="eastAsia" w:ascii="仿宋" w:hAnsi="仿宋" w:eastAsia="仿宋"/>
                <w:kern w:val="2"/>
              </w:rPr>
              <w:t>竞赛平台</w:t>
            </w:r>
          </w:p>
        </w:tc>
        <w:tc>
          <w:tcPr>
            <w:tcW w:w="5886" w:type="dxa"/>
            <w:vAlign w:val="center"/>
          </w:tcPr>
          <w:p>
            <w:pPr>
              <w:pStyle w:val="8"/>
              <w:adjustRightInd w:val="0"/>
              <w:snapToGrid w:val="0"/>
              <w:spacing w:beforeAutospacing="0" w:afterAutospacing="0"/>
              <w:jc w:val="both"/>
              <w:rPr>
                <w:rFonts w:ascii="仿宋" w:hAnsi="仿宋" w:eastAsia="仿宋"/>
                <w:kern w:val="2"/>
                <w:szCs w:val="21"/>
              </w:rPr>
            </w:pPr>
            <w:r>
              <w:rPr>
                <w:rFonts w:hint="eastAsia" w:ascii="仿宋" w:hAnsi="仿宋" w:eastAsia="仿宋"/>
                <w:kern w:val="2"/>
                <w:szCs w:val="21"/>
              </w:rPr>
              <w:t>世格数字国际贸易综合技能实训平台软件</w:t>
            </w:r>
          </w:p>
        </w:tc>
      </w:tr>
    </w:tbl>
    <w:p>
      <w:pPr>
        <w:outlineLvl w:val="0"/>
        <w:rPr>
          <w:rFonts w:ascii="仿宋" w:hAnsi="仿宋" w:eastAsia="仿宋"/>
          <w:sz w:val="30"/>
          <w:szCs w:val="30"/>
        </w:rPr>
      </w:pPr>
      <w:bookmarkStart w:id="9" w:name="_Toc61004420"/>
      <w:r>
        <w:rPr>
          <w:rFonts w:hint="eastAsia" w:ascii="仿宋" w:hAnsi="仿宋" w:eastAsia="仿宋" w:cs="宋体"/>
          <w:b/>
          <w:sz w:val="30"/>
          <w:szCs w:val="30"/>
        </w:rPr>
        <w:t>十、成绩评定</w:t>
      </w:r>
      <w:bookmarkEnd w:id="9"/>
    </w:p>
    <w:p>
      <w:pPr>
        <w:spacing w:line="360" w:lineRule="auto"/>
        <w:ind w:firstLine="600" w:firstLineChars="200"/>
        <w:outlineLvl w:val="1"/>
        <w:rPr>
          <w:rFonts w:hint="eastAsia" w:ascii="仿宋" w:hAnsi="仿宋" w:eastAsia="仿宋"/>
          <w:b w:val="0"/>
          <w:bCs w:val="0"/>
          <w:sz w:val="30"/>
          <w:szCs w:val="30"/>
        </w:rPr>
      </w:pPr>
      <w:bookmarkStart w:id="10" w:name="_Toc414002613"/>
      <w:r>
        <w:rPr>
          <w:rFonts w:hint="eastAsia" w:ascii="仿宋" w:hAnsi="仿宋" w:eastAsia="仿宋"/>
          <w:b w:val="0"/>
          <w:bCs w:val="0"/>
          <w:sz w:val="30"/>
          <w:szCs w:val="30"/>
        </w:rPr>
        <w:t>（一）评分方法</w:t>
      </w:r>
      <w:bookmarkEnd w:id="10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B2B模块、</w:t>
      </w: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C模块竞赛均为机考评分。记分员负责在监督人员监督下完成统分工作，统分表需由记分员、监督员、裁判长共同签字确认。统分后，记分员负责在监督人员监督下完成汇总计分工作，汇总计分表。成绩汇总结束后，由加密裁判对汇总成绩进行还原，形成竞赛队最终成绩单。在正式公布比赛成绩之前，任何人员不得随意泄露评分结果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/>
          <w:sz w:val="30"/>
          <w:szCs w:val="30"/>
        </w:rPr>
        <w:t>参赛队竞赛总分计算公式：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参赛队的竞赛总分=</w:t>
      </w: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B2B模块得分×50%+</w:t>
      </w: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B2C模块得分×50%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注：参赛队的竞赛总分四舍五入保留两位小数。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2.</w:t>
      </w:r>
      <w:r>
        <w:rPr>
          <w:rFonts w:hint="eastAsia" w:ascii="仿宋" w:hAnsi="仿宋" w:eastAsia="仿宋"/>
          <w:sz w:val="30"/>
          <w:szCs w:val="30"/>
        </w:rPr>
        <w:t>参赛队各模块得分公式如下：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B2B模块得分=参赛队2组选手得分的平均分（四舍五入保留两位小数）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B2C模块得分=参赛队2组选手得分的平均分（四舍五入保留两位小数）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3.成绩复核：成绩复核：为保障成绩评判的准确性，监督组将对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所有</w:t>
      </w:r>
      <w:r>
        <w:rPr>
          <w:rFonts w:hint="eastAsia" w:ascii="仿宋" w:hAnsi="仿宋" w:eastAsia="仿宋"/>
          <w:sz w:val="30"/>
          <w:szCs w:val="30"/>
        </w:rPr>
        <w:t>成绩进行复核</w:t>
      </w:r>
      <w:r>
        <w:rPr>
          <w:rFonts w:hint="eastAsia" w:ascii="仿宋" w:hAnsi="仿宋" w:eastAsia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/>
          <w:sz w:val="30"/>
          <w:szCs w:val="30"/>
        </w:rPr>
        <w:t>如发现成绩错误以书面方式及时告知裁判长，由裁判长更正成绩并签字确认。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4.赛项最终得分按100分制计分。赛项最终成绩复核后经裁判长、监督组签字后进行公示。公示时间为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10分钟</w:t>
      </w:r>
      <w:r>
        <w:rPr>
          <w:rFonts w:hint="eastAsia" w:ascii="仿宋" w:hAnsi="仿宋" w:eastAsia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/>
          <w:sz w:val="30"/>
          <w:szCs w:val="30"/>
        </w:rPr>
        <w:t>成绩公示无异议后，由仲裁长和监督组长在成绩单上签字，并公布竞赛成绩。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5、如有申述，参赛选手可在比赛结束后一个小时内，向裁判组提交书面申诉材料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>
      <w:pPr>
        <w:spacing w:line="360" w:lineRule="auto"/>
        <w:ind w:firstLine="600" w:firstLineChars="200"/>
        <w:outlineLvl w:val="1"/>
        <w:rPr>
          <w:rFonts w:hint="eastAsia" w:ascii="宋体" w:hAnsi="宋体"/>
          <w:b w:val="0"/>
          <w:bCs w:val="0"/>
          <w:color w:val="000000"/>
          <w:sz w:val="30"/>
          <w:szCs w:val="30"/>
        </w:rPr>
      </w:pPr>
      <w:bookmarkStart w:id="11" w:name="_Toc414002614"/>
      <w:r>
        <w:rPr>
          <w:rFonts w:hint="eastAsia" w:ascii="宋体" w:hAnsi="宋体"/>
          <w:b w:val="0"/>
          <w:bCs w:val="0"/>
          <w:color w:val="000000"/>
          <w:sz w:val="30"/>
          <w:szCs w:val="30"/>
        </w:rPr>
        <w:t>（二）评分细则</w:t>
      </w:r>
      <w:bookmarkEnd w:id="11"/>
    </w:p>
    <w:p>
      <w:pPr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竞赛各模块评分标准如下：</w:t>
      </w:r>
    </w:p>
    <w:p>
      <w:pPr>
        <w:ind w:firstLine="600" w:firstLineChars="200"/>
        <w:outlineLvl w:val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</w:t>
      </w: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B2B模块</w:t>
      </w:r>
    </w:p>
    <w:p>
      <w:pPr>
        <w:spacing w:line="560" w:lineRule="exact"/>
        <w:jc w:val="center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表</w:t>
      </w:r>
      <w:r>
        <w:rPr>
          <w:rFonts w:hint="eastAsia" w:ascii="仿宋" w:hAnsi="仿宋" w:eastAsia="仿宋" w:cs="宋体"/>
          <w:sz w:val="24"/>
          <w:lang w:val="en-US" w:eastAsia="zh-CN"/>
        </w:rPr>
        <w:t>4</w:t>
      </w:r>
      <w:r>
        <w:rPr>
          <w:rFonts w:hint="eastAsia" w:ascii="仿宋" w:hAnsi="仿宋" w:eastAsia="仿宋" w:cs="宋体"/>
          <w:sz w:val="24"/>
        </w:rPr>
        <w:t xml:space="preserve"> 外贸B2B模块评分细则</w:t>
      </w:r>
    </w:p>
    <w:tbl>
      <w:tblPr>
        <w:tblStyle w:val="9"/>
        <w:tblW w:w="81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8"/>
        <w:gridCol w:w="1658"/>
        <w:gridCol w:w="4429"/>
        <w:gridCol w:w="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项目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要素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评分细则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业务推广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5分）</w:t>
            </w: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建站管理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管理公司信息：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须完善公司信息，全部填写完整则得满分0.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分，具体包括5个主营业务(每个0.0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分）、10个更多经营产品（每个0.00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分）、设置公司标志（0.0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分）、设置3个公司形象展示图（每个0.0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分）及公司详细信息的填写（0.0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完成A&amp;V认证得0.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05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加入金品诚企并完成管理能力评估得0.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05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完成店铺装修，包括更换主题和Banner，各0.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05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产品管理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发布产品的数量，发布1个产品得0.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分，5个满分。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发布产品的质量，包括产品标题、关键词、产品图片、原产地等产品属性、物流信息（包括发货期、港口等）、产品详情等，此项得分取所有产品页面的平均分。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认证商品个数，每个0.0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分，5个得满分。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橱窗产品个数，每个0.0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分，5个得满分。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创建产品分组的个数，每创建一个一级分组得0.0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分，5个得满分。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采购直达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发布采购需求数量，每个0.0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分，5个满分。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采购需求的内容，主要考察填写的完整性和正确性，此项得分取所有采购需求的平均分。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公司广告推广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发布公司广告的数量，每条0.1分，3条满分。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发布公司广告的质量，标题和内容要求均为英文，能较好地展示公司，突出公司的主营产品等。此项得分取所有公司广告的平均分。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寻找客户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（共16分）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客户群的多样化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考核“历史业务”中交易的客户数，每个客户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0.8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个不同的客户得满分。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业务磋商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（共6分）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出口业务磋商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此项得分为“历史业务”中的每笔出口业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务的“出口业务磋商”得分的平均分。具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体每笔业务的评分如下：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1.发出的函电中须有类型为“发盘”的函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电，有则得 0.25 分，否则不得分；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2.发出的“发盘”函电的标题中需选择合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同交易产品名称，符合要求得 0.25 分，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3.发出的“发盘”函电的正文中需正确选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择/填写以下要素：产品、销售数量及单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位、单价（币别、金额、销售单位、贸易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术语、港口信息）、总金额及币别、结算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方式、运输方式、装运港、目的港、保险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条款（每个要素 0.1 分，共 1.5 分），符合要求得分，否则不得分；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注意：如有多次“发盘”，至少有一封函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电需正确选择/填写标题及所有要素。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进口业务磋商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此项得分为“历史业务”中的每笔进口业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务的“进口业务磋商”得分的平均分。具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体每笔业务的评分如下：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1.发出的函电中须有“询盘”和“接受”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两种类型的函电，每个类型各 0.25 分，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有则得分，否则不得分，共 0.5 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2.发出的“询盘”函电的正文中需选择合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同交易产品，符合要求得 0.3 分，否则不得分；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3.发出的“接受”函电的标题中需选择合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同交易产品名称，符合要求得 0.3 分，否则不得分；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4. 发出的“接受”函电的正文中需正确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选择/填写以下要素：产品、销售数量及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单位、单价（币别、金额、销售单位、贸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易术语、港口信息）、结算方式（每个要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素 0.1 分，共 0.9 分），合要求得分，否则不得分；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注意：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（1）如有多次“询盘”，至少有一封函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电需正确选择合同交易产品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（2）如有多次“接受”，至少有一封函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电需正确选择/填写标题及所有要素。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进出口价格核算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出口成本预算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此项得分为：“历史业务”中出口成本预算表的平均得分×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%。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进口成本预算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此项得分为：“历史业务”中进口成本预算表的平均得分×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%。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签订合同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进出口合同订立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“历史业务”中每笔进出口业务得0.2分，20 笔满分。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业务多样性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28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.5分）</w:t>
            </w: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成交产品数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“历史业务”中出口产品应多样化，每个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不同的产品（按产品编号）得 0.8 分，10个满分。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“历史业务”中进口产品应多样化，每个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不同的产品（按产品编号）得 0.8 分，10个满分。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主要贸易术语的掌握和运用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“历史业务”中出口业务贸易术语使用种类数量，使用一种得0.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5分，6种得满分。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“历史业务”中进口业务贸易术语使用种类数量，使用一种得0.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5分，6种得满分。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主要结算方式的掌握和运用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“历史业务”中出口业务结算方式使用种类数量，使用一种得0.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5分，5种得满分。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“历史业务”中进口业务结算方式使用种类数量，使用一种得0.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5分，5种得满分。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海运、空运两种运输方式的合理运用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“历史业务”中海运业务的数量，每笔0.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5分，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12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笔满分。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“历史业务”中空运业务的数量，每笔0.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分，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笔满分。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盈利能力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（共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37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分）</w:t>
            </w: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公司盈利能力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公司盈利率=（当前资金－初始资金）/初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始资金=每笔业务盈亏额之和/初始资金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每笔业务盈亏额为“历史业务”中预算表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实际发生额一栏的“预期盈亏额”。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公司盈利率小于等于0则此项得分为 0；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公司盈利率越高，此项得分越高，达到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900%得满分。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评分结果举例：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100%，得 2.35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200%，得 4.39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300%，得 6.32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400%，得 8.19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500%，得 10.02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600%，得 11.8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700%，得 13.56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800%，得 15.29 分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公司盈利率为 900%，得 17 分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658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</w:t>
            </w:r>
          </w:p>
        </w:tc>
        <w:tc>
          <w:tcPr>
            <w:tcW w:w="4429" w:type="dxa"/>
            <w:noWrap w:val="0"/>
            <w:vAlign w:val="center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此项得分为“历史业务”中的每笔进出口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业务的“业务利润率”得分的平均分。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每笔业务的“业务利润率”得分根据该业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务预算表实际发生额一栏中“预期盈亏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率”来评分，数值越大则分数越高，达到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50%得满分。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每笔业务的评分结果举例：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5%，得 2.52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10%，得 4.7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15%，得 6.77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20%，得 8.77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25%，得 10.72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30%，得 12.63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35%，得 14.51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40%，得 16.36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45%，得 18.19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业务利润率为 50%，得 20 分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例如：某同学一共完成 3 笔业务，业务一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盈亏率为 15%，业务二盈亏率为 20%，业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务三盈亏率为 30%，则：</w:t>
            </w: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业务利润率得分=（6.77+8.77+12.63）</w:t>
            </w:r>
          </w:p>
          <w:p>
            <w:pPr>
              <w:widowControl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/3=9.39 分</w:t>
            </w:r>
          </w:p>
        </w:tc>
        <w:tc>
          <w:tcPr>
            <w:tcW w:w="73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20</w:t>
            </w:r>
          </w:p>
        </w:tc>
      </w:tr>
    </w:tbl>
    <w:p>
      <w:pPr>
        <w:tabs>
          <w:tab w:val="right" w:pos="8306"/>
        </w:tabs>
        <w:snapToGrid w:val="0"/>
        <w:spacing w:line="560" w:lineRule="exact"/>
        <w:ind w:firstLine="600" w:firstLineChars="200"/>
        <w:rPr>
          <w:rFonts w:ascii="仿宋" w:hAnsi="仿宋" w:eastAsia="仿宋" w:cs="Arial"/>
          <w:kern w:val="0"/>
          <w:sz w:val="30"/>
          <w:szCs w:val="30"/>
        </w:rPr>
      </w:pPr>
      <w:bookmarkStart w:id="12" w:name="OLE_LINK2"/>
      <w:r>
        <w:rPr>
          <w:rFonts w:hint="eastAsia" w:ascii="仿宋" w:hAnsi="仿宋" w:eastAsia="仿宋" w:cs="Arial"/>
          <w:kern w:val="0"/>
          <w:sz w:val="30"/>
          <w:szCs w:val="30"/>
        </w:rPr>
        <w:t>6种贸易术语为：CIF、FOB、CFR、CIP、FCA、CPT</w:t>
      </w:r>
    </w:p>
    <w:p>
      <w:pPr>
        <w:snapToGrid w:val="0"/>
        <w:spacing w:line="360" w:lineRule="auto"/>
        <w:ind w:firstLine="600" w:firstLineChars="200"/>
        <w:rPr>
          <w:rFonts w:ascii="仿宋" w:hAnsi="仿宋" w:eastAsia="仿宋" w:cs="Arial"/>
          <w:kern w:val="0"/>
          <w:sz w:val="30"/>
          <w:szCs w:val="30"/>
        </w:rPr>
      </w:pPr>
      <w:r>
        <w:rPr>
          <w:rFonts w:hint="eastAsia" w:ascii="仿宋" w:hAnsi="仿宋" w:eastAsia="仿宋" w:cs="Arial"/>
          <w:kern w:val="0"/>
          <w:sz w:val="30"/>
          <w:szCs w:val="30"/>
        </w:rPr>
        <w:t>5种结算方式为：100%T/T、T/T（定金+尾款）、L/C、D/P、D/A</w:t>
      </w:r>
    </w:p>
    <w:bookmarkEnd w:id="12"/>
    <w:p>
      <w:pPr>
        <w:spacing w:line="360" w:lineRule="auto"/>
        <w:ind w:firstLine="570"/>
        <w:outlineLvl w:val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</w:t>
      </w: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B2C模块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Arial"/>
          <w:sz w:val="30"/>
          <w:szCs w:val="30"/>
        </w:rPr>
        <w:t>外贸</w:t>
      </w:r>
      <w:r>
        <w:rPr>
          <w:rFonts w:hint="eastAsia" w:ascii="仿宋" w:hAnsi="仿宋" w:eastAsia="仿宋"/>
          <w:sz w:val="30"/>
          <w:szCs w:val="30"/>
        </w:rPr>
        <w:t>B2C模块成绩由参赛队在系统中运营的公司分数构成。如果团队经营过多家公司（如破产后重建新公司），则取这些公司分数的最高值。具体计算方法如下：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（1）公司分数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公司分数受多种因素影响，这些因素包括“投资回报率分数”和“破产影响系数” 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公司分数计算公式：</w:t>
      </w:r>
    </w:p>
    <w:p>
      <w:pPr>
        <w:spacing w:line="360" w:lineRule="auto"/>
        <w:ind w:firstLine="1200" w:firstLineChars="4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position w:val="-36"/>
          <w:sz w:val="30"/>
          <w:szCs w:val="30"/>
        </w:rPr>
        <w:object>
          <v:shape id="_x0000_i1025" o:spt="75" type="#_x0000_t75" style="height:42.75pt;width:147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s" ShapeID="_x0000_i1025" DrawAspect="Content" ObjectID="_1468075725" r:id="rId4">
            <o:LockedField>false</o:LockedField>
          </o:OLEObject>
        </w:objec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其中：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64"/>
          <w:sz w:val="30"/>
          <w:szCs w:val="30"/>
        </w:rPr>
        <w:object>
          <v:shape id="_x0000_i1026" o:spt="75" type="#_x0000_t75" style="height:72pt;width:129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s" ShapeID="_x0000_i1026" DrawAspect="Content" ObjectID="_1468075726" r:id="rId6">
            <o:LockedField>false</o:LockedField>
          </o:OLEObject>
        </w:objec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设置：</w:t>
      </w:r>
    </w:p>
    <w:p>
      <w:pPr>
        <w:ind w:firstLine="1200" w:firstLineChars="4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position w:val="-12"/>
          <w:sz w:val="30"/>
          <w:szCs w:val="30"/>
        </w:rPr>
        <w:object>
          <v:shape id="_x0000_i1027" o:spt="75" type="#_x0000_t75" style="height:18.75pt;width:51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s" ShapeID="_x0000_i1027" DrawAspect="Content" ObjectID="_1468075727" r:id="rId8">
            <o:LockedField>false</o:LockedField>
          </o:OLEObject>
        </w:objec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（2）投资回报率分数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投资回报率分数受多种因素影响，这些因素包括“投资回报率数值分数”和“投资回报率排名分数”。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投资回报率分数计算公式：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34"/>
          <w:sz w:val="30"/>
          <w:szCs w:val="30"/>
        </w:rPr>
        <w:object>
          <v:shape id="_x0000_i1028" o:spt="75" type="#_x0000_t75" style="height:39pt;width:150.8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s" ShapeID="_x0000_i1028" DrawAspect="Content" ObjectID="_1468075728" r:id="rId10">
            <o:LockedField>false</o:LockedField>
          </o:OLEObject>
        </w:objec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其中：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40"/>
          <w:sz w:val="30"/>
          <w:szCs w:val="30"/>
        </w:rPr>
        <w:object>
          <v:shape id="_x0000_i1029" o:spt="75" type="#_x0000_t75" style="height:47.25pt;width:161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s" ShapeID="_x0000_i1029" DrawAspect="Content" ObjectID="_1468075729" r:id="rId12">
            <o:LockedField>false</o:LockedField>
          </o:OLEObject>
        </w:objec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66"/>
          <w:sz w:val="30"/>
          <w:szCs w:val="30"/>
        </w:rPr>
        <w:object>
          <v:shape id="_x0000_i1030" o:spt="75" type="#_x0000_t75" style="height:72.8pt;width:183.75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s" ShapeID="_x0000_i1030" DrawAspect="Content" ObjectID="_1468075730" r:id="rId14">
            <o:LockedField>false</o:LockedField>
          </o:OLEObject>
        </w:object>
      </w:r>
    </w:p>
    <w:p>
      <w:pPr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设置：</w:t>
      </w:r>
    </w:p>
    <w:p>
      <w:pPr>
        <w:ind w:firstLine="1200" w:firstLineChars="4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Wrr</w:t>
      </w:r>
      <w:r>
        <w:rPr>
          <w:rFonts w:hint="eastAsia" w:ascii="仿宋" w:hAnsi="仿宋" w:eastAsia="仿宋"/>
          <w:sz w:val="30"/>
          <w:szCs w:val="30"/>
        </w:rPr>
        <w:t xml:space="preserve"> = 80</w:t>
      </w:r>
    </w:p>
    <w:p>
      <w:pPr>
        <w:ind w:firstLine="1200" w:firstLineChars="4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Wrv=20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①投资回报率数值分数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①投资回报率数值分数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投资回报率数值分采用分档方式计算，根据投资回报率所处档次计算其对应分数。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投资回报率数值分数计算公式：</w:t>
      </w:r>
    </w:p>
    <w:p>
      <w:pPr>
        <w:spacing w:line="360" w:lineRule="auto"/>
        <w:ind w:firstLine="1200" w:firstLineChars="4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position w:val="-56"/>
          <w:sz w:val="30"/>
          <w:szCs w:val="30"/>
        </w:rPr>
        <w:object>
          <v:shape id="_x0000_i1031" o:spt="75" type="#_x0000_t75" style="height:63pt;width:322.3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s" ShapeID="_x0000_i1031" DrawAspect="Content" ObjectID="_1468075731" r:id="rId16">
            <o:LockedField>false</o:LockedField>
          </o:OLEObject>
        </w:objec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其中：</w:t>
      </w:r>
    </w:p>
    <w:p>
      <w:pPr>
        <w:ind w:firstLine="1134" w:firstLineChars="378"/>
        <w:rPr>
          <w:rFonts w:ascii="仿宋" w:hAnsi="仿宋" w:eastAsia="仿宋"/>
          <w:color w:val="000000"/>
          <w:kern w:val="24"/>
          <w:sz w:val="30"/>
          <w:szCs w:val="30"/>
        </w:rPr>
      </w:pPr>
      <w:r>
        <w:rPr>
          <w:rFonts w:ascii="仿宋" w:hAnsi="仿宋" w:eastAsia="仿宋"/>
          <w:position w:val="-154"/>
          <w:sz w:val="30"/>
          <w:szCs w:val="30"/>
        </w:rPr>
        <w:object>
          <v:shape id="_x0000_i1032" o:spt="75" type="#_x0000_t75" style="height:161.95pt;width:397.3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s" ShapeID="_x0000_i1032" DrawAspect="Content" ObjectID="_1468075732" r:id="rId18">
            <o:LockedField>false</o:LockedField>
          </o:OLEObject>
        </w:object>
      </w: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hint="eastAsia" w:ascii="仿宋" w:hAnsi="仿宋" w:eastAsia="仿宋"/>
          <w:color w:val="000000"/>
          <w:kern w:val="24"/>
          <w:sz w:val="30"/>
          <w:szCs w:val="30"/>
        </w:rPr>
        <w:t>设置：</w:t>
      </w:r>
    </w:p>
    <w:p>
      <w:pPr>
        <w:ind w:firstLine="1200" w:firstLineChars="400"/>
        <w:rPr>
          <w:rFonts w:ascii="仿宋" w:hAnsi="仿宋" w:eastAsia="仿宋"/>
          <w:color w:val="000000"/>
          <w:kern w:val="24"/>
          <w:sz w:val="30"/>
          <w:szCs w:val="30"/>
        </w:rPr>
      </w:pPr>
      <w:r>
        <w:rPr>
          <w:rFonts w:ascii="仿宋" w:hAnsi="仿宋" w:eastAsia="仿宋"/>
          <w:color w:val="000000"/>
          <w:kern w:val="24"/>
          <w:position w:val="-64"/>
          <w:sz w:val="30"/>
          <w:szCs w:val="30"/>
        </w:rPr>
        <w:object>
          <v:shape id="_x0000_i1033" o:spt="75" type="#_x0000_t75" style="height:78.7pt;width:63.75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s" ShapeID="_x0000_i1033" DrawAspect="Content" ObjectID="_1468075733" r:id="rId20">
            <o:LockedField>false</o:LockedField>
          </o:OLEObject>
        </w:objec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②投资回报率排名分数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将投资回报率按照从高到低的顺序进行排名（最高的排名为 1），然后根据排名将其划归到不同档次，不同档次对应不同的分数。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投资回报率排名分数计算公式：</w:t>
      </w:r>
    </w:p>
    <w:p>
      <w:pPr>
        <w:spacing w:line="360" w:lineRule="auto"/>
        <w:ind w:firstLine="1200" w:firstLineChars="4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drawing>
          <wp:inline distT="0" distB="0" distL="114300" distR="114300">
            <wp:extent cx="2631440" cy="1107440"/>
            <wp:effectExtent l="0" t="0" r="5080" b="5080"/>
            <wp:docPr id="1" name="图片 23" descr="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3" descr="00001.png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其中：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150"/>
          <w:sz w:val="30"/>
          <w:szCs w:val="30"/>
        </w:rPr>
        <w:object>
          <v:shape id="_x0000_i1034" o:spt="75" type="#_x0000_t75" style="height:156.7pt;width:206.25pt;" o:ole="t" filled="f" o:preferrelative="t" stroked="f" coordsize="21600,21600">
            <v:path/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s" ShapeID="_x0000_i1034" DrawAspect="Content" ObjectID="_1468075734" r:id="rId23">
            <o:LockedField>false</o:LockedField>
          </o:OLEObject>
        </w:objec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设置：</w:t>
      </w:r>
    </w:p>
    <w:p>
      <w:pPr>
        <w:ind w:firstLine="600" w:firstLineChars="200"/>
        <w:rPr>
          <w:rFonts w:hint="eastAsia" w:ascii="仿宋" w:hAnsi="仿宋" w:eastAsia="仿宋" w:cs="Arial"/>
          <w:kern w:val="0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  <w:r>
        <w:rPr>
          <w:rFonts w:ascii="仿宋" w:hAnsi="仿宋" w:eastAsia="仿宋"/>
          <w:position w:val="-62"/>
          <w:sz w:val="30"/>
          <w:szCs w:val="30"/>
        </w:rPr>
        <w:object>
          <v:shape id="_x0000_i1035" o:spt="75" type="#_x0000_t75" style="height:78pt;width:63.75pt;" o:ole="t" filled="f" o:preferrelative="t" stroked="f" coordsize="21600,21600">
            <v:path/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s" ShapeID="_x0000_i1035" DrawAspect="Content" ObjectID="_1468075735" r:id="rId25">
            <o:LockedField>false</o:LockedField>
          </o:OLEObject>
        </w:object>
      </w:r>
    </w:p>
    <w:p>
      <w:pPr>
        <w:spacing w:line="360" w:lineRule="auto"/>
        <w:ind w:firstLine="602" w:firstLineChars="200"/>
        <w:outlineLvl w:val="1"/>
        <w:rPr>
          <w:rFonts w:hint="default" w:ascii="仿宋" w:hAnsi="仿宋" w:eastAsia="仿宋"/>
          <w:b/>
          <w:color w:val="auto"/>
          <w:sz w:val="30"/>
          <w:szCs w:val="30"/>
          <w:lang w:val="en-US" w:eastAsia="zh-CN"/>
        </w:rPr>
      </w:pPr>
      <w:bookmarkStart w:id="13" w:name="_Toc414002615"/>
      <w:r>
        <w:rPr>
          <w:rFonts w:hint="eastAsia" w:ascii="仿宋" w:hAnsi="仿宋" w:eastAsia="仿宋"/>
          <w:b/>
          <w:color w:val="auto"/>
          <w:sz w:val="30"/>
          <w:szCs w:val="30"/>
        </w:rPr>
        <w:t>（三）</w:t>
      </w:r>
      <w:bookmarkEnd w:id="13"/>
      <w:r>
        <w:rPr>
          <w:rFonts w:hint="eastAsia" w:ascii="仿宋" w:hAnsi="仿宋" w:eastAsia="仿宋"/>
          <w:b/>
          <w:color w:val="auto"/>
          <w:sz w:val="30"/>
          <w:szCs w:val="30"/>
        </w:rPr>
        <w:t>奖项设置</w:t>
      </w:r>
    </w:p>
    <w:p>
      <w:pPr>
        <w:spacing w:line="360" w:lineRule="auto"/>
        <w:ind w:firstLine="450" w:firstLineChars="150"/>
        <w:rPr>
          <w:rFonts w:hint="default" w:ascii="仿宋" w:hAnsi="仿宋" w:eastAsia="仿宋"/>
          <w:color w:val="auto"/>
          <w:sz w:val="30"/>
          <w:szCs w:val="30"/>
          <w:lang w:val="en-US" w:eastAsia="zh-CN"/>
        </w:rPr>
      </w:pPr>
      <w:bookmarkStart w:id="14" w:name="_Toc61004422"/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参照省教育厅技能大赛文件执行。</w:t>
      </w:r>
    </w:p>
    <w:p>
      <w:pPr>
        <w:outlineLvl w:val="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十</w:t>
      </w:r>
      <w:r>
        <w:rPr>
          <w:rFonts w:hint="eastAsia" w:ascii="仿宋" w:hAnsi="仿宋" w:eastAsia="仿宋"/>
          <w:b/>
          <w:sz w:val="30"/>
          <w:szCs w:val="30"/>
          <w:lang w:val="en-US" w:eastAsia="zh-CN"/>
        </w:rPr>
        <w:t>一</w:t>
      </w:r>
      <w:r>
        <w:rPr>
          <w:rFonts w:hint="eastAsia" w:ascii="仿宋" w:hAnsi="仿宋" w:eastAsia="仿宋"/>
          <w:b/>
          <w:sz w:val="30"/>
          <w:szCs w:val="30"/>
        </w:rPr>
        <w:t>、赛场预案</w:t>
      </w:r>
      <w:bookmarkEnd w:id="14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针对竞赛过程中可能出现的不可控因素，制定以下预案。如竞赛场地电脑出现故障，遵循以下处理办法和程序。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参赛选手举手示意裁判员，经裁判员/技术人员确认非人为因素造成故障，予以启用备用电脑（如需将原电脑中的文件转移至备用电脑上，需由裁判员/技术人员负责处理，如果文件不能恢复，视为不可抗力因素），继续完成答题，裁判员应安抚学生情绪并做好情况记录工作。</w:t>
      </w:r>
    </w:p>
    <w:p>
      <w:pPr>
        <w:outlineLvl w:val="0"/>
        <w:rPr>
          <w:rFonts w:ascii="仿宋" w:hAnsi="仿宋" w:eastAsia="仿宋"/>
          <w:b/>
          <w:sz w:val="30"/>
          <w:szCs w:val="30"/>
        </w:rPr>
      </w:pPr>
      <w:bookmarkStart w:id="15" w:name="_Toc61004423"/>
      <w:r>
        <w:rPr>
          <w:rFonts w:hint="eastAsia" w:ascii="仿宋" w:hAnsi="仿宋" w:eastAsia="仿宋"/>
          <w:b/>
          <w:sz w:val="30"/>
          <w:szCs w:val="30"/>
        </w:rPr>
        <w:t>十</w:t>
      </w:r>
      <w:r>
        <w:rPr>
          <w:rFonts w:hint="eastAsia" w:ascii="仿宋" w:hAnsi="仿宋" w:eastAsia="仿宋"/>
          <w:b/>
          <w:sz w:val="30"/>
          <w:szCs w:val="30"/>
          <w:lang w:val="en-US" w:eastAsia="zh-CN"/>
        </w:rPr>
        <w:t>二</w:t>
      </w:r>
      <w:r>
        <w:rPr>
          <w:rFonts w:hint="eastAsia" w:ascii="仿宋" w:hAnsi="仿宋" w:eastAsia="仿宋"/>
          <w:b/>
          <w:sz w:val="30"/>
          <w:szCs w:val="30"/>
        </w:rPr>
        <w:t>、赛项安全</w:t>
      </w:r>
      <w:bookmarkEnd w:id="15"/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赛事安全是技能竞赛一切工作顺利开展的先决条件，是赛事筹备和运行工作必须考虑的核心问题。赛项组委会采取切实有效措施保证大赛期间参赛选手、指导教师、工作人员及观众的人身安全。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（一）比赛环境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1.赛场的布置，赛场内的器材、设备，应符合国家防疫要求及有关安全规定。如有必要，也可进行赛场仿真模拟测试，以发现可能出现的问题。承办单位赛前须按照组委会要求排除安全隐患。</w:t>
      </w:r>
    </w:p>
    <w:p>
      <w:pPr>
        <w:spacing w:line="360" w:lineRule="auto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2.赛场周围要设立警戒线，防止无关人员进入发生意外事件。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3.承办单位应提供保证应急预案实施的条件。对于比赛内容涉及高空作业、可能有坠物、大用电量、易发生火灾等情况的赛项，必须明确制度和预案，并配备急救人员与设施。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4.大赛期间，承办单位须在赛场管理的关键岗位，增加力量，建立安全管理日志。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/>
          <w:sz w:val="30"/>
          <w:szCs w:val="30"/>
        </w:rPr>
        <w:t>.参赛选手进入赛位，赛事裁判及工作人员进入竞赛场所，严禁携带通讯、照相摄录设备，禁止携带记录用具。如确有需要，由赛场统一配置、统一管理。赛项可根据需要配置安检设备对进入赛场重要部位的人员进行安检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二</w:t>
      </w:r>
      <w:r>
        <w:rPr>
          <w:rFonts w:hint="eastAsia" w:ascii="仿宋" w:hAnsi="仿宋" w:eastAsia="仿宋"/>
          <w:sz w:val="30"/>
          <w:szCs w:val="30"/>
        </w:rPr>
        <w:t>）组队责任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1.各学校组织代表队时，须安排为参赛选手购买大赛期间的人身意外伤害保险。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2.各学校代表队组成后，须制定相关管理制度，并对所有选手、指导教师进行安全教育。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3.各参赛队伍须加强对参与比赛人员的安全管理，实现与赛场安全管理的对接。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/>
          <w:sz w:val="30"/>
          <w:szCs w:val="30"/>
        </w:rPr>
        <w:t>）应急处理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比赛期间发生意外事故，发现者应第一时间报告赛项组委会，同时采取措施避免事态扩大。赛项组委会应立即启动预案予以解决并上报上级主管机构。赛项出现重大安全问题可以停赛，是否停赛由赛项组委会决定。事后，赛项组委会应向上级主管机构报告详细情况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/>
          <w:sz w:val="30"/>
          <w:szCs w:val="30"/>
        </w:rPr>
        <w:t>）处罚措施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1.因参赛队伍原因造成重大安全事故的，取消其获奖资格。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2.参赛队伍有发生重大安全事故隐患，经赛场工作人员提示、警告无效的，可取消其继续比赛的资格。</w:t>
      </w:r>
    </w:p>
    <w:p>
      <w:pPr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3.赛事工作人员违规的，按照相应的制度追究责任。情节恶劣并造成重大安全事故的，由司法机关追究相应法律责任。</w:t>
      </w:r>
    </w:p>
    <w:p>
      <w:pPr>
        <w:outlineLvl w:val="0"/>
        <w:rPr>
          <w:rFonts w:ascii="仿宋" w:hAnsi="仿宋" w:eastAsia="仿宋"/>
          <w:b/>
          <w:sz w:val="30"/>
          <w:szCs w:val="30"/>
        </w:rPr>
      </w:pPr>
      <w:bookmarkStart w:id="16" w:name="_Toc61004424"/>
      <w:r>
        <w:rPr>
          <w:rFonts w:hint="eastAsia" w:ascii="仿宋" w:hAnsi="仿宋" w:eastAsia="仿宋"/>
          <w:b/>
          <w:sz w:val="30"/>
          <w:szCs w:val="30"/>
        </w:rPr>
        <w:t>十</w:t>
      </w:r>
      <w:r>
        <w:rPr>
          <w:rFonts w:hint="eastAsia" w:ascii="仿宋" w:hAnsi="仿宋" w:eastAsia="仿宋"/>
          <w:b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/>
          <w:b/>
          <w:sz w:val="30"/>
          <w:szCs w:val="30"/>
        </w:rPr>
        <w:t>、竞赛须知</w:t>
      </w:r>
      <w:bookmarkEnd w:id="16"/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（一）参赛队须知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1.参赛队名称统一使用学校名称；不接受跨校组队报名。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2.参赛队员在报名获得审核确认后，原则上不再更换，如筹备过程中，队员因故不能参赛，须由学校行政部门于相应赛项开赛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个工作日之前出具书面说明，经大赛组委会办公室核实后予以更换；竞赛开始后，参赛队不得更换参赛队员，允许队员缺席比赛。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3.参赛队按照大赛赛程安排，凭大赛组委会颁发的参赛证和有效身份证件参加比赛及相关活动。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（二）指导教师须知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1.各参赛代表队要发扬良好道德风尚，听从指挥，服从裁判，不弄虚作假。如发现弄虚作假者，取消参赛资格，名次无效。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2.各代表队领队要坚决执行竞赛的各项规定，加强对参赛人员的管理，做好赛前准备工作，督促选手带好证件等竞赛相关材料。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3.竞赛过程中，除参加当场次竞赛的选手、执行裁判员、现场工作人员和经批准的人员外，领队、指导教师及其他人员一律不得进入竞赛场地。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4.参赛代表队若对竞赛过程有异议，在规定的时间内由领队向赛项仲裁工作组提出书面报告。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5.对申诉的仲裁结果，领队要带头服从和执行，并做好选手工作。参赛选手不得因申诉或对处理意见不服而停止竞赛，否则以弃权处理。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6.指导老师应及时查看有关赛项的通知和内容，认真研究和掌握本赛项竞赛的规程、技术规范和赛场要求，指导选手做好赛前的一切技术准备和竞赛准备。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（三）参赛选手须知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1.参赛选手应按有关要求如实填报个人信息，否则取消竞赛资格。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2.参赛选手凭统一印制的参赛证和有效身份证件参加竞赛。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3.参赛选手应认真学习领会本次竞赛相关文件，自觉遵守大赛纪律，服从指挥，听从安排，文明参赛。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4.参赛选手请勿携带与竞赛无关的电子设备、通讯设备及其他资料与用品。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5．参赛选手应提前15分钟抵达赛场，凭参赛证、身份证件检录，按要求入场，不得迟到早退。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6.参赛选手应按抽签结果在指定位置就座。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7.参赛选手须在确认竞赛内容和现场设备等无误后开始竞赛。在竞赛过程中，如有疑问，参赛选手应持“咨询”示意牌示意，项目裁判长应按照有关要求及时予以答疑。如遇设备或软件等故障，参赛选手应持“故障”示意牌示意。项目裁判长、技术人员等应及时予以解决。确因计算机软件或硬件故障，致使操作无法继续的，经项目裁判长确认，予以启用备用计算机。如遇身体不适，参赛选手应持“医务”示意牌示意，现场医务人员按应急预案救治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8.各参赛选手必须按规范要求操作竞赛设备。一旦出现较严重的安全事故，经裁判长批准后将立即取消其参赛资格。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9.竞赛时间终了，选手应全体起立，结束操作。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10.在竞赛期间，未经执委会的批准，参赛选手不得接受其他单位和个人进行的与竞赛内容相关的采访。参赛选手不得将竞赛的相关信息私自公布。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（四）工作人员须知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1.工作人员必须统一佩戴由大赛组委会签发的相应证件，着装整齐。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2.工作人员不得影响参赛选手比赛，不允许有影响比赛公平的行为。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3.服从领导，听从指挥，以高度负责的精神、严肃认真的态度做好各项工作。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4.熟悉比赛规程，认真遵守各项比赛规则和工作要求。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5.坚守岗位，如有急事需要离开岗位时，应经领导同意，并做好工作衔接。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6．严格遵守比赛纪律，如发现其他人员有违反比赛纪律的行为，应予以制止。情节严重的，应向竞赛组委会反映。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7.发扬无私奉献和团结协作的精神，提供热情、优质服务。</w:t>
      </w:r>
    </w:p>
    <w:p>
      <w:pPr>
        <w:outlineLvl w:val="0"/>
        <w:rPr>
          <w:rFonts w:ascii="仿宋" w:hAnsi="仿宋" w:eastAsia="仿宋"/>
          <w:b/>
          <w:sz w:val="30"/>
          <w:szCs w:val="30"/>
        </w:rPr>
      </w:pPr>
      <w:bookmarkStart w:id="17" w:name="_Toc61004425"/>
      <w:r>
        <w:rPr>
          <w:rFonts w:hint="eastAsia" w:ascii="仿宋" w:hAnsi="仿宋" w:eastAsia="仿宋"/>
          <w:b/>
          <w:sz w:val="30"/>
          <w:szCs w:val="30"/>
        </w:rPr>
        <w:t>十</w:t>
      </w:r>
      <w:r>
        <w:rPr>
          <w:rFonts w:hint="eastAsia" w:ascii="仿宋" w:hAnsi="仿宋" w:eastAsia="仿宋"/>
          <w:b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/>
          <w:b/>
          <w:sz w:val="30"/>
          <w:szCs w:val="30"/>
        </w:rPr>
        <w:t>、申诉与仲裁</w:t>
      </w:r>
      <w:bookmarkEnd w:id="17"/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本赛项在比赛过程中若出现有失公正或有关人员违规等现象，代表队领队可在比赛结束后1小时之内向仲裁组提出书面申诉。赛项仲裁工作组在接到申诉后的2小时内组织复议，并及时反馈复议结果。赛项仲裁工作组的仲裁结果为最终结果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2Y2Q5ZjY4OTNhNDkyNjZkMGUzYTIxYTExY2YyYmIifQ=="/>
  </w:docVars>
  <w:rsids>
    <w:rsidRoot w:val="0057636B"/>
    <w:rsid w:val="00004DDA"/>
    <w:rsid w:val="000B654B"/>
    <w:rsid w:val="00193E78"/>
    <w:rsid w:val="001973C2"/>
    <w:rsid w:val="00230789"/>
    <w:rsid w:val="00270E5C"/>
    <w:rsid w:val="002A483C"/>
    <w:rsid w:val="00327EB0"/>
    <w:rsid w:val="003513CA"/>
    <w:rsid w:val="005156E1"/>
    <w:rsid w:val="0054694B"/>
    <w:rsid w:val="005472C0"/>
    <w:rsid w:val="0057636B"/>
    <w:rsid w:val="00663395"/>
    <w:rsid w:val="006F0122"/>
    <w:rsid w:val="00752A7E"/>
    <w:rsid w:val="007D1745"/>
    <w:rsid w:val="00843B33"/>
    <w:rsid w:val="00860A83"/>
    <w:rsid w:val="0087577A"/>
    <w:rsid w:val="008D233E"/>
    <w:rsid w:val="0096508A"/>
    <w:rsid w:val="009B377A"/>
    <w:rsid w:val="009D72BE"/>
    <w:rsid w:val="00A22203"/>
    <w:rsid w:val="00AC78DD"/>
    <w:rsid w:val="00C107B3"/>
    <w:rsid w:val="00C574F0"/>
    <w:rsid w:val="00CE581C"/>
    <w:rsid w:val="00D02BAD"/>
    <w:rsid w:val="00D264E6"/>
    <w:rsid w:val="00D56812"/>
    <w:rsid w:val="00D661DE"/>
    <w:rsid w:val="00DB42F7"/>
    <w:rsid w:val="00E545B3"/>
    <w:rsid w:val="00E6499F"/>
    <w:rsid w:val="00F03717"/>
    <w:rsid w:val="00FA2714"/>
    <w:rsid w:val="042F2325"/>
    <w:rsid w:val="048D2DD3"/>
    <w:rsid w:val="06622B0B"/>
    <w:rsid w:val="09FA11ED"/>
    <w:rsid w:val="0A232418"/>
    <w:rsid w:val="0A8955D8"/>
    <w:rsid w:val="0CD52981"/>
    <w:rsid w:val="1AE029AA"/>
    <w:rsid w:val="1E056EFC"/>
    <w:rsid w:val="29EE450D"/>
    <w:rsid w:val="2B213AFC"/>
    <w:rsid w:val="2C3C0807"/>
    <w:rsid w:val="2D060417"/>
    <w:rsid w:val="2D8226C3"/>
    <w:rsid w:val="3043648F"/>
    <w:rsid w:val="3A780CA6"/>
    <w:rsid w:val="3D2B1B55"/>
    <w:rsid w:val="3D942B71"/>
    <w:rsid w:val="40E70146"/>
    <w:rsid w:val="44DE410F"/>
    <w:rsid w:val="454F10E2"/>
    <w:rsid w:val="52602DB5"/>
    <w:rsid w:val="541F7C94"/>
    <w:rsid w:val="55CA49C1"/>
    <w:rsid w:val="65D17669"/>
    <w:rsid w:val="66A318FA"/>
    <w:rsid w:val="703B3485"/>
    <w:rsid w:val="758D2413"/>
    <w:rsid w:val="76A9540A"/>
    <w:rsid w:val="78CA07FE"/>
    <w:rsid w:val="794D452B"/>
    <w:rsid w:val="7A827F77"/>
    <w:rsid w:val="7CF4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2"/>
    <w:qFormat/>
    <w:uiPriority w:val="9"/>
    <w:pPr>
      <w:keepNext/>
      <w:keepLines/>
      <w:spacing w:before="340" w:after="330" w:line="480" w:lineRule="auto"/>
      <w:outlineLvl w:val="0"/>
    </w:pPr>
    <w:rPr>
      <w:rFonts w:eastAsia="仿宋"/>
      <w:b/>
      <w:bCs/>
      <w:kern w:val="44"/>
      <w:sz w:val="28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640"/>
    </w:pPr>
    <w:rPr>
      <w:rFonts w:ascii="宋体" w:hAnsi="宋体" w:eastAsia="宋体" w:cs="宋体"/>
      <w:sz w:val="28"/>
      <w:szCs w:val="28"/>
      <w:lang w:val="zh-CN" w:eastAsia="zh-CN" w:bidi="zh-CN"/>
    </w:rPr>
  </w:style>
  <w:style w:type="paragraph" w:styleId="4">
    <w:name w:val="Document Map"/>
    <w:basedOn w:val="1"/>
    <w:link w:val="16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1 Char"/>
    <w:basedOn w:val="11"/>
    <w:link w:val="3"/>
    <w:qFormat/>
    <w:uiPriority w:val="9"/>
    <w:rPr>
      <w:rFonts w:ascii="Calibri" w:hAnsi="Calibri" w:eastAsia="仿宋" w:cs="Times New Roman"/>
      <w:b/>
      <w:bCs/>
      <w:kern w:val="44"/>
      <w:sz w:val="28"/>
      <w:szCs w:val="44"/>
    </w:rPr>
  </w:style>
  <w:style w:type="character" w:customStyle="1" w:styleId="13">
    <w:name w:val="页脚 Char"/>
    <w:basedOn w:val="11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批注框文本 Char"/>
    <w:basedOn w:val="11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文档结构图 Char"/>
    <w:basedOn w:val="11"/>
    <w:link w:val="4"/>
    <w:semiHidden/>
    <w:qFormat/>
    <w:uiPriority w:val="99"/>
    <w:rPr>
      <w:rFonts w:ascii="宋体" w:hAnsi="Calibri" w:eastAsia="宋体" w:cs="Times New Roman"/>
      <w:sz w:val="18"/>
      <w:szCs w:val="18"/>
    </w:rPr>
  </w:style>
  <w:style w:type="paragraph" w:customStyle="1" w:styleId="17">
    <w:name w:val="_Style 3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image" Target="media/image12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1.wmf"/><Relationship Id="rId23" Type="http://schemas.openxmlformats.org/officeDocument/2006/relationships/oleObject" Target="embeddings/oleObject10.bin"/><Relationship Id="rId22" Type="http://schemas.openxmlformats.org/officeDocument/2006/relationships/image" Target="media/image10.png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9588</Words>
  <Characters>10666</Characters>
  <Lines>92</Lines>
  <Paragraphs>25</Paragraphs>
  <TotalTime>11</TotalTime>
  <ScaleCrop>false</ScaleCrop>
  <LinksUpToDate>false</LinksUpToDate>
  <CharactersWithSpaces>10856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2021-04-26T04:40:00Z</dcterms:created>
  <dc:creator>admin</dc:creator>
  <cp:lastModifiedBy>陈丽云</cp:lastModifiedBy>
  <dcterms:modified xsi:type="dcterms:W3CDTF">2022-07-26T03:58:54Z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3774B1EA848D4C65A2A9A00D79331815</vt:lpwstr>
  </property>
</Properties>
</file>