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sz w:val="48"/>
          <w:szCs w:val="48"/>
        </w:rPr>
      </w:pPr>
      <w:r>
        <w:rPr>
          <w:rFonts w:hint="eastAsia"/>
          <w:sz w:val="48"/>
          <w:szCs w:val="48"/>
        </w:rPr>
        <w:t>202</w:t>
      </w:r>
      <w:r>
        <w:rPr>
          <w:rFonts w:hint="eastAsia"/>
          <w:sz w:val="48"/>
          <w:szCs w:val="48"/>
          <w:lang w:val="en-US" w:eastAsia="zh-CN"/>
        </w:rPr>
        <w:t>2</w:t>
      </w:r>
      <w:r>
        <w:rPr>
          <w:rFonts w:hint="eastAsia"/>
          <w:sz w:val="48"/>
          <w:szCs w:val="48"/>
        </w:rPr>
        <w:t>年</w:t>
      </w:r>
      <w:r>
        <w:rPr>
          <w:rFonts w:hint="eastAsia"/>
          <w:sz w:val="48"/>
          <w:szCs w:val="48"/>
          <w:lang w:val="en-US" w:eastAsia="zh-CN"/>
        </w:rPr>
        <w:t>海南</w:t>
      </w:r>
      <w:r>
        <w:rPr>
          <w:rFonts w:hint="eastAsia"/>
          <w:sz w:val="48"/>
          <w:szCs w:val="48"/>
        </w:rPr>
        <w:t>省职业院校技能大赛</w:t>
      </w:r>
    </w:p>
    <w:p>
      <w:pPr>
        <w:bidi w:val="0"/>
        <w:jc w:val="center"/>
        <w:rPr>
          <w:sz w:val="48"/>
          <w:szCs w:val="48"/>
        </w:rPr>
      </w:pPr>
      <w:r>
        <w:rPr>
          <w:rFonts w:hint="eastAsia"/>
          <w:sz w:val="48"/>
          <w:szCs w:val="48"/>
        </w:rPr>
        <w:t>“云计算”赛项规程</w:t>
      </w:r>
    </w:p>
    <w:p>
      <w:pPr>
        <w:pStyle w:val="5"/>
        <w:bidi w:val="0"/>
        <w:rPr>
          <w:rFonts w:hint="eastAsia" w:ascii="仿宋_GB2312" w:hAnsi="仿宋" w:eastAsia="仿宋_GB2312"/>
          <w:b/>
          <w:color w:val="000000" w:themeColor="text1"/>
          <w:sz w:val="32"/>
          <w:szCs w:val="32"/>
          <w14:textFill>
            <w14:solidFill>
              <w14:schemeClr w14:val="tx1"/>
            </w14:solidFill>
          </w14:textFill>
        </w:rPr>
      </w:pPr>
      <w:bookmarkStart w:id="0" w:name="_Toc382406748"/>
      <w:r>
        <w:rPr>
          <w:rFonts w:hint="eastAsia" w:ascii="仿宋_GB2312" w:hAnsi="仿宋" w:eastAsia="仿宋_GB2312"/>
          <w:b/>
          <w:color w:val="000000" w:themeColor="text1"/>
          <w:sz w:val="32"/>
          <w:szCs w:val="32"/>
          <w14:textFill>
            <w14:solidFill>
              <w14:schemeClr w14:val="tx1"/>
            </w14:solidFill>
          </w14:textFill>
        </w:rPr>
        <w:t>一、赛项名称</w:t>
      </w:r>
      <w:bookmarkEnd w:id="0"/>
    </w:p>
    <w:p>
      <w:pPr>
        <w:spacing w:line="560" w:lineRule="exact"/>
        <w:ind w:firstLine="560" w:firstLineChars="200"/>
        <w:rPr>
          <w:rFonts w:eastAsia="仿宋_GB2312"/>
          <w:sz w:val="28"/>
          <w:szCs w:val="28"/>
        </w:rPr>
      </w:pPr>
      <w:r>
        <w:rPr>
          <w:rFonts w:hint="eastAsia" w:eastAsia="仿宋_GB2312"/>
          <w:sz w:val="28"/>
          <w:szCs w:val="28"/>
        </w:rPr>
        <w:t>赛项名称：云计算</w:t>
      </w:r>
    </w:p>
    <w:p>
      <w:pPr>
        <w:spacing w:line="560" w:lineRule="exact"/>
        <w:ind w:firstLine="560" w:firstLineChars="200"/>
        <w:rPr>
          <w:rFonts w:eastAsia="仿宋_GB2312"/>
          <w:sz w:val="28"/>
          <w:szCs w:val="28"/>
        </w:rPr>
      </w:pPr>
      <w:r>
        <w:rPr>
          <w:rFonts w:hint="eastAsia" w:eastAsia="仿宋_GB2312"/>
          <w:sz w:val="28"/>
          <w:szCs w:val="28"/>
        </w:rPr>
        <w:t>赛项组别：高职组</w:t>
      </w:r>
    </w:p>
    <w:p>
      <w:pPr>
        <w:spacing w:line="560" w:lineRule="exact"/>
        <w:ind w:firstLine="560" w:firstLineChars="200"/>
        <w:rPr>
          <w:rFonts w:eastAsia="仿宋_GB2312"/>
          <w:sz w:val="28"/>
          <w:szCs w:val="28"/>
        </w:rPr>
      </w:pPr>
      <w:r>
        <w:rPr>
          <w:rFonts w:hint="eastAsia" w:eastAsia="仿宋_GB2312"/>
          <w:sz w:val="28"/>
          <w:szCs w:val="28"/>
        </w:rPr>
        <w:t>竞赛形式：个人赛</w:t>
      </w:r>
    </w:p>
    <w:p>
      <w:pPr>
        <w:spacing w:line="560" w:lineRule="exact"/>
        <w:ind w:firstLine="560" w:firstLineChars="200"/>
        <w:rPr>
          <w:rFonts w:eastAsia="仿宋_GB2312"/>
          <w:sz w:val="28"/>
          <w:szCs w:val="28"/>
        </w:rPr>
      </w:pPr>
      <w:r>
        <w:rPr>
          <w:rFonts w:hint="eastAsia" w:eastAsia="仿宋_GB2312"/>
          <w:sz w:val="28"/>
          <w:szCs w:val="28"/>
        </w:rPr>
        <w:t>赛项专业大类：电子信息大类</w:t>
      </w:r>
    </w:p>
    <w:p>
      <w:pPr>
        <w:pStyle w:val="5"/>
        <w:bidi w:val="0"/>
        <w:rPr>
          <w:rFonts w:ascii="仿宋_GB2312" w:hAnsi="仿宋" w:eastAsia="仿宋_GB2312"/>
          <w:b/>
          <w:color w:val="000000" w:themeColor="text1"/>
          <w:sz w:val="32"/>
          <w:szCs w:val="32"/>
          <w14:textFill>
            <w14:solidFill>
              <w14:schemeClr w14:val="tx1"/>
            </w14:solidFill>
          </w14:textFill>
        </w:rPr>
      </w:pPr>
      <w:bookmarkStart w:id="1" w:name="_Toc382406749"/>
      <w:r>
        <w:rPr>
          <w:rFonts w:hint="eastAsia" w:ascii="仿宋_GB2312" w:hAnsi="仿宋" w:eastAsia="仿宋_GB2312"/>
          <w:b/>
          <w:color w:val="000000" w:themeColor="text1"/>
          <w:sz w:val="32"/>
          <w:szCs w:val="32"/>
          <w14:textFill>
            <w14:solidFill>
              <w14:schemeClr w14:val="tx1"/>
            </w14:solidFill>
          </w14:textFill>
        </w:rPr>
        <w:t>二、竞赛目的</w:t>
      </w:r>
      <w:bookmarkEnd w:id="1"/>
    </w:p>
    <w:p>
      <w:pPr>
        <w:spacing w:line="560" w:lineRule="exact"/>
        <w:ind w:firstLine="560" w:firstLineChars="200"/>
        <w:rPr>
          <w:rFonts w:eastAsia="仿宋_GB2312"/>
          <w:sz w:val="28"/>
          <w:szCs w:val="28"/>
        </w:rPr>
      </w:pPr>
      <w:r>
        <w:rPr>
          <w:rFonts w:hint="eastAsia" w:eastAsia="仿宋_GB2312"/>
          <w:sz w:val="28"/>
          <w:szCs w:val="28"/>
        </w:rPr>
        <w:t>（</w:t>
      </w:r>
      <w:r>
        <w:rPr>
          <w:rFonts w:eastAsia="仿宋_GB2312"/>
          <w:sz w:val="28"/>
          <w:szCs w:val="28"/>
        </w:rPr>
        <w:t>一）以大赛检验教育教学成果</w:t>
      </w:r>
    </w:p>
    <w:p>
      <w:pPr>
        <w:spacing w:line="560" w:lineRule="exact"/>
        <w:ind w:firstLine="560" w:firstLineChars="200"/>
        <w:rPr>
          <w:rFonts w:eastAsia="仿宋_GB2312"/>
          <w:sz w:val="28"/>
          <w:szCs w:val="28"/>
        </w:rPr>
      </w:pPr>
      <w:r>
        <w:rPr>
          <w:rFonts w:hint="eastAsia" w:eastAsia="仿宋_GB2312"/>
          <w:sz w:val="28"/>
          <w:szCs w:val="28"/>
        </w:rPr>
        <w:t>本</w:t>
      </w:r>
      <w:r>
        <w:rPr>
          <w:rFonts w:eastAsia="仿宋_GB2312"/>
          <w:sz w:val="28"/>
          <w:szCs w:val="28"/>
        </w:rPr>
        <w:t>赛项</w:t>
      </w:r>
      <w:r>
        <w:rPr>
          <w:rFonts w:hint="eastAsia" w:eastAsia="仿宋_GB2312"/>
          <w:sz w:val="28"/>
          <w:szCs w:val="28"/>
        </w:rPr>
        <w:t>全</w:t>
      </w:r>
      <w:r>
        <w:rPr>
          <w:rFonts w:eastAsia="仿宋_GB2312"/>
          <w:sz w:val="28"/>
          <w:szCs w:val="28"/>
        </w:rPr>
        <w:t>面考察高职学生云平台规划设计、云平台部署、虚拟桌面、云存储、云网络、云安全、容器、</w:t>
      </w:r>
      <w:r>
        <w:rPr>
          <w:rFonts w:hint="eastAsia" w:eastAsia="仿宋_GB2312"/>
          <w:sz w:val="28"/>
          <w:szCs w:val="28"/>
        </w:rPr>
        <w:t>自动化运维、云服务部署运维</w:t>
      </w:r>
      <w:r>
        <w:rPr>
          <w:rFonts w:eastAsia="仿宋_GB2312"/>
          <w:sz w:val="28"/>
          <w:szCs w:val="28"/>
        </w:rPr>
        <w:t>等前沿的知识、技术技能以及职业素养</w:t>
      </w:r>
      <w:r>
        <w:rPr>
          <w:rFonts w:hint="eastAsia" w:eastAsia="仿宋_GB2312"/>
          <w:sz w:val="28"/>
          <w:szCs w:val="28"/>
        </w:rPr>
        <w:t>能力</w:t>
      </w:r>
      <w:r>
        <w:rPr>
          <w:rFonts w:eastAsia="仿宋_GB2312"/>
          <w:sz w:val="28"/>
          <w:szCs w:val="28"/>
        </w:rPr>
        <w:t>；</w:t>
      </w:r>
      <w:r>
        <w:rPr>
          <w:rFonts w:hint="eastAsia" w:ascii="仿宋_GB2312" w:hAnsi="仿宋_GB2312" w:eastAsia="仿宋_GB2312" w:cs="仿宋_GB2312"/>
          <w:sz w:val="28"/>
          <w:szCs w:val="28"/>
        </w:rPr>
        <w:t>全面检验学生云</w:t>
      </w:r>
      <w:r>
        <w:rPr>
          <w:rFonts w:ascii="仿宋_GB2312" w:hAnsi="仿宋_GB2312" w:eastAsia="仿宋_GB2312" w:cs="仿宋_GB2312"/>
          <w:sz w:val="28"/>
          <w:szCs w:val="28"/>
        </w:rPr>
        <w:t>计算</w:t>
      </w:r>
      <w:r>
        <w:rPr>
          <w:rFonts w:hint="eastAsia" w:ascii="仿宋_GB2312" w:hAnsi="仿宋_GB2312" w:eastAsia="仿宋_GB2312" w:cs="仿宋_GB2312"/>
          <w:sz w:val="28"/>
          <w:szCs w:val="28"/>
        </w:rPr>
        <w:t>技术应用开发的工程实践能力和创新能力</w:t>
      </w:r>
      <w:r>
        <w:rPr>
          <w:rFonts w:ascii="仿宋_GB2312" w:hAnsi="仿宋_GB2312" w:eastAsia="仿宋_GB2312" w:cs="仿宋_GB2312"/>
          <w:sz w:val="28"/>
          <w:szCs w:val="28"/>
        </w:rPr>
        <w:t>，</w:t>
      </w:r>
      <w:r>
        <w:rPr>
          <w:rFonts w:hint="eastAsia" w:ascii="仿宋" w:hAnsi="仿宋" w:eastAsia="仿宋" w:cs="仿宋_GB2312"/>
          <w:sz w:val="28"/>
          <w:szCs w:val="28"/>
        </w:rPr>
        <w:t>展现云计算人才培养成果。</w:t>
      </w:r>
    </w:p>
    <w:p>
      <w:pPr>
        <w:spacing w:line="560" w:lineRule="exact"/>
        <w:ind w:firstLine="560" w:firstLineChars="200"/>
        <w:rPr>
          <w:rFonts w:eastAsia="仿宋_GB2312"/>
          <w:sz w:val="28"/>
          <w:szCs w:val="28"/>
        </w:rPr>
      </w:pPr>
      <w:r>
        <w:rPr>
          <w:rFonts w:hint="eastAsia" w:eastAsia="仿宋_GB2312"/>
          <w:sz w:val="28"/>
          <w:szCs w:val="28"/>
        </w:rPr>
        <w:t>（</w:t>
      </w:r>
      <w:r>
        <w:rPr>
          <w:rFonts w:eastAsia="仿宋_GB2312"/>
          <w:sz w:val="28"/>
          <w:szCs w:val="28"/>
        </w:rPr>
        <w:t>二）</w:t>
      </w:r>
      <w:r>
        <w:rPr>
          <w:rFonts w:hint="eastAsia" w:eastAsia="仿宋_GB2312"/>
          <w:sz w:val="28"/>
          <w:szCs w:val="28"/>
        </w:rPr>
        <w:t>以</w:t>
      </w:r>
      <w:r>
        <w:rPr>
          <w:rFonts w:eastAsia="仿宋_GB2312"/>
          <w:sz w:val="28"/>
          <w:szCs w:val="28"/>
        </w:rPr>
        <w:t>大赛促进</w:t>
      </w:r>
      <w:r>
        <w:rPr>
          <w:rFonts w:hint="eastAsia" w:eastAsia="仿宋_GB2312"/>
          <w:sz w:val="28"/>
          <w:szCs w:val="28"/>
        </w:rPr>
        <w:t>教育</w:t>
      </w:r>
      <w:r>
        <w:rPr>
          <w:rFonts w:eastAsia="仿宋_GB2312"/>
          <w:sz w:val="28"/>
          <w:szCs w:val="28"/>
        </w:rPr>
        <w:t>教学改革</w:t>
      </w:r>
    </w:p>
    <w:p>
      <w:pPr>
        <w:spacing w:line="560" w:lineRule="exact"/>
        <w:ind w:firstLine="560" w:firstLineChars="200"/>
        <w:rPr>
          <w:rFonts w:eastAsia="仿宋_GB2312"/>
          <w:sz w:val="28"/>
          <w:szCs w:val="28"/>
        </w:rPr>
      </w:pPr>
      <w:r>
        <w:rPr>
          <w:rFonts w:hint="eastAsia" w:eastAsia="仿宋_GB2312"/>
          <w:sz w:val="28"/>
          <w:szCs w:val="28"/>
        </w:rPr>
        <w:t>本赛项按照行业企业云</w:t>
      </w:r>
      <w:r>
        <w:rPr>
          <w:rFonts w:eastAsia="仿宋_GB2312"/>
          <w:sz w:val="28"/>
          <w:szCs w:val="28"/>
        </w:rPr>
        <w:t>计算</w:t>
      </w:r>
      <w:r>
        <w:rPr>
          <w:rFonts w:hint="eastAsia" w:eastAsia="仿宋_GB2312"/>
          <w:sz w:val="28"/>
          <w:szCs w:val="28"/>
        </w:rPr>
        <w:t>岗位真实工作过程设计竞赛内容，</w:t>
      </w:r>
      <w:r>
        <w:rPr>
          <w:rFonts w:hint="eastAsia" w:ascii="仿宋" w:hAnsi="仿宋" w:eastAsia="仿宋" w:cs="仿宋_GB2312"/>
          <w:sz w:val="28"/>
          <w:szCs w:val="28"/>
        </w:rPr>
        <w:t>竞赛内容源自企业真实的项目和工作任务，</w:t>
      </w:r>
      <w:r>
        <w:rPr>
          <w:rFonts w:hint="eastAsia" w:eastAsia="仿宋_GB2312"/>
          <w:sz w:val="28"/>
          <w:szCs w:val="28"/>
        </w:rPr>
        <w:t>通过大赛，培</w:t>
      </w:r>
      <w:r>
        <w:rPr>
          <w:rFonts w:eastAsia="仿宋_GB2312"/>
          <w:sz w:val="28"/>
          <w:szCs w:val="28"/>
        </w:rPr>
        <w:t>养</w:t>
      </w:r>
      <w:r>
        <w:rPr>
          <w:rFonts w:hint="eastAsia" w:eastAsia="仿宋_GB2312"/>
          <w:sz w:val="28"/>
          <w:szCs w:val="28"/>
        </w:rPr>
        <w:t>学生云</w:t>
      </w:r>
      <w:r>
        <w:rPr>
          <w:rFonts w:eastAsia="仿宋_GB2312"/>
          <w:sz w:val="28"/>
          <w:szCs w:val="28"/>
        </w:rPr>
        <w:t>计算</w:t>
      </w:r>
      <w:r>
        <w:rPr>
          <w:rFonts w:hint="eastAsia" w:eastAsia="仿宋_GB2312"/>
          <w:sz w:val="28"/>
          <w:szCs w:val="28"/>
        </w:rPr>
        <w:t>实践技能创新能力，进而提升学生职业素养和就业能力，促进“</w:t>
      </w:r>
      <w:r>
        <w:rPr>
          <w:rFonts w:eastAsia="仿宋_GB2312"/>
          <w:sz w:val="28"/>
          <w:szCs w:val="28"/>
        </w:rPr>
        <w:t>双师型”</w:t>
      </w:r>
      <w:r>
        <w:rPr>
          <w:rFonts w:hint="eastAsia" w:eastAsia="仿宋_GB2312"/>
          <w:sz w:val="28"/>
          <w:szCs w:val="28"/>
        </w:rPr>
        <w:t>师资队伍建设，推动云</w:t>
      </w:r>
      <w:r>
        <w:rPr>
          <w:rFonts w:eastAsia="仿宋_GB2312"/>
          <w:sz w:val="28"/>
          <w:szCs w:val="28"/>
        </w:rPr>
        <w:t>计算</w:t>
      </w:r>
      <w:r>
        <w:rPr>
          <w:rFonts w:hint="eastAsia" w:eastAsia="仿宋_GB2312"/>
          <w:sz w:val="28"/>
          <w:szCs w:val="28"/>
        </w:rPr>
        <w:t>技</w:t>
      </w:r>
      <w:r>
        <w:rPr>
          <w:rFonts w:eastAsia="仿宋_GB2312"/>
          <w:sz w:val="28"/>
          <w:szCs w:val="28"/>
        </w:rPr>
        <w:t>术与应用</w:t>
      </w:r>
      <w:r>
        <w:rPr>
          <w:rFonts w:hint="eastAsia" w:eastAsia="仿宋_GB2312"/>
          <w:sz w:val="28"/>
          <w:szCs w:val="28"/>
        </w:rPr>
        <w:t>专业人才培养模式与课程体系改革，</w:t>
      </w:r>
      <w:r>
        <w:rPr>
          <w:rFonts w:eastAsia="仿宋_GB2312"/>
          <w:sz w:val="28"/>
          <w:szCs w:val="28"/>
        </w:rPr>
        <w:t>提升学生从事云计算相关岗位的适岗性</w:t>
      </w:r>
      <w:r>
        <w:rPr>
          <w:rFonts w:hint="eastAsia" w:eastAsia="仿宋_GB2312"/>
          <w:sz w:val="28"/>
          <w:szCs w:val="28"/>
        </w:rPr>
        <w:t>，</w:t>
      </w:r>
      <w:r>
        <w:rPr>
          <w:rFonts w:hint="eastAsia" w:ascii="仿宋" w:hAnsi="仿宋" w:eastAsia="仿宋" w:cs="仿宋_GB2312"/>
          <w:sz w:val="28"/>
          <w:szCs w:val="28"/>
        </w:rPr>
        <w:t>从而提高人才培养的针对性、有效性</w:t>
      </w:r>
      <w:r>
        <w:rPr>
          <w:rFonts w:hint="eastAsia" w:eastAsia="仿宋_GB2312"/>
          <w:sz w:val="28"/>
          <w:szCs w:val="28"/>
        </w:rPr>
        <w:t>和专业建设水平。</w:t>
      </w:r>
    </w:p>
    <w:p>
      <w:pPr>
        <w:spacing w:line="560" w:lineRule="exact"/>
        <w:ind w:firstLine="560" w:firstLineChars="200"/>
        <w:rPr>
          <w:rFonts w:eastAsia="仿宋_GB2312"/>
          <w:sz w:val="28"/>
          <w:szCs w:val="28"/>
        </w:rPr>
      </w:pPr>
      <w:r>
        <w:rPr>
          <w:rFonts w:hint="eastAsia" w:eastAsia="仿宋_GB2312"/>
          <w:sz w:val="28"/>
          <w:szCs w:val="28"/>
        </w:rPr>
        <w:t>（</w:t>
      </w:r>
      <w:r>
        <w:rPr>
          <w:rFonts w:eastAsia="仿宋_GB2312"/>
          <w:sz w:val="28"/>
          <w:szCs w:val="28"/>
        </w:rPr>
        <w:t>三）以大赛看齐</w:t>
      </w:r>
      <w:r>
        <w:rPr>
          <w:rFonts w:hint="eastAsia" w:eastAsia="仿宋_GB2312"/>
          <w:sz w:val="28"/>
          <w:szCs w:val="28"/>
        </w:rPr>
        <w:t>世</w:t>
      </w:r>
      <w:r>
        <w:rPr>
          <w:rFonts w:eastAsia="仿宋_GB2312"/>
          <w:sz w:val="28"/>
          <w:szCs w:val="28"/>
        </w:rPr>
        <w:t>界技</w:t>
      </w:r>
      <w:r>
        <w:rPr>
          <w:rFonts w:hint="eastAsia" w:eastAsia="仿宋_GB2312"/>
          <w:sz w:val="28"/>
          <w:szCs w:val="28"/>
        </w:rPr>
        <w:t>能标</w:t>
      </w:r>
      <w:r>
        <w:rPr>
          <w:rFonts w:eastAsia="仿宋_GB2312"/>
          <w:sz w:val="28"/>
          <w:szCs w:val="28"/>
        </w:rPr>
        <w:t>准</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本</w:t>
      </w:r>
      <w:r>
        <w:rPr>
          <w:rFonts w:ascii="仿宋_GB2312" w:hAnsi="仿宋_GB2312" w:eastAsia="仿宋_GB2312" w:cs="仿宋_GB2312"/>
          <w:sz w:val="28"/>
          <w:szCs w:val="28"/>
        </w:rPr>
        <w:t>赛项</w:t>
      </w:r>
      <w:r>
        <w:rPr>
          <w:rFonts w:hint="eastAsia" w:ascii="仿宋_GB2312" w:hAnsi="仿宋_GB2312" w:eastAsia="仿宋_GB2312" w:cs="仿宋_GB2312"/>
          <w:sz w:val="28"/>
          <w:szCs w:val="28"/>
        </w:rPr>
        <w:t>紧跟云</w:t>
      </w:r>
      <w:r>
        <w:rPr>
          <w:rFonts w:ascii="仿宋_GB2312" w:hAnsi="仿宋_GB2312" w:eastAsia="仿宋_GB2312" w:cs="仿宋_GB2312"/>
          <w:sz w:val="28"/>
          <w:szCs w:val="28"/>
        </w:rPr>
        <w:t>计算主流技术</w:t>
      </w:r>
      <w:r>
        <w:rPr>
          <w:rFonts w:hint="eastAsia" w:ascii="仿宋_GB2312" w:hAnsi="仿宋_GB2312" w:eastAsia="仿宋_GB2312" w:cs="仿宋_GB2312"/>
          <w:sz w:val="28"/>
          <w:szCs w:val="28"/>
        </w:rPr>
        <w:t>发展趋势</w:t>
      </w:r>
      <w:r>
        <w:rPr>
          <w:rFonts w:ascii="仿宋_GB2312" w:hAnsi="仿宋_GB2312" w:eastAsia="仿宋_GB2312" w:cs="仿宋_GB2312"/>
          <w:sz w:val="28"/>
          <w:szCs w:val="28"/>
        </w:rPr>
        <w:t>，</w:t>
      </w:r>
      <w:r>
        <w:rPr>
          <w:rFonts w:hint="eastAsia" w:ascii="仿宋_GB2312" w:hAnsi="仿宋_GB2312" w:eastAsia="仿宋_GB2312" w:cs="仿宋_GB2312"/>
          <w:sz w:val="28"/>
          <w:szCs w:val="28"/>
        </w:rPr>
        <w:t>赛项标准</w:t>
      </w:r>
      <w:r>
        <w:rPr>
          <w:rFonts w:ascii="仿宋_GB2312" w:hAnsi="仿宋_GB2312" w:eastAsia="仿宋_GB2312" w:cs="仿宋_GB2312"/>
          <w:sz w:val="28"/>
          <w:szCs w:val="28"/>
        </w:rPr>
        <w:t>对接国际标准</w:t>
      </w:r>
      <w:r>
        <w:rPr>
          <w:rFonts w:hint="eastAsia" w:ascii="仿宋_GB2312" w:hAnsi="仿宋_GB2312" w:eastAsia="仿宋_GB2312" w:cs="仿宋_GB2312"/>
          <w:sz w:val="28"/>
          <w:szCs w:val="28"/>
        </w:rPr>
        <w:t>，借鉴世界技能大赛办赛机制，参考</w:t>
      </w:r>
      <w:r>
        <w:rPr>
          <w:rFonts w:ascii="仿宋_GB2312" w:hAnsi="仿宋_GB2312" w:eastAsia="仿宋_GB2312" w:cs="仿宋_GB2312"/>
          <w:sz w:val="28"/>
          <w:szCs w:val="28"/>
        </w:rPr>
        <w:t>世界技能大赛云计算</w:t>
      </w:r>
      <w:r>
        <w:rPr>
          <w:rFonts w:hint="eastAsia" w:ascii="仿宋_GB2312" w:hAnsi="仿宋_GB2312" w:eastAsia="仿宋_GB2312" w:cs="仿宋_GB2312"/>
          <w:sz w:val="28"/>
          <w:szCs w:val="28"/>
        </w:rPr>
        <w:t>赛</w:t>
      </w:r>
      <w:r>
        <w:rPr>
          <w:rFonts w:ascii="仿宋_GB2312" w:hAnsi="仿宋_GB2312" w:eastAsia="仿宋_GB2312" w:cs="仿宋_GB2312"/>
          <w:sz w:val="28"/>
          <w:szCs w:val="28"/>
        </w:rPr>
        <w:t>项</w:t>
      </w:r>
      <w:r>
        <w:rPr>
          <w:rFonts w:hint="eastAsia" w:ascii="仿宋_GB2312" w:hAnsi="仿宋_GB2312" w:eastAsia="仿宋_GB2312" w:cs="仿宋_GB2312"/>
          <w:sz w:val="28"/>
          <w:szCs w:val="28"/>
        </w:rPr>
        <w:t>技</w:t>
      </w:r>
      <w:r>
        <w:rPr>
          <w:rFonts w:ascii="仿宋_GB2312" w:hAnsi="仿宋_GB2312" w:eastAsia="仿宋_GB2312" w:cs="仿宋_GB2312"/>
          <w:sz w:val="28"/>
          <w:szCs w:val="28"/>
        </w:rPr>
        <w:t>术文件，</w:t>
      </w:r>
      <w:r>
        <w:rPr>
          <w:rFonts w:hint="eastAsia" w:ascii="仿宋_GB2312" w:hAnsi="仿宋_GB2312" w:eastAsia="仿宋_GB2312" w:cs="仿宋_GB2312"/>
          <w:sz w:val="28"/>
          <w:szCs w:val="28"/>
        </w:rPr>
        <w:t>瞄准世界最高技能水平，选拨具有大</w:t>
      </w:r>
      <w:r>
        <w:rPr>
          <w:rFonts w:ascii="仿宋_GB2312" w:hAnsi="仿宋_GB2312" w:eastAsia="仿宋_GB2312" w:cs="仿宋_GB2312"/>
          <w:sz w:val="28"/>
          <w:szCs w:val="28"/>
        </w:rPr>
        <w:t>国</w:t>
      </w:r>
      <w:r>
        <w:rPr>
          <w:rFonts w:hint="eastAsia" w:ascii="仿宋_GB2312" w:hAnsi="仿宋_GB2312" w:eastAsia="仿宋_GB2312" w:cs="仿宋_GB2312"/>
          <w:sz w:val="28"/>
          <w:szCs w:val="28"/>
        </w:rPr>
        <w:t>工匠</w:t>
      </w:r>
      <w:r>
        <w:rPr>
          <w:rFonts w:ascii="仿宋_GB2312" w:hAnsi="仿宋_GB2312" w:eastAsia="仿宋_GB2312" w:cs="仿宋_GB2312"/>
          <w:sz w:val="28"/>
          <w:szCs w:val="28"/>
        </w:rPr>
        <w:t>素质的</w:t>
      </w:r>
      <w:r>
        <w:rPr>
          <w:rFonts w:hint="eastAsia" w:ascii="仿宋_GB2312" w:hAnsi="仿宋_GB2312" w:eastAsia="仿宋_GB2312" w:cs="仿宋_GB2312"/>
          <w:sz w:val="28"/>
          <w:szCs w:val="28"/>
        </w:rPr>
        <w:t>技术</w:t>
      </w:r>
      <w:r>
        <w:rPr>
          <w:rFonts w:ascii="仿宋_GB2312" w:hAnsi="仿宋_GB2312" w:eastAsia="仿宋_GB2312" w:cs="仿宋_GB2312"/>
          <w:sz w:val="28"/>
          <w:szCs w:val="28"/>
        </w:rPr>
        <w:t>技能人才</w:t>
      </w:r>
      <w:r>
        <w:rPr>
          <w:rFonts w:hint="eastAsia" w:ascii="仿宋_GB2312" w:hAnsi="仿宋_GB2312" w:eastAsia="仿宋_GB2312" w:cs="仿宋_GB2312"/>
          <w:sz w:val="28"/>
          <w:szCs w:val="28"/>
        </w:rPr>
        <w:t>。</w:t>
      </w:r>
    </w:p>
    <w:p>
      <w:pPr>
        <w:spacing w:line="560" w:lineRule="exact"/>
        <w:ind w:firstLine="560" w:firstLineChars="200"/>
        <w:rPr>
          <w:rFonts w:hint="eastAsia" w:eastAsia="仿宋_GB2312"/>
          <w:sz w:val="28"/>
          <w:szCs w:val="28"/>
          <w:lang w:eastAsia="zh-CN"/>
        </w:rPr>
      </w:pPr>
      <w:r>
        <w:rPr>
          <w:rFonts w:hint="eastAsia" w:eastAsia="仿宋_GB2312"/>
          <w:sz w:val="28"/>
          <w:szCs w:val="28"/>
        </w:rPr>
        <w:t>（</w:t>
      </w:r>
      <w:r>
        <w:rPr>
          <w:rFonts w:eastAsia="仿宋_GB2312"/>
          <w:sz w:val="28"/>
          <w:szCs w:val="28"/>
        </w:rPr>
        <w:t>四）以大赛</w:t>
      </w:r>
      <w:r>
        <w:rPr>
          <w:rFonts w:hint="eastAsia" w:eastAsia="仿宋_GB2312"/>
          <w:sz w:val="28"/>
          <w:szCs w:val="28"/>
        </w:rPr>
        <w:t>营</w:t>
      </w:r>
      <w:r>
        <w:rPr>
          <w:rFonts w:eastAsia="仿宋_GB2312"/>
          <w:sz w:val="28"/>
          <w:szCs w:val="28"/>
        </w:rPr>
        <w:t>造崇尚技能氛围</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通</w:t>
      </w:r>
      <w:r>
        <w:rPr>
          <w:rFonts w:ascii="仿宋_GB2312" w:hAnsi="仿宋_GB2312" w:eastAsia="仿宋_GB2312" w:cs="仿宋_GB2312"/>
          <w:sz w:val="28"/>
          <w:szCs w:val="28"/>
        </w:rPr>
        <w:t>过本赛项，</w:t>
      </w:r>
      <w:r>
        <w:rPr>
          <w:rFonts w:hint="eastAsia" w:ascii="仿宋_GB2312" w:hAnsi="仿宋_GB2312" w:eastAsia="仿宋_GB2312" w:cs="仿宋_GB2312"/>
          <w:sz w:val="28"/>
          <w:szCs w:val="28"/>
        </w:rPr>
        <w:t>在</w:t>
      </w:r>
      <w:r>
        <w:rPr>
          <w:rFonts w:ascii="仿宋_GB2312" w:hAnsi="仿宋_GB2312" w:eastAsia="仿宋_GB2312" w:cs="仿宋_GB2312"/>
          <w:sz w:val="28"/>
          <w:szCs w:val="28"/>
        </w:rPr>
        <w:t>信息</w:t>
      </w:r>
      <w:r>
        <w:rPr>
          <w:rFonts w:hint="eastAsia" w:ascii="仿宋_GB2312" w:hAnsi="仿宋_GB2312" w:eastAsia="仿宋_GB2312" w:cs="仿宋_GB2312"/>
          <w:sz w:val="28"/>
          <w:szCs w:val="28"/>
        </w:rPr>
        <w:t>产</w:t>
      </w:r>
      <w:r>
        <w:rPr>
          <w:rFonts w:ascii="仿宋_GB2312" w:hAnsi="仿宋_GB2312" w:eastAsia="仿宋_GB2312" w:cs="仿宋_GB2312"/>
          <w:sz w:val="28"/>
          <w:szCs w:val="28"/>
        </w:rPr>
        <w:t>业</w:t>
      </w:r>
      <w:r>
        <w:rPr>
          <w:rFonts w:hint="eastAsia" w:eastAsia="仿宋_GB2312"/>
          <w:sz w:val="28"/>
          <w:szCs w:val="28"/>
        </w:rPr>
        <w:t>大力弘扬工匠精神，</w:t>
      </w:r>
      <w:r>
        <w:rPr>
          <w:rFonts w:hint="eastAsia" w:ascii="仿宋_GB2312" w:hAnsi="仿宋_GB2312" w:eastAsia="仿宋_GB2312" w:cs="仿宋_GB2312"/>
          <w:sz w:val="28"/>
          <w:szCs w:val="28"/>
        </w:rPr>
        <w:t>引导全社会尊重、重视、关心技能人才的培养和成长，宣传技能人才的重要贡献和重大作用，在全社会倡导“崇实尚业”之风，营造尊敬技能人才的社会氛围，让尊重劳动、尊重技术、尊重创造成为社会共识</w:t>
      </w:r>
      <w:r>
        <w:rPr>
          <w:rFonts w:ascii="仿宋_GB2312" w:hAnsi="仿宋_GB2312" w:eastAsia="仿宋_GB2312" w:cs="仿宋_GB2312"/>
          <w:sz w:val="28"/>
          <w:szCs w:val="28"/>
        </w:rPr>
        <w:t>，</w:t>
      </w:r>
      <w:r>
        <w:rPr>
          <w:rFonts w:hint="eastAsia" w:ascii="仿宋" w:hAnsi="仿宋" w:eastAsia="仿宋" w:cs="仿宋_GB2312"/>
          <w:sz w:val="28"/>
          <w:szCs w:val="28"/>
        </w:rPr>
        <w:t>激励广大青年走技能成才、技能报国之路。</w:t>
      </w:r>
    </w:p>
    <w:p>
      <w:pPr>
        <w:spacing w:line="560" w:lineRule="exact"/>
        <w:ind w:firstLine="600" w:firstLineChars="200"/>
        <w:rPr>
          <w:rFonts w:ascii="仿宋_GB2312" w:hAnsi="宋体" w:eastAsia="仿宋_GB2312" w:cs="Arial"/>
          <w:color w:val="000000" w:themeColor="text1"/>
          <w:kern w:val="0"/>
          <w:sz w:val="30"/>
          <w:szCs w:val="30"/>
          <w14:textFill>
            <w14:solidFill>
              <w14:schemeClr w14:val="tx1"/>
            </w14:solidFill>
          </w14:textFill>
        </w:rPr>
      </w:pPr>
    </w:p>
    <w:p>
      <w:pPr>
        <w:pStyle w:val="5"/>
        <w:bidi w:val="0"/>
        <w:rPr>
          <w:rFonts w:hint="eastAsia" w:ascii="仿宋_GB2312" w:hAnsi="仿宋" w:eastAsia="仿宋_GB2312"/>
          <w:b/>
          <w:color w:val="000000" w:themeColor="text1"/>
          <w:sz w:val="32"/>
          <w:szCs w:val="32"/>
          <w14:textFill>
            <w14:solidFill>
              <w14:schemeClr w14:val="tx1"/>
            </w14:solidFill>
          </w14:textFill>
        </w:rPr>
      </w:pPr>
      <w:r>
        <w:rPr>
          <w:rFonts w:hint="eastAsia" w:ascii="仿宋_GB2312" w:hAnsi="仿宋" w:eastAsia="仿宋_GB2312"/>
          <w:b/>
          <w:color w:val="000000" w:themeColor="text1"/>
          <w:sz w:val="32"/>
          <w:szCs w:val="32"/>
          <w14:textFill>
            <w14:solidFill>
              <w14:schemeClr w14:val="tx1"/>
            </w14:solidFill>
          </w14:textFill>
        </w:rPr>
        <w:t>三、竞赛内容</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根据业务需求和实际的工程应用环境，要求参赛选手实现私有云平台架构的规划设计、完成私有云平台运维、完成私有云平台运维开发、容器云平台搭建与运维、容器云综合运维、持续集成、容器化部署应用等。竞赛内容包含两部分：</w:t>
      </w:r>
    </w:p>
    <w:p>
      <w:pPr>
        <w:spacing w:line="560" w:lineRule="exact"/>
        <w:ind w:firstLine="600" w:firstLineChars="200"/>
        <w:rPr>
          <w:rFonts w:hint="eastAsia" w:ascii="仿宋_GB2312" w:hAnsi="宋体" w:eastAsia="仿宋_GB2312" w:cs="Arial"/>
          <w:color w:val="000000" w:themeColor="text1"/>
          <w:kern w:val="0"/>
          <w:sz w:val="30"/>
          <w:szCs w:val="30"/>
          <w:lang w:eastAsia="zh-CN"/>
          <w14:textFill>
            <w14:solidFill>
              <w14:schemeClr w14:val="tx1"/>
            </w14:solidFill>
          </w14:textFill>
        </w:rPr>
      </w:pPr>
      <w:r>
        <w:rPr>
          <w:rFonts w:hint="eastAsia" w:ascii="仿宋_GB2312" w:hAnsi="宋体" w:eastAsia="仿宋_GB2312" w:cs="Arial"/>
          <w:color w:val="000000" w:themeColor="text1"/>
          <w:kern w:val="0"/>
          <w:sz w:val="30"/>
          <w:szCs w:val="30"/>
          <w14:textFill>
            <w14:solidFill>
              <w14:schemeClr w14:val="tx1"/>
            </w14:solidFill>
          </w14:textFill>
        </w:rPr>
        <w:t>第一部分：私有云平台</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（一）基础环境搭建</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1.根据要求，进行物理主机操作系统设置与管理，包括网络、存储、虚拟化和安全等，确保操作系统正常；检查交换机、服务器之间的连线，测试网络的连通性。</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2.对服务器进行基础的配置操作，包括配置yum源、时间同步、分区等。</w:t>
      </w:r>
    </w:p>
    <w:p>
      <w:pPr>
        <w:spacing w:line="560" w:lineRule="exact"/>
        <w:ind w:firstLine="600" w:firstLineChars="200"/>
        <w:rPr>
          <w:rFonts w:hint="eastAsia" w:ascii="仿宋_GB2312" w:hAnsi="宋体" w:eastAsia="仿宋_GB2312" w:cs="Arial"/>
          <w:color w:val="000000" w:themeColor="text1"/>
          <w:kern w:val="0"/>
          <w:sz w:val="30"/>
          <w:szCs w:val="30"/>
          <w:lang w:eastAsia="zh-CN"/>
          <w14:textFill>
            <w14:solidFill>
              <w14:schemeClr w14:val="tx1"/>
            </w14:solidFill>
          </w14:textFill>
        </w:rPr>
      </w:pPr>
      <w:r>
        <w:rPr>
          <w:rFonts w:hint="eastAsia" w:ascii="仿宋_GB2312" w:hAnsi="宋体" w:eastAsia="仿宋_GB2312" w:cs="Arial"/>
          <w:color w:val="000000" w:themeColor="text1"/>
          <w:kern w:val="0"/>
          <w:sz w:val="30"/>
          <w:szCs w:val="30"/>
          <w14:textFill>
            <w14:solidFill>
              <w14:schemeClr w14:val="tx1"/>
            </w14:solidFill>
          </w14:textFill>
        </w:rPr>
        <w:t>（二）OpenStack平台搭建</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1.准备工作，包括安装和配置yum源、ftp、ntp、http、RabbitMQ、MariaDB数据库、MemCached、etcd等服务。</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2.编写（或提供的）安装脚本完成私有云平台的搭建，搭建完成后，检查各个组件的运行状态，能正确地使用私有云平台。</w:t>
      </w:r>
    </w:p>
    <w:p>
      <w:pPr>
        <w:spacing w:line="560" w:lineRule="exact"/>
        <w:ind w:firstLine="600" w:firstLineChars="200"/>
        <w:rPr>
          <w:rFonts w:hint="eastAsia" w:ascii="仿宋_GB2312" w:hAnsi="宋体" w:eastAsia="仿宋_GB2312" w:cs="Arial"/>
          <w:color w:val="000000" w:themeColor="text1"/>
          <w:kern w:val="0"/>
          <w:sz w:val="30"/>
          <w:szCs w:val="30"/>
          <w:lang w:eastAsia="zh-CN"/>
          <w14:textFill>
            <w14:solidFill>
              <w14:schemeClr w14:val="tx1"/>
            </w14:solidFill>
          </w14:textFill>
        </w:rPr>
      </w:pPr>
      <w:r>
        <w:rPr>
          <w:rFonts w:hint="eastAsia" w:ascii="仿宋_GB2312" w:hAnsi="宋体" w:eastAsia="仿宋_GB2312" w:cs="Arial"/>
          <w:color w:val="000000" w:themeColor="text1"/>
          <w:kern w:val="0"/>
          <w:sz w:val="30"/>
          <w:szCs w:val="30"/>
          <w14:textFill>
            <w14:solidFill>
              <w14:schemeClr w14:val="tx1"/>
            </w14:solidFill>
          </w14:textFill>
        </w:rPr>
        <w:t>（三）OpenStack平台运维</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1.能够对云主机、云存储、云网络、云数据库、负载均衡和高可用等的运维管理。</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2.完成私有云组件的运维，包括Keystone、Glance、Nova、Neutron、Cinder、Swift、Ceph等组件，并编写Shell脚本完成对Openstack的运维。</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3.完成私有云上的应用项目部署，如搭建私有博客系统、搭建应用商城网站等。</w:t>
      </w:r>
    </w:p>
    <w:p>
      <w:pPr>
        <w:spacing w:line="560" w:lineRule="exact"/>
        <w:ind w:firstLine="560" w:firstLineChars="200"/>
        <w:rPr>
          <w:rFonts w:hint="eastAsia" w:ascii="仿宋_GB2312" w:hAnsi="宋体" w:eastAsia="仿宋" w:cs="Arial"/>
          <w:color w:val="000000" w:themeColor="text1"/>
          <w:kern w:val="0"/>
          <w:sz w:val="30"/>
          <w:szCs w:val="30"/>
          <w:lang w:eastAsia="zh-CN"/>
          <w14:textFill>
            <w14:solidFill>
              <w14:schemeClr w14:val="tx1"/>
            </w14:solidFill>
          </w14:textFill>
        </w:rPr>
      </w:pPr>
      <w:r>
        <w:rPr>
          <w:rFonts w:hint="eastAsia" w:ascii="仿宋" w:hAnsi="仿宋" w:eastAsia="仿宋" w:cs="仿宋_GB2312"/>
          <w:sz w:val="28"/>
          <w:szCs w:val="28"/>
        </w:rPr>
        <w:t>4.掌握私有云上各个服务的依赖关系与对应关系，能排除在使用过程中遇到的问题，确保私有云环境稳定、顺畅运行。</w:t>
      </w:r>
    </w:p>
    <w:p>
      <w:pPr>
        <w:spacing w:line="560" w:lineRule="exact"/>
        <w:ind w:firstLine="600" w:firstLineChars="200"/>
        <w:rPr>
          <w:rFonts w:hint="eastAsia" w:ascii="仿宋_GB2312" w:hAnsi="宋体" w:eastAsia="仿宋_GB2312" w:cs="Arial"/>
          <w:color w:val="000000" w:themeColor="text1"/>
          <w:kern w:val="0"/>
          <w:sz w:val="30"/>
          <w:szCs w:val="30"/>
          <w:lang w:eastAsia="zh-CN"/>
          <w14:textFill>
            <w14:solidFill>
              <w14:schemeClr w14:val="tx1"/>
            </w14:solidFill>
          </w14:textFill>
        </w:rPr>
      </w:pPr>
      <w:r>
        <w:rPr>
          <w:rFonts w:hint="eastAsia" w:ascii="仿宋_GB2312" w:hAnsi="宋体" w:eastAsia="仿宋_GB2312" w:cs="Arial"/>
          <w:color w:val="000000" w:themeColor="text1"/>
          <w:kern w:val="0"/>
          <w:sz w:val="30"/>
          <w:szCs w:val="30"/>
          <w14:textFill>
            <w14:solidFill>
              <w14:schemeClr w14:val="tx1"/>
            </w14:solidFill>
          </w14:textFill>
        </w:rPr>
        <w:t>（四）OpenStack平台运维开发</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1.编写Python脚本调用Openstack API完成对Openstack的运维管理；</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2.使用Ansible自动化运维工具对目标节点进行批量化部署或运维操作。</w:t>
      </w:r>
    </w:p>
    <w:p>
      <w:pPr>
        <w:spacing w:line="560" w:lineRule="exact"/>
        <w:ind w:firstLine="600" w:firstLineChars="200"/>
        <w:rPr>
          <w:rFonts w:hint="eastAsia" w:ascii="仿宋_GB2312" w:hAnsi="宋体" w:eastAsia="仿宋_GB2312" w:cs="Arial"/>
          <w:color w:val="000000" w:themeColor="text1"/>
          <w:kern w:val="0"/>
          <w:sz w:val="30"/>
          <w:szCs w:val="30"/>
          <w:lang w:eastAsia="zh-CN"/>
          <w14:textFill>
            <w14:solidFill>
              <w14:schemeClr w14:val="tx1"/>
            </w14:solidFill>
          </w14:textFill>
        </w:rPr>
      </w:pPr>
      <w:r>
        <w:rPr>
          <w:rFonts w:hint="eastAsia" w:ascii="仿宋_GB2312" w:hAnsi="宋体" w:eastAsia="仿宋_GB2312" w:cs="Arial"/>
          <w:color w:val="000000" w:themeColor="text1"/>
          <w:kern w:val="0"/>
          <w:sz w:val="30"/>
          <w:szCs w:val="30"/>
          <w14:textFill>
            <w14:solidFill>
              <w14:schemeClr w14:val="tx1"/>
            </w14:solidFill>
          </w14:textFill>
        </w:rPr>
        <w:t>第二部分：容器云平台</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（一）docker服务及仓库安装</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1.安装Docker服务，部署私有容器仓库。</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2.安装docker-compose容器编排服务。</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3.使用compose进行容器编排。</w:t>
      </w:r>
    </w:p>
    <w:p>
      <w:pPr>
        <w:spacing w:line="560" w:lineRule="exact"/>
        <w:ind w:firstLine="600" w:firstLineChars="200"/>
        <w:rPr>
          <w:rFonts w:hint="eastAsia" w:ascii="仿宋_GB2312" w:hAnsi="宋体" w:eastAsia="仿宋_GB2312" w:cs="Arial"/>
          <w:color w:val="000000" w:themeColor="text1"/>
          <w:kern w:val="0"/>
          <w:sz w:val="30"/>
          <w:szCs w:val="30"/>
          <w:lang w:eastAsia="zh-CN"/>
          <w14:textFill>
            <w14:solidFill>
              <w14:schemeClr w14:val="tx1"/>
            </w14:solidFill>
          </w14:textFill>
        </w:rPr>
      </w:pPr>
      <w:r>
        <w:rPr>
          <w:rFonts w:hint="eastAsia" w:ascii="仿宋_GB2312" w:hAnsi="宋体" w:eastAsia="仿宋_GB2312" w:cs="Arial"/>
          <w:color w:val="000000" w:themeColor="text1"/>
          <w:kern w:val="0"/>
          <w:sz w:val="30"/>
          <w:szCs w:val="30"/>
          <w14:textFill>
            <w14:solidFill>
              <w14:schemeClr w14:val="tx1"/>
            </w14:solidFill>
          </w14:textFill>
        </w:rPr>
        <w:t>（二）基于容器的web应用系统部署任务</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1.基于容器化平台，编写dockerfile，制作容器镜像</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2.通过web应用系统所需的服务，制作相应容器镜像</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3.使用制作的镜像，通过compose编排服务，启动web应用</w:t>
      </w:r>
    </w:p>
    <w:p>
      <w:pPr>
        <w:spacing w:line="560" w:lineRule="exact"/>
        <w:ind w:firstLine="600" w:firstLineChars="200"/>
        <w:rPr>
          <w:rFonts w:ascii="仿宋_GB2312" w:hAnsi="宋体" w:eastAsia="仿宋_GB2312" w:cs="Arial"/>
          <w:color w:val="000000" w:themeColor="text1"/>
          <w:kern w:val="0"/>
          <w:sz w:val="30"/>
          <w:szCs w:val="30"/>
          <w14:textFill>
            <w14:solidFill>
              <w14:schemeClr w14:val="tx1"/>
            </w14:solidFill>
          </w14:textFill>
        </w:rPr>
      </w:pPr>
      <w:r>
        <w:rPr>
          <w:rFonts w:hint="eastAsia" w:ascii="仿宋_GB2312" w:hAnsi="宋体" w:eastAsia="仿宋_GB2312" w:cs="Arial"/>
          <w:color w:val="000000" w:themeColor="text1"/>
          <w:kern w:val="0"/>
          <w:sz w:val="30"/>
          <w:szCs w:val="30"/>
          <w14:textFill>
            <w14:solidFill>
              <w14:schemeClr w14:val="tx1"/>
            </w14:solidFill>
          </w14:textFill>
        </w:rPr>
        <w:t>（三）基于容器的持续集成部署任务</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基于容器完成持续化集成的案例。例如使用gitlab+Jenkins完成持续集成案例、使用GitLab+Gitlab-runner来构建持续集成环境或使用GitLab+Drone来构建持续集成环境等。</w:t>
      </w:r>
    </w:p>
    <w:p>
      <w:pPr>
        <w:spacing w:line="560" w:lineRule="exact"/>
        <w:ind w:firstLine="600" w:firstLineChars="200"/>
        <w:rPr>
          <w:rFonts w:hint="eastAsia" w:ascii="仿宋_GB2312" w:hAnsi="宋体" w:eastAsia="仿宋_GB2312" w:cs="Arial"/>
          <w:color w:val="000000" w:themeColor="text1"/>
          <w:kern w:val="0"/>
          <w:sz w:val="30"/>
          <w:szCs w:val="30"/>
          <w:lang w:eastAsia="zh-CN"/>
          <w14:textFill>
            <w14:solidFill>
              <w14:schemeClr w14:val="tx1"/>
            </w14:solidFill>
          </w14:textFill>
        </w:rPr>
      </w:pPr>
      <w:r>
        <w:rPr>
          <w:rFonts w:hint="eastAsia" w:ascii="仿宋_GB2312" w:hAnsi="宋体" w:eastAsia="仿宋_GB2312" w:cs="Arial"/>
          <w:color w:val="000000" w:themeColor="text1"/>
          <w:kern w:val="0"/>
          <w:sz w:val="30"/>
          <w:szCs w:val="30"/>
          <w14:textFill>
            <w14:solidFill>
              <w14:schemeClr w14:val="tx1"/>
            </w14:solidFill>
          </w14:textFill>
        </w:rPr>
        <w:t>（四）Kubernetes容器云平台部署与运维</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1.容器基础的运维操作，包括镜像、容器、仓库、网络等。</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2.基于Kubernetes集群环境搭建和运维等。</w:t>
      </w:r>
    </w:p>
    <w:p>
      <w:pPr>
        <w:spacing w:line="560" w:lineRule="exact"/>
        <w:ind w:firstLine="560" w:firstLineChars="200"/>
        <w:rPr>
          <w:rFonts w:hint="eastAsia" w:ascii="仿宋_GB2312" w:hAnsi="宋体" w:eastAsia="仿宋" w:cs="Arial"/>
          <w:color w:val="000000" w:themeColor="text1"/>
          <w:kern w:val="0"/>
          <w:sz w:val="30"/>
          <w:szCs w:val="30"/>
          <w:lang w:eastAsia="zh-CN"/>
          <w14:textFill>
            <w14:solidFill>
              <w14:schemeClr w14:val="tx1"/>
            </w14:solidFill>
          </w14:textFill>
        </w:rPr>
      </w:pPr>
      <w:r>
        <w:rPr>
          <w:rFonts w:hint="eastAsia" w:ascii="仿宋" w:hAnsi="仿宋" w:eastAsia="仿宋" w:cs="仿宋_GB2312"/>
          <w:sz w:val="28"/>
          <w:szCs w:val="28"/>
        </w:rPr>
        <w:t>3.基于Kubernetes集群的应用系统部署与运维等。</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本赛项比赛时间为一天，上午9点-12点完成私有云平台模块的比赛；12点-13点为吃饭休息时间（不离开赛场），下午13点-16点完成容器云平台模块的比赛。竞赛总时长为6小时，本赛项总分为100分。</w:t>
      </w:r>
    </w:p>
    <w:p>
      <w:pPr>
        <w:pStyle w:val="12"/>
        <w:rPr>
          <w:color w:val="000000" w:themeColor="text1"/>
          <w14:textFill>
            <w14:solidFill>
              <w14:schemeClr w14:val="tx1"/>
            </w14:solidFill>
          </w14:textFill>
        </w:rPr>
      </w:pPr>
    </w:p>
    <w:p>
      <w:pPr>
        <w:pStyle w:val="5"/>
        <w:bidi w:val="0"/>
        <w:rPr>
          <w:rFonts w:hint="eastAsia" w:ascii="仿宋_GB2312" w:hAnsi="仿宋" w:eastAsia="仿宋_GB2312"/>
          <w:b/>
          <w:color w:val="000000" w:themeColor="text1"/>
          <w:sz w:val="32"/>
          <w:szCs w:val="32"/>
          <w14:textFill>
            <w14:solidFill>
              <w14:schemeClr w14:val="tx1"/>
            </w14:solidFill>
          </w14:textFill>
        </w:rPr>
      </w:pPr>
      <w:r>
        <w:rPr>
          <w:rFonts w:hint="eastAsia" w:ascii="仿宋_GB2312" w:hAnsi="仿宋" w:eastAsia="仿宋_GB2312"/>
          <w:b/>
          <w:color w:val="000000" w:themeColor="text1"/>
          <w:sz w:val="32"/>
          <w:szCs w:val="32"/>
          <w14:textFill>
            <w14:solidFill>
              <w14:schemeClr w14:val="tx1"/>
            </w14:solidFill>
          </w14:textFill>
        </w:rPr>
        <w:t>四、竞赛方式</w:t>
      </w:r>
    </w:p>
    <w:p>
      <w:pPr>
        <w:spacing w:line="560" w:lineRule="exact"/>
        <w:ind w:firstLine="560" w:firstLineChars="200"/>
        <w:rPr>
          <w:rFonts w:hint="eastAsia" w:ascii="仿宋" w:hAnsi="仿宋" w:eastAsia="仿宋" w:cs="仿宋_GB2312"/>
          <w:sz w:val="28"/>
          <w:szCs w:val="28"/>
        </w:rPr>
      </w:pPr>
      <w:r>
        <w:rPr>
          <w:rFonts w:hint="eastAsia" w:ascii="仿宋" w:hAnsi="仿宋" w:eastAsia="仿宋" w:cs="仿宋_GB2312"/>
          <w:sz w:val="28"/>
          <w:szCs w:val="28"/>
        </w:rPr>
        <w:t>1.竞赛以个人赛方式进行。</w:t>
      </w:r>
    </w:p>
    <w:p>
      <w:pPr>
        <w:spacing w:line="560" w:lineRule="exact"/>
        <w:ind w:firstLine="560" w:firstLineChars="200"/>
        <w:rPr>
          <w:rFonts w:hint="eastAsia" w:ascii="仿宋" w:hAnsi="仿宋" w:eastAsia="仿宋" w:cs="仿宋_GB2312"/>
          <w:sz w:val="28"/>
          <w:szCs w:val="28"/>
        </w:rPr>
      </w:pPr>
      <w:r>
        <w:rPr>
          <w:rFonts w:hint="eastAsia" w:ascii="仿宋" w:hAnsi="仿宋" w:eastAsia="仿宋" w:cs="仿宋_GB2312"/>
          <w:sz w:val="28"/>
          <w:szCs w:val="28"/>
        </w:rPr>
        <w:t>2.竞赛队伍组成：个人赛项目每名参赛选手可配1名指导教师。</w:t>
      </w:r>
    </w:p>
    <w:p>
      <w:pPr>
        <w:pStyle w:val="5"/>
        <w:bidi w:val="0"/>
        <w:rPr>
          <w:rFonts w:hint="eastAsia" w:ascii="仿宋_GB2312" w:hAnsi="仿宋" w:eastAsia="仿宋_GB2312"/>
          <w:b/>
          <w:color w:val="000000" w:themeColor="text1"/>
          <w:sz w:val="32"/>
          <w:szCs w:val="32"/>
          <w:lang w:val="en-US" w:eastAsia="zh-CN"/>
          <w14:textFill>
            <w14:solidFill>
              <w14:schemeClr w14:val="tx1"/>
            </w14:solidFill>
          </w14:textFill>
        </w:rPr>
      </w:pPr>
      <w:r>
        <w:rPr>
          <w:rFonts w:hint="eastAsia" w:ascii="仿宋_GB2312" w:hAnsi="仿宋" w:eastAsia="仿宋_GB2312"/>
          <w:b/>
          <w:color w:val="000000" w:themeColor="text1"/>
          <w:sz w:val="32"/>
          <w:szCs w:val="32"/>
          <w:lang w:val="en-US" w:eastAsia="zh-CN"/>
          <w14:textFill>
            <w14:solidFill>
              <w14:schemeClr w14:val="tx1"/>
            </w14:solidFill>
          </w14:textFill>
        </w:rPr>
        <w:t>五、竞赛流程</w:t>
      </w:r>
    </w:p>
    <w:p>
      <w:pPr>
        <w:spacing w:line="560" w:lineRule="exact"/>
        <w:ind w:firstLine="600" w:firstLineChars="200"/>
        <w:rPr>
          <w:rFonts w:ascii="仿宋_GB2312" w:hAnsi="宋体" w:eastAsia="仿宋_GB2312" w:cs="Arial"/>
          <w:color w:val="000000" w:themeColor="text1"/>
          <w:kern w:val="0"/>
          <w:sz w:val="30"/>
          <w:szCs w:val="30"/>
          <w14:textFill>
            <w14:solidFill>
              <w14:schemeClr w14:val="tx1"/>
            </w14:solidFill>
          </w14:textFill>
        </w:rPr>
      </w:pPr>
      <w:r>
        <w:rPr>
          <w:rFonts w:hint="eastAsia" w:ascii="仿宋_GB2312" w:hAnsi="宋体" w:eastAsia="仿宋_GB2312" w:cs="Arial"/>
          <w:color w:val="000000" w:themeColor="text1"/>
          <w:kern w:val="0"/>
          <w:sz w:val="30"/>
          <w:szCs w:val="30"/>
          <w14:textFill>
            <w14:solidFill>
              <w14:schemeClr w14:val="tx1"/>
            </w14:solidFill>
          </w14:textFill>
        </w:rPr>
        <w:t>竞赛日程安排：</w:t>
      </w:r>
    </w:p>
    <w:tbl>
      <w:tblPr>
        <w:tblStyle w:val="13"/>
        <w:tblpPr w:leftFromText="180" w:rightFromText="180" w:vertAnchor="text" w:horzAnchor="page" w:tblpX="1765" w:tblpY="464"/>
        <w:tblOverlap w:val="never"/>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2"/>
        <w:gridCol w:w="1759"/>
        <w:gridCol w:w="2946"/>
        <w:gridCol w:w="26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2981" w:type="dxa"/>
            <w:gridSpan w:val="2"/>
            <w:vAlign w:val="center"/>
          </w:tcPr>
          <w:p>
            <w:pPr>
              <w:jc w:val="center"/>
              <w:rPr>
                <w:rFonts w:hint="eastAsia" w:ascii="仿宋_GB2312" w:hAnsi="仿宋_GB2312" w:eastAsia="仿宋_GB2312" w:cs="仿宋_GB2312"/>
                <w:b/>
                <w:bCs/>
                <w:color w:val="000000" w:themeColor="text1"/>
                <w:sz w:val="24"/>
                <w:szCs w:val="24"/>
                <w:lang w:eastAsia="zh-CN"/>
                <w14:textFill>
                  <w14:solidFill>
                    <w14:schemeClr w14:val="tx1"/>
                  </w14:solidFill>
                </w14:textFill>
              </w:rPr>
            </w:pPr>
            <w:r>
              <w:rPr>
                <w:rFonts w:hint="eastAsia" w:ascii="仿宋_GB2312" w:hAnsi="仿宋_GB2312" w:eastAsia="仿宋_GB2312" w:cs="仿宋_GB2312"/>
                <w:b/>
                <w:bCs/>
                <w:color w:val="000000" w:themeColor="text1"/>
                <w:sz w:val="24"/>
                <w:szCs w:val="24"/>
                <w:lang w:eastAsia="zh-CN"/>
                <w14:textFill>
                  <w14:solidFill>
                    <w14:schemeClr w14:val="tx1"/>
                  </w14:solidFill>
                </w14:textFill>
              </w:rPr>
              <w:t>日期</w:t>
            </w:r>
          </w:p>
        </w:tc>
        <w:tc>
          <w:tcPr>
            <w:tcW w:w="5547" w:type="dxa"/>
            <w:gridSpan w:val="2"/>
            <w:vAlign w:val="center"/>
          </w:tcPr>
          <w:p>
            <w:pPr>
              <w:jc w:val="center"/>
              <w:rPr>
                <w:rFonts w:hint="eastAsia" w:ascii="仿宋_GB2312" w:hAnsi="仿宋_GB2312" w:eastAsia="仿宋_GB2312" w:cs="仿宋_GB2312"/>
                <w:b/>
                <w:bCs/>
                <w:color w:val="000000" w:themeColor="text1"/>
                <w:sz w:val="24"/>
                <w:szCs w:val="24"/>
                <w:lang w:eastAsia="zh-CN"/>
                <w14:textFill>
                  <w14:solidFill>
                    <w14:schemeClr w14:val="tx1"/>
                  </w14:solidFill>
                </w14:textFill>
              </w:rPr>
            </w:pPr>
            <w:r>
              <w:rPr>
                <w:rFonts w:hint="eastAsia" w:ascii="仿宋_GB2312" w:hAnsi="仿宋_GB2312" w:eastAsia="仿宋_GB2312" w:cs="仿宋_GB2312"/>
                <w:b/>
                <w:bCs/>
                <w:color w:val="000000" w:themeColor="text1"/>
                <w:sz w:val="24"/>
                <w:szCs w:val="24"/>
                <w14:textFill>
                  <w14:solidFill>
                    <w14:schemeClr w14:val="tx1"/>
                  </w14:solidFill>
                </w14:textFill>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1222" w:type="dxa"/>
            <w:vAlign w:val="center"/>
          </w:tcPr>
          <w:p>
            <w:pPr>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第一天</w:t>
            </w:r>
          </w:p>
          <w:p>
            <w:pPr>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（竞赛前2日）</w:t>
            </w:r>
          </w:p>
        </w:tc>
        <w:tc>
          <w:tcPr>
            <w:tcW w:w="1759" w:type="dxa"/>
            <w:vAlign w:val="center"/>
          </w:tcPr>
          <w:p>
            <w:pPr>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20:00前</w:t>
            </w:r>
          </w:p>
        </w:tc>
        <w:tc>
          <w:tcPr>
            <w:tcW w:w="2946" w:type="dxa"/>
            <w:vAlign w:val="center"/>
          </w:tcPr>
          <w:p>
            <w:pPr>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裁判报到</w:t>
            </w:r>
          </w:p>
        </w:tc>
        <w:tc>
          <w:tcPr>
            <w:tcW w:w="2601" w:type="dxa"/>
            <w:vAlign w:val="center"/>
          </w:tcPr>
          <w:p>
            <w:pPr>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住宿酒店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222" w:type="dxa"/>
            <w:vMerge w:val="restart"/>
            <w:vAlign w:val="center"/>
          </w:tcPr>
          <w:p>
            <w:pPr>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第二天</w:t>
            </w:r>
          </w:p>
          <w:p>
            <w:pPr>
              <w:pStyle w:val="7"/>
              <w:spacing w:line="360" w:lineRule="auto"/>
              <w:jc w:val="both"/>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（竞赛前1日）</w:t>
            </w:r>
          </w:p>
        </w:tc>
        <w:tc>
          <w:tcPr>
            <w:tcW w:w="1759"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09:00-12:00</w:t>
            </w:r>
          </w:p>
        </w:tc>
        <w:tc>
          <w:tcPr>
            <w:tcW w:w="2946"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裁判培训会议</w:t>
            </w:r>
          </w:p>
        </w:tc>
        <w:tc>
          <w:tcPr>
            <w:tcW w:w="2601" w:type="dxa"/>
            <w:vAlign w:val="center"/>
          </w:tcPr>
          <w:p>
            <w:pPr>
              <w:shd w:val="solid" w:color="FFFFFF" w:fill="auto"/>
              <w:autoSpaceDN w:val="0"/>
              <w:spacing w:line="360" w:lineRule="auto"/>
              <w:jc w:val="center"/>
              <w:rPr>
                <w:rFonts w:hint="default" w:ascii="仿宋_GB2312" w:hAnsi="仿宋_GB2312" w:eastAsia="仿宋_GB2312" w:cs="仿宋_GB2312"/>
                <w:color w:val="000000" w:themeColor="text1"/>
                <w:sz w:val="24"/>
                <w:szCs w:val="24"/>
                <w:lang w:val="en-US" w:eastAsia="zh-CN"/>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会议室</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/酒店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1222" w:type="dxa"/>
            <w:vMerge w:val="continue"/>
            <w:vAlign w:val="center"/>
          </w:tcPr>
          <w:p>
            <w:pPr>
              <w:pStyle w:val="7"/>
              <w:spacing w:line="360" w:lineRule="auto"/>
              <w:ind w:firstLine="480"/>
              <w:jc w:val="center"/>
              <w:rPr>
                <w:rFonts w:ascii="仿宋_GB2312" w:hAnsi="仿宋_GB2312" w:eastAsia="仿宋_GB2312" w:cs="仿宋_GB2312"/>
                <w:color w:val="000000" w:themeColor="text1"/>
                <w:sz w:val="24"/>
                <w:szCs w:val="24"/>
                <w14:textFill>
                  <w14:solidFill>
                    <w14:schemeClr w14:val="tx1"/>
                  </w14:solidFill>
                </w14:textFill>
              </w:rPr>
            </w:pPr>
          </w:p>
        </w:tc>
        <w:tc>
          <w:tcPr>
            <w:tcW w:w="1759"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13:00-14:00</w:t>
            </w:r>
          </w:p>
        </w:tc>
        <w:tc>
          <w:tcPr>
            <w:tcW w:w="2946"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裁判工作会议</w:t>
            </w:r>
          </w:p>
        </w:tc>
        <w:tc>
          <w:tcPr>
            <w:tcW w:w="2601"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会议室</w:t>
            </w:r>
            <w:r>
              <w:rPr>
                <w:rFonts w:hint="eastAsia" w:ascii="仿宋_GB2312" w:hAnsi="仿宋_GB2312" w:eastAsia="仿宋_GB2312" w:cs="仿宋_GB2312"/>
                <w:color w:val="000000" w:themeColor="text1"/>
                <w:sz w:val="24"/>
                <w:szCs w:val="24"/>
                <w:lang w:val="en-US" w:eastAsia="zh-CN"/>
                <w14:textFill>
                  <w14:solidFill>
                    <w14:schemeClr w14:val="tx1"/>
                  </w14:solidFill>
                </w14:textFill>
              </w:rPr>
              <w:t>/酒店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222" w:type="dxa"/>
            <w:vMerge w:val="continue"/>
            <w:vAlign w:val="center"/>
          </w:tcPr>
          <w:p>
            <w:pPr>
              <w:pStyle w:val="7"/>
              <w:spacing w:line="360" w:lineRule="auto"/>
              <w:ind w:firstLine="480"/>
              <w:jc w:val="center"/>
              <w:rPr>
                <w:rFonts w:ascii="仿宋_GB2312" w:hAnsi="仿宋_GB2312" w:eastAsia="仿宋_GB2312" w:cs="仿宋_GB2312"/>
                <w:color w:val="000000" w:themeColor="text1"/>
                <w:sz w:val="24"/>
                <w:szCs w:val="24"/>
                <w14:textFill>
                  <w14:solidFill>
                    <w14:schemeClr w14:val="tx1"/>
                  </w14:solidFill>
                </w14:textFill>
              </w:rPr>
            </w:pPr>
          </w:p>
        </w:tc>
        <w:tc>
          <w:tcPr>
            <w:tcW w:w="1759"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15:00-16:00</w:t>
            </w:r>
          </w:p>
        </w:tc>
        <w:tc>
          <w:tcPr>
            <w:tcW w:w="2946"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参赛队报到</w:t>
            </w:r>
            <w:r>
              <w:rPr>
                <w:rFonts w:hint="eastAsia" w:ascii="仿宋_GB2312" w:hAnsi="仿宋_GB2312" w:eastAsia="仿宋_GB2312" w:cs="仿宋_GB2312"/>
                <w:color w:val="000000" w:themeColor="text1"/>
                <w:sz w:val="24"/>
                <w:szCs w:val="24"/>
                <w:lang w:eastAsia="zh-CN"/>
                <w14:textFill>
                  <w14:solidFill>
                    <w14:schemeClr w14:val="tx1"/>
                  </w14:solidFill>
                </w14:textFill>
              </w:rPr>
              <w:t>、</w:t>
            </w:r>
            <w:r>
              <w:rPr>
                <w:rFonts w:hint="eastAsia" w:ascii="仿宋_GB2312" w:hAnsi="仿宋_GB2312" w:eastAsia="仿宋_GB2312" w:cs="仿宋_GB2312"/>
                <w:color w:val="000000" w:themeColor="text1"/>
                <w:sz w:val="24"/>
                <w:szCs w:val="24"/>
                <w14:textFill>
                  <w14:solidFill>
                    <w14:schemeClr w14:val="tx1"/>
                  </w14:solidFill>
                </w14:textFill>
              </w:rPr>
              <w:t>领取资料</w:t>
            </w:r>
          </w:p>
        </w:tc>
        <w:tc>
          <w:tcPr>
            <w:tcW w:w="2601" w:type="dxa"/>
            <w:vAlign w:val="center"/>
          </w:tcPr>
          <w:p>
            <w:pPr>
              <w:shd w:val="solid" w:color="FFFFFF" w:fill="auto"/>
              <w:autoSpaceDN w:val="0"/>
              <w:spacing w:line="360" w:lineRule="auto"/>
              <w:jc w:val="center"/>
              <w:rPr>
                <w:rFonts w:hint="eastAsia" w:ascii="仿宋_GB2312" w:hAnsi="仿宋_GB2312" w:eastAsia="仿宋_GB2312" w:cs="仿宋_GB2312"/>
                <w:color w:val="000000" w:themeColor="text1"/>
                <w:sz w:val="24"/>
                <w:szCs w:val="24"/>
                <w:lang w:eastAsia="zh-CN"/>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22" w:type="dxa"/>
            <w:vMerge w:val="continue"/>
            <w:vAlign w:val="center"/>
          </w:tcPr>
          <w:p>
            <w:pPr>
              <w:pStyle w:val="7"/>
              <w:spacing w:line="360" w:lineRule="auto"/>
              <w:ind w:firstLine="480"/>
              <w:jc w:val="center"/>
              <w:rPr>
                <w:rFonts w:ascii="仿宋_GB2312" w:hAnsi="仿宋_GB2312" w:eastAsia="仿宋_GB2312" w:cs="仿宋_GB2312"/>
                <w:color w:val="000000" w:themeColor="text1"/>
                <w:sz w:val="24"/>
                <w:szCs w:val="24"/>
                <w14:textFill>
                  <w14:solidFill>
                    <w14:schemeClr w14:val="tx1"/>
                  </w14:solidFill>
                </w14:textFill>
              </w:rPr>
            </w:pPr>
          </w:p>
        </w:tc>
        <w:tc>
          <w:tcPr>
            <w:tcW w:w="1759"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16:00-17:00</w:t>
            </w:r>
          </w:p>
        </w:tc>
        <w:tc>
          <w:tcPr>
            <w:tcW w:w="2946"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熟悉赛场</w:t>
            </w:r>
          </w:p>
        </w:tc>
        <w:tc>
          <w:tcPr>
            <w:tcW w:w="2601"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222" w:type="dxa"/>
            <w:vMerge w:val="continue"/>
            <w:vAlign w:val="center"/>
          </w:tcPr>
          <w:p>
            <w:pPr>
              <w:pStyle w:val="7"/>
              <w:spacing w:line="360" w:lineRule="auto"/>
              <w:ind w:firstLine="480"/>
              <w:jc w:val="center"/>
              <w:rPr>
                <w:rFonts w:ascii="仿宋_GB2312" w:hAnsi="仿宋_GB2312" w:eastAsia="仿宋_GB2312" w:cs="仿宋_GB2312"/>
                <w:color w:val="000000" w:themeColor="text1"/>
                <w:sz w:val="24"/>
                <w:szCs w:val="24"/>
                <w14:textFill>
                  <w14:solidFill>
                    <w14:schemeClr w14:val="tx1"/>
                  </w14:solidFill>
                </w14:textFill>
              </w:rPr>
            </w:pPr>
          </w:p>
        </w:tc>
        <w:tc>
          <w:tcPr>
            <w:tcW w:w="1759" w:type="dxa"/>
            <w:vAlign w:val="center"/>
          </w:tcPr>
          <w:p>
            <w:pPr>
              <w:shd w:val="solid" w:color="FFFFFF" w:fill="auto"/>
              <w:autoSpaceDN w:val="0"/>
              <w:spacing w:line="360" w:lineRule="auto"/>
              <w:ind w:firstLine="199" w:firstLineChars="83"/>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17:15</w:t>
            </w:r>
          </w:p>
        </w:tc>
        <w:tc>
          <w:tcPr>
            <w:tcW w:w="2946"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检查封闭赛场</w:t>
            </w:r>
          </w:p>
        </w:tc>
        <w:tc>
          <w:tcPr>
            <w:tcW w:w="2601"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222" w:type="dxa"/>
            <w:vMerge w:val="continue"/>
            <w:vAlign w:val="center"/>
          </w:tcPr>
          <w:p>
            <w:pPr>
              <w:pStyle w:val="7"/>
              <w:spacing w:line="360" w:lineRule="auto"/>
              <w:ind w:firstLine="480"/>
              <w:jc w:val="center"/>
              <w:rPr>
                <w:rFonts w:ascii="仿宋_GB2312" w:hAnsi="仿宋_GB2312" w:eastAsia="仿宋_GB2312" w:cs="仿宋_GB2312"/>
                <w:color w:val="000000" w:themeColor="text1"/>
                <w:sz w:val="24"/>
                <w:szCs w:val="24"/>
                <w14:textFill>
                  <w14:solidFill>
                    <w14:schemeClr w14:val="tx1"/>
                  </w14:solidFill>
                </w14:textFill>
              </w:rPr>
            </w:pPr>
          </w:p>
        </w:tc>
        <w:tc>
          <w:tcPr>
            <w:tcW w:w="1759" w:type="dxa"/>
            <w:vAlign w:val="center"/>
          </w:tcPr>
          <w:p>
            <w:pPr>
              <w:shd w:val="solid" w:color="FFFFFF" w:fill="auto"/>
              <w:autoSpaceDN w:val="0"/>
              <w:spacing w:line="360" w:lineRule="auto"/>
              <w:ind w:firstLine="199" w:firstLineChars="83"/>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17:30</w:t>
            </w:r>
          </w:p>
        </w:tc>
        <w:tc>
          <w:tcPr>
            <w:tcW w:w="2946"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参赛领队返回酒店</w:t>
            </w:r>
          </w:p>
        </w:tc>
        <w:tc>
          <w:tcPr>
            <w:tcW w:w="2601"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222" w:type="dxa"/>
            <w:vMerge w:val="restart"/>
            <w:vAlign w:val="center"/>
          </w:tcPr>
          <w:p>
            <w:pPr>
              <w:pStyle w:val="7"/>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第三天</w:t>
            </w:r>
          </w:p>
          <w:p>
            <w:pPr>
              <w:pStyle w:val="7"/>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（竞赛当天）</w:t>
            </w:r>
          </w:p>
        </w:tc>
        <w:tc>
          <w:tcPr>
            <w:tcW w:w="1759" w:type="dxa"/>
            <w:vAlign w:val="center"/>
          </w:tcPr>
          <w:p>
            <w:pPr>
              <w:shd w:val="solid" w:color="FFFFFF" w:fill="auto"/>
              <w:autoSpaceDN w:val="0"/>
              <w:spacing w:line="360" w:lineRule="auto"/>
              <w:ind w:firstLine="199" w:firstLineChars="83"/>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07:</w:t>
            </w:r>
            <w:r>
              <w:rPr>
                <w:rFonts w:ascii="仿宋_GB2312" w:hAnsi="仿宋_GB2312" w:eastAsia="仿宋_GB2312" w:cs="仿宋_GB2312"/>
                <w:color w:val="000000" w:themeColor="text1"/>
                <w:sz w:val="24"/>
                <w:szCs w:val="24"/>
                <w14:textFill>
                  <w14:solidFill>
                    <w14:schemeClr w14:val="tx1"/>
                  </w14:solidFill>
                </w14:textFill>
              </w:rPr>
              <w:t>2</w:t>
            </w:r>
            <w:r>
              <w:rPr>
                <w:rFonts w:hint="eastAsia" w:ascii="仿宋_GB2312" w:hAnsi="仿宋_GB2312" w:eastAsia="仿宋_GB2312" w:cs="仿宋_GB2312"/>
                <w:color w:val="000000" w:themeColor="text1"/>
                <w:sz w:val="24"/>
                <w:szCs w:val="24"/>
                <w14:textFill>
                  <w14:solidFill>
                    <w14:schemeClr w14:val="tx1"/>
                  </w14:solidFill>
                </w14:textFill>
              </w:rPr>
              <w:t>0</w:t>
            </w:r>
          </w:p>
        </w:tc>
        <w:tc>
          <w:tcPr>
            <w:tcW w:w="2946"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参赛队到达竞赛场地前集合</w:t>
            </w:r>
          </w:p>
        </w:tc>
        <w:tc>
          <w:tcPr>
            <w:tcW w:w="2601"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竞赛场地前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222" w:type="dxa"/>
            <w:vMerge w:val="continue"/>
            <w:vAlign w:val="center"/>
          </w:tcPr>
          <w:p>
            <w:pPr>
              <w:pStyle w:val="7"/>
              <w:spacing w:line="360" w:lineRule="auto"/>
              <w:ind w:firstLine="480"/>
              <w:jc w:val="center"/>
              <w:rPr>
                <w:rFonts w:ascii="仿宋_GB2312" w:hAnsi="仿宋_GB2312" w:eastAsia="仿宋_GB2312" w:cs="仿宋_GB2312"/>
                <w:color w:val="000000" w:themeColor="text1"/>
                <w:sz w:val="24"/>
                <w:szCs w:val="24"/>
                <w14:textFill>
                  <w14:solidFill>
                    <w14:schemeClr w14:val="tx1"/>
                  </w14:solidFill>
                </w14:textFill>
              </w:rPr>
            </w:pPr>
          </w:p>
        </w:tc>
        <w:tc>
          <w:tcPr>
            <w:tcW w:w="1759"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07:</w:t>
            </w:r>
            <w:r>
              <w:rPr>
                <w:rFonts w:ascii="仿宋_GB2312" w:hAnsi="仿宋_GB2312" w:eastAsia="仿宋_GB2312" w:cs="仿宋_GB2312"/>
                <w:color w:val="000000" w:themeColor="text1"/>
                <w:sz w:val="24"/>
                <w:szCs w:val="24"/>
                <w14:textFill>
                  <w14:solidFill>
                    <w14:schemeClr w14:val="tx1"/>
                  </w14:solidFill>
                </w14:textFill>
              </w:rPr>
              <w:t>4</w:t>
            </w:r>
            <w:r>
              <w:rPr>
                <w:rFonts w:hint="eastAsia" w:ascii="仿宋_GB2312" w:hAnsi="仿宋_GB2312" w:eastAsia="仿宋_GB2312" w:cs="仿宋_GB2312"/>
                <w:color w:val="000000" w:themeColor="text1"/>
                <w:sz w:val="24"/>
                <w:szCs w:val="24"/>
                <w14:textFill>
                  <w14:solidFill>
                    <w14:schemeClr w14:val="tx1"/>
                  </w14:solidFill>
                </w14:textFill>
              </w:rPr>
              <w:t>0-08:00</w:t>
            </w:r>
          </w:p>
        </w:tc>
        <w:tc>
          <w:tcPr>
            <w:tcW w:w="2946"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大赛检录</w:t>
            </w:r>
          </w:p>
        </w:tc>
        <w:tc>
          <w:tcPr>
            <w:tcW w:w="2601"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竞赛场地前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1222" w:type="dxa"/>
            <w:vMerge w:val="continue"/>
            <w:vAlign w:val="center"/>
          </w:tcPr>
          <w:p>
            <w:pPr>
              <w:pStyle w:val="7"/>
              <w:spacing w:line="360" w:lineRule="auto"/>
              <w:ind w:firstLine="480"/>
              <w:jc w:val="center"/>
              <w:rPr>
                <w:rFonts w:ascii="仿宋_GB2312" w:hAnsi="仿宋_GB2312" w:eastAsia="仿宋_GB2312" w:cs="仿宋_GB2312"/>
                <w:color w:val="000000" w:themeColor="text1"/>
                <w:sz w:val="24"/>
                <w:szCs w:val="24"/>
                <w14:textFill>
                  <w14:solidFill>
                    <w14:schemeClr w14:val="tx1"/>
                  </w14:solidFill>
                </w14:textFill>
              </w:rPr>
            </w:pPr>
          </w:p>
        </w:tc>
        <w:tc>
          <w:tcPr>
            <w:tcW w:w="1759"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08:00-08:20</w:t>
            </w:r>
          </w:p>
        </w:tc>
        <w:tc>
          <w:tcPr>
            <w:tcW w:w="2946"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第一次抽签加密（参赛编号）</w:t>
            </w:r>
          </w:p>
        </w:tc>
        <w:tc>
          <w:tcPr>
            <w:tcW w:w="2601"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一次抽签区域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222" w:type="dxa"/>
            <w:vMerge w:val="continue"/>
            <w:vAlign w:val="center"/>
          </w:tcPr>
          <w:p>
            <w:pPr>
              <w:pStyle w:val="7"/>
              <w:spacing w:line="360" w:lineRule="auto"/>
              <w:ind w:firstLine="480"/>
              <w:jc w:val="center"/>
              <w:rPr>
                <w:rFonts w:ascii="仿宋_GB2312" w:hAnsi="仿宋_GB2312" w:eastAsia="仿宋_GB2312" w:cs="仿宋_GB2312"/>
                <w:color w:val="000000" w:themeColor="text1"/>
                <w:sz w:val="24"/>
                <w:szCs w:val="24"/>
                <w14:textFill>
                  <w14:solidFill>
                    <w14:schemeClr w14:val="tx1"/>
                  </w14:solidFill>
                </w14:textFill>
              </w:rPr>
            </w:pPr>
          </w:p>
        </w:tc>
        <w:tc>
          <w:tcPr>
            <w:tcW w:w="1759"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08:20-08:40</w:t>
            </w:r>
          </w:p>
        </w:tc>
        <w:tc>
          <w:tcPr>
            <w:tcW w:w="2946"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第二次抽签加密（抽赛位号）</w:t>
            </w:r>
          </w:p>
        </w:tc>
        <w:tc>
          <w:tcPr>
            <w:tcW w:w="2601"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二次抽签区域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222" w:type="dxa"/>
            <w:vMerge w:val="continue"/>
            <w:vAlign w:val="center"/>
          </w:tcPr>
          <w:p>
            <w:pPr>
              <w:pStyle w:val="7"/>
              <w:spacing w:line="360" w:lineRule="auto"/>
              <w:ind w:firstLine="480"/>
              <w:jc w:val="center"/>
              <w:rPr>
                <w:rFonts w:ascii="仿宋_GB2312" w:hAnsi="仿宋_GB2312" w:eastAsia="仿宋_GB2312" w:cs="仿宋_GB2312"/>
                <w:color w:val="000000" w:themeColor="text1"/>
                <w:sz w:val="24"/>
                <w:szCs w:val="24"/>
                <w14:textFill>
                  <w14:solidFill>
                    <w14:schemeClr w14:val="tx1"/>
                  </w14:solidFill>
                </w14:textFill>
              </w:rPr>
            </w:pPr>
          </w:p>
        </w:tc>
        <w:tc>
          <w:tcPr>
            <w:tcW w:w="1759"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08:40-09:00</w:t>
            </w:r>
          </w:p>
        </w:tc>
        <w:tc>
          <w:tcPr>
            <w:tcW w:w="2946"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设备工具检查确认</w:t>
            </w:r>
          </w:p>
        </w:tc>
        <w:tc>
          <w:tcPr>
            <w:tcW w:w="2601"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1222" w:type="dxa"/>
            <w:vMerge w:val="continue"/>
            <w:vAlign w:val="center"/>
          </w:tcPr>
          <w:p>
            <w:pPr>
              <w:pStyle w:val="7"/>
              <w:spacing w:line="360" w:lineRule="auto"/>
              <w:ind w:firstLine="480"/>
              <w:jc w:val="center"/>
              <w:rPr>
                <w:rFonts w:ascii="仿宋_GB2312" w:hAnsi="仿宋_GB2312" w:eastAsia="仿宋_GB2312" w:cs="仿宋_GB2312"/>
                <w:color w:val="000000" w:themeColor="text1"/>
                <w:sz w:val="24"/>
                <w:szCs w:val="24"/>
                <w14:textFill>
                  <w14:solidFill>
                    <w14:schemeClr w14:val="tx1"/>
                  </w14:solidFill>
                </w14:textFill>
              </w:rPr>
            </w:pPr>
          </w:p>
        </w:tc>
        <w:tc>
          <w:tcPr>
            <w:tcW w:w="1759"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09:00-12:00</w:t>
            </w:r>
          </w:p>
        </w:tc>
        <w:tc>
          <w:tcPr>
            <w:tcW w:w="2946"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参赛队竞赛</w:t>
            </w:r>
          </w:p>
        </w:tc>
        <w:tc>
          <w:tcPr>
            <w:tcW w:w="2601"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222" w:type="dxa"/>
            <w:vMerge w:val="continue"/>
            <w:vAlign w:val="center"/>
          </w:tcPr>
          <w:p>
            <w:pPr>
              <w:pStyle w:val="7"/>
              <w:spacing w:line="360" w:lineRule="auto"/>
              <w:ind w:firstLine="480"/>
              <w:jc w:val="center"/>
              <w:rPr>
                <w:rFonts w:ascii="仿宋_GB2312" w:hAnsi="仿宋_GB2312" w:eastAsia="仿宋_GB2312" w:cs="仿宋_GB2312"/>
                <w:color w:val="000000" w:themeColor="text1"/>
                <w:sz w:val="24"/>
                <w:szCs w:val="24"/>
                <w14:textFill>
                  <w14:solidFill>
                    <w14:schemeClr w14:val="tx1"/>
                  </w14:solidFill>
                </w14:textFill>
              </w:rPr>
            </w:pPr>
          </w:p>
        </w:tc>
        <w:tc>
          <w:tcPr>
            <w:tcW w:w="1759"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12:00-13:00</w:t>
            </w:r>
          </w:p>
        </w:tc>
        <w:tc>
          <w:tcPr>
            <w:tcW w:w="2946"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吃饭，休息</w:t>
            </w:r>
          </w:p>
        </w:tc>
        <w:tc>
          <w:tcPr>
            <w:tcW w:w="2601"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222" w:type="dxa"/>
            <w:vMerge w:val="continue"/>
            <w:vAlign w:val="center"/>
          </w:tcPr>
          <w:p>
            <w:pPr>
              <w:pStyle w:val="7"/>
              <w:spacing w:line="360" w:lineRule="auto"/>
              <w:ind w:firstLine="480"/>
              <w:jc w:val="center"/>
              <w:rPr>
                <w:rFonts w:ascii="仿宋_GB2312" w:hAnsi="仿宋_GB2312" w:eastAsia="仿宋_GB2312" w:cs="仿宋_GB2312"/>
                <w:color w:val="000000" w:themeColor="text1"/>
                <w:sz w:val="24"/>
                <w:szCs w:val="24"/>
                <w14:textFill>
                  <w14:solidFill>
                    <w14:schemeClr w14:val="tx1"/>
                  </w14:solidFill>
                </w14:textFill>
              </w:rPr>
            </w:pPr>
          </w:p>
        </w:tc>
        <w:tc>
          <w:tcPr>
            <w:tcW w:w="1759"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13:00-16:00</w:t>
            </w:r>
          </w:p>
        </w:tc>
        <w:tc>
          <w:tcPr>
            <w:tcW w:w="2946"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参赛队竞赛</w:t>
            </w:r>
          </w:p>
        </w:tc>
        <w:tc>
          <w:tcPr>
            <w:tcW w:w="2601"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222" w:type="dxa"/>
            <w:vMerge w:val="continue"/>
            <w:vAlign w:val="center"/>
          </w:tcPr>
          <w:p>
            <w:pPr>
              <w:pStyle w:val="7"/>
              <w:spacing w:line="360" w:lineRule="auto"/>
              <w:ind w:firstLine="480"/>
              <w:jc w:val="center"/>
              <w:rPr>
                <w:rFonts w:ascii="仿宋_GB2312" w:hAnsi="仿宋_GB2312" w:eastAsia="仿宋_GB2312" w:cs="仿宋_GB2312"/>
                <w:color w:val="000000" w:themeColor="text1"/>
                <w:sz w:val="24"/>
                <w:szCs w:val="24"/>
                <w14:textFill>
                  <w14:solidFill>
                    <w14:schemeClr w14:val="tx1"/>
                  </w14:solidFill>
                </w14:textFill>
              </w:rPr>
            </w:pPr>
          </w:p>
        </w:tc>
        <w:tc>
          <w:tcPr>
            <w:tcW w:w="1759"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16:00-18:00</w:t>
            </w:r>
          </w:p>
        </w:tc>
        <w:tc>
          <w:tcPr>
            <w:tcW w:w="2946"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申诉期</w:t>
            </w:r>
          </w:p>
        </w:tc>
        <w:tc>
          <w:tcPr>
            <w:tcW w:w="2601"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1222" w:type="dxa"/>
            <w:vMerge w:val="continue"/>
            <w:vAlign w:val="center"/>
          </w:tcPr>
          <w:p>
            <w:pPr>
              <w:pStyle w:val="7"/>
              <w:spacing w:line="360" w:lineRule="auto"/>
              <w:ind w:firstLine="480"/>
              <w:jc w:val="center"/>
              <w:rPr>
                <w:rFonts w:ascii="仿宋_GB2312" w:hAnsi="仿宋_GB2312" w:eastAsia="仿宋_GB2312" w:cs="仿宋_GB2312"/>
                <w:color w:val="000000" w:themeColor="text1"/>
                <w:sz w:val="24"/>
                <w:szCs w:val="24"/>
                <w14:textFill>
                  <w14:solidFill>
                    <w14:schemeClr w14:val="tx1"/>
                  </w14:solidFill>
                </w14:textFill>
              </w:rPr>
            </w:pPr>
          </w:p>
        </w:tc>
        <w:tc>
          <w:tcPr>
            <w:tcW w:w="1759"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18:00-20:00</w:t>
            </w:r>
          </w:p>
        </w:tc>
        <w:tc>
          <w:tcPr>
            <w:tcW w:w="2946"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判分、核分、抽检、复验</w:t>
            </w:r>
          </w:p>
        </w:tc>
        <w:tc>
          <w:tcPr>
            <w:tcW w:w="2601" w:type="dxa"/>
            <w:vAlign w:val="center"/>
          </w:tcPr>
          <w:p>
            <w:pPr>
              <w:shd w:val="solid" w:color="FFFFFF" w:fill="auto"/>
              <w:autoSpaceDN w:val="0"/>
              <w:spacing w:line="360" w:lineRule="auto"/>
              <w:jc w:val="center"/>
              <w:rPr>
                <w:rFonts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t>竞赛场地</w:t>
            </w:r>
          </w:p>
        </w:tc>
      </w:tr>
    </w:tbl>
    <w:p>
      <w:pPr>
        <w:rPr>
          <w:rFonts w:hint="default"/>
          <w:lang w:val="en-US" w:eastAsia="zh-CN"/>
        </w:rPr>
      </w:pPr>
    </w:p>
    <w:p>
      <w:pPr>
        <w:pStyle w:val="5"/>
        <w:bidi w:val="0"/>
        <w:rPr>
          <w:rFonts w:hint="eastAsia" w:ascii="仿宋_GB2312" w:hAnsi="仿宋" w:eastAsia="仿宋_GB2312"/>
          <w:b/>
          <w:color w:val="000000" w:themeColor="text1"/>
          <w:sz w:val="32"/>
          <w:szCs w:val="32"/>
          <w14:textFill>
            <w14:solidFill>
              <w14:schemeClr w14:val="tx1"/>
            </w14:solidFill>
          </w14:textFill>
        </w:rPr>
      </w:pPr>
      <w:r>
        <w:rPr>
          <w:rFonts w:hint="eastAsia" w:ascii="仿宋_GB2312" w:hAnsi="仿宋" w:eastAsia="仿宋_GB2312"/>
          <w:b/>
          <w:color w:val="000000" w:themeColor="text1"/>
          <w:sz w:val="32"/>
          <w:szCs w:val="32"/>
          <w:lang w:val="en-US" w:eastAsia="zh-CN"/>
          <w14:textFill>
            <w14:solidFill>
              <w14:schemeClr w14:val="tx1"/>
            </w14:solidFill>
          </w14:textFill>
        </w:rPr>
        <w:t>六</w:t>
      </w:r>
      <w:r>
        <w:rPr>
          <w:rFonts w:hint="eastAsia" w:ascii="仿宋_GB2312" w:hAnsi="仿宋" w:eastAsia="仿宋_GB2312"/>
          <w:b/>
          <w:color w:val="000000" w:themeColor="text1"/>
          <w:sz w:val="32"/>
          <w:szCs w:val="32"/>
          <w14:textFill>
            <w14:solidFill>
              <w14:schemeClr w14:val="tx1"/>
            </w14:solidFill>
          </w14:textFill>
        </w:rPr>
        <w:t>、竞赛试题</w:t>
      </w:r>
    </w:p>
    <w:p>
      <w:pPr>
        <w:spacing w:line="560" w:lineRule="exact"/>
        <w:ind w:firstLine="560" w:firstLineChars="200"/>
        <w:rPr>
          <w:rFonts w:hint="eastAsia" w:ascii="仿宋" w:hAnsi="仿宋" w:eastAsia="仿宋" w:cs="仿宋_GB2312"/>
          <w:sz w:val="28"/>
          <w:szCs w:val="28"/>
        </w:rPr>
      </w:pPr>
      <w:r>
        <w:rPr>
          <w:rFonts w:hint="eastAsia" w:ascii="仿宋" w:hAnsi="仿宋" w:eastAsia="仿宋" w:cs="仿宋_GB2312"/>
          <w:sz w:val="28"/>
          <w:szCs w:val="28"/>
        </w:rPr>
        <w:t>本赛项建立竞赛赛卷库，竞赛赛卷库可组成</w:t>
      </w:r>
      <w:r>
        <w:rPr>
          <w:rFonts w:hint="eastAsia" w:ascii="仿宋" w:hAnsi="仿宋" w:eastAsia="仿宋" w:cs="仿宋_GB2312"/>
          <w:sz w:val="28"/>
          <w:szCs w:val="28"/>
          <w:lang w:val="en-US" w:eastAsia="zh-CN"/>
        </w:rPr>
        <w:t>2</w:t>
      </w:r>
      <w:r>
        <w:rPr>
          <w:rFonts w:hint="eastAsia" w:ascii="仿宋" w:hAnsi="仿宋" w:eastAsia="仿宋" w:cs="仿宋_GB2312"/>
          <w:sz w:val="28"/>
          <w:szCs w:val="28"/>
        </w:rPr>
        <w:t>套以上正式竞赛赛卷，且每套竞赛赛卷内容重复率不高于50%。在比赛的前三天内，将竞赛赛卷库中的竞赛赛卷随机排序后，在</w:t>
      </w:r>
      <w:r>
        <w:rPr>
          <w:rFonts w:hint="eastAsia" w:ascii="仿宋" w:hAnsi="仿宋" w:eastAsia="仿宋" w:cs="仿宋_GB2312"/>
          <w:sz w:val="28"/>
          <w:szCs w:val="28"/>
          <w:lang w:eastAsia="zh-CN"/>
        </w:rPr>
        <w:t>监督员</w:t>
      </w:r>
      <w:r>
        <w:rPr>
          <w:rFonts w:hint="eastAsia" w:ascii="仿宋" w:hAnsi="仿宋" w:eastAsia="仿宋" w:cs="仿宋_GB2312"/>
          <w:sz w:val="28"/>
          <w:szCs w:val="28"/>
        </w:rPr>
        <w:t>的监督下，由裁判长指定相关人员抽取正式竞赛赛卷与备用竞赛赛卷。</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竞赛样卷随竞赛规程同时公布，见附件：</w:t>
      </w:r>
      <w:r>
        <w:rPr>
          <w:rFonts w:hint="eastAsia" w:ascii="仿宋" w:hAnsi="仿宋" w:eastAsia="仿宋" w:cs="仿宋_GB2312"/>
          <w:sz w:val="28"/>
          <w:szCs w:val="28"/>
          <w:lang w:eastAsia="zh-CN"/>
        </w:rPr>
        <w:t>2022</w:t>
      </w:r>
      <w:r>
        <w:rPr>
          <w:rFonts w:hint="eastAsia" w:ascii="仿宋" w:hAnsi="仿宋" w:eastAsia="仿宋" w:cs="仿宋_GB2312"/>
          <w:sz w:val="28"/>
          <w:szCs w:val="28"/>
        </w:rPr>
        <w:t>年</w:t>
      </w:r>
      <w:r>
        <w:rPr>
          <w:rFonts w:hint="eastAsia" w:ascii="仿宋" w:hAnsi="仿宋" w:eastAsia="仿宋" w:cs="仿宋_GB2312"/>
          <w:sz w:val="28"/>
          <w:szCs w:val="28"/>
          <w:lang w:val="en-US" w:eastAsia="zh-CN"/>
        </w:rPr>
        <w:t>海南</w:t>
      </w:r>
      <w:r>
        <w:rPr>
          <w:rFonts w:hint="eastAsia" w:ascii="仿宋" w:hAnsi="仿宋" w:eastAsia="仿宋" w:cs="仿宋_GB2312"/>
          <w:sz w:val="28"/>
          <w:szCs w:val="28"/>
        </w:rPr>
        <w:t>省职业院校技能大赛高职组云计算竞赛赛卷（样卷）。</w:t>
      </w:r>
    </w:p>
    <w:p>
      <w:pPr>
        <w:pStyle w:val="5"/>
        <w:bidi w:val="0"/>
        <w:rPr>
          <w:rFonts w:hint="eastAsia" w:ascii="仿宋_GB2312" w:hAnsi="仿宋" w:eastAsia="仿宋_GB2312"/>
          <w:b/>
          <w:color w:val="000000" w:themeColor="text1"/>
          <w:sz w:val="32"/>
          <w:szCs w:val="32"/>
          <w14:textFill>
            <w14:solidFill>
              <w14:schemeClr w14:val="tx1"/>
            </w14:solidFill>
          </w14:textFill>
        </w:rPr>
      </w:pPr>
      <w:r>
        <w:rPr>
          <w:rFonts w:hint="eastAsia" w:ascii="仿宋_GB2312" w:hAnsi="仿宋" w:eastAsia="仿宋_GB2312"/>
          <w:b/>
          <w:color w:val="000000" w:themeColor="text1"/>
          <w:sz w:val="32"/>
          <w:szCs w:val="32"/>
          <w:lang w:val="en-US" w:eastAsia="zh-CN"/>
          <w14:textFill>
            <w14:solidFill>
              <w14:schemeClr w14:val="tx1"/>
            </w14:solidFill>
          </w14:textFill>
        </w:rPr>
        <w:t>七</w:t>
      </w:r>
      <w:r>
        <w:rPr>
          <w:rFonts w:hint="eastAsia" w:ascii="仿宋_GB2312" w:hAnsi="仿宋" w:eastAsia="仿宋_GB2312"/>
          <w:b/>
          <w:color w:val="000000" w:themeColor="text1"/>
          <w:sz w:val="32"/>
          <w:szCs w:val="32"/>
          <w14:textFill>
            <w14:solidFill>
              <w14:schemeClr w14:val="tx1"/>
            </w14:solidFill>
          </w14:textFill>
        </w:rPr>
        <w:t>、竞赛规则</w:t>
      </w:r>
    </w:p>
    <w:p>
      <w:pPr>
        <w:widowControl/>
        <w:ind w:firstLine="600" w:firstLineChars="200"/>
        <w:jc w:val="left"/>
        <w:rPr>
          <w:rFonts w:hint="eastAsia" w:ascii="仿宋_GB2312" w:hAnsi="仿宋_GB2312" w:eastAsia="仿宋_GB2312" w:cs="仿宋_GB2312"/>
          <w:color w:val="000000" w:themeColor="text1"/>
          <w:kern w:val="0"/>
          <w:sz w:val="30"/>
          <w:szCs w:val="30"/>
          <w:lang w:eastAsia="zh-CN" w:bidi="ar"/>
          <w14:textFill>
            <w14:solidFill>
              <w14:schemeClr w14:val="tx1"/>
            </w14:solidFill>
          </w14:textFill>
        </w:rPr>
      </w:pPr>
      <w:r>
        <w:rPr>
          <w:rFonts w:hint="eastAsia" w:ascii="仿宋_GB2312" w:hAnsi="仿宋_GB2312" w:eastAsia="仿宋_GB2312" w:cs="仿宋_GB2312"/>
          <w:color w:val="000000" w:themeColor="text1"/>
          <w:kern w:val="0"/>
          <w:sz w:val="30"/>
          <w:szCs w:val="30"/>
          <w:lang w:bidi="ar"/>
          <w14:textFill>
            <w14:solidFill>
              <w14:schemeClr w14:val="tx1"/>
            </w14:solidFill>
          </w14:textFill>
        </w:rPr>
        <w:t>（一）竞赛报名</w:t>
      </w:r>
    </w:p>
    <w:p>
      <w:pPr>
        <w:spacing w:line="560" w:lineRule="exact"/>
        <w:ind w:firstLine="560" w:firstLineChars="200"/>
        <w:rPr>
          <w:rFonts w:hint="eastAsia" w:ascii="仿宋" w:hAnsi="仿宋" w:eastAsia="仿宋" w:cs="仿宋_GB2312"/>
          <w:sz w:val="28"/>
          <w:szCs w:val="28"/>
        </w:rPr>
      </w:pPr>
      <w:r>
        <w:rPr>
          <w:rFonts w:hint="eastAsia" w:ascii="仿宋" w:hAnsi="仿宋" w:eastAsia="仿宋" w:cs="仿宋_GB2312"/>
          <w:sz w:val="28"/>
          <w:szCs w:val="28"/>
        </w:rPr>
        <w:t>参赛选手须为普通高等学校全日制在籍专科学生，本科院校高职类全日制在籍学生可报名参加高职组比赛，五年制高职学生四、五年级参加高职组比赛。参赛选手年龄须不超过25周岁</w:t>
      </w:r>
      <w:r>
        <w:rPr>
          <w:rFonts w:hint="eastAsia" w:ascii="仿宋" w:hAnsi="仿宋" w:eastAsia="仿宋" w:cs="仿宋_GB2312"/>
          <w:sz w:val="28"/>
          <w:szCs w:val="28"/>
          <w:lang w:eastAsia="zh-CN"/>
        </w:rPr>
        <w:t>（</w:t>
      </w:r>
      <w:r>
        <w:rPr>
          <w:rFonts w:hint="eastAsia" w:ascii="仿宋" w:hAnsi="仿宋" w:eastAsia="仿宋" w:cs="仿宋_GB2312"/>
          <w:sz w:val="28"/>
          <w:szCs w:val="28"/>
          <w:lang w:val="en-US" w:eastAsia="zh-CN"/>
        </w:rPr>
        <w:t>1998年5月1日及以后出生</w:t>
      </w:r>
      <w:r>
        <w:rPr>
          <w:rFonts w:hint="eastAsia" w:ascii="仿宋" w:hAnsi="仿宋" w:eastAsia="仿宋" w:cs="仿宋_GB2312"/>
          <w:sz w:val="28"/>
          <w:szCs w:val="28"/>
          <w:lang w:eastAsia="zh-CN"/>
        </w:rPr>
        <w:t>）</w:t>
      </w:r>
      <w:bookmarkStart w:id="2" w:name="_GoBack"/>
      <w:bookmarkEnd w:id="2"/>
      <w:r>
        <w:rPr>
          <w:rFonts w:hint="eastAsia" w:ascii="仿宋" w:hAnsi="仿宋" w:eastAsia="仿宋" w:cs="仿宋_GB2312"/>
          <w:sz w:val="28"/>
          <w:szCs w:val="28"/>
        </w:rPr>
        <w:t>。</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凡在往届全国职业院校技能大赛中获一等奖的选手，不再参加同</w:t>
      </w:r>
      <w:r>
        <w:rPr>
          <w:rFonts w:hint="eastAsia" w:ascii="仿宋" w:hAnsi="仿宋" w:eastAsia="仿宋" w:cs="仿宋_GB2312"/>
          <w:sz w:val="28"/>
          <w:szCs w:val="28"/>
          <w:lang w:eastAsia="zh-CN"/>
        </w:rPr>
        <w:t>一项目同一</w:t>
      </w:r>
      <w:r>
        <w:rPr>
          <w:rFonts w:hint="eastAsia" w:ascii="仿宋" w:hAnsi="仿宋" w:eastAsia="仿宋" w:cs="仿宋_GB2312"/>
          <w:sz w:val="28"/>
          <w:szCs w:val="28"/>
        </w:rPr>
        <w:t>组别的比赛。</w:t>
      </w:r>
    </w:p>
    <w:p>
      <w:pPr>
        <w:widowControl/>
        <w:ind w:firstLine="600" w:firstLineChars="200"/>
        <w:jc w:val="left"/>
        <w:rPr>
          <w:rFonts w:hint="eastAsia" w:ascii="仿宋_GB2312" w:hAnsi="仿宋_GB2312" w:eastAsia="仿宋_GB2312" w:cs="仿宋_GB2312"/>
          <w:color w:val="000000" w:themeColor="text1"/>
          <w:kern w:val="0"/>
          <w:sz w:val="30"/>
          <w:szCs w:val="30"/>
          <w:lang w:eastAsia="zh-CN" w:bidi="ar"/>
          <w14:textFill>
            <w14:solidFill>
              <w14:schemeClr w14:val="tx1"/>
            </w14:solidFill>
          </w14:textFill>
        </w:rPr>
      </w:pPr>
      <w:r>
        <w:rPr>
          <w:rFonts w:hint="eastAsia" w:ascii="仿宋_GB2312" w:hAnsi="仿宋_GB2312" w:eastAsia="仿宋_GB2312" w:cs="仿宋_GB2312"/>
          <w:color w:val="000000" w:themeColor="text1"/>
          <w:kern w:val="0"/>
          <w:sz w:val="30"/>
          <w:szCs w:val="30"/>
          <w:lang w:bidi="ar"/>
          <w14:textFill>
            <w14:solidFill>
              <w14:schemeClr w14:val="tx1"/>
            </w14:solidFill>
          </w14:textFill>
        </w:rPr>
        <w:t>（二）熟悉场地规则</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1.为各参赛选手提供统一有序的熟悉场地时间安排，熟悉场地时限定在指定区域与路线，不允许进入比赛区。</w:t>
      </w:r>
    </w:p>
    <w:p>
      <w:pPr>
        <w:spacing w:line="560" w:lineRule="exact"/>
        <w:ind w:firstLine="560" w:firstLineChars="200"/>
        <w:rPr>
          <w:rFonts w:hint="eastAsia" w:ascii="仿宋" w:hAnsi="仿宋" w:eastAsia="仿宋" w:cs="仿宋_GB2312"/>
          <w:sz w:val="28"/>
          <w:szCs w:val="28"/>
        </w:rPr>
      </w:pPr>
      <w:r>
        <w:rPr>
          <w:rFonts w:hint="eastAsia" w:ascii="仿宋" w:hAnsi="仿宋" w:eastAsia="仿宋" w:cs="仿宋_GB2312"/>
          <w:sz w:val="28"/>
          <w:szCs w:val="28"/>
        </w:rPr>
        <w:t>2.熟悉场地时严禁与现场工作人员进行交流，不发表没有根据以及有损大赛整体形象的言论。</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3.熟悉场地时严格遵守大赛各种制度，严禁拥挤，喧哗，以免发生意外事故。</w:t>
      </w:r>
    </w:p>
    <w:p>
      <w:pPr>
        <w:widowControl/>
        <w:ind w:firstLine="600" w:firstLineChars="200"/>
        <w:jc w:val="left"/>
        <w:rPr>
          <w:rFonts w:ascii="仿宋_GB2312" w:hAnsi="仿宋_GB2312" w:eastAsia="仿宋_GB2312" w:cs="仿宋_GB2312"/>
          <w:color w:val="000000" w:themeColor="text1"/>
          <w:kern w:val="0"/>
          <w:sz w:val="30"/>
          <w:szCs w:val="30"/>
          <w:lang w:bidi="ar"/>
          <w14:textFill>
            <w14:solidFill>
              <w14:schemeClr w14:val="tx1"/>
            </w14:solidFill>
          </w14:textFill>
        </w:rPr>
      </w:pPr>
      <w:r>
        <w:rPr>
          <w:rFonts w:hint="eastAsia" w:ascii="仿宋_GB2312" w:hAnsi="仿宋_GB2312" w:eastAsia="仿宋_GB2312" w:cs="仿宋_GB2312"/>
          <w:color w:val="000000" w:themeColor="text1"/>
          <w:kern w:val="0"/>
          <w:sz w:val="30"/>
          <w:szCs w:val="30"/>
          <w:lang w:bidi="ar"/>
          <w14:textFill>
            <w14:solidFill>
              <w14:schemeClr w14:val="tx1"/>
            </w14:solidFill>
          </w14:textFill>
        </w:rPr>
        <w:t>（三）入场规则</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1.参赛选手按赛项规定的时间准时到达赛场检录区集合。</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2.裁判将对各参赛选手的身份进行核对。参赛选手须提供参赛证、身份证、经学校注册的学生证，证件上的姓名、年龄、相貌特征等应与参赛证信息一致。</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3.裁判检验参赛选手携带的随身物品，不允许携带任何具有通讯及存储功能的设备、纸质材料等物品，检查合格后方可进入赛场抽签区。</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4.第一次加密时，参赛选手按已获得的抽签顺序号依次抽取参赛编号；第二次加密时，参赛选手凭已获得的参赛编号抽取比赛工位号；完成两次加密后，参赛选手在现场裁判的指挥下有序进入赛场，按已获得的比赛工位号就位。</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（四）正式比赛规则</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1.选手进入赛场后，必须听从现场裁判的统一安排和指挥。</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2.参赛选手进入比赛工位号后，可查看比赛环境，如有问题可立即向现场裁判报告，但不可进行比赛任务的操作。</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3.在现场裁判宣布比赛开始后，参赛选手才能开始动手完成比赛任务的操作。</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4.比赛过程中，参赛选手必须严格遵守安全操作规程，确保人身和设备安全，并接受现场裁判和技术人员的监督和警示。</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5.比赛过程中若有任务书字迹不清问题，可示意现场裁判，由现场裁判解决。若认为比赛设备有问题需修复或更换时，应在赛场记录表的相应栏目填写修复问题及原因、更换设备原因、更换时间等并签比赛工位号确认后，由现场裁判和技术人员予以修复或更换。修复或更换工作完成后，现场裁判和技术人员须检验并将结果记录在赛场记录表的相应栏目中并由参赛选手签工位号确认。</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6.在需要通电检查或调试设备时，应先报告现场裁判或技术人员，通电前的安全检测合格，获允许并派人监护后，才能通电检查或调试。</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7.经现场裁判和技术人员检验，比赛设备确因设备、元器件故障或损坏而进行修复或更换时，从参赛选手报告现场裁判到完成修复或更换之间的用时，为比赛补时时间。</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8.在比赛过程中，参赛选手不得随意离开比赛工位，不得与其他参赛选手和人员交流。参赛选手因故终止比赛或提前完成比赛任务需要离场，应报告现场裁判，在赛场记录表的相应栏目填写离场时间、离场原因并由现场裁判签名和选手签工位号确认。</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9.在比赛过程中，严重违反赛场纪律影响他人比赛者，违反操作规程不听劝告者，越界影响他人者，有意损坏赛场设备或设施者，经现场裁判报告裁判长，经大赛组委会办公室同意后，由裁判长宣布取消其比赛资格。</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（五）离场规则</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1.比赛结束前15分钟，裁判长提示一次比赛剩余时间。</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2.比赛结束信号给出，由裁判长宣布终止比赛。</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3.裁判长宣布终止比赛后，参赛选手应停止全部竞赛任务的操作。竞赛过程中的所有资料和比赛用设备工具等均需整齐摆放在工作台上，不得带出赛场。</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4.裁判长宣布终止比赛后，现场裁判组织、监督选手有序退出工位，站在工位边的过道上。裁判长宣布离场时，现场裁判指挥选手统一离开赛场。</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5.需要补时的参赛选手继续在自己的比赛工位上，在现场裁判宣布补时操作开始后，需要补时的参赛选手开始继续操作。当现场裁判宣布补时时间结束时，选手应停止操作，离开赛场。</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6.选手离场后，到指定的休息场所用餐、等待评定比赛成绩。</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7.所有参赛选手在完成比赛之后，均应该整理比赛工位及其周边的清洁，使之符合职业规范。</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w:t>
      </w:r>
      <w:r>
        <w:rPr>
          <w:rFonts w:hint="eastAsia" w:ascii="仿宋" w:hAnsi="仿宋" w:eastAsia="仿宋" w:cs="仿宋_GB2312"/>
          <w:sz w:val="28"/>
          <w:szCs w:val="28"/>
          <w:lang w:eastAsia="zh-CN"/>
        </w:rPr>
        <w:t>六</w:t>
      </w:r>
      <w:r>
        <w:rPr>
          <w:rFonts w:hint="eastAsia" w:ascii="仿宋" w:hAnsi="仿宋" w:eastAsia="仿宋" w:cs="仿宋_GB2312"/>
          <w:sz w:val="28"/>
          <w:szCs w:val="28"/>
        </w:rPr>
        <w:t>）</w:t>
      </w:r>
      <w:r>
        <w:rPr>
          <w:rFonts w:hint="eastAsia" w:ascii="仿宋" w:hAnsi="仿宋" w:eastAsia="仿宋" w:cs="仿宋_GB2312"/>
          <w:sz w:val="28"/>
          <w:szCs w:val="28"/>
          <w:lang w:eastAsia="zh-CN"/>
        </w:rPr>
        <w:t>成绩</w:t>
      </w:r>
      <w:r>
        <w:rPr>
          <w:rFonts w:hint="eastAsia" w:ascii="仿宋" w:hAnsi="仿宋" w:eastAsia="仿宋" w:cs="仿宋_GB2312"/>
          <w:sz w:val="28"/>
          <w:szCs w:val="28"/>
        </w:rPr>
        <w:t>评定</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竞赛系统根据设定的评分标准进行自动评分，确定参赛选手完成比赛成果的各项评分。</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w:t>
      </w:r>
      <w:r>
        <w:rPr>
          <w:rFonts w:hint="eastAsia" w:ascii="仿宋" w:hAnsi="仿宋" w:eastAsia="仿宋" w:cs="仿宋_GB2312"/>
          <w:sz w:val="28"/>
          <w:szCs w:val="28"/>
          <w:lang w:eastAsia="zh-CN"/>
        </w:rPr>
        <w:t>七</w:t>
      </w:r>
      <w:r>
        <w:rPr>
          <w:rFonts w:hint="eastAsia" w:ascii="仿宋" w:hAnsi="仿宋" w:eastAsia="仿宋" w:cs="仿宋_GB2312"/>
          <w:sz w:val="28"/>
          <w:szCs w:val="28"/>
        </w:rPr>
        <w:t>）</w:t>
      </w:r>
      <w:r>
        <w:rPr>
          <w:rFonts w:hint="eastAsia" w:ascii="仿宋" w:hAnsi="仿宋" w:eastAsia="仿宋" w:cs="仿宋_GB2312"/>
          <w:sz w:val="28"/>
          <w:szCs w:val="28"/>
          <w:lang w:eastAsia="zh-CN"/>
        </w:rPr>
        <w:t>成绩公布</w:t>
      </w:r>
    </w:p>
    <w:p>
      <w:pPr>
        <w:spacing w:line="560" w:lineRule="exact"/>
        <w:ind w:firstLine="560" w:firstLineChars="200"/>
        <w:rPr>
          <w:rFonts w:hint="eastAsia" w:ascii="仿宋" w:hAnsi="仿宋" w:eastAsia="仿宋" w:cs="仿宋_GB2312"/>
          <w:sz w:val="28"/>
          <w:szCs w:val="28"/>
        </w:rPr>
      </w:pPr>
      <w:r>
        <w:rPr>
          <w:rFonts w:hint="eastAsia" w:ascii="仿宋" w:hAnsi="仿宋" w:eastAsia="仿宋" w:cs="仿宋_GB2312"/>
          <w:sz w:val="28"/>
          <w:szCs w:val="28"/>
          <w:lang w:eastAsia="zh-CN"/>
        </w:rPr>
        <w:t>本</w:t>
      </w:r>
      <w:r>
        <w:rPr>
          <w:rFonts w:hint="eastAsia" w:ascii="仿宋" w:hAnsi="仿宋" w:eastAsia="仿宋" w:cs="仿宋_GB2312"/>
          <w:sz w:val="28"/>
          <w:szCs w:val="28"/>
        </w:rPr>
        <w:t>赛项评判、检测和成绩统计</w:t>
      </w:r>
      <w:r>
        <w:rPr>
          <w:rFonts w:hint="eastAsia" w:ascii="仿宋" w:hAnsi="仿宋" w:eastAsia="仿宋" w:cs="仿宋_GB2312"/>
          <w:sz w:val="28"/>
          <w:szCs w:val="28"/>
          <w:lang w:eastAsia="zh-CN"/>
        </w:rPr>
        <w:t>完成后，</w:t>
      </w:r>
      <w:r>
        <w:rPr>
          <w:rFonts w:hint="eastAsia" w:ascii="仿宋" w:hAnsi="仿宋" w:eastAsia="仿宋" w:cs="仿宋_GB2312"/>
          <w:sz w:val="28"/>
          <w:szCs w:val="28"/>
        </w:rPr>
        <w:t>承办院校指派专人负责将比赛成绩</w:t>
      </w:r>
      <w:r>
        <w:rPr>
          <w:rFonts w:hint="eastAsia" w:ascii="仿宋" w:hAnsi="仿宋" w:eastAsia="仿宋" w:cs="仿宋_GB2312"/>
          <w:sz w:val="28"/>
          <w:szCs w:val="28"/>
          <w:lang w:eastAsia="zh-CN"/>
        </w:rPr>
        <w:t>及时</w:t>
      </w:r>
      <w:r>
        <w:rPr>
          <w:rFonts w:hint="eastAsia" w:ascii="仿宋" w:hAnsi="仿宋" w:eastAsia="仿宋" w:cs="仿宋_GB2312"/>
          <w:sz w:val="28"/>
          <w:szCs w:val="28"/>
        </w:rPr>
        <w:t>录入网上竞赛管理系统，并公示。最终奖次以正式获奖文件为准。</w:t>
      </w:r>
    </w:p>
    <w:p>
      <w:pPr>
        <w:pStyle w:val="5"/>
        <w:bidi w:val="0"/>
        <w:rPr>
          <w:rFonts w:hint="eastAsia" w:ascii="仿宋_GB2312" w:hAnsi="仿宋" w:eastAsia="仿宋_GB2312"/>
          <w:b/>
          <w:color w:val="000000" w:themeColor="text1"/>
          <w:sz w:val="32"/>
          <w:szCs w:val="32"/>
          <w14:textFill>
            <w14:solidFill>
              <w14:schemeClr w14:val="tx1"/>
            </w14:solidFill>
          </w14:textFill>
        </w:rPr>
      </w:pPr>
      <w:r>
        <w:rPr>
          <w:rFonts w:hint="eastAsia" w:ascii="仿宋_GB2312" w:hAnsi="仿宋" w:eastAsia="仿宋_GB2312"/>
          <w:b/>
          <w:color w:val="000000" w:themeColor="text1"/>
          <w:sz w:val="32"/>
          <w:szCs w:val="32"/>
          <w:lang w:val="en-US" w:eastAsia="zh-CN"/>
          <w14:textFill>
            <w14:solidFill>
              <w14:schemeClr w14:val="tx1"/>
            </w14:solidFill>
          </w14:textFill>
        </w:rPr>
        <w:t>八</w:t>
      </w:r>
      <w:r>
        <w:rPr>
          <w:rFonts w:hint="eastAsia" w:ascii="仿宋_GB2312" w:hAnsi="仿宋" w:eastAsia="仿宋_GB2312"/>
          <w:b/>
          <w:color w:val="000000" w:themeColor="text1"/>
          <w:sz w:val="32"/>
          <w:szCs w:val="32"/>
          <w14:textFill>
            <w14:solidFill>
              <w14:schemeClr w14:val="tx1"/>
            </w14:solidFill>
          </w14:textFill>
        </w:rPr>
        <w:t>、竞赛环境</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竞赛场地中的每个竞赛工位内设有操作平台。</w:t>
      </w:r>
    </w:p>
    <w:p>
      <w:pPr>
        <w:spacing w:line="560" w:lineRule="exact"/>
        <w:ind w:firstLine="560" w:firstLineChars="200"/>
        <w:rPr>
          <w:rFonts w:hint="eastAsia" w:ascii="仿宋" w:hAnsi="仿宋" w:eastAsia="仿宋" w:cs="仿宋_GB2312"/>
          <w:sz w:val="28"/>
          <w:szCs w:val="28"/>
          <w:lang w:eastAsia="zh-CN"/>
        </w:rPr>
      </w:pPr>
      <w:r>
        <w:rPr>
          <w:rFonts w:hint="eastAsia" w:ascii="仿宋" w:hAnsi="仿宋" w:eastAsia="仿宋" w:cs="仿宋_GB2312"/>
          <w:sz w:val="28"/>
          <w:szCs w:val="28"/>
        </w:rPr>
        <w:t>每个工位内，配有单独带漏电保护空气开关的220伏交流电源，工位内的电缆线应符合安全要求。每个竞赛工位按照</w:t>
      </w:r>
      <w:r>
        <w:rPr>
          <w:rFonts w:hint="eastAsia" w:ascii="仿宋" w:hAnsi="仿宋" w:eastAsia="仿宋" w:cs="仿宋_GB2312"/>
          <w:sz w:val="28"/>
          <w:szCs w:val="28"/>
          <w:lang w:val="en-US" w:eastAsia="zh-CN"/>
        </w:rPr>
        <w:t>600</w:t>
      </w:r>
      <w:r>
        <w:rPr>
          <w:rFonts w:hint="eastAsia" w:ascii="仿宋" w:hAnsi="仿宋" w:eastAsia="仿宋" w:cs="仿宋_GB2312"/>
          <w:sz w:val="28"/>
          <w:szCs w:val="28"/>
        </w:rPr>
        <w:t>W的用电负荷来规划准备。每个竞赛工位面积</w:t>
      </w:r>
      <w:r>
        <w:rPr>
          <w:rFonts w:hint="eastAsia" w:ascii="仿宋" w:hAnsi="仿宋" w:eastAsia="仿宋" w:cs="仿宋_GB2312"/>
          <w:sz w:val="28"/>
          <w:szCs w:val="28"/>
          <w:lang w:val="en-US" w:eastAsia="zh-CN"/>
        </w:rPr>
        <w:t>5</w:t>
      </w:r>
      <w:r>
        <w:rPr>
          <w:rFonts w:hint="eastAsia" w:ascii="仿宋" w:hAnsi="仿宋" w:eastAsia="仿宋" w:cs="仿宋_GB2312"/>
          <w:sz w:val="28"/>
          <w:szCs w:val="28"/>
        </w:rPr>
        <w:t>～</w:t>
      </w:r>
      <w:r>
        <w:rPr>
          <w:rFonts w:hint="eastAsia" w:ascii="仿宋" w:hAnsi="仿宋" w:eastAsia="仿宋" w:cs="仿宋_GB2312"/>
          <w:sz w:val="28"/>
          <w:szCs w:val="28"/>
          <w:lang w:val="en-US" w:eastAsia="zh-CN"/>
        </w:rPr>
        <w:t>6</w:t>
      </w:r>
      <w:r>
        <w:rPr>
          <w:rFonts w:hint="eastAsia" w:ascii="仿宋" w:hAnsi="仿宋" w:eastAsia="仿宋" w:cs="仿宋_GB2312"/>
          <w:sz w:val="28"/>
          <w:szCs w:val="28"/>
        </w:rPr>
        <w:t>㎡，工位之间由隔板隔开，以确保参赛队之间互不干扰。竞赛工位标明工位号，并配备竞赛平台和技术工作要求的软、硬件环境。环境标准要求保证赛场采光（大于500lux）、照明和通风良好，为每支参赛队提供笔、纸张等工具，提供饮用水，提供一个垃圾箱。竞赛全天使用内网进行比赛，不连接公网环境。</w:t>
      </w:r>
    </w:p>
    <w:p>
      <w:pPr>
        <w:pStyle w:val="5"/>
        <w:bidi w:val="0"/>
        <w:rPr>
          <w:rFonts w:hint="eastAsia" w:ascii="仿宋_GB2312" w:hAnsi="仿宋" w:eastAsia="仿宋_GB2312"/>
          <w:b/>
          <w:color w:val="000000" w:themeColor="text1"/>
          <w:sz w:val="32"/>
          <w:szCs w:val="32"/>
          <w14:textFill>
            <w14:solidFill>
              <w14:schemeClr w14:val="tx1"/>
            </w14:solidFill>
          </w14:textFill>
        </w:rPr>
      </w:pPr>
      <w:r>
        <w:rPr>
          <w:rFonts w:hint="eastAsia" w:ascii="仿宋_GB2312" w:hAnsi="仿宋" w:eastAsia="仿宋_GB2312"/>
          <w:b/>
          <w:color w:val="000000" w:themeColor="text1"/>
          <w:sz w:val="32"/>
          <w:szCs w:val="32"/>
          <w:lang w:val="en-US" w:eastAsia="zh-CN"/>
          <w14:textFill>
            <w14:solidFill>
              <w14:schemeClr w14:val="tx1"/>
            </w14:solidFill>
          </w14:textFill>
        </w:rPr>
        <w:t>九、</w:t>
      </w:r>
      <w:r>
        <w:rPr>
          <w:rFonts w:hint="eastAsia" w:ascii="仿宋_GB2312" w:hAnsi="仿宋" w:eastAsia="仿宋_GB2312"/>
          <w:b/>
          <w:color w:val="000000" w:themeColor="text1"/>
          <w:sz w:val="32"/>
          <w:szCs w:val="32"/>
          <w14:textFill>
            <w14:solidFill>
              <w14:schemeClr w14:val="tx1"/>
            </w14:solidFill>
          </w14:textFill>
        </w:rPr>
        <w:t>技术规范</w:t>
      </w:r>
    </w:p>
    <w:p>
      <w:pPr>
        <w:pStyle w:val="12"/>
        <w:ind w:firstLine="0"/>
        <w:rPr>
          <w:color w:val="000000" w:themeColor="text1"/>
          <w14:textFill>
            <w14:solidFill>
              <w14:schemeClr w14:val="tx1"/>
            </w14:solidFill>
          </w14:textFill>
        </w:rPr>
      </w:pPr>
    </w:p>
    <w:tbl>
      <w:tblPr>
        <w:tblStyle w:val="13"/>
        <w:tblW w:w="841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42"/>
        <w:gridCol w:w="2350"/>
        <w:gridCol w:w="512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942" w:type="dxa"/>
            <w:vAlign w:val="center"/>
          </w:tcPr>
          <w:p>
            <w:pPr>
              <w:widowControl/>
              <w:spacing w:line="360" w:lineRule="auto"/>
              <w:jc w:val="center"/>
              <w:textAlignment w:val="center"/>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序号</w:t>
            </w:r>
          </w:p>
        </w:tc>
        <w:tc>
          <w:tcPr>
            <w:tcW w:w="2350" w:type="dxa"/>
            <w:vAlign w:val="center"/>
          </w:tcPr>
          <w:p>
            <w:pPr>
              <w:widowControl/>
              <w:spacing w:line="360" w:lineRule="auto"/>
              <w:jc w:val="center"/>
              <w:textAlignment w:val="center"/>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标准号/规范简称</w:t>
            </w:r>
          </w:p>
        </w:tc>
        <w:tc>
          <w:tcPr>
            <w:tcW w:w="5122" w:type="dxa"/>
            <w:vAlign w:val="center"/>
          </w:tcPr>
          <w:p>
            <w:pPr>
              <w:widowControl/>
              <w:spacing w:line="360" w:lineRule="auto"/>
              <w:jc w:val="center"/>
              <w:textAlignment w:val="center"/>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名称</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942" w:type="dxa"/>
            <w:vAlign w:val="center"/>
          </w:tcPr>
          <w:p>
            <w:pPr>
              <w:widowControl/>
              <w:spacing w:line="360" w:lineRule="auto"/>
              <w:jc w:val="center"/>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w:t>
            </w:r>
          </w:p>
        </w:tc>
        <w:tc>
          <w:tcPr>
            <w:tcW w:w="2350"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fldChar w:fldCharType="begin"/>
            </w:r>
            <w:r>
              <w:instrText xml:space="preserve"> HYPERLINK "http://www.chinabyte.com/keyword/ISO/" \t "http://cio.chinabyte.com/277/_blank" </w:instrText>
            </w:r>
            <w:r>
              <w:fldChar w:fldCharType="separate"/>
            </w:r>
            <w:r>
              <w:rPr>
                <w:rFonts w:hint="eastAsia" w:ascii="仿宋" w:hAnsi="仿宋" w:eastAsia="仿宋" w:cs="仿宋"/>
                <w:bCs/>
                <w:color w:val="000000" w:themeColor="text1"/>
                <w:sz w:val="24"/>
                <w:szCs w:val="24"/>
                <w14:textFill>
                  <w14:solidFill>
                    <w14:schemeClr w14:val="tx1"/>
                  </w14:solidFill>
                </w14:textFill>
              </w:rPr>
              <w:t>ISO</w:t>
            </w:r>
            <w:r>
              <w:rPr>
                <w:rFonts w:hint="eastAsia" w:ascii="仿宋" w:hAnsi="仿宋" w:eastAsia="仿宋" w:cs="仿宋"/>
                <w:bCs/>
                <w:color w:val="000000" w:themeColor="text1"/>
                <w:sz w:val="24"/>
                <w:szCs w:val="24"/>
                <w14:textFill>
                  <w14:solidFill>
                    <w14:schemeClr w14:val="tx1"/>
                  </w14:solidFill>
                </w14:textFill>
              </w:rPr>
              <w:fldChar w:fldCharType="end"/>
            </w:r>
            <w:r>
              <w:rPr>
                <w:rFonts w:hint="eastAsia" w:ascii="仿宋" w:hAnsi="仿宋" w:eastAsia="仿宋" w:cs="仿宋"/>
                <w:bCs/>
                <w:color w:val="000000" w:themeColor="text1"/>
                <w:sz w:val="24"/>
                <w:szCs w:val="24"/>
                <w14:textFill>
                  <w14:solidFill>
                    <w14:schemeClr w14:val="tx1"/>
                  </w14:solidFill>
                </w14:textFill>
              </w:rPr>
              <w:t>/IEC 17788:2014</w:t>
            </w:r>
          </w:p>
        </w:tc>
        <w:tc>
          <w:tcPr>
            <w:tcW w:w="5122"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信息技术 云计算 概述和词汇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942" w:type="dxa"/>
            <w:vAlign w:val="center"/>
          </w:tcPr>
          <w:p>
            <w:pPr>
              <w:widowControl/>
              <w:spacing w:line="360" w:lineRule="auto"/>
              <w:jc w:val="center"/>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2</w:t>
            </w:r>
          </w:p>
        </w:tc>
        <w:tc>
          <w:tcPr>
            <w:tcW w:w="2350"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ISO/IEC 17789:2014</w:t>
            </w:r>
          </w:p>
        </w:tc>
        <w:tc>
          <w:tcPr>
            <w:tcW w:w="5122"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信息技术 云计算 参考架构</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942" w:type="dxa"/>
            <w:vAlign w:val="center"/>
          </w:tcPr>
          <w:p>
            <w:pPr>
              <w:widowControl/>
              <w:spacing w:line="360" w:lineRule="auto"/>
              <w:jc w:val="center"/>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3</w:t>
            </w:r>
          </w:p>
        </w:tc>
        <w:tc>
          <w:tcPr>
            <w:tcW w:w="2350"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GB/T 31167-2014</w:t>
            </w:r>
          </w:p>
        </w:tc>
        <w:tc>
          <w:tcPr>
            <w:tcW w:w="5122"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云计算服务安全指南</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942" w:type="dxa"/>
            <w:vAlign w:val="center"/>
          </w:tcPr>
          <w:p>
            <w:pPr>
              <w:widowControl/>
              <w:spacing w:line="360" w:lineRule="auto"/>
              <w:jc w:val="center"/>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4</w:t>
            </w:r>
          </w:p>
        </w:tc>
        <w:tc>
          <w:tcPr>
            <w:tcW w:w="2350"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GB/T 31168-2014 </w:t>
            </w:r>
          </w:p>
        </w:tc>
        <w:tc>
          <w:tcPr>
            <w:tcW w:w="5122"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信息安全技术 云计算服务安全能力要求</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942" w:type="dxa"/>
            <w:vAlign w:val="center"/>
          </w:tcPr>
          <w:p>
            <w:pPr>
              <w:widowControl/>
              <w:spacing w:line="360" w:lineRule="auto"/>
              <w:jc w:val="center"/>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5</w:t>
            </w:r>
          </w:p>
        </w:tc>
        <w:tc>
          <w:tcPr>
            <w:tcW w:w="2350"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GB/T 32400-2015</w:t>
            </w:r>
          </w:p>
        </w:tc>
        <w:tc>
          <w:tcPr>
            <w:tcW w:w="5122"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信息技术 云计算 概览和词汇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942" w:type="dxa"/>
            <w:vAlign w:val="center"/>
          </w:tcPr>
          <w:p>
            <w:pPr>
              <w:widowControl/>
              <w:spacing w:line="360" w:lineRule="auto"/>
              <w:jc w:val="center"/>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6</w:t>
            </w:r>
          </w:p>
        </w:tc>
        <w:tc>
          <w:tcPr>
            <w:tcW w:w="2350"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YD/T 2542-2013</w:t>
            </w:r>
          </w:p>
        </w:tc>
        <w:tc>
          <w:tcPr>
            <w:tcW w:w="5122"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电信互联网数据中心（IDC）总体技术要求</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942" w:type="dxa"/>
            <w:vAlign w:val="center"/>
          </w:tcPr>
          <w:p>
            <w:pPr>
              <w:widowControl/>
              <w:spacing w:line="360" w:lineRule="auto"/>
              <w:jc w:val="center"/>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7</w:t>
            </w:r>
          </w:p>
        </w:tc>
        <w:tc>
          <w:tcPr>
            <w:tcW w:w="2350"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YD/T 2441-2013</w:t>
            </w:r>
          </w:p>
        </w:tc>
        <w:tc>
          <w:tcPr>
            <w:tcW w:w="5122"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互联网数据中心技术及分级分类标准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942" w:type="dxa"/>
            <w:vAlign w:val="center"/>
          </w:tcPr>
          <w:p>
            <w:pPr>
              <w:widowControl/>
              <w:spacing w:line="360" w:lineRule="auto"/>
              <w:jc w:val="center"/>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8</w:t>
            </w:r>
          </w:p>
        </w:tc>
        <w:tc>
          <w:tcPr>
            <w:tcW w:w="2350"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YD/T 2442-2013</w:t>
            </w:r>
          </w:p>
        </w:tc>
        <w:tc>
          <w:tcPr>
            <w:tcW w:w="5122"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互联网数据中心资源占用、能效及排放技术要求和评测方法</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942" w:type="dxa"/>
            <w:vAlign w:val="center"/>
          </w:tcPr>
          <w:p>
            <w:pPr>
              <w:widowControl/>
              <w:spacing w:line="360" w:lineRule="auto"/>
              <w:jc w:val="center"/>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9</w:t>
            </w:r>
          </w:p>
        </w:tc>
        <w:tc>
          <w:tcPr>
            <w:tcW w:w="2350"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YD/T 2543-2013</w:t>
            </w:r>
          </w:p>
        </w:tc>
        <w:tc>
          <w:tcPr>
            <w:tcW w:w="5122"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电信互联网数据中心（IDC）的能耗测评方法</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942" w:type="dxa"/>
            <w:vAlign w:val="center"/>
          </w:tcPr>
          <w:p>
            <w:pPr>
              <w:widowControl/>
              <w:spacing w:line="360" w:lineRule="auto"/>
              <w:jc w:val="center"/>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10</w:t>
            </w:r>
          </w:p>
        </w:tc>
        <w:tc>
          <w:tcPr>
            <w:tcW w:w="2350"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ISO/IEC JTC 1/SC 32 N 2388b</w:t>
            </w:r>
          </w:p>
        </w:tc>
        <w:tc>
          <w:tcPr>
            <w:tcW w:w="5122"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数据管理和交互（Data Management and Interchange）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942" w:type="dxa"/>
            <w:vAlign w:val="center"/>
          </w:tcPr>
          <w:p>
            <w:pPr>
              <w:widowControl/>
              <w:spacing w:line="360" w:lineRule="auto"/>
              <w:jc w:val="center"/>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11</w:t>
            </w:r>
          </w:p>
        </w:tc>
        <w:tc>
          <w:tcPr>
            <w:tcW w:w="2350"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GB/T28821-1012</w:t>
            </w:r>
          </w:p>
        </w:tc>
        <w:tc>
          <w:tcPr>
            <w:tcW w:w="5122"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关系数据管理系统技术要求</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942" w:type="dxa"/>
            <w:vAlign w:val="center"/>
          </w:tcPr>
          <w:p>
            <w:pPr>
              <w:widowControl/>
              <w:spacing w:line="360" w:lineRule="auto"/>
              <w:jc w:val="center"/>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12</w:t>
            </w:r>
          </w:p>
        </w:tc>
        <w:tc>
          <w:tcPr>
            <w:tcW w:w="2350"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LD/T81.1-2006</w:t>
            </w:r>
          </w:p>
        </w:tc>
        <w:tc>
          <w:tcPr>
            <w:tcW w:w="5122" w:type="dxa"/>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职业技能实训和鉴定设备技术规范</w:t>
            </w:r>
          </w:p>
        </w:tc>
      </w:tr>
    </w:tbl>
    <w:p>
      <w:pPr>
        <w:pStyle w:val="5"/>
        <w:bidi w:val="0"/>
        <w:rPr>
          <w:rFonts w:hint="eastAsia" w:ascii="仿宋_GB2312" w:hAnsi="仿宋" w:eastAsia="仿宋_GB2312"/>
          <w:b/>
          <w:color w:val="000000" w:themeColor="text1"/>
          <w:sz w:val="32"/>
          <w:szCs w:val="32"/>
          <w:lang w:val="en-US" w:eastAsia="zh-CN"/>
          <w14:textFill>
            <w14:solidFill>
              <w14:schemeClr w14:val="tx1"/>
            </w14:solidFill>
          </w14:textFill>
        </w:rPr>
      </w:pPr>
      <w:r>
        <w:rPr>
          <w:rFonts w:hint="eastAsia" w:ascii="仿宋_GB2312" w:hAnsi="仿宋" w:eastAsia="仿宋_GB2312"/>
          <w:b/>
          <w:color w:val="000000" w:themeColor="text1"/>
          <w:sz w:val="32"/>
          <w:szCs w:val="32"/>
          <w:lang w:val="en-US" w:eastAsia="zh-CN"/>
          <w14:textFill>
            <w14:solidFill>
              <w14:schemeClr w14:val="tx1"/>
            </w14:solidFill>
          </w14:textFill>
        </w:rPr>
        <w:t>十、技术平台</w:t>
      </w:r>
    </w:p>
    <w:p>
      <w:pPr>
        <w:keepNext w:val="0"/>
        <w:keepLines w:val="0"/>
        <w:widowControl/>
        <w:suppressLineNumbers w:val="0"/>
        <w:jc w:val="left"/>
      </w:pPr>
      <w:r>
        <w:rPr>
          <w:rFonts w:ascii="仿宋_GB2312" w:hAnsi="仿宋_GB2312" w:eastAsia="仿宋_GB2312" w:cs="仿宋_GB2312"/>
          <w:color w:val="000000"/>
          <w:kern w:val="0"/>
          <w:sz w:val="28"/>
          <w:szCs w:val="28"/>
          <w:lang w:val="en-US" w:eastAsia="zh-CN" w:bidi="ar"/>
        </w:rPr>
        <w:t>竞赛实操环境使用集群模式，集群规模根据参赛队的数量构建，</w:t>
      </w:r>
    </w:p>
    <w:p>
      <w:pPr>
        <w:keepNext w:val="0"/>
        <w:keepLines w:val="0"/>
        <w:widowControl/>
        <w:suppressLineNumbers w:val="0"/>
        <w:jc w:val="left"/>
      </w:pPr>
      <w:r>
        <w:rPr>
          <w:rFonts w:ascii="仿宋_GB2312" w:hAnsi="仿宋_GB2312" w:eastAsia="仿宋_GB2312" w:cs="仿宋_GB2312"/>
          <w:color w:val="000000"/>
          <w:kern w:val="0"/>
          <w:sz w:val="28"/>
          <w:szCs w:val="28"/>
          <w:lang w:val="en-US" w:eastAsia="zh-CN" w:bidi="ar"/>
        </w:rPr>
        <w:t>各赛位通过网络进行连接访问。</w:t>
      </w:r>
    </w:p>
    <w:p>
      <w:pPr>
        <w:keepNext w:val="0"/>
        <w:keepLines w:val="0"/>
        <w:widowControl/>
        <w:suppressLineNumbers w:val="0"/>
        <w:jc w:val="left"/>
        <w:rPr>
          <w:rFonts w:ascii="仿宋_GB2312" w:hAnsi="仿宋_GB2312" w:eastAsia="仿宋_GB2312" w:cs="仿宋_GB2312"/>
          <w:color w:val="000000"/>
          <w:kern w:val="0"/>
          <w:sz w:val="28"/>
          <w:szCs w:val="28"/>
          <w:lang w:val="en-US" w:eastAsia="zh-CN" w:bidi="ar"/>
        </w:rPr>
      </w:pPr>
      <w:r>
        <w:rPr>
          <w:rFonts w:ascii="仿宋_GB2312" w:hAnsi="仿宋_GB2312" w:eastAsia="仿宋_GB2312" w:cs="仿宋_GB2312"/>
          <w:color w:val="000000"/>
          <w:kern w:val="0"/>
          <w:sz w:val="28"/>
          <w:szCs w:val="28"/>
          <w:lang w:val="en-US" w:eastAsia="zh-CN" w:bidi="ar"/>
        </w:rPr>
        <w:t>竞赛集群软、硬件建议配置如下（按照40个参赛队配置）：</w:t>
      </w:r>
    </w:p>
    <w:p>
      <w:pPr>
        <w:pStyle w:val="12"/>
        <w:ind w:left="0" w:leftChars="0" w:firstLine="0" w:firstLineChars="0"/>
      </w:pPr>
    </w:p>
    <w:tbl>
      <w:tblPr>
        <w:tblStyle w:val="21"/>
        <w:tblW w:w="7754" w:type="dxa"/>
        <w:tblInd w:w="39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09"/>
        <w:gridCol w:w="2474"/>
        <w:gridCol w:w="708"/>
        <w:gridCol w:w="326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1309" w:type="dxa"/>
            <w:vAlign w:val="top"/>
          </w:tcPr>
          <w:p>
            <w:pPr>
              <w:spacing w:before="115" w:line="184" w:lineRule="auto"/>
              <w:ind w:left="0" w:leftChars="0" w:firstLine="0" w:firstLineChars="0"/>
              <w:jc w:val="center"/>
              <w:rPr>
                <w:rFonts w:ascii="宋体" w:hAnsi="宋体" w:eastAsia="宋体" w:cs="宋体"/>
                <w:sz w:val="21"/>
                <w:szCs w:val="21"/>
              </w:rPr>
            </w:pPr>
            <w:r>
              <w:rPr>
                <w:rFonts w:ascii="宋体" w:hAnsi="宋体" w:eastAsia="宋体" w:cs="宋体"/>
                <w:spacing w:val="-4"/>
                <w:sz w:val="21"/>
                <w:szCs w:val="21"/>
                <w14:textOutline w14:w="3795" w14:cap="sq" w14:cmpd="sng">
                  <w14:solidFill>
                    <w14:srgbClr w14:val="000000"/>
                  </w14:solidFill>
                  <w14:prstDash w14:val="solid"/>
                  <w14:bevel/>
                </w14:textOutline>
              </w:rPr>
              <w:t>类别</w:t>
            </w:r>
          </w:p>
        </w:tc>
        <w:tc>
          <w:tcPr>
            <w:tcW w:w="2474" w:type="dxa"/>
            <w:vAlign w:val="top"/>
          </w:tcPr>
          <w:p>
            <w:pPr>
              <w:spacing w:before="115" w:line="184" w:lineRule="auto"/>
              <w:ind w:left="0" w:leftChars="0" w:firstLine="0" w:firstLineChars="0"/>
              <w:jc w:val="center"/>
              <w:rPr>
                <w:rFonts w:ascii="宋体" w:hAnsi="宋体" w:eastAsia="宋体" w:cs="宋体"/>
                <w:sz w:val="21"/>
                <w:szCs w:val="21"/>
              </w:rPr>
            </w:pPr>
            <w:r>
              <w:rPr>
                <w:rFonts w:ascii="宋体" w:hAnsi="宋体" w:eastAsia="宋体" w:cs="宋体"/>
                <w:spacing w:val="-6"/>
                <w:sz w:val="21"/>
                <w:szCs w:val="21"/>
                <w14:textOutline w14:w="3795" w14:cap="sq" w14:cmpd="sng">
                  <w14:solidFill>
                    <w14:srgbClr w14:val="000000"/>
                  </w14:solidFill>
                  <w14:prstDash w14:val="solid"/>
                  <w14:bevel/>
                </w14:textOutline>
              </w:rPr>
              <w:t>名称</w:t>
            </w:r>
          </w:p>
        </w:tc>
        <w:tc>
          <w:tcPr>
            <w:tcW w:w="708" w:type="dxa"/>
            <w:vAlign w:val="top"/>
          </w:tcPr>
          <w:p>
            <w:pPr>
              <w:spacing w:before="115" w:line="184" w:lineRule="auto"/>
              <w:ind w:left="0" w:leftChars="0" w:firstLine="0" w:firstLineChars="0"/>
              <w:jc w:val="center"/>
              <w:rPr>
                <w:rFonts w:ascii="宋体" w:hAnsi="宋体" w:eastAsia="宋体" w:cs="宋体"/>
                <w:sz w:val="21"/>
                <w:szCs w:val="21"/>
              </w:rPr>
            </w:pPr>
            <w:r>
              <w:rPr>
                <w:rFonts w:ascii="宋体" w:hAnsi="宋体" w:eastAsia="宋体" w:cs="宋体"/>
                <w:spacing w:val="-5"/>
                <w:sz w:val="21"/>
                <w:szCs w:val="21"/>
                <w14:textOutline w14:w="3795" w14:cap="sq" w14:cmpd="sng">
                  <w14:solidFill>
                    <w14:srgbClr w14:val="000000"/>
                  </w14:solidFill>
                  <w14:prstDash w14:val="solid"/>
                  <w14:bevel/>
                </w14:textOutline>
              </w:rPr>
              <w:t>数量</w:t>
            </w:r>
          </w:p>
        </w:tc>
        <w:tc>
          <w:tcPr>
            <w:tcW w:w="3263" w:type="dxa"/>
            <w:vAlign w:val="top"/>
          </w:tcPr>
          <w:p>
            <w:pPr>
              <w:spacing w:before="115" w:line="184" w:lineRule="auto"/>
              <w:ind w:left="0" w:leftChars="0" w:firstLine="0" w:firstLineChars="0"/>
              <w:jc w:val="center"/>
              <w:rPr>
                <w:rFonts w:ascii="宋体" w:hAnsi="宋体" w:eastAsia="宋体" w:cs="宋体"/>
                <w:sz w:val="21"/>
                <w:szCs w:val="21"/>
              </w:rPr>
            </w:pPr>
            <w:r>
              <w:rPr>
                <w:rFonts w:ascii="宋体" w:hAnsi="宋体" w:eastAsia="宋体" w:cs="宋体"/>
                <w:spacing w:val="-6"/>
                <w:sz w:val="21"/>
                <w:szCs w:val="21"/>
                <w14:textOutline w14:w="3795" w14:cap="sq" w14:cmpd="sng">
                  <w14:solidFill>
                    <w14:srgbClr w14:val="000000"/>
                  </w14:solidFill>
                  <w14:prstDash w14:val="solid"/>
                  <w14:bevel/>
                </w14:textOutli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309" w:type="dxa"/>
            <w:vMerge w:val="restart"/>
            <w:tcBorders>
              <w:bottom w:val="nil"/>
            </w:tcBorders>
            <w:vAlign w:val="center"/>
          </w:tcPr>
          <w:p>
            <w:pPr>
              <w:ind w:left="0" w:leftChars="0" w:firstLine="0" w:firstLineChars="0"/>
              <w:jc w:val="center"/>
              <w:rPr>
                <w:rFonts w:hint="eastAsia"/>
                <w:bCs/>
              </w:rPr>
            </w:pPr>
            <w:r>
              <w:rPr>
                <w:rFonts w:hint="eastAsia"/>
                <w:bCs/>
              </w:rPr>
              <w:t>硬件设备</w:t>
            </w:r>
          </w:p>
        </w:tc>
        <w:tc>
          <w:tcPr>
            <w:tcW w:w="2474" w:type="dxa"/>
            <w:vAlign w:val="center"/>
          </w:tcPr>
          <w:p>
            <w:pPr>
              <w:ind w:firstLine="480"/>
              <w:rPr>
                <w:rFonts w:hint="eastAsia"/>
                <w:bCs/>
              </w:rPr>
            </w:pPr>
            <w:r>
              <w:rPr>
                <w:rFonts w:hint="eastAsia"/>
                <w:bCs/>
              </w:rPr>
              <w:t>控制节点服务器</w:t>
            </w:r>
          </w:p>
        </w:tc>
        <w:tc>
          <w:tcPr>
            <w:tcW w:w="708" w:type="dxa"/>
            <w:vAlign w:val="center"/>
          </w:tcPr>
          <w:p>
            <w:pPr>
              <w:ind w:left="0" w:leftChars="0" w:firstLine="0" w:firstLineChars="0"/>
              <w:jc w:val="center"/>
              <w:rPr>
                <w:rFonts w:hint="eastAsia" w:eastAsia="宋体"/>
                <w:bCs/>
                <w:lang w:eastAsia="zh-CN"/>
              </w:rPr>
            </w:pPr>
            <w:r>
              <w:rPr>
                <w:rFonts w:hint="eastAsia"/>
                <w:bCs/>
                <w:lang w:val="en-US" w:eastAsia="zh-CN"/>
              </w:rPr>
              <w:t>1</w:t>
            </w:r>
          </w:p>
        </w:tc>
        <w:tc>
          <w:tcPr>
            <w:tcW w:w="3263" w:type="dxa"/>
            <w:vAlign w:val="top"/>
          </w:tcPr>
          <w:p>
            <w:pPr>
              <w:ind w:left="0" w:leftChars="0" w:firstLine="0" w:firstLineChars="0"/>
              <w:rPr>
                <w:rFonts w:hint="eastAsia"/>
                <w:bCs/>
              </w:rPr>
            </w:pPr>
            <w:r>
              <w:rPr>
                <w:rFonts w:hint="eastAsia"/>
                <w:bCs/>
              </w:rPr>
              <w:t>通用2U服务器，建议配置Intel Sliver系列CPU或以上，内存64G或以上，硬盘300G或以上。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309" w:type="dxa"/>
            <w:vMerge w:val="continue"/>
            <w:tcBorders>
              <w:top w:val="nil"/>
              <w:bottom w:val="nil"/>
            </w:tcBorders>
            <w:vAlign w:val="top"/>
          </w:tcPr>
          <w:p>
            <w:pPr>
              <w:ind w:firstLine="480"/>
              <w:rPr>
                <w:rFonts w:hint="eastAsia"/>
                <w:bCs/>
              </w:rPr>
            </w:pPr>
          </w:p>
        </w:tc>
        <w:tc>
          <w:tcPr>
            <w:tcW w:w="2474" w:type="dxa"/>
            <w:vAlign w:val="center"/>
          </w:tcPr>
          <w:p>
            <w:pPr>
              <w:ind w:firstLine="480"/>
              <w:rPr>
                <w:rFonts w:hint="eastAsia"/>
                <w:bCs/>
              </w:rPr>
            </w:pPr>
            <w:r>
              <w:rPr>
                <w:rFonts w:hint="eastAsia"/>
                <w:bCs/>
              </w:rPr>
              <w:t>计算节点服务器</w:t>
            </w:r>
          </w:p>
        </w:tc>
        <w:tc>
          <w:tcPr>
            <w:tcW w:w="708" w:type="dxa"/>
            <w:vAlign w:val="center"/>
          </w:tcPr>
          <w:p>
            <w:pPr>
              <w:ind w:left="0" w:leftChars="0" w:firstLine="0" w:firstLineChars="0"/>
              <w:jc w:val="center"/>
              <w:rPr>
                <w:rFonts w:hint="default" w:eastAsia="宋体"/>
                <w:bCs/>
                <w:lang w:val="en-US" w:eastAsia="zh-CN"/>
              </w:rPr>
            </w:pPr>
            <w:r>
              <w:rPr>
                <w:rFonts w:hint="eastAsia"/>
                <w:bCs/>
                <w:lang w:val="en-US" w:eastAsia="zh-CN"/>
              </w:rPr>
              <w:t>6</w:t>
            </w:r>
          </w:p>
        </w:tc>
        <w:tc>
          <w:tcPr>
            <w:tcW w:w="3263" w:type="dxa"/>
            <w:vAlign w:val="top"/>
          </w:tcPr>
          <w:p>
            <w:pPr>
              <w:ind w:left="0" w:leftChars="0" w:firstLine="0" w:firstLineChars="0"/>
              <w:rPr>
                <w:rFonts w:hint="eastAsia"/>
                <w:bCs/>
              </w:rPr>
            </w:pPr>
            <w:r>
              <w:rPr>
                <w:rFonts w:hint="eastAsia"/>
                <w:bCs/>
              </w:rPr>
              <w:t>通用2U服务器，建议配置Intel   Sliver系列CPU或以上，内存192G或以上，硬盘2T或以上。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3" w:hRule="atLeast"/>
        </w:trPr>
        <w:tc>
          <w:tcPr>
            <w:tcW w:w="1309" w:type="dxa"/>
            <w:vMerge w:val="continue"/>
            <w:tcBorders>
              <w:top w:val="nil"/>
            </w:tcBorders>
            <w:vAlign w:val="top"/>
          </w:tcPr>
          <w:p>
            <w:pPr>
              <w:ind w:firstLine="480"/>
              <w:rPr>
                <w:rFonts w:hint="eastAsia"/>
                <w:bCs/>
              </w:rPr>
            </w:pPr>
          </w:p>
        </w:tc>
        <w:tc>
          <w:tcPr>
            <w:tcW w:w="2474" w:type="dxa"/>
            <w:vAlign w:val="center"/>
          </w:tcPr>
          <w:p>
            <w:pPr>
              <w:ind w:firstLine="480"/>
              <w:rPr>
                <w:rFonts w:hint="eastAsia"/>
                <w:bCs/>
              </w:rPr>
            </w:pPr>
            <w:r>
              <w:rPr>
                <w:rFonts w:hint="eastAsia"/>
                <w:bCs/>
              </w:rPr>
              <w:t>路由交换模块</w:t>
            </w:r>
          </w:p>
        </w:tc>
        <w:tc>
          <w:tcPr>
            <w:tcW w:w="708" w:type="dxa"/>
            <w:vAlign w:val="center"/>
          </w:tcPr>
          <w:p>
            <w:pPr>
              <w:ind w:left="0" w:leftChars="0" w:firstLine="0" w:firstLineChars="0"/>
              <w:jc w:val="center"/>
              <w:rPr>
                <w:rFonts w:hint="eastAsia"/>
                <w:bCs/>
              </w:rPr>
            </w:pPr>
            <w:r>
              <w:rPr>
                <w:rFonts w:hint="eastAsia"/>
                <w:bCs/>
              </w:rPr>
              <w:t>1</w:t>
            </w:r>
          </w:p>
        </w:tc>
        <w:tc>
          <w:tcPr>
            <w:tcW w:w="3263" w:type="dxa"/>
            <w:vAlign w:val="top"/>
          </w:tcPr>
          <w:p>
            <w:pPr>
              <w:ind w:left="0" w:leftChars="0" w:firstLine="0" w:firstLineChars="0"/>
              <w:rPr>
                <w:rFonts w:hint="eastAsia"/>
                <w:bCs/>
              </w:rPr>
            </w:pPr>
            <w:r>
              <w:rPr>
                <w:rFonts w:hint="eastAsia"/>
                <w:bCs/>
              </w:rPr>
              <w:t>三层</w:t>
            </w:r>
            <w:r>
              <w:rPr>
                <w:rFonts w:hint="eastAsia"/>
                <w:bCs/>
              </w:rPr>
              <w:fldChar w:fldCharType="begin"/>
            </w:r>
            <w:r>
              <w:rPr>
                <w:rFonts w:hint="eastAsia"/>
                <w:bCs/>
              </w:rPr>
              <w:instrText xml:space="preserve"> HYPERLINK "https://detail.zol.com.cn/switches/s6074/" </w:instrText>
            </w:r>
            <w:r>
              <w:rPr>
                <w:rFonts w:hint="eastAsia"/>
                <w:bCs/>
              </w:rPr>
              <w:fldChar w:fldCharType="separate"/>
            </w:r>
            <w:r>
              <w:rPr>
                <w:rFonts w:hint="eastAsia"/>
                <w:bCs/>
              </w:rPr>
              <w:t>千兆以太网交换机</w:t>
            </w:r>
            <w:r>
              <w:rPr>
                <w:rFonts w:hint="eastAsia"/>
                <w:bCs/>
              </w:rPr>
              <w:fldChar w:fldCharType="end"/>
            </w:r>
            <w:r>
              <w:rPr>
                <w:rFonts w:hint="eastAsia"/>
                <w:bCs/>
              </w:rPr>
              <w:t>，建议配置千兆网口24个或以上，包转发率200Mpps或以上，支持arp 表大小2K或以上，支持三层 vlan数量2K或以上。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7" w:hRule="atLeast"/>
        </w:trPr>
        <w:tc>
          <w:tcPr>
            <w:tcW w:w="1309" w:type="dxa"/>
            <w:vAlign w:val="center"/>
          </w:tcPr>
          <w:p>
            <w:pPr>
              <w:ind w:left="0" w:leftChars="0" w:firstLine="0" w:firstLineChars="0"/>
              <w:jc w:val="center"/>
              <w:rPr>
                <w:rFonts w:hint="eastAsia"/>
                <w:bCs/>
              </w:rPr>
            </w:pPr>
            <w:r>
              <w:rPr>
                <w:rFonts w:hint="eastAsia"/>
                <w:bCs/>
              </w:rPr>
              <w:t>软件平台</w:t>
            </w:r>
          </w:p>
        </w:tc>
        <w:tc>
          <w:tcPr>
            <w:tcW w:w="2474" w:type="dxa"/>
            <w:vAlign w:val="center"/>
          </w:tcPr>
          <w:p>
            <w:pPr>
              <w:ind w:left="0" w:leftChars="0" w:firstLine="0" w:firstLineChars="0"/>
              <w:jc w:val="center"/>
              <w:rPr>
                <w:rFonts w:hint="eastAsia"/>
                <w:bCs/>
              </w:rPr>
            </w:pPr>
            <w:r>
              <w:rPr>
                <w:rFonts w:hint="eastAsia"/>
                <w:bCs/>
              </w:rPr>
              <w:t>云计算基础架构平台</w:t>
            </w:r>
          </w:p>
        </w:tc>
        <w:tc>
          <w:tcPr>
            <w:tcW w:w="708" w:type="dxa"/>
            <w:vAlign w:val="center"/>
          </w:tcPr>
          <w:p>
            <w:pPr>
              <w:ind w:left="0" w:leftChars="0" w:firstLine="0" w:firstLineChars="0"/>
              <w:jc w:val="center"/>
              <w:rPr>
                <w:rFonts w:hint="eastAsia"/>
                <w:bCs/>
              </w:rPr>
            </w:pPr>
            <w:r>
              <w:rPr>
                <w:rFonts w:hint="eastAsia"/>
                <w:bCs/>
              </w:rPr>
              <w:t>1</w:t>
            </w:r>
          </w:p>
        </w:tc>
        <w:tc>
          <w:tcPr>
            <w:tcW w:w="3263" w:type="dxa"/>
            <w:vAlign w:val="top"/>
          </w:tcPr>
          <w:p>
            <w:pPr>
              <w:ind w:left="0" w:leftChars="0" w:firstLine="0" w:firstLineChars="0"/>
              <w:rPr>
                <w:rFonts w:hint="eastAsia" w:eastAsia="仿宋"/>
                <w:bCs/>
                <w:lang w:eastAsia="zh-CN"/>
              </w:rPr>
            </w:pPr>
            <w:r>
              <w:rPr>
                <w:rFonts w:hint="eastAsia"/>
                <w:bCs/>
              </w:rPr>
              <w:t>云计算OpenStack基础架构平台，满足镜像上传、云主机类型定义、云网络创建、云主机创建、云硬盘 使用等功能</w:t>
            </w:r>
            <w:r>
              <w:rPr>
                <w:rFonts w:hint="eastAsia"/>
                <w:bCs/>
                <w:lang w:eastAsia="zh-CN"/>
              </w:rPr>
              <w:t>。</w:t>
            </w:r>
          </w:p>
        </w:tc>
      </w:tr>
    </w:tbl>
    <w:p>
      <w:pPr>
        <w:bidi w:val="0"/>
      </w:pPr>
      <w:r>
        <w:t>单个赛位软、硬件配置如下（按照 40 个参赛队配置</w:t>
      </w:r>
      <w:r>
        <w:rPr>
          <w:rFonts w:hint="eastAsia"/>
          <w:lang w:eastAsia="zh-CN"/>
        </w:rPr>
        <w:t>，</w:t>
      </w:r>
      <w:r>
        <w:rPr>
          <w:rFonts w:hint="eastAsia"/>
          <w:bCs/>
          <w:lang w:val="en-US" w:eastAsia="zh-CN"/>
        </w:rPr>
        <w:t>若队伍数量增加，可根据实际情况增加数量</w:t>
      </w:r>
      <w:r>
        <w:t>）：</w:t>
      </w:r>
    </w:p>
    <w:p>
      <w:pPr>
        <w:spacing w:line="165" w:lineRule="exact"/>
      </w:pPr>
    </w:p>
    <w:tbl>
      <w:tblPr>
        <w:tblStyle w:val="21"/>
        <w:tblW w:w="8505" w:type="dxa"/>
        <w:tblInd w:w="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26"/>
        <w:gridCol w:w="2557"/>
        <w:gridCol w:w="709"/>
        <w:gridCol w:w="3258"/>
        <w:gridCol w:w="75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1226" w:type="dxa"/>
            <w:vAlign w:val="top"/>
          </w:tcPr>
          <w:p>
            <w:pPr>
              <w:spacing w:before="116" w:line="184" w:lineRule="auto"/>
              <w:ind w:left="0" w:leftChars="0" w:firstLine="0" w:firstLineChars="0"/>
              <w:jc w:val="center"/>
              <w:rPr>
                <w:rFonts w:ascii="宋体" w:hAnsi="宋体" w:eastAsia="宋体" w:cs="宋体"/>
                <w:sz w:val="21"/>
                <w:szCs w:val="21"/>
              </w:rPr>
            </w:pPr>
            <w:r>
              <w:rPr>
                <w:rFonts w:ascii="宋体" w:hAnsi="宋体" w:eastAsia="宋体" w:cs="宋体"/>
                <w:spacing w:val="-4"/>
                <w:sz w:val="21"/>
                <w:szCs w:val="21"/>
                <w14:textOutline w14:w="3795" w14:cap="sq" w14:cmpd="sng">
                  <w14:solidFill>
                    <w14:srgbClr w14:val="000000"/>
                  </w14:solidFill>
                  <w14:prstDash w14:val="solid"/>
                  <w14:bevel/>
                </w14:textOutline>
              </w:rPr>
              <w:t>类别</w:t>
            </w:r>
          </w:p>
        </w:tc>
        <w:tc>
          <w:tcPr>
            <w:tcW w:w="2557" w:type="dxa"/>
            <w:vAlign w:val="top"/>
          </w:tcPr>
          <w:p>
            <w:pPr>
              <w:spacing w:before="116" w:line="184" w:lineRule="auto"/>
              <w:ind w:left="0" w:leftChars="0" w:firstLine="0" w:firstLineChars="0"/>
              <w:jc w:val="center"/>
              <w:rPr>
                <w:rFonts w:ascii="宋体" w:hAnsi="宋体" w:eastAsia="宋体" w:cs="宋体"/>
                <w:sz w:val="21"/>
                <w:szCs w:val="21"/>
              </w:rPr>
            </w:pPr>
            <w:r>
              <w:rPr>
                <w:rFonts w:ascii="宋体" w:hAnsi="宋体" w:eastAsia="宋体" w:cs="宋体"/>
                <w:spacing w:val="-6"/>
                <w:sz w:val="21"/>
                <w:szCs w:val="21"/>
                <w14:textOutline w14:w="3795" w14:cap="sq" w14:cmpd="sng">
                  <w14:solidFill>
                    <w14:srgbClr w14:val="000000"/>
                  </w14:solidFill>
                  <w14:prstDash w14:val="solid"/>
                  <w14:bevel/>
                </w14:textOutline>
              </w:rPr>
              <w:t>名称</w:t>
            </w:r>
          </w:p>
        </w:tc>
        <w:tc>
          <w:tcPr>
            <w:tcW w:w="709" w:type="dxa"/>
            <w:vAlign w:val="top"/>
          </w:tcPr>
          <w:p>
            <w:pPr>
              <w:spacing w:before="116" w:line="184" w:lineRule="auto"/>
              <w:ind w:left="0" w:leftChars="0" w:firstLine="0" w:firstLineChars="0"/>
              <w:jc w:val="center"/>
              <w:rPr>
                <w:rFonts w:ascii="宋体" w:hAnsi="宋体" w:eastAsia="宋体" w:cs="宋体"/>
                <w:sz w:val="21"/>
                <w:szCs w:val="21"/>
              </w:rPr>
            </w:pPr>
            <w:r>
              <w:rPr>
                <w:rFonts w:ascii="宋体" w:hAnsi="宋体" w:eastAsia="宋体" w:cs="宋体"/>
                <w:spacing w:val="-5"/>
                <w:sz w:val="21"/>
                <w:szCs w:val="21"/>
                <w14:textOutline w14:w="3795" w14:cap="sq" w14:cmpd="sng">
                  <w14:solidFill>
                    <w14:srgbClr w14:val="000000"/>
                  </w14:solidFill>
                  <w14:prstDash w14:val="solid"/>
                  <w14:bevel/>
                </w14:textOutline>
              </w:rPr>
              <w:t>数量</w:t>
            </w:r>
          </w:p>
        </w:tc>
        <w:tc>
          <w:tcPr>
            <w:tcW w:w="3258" w:type="dxa"/>
            <w:vAlign w:val="top"/>
          </w:tcPr>
          <w:p>
            <w:pPr>
              <w:spacing w:before="116" w:line="184" w:lineRule="auto"/>
              <w:ind w:left="0" w:leftChars="0" w:firstLine="0" w:firstLineChars="0"/>
              <w:jc w:val="center"/>
              <w:rPr>
                <w:rFonts w:ascii="宋体" w:hAnsi="宋体" w:eastAsia="宋体" w:cs="宋体"/>
                <w:sz w:val="21"/>
                <w:szCs w:val="21"/>
              </w:rPr>
            </w:pPr>
            <w:r>
              <w:rPr>
                <w:rFonts w:ascii="宋体" w:hAnsi="宋体" w:eastAsia="宋体" w:cs="宋体"/>
                <w:spacing w:val="-6"/>
                <w:sz w:val="21"/>
                <w:szCs w:val="21"/>
                <w14:textOutline w14:w="3795" w14:cap="sq" w14:cmpd="sng">
                  <w14:solidFill>
                    <w14:srgbClr w14:val="000000"/>
                  </w14:solidFill>
                  <w14:prstDash w14:val="solid"/>
                  <w14:bevel/>
                </w14:textOutline>
              </w:rPr>
              <w:t>备注</w:t>
            </w:r>
          </w:p>
        </w:tc>
        <w:tc>
          <w:tcPr>
            <w:tcW w:w="755" w:type="dxa"/>
            <w:vAlign w:val="top"/>
          </w:tcPr>
          <w:p>
            <w:pPr>
              <w:spacing w:before="116" w:line="184" w:lineRule="auto"/>
              <w:ind w:left="0" w:leftChars="0" w:firstLine="0" w:firstLineChars="0"/>
              <w:jc w:val="center"/>
              <w:rPr>
                <w:rFonts w:ascii="宋体" w:hAnsi="宋体" w:eastAsia="宋体" w:cs="宋体"/>
                <w:sz w:val="21"/>
                <w:szCs w:val="21"/>
              </w:rPr>
            </w:pPr>
            <w:r>
              <w:rPr>
                <w:rFonts w:ascii="宋体" w:hAnsi="宋体" w:eastAsia="宋体" w:cs="宋体"/>
                <w:spacing w:val="-7"/>
                <w:sz w:val="21"/>
                <w:szCs w:val="21"/>
                <w14:textOutline w14:w="3795" w14:cap="sq" w14:cmpd="sng">
                  <w14:solidFill>
                    <w14:srgbClr w14:val="000000"/>
                  </w14:solidFill>
                  <w14:prstDash w14:val="solid"/>
                  <w14:bevel/>
                </w14:textOutline>
              </w:rPr>
              <w:t>总数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226" w:type="dxa"/>
            <w:vMerge w:val="restart"/>
            <w:tcBorders>
              <w:bottom w:val="nil"/>
            </w:tcBorders>
            <w:vAlign w:val="center"/>
          </w:tcPr>
          <w:p>
            <w:pPr>
              <w:ind w:left="0" w:leftChars="0" w:firstLine="0" w:firstLineChars="0"/>
              <w:jc w:val="center"/>
              <w:rPr>
                <w:rFonts w:hint="eastAsia"/>
                <w:bCs/>
              </w:rPr>
            </w:pPr>
            <w:r>
              <w:rPr>
                <w:rFonts w:hint="eastAsia"/>
                <w:bCs/>
              </w:rPr>
              <w:t>硬件资源</w:t>
            </w:r>
          </w:p>
        </w:tc>
        <w:tc>
          <w:tcPr>
            <w:tcW w:w="2557" w:type="dxa"/>
            <w:vAlign w:val="center"/>
          </w:tcPr>
          <w:p>
            <w:pPr>
              <w:ind w:left="0" w:leftChars="0" w:firstLine="0" w:firstLineChars="0"/>
              <w:jc w:val="center"/>
              <w:rPr>
                <w:rFonts w:hint="eastAsia"/>
                <w:bCs/>
              </w:rPr>
            </w:pPr>
            <w:r>
              <w:rPr>
                <w:rFonts w:hint="eastAsia"/>
                <w:bCs/>
              </w:rPr>
              <w:t>云主机资源</w:t>
            </w:r>
          </w:p>
        </w:tc>
        <w:tc>
          <w:tcPr>
            <w:tcW w:w="709" w:type="dxa"/>
            <w:vAlign w:val="center"/>
          </w:tcPr>
          <w:p>
            <w:pPr>
              <w:ind w:left="0" w:leftChars="0" w:firstLine="0" w:firstLineChars="0"/>
              <w:jc w:val="center"/>
              <w:rPr>
                <w:rFonts w:hint="eastAsia"/>
                <w:bCs/>
              </w:rPr>
            </w:pPr>
            <w:r>
              <w:rPr>
                <w:rFonts w:hint="eastAsia"/>
                <w:bCs/>
              </w:rPr>
              <w:t>1</w:t>
            </w:r>
          </w:p>
        </w:tc>
        <w:tc>
          <w:tcPr>
            <w:tcW w:w="3258" w:type="dxa"/>
            <w:vAlign w:val="center"/>
          </w:tcPr>
          <w:p>
            <w:pPr>
              <w:ind w:left="0" w:leftChars="0" w:firstLine="0" w:firstLineChars="0"/>
              <w:jc w:val="both"/>
              <w:rPr>
                <w:rFonts w:hint="eastAsia"/>
                <w:bCs/>
                <w:lang w:eastAsia="zh-CN"/>
              </w:rPr>
            </w:pPr>
            <w:r>
              <w:rPr>
                <w:rFonts w:hint="eastAsia"/>
                <w:bCs/>
              </w:rPr>
              <w:t>独立云计算平台租户，资源配额不小于16个vCPUS、32G内存</w:t>
            </w:r>
            <w:r>
              <w:rPr>
                <w:rFonts w:hint="eastAsia"/>
                <w:bCs/>
                <w:lang w:eastAsia="zh-CN"/>
              </w:rPr>
              <w:t>。</w:t>
            </w:r>
          </w:p>
        </w:tc>
        <w:tc>
          <w:tcPr>
            <w:tcW w:w="755" w:type="dxa"/>
            <w:vAlign w:val="center"/>
          </w:tcPr>
          <w:p>
            <w:pPr>
              <w:ind w:left="0" w:leftChars="0" w:firstLine="0" w:firstLineChars="0"/>
              <w:jc w:val="center"/>
              <w:rPr>
                <w:rFonts w:hint="eastAsia"/>
                <w:bCs/>
              </w:rPr>
            </w:pPr>
            <w:r>
              <w:rPr>
                <w:rFonts w:hint="eastAsia"/>
                <w:bCs/>
              </w:rPr>
              <w:t>40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226" w:type="dxa"/>
            <w:vMerge w:val="continue"/>
            <w:tcBorders>
              <w:top w:val="nil"/>
            </w:tcBorders>
            <w:vAlign w:val="center"/>
          </w:tcPr>
          <w:p>
            <w:pPr>
              <w:ind w:left="0" w:leftChars="0" w:firstLine="0" w:firstLineChars="0"/>
              <w:jc w:val="center"/>
              <w:rPr>
                <w:rFonts w:hint="eastAsia"/>
                <w:bCs/>
              </w:rPr>
            </w:pPr>
          </w:p>
        </w:tc>
        <w:tc>
          <w:tcPr>
            <w:tcW w:w="2557" w:type="dxa"/>
            <w:vAlign w:val="center"/>
          </w:tcPr>
          <w:p>
            <w:pPr>
              <w:ind w:left="0" w:leftChars="0" w:firstLine="0" w:firstLineChars="0"/>
              <w:jc w:val="center"/>
              <w:rPr>
                <w:rFonts w:hint="eastAsia"/>
                <w:bCs/>
              </w:rPr>
            </w:pPr>
            <w:r>
              <w:rPr>
                <w:rFonts w:hint="eastAsia"/>
                <w:bCs/>
              </w:rPr>
              <w:t>PC 机</w:t>
            </w:r>
          </w:p>
        </w:tc>
        <w:tc>
          <w:tcPr>
            <w:tcW w:w="709" w:type="dxa"/>
            <w:vAlign w:val="center"/>
          </w:tcPr>
          <w:p>
            <w:pPr>
              <w:ind w:left="0" w:leftChars="0" w:firstLine="0" w:firstLineChars="0"/>
              <w:jc w:val="center"/>
              <w:rPr>
                <w:rFonts w:hint="eastAsia"/>
                <w:bCs/>
              </w:rPr>
            </w:pPr>
            <w:r>
              <w:rPr>
                <w:rFonts w:hint="eastAsia"/>
                <w:bCs/>
              </w:rPr>
              <w:t>1</w:t>
            </w:r>
          </w:p>
        </w:tc>
        <w:tc>
          <w:tcPr>
            <w:tcW w:w="3258" w:type="dxa"/>
            <w:vAlign w:val="center"/>
          </w:tcPr>
          <w:p>
            <w:pPr>
              <w:ind w:left="0" w:leftChars="0" w:firstLine="0" w:firstLineChars="0"/>
              <w:jc w:val="both"/>
              <w:rPr>
                <w:rFonts w:hint="eastAsia"/>
                <w:bCs/>
              </w:rPr>
            </w:pPr>
            <w:r>
              <w:rPr>
                <w:rFonts w:hint="eastAsia"/>
                <w:bCs/>
              </w:rPr>
              <w:t>通用设备，建议i5以上CPU或同性 能其他 CPU，内存8G 以上，SSD 硬盘 128G 以上</w:t>
            </w:r>
          </w:p>
        </w:tc>
        <w:tc>
          <w:tcPr>
            <w:tcW w:w="755" w:type="dxa"/>
            <w:vAlign w:val="center"/>
          </w:tcPr>
          <w:p>
            <w:pPr>
              <w:ind w:left="0" w:leftChars="0" w:firstLine="0" w:firstLineChars="0"/>
              <w:jc w:val="center"/>
              <w:rPr>
                <w:rFonts w:hint="eastAsia"/>
                <w:bCs/>
              </w:rPr>
            </w:pPr>
            <w:r>
              <w:rPr>
                <w:rFonts w:hint="eastAsia"/>
                <w:bCs/>
              </w:rPr>
              <w:t>40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226" w:type="dxa"/>
            <w:vMerge w:val="restart"/>
            <w:vAlign w:val="center"/>
          </w:tcPr>
          <w:p>
            <w:pPr>
              <w:ind w:left="0" w:leftChars="0" w:firstLine="0" w:firstLineChars="0"/>
              <w:jc w:val="center"/>
              <w:rPr>
                <w:rFonts w:hint="eastAsia"/>
                <w:bCs/>
              </w:rPr>
            </w:pPr>
            <w:r>
              <w:rPr>
                <w:rFonts w:hint="eastAsia"/>
                <w:bCs/>
              </w:rPr>
              <w:t>软件资源</w:t>
            </w:r>
          </w:p>
        </w:tc>
        <w:tc>
          <w:tcPr>
            <w:tcW w:w="2557" w:type="dxa"/>
            <w:vAlign w:val="center"/>
          </w:tcPr>
          <w:p>
            <w:pPr>
              <w:ind w:left="0" w:leftChars="0" w:firstLine="0" w:firstLineChars="0"/>
              <w:jc w:val="both"/>
              <w:rPr>
                <w:rFonts w:hint="eastAsia"/>
                <w:bCs/>
              </w:rPr>
            </w:pPr>
            <w:r>
              <w:rPr>
                <w:rFonts w:hint="eastAsia"/>
                <w:bCs/>
              </w:rPr>
              <w:t>华为云、阿里云、腾讯云任一 公有云</w:t>
            </w:r>
          </w:p>
        </w:tc>
        <w:tc>
          <w:tcPr>
            <w:tcW w:w="709" w:type="dxa"/>
            <w:vAlign w:val="center"/>
          </w:tcPr>
          <w:p>
            <w:pPr>
              <w:ind w:left="0" w:leftChars="0" w:firstLine="0" w:firstLineChars="0"/>
              <w:jc w:val="center"/>
              <w:rPr>
                <w:rFonts w:hint="eastAsia"/>
                <w:bCs/>
              </w:rPr>
            </w:pPr>
          </w:p>
        </w:tc>
        <w:tc>
          <w:tcPr>
            <w:tcW w:w="3258" w:type="dxa"/>
            <w:vAlign w:val="center"/>
          </w:tcPr>
          <w:p>
            <w:pPr>
              <w:ind w:left="0" w:leftChars="0" w:firstLine="0" w:firstLineChars="0"/>
              <w:jc w:val="center"/>
              <w:rPr>
                <w:rFonts w:hint="eastAsia"/>
                <w:bCs/>
              </w:rPr>
            </w:pPr>
            <w:r>
              <w:rPr>
                <w:rFonts w:hint="eastAsia"/>
                <w:bCs/>
              </w:rPr>
              <w:t>提供账号</w:t>
            </w:r>
          </w:p>
        </w:tc>
        <w:tc>
          <w:tcPr>
            <w:tcW w:w="755" w:type="dxa"/>
            <w:vAlign w:val="center"/>
          </w:tcPr>
          <w:p>
            <w:pPr>
              <w:ind w:left="0" w:leftChars="0" w:firstLine="0" w:firstLineChars="0"/>
              <w:jc w:val="center"/>
              <w:rPr>
                <w:rFonts w:hint="eastAsia"/>
                <w:bCs/>
              </w:rPr>
            </w:pPr>
            <w:r>
              <w:rPr>
                <w:rFonts w:hint="eastAsia"/>
                <w:bCs/>
              </w:rPr>
              <w:t>40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226" w:type="dxa"/>
            <w:vMerge w:val="continue"/>
            <w:vAlign w:val="center"/>
          </w:tcPr>
          <w:p>
            <w:pPr>
              <w:ind w:left="0" w:leftChars="0" w:firstLine="0" w:firstLineChars="0"/>
              <w:jc w:val="center"/>
              <w:rPr>
                <w:rFonts w:hint="eastAsia"/>
                <w:bCs/>
              </w:rPr>
            </w:pPr>
          </w:p>
        </w:tc>
        <w:tc>
          <w:tcPr>
            <w:tcW w:w="2557" w:type="dxa"/>
            <w:vAlign w:val="center"/>
          </w:tcPr>
          <w:p>
            <w:pPr>
              <w:ind w:left="0" w:leftChars="0" w:firstLine="0" w:firstLineChars="0"/>
              <w:jc w:val="center"/>
              <w:rPr>
                <w:rFonts w:hint="eastAsia"/>
                <w:bCs/>
              </w:rPr>
            </w:pPr>
            <w:r>
              <w:rPr>
                <w:rFonts w:hint="eastAsia"/>
                <w:bCs/>
              </w:rPr>
              <w:t>OpenStack云平台软件包</w:t>
            </w:r>
          </w:p>
        </w:tc>
        <w:tc>
          <w:tcPr>
            <w:tcW w:w="709" w:type="dxa"/>
            <w:vAlign w:val="center"/>
          </w:tcPr>
          <w:p>
            <w:pPr>
              <w:ind w:left="0" w:leftChars="0" w:firstLine="0" w:firstLineChars="0"/>
              <w:jc w:val="center"/>
              <w:rPr>
                <w:rFonts w:hint="eastAsia"/>
                <w:bCs/>
              </w:rPr>
            </w:pPr>
            <w:r>
              <w:rPr>
                <w:rFonts w:hint="eastAsia"/>
                <w:bCs/>
              </w:rPr>
              <w:t>1</w:t>
            </w:r>
          </w:p>
        </w:tc>
        <w:tc>
          <w:tcPr>
            <w:tcW w:w="3258" w:type="dxa"/>
            <w:vAlign w:val="center"/>
          </w:tcPr>
          <w:p>
            <w:pPr>
              <w:ind w:left="0" w:leftChars="0" w:firstLine="0" w:firstLineChars="0"/>
              <w:jc w:val="both"/>
              <w:rPr>
                <w:rFonts w:hint="eastAsia"/>
                <w:bCs/>
              </w:rPr>
            </w:pPr>
            <w:r>
              <w:rPr>
                <w:rFonts w:hint="eastAsia"/>
                <w:bCs/>
              </w:rPr>
              <w:t>包含 OpenStack 离线安装 包、qcow2镜像文件等</w:t>
            </w:r>
          </w:p>
        </w:tc>
        <w:tc>
          <w:tcPr>
            <w:tcW w:w="755" w:type="dxa"/>
            <w:vAlign w:val="center"/>
          </w:tcPr>
          <w:p>
            <w:pPr>
              <w:ind w:left="0" w:leftChars="0" w:firstLine="0" w:firstLineChars="0"/>
              <w:jc w:val="center"/>
              <w:rPr>
                <w:rFonts w:hint="eastAsia"/>
                <w:bCs/>
              </w:rPr>
            </w:pPr>
            <w:r>
              <w:rPr>
                <w:rFonts w:hint="eastAsia"/>
                <w:bCs/>
              </w:rPr>
              <w:t>40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rPr>
        <w:tc>
          <w:tcPr>
            <w:tcW w:w="1226" w:type="dxa"/>
            <w:vMerge w:val="continue"/>
            <w:vAlign w:val="center"/>
          </w:tcPr>
          <w:p>
            <w:pPr>
              <w:ind w:left="0" w:leftChars="0" w:firstLine="0" w:firstLineChars="0"/>
              <w:jc w:val="center"/>
              <w:rPr>
                <w:rFonts w:hint="eastAsia"/>
                <w:bCs/>
              </w:rPr>
            </w:pPr>
          </w:p>
        </w:tc>
        <w:tc>
          <w:tcPr>
            <w:tcW w:w="2557" w:type="dxa"/>
            <w:vAlign w:val="center"/>
          </w:tcPr>
          <w:p>
            <w:pPr>
              <w:ind w:left="0" w:leftChars="0" w:firstLine="0" w:firstLineChars="0"/>
              <w:jc w:val="center"/>
              <w:rPr>
                <w:rFonts w:hint="eastAsia"/>
                <w:bCs/>
              </w:rPr>
            </w:pPr>
            <w:r>
              <w:rPr>
                <w:rFonts w:hint="eastAsia"/>
                <w:bCs/>
              </w:rPr>
              <w:t>容器云平台软件包</w:t>
            </w:r>
          </w:p>
        </w:tc>
        <w:tc>
          <w:tcPr>
            <w:tcW w:w="709" w:type="dxa"/>
            <w:vAlign w:val="center"/>
          </w:tcPr>
          <w:p>
            <w:pPr>
              <w:ind w:left="0" w:leftChars="0" w:firstLine="0" w:firstLineChars="0"/>
              <w:jc w:val="center"/>
              <w:rPr>
                <w:rFonts w:hint="eastAsia"/>
                <w:bCs/>
              </w:rPr>
            </w:pPr>
            <w:r>
              <w:rPr>
                <w:rFonts w:hint="eastAsia"/>
                <w:bCs/>
              </w:rPr>
              <w:t>1</w:t>
            </w:r>
          </w:p>
        </w:tc>
        <w:tc>
          <w:tcPr>
            <w:tcW w:w="3258" w:type="dxa"/>
            <w:vAlign w:val="center"/>
          </w:tcPr>
          <w:p>
            <w:pPr>
              <w:ind w:left="0" w:leftChars="0" w:firstLine="0" w:firstLineChars="0"/>
              <w:jc w:val="both"/>
              <w:rPr>
                <w:rFonts w:hint="eastAsia"/>
                <w:bCs/>
              </w:rPr>
            </w:pPr>
            <w:r>
              <w:rPr>
                <w:rFonts w:hint="eastAsia"/>
                <w:bCs/>
              </w:rPr>
              <w:t>包含DockerCE、Docker compose、Kubernates等离线安装包，nginx、mysql、centos、apache、lnmp、wordpress等容器镜像，竞赛所需应用软件包</w:t>
            </w:r>
          </w:p>
        </w:tc>
        <w:tc>
          <w:tcPr>
            <w:tcW w:w="755" w:type="dxa"/>
            <w:vAlign w:val="center"/>
          </w:tcPr>
          <w:p>
            <w:pPr>
              <w:ind w:left="0" w:leftChars="0" w:firstLine="0" w:firstLineChars="0"/>
              <w:jc w:val="center"/>
              <w:rPr>
                <w:rFonts w:hint="eastAsia"/>
                <w:bCs/>
              </w:rPr>
            </w:pPr>
            <w:r>
              <w:rPr>
                <w:rFonts w:hint="eastAsia"/>
                <w:bCs/>
              </w:rPr>
              <w:t>40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1226" w:type="dxa"/>
            <w:vMerge w:val="continue"/>
            <w:vAlign w:val="center"/>
          </w:tcPr>
          <w:p>
            <w:pPr>
              <w:ind w:left="0" w:leftChars="0" w:firstLine="0" w:firstLineChars="0"/>
              <w:jc w:val="center"/>
              <w:rPr>
                <w:rFonts w:hint="eastAsia"/>
                <w:bCs/>
              </w:rPr>
            </w:pPr>
          </w:p>
        </w:tc>
        <w:tc>
          <w:tcPr>
            <w:tcW w:w="2557" w:type="dxa"/>
            <w:vAlign w:val="center"/>
          </w:tcPr>
          <w:p>
            <w:pPr>
              <w:ind w:left="0" w:leftChars="0" w:firstLine="0" w:firstLineChars="0"/>
              <w:jc w:val="center"/>
              <w:rPr>
                <w:rFonts w:hint="eastAsia"/>
                <w:bCs/>
              </w:rPr>
            </w:pPr>
            <w:r>
              <w:rPr>
                <w:rFonts w:hint="eastAsia"/>
                <w:bCs/>
              </w:rPr>
              <w:t>公有云竞赛软件包</w:t>
            </w:r>
          </w:p>
        </w:tc>
        <w:tc>
          <w:tcPr>
            <w:tcW w:w="709" w:type="dxa"/>
            <w:vAlign w:val="center"/>
          </w:tcPr>
          <w:p>
            <w:pPr>
              <w:ind w:left="0" w:leftChars="0" w:firstLine="0" w:firstLineChars="0"/>
              <w:jc w:val="center"/>
              <w:rPr>
                <w:rFonts w:hint="eastAsia"/>
                <w:bCs/>
              </w:rPr>
            </w:pPr>
            <w:r>
              <w:rPr>
                <w:rFonts w:hint="eastAsia"/>
                <w:bCs/>
              </w:rPr>
              <w:t>1</w:t>
            </w:r>
          </w:p>
        </w:tc>
        <w:tc>
          <w:tcPr>
            <w:tcW w:w="3258" w:type="dxa"/>
            <w:vAlign w:val="center"/>
          </w:tcPr>
          <w:p>
            <w:pPr>
              <w:ind w:left="0" w:leftChars="0" w:firstLine="0" w:firstLineChars="0"/>
              <w:jc w:val="both"/>
              <w:rPr>
                <w:rFonts w:hint="eastAsia"/>
                <w:bCs/>
              </w:rPr>
            </w:pPr>
            <w:r>
              <w:rPr>
                <w:rFonts w:hint="eastAsia"/>
                <w:bCs/>
              </w:rPr>
              <w:t>包含公有云平台部署的应用软件包</w:t>
            </w:r>
          </w:p>
        </w:tc>
        <w:tc>
          <w:tcPr>
            <w:tcW w:w="755" w:type="dxa"/>
            <w:vAlign w:val="center"/>
          </w:tcPr>
          <w:p>
            <w:pPr>
              <w:ind w:left="0" w:leftChars="0" w:firstLine="0" w:firstLineChars="0"/>
              <w:jc w:val="center"/>
              <w:rPr>
                <w:rFonts w:hint="eastAsia"/>
                <w:bCs/>
              </w:rPr>
            </w:pPr>
            <w:r>
              <w:rPr>
                <w:rFonts w:hint="eastAsia"/>
                <w:bCs/>
              </w:rPr>
              <w:t>40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226" w:type="dxa"/>
            <w:vAlign w:val="center"/>
          </w:tcPr>
          <w:p>
            <w:pPr>
              <w:ind w:left="0" w:leftChars="0" w:firstLine="0" w:firstLineChars="0"/>
              <w:jc w:val="center"/>
              <w:rPr>
                <w:rFonts w:hint="eastAsia"/>
                <w:bCs/>
              </w:rPr>
            </w:pPr>
            <w:r>
              <w:rPr>
                <w:rFonts w:hint="eastAsia"/>
                <w:bCs/>
              </w:rPr>
              <w:t>平台资源</w:t>
            </w:r>
          </w:p>
        </w:tc>
        <w:tc>
          <w:tcPr>
            <w:tcW w:w="2557" w:type="dxa"/>
            <w:vAlign w:val="center"/>
          </w:tcPr>
          <w:p>
            <w:pPr>
              <w:ind w:left="0" w:leftChars="0" w:firstLine="0" w:firstLineChars="0"/>
              <w:jc w:val="center"/>
              <w:rPr>
                <w:rFonts w:hint="eastAsia"/>
                <w:bCs/>
              </w:rPr>
            </w:pPr>
            <w:r>
              <w:rPr>
                <w:rFonts w:hint="eastAsia"/>
                <w:bCs/>
              </w:rPr>
              <w:t>云计算竞赛管理平台</w:t>
            </w:r>
          </w:p>
        </w:tc>
        <w:tc>
          <w:tcPr>
            <w:tcW w:w="709" w:type="dxa"/>
            <w:vAlign w:val="center"/>
          </w:tcPr>
          <w:p>
            <w:pPr>
              <w:ind w:left="0" w:leftChars="0" w:firstLine="0" w:firstLineChars="0"/>
              <w:jc w:val="center"/>
              <w:rPr>
                <w:rFonts w:hint="eastAsia"/>
                <w:bCs/>
              </w:rPr>
            </w:pPr>
            <w:r>
              <w:rPr>
                <w:rFonts w:hint="eastAsia"/>
                <w:bCs/>
              </w:rPr>
              <w:t>1</w:t>
            </w:r>
          </w:p>
        </w:tc>
        <w:tc>
          <w:tcPr>
            <w:tcW w:w="3258" w:type="dxa"/>
            <w:vAlign w:val="center"/>
          </w:tcPr>
          <w:p>
            <w:pPr>
              <w:ind w:left="0" w:leftChars="0" w:firstLine="0" w:firstLineChars="0"/>
              <w:jc w:val="center"/>
              <w:rPr>
                <w:rFonts w:hint="eastAsia"/>
                <w:bCs/>
              </w:rPr>
            </w:pPr>
            <w:r>
              <w:rPr>
                <w:rFonts w:hint="eastAsia"/>
                <w:bCs/>
              </w:rPr>
              <w:t>支持自动评分</w:t>
            </w:r>
          </w:p>
        </w:tc>
        <w:tc>
          <w:tcPr>
            <w:tcW w:w="755" w:type="dxa"/>
            <w:vAlign w:val="center"/>
          </w:tcPr>
          <w:p>
            <w:pPr>
              <w:ind w:left="0" w:leftChars="0" w:firstLine="0" w:firstLineChars="0"/>
              <w:jc w:val="center"/>
              <w:rPr>
                <w:rFonts w:hint="eastAsia"/>
                <w:bCs/>
              </w:rPr>
            </w:pPr>
            <w:r>
              <w:rPr>
                <w:rFonts w:hint="eastAsia"/>
                <w:bCs/>
              </w:rPr>
              <w:t>1</w:t>
            </w:r>
          </w:p>
        </w:tc>
      </w:tr>
    </w:tbl>
    <w:p>
      <w:pPr>
        <w:bidi w:val="0"/>
        <w:rPr>
          <w:rFonts w:hint="eastAsia"/>
        </w:rPr>
      </w:pPr>
      <w:r>
        <w:rPr>
          <w:rFonts w:hint="eastAsia"/>
        </w:rPr>
        <w:t>通用软件和工具清单：</w:t>
      </w:r>
    </w:p>
    <w:p>
      <w:pPr>
        <w:spacing w:line="65" w:lineRule="exact"/>
      </w:pPr>
    </w:p>
    <w:tbl>
      <w:tblPr>
        <w:tblStyle w:val="21"/>
        <w:tblW w:w="8532" w:type="dxa"/>
        <w:tblInd w:w="19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6"/>
        <w:gridCol w:w="3097"/>
        <w:gridCol w:w="448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946" w:type="dxa"/>
            <w:vAlign w:val="top"/>
          </w:tcPr>
          <w:p>
            <w:pPr>
              <w:spacing w:before="55" w:line="184" w:lineRule="auto"/>
              <w:ind w:left="0" w:leftChars="0" w:firstLine="0" w:firstLineChars="0"/>
              <w:jc w:val="center"/>
              <w:rPr>
                <w:rFonts w:ascii="宋体" w:hAnsi="宋体" w:eastAsia="宋体" w:cs="宋体"/>
                <w:sz w:val="21"/>
                <w:szCs w:val="21"/>
              </w:rPr>
            </w:pPr>
            <w:r>
              <w:rPr>
                <w:rFonts w:ascii="宋体" w:hAnsi="宋体" w:eastAsia="宋体" w:cs="宋体"/>
                <w:spacing w:val="-4"/>
                <w:sz w:val="21"/>
                <w:szCs w:val="21"/>
                <w14:textOutline w14:w="3795" w14:cap="sq" w14:cmpd="sng">
                  <w14:solidFill>
                    <w14:srgbClr w14:val="000000"/>
                  </w14:solidFill>
                  <w14:prstDash w14:val="solid"/>
                  <w14:bevel/>
                </w14:textOutline>
              </w:rPr>
              <w:t>序号</w:t>
            </w:r>
          </w:p>
        </w:tc>
        <w:tc>
          <w:tcPr>
            <w:tcW w:w="3097" w:type="dxa"/>
            <w:vAlign w:val="top"/>
          </w:tcPr>
          <w:p>
            <w:pPr>
              <w:spacing w:before="55" w:line="184" w:lineRule="auto"/>
              <w:ind w:left="0" w:leftChars="0" w:firstLine="0" w:firstLineChars="0"/>
              <w:jc w:val="center"/>
              <w:rPr>
                <w:rFonts w:ascii="宋体" w:hAnsi="宋体" w:eastAsia="宋体" w:cs="宋体"/>
                <w:sz w:val="21"/>
                <w:szCs w:val="21"/>
              </w:rPr>
            </w:pPr>
            <w:r>
              <w:rPr>
                <w:rFonts w:ascii="宋体" w:hAnsi="宋体" w:eastAsia="宋体" w:cs="宋体"/>
                <w:spacing w:val="-6"/>
                <w:sz w:val="21"/>
                <w:szCs w:val="21"/>
                <w14:textOutline w14:w="3795" w14:cap="sq" w14:cmpd="sng">
                  <w14:solidFill>
                    <w14:srgbClr w14:val="000000"/>
                  </w14:solidFill>
                  <w14:prstDash w14:val="solid"/>
                  <w14:bevel/>
                </w14:textOutline>
              </w:rPr>
              <w:t>软件</w:t>
            </w:r>
          </w:p>
        </w:tc>
        <w:tc>
          <w:tcPr>
            <w:tcW w:w="4489" w:type="dxa"/>
            <w:vAlign w:val="top"/>
          </w:tcPr>
          <w:p>
            <w:pPr>
              <w:spacing w:before="55" w:line="184" w:lineRule="auto"/>
              <w:ind w:left="0" w:leftChars="0" w:firstLine="0" w:firstLineChars="0"/>
              <w:jc w:val="center"/>
              <w:rPr>
                <w:rFonts w:ascii="宋体" w:hAnsi="宋体" w:eastAsia="宋体" w:cs="宋体"/>
                <w:sz w:val="21"/>
                <w:szCs w:val="21"/>
              </w:rPr>
            </w:pPr>
            <w:r>
              <w:rPr>
                <w:rFonts w:ascii="宋体" w:hAnsi="宋体" w:eastAsia="宋体" w:cs="宋体"/>
                <w:spacing w:val="-4"/>
                <w:sz w:val="21"/>
                <w:szCs w:val="21"/>
                <w14:textOutline w14:w="3795" w14:cap="sq" w14:cmpd="sng">
                  <w14:solidFill>
                    <w14:srgbClr w14:val="000000"/>
                  </w14:solidFill>
                  <w14:prstDash w14:val="solid"/>
                  <w14:bevel/>
                </w14:textOutline>
              </w:rPr>
              <w:t>介绍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946" w:type="dxa"/>
            <w:vAlign w:val="center"/>
          </w:tcPr>
          <w:p>
            <w:pPr>
              <w:bidi w:val="0"/>
              <w:ind w:left="0" w:leftChars="0" w:firstLine="0" w:firstLineChars="0"/>
              <w:jc w:val="center"/>
              <w:rPr>
                <w:rFonts w:hint="eastAsia"/>
              </w:rPr>
            </w:pPr>
            <w:r>
              <w:rPr>
                <w:rFonts w:hint="eastAsia"/>
              </w:rPr>
              <w:t>1</w:t>
            </w:r>
          </w:p>
        </w:tc>
        <w:tc>
          <w:tcPr>
            <w:tcW w:w="3097" w:type="dxa"/>
            <w:vAlign w:val="center"/>
          </w:tcPr>
          <w:p>
            <w:pPr>
              <w:bidi w:val="0"/>
              <w:ind w:left="0" w:leftChars="0" w:firstLine="0" w:firstLineChars="0"/>
              <w:jc w:val="center"/>
              <w:rPr>
                <w:rFonts w:hint="eastAsia"/>
              </w:rPr>
            </w:pPr>
            <w:r>
              <w:rPr>
                <w:rFonts w:hint="eastAsia"/>
              </w:rPr>
              <w:t>Windows</w:t>
            </w:r>
          </w:p>
        </w:tc>
        <w:tc>
          <w:tcPr>
            <w:tcW w:w="4489" w:type="dxa"/>
            <w:vAlign w:val="top"/>
          </w:tcPr>
          <w:p>
            <w:pPr>
              <w:bidi w:val="0"/>
              <w:ind w:left="0" w:leftChars="0" w:firstLine="0" w:firstLineChars="0"/>
              <w:rPr>
                <w:rFonts w:hint="eastAsia"/>
              </w:rPr>
            </w:pPr>
            <w:r>
              <w:rPr>
                <w:rFonts w:hint="eastAsia"/>
              </w:rPr>
              <w:t>操作系统 windows7 或 windows 10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946" w:type="dxa"/>
            <w:vAlign w:val="center"/>
          </w:tcPr>
          <w:p>
            <w:pPr>
              <w:bidi w:val="0"/>
              <w:ind w:left="0" w:leftChars="0" w:firstLine="0" w:firstLineChars="0"/>
              <w:jc w:val="center"/>
              <w:rPr>
                <w:rFonts w:hint="eastAsia"/>
              </w:rPr>
            </w:pPr>
            <w:r>
              <w:rPr>
                <w:rFonts w:hint="eastAsia"/>
              </w:rPr>
              <w:t>2</w:t>
            </w:r>
          </w:p>
        </w:tc>
        <w:tc>
          <w:tcPr>
            <w:tcW w:w="3097" w:type="dxa"/>
            <w:vAlign w:val="center"/>
          </w:tcPr>
          <w:p>
            <w:pPr>
              <w:bidi w:val="0"/>
              <w:ind w:left="0" w:leftChars="0" w:firstLine="0" w:firstLineChars="0"/>
              <w:jc w:val="center"/>
              <w:rPr>
                <w:rFonts w:hint="eastAsia"/>
              </w:rPr>
            </w:pPr>
            <w:r>
              <w:rPr>
                <w:rFonts w:hint="eastAsia"/>
              </w:rPr>
              <w:t>SecureCRT v7.0 试用版</w:t>
            </w:r>
          </w:p>
        </w:tc>
        <w:tc>
          <w:tcPr>
            <w:tcW w:w="4489" w:type="dxa"/>
            <w:vAlign w:val="top"/>
          </w:tcPr>
          <w:p>
            <w:pPr>
              <w:bidi w:val="0"/>
              <w:ind w:left="0" w:leftChars="0" w:firstLine="0" w:firstLineChars="0"/>
              <w:rPr>
                <w:rFonts w:hint="eastAsia"/>
              </w:rPr>
            </w:pPr>
            <w:r>
              <w:rPr>
                <w:rFonts w:hint="eastAsia"/>
              </w:rPr>
              <w:t>SSH（SSH1 和 SSH2） 的终端仿真程序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946" w:type="dxa"/>
            <w:vAlign w:val="center"/>
          </w:tcPr>
          <w:p>
            <w:pPr>
              <w:bidi w:val="0"/>
              <w:ind w:left="0" w:leftChars="0" w:firstLine="0" w:firstLineChars="0"/>
              <w:jc w:val="center"/>
              <w:rPr>
                <w:rFonts w:hint="eastAsia"/>
              </w:rPr>
            </w:pPr>
            <w:r>
              <w:rPr>
                <w:rFonts w:hint="eastAsia"/>
              </w:rPr>
              <w:t>3</w:t>
            </w:r>
          </w:p>
        </w:tc>
        <w:tc>
          <w:tcPr>
            <w:tcW w:w="3097" w:type="dxa"/>
            <w:vAlign w:val="center"/>
          </w:tcPr>
          <w:p>
            <w:pPr>
              <w:bidi w:val="0"/>
              <w:ind w:left="0" w:leftChars="0" w:firstLine="0" w:firstLineChars="0"/>
              <w:jc w:val="center"/>
              <w:rPr>
                <w:rFonts w:hint="eastAsia"/>
              </w:rPr>
            </w:pPr>
            <w:r>
              <w:rPr>
                <w:rFonts w:hint="eastAsia"/>
              </w:rPr>
              <w:t>Python 3.6</w:t>
            </w:r>
          </w:p>
        </w:tc>
        <w:tc>
          <w:tcPr>
            <w:tcW w:w="4489" w:type="dxa"/>
            <w:vAlign w:val="top"/>
          </w:tcPr>
          <w:p>
            <w:pPr>
              <w:bidi w:val="0"/>
              <w:ind w:left="0" w:leftChars="0" w:firstLine="0" w:firstLineChars="0"/>
              <w:rPr>
                <w:rFonts w:hint="eastAsia"/>
              </w:rPr>
            </w:pPr>
            <w:r>
              <w:rPr>
                <w:rFonts w:hint="eastAsia"/>
              </w:rPr>
              <w:t>云平台开发编程环境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946" w:type="dxa"/>
            <w:vAlign w:val="center"/>
          </w:tcPr>
          <w:p>
            <w:pPr>
              <w:bidi w:val="0"/>
              <w:ind w:left="0" w:leftChars="0" w:firstLine="0" w:firstLineChars="0"/>
              <w:jc w:val="center"/>
              <w:rPr>
                <w:rFonts w:hint="eastAsia"/>
              </w:rPr>
            </w:pPr>
            <w:r>
              <w:rPr>
                <w:rFonts w:hint="eastAsia"/>
              </w:rPr>
              <w:t>4</w:t>
            </w:r>
          </w:p>
        </w:tc>
        <w:tc>
          <w:tcPr>
            <w:tcW w:w="3097" w:type="dxa"/>
            <w:vAlign w:val="center"/>
          </w:tcPr>
          <w:p>
            <w:pPr>
              <w:bidi w:val="0"/>
              <w:ind w:left="0" w:leftChars="0" w:firstLine="0" w:firstLineChars="0"/>
              <w:jc w:val="center"/>
              <w:rPr>
                <w:rFonts w:hint="eastAsia"/>
              </w:rPr>
            </w:pPr>
            <w:r>
              <w:rPr>
                <w:rFonts w:hint="eastAsia"/>
              </w:rPr>
              <w:t>PyCharm 2018.3.5</w:t>
            </w:r>
          </w:p>
        </w:tc>
        <w:tc>
          <w:tcPr>
            <w:tcW w:w="4489" w:type="dxa"/>
            <w:vAlign w:val="top"/>
          </w:tcPr>
          <w:p>
            <w:pPr>
              <w:bidi w:val="0"/>
              <w:ind w:left="0" w:leftChars="0" w:firstLine="0" w:firstLineChars="0"/>
              <w:rPr>
                <w:rFonts w:hint="eastAsia"/>
              </w:rPr>
            </w:pPr>
            <w:r>
              <w:rPr>
                <w:rFonts w:hint="eastAsia"/>
              </w:rPr>
              <w:t>Python 开发工具</w:t>
            </w:r>
          </w:p>
        </w:tc>
      </w:tr>
    </w:tbl>
    <w:p>
      <w:pPr>
        <w:pStyle w:val="12"/>
        <w:ind w:left="0" w:leftChars="0" w:firstLine="0" w:firstLineChars="0"/>
      </w:pPr>
    </w:p>
    <w:p>
      <w:pPr>
        <w:pStyle w:val="12"/>
        <w:ind w:left="0" w:leftChars="0" w:firstLine="0" w:firstLineChars="0"/>
      </w:pPr>
    </w:p>
    <w:p>
      <w:pPr>
        <w:bidi w:val="0"/>
      </w:pPr>
    </w:p>
    <w:p>
      <w:pPr>
        <w:pStyle w:val="5"/>
        <w:bidi w:val="0"/>
        <w:rPr>
          <w:rFonts w:hint="eastAsia" w:ascii="仿宋_GB2312" w:hAnsi="仿宋" w:eastAsia="仿宋_GB2312"/>
          <w:b/>
          <w:color w:val="000000" w:themeColor="text1"/>
          <w:sz w:val="32"/>
          <w:szCs w:val="32"/>
          <w:lang w:val="en-US" w:eastAsia="zh-CN"/>
          <w14:textFill>
            <w14:solidFill>
              <w14:schemeClr w14:val="tx1"/>
            </w14:solidFill>
          </w14:textFill>
        </w:rPr>
      </w:pPr>
      <w:r>
        <w:rPr>
          <w:rFonts w:hint="eastAsia" w:ascii="仿宋_GB2312" w:hAnsi="仿宋" w:eastAsia="仿宋_GB2312"/>
          <w:b/>
          <w:color w:val="000000" w:themeColor="text1"/>
          <w:sz w:val="32"/>
          <w:szCs w:val="32"/>
          <w:lang w:val="en-US" w:eastAsia="zh-CN"/>
          <w14:textFill>
            <w14:solidFill>
              <w14:schemeClr w14:val="tx1"/>
            </w14:solidFill>
          </w14:textFill>
        </w:rPr>
        <w:t>十一、成绩评定</w:t>
      </w:r>
    </w:p>
    <w:p>
      <w:pPr>
        <w:widowControl/>
        <w:ind w:firstLine="600" w:firstLineChars="200"/>
        <w:jc w:val="left"/>
        <w:rPr>
          <w:rFonts w:ascii="仿宋_GB2312" w:hAnsi="仿宋_GB2312" w:eastAsia="仿宋_GB2312" w:cs="仿宋_GB2312"/>
          <w:color w:val="000000" w:themeColor="text1"/>
          <w:kern w:val="0"/>
          <w:sz w:val="30"/>
          <w:szCs w:val="30"/>
          <w:lang w:bidi="ar"/>
          <w14:textFill>
            <w14:solidFill>
              <w14:schemeClr w14:val="tx1"/>
            </w14:solidFill>
          </w14:textFill>
        </w:rPr>
      </w:pPr>
      <w:r>
        <w:rPr>
          <w:rFonts w:hint="eastAsia" w:ascii="仿宋_GB2312" w:hAnsi="仿宋_GB2312" w:eastAsia="仿宋_GB2312" w:cs="仿宋_GB2312"/>
          <w:color w:val="000000" w:themeColor="text1"/>
          <w:kern w:val="0"/>
          <w:sz w:val="30"/>
          <w:szCs w:val="30"/>
          <w:lang w:bidi="ar"/>
          <w14:textFill>
            <w14:solidFill>
              <w14:schemeClr w14:val="tx1"/>
            </w14:solidFill>
          </w14:textFill>
        </w:rPr>
        <w:t xml:space="preserve">（一） 评分标准 </w:t>
      </w:r>
    </w:p>
    <w:tbl>
      <w:tblPr>
        <w:tblStyle w:val="1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9"/>
        <w:gridCol w:w="2643"/>
        <w:gridCol w:w="3869"/>
        <w:gridCol w:w="9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32" w:type="pct"/>
            <w:vAlign w:val="center"/>
          </w:tcPr>
          <w:p>
            <w:pPr>
              <w:pStyle w:val="11"/>
              <w:spacing w:line="360" w:lineRule="auto"/>
              <w:jc w:val="center"/>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一级项目</w:t>
            </w:r>
          </w:p>
        </w:tc>
        <w:tc>
          <w:tcPr>
            <w:tcW w:w="1477" w:type="pct"/>
            <w:vAlign w:val="center"/>
          </w:tcPr>
          <w:p>
            <w:pPr>
              <w:pStyle w:val="11"/>
              <w:spacing w:line="360" w:lineRule="auto"/>
              <w:jc w:val="center"/>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二级评价项目</w:t>
            </w:r>
          </w:p>
        </w:tc>
        <w:tc>
          <w:tcPr>
            <w:tcW w:w="2162" w:type="pct"/>
            <w:vAlign w:val="center"/>
          </w:tcPr>
          <w:p>
            <w:pPr>
              <w:pStyle w:val="11"/>
              <w:spacing w:line="360" w:lineRule="auto"/>
              <w:jc w:val="center"/>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三级评价项目</w:t>
            </w:r>
          </w:p>
        </w:tc>
        <w:tc>
          <w:tcPr>
            <w:tcW w:w="527" w:type="pct"/>
            <w:vAlign w:val="center"/>
          </w:tcPr>
          <w:p>
            <w:pPr>
              <w:pStyle w:val="11"/>
              <w:spacing w:line="360" w:lineRule="auto"/>
              <w:jc w:val="center"/>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配分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trPr>
        <w:tc>
          <w:tcPr>
            <w:tcW w:w="832" w:type="pct"/>
            <w:vMerge w:val="restart"/>
            <w:vAlign w:val="center"/>
          </w:tcPr>
          <w:p>
            <w:pPr>
              <w:pStyle w:val="11"/>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私有云平台</w:t>
            </w:r>
          </w:p>
        </w:tc>
        <w:tc>
          <w:tcPr>
            <w:tcW w:w="1477" w:type="pct"/>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任务1 基础运维任务</w:t>
            </w:r>
          </w:p>
        </w:tc>
        <w:tc>
          <w:tcPr>
            <w:tcW w:w="2162" w:type="pct"/>
            <w:vAlign w:val="center"/>
          </w:tcPr>
          <w:p>
            <w:pPr>
              <w:widowControl/>
              <w:spacing w:line="360" w:lineRule="auto"/>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服务器IP地址设置，主机名设置，磁盘分区，文件系统挂载，WEB、FTP、DNS、NTP等常用Linux服务器安装与配置等。</w:t>
            </w:r>
          </w:p>
        </w:tc>
        <w:tc>
          <w:tcPr>
            <w:tcW w:w="527" w:type="pct"/>
            <w:vAlign w:val="center"/>
          </w:tcPr>
          <w:p>
            <w:pPr>
              <w:widowControl/>
              <w:spacing w:line="360" w:lineRule="auto"/>
              <w:jc w:val="center"/>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832" w:type="pct"/>
            <w:vMerge w:val="continue"/>
            <w:vAlign w:val="center"/>
          </w:tcPr>
          <w:p>
            <w:pPr>
              <w:pStyle w:val="11"/>
              <w:spacing w:line="360" w:lineRule="auto"/>
              <w:rPr>
                <w:rFonts w:ascii="仿宋" w:hAnsi="仿宋" w:eastAsia="仿宋" w:cs="仿宋"/>
                <w:color w:val="000000" w:themeColor="text1"/>
                <w:sz w:val="24"/>
                <w:szCs w:val="24"/>
                <w14:textFill>
                  <w14:solidFill>
                    <w14:schemeClr w14:val="tx1"/>
                  </w14:solidFill>
                </w14:textFill>
              </w:rPr>
            </w:pPr>
          </w:p>
        </w:tc>
        <w:tc>
          <w:tcPr>
            <w:tcW w:w="1477" w:type="pct"/>
            <w:tcBorders>
              <w:top w:val="single" w:color="auto" w:sz="4" w:space="0"/>
              <w:bottom w:val="single" w:color="auto" w:sz="4" w:space="0"/>
            </w:tcBorders>
            <w:vAlign w:val="center"/>
          </w:tcPr>
          <w:p>
            <w:pPr>
              <w:pStyle w:val="11"/>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任务2 OpenStack搭建任务</w:t>
            </w:r>
          </w:p>
        </w:tc>
        <w:tc>
          <w:tcPr>
            <w:tcW w:w="2162" w:type="pct"/>
            <w:tcBorders>
              <w:bottom w:val="single" w:color="auto" w:sz="4" w:space="0"/>
            </w:tcBorders>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Openstack云平台搭建基本变量进行配置，使用部署安装脚本快速部署数据库、Keystone服务、Glance服务、Nova服务、Neutron服务、Dashboad服务、Cinder服务、Swift服务、Heat服务、Ceph服务、Ceilometer和报警Alarm服务等Openstack相关组件，完成私有云平台的搭建部署。</w:t>
            </w:r>
          </w:p>
        </w:tc>
        <w:tc>
          <w:tcPr>
            <w:tcW w:w="527" w:type="pct"/>
            <w:vAlign w:val="center"/>
          </w:tcPr>
          <w:p>
            <w:pPr>
              <w:pStyle w:val="11"/>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8" w:hRule="atLeast"/>
        </w:trPr>
        <w:tc>
          <w:tcPr>
            <w:tcW w:w="832" w:type="pct"/>
            <w:vMerge w:val="continue"/>
            <w:vAlign w:val="center"/>
          </w:tcPr>
          <w:p>
            <w:pPr>
              <w:pStyle w:val="11"/>
              <w:spacing w:line="360" w:lineRule="auto"/>
              <w:rPr>
                <w:rFonts w:ascii="仿宋" w:hAnsi="仿宋" w:eastAsia="仿宋" w:cs="仿宋"/>
                <w:color w:val="000000" w:themeColor="text1"/>
                <w:sz w:val="24"/>
                <w:szCs w:val="24"/>
                <w14:textFill>
                  <w14:solidFill>
                    <w14:schemeClr w14:val="tx1"/>
                  </w14:solidFill>
                </w14:textFill>
              </w:rPr>
            </w:pPr>
          </w:p>
        </w:tc>
        <w:tc>
          <w:tcPr>
            <w:tcW w:w="1477" w:type="pct"/>
            <w:tcBorders>
              <w:top w:val="single" w:color="auto" w:sz="4" w:space="0"/>
            </w:tcBorders>
            <w:vAlign w:val="center"/>
          </w:tcPr>
          <w:p>
            <w:pPr>
              <w:pStyle w:val="11"/>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任务3 OpenStack云平台运维</w:t>
            </w:r>
          </w:p>
        </w:tc>
        <w:tc>
          <w:tcPr>
            <w:tcW w:w="2162" w:type="pct"/>
            <w:tcBorders>
              <w:top w:val="single" w:color="auto" w:sz="4" w:space="0"/>
            </w:tcBorders>
            <w:vAlign w:val="center"/>
          </w:tcPr>
          <w:p>
            <w:pPr>
              <w:pStyle w:val="11"/>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对openstack云平台的Keystone服务、Glance服务、Nova服务、Neutron服务、Dashboad服务、Cinder服务、Swift服务、Heat服务、Ceph服务、Ceilometer和报警Alarm服务等相关组件的使用与运维，通过命令及编写shell脚本对云平台的各项资源进行运维和管理。</w:t>
            </w:r>
          </w:p>
        </w:tc>
        <w:tc>
          <w:tcPr>
            <w:tcW w:w="527" w:type="pct"/>
            <w:vAlign w:val="center"/>
          </w:tcPr>
          <w:p>
            <w:pPr>
              <w:pStyle w:val="12"/>
              <w:spacing w:line="360" w:lineRule="auto"/>
              <w:ind w:left="0" w:leftChars="0" w:firstLine="0"/>
              <w:jc w:val="center"/>
              <w:rPr>
                <w:rFonts w:ascii="仿宋" w:hAnsi="仿宋" w:eastAsia="仿宋" w:cs="仿宋"/>
                <w:bCs/>
                <w:color w:val="000000" w:themeColor="text1"/>
                <w:kern w:val="2"/>
                <w:sz w:val="24"/>
                <w:szCs w:val="24"/>
                <w14:textFill>
                  <w14:solidFill>
                    <w14:schemeClr w14:val="tx1"/>
                  </w14:solidFill>
                </w14:textFill>
              </w:rPr>
            </w:pPr>
            <w:r>
              <w:rPr>
                <w:rFonts w:hint="eastAsia" w:ascii="仿宋" w:hAnsi="仿宋" w:eastAsia="仿宋" w:cs="仿宋"/>
                <w:bCs/>
                <w:color w:val="000000" w:themeColor="text1"/>
                <w:kern w:val="2"/>
                <w:sz w:val="24"/>
                <w:szCs w:val="24"/>
                <w14:textFill>
                  <w14:solidFill>
                    <w14:schemeClr w14:val="tx1"/>
                  </w14:solidFill>
                </w14:textFill>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8" w:hRule="atLeast"/>
        </w:trPr>
        <w:tc>
          <w:tcPr>
            <w:tcW w:w="832" w:type="pct"/>
            <w:vMerge w:val="continue"/>
            <w:vAlign w:val="center"/>
          </w:tcPr>
          <w:p>
            <w:pPr>
              <w:pStyle w:val="11"/>
              <w:spacing w:line="360" w:lineRule="auto"/>
              <w:rPr>
                <w:rFonts w:ascii="仿宋" w:hAnsi="仿宋" w:eastAsia="仿宋" w:cs="仿宋"/>
                <w:color w:val="000000" w:themeColor="text1"/>
                <w:sz w:val="24"/>
                <w:szCs w:val="24"/>
                <w14:textFill>
                  <w14:solidFill>
                    <w14:schemeClr w14:val="tx1"/>
                  </w14:solidFill>
                </w14:textFill>
              </w:rPr>
            </w:pPr>
          </w:p>
        </w:tc>
        <w:tc>
          <w:tcPr>
            <w:tcW w:w="1477" w:type="pct"/>
          </w:tcPr>
          <w:p>
            <w:pPr>
              <w:pStyle w:val="11"/>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任务4 OpenStack云平台运维开发</w:t>
            </w:r>
          </w:p>
        </w:tc>
        <w:tc>
          <w:tcPr>
            <w:tcW w:w="2162" w:type="pct"/>
            <w:vAlign w:val="center"/>
          </w:tcPr>
          <w:p>
            <w:pPr>
              <w:pStyle w:val="11"/>
              <w:tabs>
                <w:tab w:val="left" w:pos="1016"/>
              </w:tabs>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编写shell脚本或者Python代码调用OpenStack API接口对Openstack云平台资源进行管理和运维，使用自动化运维工具Ansible对服务器或虚拟机进行批量部署和管理。</w:t>
            </w:r>
          </w:p>
        </w:tc>
        <w:tc>
          <w:tcPr>
            <w:tcW w:w="527" w:type="pct"/>
            <w:vAlign w:val="center"/>
          </w:tcPr>
          <w:p>
            <w:pPr>
              <w:pStyle w:val="12"/>
              <w:spacing w:line="360" w:lineRule="auto"/>
              <w:ind w:left="0" w:leftChars="0" w:firstLine="0"/>
              <w:jc w:val="center"/>
              <w:rPr>
                <w:rFonts w:ascii="仿宋" w:hAnsi="仿宋" w:eastAsia="仿宋" w:cs="仿宋"/>
                <w:bCs/>
                <w:color w:val="000000" w:themeColor="text1"/>
                <w:kern w:val="2"/>
                <w:sz w:val="24"/>
                <w:szCs w:val="24"/>
                <w14:textFill>
                  <w14:solidFill>
                    <w14:schemeClr w14:val="tx1"/>
                  </w14:solidFill>
                </w14:textFill>
              </w:rPr>
            </w:pPr>
            <w:r>
              <w:rPr>
                <w:rFonts w:hint="eastAsia" w:ascii="仿宋" w:hAnsi="仿宋" w:eastAsia="仿宋" w:cs="仿宋"/>
                <w:bCs/>
                <w:color w:val="000000" w:themeColor="text1"/>
                <w:kern w:val="2"/>
                <w:sz w:val="24"/>
                <w:szCs w:val="24"/>
                <w14:textFill>
                  <w14:solidFill>
                    <w14:schemeClr w14:val="tx1"/>
                  </w14:solidFill>
                </w14:textFill>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32" w:type="pct"/>
            <w:vMerge w:val="restart"/>
            <w:vAlign w:val="center"/>
          </w:tcPr>
          <w:p>
            <w:pPr>
              <w:pStyle w:val="11"/>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容器云平台</w:t>
            </w:r>
          </w:p>
        </w:tc>
        <w:tc>
          <w:tcPr>
            <w:tcW w:w="1477" w:type="pct"/>
            <w:vAlign w:val="center"/>
          </w:tcPr>
          <w:p>
            <w:pPr>
              <w:pStyle w:val="11"/>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任务1 容器基本环境配置</w:t>
            </w:r>
          </w:p>
        </w:tc>
        <w:tc>
          <w:tcPr>
            <w:tcW w:w="2162" w:type="pct"/>
            <w:vAlign w:val="center"/>
          </w:tcPr>
          <w:p>
            <w:pPr>
              <w:pStyle w:val="11"/>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DockerCE的安装与配置，Docker compose的安装、配置与使用，私有仓库搭建、配置、管理和使用，Docker镜像管理及容器管理运维。</w:t>
            </w:r>
          </w:p>
        </w:tc>
        <w:tc>
          <w:tcPr>
            <w:tcW w:w="527" w:type="pct"/>
            <w:vAlign w:val="center"/>
          </w:tcPr>
          <w:p>
            <w:pPr>
              <w:pStyle w:val="11"/>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32" w:type="pct"/>
            <w:vMerge w:val="continue"/>
            <w:vAlign w:val="center"/>
          </w:tcPr>
          <w:p>
            <w:pPr>
              <w:pStyle w:val="11"/>
              <w:spacing w:line="360" w:lineRule="auto"/>
              <w:rPr>
                <w:rFonts w:ascii="仿宋" w:hAnsi="仿宋" w:eastAsia="仿宋" w:cs="仿宋"/>
                <w:color w:val="000000" w:themeColor="text1"/>
                <w:sz w:val="24"/>
                <w:szCs w:val="24"/>
                <w14:textFill>
                  <w14:solidFill>
                    <w14:schemeClr w14:val="tx1"/>
                  </w14:solidFill>
                </w14:textFill>
              </w:rPr>
            </w:pPr>
          </w:p>
        </w:tc>
        <w:tc>
          <w:tcPr>
            <w:tcW w:w="1477" w:type="pct"/>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任务2 容器应用系统部署</w:t>
            </w:r>
          </w:p>
        </w:tc>
        <w:tc>
          <w:tcPr>
            <w:tcW w:w="2162" w:type="pct"/>
            <w:vAlign w:val="center"/>
          </w:tcPr>
          <w:p>
            <w:pPr>
              <w:pStyle w:val="11"/>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使用容器实现镜像或容器系统打包，微服务系统搭建，消息中间件系统搭建，负载均衡应用，数据库访问与管理，容器编排，访问控制等。</w:t>
            </w:r>
          </w:p>
          <w:p>
            <w:pPr>
              <w:spacing w:line="360" w:lineRule="auto"/>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通过dockerfile制作容器镜像并使用容器编排工具进行容器编排并启动相应的应用。</w:t>
            </w:r>
          </w:p>
        </w:tc>
        <w:tc>
          <w:tcPr>
            <w:tcW w:w="527" w:type="pct"/>
            <w:vAlign w:val="center"/>
          </w:tcPr>
          <w:p>
            <w:pPr>
              <w:spacing w:line="360" w:lineRule="auto"/>
              <w:jc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832" w:type="pct"/>
            <w:vMerge w:val="continue"/>
            <w:vAlign w:val="center"/>
          </w:tcPr>
          <w:p>
            <w:pPr>
              <w:pStyle w:val="11"/>
              <w:spacing w:line="360" w:lineRule="auto"/>
              <w:rPr>
                <w:rFonts w:ascii="仿宋" w:hAnsi="仿宋" w:eastAsia="仿宋" w:cs="仿宋"/>
                <w:color w:val="000000" w:themeColor="text1"/>
                <w:sz w:val="24"/>
                <w:szCs w:val="24"/>
                <w14:textFill>
                  <w14:solidFill>
                    <w14:schemeClr w14:val="tx1"/>
                  </w14:solidFill>
                </w14:textFill>
              </w:rPr>
            </w:pPr>
          </w:p>
        </w:tc>
        <w:tc>
          <w:tcPr>
            <w:tcW w:w="1477" w:type="pct"/>
            <w:vAlign w:val="center"/>
          </w:tcPr>
          <w:p>
            <w:pPr>
              <w:pStyle w:val="11"/>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任务3 构建持续集成案例</w:t>
            </w:r>
          </w:p>
        </w:tc>
        <w:tc>
          <w:tcPr>
            <w:tcW w:w="2162" w:type="pct"/>
            <w:vAlign w:val="center"/>
          </w:tcPr>
          <w:p>
            <w:pPr>
              <w:pStyle w:val="11"/>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实现容器持续集成工具安装，典型工具链搭建，项目持续集成环境部署。</w:t>
            </w:r>
          </w:p>
        </w:tc>
        <w:tc>
          <w:tcPr>
            <w:tcW w:w="527" w:type="pct"/>
            <w:vAlign w:val="center"/>
          </w:tcPr>
          <w:p>
            <w:pPr>
              <w:spacing w:line="360" w:lineRule="auto"/>
              <w:jc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32" w:type="pct"/>
            <w:vMerge w:val="continue"/>
          </w:tcPr>
          <w:p>
            <w:pPr>
              <w:pStyle w:val="11"/>
              <w:spacing w:line="360" w:lineRule="auto"/>
              <w:rPr>
                <w:rFonts w:ascii="仿宋" w:hAnsi="仿宋" w:eastAsia="仿宋" w:cs="仿宋"/>
                <w:color w:val="000000" w:themeColor="text1"/>
                <w:sz w:val="24"/>
                <w:szCs w:val="24"/>
                <w14:textFill>
                  <w14:solidFill>
                    <w14:schemeClr w14:val="tx1"/>
                  </w14:solidFill>
                </w14:textFill>
              </w:rPr>
            </w:pPr>
          </w:p>
        </w:tc>
        <w:tc>
          <w:tcPr>
            <w:tcW w:w="1477" w:type="pct"/>
            <w:vAlign w:val="center"/>
          </w:tcPr>
          <w:p>
            <w:pPr>
              <w:pStyle w:val="11"/>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任务4 Kubernetes容器云平台部署与运维</w:t>
            </w:r>
          </w:p>
        </w:tc>
        <w:tc>
          <w:tcPr>
            <w:tcW w:w="2162" w:type="pct"/>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Kubernetes集群的安装、配置、管理与运维，基于Kubernetes集群应用部署及容器编排。</w:t>
            </w:r>
          </w:p>
        </w:tc>
        <w:tc>
          <w:tcPr>
            <w:tcW w:w="527" w:type="pct"/>
            <w:vAlign w:val="center"/>
          </w:tcPr>
          <w:p>
            <w:pPr>
              <w:spacing w:line="360" w:lineRule="auto"/>
              <w:jc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32" w:type="pct"/>
          </w:tcPr>
          <w:p>
            <w:pPr>
              <w:pStyle w:val="11"/>
              <w:spacing w:line="36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总分</w:t>
            </w:r>
          </w:p>
        </w:tc>
        <w:tc>
          <w:tcPr>
            <w:tcW w:w="1477" w:type="pct"/>
            <w:vAlign w:val="center"/>
          </w:tcPr>
          <w:p>
            <w:pPr>
              <w:pStyle w:val="11"/>
              <w:spacing w:line="360" w:lineRule="auto"/>
              <w:rPr>
                <w:rFonts w:ascii="仿宋" w:hAnsi="仿宋" w:eastAsia="仿宋" w:cs="仿宋"/>
                <w:color w:val="000000" w:themeColor="text1"/>
                <w:sz w:val="24"/>
                <w:szCs w:val="24"/>
                <w14:textFill>
                  <w14:solidFill>
                    <w14:schemeClr w14:val="tx1"/>
                  </w14:solidFill>
                </w14:textFill>
              </w:rPr>
            </w:pPr>
          </w:p>
        </w:tc>
        <w:tc>
          <w:tcPr>
            <w:tcW w:w="2162" w:type="pct"/>
            <w:vAlign w:val="center"/>
          </w:tcPr>
          <w:p>
            <w:pPr>
              <w:widowControl/>
              <w:spacing w:line="360" w:lineRule="auto"/>
              <w:jc w:val="left"/>
              <w:textAlignment w:val="center"/>
              <w:rPr>
                <w:rFonts w:ascii="仿宋" w:hAnsi="仿宋" w:eastAsia="仿宋" w:cs="仿宋"/>
                <w:bCs/>
                <w:color w:val="000000" w:themeColor="text1"/>
                <w:sz w:val="24"/>
                <w:szCs w:val="24"/>
                <w14:textFill>
                  <w14:solidFill>
                    <w14:schemeClr w14:val="tx1"/>
                  </w14:solidFill>
                </w14:textFill>
              </w:rPr>
            </w:pPr>
          </w:p>
        </w:tc>
        <w:tc>
          <w:tcPr>
            <w:tcW w:w="527" w:type="pct"/>
            <w:vAlign w:val="center"/>
          </w:tcPr>
          <w:p>
            <w:pPr>
              <w:spacing w:line="360" w:lineRule="auto"/>
              <w:jc w:val="center"/>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100</w:t>
            </w:r>
          </w:p>
        </w:tc>
      </w:tr>
    </w:tbl>
    <w:p>
      <w:pPr>
        <w:widowControl/>
        <w:ind w:firstLine="600" w:firstLineChars="200"/>
        <w:jc w:val="left"/>
        <w:rPr>
          <w:rFonts w:hint="eastAsia" w:ascii="仿宋_GB2312" w:hAnsi="仿宋_GB2312" w:eastAsia="仿宋_GB2312" w:cs="仿宋_GB2312"/>
          <w:color w:val="000000" w:themeColor="text1"/>
          <w:kern w:val="0"/>
          <w:sz w:val="30"/>
          <w:szCs w:val="30"/>
          <w:lang w:eastAsia="zh-CN" w:bidi="ar"/>
          <w14:textFill>
            <w14:solidFill>
              <w14:schemeClr w14:val="tx1"/>
            </w14:solidFill>
          </w14:textFill>
        </w:rPr>
      </w:pPr>
      <w:r>
        <w:rPr>
          <w:rFonts w:hint="eastAsia" w:ascii="仿宋_GB2312" w:hAnsi="仿宋_GB2312" w:eastAsia="仿宋_GB2312" w:cs="仿宋_GB2312"/>
          <w:color w:val="000000" w:themeColor="text1"/>
          <w:kern w:val="0"/>
          <w:sz w:val="30"/>
          <w:szCs w:val="30"/>
          <w:lang w:bidi="ar"/>
          <w14:textFill>
            <w14:solidFill>
              <w14:schemeClr w14:val="tx1"/>
            </w14:solidFill>
          </w14:textFill>
        </w:rPr>
        <w:t>（</w:t>
      </w:r>
      <w:r>
        <w:rPr>
          <w:rFonts w:hint="eastAsia" w:ascii="仿宋_GB2312" w:hAnsi="仿宋_GB2312" w:eastAsia="仿宋_GB2312" w:cs="仿宋_GB2312"/>
          <w:color w:val="000000" w:themeColor="text1"/>
          <w:kern w:val="0"/>
          <w:sz w:val="30"/>
          <w:szCs w:val="30"/>
          <w:lang w:eastAsia="zh-CN" w:bidi="ar"/>
          <w14:textFill>
            <w14:solidFill>
              <w14:schemeClr w14:val="tx1"/>
            </w14:solidFill>
          </w14:textFill>
        </w:rPr>
        <w:t>二</w:t>
      </w:r>
      <w:r>
        <w:rPr>
          <w:rFonts w:hint="eastAsia" w:ascii="仿宋_GB2312" w:hAnsi="仿宋_GB2312" w:eastAsia="仿宋_GB2312" w:cs="仿宋_GB2312"/>
          <w:color w:val="000000" w:themeColor="text1"/>
          <w:kern w:val="0"/>
          <w:sz w:val="30"/>
          <w:szCs w:val="30"/>
          <w:lang w:bidi="ar"/>
          <w14:textFill>
            <w14:solidFill>
              <w14:schemeClr w14:val="tx1"/>
            </w14:solidFill>
          </w14:textFill>
        </w:rPr>
        <w:t>）评分方法</w:t>
      </w:r>
    </w:p>
    <w:p>
      <w:pPr>
        <w:spacing w:line="560" w:lineRule="exact"/>
        <w:ind w:firstLine="600" w:firstLineChars="200"/>
        <w:rPr>
          <w:rFonts w:hint="eastAsia" w:ascii="仿宋_GB2312" w:hAnsi="宋体" w:eastAsia="仿宋_GB2312" w:cs="Arial"/>
          <w:color w:val="auto"/>
          <w:kern w:val="0"/>
          <w:sz w:val="30"/>
          <w:szCs w:val="30"/>
          <w:highlight w:val="none"/>
        </w:rPr>
      </w:pPr>
      <w:r>
        <w:rPr>
          <w:rFonts w:hint="eastAsia" w:ascii="仿宋_GB2312" w:hAnsi="宋体" w:eastAsia="仿宋_GB2312" w:cs="Arial"/>
          <w:color w:val="auto"/>
          <w:kern w:val="0"/>
          <w:sz w:val="30"/>
          <w:szCs w:val="30"/>
          <w:highlight w:val="none"/>
          <w:lang w:val="en-US" w:eastAsia="zh-CN"/>
        </w:rPr>
        <w:t>1.</w:t>
      </w:r>
      <w:r>
        <w:rPr>
          <w:rFonts w:hint="eastAsia" w:ascii="仿宋_GB2312" w:hAnsi="宋体" w:eastAsia="仿宋_GB2312" w:cs="Arial"/>
          <w:color w:val="auto"/>
          <w:kern w:val="0"/>
          <w:sz w:val="30"/>
          <w:szCs w:val="30"/>
          <w:highlight w:val="none"/>
        </w:rPr>
        <w:t>本赛项采用竞赛系统统一评分。</w:t>
      </w:r>
    </w:p>
    <w:p>
      <w:pPr>
        <w:spacing w:line="560" w:lineRule="exact"/>
        <w:ind w:firstLine="600" w:firstLineChars="200"/>
        <w:rPr>
          <w:rFonts w:hint="eastAsia" w:ascii="仿宋_GB2312" w:hAnsi="宋体" w:eastAsia="仿宋_GB2312" w:cs="Arial"/>
          <w:color w:val="auto"/>
          <w:kern w:val="0"/>
          <w:sz w:val="30"/>
          <w:szCs w:val="30"/>
          <w:highlight w:val="none"/>
          <w:lang w:eastAsia="zh-CN"/>
        </w:rPr>
      </w:pPr>
      <w:r>
        <w:rPr>
          <w:rFonts w:hint="eastAsia" w:ascii="仿宋_GB2312" w:hAnsi="宋体" w:eastAsia="仿宋_GB2312" w:cs="Arial"/>
          <w:color w:val="auto"/>
          <w:kern w:val="0"/>
          <w:sz w:val="30"/>
          <w:szCs w:val="30"/>
          <w:highlight w:val="none"/>
        </w:rPr>
        <w:t>竞赛系统评分：由竞赛系统自动评分，每位参赛选手拥有一个账号和密码，竞赛结束前保存成果并提交，由竞赛系统统一评分</w:t>
      </w:r>
      <w:r>
        <w:rPr>
          <w:rFonts w:hint="eastAsia" w:ascii="仿宋_GB2312" w:hAnsi="宋体" w:eastAsia="仿宋_GB2312" w:cs="Arial"/>
          <w:color w:val="auto"/>
          <w:kern w:val="0"/>
          <w:sz w:val="30"/>
          <w:szCs w:val="30"/>
          <w:highlight w:val="none"/>
          <w:lang w:eastAsia="zh-CN"/>
        </w:rPr>
        <w:t>。</w:t>
      </w:r>
    </w:p>
    <w:p>
      <w:pPr>
        <w:numPr>
          <w:ilvl w:val="0"/>
          <w:numId w:val="0"/>
        </w:numPr>
        <w:spacing w:line="560" w:lineRule="exact"/>
        <w:ind w:firstLine="600" w:firstLineChars="200"/>
        <w:rPr>
          <w:rFonts w:hint="eastAsia" w:ascii="仿宋_GB2312" w:hAnsi="宋体" w:eastAsia="仿宋_GB2312" w:cs="Arial"/>
          <w:color w:val="auto"/>
          <w:kern w:val="0"/>
          <w:sz w:val="30"/>
          <w:szCs w:val="30"/>
          <w:highlight w:val="none"/>
          <w:lang w:eastAsia="zh-CN"/>
        </w:rPr>
      </w:pPr>
      <w:r>
        <w:rPr>
          <w:rFonts w:hint="eastAsia" w:ascii="仿宋_GB2312" w:hAnsi="宋体" w:eastAsia="仿宋_GB2312" w:cs="Arial"/>
          <w:color w:val="auto"/>
          <w:kern w:val="0"/>
          <w:sz w:val="30"/>
          <w:szCs w:val="30"/>
          <w:highlight w:val="none"/>
          <w:lang w:val="en-US" w:eastAsia="zh-CN"/>
        </w:rPr>
        <w:t>2.</w:t>
      </w:r>
      <w:r>
        <w:rPr>
          <w:rFonts w:hint="eastAsia" w:ascii="仿宋_GB2312" w:hAnsi="宋体" w:eastAsia="仿宋_GB2312" w:cs="Arial"/>
          <w:color w:val="auto"/>
          <w:kern w:val="0"/>
          <w:sz w:val="30"/>
          <w:szCs w:val="30"/>
          <w:highlight w:val="none"/>
        </w:rPr>
        <w:t>赛项最终得分按百分制计分。赛项排名按选手最终得分由高到低排定，排名不并列</w:t>
      </w:r>
      <w:r>
        <w:rPr>
          <w:rFonts w:hint="eastAsia" w:ascii="仿宋_GB2312" w:hAnsi="宋体" w:eastAsia="仿宋_GB2312" w:cs="Arial"/>
          <w:color w:val="auto"/>
          <w:kern w:val="0"/>
          <w:sz w:val="30"/>
          <w:szCs w:val="30"/>
          <w:highlight w:val="none"/>
          <w:lang w:eastAsia="zh-CN"/>
        </w:rPr>
        <w:t>。若选手得分相同，由裁判长现场召开裁判会议决定名次顺序。</w:t>
      </w:r>
    </w:p>
    <w:p>
      <w:pPr>
        <w:numPr>
          <w:ilvl w:val="0"/>
          <w:numId w:val="0"/>
        </w:numPr>
        <w:spacing w:line="560" w:lineRule="exact"/>
        <w:ind w:firstLine="600" w:firstLineChars="200"/>
        <w:rPr>
          <w:rFonts w:hint="eastAsia" w:ascii="仿宋_GB2312" w:hAnsi="宋体" w:eastAsia="仿宋_GB2312" w:cs="Arial"/>
          <w:color w:val="auto"/>
          <w:kern w:val="0"/>
          <w:sz w:val="30"/>
          <w:szCs w:val="30"/>
          <w:highlight w:val="none"/>
        </w:rPr>
      </w:pPr>
      <w:r>
        <w:rPr>
          <w:rFonts w:hint="eastAsia" w:ascii="仿宋_GB2312" w:hAnsi="宋体" w:eastAsia="仿宋_GB2312" w:cs="Arial"/>
          <w:color w:val="auto"/>
          <w:kern w:val="0"/>
          <w:sz w:val="30"/>
          <w:szCs w:val="30"/>
          <w:highlight w:val="none"/>
          <w:lang w:val="en-US" w:eastAsia="zh-CN"/>
        </w:rPr>
        <w:t>3.</w:t>
      </w:r>
      <w:r>
        <w:rPr>
          <w:rFonts w:hint="eastAsia" w:ascii="仿宋_GB2312" w:hAnsi="宋体" w:eastAsia="仿宋_GB2312" w:cs="Arial"/>
          <w:color w:val="auto"/>
          <w:kern w:val="0"/>
          <w:sz w:val="30"/>
          <w:szCs w:val="30"/>
          <w:highlight w:val="none"/>
        </w:rPr>
        <w:t>比赛成绩复核无误后，经裁判长、监督员等审核签字后确定。若有异议，经过规定程序仲裁后，按照仲裁结果公布比赛成绩。</w:t>
      </w:r>
    </w:p>
    <w:p>
      <w:pPr>
        <w:pStyle w:val="5"/>
        <w:bidi w:val="0"/>
        <w:rPr>
          <w:rFonts w:hint="eastAsia" w:ascii="仿宋_GB2312" w:hAnsi="仿宋" w:eastAsia="仿宋_GB2312"/>
          <w:b/>
          <w:color w:val="000000" w:themeColor="text1"/>
          <w:sz w:val="32"/>
          <w:szCs w:val="32"/>
          <w:lang w:val="en-US" w:eastAsia="zh-CN"/>
          <w14:textFill>
            <w14:solidFill>
              <w14:schemeClr w14:val="tx1"/>
            </w14:solidFill>
          </w14:textFill>
        </w:rPr>
      </w:pPr>
      <w:r>
        <w:rPr>
          <w:rFonts w:hint="eastAsia" w:ascii="仿宋_GB2312" w:hAnsi="仿宋" w:eastAsia="仿宋_GB2312"/>
          <w:b/>
          <w:color w:val="000000" w:themeColor="text1"/>
          <w:sz w:val="32"/>
          <w:szCs w:val="32"/>
          <w:lang w:val="en-US" w:eastAsia="zh-CN"/>
          <w14:textFill>
            <w14:solidFill>
              <w14:schemeClr w14:val="tx1"/>
            </w14:solidFill>
          </w14:textFill>
        </w:rPr>
        <w:t>十二、申诉与仲裁</w:t>
      </w:r>
    </w:p>
    <w:p>
      <w:pPr>
        <w:spacing w:line="560" w:lineRule="exact"/>
        <w:ind w:firstLine="600" w:firstLineChars="200"/>
        <w:rPr>
          <w:rFonts w:hint="eastAsia" w:ascii="仿宋_GB2312" w:hAnsi="宋体" w:eastAsia="仿宋_GB2312" w:cs="Arial"/>
          <w:color w:val="auto"/>
          <w:kern w:val="0"/>
          <w:sz w:val="30"/>
          <w:szCs w:val="30"/>
          <w:highlight w:val="none"/>
        </w:rPr>
      </w:pPr>
      <w:r>
        <w:rPr>
          <w:rFonts w:hint="eastAsia" w:ascii="仿宋_GB2312" w:hAnsi="宋体" w:eastAsia="仿宋_GB2312" w:cs="Arial"/>
          <w:color w:val="auto"/>
          <w:kern w:val="0"/>
          <w:sz w:val="30"/>
          <w:szCs w:val="30"/>
          <w:highlight w:val="none"/>
        </w:rPr>
        <w:t>1.</w:t>
      </w:r>
      <w:r>
        <w:rPr>
          <w:rFonts w:hint="eastAsia" w:ascii="仿宋_GB2312" w:hAnsi="宋体" w:eastAsia="仿宋_GB2312" w:cs="Arial"/>
          <w:color w:val="auto"/>
          <w:kern w:val="0"/>
          <w:sz w:val="30"/>
          <w:szCs w:val="30"/>
          <w:highlight w:val="none"/>
          <w:lang w:val="en-US" w:eastAsia="zh-CN"/>
        </w:rPr>
        <w:t>海南</w:t>
      </w:r>
      <w:r>
        <w:rPr>
          <w:rFonts w:hint="eastAsia" w:ascii="仿宋_GB2312" w:hAnsi="宋体" w:eastAsia="仿宋_GB2312" w:cs="Arial"/>
          <w:color w:val="auto"/>
          <w:kern w:val="0"/>
          <w:sz w:val="30"/>
          <w:szCs w:val="30"/>
          <w:highlight w:val="none"/>
        </w:rPr>
        <w:t>省职业院校技能大赛设仲裁工作委员会，赛点设仲裁工作组,组长由大赛组委会办公室指派，组员为赛项裁判长和赛点执委会主任。</w:t>
      </w:r>
    </w:p>
    <w:p>
      <w:pPr>
        <w:spacing w:line="560" w:lineRule="exact"/>
        <w:ind w:firstLine="600" w:firstLineChars="200"/>
        <w:rPr>
          <w:rFonts w:hint="eastAsia" w:ascii="仿宋_GB2312" w:hAnsi="宋体" w:eastAsia="仿宋_GB2312" w:cs="Arial"/>
          <w:color w:val="auto"/>
          <w:kern w:val="0"/>
          <w:sz w:val="30"/>
          <w:szCs w:val="30"/>
          <w:highlight w:val="none"/>
        </w:rPr>
      </w:pPr>
      <w:r>
        <w:rPr>
          <w:rFonts w:hint="eastAsia" w:ascii="仿宋_GB2312" w:hAnsi="宋体" w:eastAsia="仿宋_GB2312" w:cs="Arial"/>
          <w:color w:val="auto"/>
          <w:kern w:val="0"/>
          <w:sz w:val="30"/>
          <w:szCs w:val="30"/>
          <w:highlight w:val="none"/>
        </w:rPr>
        <w:t>2.参赛队对赛事过程、工作人员工作若有疑异,在事实清楚,证据充分的前提下可由参赛队领队以书面形式向赛点仲裁组提出申诉。报告应对申诉事件的现象、发生时间、涉及人员、申诉依据等进行充分、实事求是的叙述。非书面申诉不予受理。</w:t>
      </w:r>
    </w:p>
    <w:p>
      <w:pPr>
        <w:snapToGrid w:val="0"/>
        <w:spacing w:line="560" w:lineRule="exact"/>
        <w:ind w:firstLine="600" w:firstLineChars="200"/>
        <w:rPr>
          <w:rFonts w:ascii="仿宋_GB2312" w:hAnsi="仿宋_GB2312" w:eastAsia="仿宋_GB2312" w:cs="仿宋_GB2312"/>
          <w:color w:val="000000" w:themeColor="text1"/>
          <w:kern w:val="0"/>
          <w:sz w:val="30"/>
          <w:szCs w:val="30"/>
          <w14:textFill>
            <w14:solidFill>
              <w14:schemeClr w14:val="tx1"/>
            </w14:solidFill>
          </w14:textFill>
        </w:rPr>
      </w:pPr>
      <w:r>
        <w:rPr>
          <w:rFonts w:hint="eastAsia" w:ascii="仿宋_GB2312" w:hAnsi="仿宋_GB2312" w:eastAsia="仿宋_GB2312" w:cs="仿宋_GB2312"/>
          <w:color w:val="000000" w:themeColor="text1"/>
          <w:kern w:val="0"/>
          <w:sz w:val="30"/>
          <w:szCs w:val="30"/>
          <w14:textFill>
            <w14:solidFill>
              <w14:schemeClr w14:val="tx1"/>
            </w14:solidFill>
          </w14:textFill>
        </w:rPr>
        <w:t>3.提出申诉应在赛项比赛结束后1小时内向赛点仲裁组提出。超过时效不予受理。提出申诉后申诉人及相关涉及人员不得离开赛点，否则视为自行放弃申诉。</w:t>
      </w:r>
    </w:p>
    <w:p>
      <w:pPr>
        <w:snapToGrid w:val="0"/>
        <w:spacing w:line="560" w:lineRule="exact"/>
        <w:ind w:firstLine="600" w:firstLineChars="200"/>
        <w:rPr>
          <w:rFonts w:ascii="仿宋_GB2312" w:hAnsi="仿宋_GB2312" w:eastAsia="仿宋_GB2312" w:cs="仿宋_GB2312"/>
          <w:color w:val="000000" w:themeColor="text1"/>
          <w:kern w:val="0"/>
          <w:sz w:val="30"/>
          <w:szCs w:val="30"/>
          <w14:textFill>
            <w14:solidFill>
              <w14:schemeClr w14:val="tx1"/>
            </w14:solidFill>
          </w14:textFill>
        </w:rPr>
      </w:pPr>
      <w:r>
        <w:rPr>
          <w:rFonts w:hint="eastAsia" w:ascii="仿宋_GB2312" w:hAnsi="仿宋_GB2312" w:eastAsia="仿宋_GB2312" w:cs="仿宋_GB2312"/>
          <w:color w:val="000000" w:themeColor="text1"/>
          <w:kern w:val="0"/>
          <w:sz w:val="30"/>
          <w:szCs w:val="30"/>
          <w14:textFill>
            <w14:solidFill>
              <w14:schemeClr w14:val="tx1"/>
            </w14:solidFill>
          </w14:textFill>
        </w:rPr>
        <w:t>4.赛点仲裁工作组在接到申诉报告后的2小时内组织复议，并及时将复议结果以书面形式告知申诉方。</w:t>
      </w:r>
    </w:p>
    <w:p>
      <w:pPr>
        <w:snapToGrid w:val="0"/>
        <w:spacing w:line="560" w:lineRule="exact"/>
        <w:ind w:firstLine="600" w:firstLineChars="200"/>
        <w:rPr>
          <w:rFonts w:ascii="仿宋_GB2312" w:hAnsi="仿宋_GB2312" w:eastAsia="仿宋_GB2312" w:cs="仿宋_GB2312"/>
          <w:color w:val="000000" w:themeColor="text1"/>
          <w:kern w:val="0"/>
          <w:sz w:val="30"/>
          <w:szCs w:val="30"/>
          <w14:textFill>
            <w14:solidFill>
              <w14:schemeClr w14:val="tx1"/>
            </w14:solidFill>
          </w14:textFill>
        </w:rPr>
      </w:pPr>
      <w:r>
        <w:rPr>
          <w:rFonts w:hint="eastAsia" w:ascii="仿宋_GB2312" w:hAnsi="仿宋_GB2312" w:eastAsia="仿宋_GB2312" w:cs="仿宋_GB2312"/>
          <w:color w:val="000000" w:themeColor="text1"/>
          <w:kern w:val="0"/>
          <w:sz w:val="30"/>
          <w:szCs w:val="30"/>
          <w14:textFill>
            <w14:solidFill>
              <w14:schemeClr w14:val="tx1"/>
            </w14:solidFill>
          </w14:textFill>
        </w:rPr>
        <w:t>5.对赛点仲裁组复议结果不服的，可由代表队所在院校校级领导向大赛仲裁委员会提出申诉。大赛仲裁委员会的仲裁结果为最终结果。</w:t>
      </w:r>
    </w:p>
    <w:p>
      <w:pPr>
        <w:snapToGrid w:val="0"/>
        <w:spacing w:line="560" w:lineRule="exact"/>
        <w:ind w:firstLine="600" w:firstLineChars="200"/>
        <w:rPr>
          <w:rFonts w:ascii="仿宋_GB2312" w:hAnsi="仿宋_GB2312" w:eastAsia="仿宋_GB2312" w:cs="仿宋_GB2312"/>
          <w:color w:val="000000" w:themeColor="text1"/>
          <w:kern w:val="0"/>
          <w:sz w:val="30"/>
          <w:szCs w:val="30"/>
          <w14:textFill>
            <w14:solidFill>
              <w14:schemeClr w14:val="tx1"/>
            </w14:solidFill>
          </w14:textFill>
        </w:rPr>
      </w:pPr>
      <w:r>
        <w:rPr>
          <w:rFonts w:hint="eastAsia" w:ascii="仿宋_GB2312" w:hAnsi="仿宋_GB2312" w:eastAsia="仿宋_GB2312" w:cs="仿宋_GB2312"/>
          <w:color w:val="000000" w:themeColor="text1"/>
          <w:kern w:val="0"/>
          <w:sz w:val="30"/>
          <w:szCs w:val="30"/>
          <w14:textFill>
            <w14:solidFill>
              <w14:schemeClr w14:val="tx1"/>
            </w14:solidFill>
          </w14:textFill>
        </w:rPr>
        <w:t>6.申诉方不得以任何理由拒绝接收仲裁结果；不得以任何理由采取过激行为扰乱赛场秩序；仲裁结果由申诉人签收，不能代收；如在约定时间和地点申诉人离开，视为撤诉。</w:t>
      </w:r>
    </w:p>
    <w:p>
      <w:pPr>
        <w:spacing w:line="560" w:lineRule="exact"/>
        <w:ind w:firstLine="600" w:firstLineChars="200"/>
        <w:rPr>
          <w:rFonts w:ascii="仿宋_GB2312" w:hAnsi="仿宋" w:eastAsia="仿宋_GB2312"/>
          <w:b/>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kern w:val="0"/>
          <w:sz w:val="30"/>
          <w:szCs w:val="30"/>
          <w14:textFill>
            <w14:solidFill>
              <w14:schemeClr w14:val="tx1"/>
            </w14:solidFill>
          </w14:textFill>
        </w:rPr>
        <w:t>7.申诉方可随时提出放弃申诉。</w:t>
      </w:r>
    </w:p>
    <w:p>
      <w:pPr>
        <w:pStyle w:val="5"/>
        <w:bidi w:val="0"/>
        <w:rPr>
          <w:rFonts w:hint="eastAsia" w:ascii="仿宋_GB2312" w:hAnsi="仿宋" w:eastAsia="仿宋_GB2312"/>
          <w:b/>
          <w:color w:val="000000" w:themeColor="text1"/>
          <w:sz w:val="32"/>
          <w:szCs w:val="32"/>
          <w:lang w:val="en-US" w:eastAsia="zh-CN"/>
          <w14:textFill>
            <w14:solidFill>
              <w14:schemeClr w14:val="tx1"/>
            </w14:solidFill>
          </w14:textFill>
        </w:rPr>
      </w:pPr>
      <w:r>
        <w:rPr>
          <w:rFonts w:hint="eastAsia" w:ascii="仿宋_GB2312" w:hAnsi="仿宋" w:eastAsia="仿宋_GB2312"/>
          <w:b/>
          <w:color w:val="000000" w:themeColor="text1"/>
          <w:sz w:val="32"/>
          <w:szCs w:val="32"/>
          <w:lang w:val="en-US" w:eastAsia="zh-CN"/>
          <w14:textFill>
            <w14:solidFill>
              <w14:schemeClr w14:val="tx1"/>
            </w14:solidFill>
          </w14:textFill>
        </w:rPr>
        <w:t>十三、竞赛观摩</w:t>
      </w:r>
    </w:p>
    <w:p>
      <w:pPr>
        <w:widowControl/>
        <w:ind w:firstLine="600" w:firstLineChars="200"/>
        <w:jc w:val="left"/>
        <w:rPr>
          <w:rFonts w:ascii="仿宋" w:hAnsi="仿宋" w:eastAsia="仿宋" w:cs="仿宋"/>
          <w:color w:val="000000" w:themeColor="text1"/>
          <w:kern w:val="0"/>
          <w:sz w:val="30"/>
          <w:szCs w:val="30"/>
          <w:lang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1.视频观摩</w:t>
      </w:r>
    </w:p>
    <w:p>
      <w:pPr>
        <w:widowControl/>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为预防控制新冠肺炎疫情，不能进入赛场进行公开观摩，采用视频观看方式。赛场外设置开放式观摩区，向媒体、企业代表、院校师生等社会公众开放，通过场外屏幕对赛场进行直播。</w:t>
      </w:r>
    </w:p>
    <w:p>
      <w:pPr>
        <w:widowControl/>
        <w:ind w:firstLine="600" w:firstLineChars="200"/>
        <w:jc w:val="left"/>
        <w:rPr>
          <w:rFonts w:hint="eastAsia" w:ascii="仿宋" w:hAnsi="仿宋" w:eastAsia="仿宋" w:cs="仿宋"/>
          <w:color w:val="000000" w:themeColor="text1"/>
          <w:sz w:val="30"/>
          <w:szCs w:val="30"/>
          <w:lang w:eastAsia="zh-CN"/>
          <w14:textFill>
            <w14:solidFill>
              <w14:schemeClr w14:val="tx1"/>
            </w14:solidFill>
          </w14:textFill>
        </w:rPr>
      </w:pPr>
      <w:r>
        <w:rPr>
          <w:rFonts w:hint="eastAsia" w:ascii="仿宋" w:hAnsi="仿宋" w:eastAsia="仿宋" w:cs="仿宋"/>
          <w:color w:val="000000" w:themeColor="text1"/>
          <w:kern w:val="0"/>
          <w:sz w:val="30"/>
          <w:szCs w:val="30"/>
          <w14:textFill>
            <w14:solidFill>
              <w14:schemeClr w14:val="tx1"/>
            </w14:solidFill>
          </w14:textFill>
        </w:rPr>
        <w:t>2.</w:t>
      </w:r>
      <w:r>
        <w:rPr>
          <w:rFonts w:hint="eastAsia" w:ascii="仿宋" w:hAnsi="仿宋" w:eastAsia="仿宋" w:cs="仿宋"/>
          <w:color w:val="000000" w:themeColor="text1"/>
          <w:kern w:val="0"/>
          <w:sz w:val="30"/>
          <w:szCs w:val="30"/>
          <w:lang w:bidi="ar"/>
          <w14:textFill>
            <w14:solidFill>
              <w14:schemeClr w14:val="tx1"/>
            </w14:solidFill>
          </w14:textFill>
        </w:rPr>
        <w:t>组织安排</w:t>
      </w:r>
    </w:p>
    <w:p>
      <w:pPr>
        <w:widowControl/>
        <w:ind w:firstLine="600" w:firstLineChars="200"/>
        <w:jc w:val="left"/>
        <w:rPr>
          <w:rFonts w:ascii="仿宋" w:hAnsi="仿宋" w:eastAsia="仿宋" w:cs="仿宋"/>
          <w:color w:val="000000" w:themeColor="text1"/>
          <w:kern w:val="0"/>
          <w:sz w:val="30"/>
          <w:szCs w:val="30"/>
          <w:lang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在竞赛开始1个小时之后，由承办校组织并派人带领媒体、专家、企业代表、院校师生等进入赛场外的开放式观摩区，按照指定路线进行观摩。</w:t>
      </w:r>
    </w:p>
    <w:p>
      <w:pPr>
        <w:widowControl/>
        <w:ind w:firstLine="600" w:firstLineChars="200"/>
        <w:jc w:val="left"/>
        <w:rPr>
          <w:rFonts w:hint="eastAsia" w:ascii="仿宋" w:hAnsi="仿宋" w:eastAsia="仿宋" w:cs="仿宋"/>
          <w:color w:val="000000" w:themeColor="text1"/>
          <w:sz w:val="30"/>
          <w:szCs w:val="30"/>
          <w:lang w:eastAsia="zh-CN"/>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3.纪律要求</w:t>
      </w:r>
    </w:p>
    <w:p>
      <w:pPr>
        <w:widowControl/>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为保证大赛顺利进行，在观摩期间应遵循以下纪律要求：</w:t>
      </w:r>
    </w:p>
    <w:p>
      <w:pPr>
        <w:widowControl/>
        <w:ind w:firstLine="600" w:firstLineChars="200"/>
        <w:jc w:val="left"/>
        <w:rPr>
          <w:rFonts w:ascii="仿宋" w:hAnsi="仿宋" w:eastAsia="仿宋" w:cs="仿宋"/>
          <w:color w:val="000000" w:themeColor="text1"/>
          <w:kern w:val="0"/>
          <w:sz w:val="30"/>
          <w:szCs w:val="30"/>
          <w:lang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除与竞赛直接有关工作人员、裁判员、参赛选手外，其余人员均为观摩观众。</w:t>
      </w:r>
    </w:p>
    <w:p>
      <w:pPr>
        <w:widowControl/>
        <w:ind w:firstLine="600" w:firstLineChars="200"/>
        <w:jc w:val="left"/>
        <w:rPr>
          <w:rFonts w:ascii="仿宋" w:hAnsi="仿宋" w:eastAsia="仿宋" w:cs="仿宋"/>
          <w:color w:val="000000" w:themeColor="text1"/>
          <w:kern w:val="0"/>
          <w:sz w:val="30"/>
          <w:szCs w:val="30"/>
          <w:lang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不得违反</w:t>
      </w:r>
      <w:r>
        <w:rPr>
          <w:rFonts w:hint="eastAsia" w:ascii="仿宋" w:hAnsi="仿宋" w:eastAsia="仿宋" w:cs="仿宋"/>
          <w:color w:val="000000" w:themeColor="text1"/>
          <w:kern w:val="0"/>
          <w:sz w:val="30"/>
          <w:szCs w:val="30"/>
          <w:lang w:val="en-US" w:eastAsia="zh-CN" w:bidi="ar"/>
          <w14:textFill>
            <w14:solidFill>
              <w14:schemeClr w14:val="tx1"/>
            </w14:solidFill>
          </w14:textFill>
        </w:rPr>
        <w:t>海南</w:t>
      </w:r>
      <w:r>
        <w:rPr>
          <w:rFonts w:hint="eastAsia" w:ascii="仿宋" w:hAnsi="仿宋" w:eastAsia="仿宋" w:cs="仿宋"/>
          <w:color w:val="000000" w:themeColor="text1"/>
          <w:kern w:val="0"/>
          <w:sz w:val="30"/>
          <w:szCs w:val="30"/>
          <w:lang w:bidi="ar"/>
          <w14:textFill>
            <w14:solidFill>
              <w14:schemeClr w14:val="tx1"/>
            </w14:solidFill>
          </w14:textFill>
        </w:rPr>
        <w:t>省职业院校技能大赛规定的各项纪律。</w:t>
      </w:r>
    </w:p>
    <w:p>
      <w:pPr>
        <w:widowControl/>
        <w:ind w:firstLine="600" w:firstLineChars="200"/>
        <w:jc w:val="left"/>
        <w:rPr>
          <w:rFonts w:ascii="仿宋" w:hAnsi="仿宋" w:eastAsia="仿宋" w:cs="仿宋"/>
          <w:color w:val="000000" w:themeColor="text1"/>
          <w:kern w:val="0"/>
          <w:sz w:val="30"/>
          <w:szCs w:val="30"/>
          <w:lang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观摩人员需批准，佩戴观摩证件，遵循观摩区的工作人员指挥。</w:t>
      </w:r>
    </w:p>
    <w:p>
      <w:pPr>
        <w:widowControl/>
        <w:ind w:firstLine="600" w:firstLineChars="200"/>
        <w:jc w:val="left"/>
        <w:rPr>
          <w:rFonts w:hint="eastAsia" w:eastAsia="仿宋"/>
          <w:color w:val="000000" w:themeColor="text1"/>
          <w:lang w:eastAsia="zh-CN"/>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文明观摩，保持观摩区清洁，不得大声喧哗，杜绝各种违反观摩秩序的不文明行为。</w:t>
      </w:r>
    </w:p>
    <w:p>
      <w:pPr>
        <w:pStyle w:val="5"/>
        <w:bidi w:val="0"/>
        <w:rPr>
          <w:rFonts w:hint="eastAsia" w:ascii="仿宋_GB2312" w:hAnsi="仿宋" w:eastAsia="仿宋_GB2312"/>
          <w:b/>
          <w:color w:val="000000" w:themeColor="text1"/>
          <w:sz w:val="32"/>
          <w:szCs w:val="32"/>
          <w:lang w:val="en-US" w:eastAsia="zh-CN"/>
          <w14:textFill>
            <w14:solidFill>
              <w14:schemeClr w14:val="tx1"/>
            </w14:solidFill>
          </w14:textFill>
        </w:rPr>
      </w:pPr>
      <w:r>
        <w:rPr>
          <w:rFonts w:hint="eastAsia" w:ascii="仿宋_GB2312" w:hAnsi="仿宋" w:eastAsia="仿宋_GB2312"/>
          <w:b/>
          <w:color w:val="000000" w:themeColor="text1"/>
          <w:sz w:val="32"/>
          <w:szCs w:val="32"/>
          <w:lang w:val="en-US" w:eastAsia="zh-CN"/>
          <w14:textFill>
            <w14:solidFill>
              <w14:schemeClr w14:val="tx1"/>
            </w14:solidFill>
          </w14:textFill>
        </w:rPr>
        <w:t>十四、竞赛视频</w:t>
      </w:r>
    </w:p>
    <w:p>
      <w:pPr>
        <w:snapToGrid w:val="0"/>
        <w:spacing w:line="560" w:lineRule="exact"/>
        <w:ind w:firstLine="600" w:firstLineChars="200"/>
        <w:rPr>
          <w:rFonts w:ascii="仿宋_GB2312" w:hAnsi="仿宋_GB2312" w:eastAsia="仿宋_GB2312" w:cs="仿宋_GB2312"/>
          <w:color w:val="000000" w:themeColor="text1"/>
          <w:kern w:val="0"/>
          <w:sz w:val="30"/>
          <w:szCs w:val="30"/>
          <w14:textFill>
            <w14:solidFill>
              <w14:schemeClr w14:val="tx1"/>
            </w14:solidFill>
          </w14:textFill>
        </w:rPr>
      </w:pPr>
      <w:r>
        <w:rPr>
          <w:rFonts w:hint="eastAsia" w:ascii="仿宋_GB2312" w:hAnsi="仿宋_GB2312" w:eastAsia="仿宋_GB2312" w:cs="仿宋_GB2312"/>
          <w:color w:val="000000" w:themeColor="text1"/>
          <w:kern w:val="0"/>
          <w:sz w:val="30"/>
          <w:szCs w:val="30"/>
          <w14:textFill>
            <w14:solidFill>
              <w14:schemeClr w14:val="tx1"/>
            </w14:solidFill>
          </w14:textFill>
        </w:rPr>
        <w:t>1．赛场内部署无盲点录像设备，能实时录制并播送赛场情况。</w:t>
      </w:r>
    </w:p>
    <w:p>
      <w:pPr>
        <w:snapToGrid w:val="0"/>
        <w:spacing w:line="560" w:lineRule="exact"/>
        <w:ind w:firstLine="600" w:firstLineChars="200"/>
        <w:rPr>
          <w:rFonts w:ascii="仿宋_GB2312" w:hAnsi="宋体" w:eastAsia="仿宋_GB2312" w:cs="Arial"/>
          <w:color w:val="000000" w:themeColor="text1"/>
          <w:kern w:val="0"/>
          <w:sz w:val="30"/>
          <w:szCs w:val="30"/>
          <w14:textFill>
            <w14:solidFill>
              <w14:schemeClr w14:val="tx1"/>
            </w14:solidFill>
          </w14:textFill>
        </w:rPr>
      </w:pPr>
      <w:r>
        <w:rPr>
          <w:rFonts w:hint="eastAsia" w:ascii="仿宋_GB2312" w:hAnsi="仿宋_GB2312" w:eastAsia="仿宋_GB2312" w:cs="仿宋_GB2312"/>
          <w:color w:val="000000" w:themeColor="text1"/>
          <w:kern w:val="0"/>
          <w:sz w:val="30"/>
          <w:szCs w:val="30"/>
          <w14:textFill>
            <w14:solidFill>
              <w14:schemeClr w14:val="tx1"/>
            </w14:solidFill>
          </w14:textFill>
        </w:rPr>
        <w:t>2．赛场外设置有专门的观摩室，同步显示赛场内竞赛状况。</w:t>
      </w:r>
    </w:p>
    <w:p>
      <w:pPr>
        <w:pStyle w:val="5"/>
        <w:bidi w:val="0"/>
        <w:rPr>
          <w:rFonts w:hint="default" w:ascii="仿宋_GB2312" w:hAnsi="仿宋" w:eastAsia="仿宋_GB2312"/>
          <w:b/>
          <w:color w:val="000000" w:themeColor="text1"/>
          <w:sz w:val="32"/>
          <w:szCs w:val="32"/>
          <w:lang w:val="en-US" w:eastAsia="zh-CN"/>
          <w14:textFill>
            <w14:solidFill>
              <w14:schemeClr w14:val="tx1"/>
            </w14:solidFill>
          </w14:textFill>
        </w:rPr>
      </w:pPr>
      <w:r>
        <w:rPr>
          <w:rFonts w:hint="eastAsia" w:ascii="仿宋_GB2312" w:hAnsi="仿宋" w:eastAsia="仿宋_GB2312"/>
          <w:b/>
          <w:color w:val="000000" w:themeColor="text1"/>
          <w:sz w:val="32"/>
          <w:szCs w:val="32"/>
          <w:lang w:val="en-US" w:eastAsia="zh-CN"/>
          <w14:textFill>
            <w14:solidFill>
              <w14:schemeClr w14:val="tx1"/>
            </w14:solidFill>
          </w14:textFill>
        </w:rPr>
        <w:t>十五、竞赛须知</w:t>
      </w:r>
    </w:p>
    <w:p>
      <w:pPr>
        <w:widowControl/>
        <w:spacing w:line="360" w:lineRule="auto"/>
        <w:ind w:firstLine="602" w:firstLineChars="200"/>
        <w:jc w:val="left"/>
        <w:rPr>
          <w:rFonts w:hint="eastAsia" w:ascii="仿宋" w:hAnsi="仿宋" w:eastAsia="仿宋" w:cs="仿宋"/>
          <w:color w:val="000000" w:themeColor="text1"/>
          <w:sz w:val="30"/>
          <w:szCs w:val="30"/>
          <w:lang w:eastAsia="zh-CN"/>
          <w14:textFill>
            <w14:solidFill>
              <w14:schemeClr w14:val="tx1"/>
            </w14:solidFill>
          </w14:textFill>
        </w:rPr>
      </w:pPr>
      <w:r>
        <w:rPr>
          <w:rFonts w:hint="eastAsia" w:ascii="仿宋" w:hAnsi="仿宋" w:eastAsia="仿宋" w:cs="仿宋"/>
          <w:b/>
          <w:color w:val="000000" w:themeColor="text1"/>
          <w:kern w:val="0"/>
          <w:sz w:val="30"/>
          <w:szCs w:val="30"/>
          <w:lang w:bidi="ar"/>
          <w14:textFill>
            <w14:solidFill>
              <w14:schemeClr w14:val="tx1"/>
            </w14:solidFill>
          </w14:textFill>
        </w:rPr>
        <w:t>（一）指导老师须知</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1.各指导老师要发扬良好道德风尚，听从指挥，服从裁判，不弄虚作假。指导老师经报名、审核后确定，一经确定不得更换。</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2.对申诉的仲裁结果，指导老师应带头服从和执行，还应说服选手服从和执行。</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3.指导老师应认真研究和掌握本赛项比赛的技术规则和赛场要求，指导选手做好赛前的一切准备工作。</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4.指导老师应在赛后做好技术总结和工作总结。</w:t>
      </w:r>
    </w:p>
    <w:p>
      <w:pPr>
        <w:widowControl/>
        <w:spacing w:line="360" w:lineRule="auto"/>
        <w:ind w:firstLine="301" w:firstLineChars="100"/>
        <w:jc w:val="left"/>
        <w:rPr>
          <w:rFonts w:hint="eastAsia" w:ascii="仿宋" w:hAnsi="仿宋" w:eastAsia="仿宋" w:cs="仿宋"/>
          <w:color w:val="000000" w:themeColor="text1"/>
          <w:sz w:val="30"/>
          <w:szCs w:val="30"/>
          <w:lang w:eastAsia="zh-CN"/>
          <w14:textFill>
            <w14:solidFill>
              <w14:schemeClr w14:val="tx1"/>
            </w14:solidFill>
          </w14:textFill>
        </w:rPr>
      </w:pPr>
      <w:r>
        <w:rPr>
          <w:rFonts w:hint="eastAsia" w:ascii="仿宋" w:hAnsi="仿宋" w:eastAsia="仿宋" w:cs="仿宋"/>
          <w:b/>
          <w:color w:val="000000" w:themeColor="text1"/>
          <w:kern w:val="0"/>
          <w:sz w:val="30"/>
          <w:szCs w:val="30"/>
          <w:lang w:bidi="ar"/>
          <w14:textFill>
            <w14:solidFill>
              <w14:schemeClr w14:val="tx1"/>
            </w14:solidFill>
          </w14:textFill>
        </w:rPr>
        <w:t>（二）参赛选手须知</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1.参赛选手在报名获得审核确认后，原则上不再更换，如在筹备过程中，选手因故不能参赛，所在学校需出具书面说明并按相关规定补充人员并接受审核；竞赛开始后，不得更换参赛选手。</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2.各参赛选手须准时参加赛前举行的两次加密抽签过程。</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3.各参赛选手要注意饮食卫生，防止食物中毒。</w:t>
      </w:r>
    </w:p>
    <w:p>
      <w:pPr>
        <w:widowControl/>
        <w:spacing w:line="360" w:lineRule="auto"/>
        <w:ind w:firstLine="600" w:firstLineChars="200"/>
        <w:jc w:val="left"/>
        <w:rPr>
          <w:rFonts w:ascii="仿宋" w:hAnsi="仿宋" w:eastAsia="仿宋" w:cs="仿宋"/>
          <w:color w:val="000000" w:themeColor="text1"/>
          <w:kern w:val="0"/>
          <w:sz w:val="30"/>
          <w:szCs w:val="30"/>
          <w:lang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4.各参赛选手要发扬良好道德风尚，听从指挥，服从裁判，不弄虚作假。</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5.各参赛选手在比赛期间，应保证自身的安全，防止交通事故和其它意外事故的发生。</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6.参赛选手应遵守比赛规则，尊重裁判和赛场工作人员，自觉遵守赛场秩序，服从裁判的管理。</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7.参赛选手应佩戴参赛证，带齐身份证、注册的学生证。在赛场的着装，应符合职业要求。在赛场的表现，应体现自己良好的职业习惯和职业素养。</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8.进入赛场前须将手机等通讯工具交赛场相关人员保管，不能带入赛场。未经检验的工具、电子通讯与储存器件和其他不允许带入赛场物品，一律不能进入赛场。</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9.比赛过程中不准互相交谈，不得大声喧哗；不得有影响其他选手比赛的行为，不准有任何作弊行为。</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10.参赛选手在比赛的过程中，应遵守安全操作规程，文明的操作。通电调试设备时，应经现场裁判许可，在技术人员监护下进行。</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11.需要更换设备时，应向现场裁判报告，并在赛场记录表上填写更换设备的规格型号与原因，核实从报告到更换完成的时间并签工位号确认，以便后续补时之用。</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12.连接电路、检查设备不能带电操作；通电调试设备前，应先检查电路并记录，确定正确无误后，才能在裁判或技术人员批准后通电。调试设备过程中，因电路问题或操作不当，引起跳闸或熔体熔断，要酌情扣分。</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13.安装调试过程，工具使用、操作方法要符合规范。因使用不当，造成设备、器材、工具损坏、工伤事故或影响他人比赛，要酌情扣分。</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14.比赛过程中需要去洗手间，应报告现场裁判，由裁判或赛场工作人员陪同离开赛场。</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15.完成比赛任务后，需要在比赛结束前离开赛场，需向现场裁判示意，在赛场记录上填写离场时间并签工位号确认后，方可离开赛场到指定区域等候评分，离开赛场后不可再次进入。未完成比赛任务，因病或其他原因需要终止比赛离开赛场，需经裁判长同意，在赛场记录表的相应栏目填写离场原因、离场时间并签工位号确认后，方可离开；离开后，不能再次进入赛场。</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16.裁判长发出停止比赛的指令，选手（包括需要补时的选手）应立即停止操作进入通道，在现场裁判的指挥下离开赛场到达指定的区域等候评分。需要补时的选手在现场裁判的安排下进行补时，待补时结束后应立即停止操作。</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17.如对裁判员的执裁有异议，可在比赛结束后2小时内向赛项仲裁组以书面形式提出申述。</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18.遇突发事件，立即报告裁判和赛场工作人员，按赛场裁判和工作人员的指令行动。</w:t>
      </w:r>
    </w:p>
    <w:p>
      <w:pPr>
        <w:widowControl/>
        <w:spacing w:line="360" w:lineRule="auto"/>
        <w:ind w:firstLine="301" w:firstLineChars="100"/>
        <w:jc w:val="left"/>
        <w:rPr>
          <w:rFonts w:hint="eastAsia" w:ascii="仿宋" w:hAnsi="仿宋" w:eastAsia="仿宋" w:cs="仿宋"/>
          <w:color w:val="000000" w:themeColor="text1"/>
          <w:sz w:val="30"/>
          <w:szCs w:val="30"/>
          <w:lang w:eastAsia="zh-CN"/>
          <w14:textFill>
            <w14:solidFill>
              <w14:schemeClr w14:val="tx1"/>
            </w14:solidFill>
          </w14:textFill>
        </w:rPr>
      </w:pPr>
      <w:r>
        <w:rPr>
          <w:rFonts w:hint="eastAsia" w:ascii="仿宋" w:hAnsi="仿宋" w:eastAsia="仿宋" w:cs="仿宋"/>
          <w:b/>
          <w:color w:val="000000" w:themeColor="text1"/>
          <w:kern w:val="0"/>
          <w:sz w:val="30"/>
          <w:szCs w:val="30"/>
          <w:lang w:bidi="ar"/>
          <w14:textFill>
            <w14:solidFill>
              <w14:schemeClr w14:val="tx1"/>
            </w14:solidFill>
          </w14:textFill>
        </w:rPr>
        <w:t>（三）工作人员须知</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1.工作人员必须服从赛项组委会统一指挥，佩戴工作人员标识，认真履行职责，做好服务赛场、服务选手的工作。</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2.工作人员按照分工准时上岗，不得擅自离岗，应认真履行各自的工作职责，保证竞赛工作的顺利进行。</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3.工作人员应在规定的区域内工作，未经许可，不得擅自进入竞赛场地。如需进场，需经过裁判长同意，核准证件，有裁判跟随入场。</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4.如遇突发事件，须及时向裁判长报告，同时做好疏导工作，避免重大事故发生，确保竞赛圆满成功。</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5.竞赛期间，工作人员不得干涉及个人工作职责之外的事宜，不得利用工作之便，弄虚作假、徇私舞弊。如有上述现象或因工作不负责任的情况，造成竞赛程序无法继续进行，由赛项组委会视情节轻重，给予通报批评或停止工作，并通知其所在单位做出相应处理。</w:t>
      </w:r>
    </w:p>
    <w:p>
      <w:pPr>
        <w:widowControl/>
        <w:spacing w:line="360" w:lineRule="auto"/>
        <w:ind w:firstLine="301" w:firstLineChars="100"/>
        <w:jc w:val="left"/>
        <w:rPr>
          <w:rFonts w:hint="eastAsia" w:ascii="仿宋" w:hAnsi="仿宋" w:eastAsia="仿宋" w:cs="仿宋"/>
          <w:color w:val="000000" w:themeColor="text1"/>
          <w:sz w:val="30"/>
          <w:szCs w:val="30"/>
          <w:lang w:eastAsia="zh-CN"/>
          <w14:textFill>
            <w14:solidFill>
              <w14:schemeClr w14:val="tx1"/>
            </w14:solidFill>
          </w14:textFill>
        </w:rPr>
      </w:pPr>
      <w:r>
        <w:rPr>
          <w:rFonts w:hint="eastAsia" w:ascii="仿宋" w:hAnsi="仿宋" w:eastAsia="仿宋" w:cs="仿宋"/>
          <w:b/>
          <w:color w:val="000000" w:themeColor="text1"/>
          <w:kern w:val="0"/>
          <w:sz w:val="30"/>
          <w:szCs w:val="30"/>
          <w:lang w:bidi="ar"/>
          <w14:textFill>
            <w14:solidFill>
              <w14:schemeClr w14:val="tx1"/>
            </w14:solidFill>
          </w14:textFill>
        </w:rPr>
        <w:t>（四）裁判员须知</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1.裁判员执裁前应参加培训，了解比赛任务及其要求、考核的知识与技能，认真学习评分标准，理解评分表各评价内容和标准。不参加培训的裁判员，取消执裁资格。</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2.裁判员执裁期间，统一佩戴裁判员标识，举止文明礼貌，接受参赛人员的监督。</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3.遵守执裁纪律，履行裁判职责，执行竞赛规则，信守裁判承诺书的各项承诺。服从赛项专家组和裁判长的领导。按照分工开展工作，始终坚守工作岗位，不得擅自离岗。</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4.裁判员有维护赛场秩序、执行赛场纪律的责任，也有保证参赛选手安全的责任。时刻注意参赛选手操作安全的问题，制止违反安全操作的行为，防止安全事故的出现。</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5.裁判员不得有任何影响参赛选手比赛的行为，不得向参赛选手暗示或解答与竞赛有关的问题，不得指导、帮助选手完成比赛任务。</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6.公平公正的对待每一位参赛选手，不能有亲近与疏远、热情与冷淡差别。</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7.选手有检查设备、更换器件或补充耗材的要求时应予以满足。检查设备或更换设备由赛场技术人员进行，更换后设备的应检测无误后继续投入比赛。赛场技术人员须在赛场记录表上记录需要更换的原因、要求更换到更换完毕的用时、并要求参赛选手签工位号确认。</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8.赛场中选手出现的所有问题，如：违反赛场纪律、违反安全操作规程、提前离开赛场等，都应在赛场记录表上记录，并要求选手签工位号确认。</w:t>
      </w:r>
    </w:p>
    <w:p>
      <w:pPr>
        <w:widowControl/>
        <w:spacing w:line="360" w:lineRule="auto"/>
        <w:ind w:firstLine="600" w:firstLineChars="200"/>
        <w:jc w:val="left"/>
        <w:rPr>
          <w:rFonts w:hint="eastAsia" w:ascii="仿宋" w:hAnsi="仿宋" w:eastAsia="仿宋" w:cs="仿宋"/>
          <w:color w:val="000000" w:themeColor="text1"/>
          <w:kern w:val="0"/>
          <w:sz w:val="30"/>
          <w:szCs w:val="30"/>
          <w:lang w:eastAsia="zh-CN" w:bidi="ar"/>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9.严格执行竞赛项目评分标准，做到公平、公正、真实、准确，杜绝随意打分；对评分表的理解和宽严尺度把握有分歧时，请示裁判长解决。严禁利用工作之便，弄虚作假、徇私舞弊。</w:t>
      </w:r>
    </w:p>
    <w:p>
      <w:pPr>
        <w:widowControl/>
        <w:spacing w:line="360" w:lineRule="auto"/>
        <w:ind w:firstLine="600" w:firstLineChars="200"/>
        <w:jc w:val="left"/>
        <w:rPr>
          <w:rFonts w:asciiTheme="minorEastAsia" w:hAnsiTheme="minorEastAsia" w:eastAsiaTheme="minorEastAsia"/>
          <w:b/>
          <w:bCs/>
          <w:color w:val="000000" w:themeColor="text1"/>
          <w:sz w:val="28"/>
          <w:szCs w:val="28"/>
          <w14:textFill>
            <w14:solidFill>
              <w14:schemeClr w14:val="tx1"/>
            </w14:solidFill>
          </w14:textFill>
        </w:rPr>
      </w:pPr>
      <w:r>
        <w:rPr>
          <w:rFonts w:hint="eastAsia" w:ascii="仿宋" w:hAnsi="仿宋" w:eastAsia="仿宋" w:cs="仿宋"/>
          <w:color w:val="000000" w:themeColor="text1"/>
          <w:kern w:val="0"/>
          <w:sz w:val="30"/>
          <w:szCs w:val="30"/>
          <w:lang w:bidi="ar"/>
          <w14:textFill>
            <w14:solidFill>
              <w14:schemeClr w14:val="tx1"/>
            </w14:solidFill>
          </w14:textFill>
        </w:rPr>
        <w:t>10.竞赛期间，因裁判人员工作不负责任，造成竞赛程序无法继续进行或评判结果不真实的情况，由赛项组委会视情节轻重，给予通报批评或停止裁判资格，并通知其所在单位做出相应处理。</w:t>
      </w:r>
      <w:r>
        <w:rPr>
          <w:rFonts w:hint="eastAsia" w:asciiTheme="minorEastAsia" w:hAnsiTheme="minorEastAsia" w:eastAsiaTheme="minorEastAsia"/>
          <w:b/>
          <w:bCs/>
          <w:color w:val="000000" w:themeColor="text1"/>
          <w:sz w:val="28"/>
          <w:szCs w:val="28"/>
          <w14:textFill>
            <w14:solidFill>
              <w14:schemeClr w14:val="tx1"/>
            </w14:solidFill>
          </w14:textFill>
        </w:rPr>
        <w:br w:type="page"/>
      </w:r>
    </w:p>
    <w:p>
      <w:pPr>
        <w:pStyle w:val="5"/>
        <w:bidi w:val="0"/>
        <w:rPr>
          <w:rFonts w:hint="eastAsia" w:ascii="仿宋_GB2312" w:hAnsi="仿宋" w:eastAsia="仿宋_GB2312"/>
          <w:b/>
          <w:color w:val="000000" w:themeColor="text1"/>
          <w:sz w:val="32"/>
          <w:szCs w:val="32"/>
          <w:lang w:val="en-US" w:eastAsia="zh-CN"/>
          <w14:textFill>
            <w14:solidFill>
              <w14:schemeClr w14:val="tx1"/>
            </w14:solidFill>
          </w14:textFill>
        </w:rPr>
      </w:pPr>
      <w:r>
        <w:rPr>
          <w:rFonts w:hint="eastAsia" w:ascii="仿宋_GB2312" w:hAnsi="仿宋" w:eastAsia="仿宋_GB2312"/>
          <w:b/>
          <w:color w:val="000000" w:themeColor="text1"/>
          <w:sz w:val="32"/>
          <w:szCs w:val="32"/>
          <w:lang w:val="en-US" w:eastAsia="zh-CN"/>
          <w14:textFill>
            <w14:solidFill>
              <w14:schemeClr w14:val="tx1"/>
            </w14:solidFill>
          </w14:textFill>
        </w:rPr>
        <w:t>附件-样卷</w:t>
      </w:r>
    </w:p>
    <w:p>
      <w:pPr>
        <w:pStyle w:val="12"/>
        <w:rPr>
          <w:color w:val="000000" w:themeColor="text1"/>
          <w14:textFill>
            <w14:solidFill>
              <w14:schemeClr w14:val="tx1"/>
            </w14:solidFill>
          </w14:textFill>
        </w:rPr>
      </w:pPr>
      <w:r>
        <w:rPr>
          <w:rFonts w:hint="eastAsia" w:asciiTheme="minorEastAsia" w:hAnsiTheme="minorEastAsia" w:eastAsiaTheme="minorEastAsia"/>
          <w:b/>
          <w:bCs/>
          <w:color w:val="000000" w:themeColor="text1"/>
          <w:kern w:val="2"/>
          <w:sz w:val="28"/>
          <w:szCs w:val="28"/>
          <w:lang w:val="en-US" w:eastAsia="zh-CN"/>
          <w14:textFill>
            <w14:solidFill>
              <w14:schemeClr w14:val="tx1"/>
            </w14:solidFill>
          </w14:textFill>
        </w:rPr>
        <w:t>2022-</w:t>
      </w:r>
      <w:r>
        <w:rPr>
          <w:rFonts w:hint="eastAsia" w:asciiTheme="minorEastAsia" w:hAnsiTheme="minorEastAsia" w:eastAsiaTheme="minorEastAsia"/>
          <w:b/>
          <w:bCs/>
          <w:color w:val="000000" w:themeColor="text1"/>
          <w:kern w:val="2"/>
          <w:sz w:val="28"/>
          <w:szCs w:val="28"/>
          <w:lang w:eastAsia="zh-CN"/>
          <w14:textFill>
            <w14:solidFill>
              <w14:schemeClr w14:val="tx1"/>
            </w14:solidFill>
          </w14:textFill>
        </w:rPr>
        <w:t>202</w:t>
      </w:r>
      <w:r>
        <w:rPr>
          <w:rFonts w:hint="eastAsia" w:asciiTheme="minorEastAsia" w:hAnsiTheme="minorEastAsia" w:eastAsiaTheme="minorEastAsia"/>
          <w:b/>
          <w:bCs/>
          <w:color w:val="000000" w:themeColor="text1"/>
          <w:kern w:val="2"/>
          <w:sz w:val="28"/>
          <w:szCs w:val="28"/>
          <w:lang w:val="en-US" w:eastAsia="zh-CN"/>
          <w14:textFill>
            <w14:solidFill>
              <w14:schemeClr w14:val="tx1"/>
            </w14:solidFill>
          </w14:textFill>
        </w:rPr>
        <w:t>3</w:t>
      </w:r>
      <w:r>
        <w:rPr>
          <w:rFonts w:hint="eastAsia" w:asciiTheme="minorEastAsia" w:hAnsiTheme="minorEastAsia" w:eastAsiaTheme="minorEastAsia"/>
          <w:b/>
          <w:bCs/>
          <w:color w:val="000000" w:themeColor="text1"/>
          <w:kern w:val="2"/>
          <w:sz w:val="28"/>
          <w:szCs w:val="28"/>
          <w14:textFill>
            <w14:solidFill>
              <w14:schemeClr w14:val="tx1"/>
            </w14:solidFill>
          </w14:textFill>
        </w:rPr>
        <w:t>年</w:t>
      </w:r>
      <w:r>
        <w:rPr>
          <w:rFonts w:hint="eastAsia" w:asciiTheme="minorEastAsia" w:hAnsiTheme="minorEastAsia" w:eastAsiaTheme="minorEastAsia"/>
          <w:b/>
          <w:bCs/>
          <w:color w:val="000000" w:themeColor="text1"/>
          <w:kern w:val="2"/>
          <w:sz w:val="28"/>
          <w:szCs w:val="28"/>
          <w:lang w:val="en-US" w:eastAsia="zh-CN"/>
          <w14:textFill>
            <w14:solidFill>
              <w14:schemeClr w14:val="tx1"/>
            </w14:solidFill>
          </w14:textFill>
        </w:rPr>
        <w:t>海南</w:t>
      </w:r>
      <w:r>
        <w:rPr>
          <w:rFonts w:hint="eastAsia" w:asciiTheme="minorEastAsia" w:hAnsiTheme="minorEastAsia" w:eastAsiaTheme="minorEastAsia"/>
          <w:b/>
          <w:bCs/>
          <w:color w:val="000000" w:themeColor="text1"/>
          <w:kern w:val="2"/>
          <w:sz w:val="28"/>
          <w:szCs w:val="28"/>
          <w14:textFill>
            <w14:solidFill>
              <w14:schemeClr w14:val="tx1"/>
            </w14:solidFill>
          </w14:textFill>
        </w:rPr>
        <w:t>省职业院校技能大赛高职组云计算竞赛赛卷（样卷）。</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某企业拟使用OpenStack搭建一个企业云平台，以实现资源池化弹性管理、企业应用集中管理、统一安全认证和授权等管理。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系统架构如图1所示，IP地址规划如表1所示。</w:t>
      </w:r>
    </w:p>
    <w:p>
      <w:pPr>
        <w:spacing w:line="360" w:lineRule="auto"/>
        <w:ind w:firstLine="420"/>
        <w:rPr>
          <w:rFonts w:ascii="Times New Roman" w:hAnsi="Times New Roman"/>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drawing>
          <wp:inline distT="0" distB="0" distL="114300" distR="114300">
            <wp:extent cx="5258435" cy="2958465"/>
            <wp:effectExtent l="0" t="0" r="18415" b="13335"/>
            <wp:docPr id="2" name="图片 1" descr="8e64444688dba780ac81f26a72075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8e64444688dba780ac81f26a72075c0"/>
                    <pic:cNvPicPr>
                      <a:picLocks noChangeAspect="1"/>
                    </pic:cNvPicPr>
                  </pic:nvPicPr>
                  <pic:blipFill>
                    <a:blip r:embed="rId5"/>
                    <a:stretch>
                      <a:fillRect/>
                    </a:stretch>
                  </pic:blipFill>
                  <pic:spPr>
                    <a:xfrm>
                      <a:off x="0" y="0"/>
                      <a:ext cx="5258435" cy="2958465"/>
                    </a:xfrm>
                    <a:prstGeom prst="rect">
                      <a:avLst/>
                    </a:prstGeom>
                    <a:noFill/>
                    <a:ln>
                      <a:noFill/>
                    </a:ln>
                  </pic:spPr>
                </pic:pic>
              </a:graphicData>
            </a:graphic>
          </wp:inline>
        </w:drawing>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图1系统架构图</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表1  IP地址规划</w:t>
      </w:r>
    </w:p>
    <w:tbl>
      <w:tblPr>
        <w:tblStyle w:val="13"/>
        <w:tblW w:w="8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85"/>
        <w:gridCol w:w="1293"/>
        <w:gridCol w:w="1641"/>
        <w:gridCol w:w="2563"/>
        <w:gridCol w:w="13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285" w:type="dxa"/>
          </w:tcPr>
          <w:p>
            <w:pPr>
              <w:widowControl/>
              <w:spacing w:line="360" w:lineRule="auto"/>
              <w:ind w:firstLine="31" w:firstLineChars="13"/>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设备名称</w:t>
            </w:r>
          </w:p>
        </w:tc>
        <w:tc>
          <w:tcPr>
            <w:tcW w:w="1293" w:type="dxa"/>
          </w:tcPr>
          <w:p>
            <w:pPr>
              <w:widowControl/>
              <w:spacing w:line="360" w:lineRule="auto"/>
              <w:ind w:firstLine="16" w:firstLineChars="7"/>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主机名</w:t>
            </w:r>
          </w:p>
        </w:tc>
        <w:tc>
          <w:tcPr>
            <w:tcW w:w="1641" w:type="dxa"/>
            <w:tcBorders>
              <w:right w:val="single" w:color="auto" w:sz="4" w:space="0"/>
            </w:tcBorders>
          </w:tcPr>
          <w:p>
            <w:pPr>
              <w:widowControl/>
              <w:spacing w:line="360" w:lineRule="auto"/>
              <w:ind w:firstLine="2" w:firstLineChars="1"/>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接口</w:t>
            </w:r>
          </w:p>
        </w:tc>
        <w:tc>
          <w:tcPr>
            <w:tcW w:w="2563" w:type="dxa"/>
            <w:tcBorders>
              <w:left w:val="single" w:color="auto" w:sz="4" w:space="0"/>
            </w:tcBorders>
          </w:tcPr>
          <w:p>
            <w:pPr>
              <w:widowControl/>
              <w:spacing w:line="360" w:lineRule="auto"/>
              <w:ind w:firstLine="64" w:firstLineChars="27"/>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IP地址</w:t>
            </w:r>
          </w:p>
        </w:tc>
        <w:tc>
          <w:tcPr>
            <w:tcW w:w="1396" w:type="dxa"/>
          </w:tcPr>
          <w:p>
            <w:pPr>
              <w:widowControl/>
              <w:spacing w:line="360" w:lineRule="auto"/>
              <w:ind w:firstLine="45" w:firstLineChars="19"/>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85" w:type="dxa"/>
            <w:vMerge w:val="restart"/>
            <w:vAlign w:val="center"/>
          </w:tcPr>
          <w:p>
            <w:pPr>
              <w:widowControl/>
              <w:spacing w:line="360" w:lineRule="auto"/>
              <w:ind w:firstLine="31" w:firstLineChars="13"/>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云服务器1</w:t>
            </w:r>
          </w:p>
        </w:tc>
        <w:tc>
          <w:tcPr>
            <w:tcW w:w="1293" w:type="dxa"/>
            <w:vMerge w:val="restart"/>
            <w:vAlign w:val="center"/>
          </w:tcPr>
          <w:p>
            <w:pPr>
              <w:widowControl/>
              <w:spacing w:line="360" w:lineRule="auto"/>
              <w:ind w:firstLine="16" w:firstLineChars="7"/>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Controller</w:t>
            </w:r>
          </w:p>
        </w:tc>
        <w:tc>
          <w:tcPr>
            <w:tcW w:w="1641" w:type="dxa"/>
            <w:tcBorders>
              <w:right w:val="single" w:color="auto" w:sz="4" w:space="0"/>
            </w:tcBorders>
          </w:tcPr>
          <w:p>
            <w:pPr>
              <w:widowControl/>
              <w:spacing w:line="360" w:lineRule="auto"/>
              <w:ind w:firstLine="2" w:firstLineChars="1"/>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eth0</w:t>
            </w:r>
          </w:p>
        </w:tc>
        <w:tc>
          <w:tcPr>
            <w:tcW w:w="2563" w:type="dxa"/>
            <w:tcBorders>
              <w:left w:val="single" w:color="auto" w:sz="4" w:space="0"/>
            </w:tcBorders>
            <w:vAlign w:val="center"/>
          </w:tcPr>
          <w:p>
            <w:pPr>
              <w:widowControl/>
              <w:spacing w:line="360" w:lineRule="auto"/>
              <w:ind w:firstLine="64" w:firstLineChars="27"/>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192.168.x.10/24</w:t>
            </w:r>
          </w:p>
        </w:tc>
        <w:tc>
          <w:tcPr>
            <w:tcW w:w="1396" w:type="dxa"/>
            <w:vAlign w:val="center"/>
          </w:tcPr>
          <w:p>
            <w:pPr>
              <w:widowControl/>
              <w:spacing w:line="360" w:lineRule="auto"/>
              <w:ind w:firstLine="45" w:firstLineChars="19"/>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Vlan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85" w:type="dxa"/>
            <w:vMerge w:val="continue"/>
            <w:vAlign w:val="center"/>
          </w:tcPr>
          <w:p>
            <w:pPr>
              <w:widowControl/>
              <w:spacing w:line="360" w:lineRule="auto"/>
              <w:ind w:firstLine="31" w:firstLineChars="13"/>
              <w:jc w:val="center"/>
              <w:rPr>
                <w:rFonts w:ascii="仿宋" w:hAnsi="仿宋" w:eastAsia="仿宋" w:cs="仿宋"/>
                <w:color w:val="000000" w:themeColor="text1"/>
                <w:kern w:val="0"/>
                <w:sz w:val="24"/>
                <w:szCs w:val="24"/>
                <w:lang w:bidi="ar"/>
                <w14:textFill>
                  <w14:solidFill>
                    <w14:schemeClr w14:val="tx1"/>
                  </w14:solidFill>
                </w14:textFill>
              </w:rPr>
            </w:pPr>
          </w:p>
        </w:tc>
        <w:tc>
          <w:tcPr>
            <w:tcW w:w="1293" w:type="dxa"/>
            <w:vMerge w:val="continue"/>
            <w:vAlign w:val="center"/>
          </w:tcPr>
          <w:p>
            <w:pPr>
              <w:widowControl/>
              <w:spacing w:line="360" w:lineRule="auto"/>
              <w:ind w:firstLine="16" w:firstLineChars="7"/>
              <w:jc w:val="center"/>
              <w:rPr>
                <w:rFonts w:ascii="仿宋" w:hAnsi="仿宋" w:eastAsia="仿宋" w:cs="仿宋"/>
                <w:color w:val="000000" w:themeColor="text1"/>
                <w:kern w:val="0"/>
                <w:sz w:val="24"/>
                <w:szCs w:val="24"/>
                <w:lang w:bidi="ar"/>
                <w14:textFill>
                  <w14:solidFill>
                    <w14:schemeClr w14:val="tx1"/>
                  </w14:solidFill>
                </w14:textFill>
              </w:rPr>
            </w:pPr>
          </w:p>
        </w:tc>
        <w:tc>
          <w:tcPr>
            <w:tcW w:w="1641" w:type="dxa"/>
            <w:tcBorders>
              <w:right w:val="single" w:color="auto" w:sz="4" w:space="0"/>
            </w:tcBorders>
          </w:tcPr>
          <w:p>
            <w:pPr>
              <w:widowControl/>
              <w:spacing w:line="360" w:lineRule="auto"/>
              <w:ind w:firstLine="2" w:firstLineChars="1"/>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eth1</w:t>
            </w:r>
          </w:p>
        </w:tc>
        <w:tc>
          <w:tcPr>
            <w:tcW w:w="2563" w:type="dxa"/>
            <w:tcBorders>
              <w:left w:val="single" w:color="auto" w:sz="4" w:space="0"/>
            </w:tcBorders>
            <w:vAlign w:val="center"/>
          </w:tcPr>
          <w:p>
            <w:pPr>
              <w:widowControl/>
              <w:spacing w:line="360" w:lineRule="auto"/>
              <w:ind w:firstLine="64" w:firstLineChars="27"/>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192.168.y.10/24</w:t>
            </w:r>
          </w:p>
        </w:tc>
        <w:tc>
          <w:tcPr>
            <w:tcW w:w="1396" w:type="dxa"/>
            <w:vAlign w:val="center"/>
          </w:tcPr>
          <w:p>
            <w:pPr>
              <w:widowControl/>
              <w:spacing w:line="360" w:lineRule="auto"/>
              <w:ind w:firstLine="45" w:firstLineChars="19"/>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Vlan y</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85" w:type="dxa"/>
            <w:vMerge w:val="restart"/>
            <w:vAlign w:val="center"/>
          </w:tcPr>
          <w:p>
            <w:pPr>
              <w:widowControl/>
              <w:spacing w:line="360" w:lineRule="auto"/>
              <w:ind w:firstLine="31" w:firstLineChars="13"/>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云服务器2</w:t>
            </w:r>
          </w:p>
        </w:tc>
        <w:tc>
          <w:tcPr>
            <w:tcW w:w="1293" w:type="dxa"/>
            <w:vMerge w:val="restart"/>
            <w:vAlign w:val="center"/>
          </w:tcPr>
          <w:p>
            <w:pPr>
              <w:widowControl/>
              <w:spacing w:line="360" w:lineRule="auto"/>
              <w:ind w:firstLine="16" w:firstLineChars="7"/>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Compute</w:t>
            </w:r>
          </w:p>
        </w:tc>
        <w:tc>
          <w:tcPr>
            <w:tcW w:w="1641" w:type="dxa"/>
            <w:tcBorders>
              <w:right w:val="single" w:color="auto" w:sz="4" w:space="0"/>
            </w:tcBorders>
          </w:tcPr>
          <w:p>
            <w:pPr>
              <w:widowControl/>
              <w:spacing w:line="360" w:lineRule="auto"/>
              <w:ind w:firstLine="2" w:firstLineChars="1"/>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eth0</w:t>
            </w:r>
          </w:p>
        </w:tc>
        <w:tc>
          <w:tcPr>
            <w:tcW w:w="2563" w:type="dxa"/>
            <w:tcBorders>
              <w:left w:val="single" w:color="auto" w:sz="4" w:space="0"/>
            </w:tcBorders>
            <w:vAlign w:val="center"/>
          </w:tcPr>
          <w:p>
            <w:pPr>
              <w:widowControl/>
              <w:spacing w:line="360" w:lineRule="auto"/>
              <w:ind w:firstLine="64" w:firstLineChars="27"/>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192.168.x.20/24</w:t>
            </w:r>
          </w:p>
        </w:tc>
        <w:tc>
          <w:tcPr>
            <w:tcW w:w="1396" w:type="dxa"/>
            <w:vAlign w:val="center"/>
          </w:tcPr>
          <w:p>
            <w:pPr>
              <w:widowControl/>
              <w:spacing w:line="360" w:lineRule="auto"/>
              <w:ind w:firstLine="45" w:firstLineChars="19"/>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Vlan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85" w:type="dxa"/>
            <w:vMerge w:val="continue"/>
            <w:vAlign w:val="center"/>
          </w:tcPr>
          <w:p>
            <w:pPr>
              <w:widowControl/>
              <w:spacing w:line="360" w:lineRule="auto"/>
              <w:ind w:firstLine="31" w:firstLineChars="13"/>
              <w:jc w:val="center"/>
              <w:rPr>
                <w:rFonts w:ascii="仿宋" w:hAnsi="仿宋" w:eastAsia="仿宋" w:cs="仿宋"/>
                <w:color w:val="000000" w:themeColor="text1"/>
                <w:kern w:val="0"/>
                <w:sz w:val="24"/>
                <w:szCs w:val="24"/>
                <w:lang w:bidi="ar"/>
                <w14:textFill>
                  <w14:solidFill>
                    <w14:schemeClr w14:val="tx1"/>
                  </w14:solidFill>
                </w14:textFill>
              </w:rPr>
            </w:pPr>
          </w:p>
        </w:tc>
        <w:tc>
          <w:tcPr>
            <w:tcW w:w="1293" w:type="dxa"/>
            <w:vMerge w:val="continue"/>
          </w:tcPr>
          <w:p>
            <w:pPr>
              <w:widowControl/>
              <w:spacing w:line="360" w:lineRule="auto"/>
              <w:ind w:firstLine="16" w:firstLineChars="7"/>
              <w:jc w:val="center"/>
              <w:rPr>
                <w:rFonts w:ascii="仿宋" w:hAnsi="仿宋" w:eastAsia="仿宋" w:cs="仿宋"/>
                <w:color w:val="000000" w:themeColor="text1"/>
                <w:kern w:val="0"/>
                <w:sz w:val="24"/>
                <w:szCs w:val="24"/>
                <w:lang w:bidi="ar"/>
                <w14:textFill>
                  <w14:solidFill>
                    <w14:schemeClr w14:val="tx1"/>
                  </w14:solidFill>
                </w14:textFill>
              </w:rPr>
            </w:pPr>
          </w:p>
        </w:tc>
        <w:tc>
          <w:tcPr>
            <w:tcW w:w="1641" w:type="dxa"/>
            <w:tcBorders>
              <w:right w:val="single" w:color="auto" w:sz="4" w:space="0"/>
            </w:tcBorders>
          </w:tcPr>
          <w:p>
            <w:pPr>
              <w:widowControl/>
              <w:spacing w:line="360" w:lineRule="auto"/>
              <w:ind w:firstLine="2" w:firstLineChars="1"/>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eth1</w:t>
            </w:r>
          </w:p>
        </w:tc>
        <w:tc>
          <w:tcPr>
            <w:tcW w:w="2563" w:type="dxa"/>
            <w:tcBorders>
              <w:left w:val="single" w:color="auto" w:sz="4" w:space="0"/>
            </w:tcBorders>
            <w:vAlign w:val="center"/>
          </w:tcPr>
          <w:p>
            <w:pPr>
              <w:widowControl/>
              <w:spacing w:line="360" w:lineRule="auto"/>
              <w:ind w:firstLine="64" w:firstLineChars="27"/>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192.168.y.20/24</w:t>
            </w:r>
          </w:p>
        </w:tc>
        <w:tc>
          <w:tcPr>
            <w:tcW w:w="1396" w:type="dxa"/>
            <w:vAlign w:val="center"/>
          </w:tcPr>
          <w:p>
            <w:pPr>
              <w:widowControl/>
              <w:spacing w:line="360" w:lineRule="auto"/>
              <w:ind w:firstLine="45" w:firstLineChars="19"/>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Vlan y</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85" w:type="dxa"/>
          </w:tcPr>
          <w:p>
            <w:pPr>
              <w:widowControl/>
              <w:spacing w:line="360" w:lineRule="auto"/>
              <w:ind w:firstLine="31" w:firstLineChars="13"/>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PC-1</w:t>
            </w:r>
          </w:p>
        </w:tc>
        <w:tc>
          <w:tcPr>
            <w:tcW w:w="1293" w:type="dxa"/>
          </w:tcPr>
          <w:p>
            <w:pPr>
              <w:widowControl/>
              <w:spacing w:line="360" w:lineRule="auto"/>
              <w:ind w:firstLine="16" w:firstLineChars="7"/>
              <w:jc w:val="center"/>
              <w:rPr>
                <w:rFonts w:ascii="仿宋" w:hAnsi="仿宋" w:eastAsia="仿宋" w:cs="仿宋"/>
                <w:color w:val="000000" w:themeColor="text1"/>
                <w:kern w:val="0"/>
                <w:sz w:val="24"/>
                <w:szCs w:val="24"/>
                <w:lang w:bidi="ar"/>
                <w14:textFill>
                  <w14:solidFill>
                    <w14:schemeClr w14:val="tx1"/>
                  </w14:solidFill>
                </w14:textFill>
              </w:rPr>
            </w:pPr>
          </w:p>
        </w:tc>
        <w:tc>
          <w:tcPr>
            <w:tcW w:w="1641" w:type="dxa"/>
            <w:tcBorders>
              <w:right w:val="single" w:color="auto" w:sz="4" w:space="0"/>
            </w:tcBorders>
          </w:tcPr>
          <w:p>
            <w:pPr>
              <w:widowControl/>
              <w:spacing w:line="360" w:lineRule="auto"/>
              <w:ind w:firstLine="2" w:firstLineChars="1"/>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本地连接</w:t>
            </w:r>
          </w:p>
        </w:tc>
        <w:tc>
          <w:tcPr>
            <w:tcW w:w="2563" w:type="dxa"/>
            <w:tcBorders>
              <w:left w:val="single" w:color="auto" w:sz="4" w:space="0"/>
            </w:tcBorders>
            <w:vAlign w:val="center"/>
          </w:tcPr>
          <w:p>
            <w:pPr>
              <w:widowControl/>
              <w:spacing w:line="360" w:lineRule="auto"/>
              <w:ind w:firstLine="64" w:firstLineChars="27"/>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172.24.z.2/24</w:t>
            </w:r>
          </w:p>
        </w:tc>
        <w:tc>
          <w:tcPr>
            <w:tcW w:w="1396" w:type="dxa"/>
          </w:tcPr>
          <w:p>
            <w:pPr>
              <w:widowControl/>
              <w:spacing w:line="360" w:lineRule="auto"/>
              <w:ind w:firstLine="45" w:firstLineChars="19"/>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Vlan 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85" w:type="dxa"/>
            <w:vMerge w:val="restart"/>
            <w:vAlign w:val="center"/>
          </w:tcPr>
          <w:p>
            <w:pPr>
              <w:widowControl/>
              <w:spacing w:line="360" w:lineRule="auto"/>
              <w:ind w:firstLine="31" w:firstLineChars="13"/>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交换机</w:t>
            </w:r>
          </w:p>
        </w:tc>
        <w:tc>
          <w:tcPr>
            <w:tcW w:w="1293" w:type="dxa"/>
            <w:vAlign w:val="center"/>
          </w:tcPr>
          <w:p>
            <w:pPr>
              <w:widowControl/>
              <w:spacing w:line="360" w:lineRule="auto"/>
              <w:ind w:firstLine="16" w:firstLineChars="7"/>
              <w:jc w:val="center"/>
              <w:rPr>
                <w:rFonts w:ascii="仿宋" w:hAnsi="仿宋" w:eastAsia="仿宋" w:cs="仿宋"/>
                <w:color w:val="000000" w:themeColor="text1"/>
                <w:kern w:val="0"/>
                <w:sz w:val="24"/>
                <w:szCs w:val="24"/>
                <w:lang w:bidi="ar"/>
                <w14:textFill>
                  <w14:solidFill>
                    <w14:schemeClr w14:val="tx1"/>
                  </w14:solidFill>
                </w14:textFill>
              </w:rPr>
            </w:pPr>
          </w:p>
        </w:tc>
        <w:tc>
          <w:tcPr>
            <w:tcW w:w="1641" w:type="dxa"/>
            <w:tcBorders>
              <w:right w:val="single" w:color="auto" w:sz="4" w:space="0"/>
            </w:tcBorders>
          </w:tcPr>
          <w:p>
            <w:pPr>
              <w:widowControl/>
              <w:spacing w:line="360" w:lineRule="auto"/>
              <w:ind w:firstLine="2" w:firstLineChars="1"/>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Vlan 1</w:t>
            </w:r>
          </w:p>
        </w:tc>
        <w:tc>
          <w:tcPr>
            <w:tcW w:w="2563" w:type="dxa"/>
            <w:tcBorders>
              <w:left w:val="single" w:color="auto" w:sz="4" w:space="0"/>
            </w:tcBorders>
          </w:tcPr>
          <w:p>
            <w:pPr>
              <w:widowControl/>
              <w:spacing w:line="360" w:lineRule="auto"/>
              <w:ind w:firstLine="64" w:firstLineChars="27"/>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172.24.z.1/24</w:t>
            </w:r>
          </w:p>
        </w:tc>
        <w:tc>
          <w:tcPr>
            <w:tcW w:w="1396" w:type="dxa"/>
          </w:tcPr>
          <w:p>
            <w:pPr>
              <w:widowControl/>
              <w:spacing w:line="360" w:lineRule="auto"/>
              <w:ind w:firstLine="45" w:firstLineChars="19"/>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PC机使用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85" w:type="dxa"/>
            <w:vMerge w:val="continue"/>
            <w:vAlign w:val="center"/>
          </w:tcPr>
          <w:p>
            <w:pPr>
              <w:widowControl/>
              <w:spacing w:line="360" w:lineRule="auto"/>
              <w:ind w:firstLine="31" w:firstLineChars="13"/>
              <w:jc w:val="center"/>
              <w:rPr>
                <w:rFonts w:ascii="仿宋" w:hAnsi="仿宋" w:eastAsia="仿宋" w:cs="仿宋"/>
                <w:color w:val="000000" w:themeColor="text1"/>
                <w:kern w:val="0"/>
                <w:sz w:val="24"/>
                <w:szCs w:val="24"/>
                <w:lang w:bidi="ar"/>
                <w14:textFill>
                  <w14:solidFill>
                    <w14:schemeClr w14:val="tx1"/>
                  </w14:solidFill>
                </w14:textFill>
              </w:rPr>
            </w:pPr>
          </w:p>
        </w:tc>
        <w:tc>
          <w:tcPr>
            <w:tcW w:w="1293" w:type="dxa"/>
            <w:vAlign w:val="center"/>
          </w:tcPr>
          <w:p>
            <w:pPr>
              <w:widowControl/>
              <w:spacing w:line="360" w:lineRule="auto"/>
              <w:ind w:firstLine="16" w:firstLineChars="7"/>
              <w:jc w:val="center"/>
              <w:rPr>
                <w:rFonts w:ascii="仿宋" w:hAnsi="仿宋" w:eastAsia="仿宋" w:cs="仿宋"/>
                <w:color w:val="000000" w:themeColor="text1"/>
                <w:kern w:val="0"/>
                <w:sz w:val="24"/>
                <w:szCs w:val="24"/>
                <w:lang w:bidi="ar"/>
                <w14:textFill>
                  <w14:solidFill>
                    <w14:schemeClr w14:val="tx1"/>
                  </w14:solidFill>
                </w14:textFill>
              </w:rPr>
            </w:pPr>
          </w:p>
        </w:tc>
        <w:tc>
          <w:tcPr>
            <w:tcW w:w="1641" w:type="dxa"/>
            <w:tcBorders>
              <w:right w:val="single" w:color="auto" w:sz="4" w:space="0"/>
            </w:tcBorders>
          </w:tcPr>
          <w:p>
            <w:pPr>
              <w:widowControl/>
              <w:spacing w:line="360" w:lineRule="auto"/>
              <w:ind w:firstLine="2" w:firstLineChars="1"/>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Vlan 10</w:t>
            </w:r>
          </w:p>
        </w:tc>
        <w:tc>
          <w:tcPr>
            <w:tcW w:w="2563" w:type="dxa"/>
            <w:tcBorders>
              <w:left w:val="single" w:color="auto" w:sz="4" w:space="0"/>
            </w:tcBorders>
            <w:vAlign w:val="center"/>
          </w:tcPr>
          <w:p>
            <w:pPr>
              <w:widowControl/>
              <w:spacing w:line="360" w:lineRule="auto"/>
              <w:ind w:firstLine="64" w:firstLineChars="27"/>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192.168.x.1/24</w:t>
            </w:r>
          </w:p>
        </w:tc>
        <w:tc>
          <w:tcPr>
            <w:tcW w:w="1396" w:type="dxa"/>
          </w:tcPr>
          <w:p>
            <w:pPr>
              <w:widowControl/>
              <w:spacing w:line="360" w:lineRule="auto"/>
              <w:ind w:firstLine="45" w:firstLineChars="19"/>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服务器使用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85" w:type="dxa"/>
            <w:vMerge w:val="continue"/>
          </w:tcPr>
          <w:p>
            <w:pPr>
              <w:widowControl/>
              <w:spacing w:line="360" w:lineRule="auto"/>
              <w:ind w:firstLine="31" w:firstLineChars="13"/>
              <w:jc w:val="center"/>
              <w:rPr>
                <w:rFonts w:ascii="仿宋" w:hAnsi="仿宋" w:eastAsia="仿宋" w:cs="仿宋"/>
                <w:color w:val="000000" w:themeColor="text1"/>
                <w:kern w:val="0"/>
                <w:sz w:val="24"/>
                <w:szCs w:val="24"/>
                <w:lang w:bidi="ar"/>
                <w14:textFill>
                  <w14:solidFill>
                    <w14:schemeClr w14:val="tx1"/>
                  </w14:solidFill>
                </w14:textFill>
              </w:rPr>
            </w:pPr>
          </w:p>
        </w:tc>
        <w:tc>
          <w:tcPr>
            <w:tcW w:w="1293" w:type="dxa"/>
          </w:tcPr>
          <w:p>
            <w:pPr>
              <w:widowControl/>
              <w:spacing w:line="360" w:lineRule="auto"/>
              <w:ind w:firstLine="16" w:firstLineChars="7"/>
              <w:jc w:val="center"/>
              <w:rPr>
                <w:rFonts w:ascii="仿宋" w:hAnsi="仿宋" w:eastAsia="仿宋" w:cs="仿宋"/>
                <w:color w:val="000000" w:themeColor="text1"/>
                <w:kern w:val="0"/>
                <w:sz w:val="24"/>
                <w:szCs w:val="24"/>
                <w:lang w:bidi="ar"/>
                <w14:textFill>
                  <w14:solidFill>
                    <w14:schemeClr w14:val="tx1"/>
                  </w14:solidFill>
                </w14:textFill>
              </w:rPr>
            </w:pPr>
          </w:p>
        </w:tc>
        <w:tc>
          <w:tcPr>
            <w:tcW w:w="1641" w:type="dxa"/>
            <w:tcBorders>
              <w:right w:val="single" w:color="auto" w:sz="4" w:space="0"/>
            </w:tcBorders>
          </w:tcPr>
          <w:p>
            <w:pPr>
              <w:widowControl/>
              <w:spacing w:line="360" w:lineRule="auto"/>
              <w:ind w:firstLine="2" w:firstLineChars="1"/>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Vlan 20</w:t>
            </w:r>
          </w:p>
        </w:tc>
        <w:tc>
          <w:tcPr>
            <w:tcW w:w="2563" w:type="dxa"/>
            <w:tcBorders>
              <w:left w:val="single" w:color="auto" w:sz="4" w:space="0"/>
            </w:tcBorders>
            <w:vAlign w:val="center"/>
          </w:tcPr>
          <w:p>
            <w:pPr>
              <w:widowControl/>
              <w:spacing w:line="360" w:lineRule="auto"/>
              <w:ind w:firstLine="64" w:firstLineChars="27"/>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192.168.y.1/24</w:t>
            </w:r>
          </w:p>
        </w:tc>
        <w:tc>
          <w:tcPr>
            <w:tcW w:w="1396" w:type="dxa"/>
          </w:tcPr>
          <w:p>
            <w:pPr>
              <w:widowControl/>
              <w:spacing w:line="360" w:lineRule="auto"/>
              <w:ind w:firstLine="45" w:firstLineChars="19"/>
              <w:jc w:val="center"/>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虚拟机使用</w:t>
            </w:r>
          </w:p>
        </w:tc>
      </w:tr>
    </w:tbl>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说明：</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1．表中的 x，y 为vlan号，每人有两个vlan号；z为工位号；</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 xml:space="preserve">2．根据图表给出的信息，检查硬件连线及网络设备配置，确保网络连接正常； </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3．考试所需要的资源包与附件均在考位信息表中给出；</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4．竞赛过程中，为确保服务器的安全，请自行修改服务器密码；在考试系统提交信息时，请确认自己的IP地址，用户名和密码。</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【任务1】基础运维任务[5分]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【适用平台】私有云</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【题目1】基础环境配置</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根据表1中的IP地址规划，设置各服务器节点的IP地址，确保网络正常通信，然后按以下要求配置服务器：</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（1）设置控制节点主机名为controller，设置计算节点主机名为compute；</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（2）修改hosts文件将IP地址映射为主机名；</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（3）关闭控制节点的防火墙，设置开机不启动；</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（4）设置SELinux为Permissive 模式。</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完成后提交控制节点的用户名、密码和IP地址到答题框。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【题目2】镜像挂载</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将提供的iso光盘镜像上传到controller节点/root目录下，然后在/opt目录下分别创建centos目录和openstack目录，并将镜像文件挂载到</w:t>
      </w:r>
      <w:r>
        <w:rPr>
          <w:rFonts w:hint="eastAsia" w:ascii="仿宋" w:hAnsi="仿宋" w:eastAsia="仿宋" w:cs="仿宋"/>
          <w:color w:val="000000" w:themeColor="text1"/>
          <w:kern w:val="0"/>
          <w:sz w:val="24"/>
          <w:szCs w:val="24"/>
          <w:lang w:val="en-US" w:eastAsia="zh-CN" w:bidi="ar"/>
          <w14:textFill>
            <w14:solidFill>
              <w14:schemeClr w14:val="tx1"/>
            </w14:solidFill>
          </w14:textFill>
        </w:rPr>
        <w:t>相应</w:t>
      </w:r>
      <w:r>
        <w:rPr>
          <w:rFonts w:hint="eastAsia" w:ascii="仿宋" w:hAnsi="仿宋" w:eastAsia="仿宋" w:cs="仿宋"/>
          <w:color w:val="000000" w:themeColor="text1"/>
          <w:kern w:val="0"/>
          <w:sz w:val="24"/>
          <w:szCs w:val="24"/>
          <w:lang w:bidi="ar"/>
          <w14:textFill>
            <w14:solidFill>
              <w14:schemeClr w14:val="tx1"/>
            </w14:solidFill>
          </w14:textFill>
        </w:rPr>
        <w:t>目录下。完成后提交控制节点的用户名、密码和IP地址到答题框。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【题目3】Yum源配置</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controller节点上利用/opt/centos目录中的软件包安装vsftpd服务，设置开机自启动，并使用ftp提供yum仓库服务（ftp共享的目录为/opt），分别设置controller节点和compute节点的yum源文件ftp.repo，其中ftp服务器地址使用主机名形式。完成后提交控制节点的用户名、密码和IP地址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【题目4】时间同步配置</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controller节点上部署chrony服务器，允许其他节点同步时间，启动服务并设置为开机启动；在compute节点上指定controller节点为上游NTP服务器，重启服务并设为开机启动。完成后提交控制节点的用户名、密码和IP地址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【题目5】计算节点分区</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在compute节点上利用空白分区划分2个100G分区。完成后提交计算节点的用户名、密码和IP地址到答题框。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【任务2】OpenStack搭建任务[15分]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【适用平台】私有云</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【题目1】基础安装</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在控制节点和计算节点上分别安装iaas-</w:t>
      </w:r>
      <w:r>
        <w:rPr>
          <w:rFonts w:hint="eastAsia" w:ascii="仿宋" w:hAnsi="仿宋" w:eastAsia="仿宋" w:cs="仿宋"/>
          <w:color w:val="000000" w:themeColor="text1"/>
          <w:kern w:val="0"/>
          <w:sz w:val="24"/>
          <w:szCs w:val="24"/>
          <w:lang w:val="en-US" w:eastAsia="zh-CN" w:bidi="ar"/>
          <w14:textFill>
            <w14:solidFill>
              <w14:schemeClr w14:val="tx1"/>
            </w14:solidFill>
          </w14:textFill>
        </w:rPr>
        <w:t>openstack</w:t>
      </w:r>
      <w:r>
        <w:rPr>
          <w:rFonts w:hint="eastAsia" w:ascii="仿宋" w:hAnsi="仿宋" w:eastAsia="仿宋" w:cs="仿宋"/>
          <w:color w:val="000000" w:themeColor="text1"/>
          <w:kern w:val="0"/>
          <w:sz w:val="24"/>
          <w:szCs w:val="24"/>
          <w:lang w:bidi="ar"/>
          <w14:textFill>
            <w14:solidFill>
              <w14:schemeClr w14:val="tx1"/>
            </w14:solidFill>
          </w14:textFill>
        </w:rPr>
        <w:t>软件包，根据表2配置两个节点脚本文件中的基本变量（配置脚本文件为/etc/</w:t>
      </w:r>
      <w:r>
        <w:rPr>
          <w:rFonts w:hint="eastAsia" w:ascii="仿宋" w:hAnsi="仿宋" w:eastAsia="仿宋" w:cs="仿宋"/>
          <w:color w:val="000000" w:themeColor="text1"/>
          <w:kern w:val="0"/>
          <w:sz w:val="24"/>
          <w:szCs w:val="24"/>
          <w:lang w:val="en-US" w:eastAsia="zh-CN" w:bidi="ar"/>
          <w14:textFill>
            <w14:solidFill>
              <w14:schemeClr w14:val="tx1"/>
            </w14:solidFill>
          </w14:textFill>
        </w:rPr>
        <w:t>openstack</w:t>
      </w:r>
      <w:r>
        <w:rPr>
          <w:rFonts w:hint="eastAsia" w:ascii="仿宋" w:hAnsi="仿宋" w:eastAsia="仿宋" w:cs="仿宋"/>
          <w:color w:val="000000" w:themeColor="text1"/>
          <w:kern w:val="0"/>
          <w:sz w:val="24"/>
          <w:szCs w:val="24"/>
          <w:lang w:bidi="ar"/>
          <w14:textFill>
            <w14:solidFill>
              <w14:schemeClr w14:val="tx1"/>
            </w14:solidFill>
          </w14:textFill>
        </w:rPr>
        <w:t>/openrc.sh）。</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表2 云平台配置信息</w:t>
      </w:r>
    </w:p>
    <w:tbl>
      <w:tblPr>
        <w:tblStyle w:val="13"/>
        <w:tblW w:w="8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1"/>
        <w:gridCol w:w="2841"/>
        <w:gridCol w:w="33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881" w:type="dxa"/>
            <w:shd w:val="clear" w:color="auto" w:fill="D8D8D8"/>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服务名称</w:t>
            </w:r>
          </w:p>
        </w:tc>
        <w:tc>
          <w:tcPr>
            <w:tcW w:w="2841" w:type="dxa"/>
            <w:shd w:val="clear" w:color="auto" w:fill="D8D8D8"/>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变量</w:t>
            </w:r>
          </w:p>
        </w:tc>
        <w:tc>
          <w:tcPr>
            <w:tcW w:w="3358" w:type="dxa"/>
            <w:shd w:val="clear" w:color="auto" w:fill="D8D8D8"/>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参数/密码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81" w:type="dxa"/>
            <w:vMerge w:val="restart"/>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Mysql</w:t>
            </w:r>
          </w:p>
        </w:tc>
        <w:tc>
          <w:tcPr>
            <w:tcW w:w="284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root</w:t>
            </w:r>
          </w:p>
        </w:tc>
        <w:tc>
          <w:tcPr>
            <w:tcW w:w="3358"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81" w:type="dxa"/>
            <w:vMerge w:val="continue"/>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p>
        </w:tc>
        <w:tc>
          <w:tcPr>
            <w:tcW w:w="284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Keystone</w:t>
            </w:r>
          </w:p>
        </w:tc>
        <w:tc>
          <w:tcPr>
            <w:tcW w:w="3358"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81" w:type="dxa"/>
            <w:vMerge w:val="continue"/>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p>
        </w:tc>
        <w:tc>
          <w:tcPr>
            <w:tcW w:w="284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Glance</w:t>
            </w:r>
          </w:p>
        </w:tc>
        <w:tc>
          <w:tcPr>
            <w:tcW w:w="3358"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81" w:type="dxa"/>
            <w:vMerge w:val="continue"/>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p>
        </w:tc>
        <w:tc>
          <w:tcPr>
            <w:tcW w:w="284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Nova</w:t>
            </w:r>
          </w:p>
        </w:tc>
        <w:tc>
          <w:tcPr>
            <w:tcW w:w="3358"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81" w:type="dxa"/>
            <w:vMerge w:val="continue"/>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p>
        </w:tc>
        <w:tc>
          <w:tcPr>
            <w:tcW w:w="284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Neutron</w:t>
            </w:r>
          </w:p>
        </w:tc>
        <w:tc>
          <w:tcPr>
            <w:tcW w:w="3358"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81" w:type="dxa"/>
            <w:vMerge w:val="continue"/>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p>
        </w:tc>
        <w:tc>
          <w:tcPr>
            <w:tcW w:w="284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Heat</w:t>
            </w:r>
          </w:p>
        </w:tc>
        <w:tc>
          <w:tcPr>
            <w:tcW w:w="3358"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81" w:type="dxa"/>
            <w:vMerge w:val="continue"/>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p>
        </w:tc>
        <w:tc>
          <w:tcPr>
            <w:tcW w:w="284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Zun</w:t>
            </w:r>
          </w:p>
        </w:tc>
        <w:tc>
          <w:tcPr>
            <w:tcW w:w="3358"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81" w:type="dxa"/>
            <w:vMerge w:val="restart"/>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Keystone</w:t>
            </w:r>
          </w:p>
        </w:tc>
        <w:tc>
          <w:tcPr>
            <w:tcW w:w="284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DOMAIN_NAME</w:t>
            </w:r>
          </w:p>
        </w:tc>
        <w:tc>
          <w:tcPr>
            <w:tcW w:w="3358"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demo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81" w:type="dxa"/>
            <w:vMerge w:val="continue"/>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p>
        </w:tc>
        <w:tc>
          <w:tcPr>
            <w:tcW w:w="284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Admin</w:t>
            </w:r>
          </w:p>
        </w:tc>
        <w:tc>
          <w:tcPr>
            <w:tcW w:w="3358"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81" w:type="dxa"/>
            <w:vMerge w:val="continue"/>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p>
        </w:tc>
        <w:tc>
          <w:tcPr>
            <w:tcW w:w="284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Rabbit</w:t>
            </w:r>
          </w:p>
        </w:tc>
        <w:tc>
          <w:tcPr>
            <w:tcW w:w="3358"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81" w:type="dxa"/>
            <w:vMerge w:val="continue"/>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p>
        </w:tc>
        <w:tc>
          <w:tcPr>
            <w:tcW w:w="284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Glance</w:t>
            </w:r>
          </w:p>
        </w:tc>
        <w:tc>
          <w:tcPr>
            <w:tcW w:w="3358"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81" w:type="dxa"/>
            <w:vMerge w:val="continue"/>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p>
        </w:tc>
        <w:tc>
          <w:tcPr>
            <w:tcW w:w="284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Nova</w:t>
            </w:r>
          </w:p>
        </w:tc>
        <w:tc>
          <w:tcPr>
            <w:tcW w:w="3358"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81" w:type="dxa"/>
            <w:vMerge w:val="continue"/>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p>
        </w:tc>
        <w:tc>
          <w:tcPr>
            <w:tcW w:w="284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Neutron</w:t>
            </w:r>
          </w:p>
        </w:tc>
        <w:tc>
          <w:tcPr>
            <w:tcW w:w="3358"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81" w:type="dxa"/>
            <w:vMerge w:val="continue"/>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p>
        </w:tc>
        <w:tc>
          <w:tcPr>
            <w:tcW w:w="284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Heat</w:t>
            </w:r>
          </w:p>
        </w:tc>
        <w:tc>
          <w:tcPr>
            <w:tcW w:w="3358"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81" w:type="dxa"/>
            <w:vMerge w:val="continue"/>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p>
        </w:tc>
        <w:tc>
          <w:tcPr>
            <w:tcW w:w="284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Zun</w:t>
            </w:r>
          </w:p>
        </w:tc>
        <w:tc>
          <w:tcPr>
            <w:tcW w:w="3358"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81" w:type="dxa"/>
            <w:vMerge w:val="restart"/>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Neutron</w:t>
            </w:r>
          </w:p>
        </w:tc>
        <w:tc>
          <w:tcPr>
            <w:tcW w:w="284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Metadata</w:t>
            </w:r>
          </w:p>
        </w:tc>
        <w:tc>
          <w:tcPr>
            <w:tcW w:w="3358"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881" w:type="dxa"/>
            <w:vMerge w:val="continue"/>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p>
        </w:tc>
        <w:tc>
          <w:tcPr>
            <w:tcW w:w="284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External Network</w:t>
            </w:r>
          </w:p>
        </w:tc>
        <w:tc>
          <w:tcPr>
            <w:tcW w:w="3358"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enp9s0（外网卡名）</w:t>
            </w:r>
          </w:p>
        </w:tc>
      </w:tr>
    </w:tbl>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完成后提交控制节点的用户名、密码和IP地址到答题框。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【题目2】数据库安装</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在controller节点上使用iaas-install-mysql.sh 脚本安装Mariadb、Memcached、etcd服务。完成后提交控制节点的用户名、密码和IP地址到答题框。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【题目3】Keystone服务安装</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在controller节点上使用iaas-install-keystone.sh 脚本安装Keystone服务。完成后提交控制节点的用户名、密码和IP地址到答题框。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【题目4】Glance安装</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在controller节点上使用iaas-install-glance.sh脚本安装glance 服务。完成后提交控制节点的用户名、密码和IP地址到答题框。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【题目5】Nova安装</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在controller节点和compute节点上分别使用iaas-install-nova -controller.sh脚本、iaas-install-nova-compute.sh脚本安装Nova 服务。完成后提交控制节点的用户名、密码和IP地址到答题框。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【题目6】Neutron安装</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在controller节点和compute节点上分别修改iaas-install-neutron-controller.sh脚本、iaas-install-neutron-compute.sh脚本分别安装 Neutron 服务，执行完脚本后，网络默认是vlan模式。完成后提交控制节点的用户名、密码和IP地址到答题框。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【题目7】Doshboard安装</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在controller节点上使用iaas-install-dashboad.sh脚本安装dashboad服务。完成后提交控制节点的用户名、密码和IP地址到答题框。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【题目8】Cinder安装</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在控制节点和计算节点上分别使用iaas-install-cinder-controller.sh.sh脚本和iaas-install-cinder-compute.sh安装cinder服务。完成后提交控制节点的用户名、密码和IP地址到答题框。</w:t>
      </w:r>
    </w:p>
    <w:p>
      <w:pPr>
        <w:pStyle w:val="12"/>
        <w:rPr>
          <w:color w:val="000000" w:themeColor="text1"/>
          <w14:textFill>
            <w14:solidFill>
              <w14:schemeClr w14:val="tx1"/>
            </w14:solidFill>
          </w14:textFill>
        </w:rPr>
      </w:pP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【任务3】OpenStack运维任务[15分]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【适用平台】私有云</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【题目1】镜像管理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在openstack私有云平台上，基于cirros-0.3.4-x86_64-disk.img镜像，使用命令创建一个名为cirros的镜像。完成后提交控制节点的用户名、密码和IP地址到答题框。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【题目2】实例类型管理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在openstack私有云平台上，使用命令创建一个名为Fmin，ID为1，内存为1024 MB，磁盘为10 GB，vcpu数量为1的云主机类型。完成后提交控制节点的用户名、密码和IP地址到答题框。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【题目3】网络管理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在openstack私有云平台上，创建云主机网络extnet，子网extsubnet，虚拟机网段为192.168.y.0/24（其中y是vlan号），网关为192.168.y.1。完成后提交控制节点的用户名、密码和IP地址到答题框。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【题目4】云主机管理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在openstack私有云平台上，基于“cirros”镜像、flavor使用“Fmin”、extnet的网络，创建一台虚拟机VM1，启动VM1，并使用PC机能远程登录到VM1。提交控制节点的用户名、密码和IP地址到答题框。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【题目5】Cinder管理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在openstack私有云平台上，创建一个名为“lvm”的卷类型，创建一块卷设备，名字为block、类型为lvm的40G云硬盘，并附加到虚拟机VM1上。完成后提交控制节点IP地址、用户名和密码到答题框。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【题目6】Raid管理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OpenStack私有云平台，创建一台云主机，并创建一个40G大小的cinder块存储，将块存储连接到云主机，然后在云主机上对云硬盘进行操作。要求分出4个大小为5G的分区，使用这4个分区，创建名为/dev/md5、raid级别为5的磁盘阵列加一个热备盘（使用最后一个分区作为热备盘）。完成后提交云主机的用户名、密码和IP地址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【题目7】数据库主从管理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使用OpenStack私有云平台，创建两台云主机vm1和vm2，在这两台云主机上分别安装数据库服务，并配置成主从数据库，vm1节点为主库，vm2节点为从库（数据库密码设置为000000）。完成后提交数据库从节点vm2节点的用户名、密码和IP地址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【题目8】云平台安全策略提升</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使用OpenStack私有云平台，通过提供的相关软件包，安装必要组件，将私有云平台的访问策略从http提升至https。完成后提交控制节点的用户名、密码和IP地址到答题框。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【任务4】OpenStack运维开发任务[15分]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【适用平台】私有云</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本任务只公布考试范围，不公布赛题</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此任务包含2-4个子任务，内容涉及编写Python脚本调用OpenStack API对Openstack云平台进行管理和运维。使用自动化运维工具ansible对云主机进行批量系统配置、批量程序部署、批量运行命令等运维操作。</w:t>
      </w:r>
    </w:p>
    <w:p>
      <w:pPr>
        <w:pStyle w:val="12"/>
        <w:spacing w:line="360" w:lineRule="auto"/>
        <w:rPr>
          <w:rFonts w:ascii="Times New Roman" w:hAnsi="Times New Roman"/>
          <w:color w:val="000000" w:themeColor="text1"/>
          <w:sz w:val="24"/>
          <w:szCs w:val="24"/>
          <w14:textFill>
            <w14:solidFill>
              <w14:schemeClr w14:val="tx1"/>
            </w14:solidFill>
          </w14:textFill>
        </w:rPr>
      </w:pP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【任务5】Docker CE及私有仓库安装任务（5分）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【适用平台】私有云</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【题目1】安装Docker CE和Docker Compose</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在master、node各节点中分别安装DockerCE和docker-compose。完成后提交master节点的用户名、密码和IP到答题框。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【题目2】安装私有仓库</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在master节点安装私有仓库，导入/opt/images目录下所有镜像，并推送到私有仓库。完成后提交master节点的用户名、密码和IP到答题框。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【题目3】容器编排</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在master节点上编写/root/wordpress/docker-compose.yaml文件，具体要求如下：</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（1）容器名称：wordpress；镜像：wordpress:latest；端口映射：82:80；</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 xml:space="preserve">（2）容器名称：mysql；镜像：mysql:5.6； </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（3）MySQL root用户密码：123456；</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（4）创建数据库wordpress。</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完成后编排部署WordPress，并提交master节点的用户名、密码和IP到答题框。</w:t>
      </w:r>
    </w:p>
    <w:p>
      <w:pPr>
        <w:pStyle w:val="12"/>
        <w:rPr>
          <w:color w:val="000000" w:themeColor="text1"/>
          <w14:textFill>
            <w14:solidFill>
              <w14:schemeClr w14:val="tx1"/>
            </w14:solidFill>
          </w14:textFill>
        </w:rPr>
      </w:pP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【题目4】容器基础操作</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在master节点上停止并删除上述部署的wordpress容器。完成后提交master节点的用户名、密码和IP到答题框。</w:t>
      </w:r>
    </w:p>
    <w:p>
      <w:pPr>
        <w:pStyle w:val="12"/>
        <w:rPr>
          <w:color w:val="000000" w:themeColor="text1"/>
          <w:sz w:val="24"/>
          <w:szCs w:val="24"/>
          <w14:textFill>
            <w14:solidFill>
              <w14:schemeClr w14:val="tx1"/>
            </w14:solidFill>
          </w14:textFill>
        </w:rPr>
      </w:pP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【任务6】基于Docker容器的web应用系统部署[15分]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将该公司开发的基于微服务架构的web商城应用系统实现全容器化部署。商城应用系统架构图如下：</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drawing>
          <wp:inline distT="0" distB="0" distL="0" distR="0">
            <wp:extent cx="5274310" cy="2964815"/>
            <wp:effectExtent l="0" t="0" r="2540" b="6985"/>
            <wp:docPr id="3" name="图片 3" descr="C:\Users\Administrator\Desktop\会议资料\图2.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strator\Desktop\会议资料\图2.em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274310" cy="2964815"/>
                    </a:xfrm>
                    <a:prstGeom prst="rect">
                      <a:avLst/>
                    </a:prstGeom>
                    <a:noFill/>
                    <a:ln>
                      <a:noFill/>
                    </a:ln>
                  </pic:spPr>
                </pic:pic>
              </a:graphicData>
            </a:graphic>
          </wp:inline>
        </w:drawing>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81"/>
        <w:gridCol w:w="1746"/>
        <w:gridCol w:w="3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模块</w:t>
            </w:r>
          </w:p>
        </w:tc>
        <w:tc>
          <w:tcPr>
            <w:tcW w:w="1746"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使用技术</w:t>
            </w:r>
          </w:p>
        </w:tc>
        <w:tc>
          <w:tcPr>
            <w:tcW w:w="383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gpmall.sql</w:t>
            </w:r>
          </w:p>
        </w:tc>
        <w:tc>
          <w:tcPr>
            <w:tcW w:w="1746"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Mysql</w:t>
            </w:r>
          </w:p>
        </w:tc>
        <w:tc>
          <w:tcPr>
            <w:tcW w:w="383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网站的数据库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dist目录</w:t>
            </w:r>
          </w:p>
        </w:tc>
        <w:tc>
          <w:tcPr>
            <w:tcW w:w="1746"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Nginx</w:t>
            </w:r>
          </w:p>
        </w:tc>
        <w:tc>
          <w:tcPr>
            <w:tcW w:w="383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网站的前端项目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gpmall-shopping</w:t>
            </w:r>
          </w:p>
        </w:tc>
        <w:tc>
          <w:tcPr>
            <w:tcW w:w="1746" w:type="dxa"/>
            <w:vMerge w:val="restart"/>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web项目</w:t>
            </w:r>
          </w:p>
        </w:tc>
        <w:tc>
          <w:tcPr>
            <w:tcW w:w="383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8081端口，商品/购物车/首页渲染等交互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gpmall-user</w:t>
            </w:r>
          </w:p>
        </w:tc>
        <w:tc>
          <w:tcPr>
            <w:tcW w:w="1746" w:type="dxa"/>
            <w:vMerge w:val="continue"/>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p>
        </w:tc>
        <w:tc>
          <w:tcPr>
            <w:tcW w:w="383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8082端口，提供用户相关的交互，如登录、注册、个人中心等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user-provider</w:t>
            </w:r>
          </w:p>
        </w:tc>
        <w:tc>
          <w:tcPr>
            <w:tcW w:w="1746" w:type="dxa"/>
            <w:vMerge w:val="restart"/>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后端服务</w:t>
            </w:r>
          </w:p>
        </w:tc>
        <w:tc>
          <w:tcPr>
            <w:tcW w:w="383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提供用户相关服务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shopping-provider</w:t>
            </w:r>
          </w:p>
        </w:tc>
        <w:tc>
          <w:tcPr>
            <w:tcW w:w="1746" w:type="dxa"/>
            <w:vMerge w:val="continue"/>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p>
        </w:tc>
        <w:tc>
          <w:tcPr>
            <w:tcW w:w="3831" w:type="dxa"/>
            <w:vAlign w:val="center"/>
          </w:tcPr>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提供购物车、推荐商品、商品等服务</w:t>
            </w:r>
          </w:p>
        </w:tc>
      </w:tr>
    </w:tbl>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【适用平台】私有云</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【题目1】容器化部署Redis</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在master节点上编写/root/redis/Dockerfile文件，基于提供的软件包gpmall-single.tar构建chinaskill-redis:v1.1镜像，具体要求如下：</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（1）基础镜像：centos:centos7.5.1804；</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（2）作者：Chinaskill；</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（3）修改配置文件中的bind 127.0.0.1为bind 0.0.0.0；</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（4）设置Redis免密，并关闭保护模式；</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（5）开放端口：6379；</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（6）设置服务开机自启。</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完成后构建镜像，并提交master节点的用户名、密码和IP到答题框。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【题目2】容器化部署MariaDB</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在master节点上编写/root/mariadb/Dockerfile文件，基于提供的软件包gpmall-single.tar构建chinaskill-mariadb:v1.1镜像，具体要求如下：</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（1）基础镜像：centos:centos7.5.1804；</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（2）作者：Chinaskill；</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（3）设置数据库密码：123456；</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（4）创建数据库gpmall并导入数据库文件gpmall.sql；</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（5）设置字符编码：UTF-8；</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（6）开放端口：3306；</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（7）设置服务开机自启。</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完成后构建镜像，并提交master节点的用户名、密码和IP到答题框。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【题目3】容器化部署Zookeeper</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在master节点上编写/root/zookeeper/Dockerfile文件，基于提供的软件包gpmall-single.tar构建chinaskill-zookeeper:v1.1镜像，具体要求如下：</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（1）基础镜像：centos:centos7.5.1804；</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（2）作者：Chinaskill；</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（3）开放端口：2181；</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（4）设置服务开机自启。</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完成后构建镜像，使用构建的镜像运行容器myzookeeper，并提交master节点的用户名、密码和IP到答题框。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【题目4】容器化部署Kafka</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在master节点上编写/root/kafka/Dockerfile文件，基于提供的软件包gpmall-single.tar构建chinaskill-kafka:v1.1镜像，具体要求如下：</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（1）基础镜像：centos:centos7.5.1804；</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（2）作者：Chinaskill；</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（3）开放端口：9092；</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（4）设置服务开机自启。</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完成后构建镜像，并提交master节点的用户名、密码和IP到答题框。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【题目5】容器化部署Nginx</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在master节点上编写/root/nginx/Dockerfile文件，基于提供的软件包gpmall-single.tar构建chinaskill-nginx:v1.1镜像，具体要求如下：</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（1）基础镜像：centos:centos7.5.1804；</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（2）作者：Chinaskill；</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（3）编写/etc/nginx/conf.d/default.conf文件，配置反向代理，将80端口请求转发到8081、8082和8083；</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（4）将dist.tar解压并复制到/usr/share/nginx/html/目录下；</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（5）开放端口：80、443、8081、8082、8083；</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（6）设置服务开机自启。</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完成后构建镜像，并提交master节点的用户名、密码和IP到答题框。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【题目6】编排部署GPMall商城</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在master节点上编写/root/chinaskillmall/docker-compose.yaml文件，具体要求如下：</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（1）容器1名称：mysql；镜像：chinaskill-mariadb:v1.1；端口映射：3306:3306；</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（2）容器2名称：redis；镜像：chinaskill-redis:v1.1；端口映射：6379:6379；</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（3）容器3名称：kafka；镜像：chinaskill-kafka:v1.1；端口映射：9092:9092；</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（4）容器4名称：zookeeper；镜像：chinaskill-zookeeper:v1.1；端口映射：2181:2181；</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（5）容器5名称：nginx；镜像：chinaskill-nginx:v1.1；端口映射：80:80，443:443。</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完成后编排部署GPMall，并提交master节点的用户名、密码和IP到答题框。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【任务7】基于Kubernetes构建持续集成[15分]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该公司决定采用GitLab +Jenkins来构建CICD环境，以缩短新功能开发上线周期，及时满足客户的需求，实现DevOps的部分流程，来减轻部署运维的负担，实现可视化容器生命周期管理、应用发布和版本迭代更新，请完成GitLab +Jenkins的CICD环境部署。</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【适用平台】私有云</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【题目1】安装Jenkins环境</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在master节点上使用镜像jenkins/jenkins:2.262-centos部署Jenkins服务，具体要求如下：</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（1）容器名称：jenkins；</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（2）端口映射：8080:80；</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（3）使用root身份生成容器；</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（4）离线安装Jenkins插件；</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（5）设置Jenkins用户：chinaskill；密码：000000；</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（6）配置权限“任何用户可以做任何事(没有任何限制)”。</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使用chinaskill用户登录Jenkins，完成后提交master节点的用户名、密码和IP到答题框。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【题目2】安装Gitlab环境</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在master节点上使用镜像gitlab/gitlab-ce:12.9.2-ce.0部署Gitlab服务，具体要求如下：</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（1）容器名称：mygitlab；</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（2）端口映射：1022:22、81:80、443:443；</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（3）重启策略：always；</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（4）设置Gitlab用户：root；密码：00000000；</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（5）新建项目：ChinaskillProject；</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（6）将/opt/ChinaskillProject中的代码上传到ChinaskillProject项目中。</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完成后提交master节点的用户名、密码和IP到答题框。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【题目3】配置Jenkins连接Gitlab</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配置Jenkins连接Gitlab，具体要求如下：</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（1）设置Outbound requests；</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（2）生成“Access Tokens”；</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（3）设置Jenkins取消对'/project' end-point进行身份验证；</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（4）测试Jenkins与Gitlab的连通性。</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完成后提交master节点的用户名、密码和IP到答题框。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【题目4】配置Jenkins连接maven</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配置Jenkins连接maven，具体要求如下：</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（1）采用docker in docker的方式在Jenkins内安装maven；</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（2）在Jenkins中配置maven信息。</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完成后提交master节点的用户名、密码和IP到答题框。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【题目5】配置CI/CD</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配置CI/CD，具体要求如下：</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（1）新建一个流水线任务ChinaskillProject；</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（2）编写流水线脚本；</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（3）配置Webhook；</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（4）在Harbor中新建公开项目chinaskillproject。</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完成后提交master节点的用户名、密码和IP到答题框。</w:t>
      </w:r>
    </w:p>
    <w:p>
      <w:pPr>
        <w:pStyle w:val="12"/>
        <w:rPr>
          <w:color w:val="000000" w:themeColor="text1"/>
          <w14:textFill>
            <w14:solidFill>
              <w14:schemeClr w14:val="tx1"/>
            </w14:solidFill>
          </w14:textFill>
        </w:rPr>
      </w:pP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【任务8】Kubernetes容器云平台部署与运维[15分]</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【适用平台】私有云</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本任务只公布考试范围，不公布赛题</w:t>
      </w:r>
    </w:p>
    <w:p>
      <w:pPr>
        <w:widowControl/>
        <w:spacing w:line="360" w:lineRule="auto"/>
        <w:ind w:firstLine="480" w:firstLineChars="200"/>
        <w:jc w:val="left"/>
        <w:rPr>
          <w:rFonts w:ascii="仿宋" w:hAnsi="仿宋" w:eastAsia="仿宋" w:cs="仿宋"/>
          <w:color w:val="000000" w:themeColor="text1"/>
          <w:kern w:val="0"/>
          <w:sz w:val="24"/>
          <w:szCs w:val="24"/>
          <w:lang w:bidi="ar"/>
          <w14:textFill>
            <w14:solidFill>
              <w14:schemeClr w14:val="tx1"/>
            </w14:solidFill>
          </w14:textFill>
        </w:rPr>
      </w:pPr>
      <w:r>
        <w:rPr>
          <w:rFonts w:hint="eastAsia" w:ascii="仿宋" w:hAnsi="仿宋" w:eastAsia="仿宋" w:cs="仿宋"/>
          <w:color w:val="000000" w:themeColor="text1"/>
          <w:kern w:val="0"/>
          <w:sz w:val="24"/>
          <w:szCs w:val="24"/>
          <w:lang w:bidi="ar"/>
          <w14:textFill>
            <w14:solidFill>
              <w14:schemeClr w14:val="tx1"/>
            </w14:solidFill>
          </w14:textFill>
        </w:rPr>
        <w:t>本任务内容为：Kubernetes集群环境搭建和运维、基于Kubernetes集群的应用系统部署与运维。</w:t>
      </w:r>
    </w:p>
    <w:p>
      <w:pPr>
        <w:pStyle w:val="12"/>
        <w:rPr>
          <w:color w:val="000000" w:themeColor="text1"/>
          <w14:textFill>
            <w14:solidFill>
              <w14:schemeClr w14:val="tx1"/>
            </w14:solidFill>
          </w14:textFill>
        </w:rPr>
      </w:pPr>
    </w:p>
    <w:sectPr>
      <w:footerReference r:id="rId3" w:type="default"/>
      <w:pgSz w:w="11906" w:h="16838"/>
      <w:pgMar w:top="1440" w:right="1587" w:bottom="1440"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outside" w:y="1"/>
      <w:rPr>
        <w:rStyle w:val="16"/>
        <w:rFonts w:ascii="宋体" w:cs="宋体"/>
        <w:sz w:val="28"/>
        <w:szCs w:val="28"/>
      </w:rPr>
    </w:pPr>
    <w:r>
      <w:rPr>
        <w:rStyle w:val="16"/>
        <w:rFonts w:ascii="宋体" w:hAnsi="宋体" w:cs="宋体"/>
        <w:sz w:val="28"/>
        <w:szCs w:val="28"/>
      </w:rPr>
      <w:fldChar w:fldCharType="begin"/>
    </w:r>
    <w:r>
      <w:rPr>
        <w:rStyle w:val="16"/>
        <w:rFonts w:ascii="宋体" w:hAnsi="宋体" w:cs="宋体"/>
        <w:sz w:val="28"/>
        <w:szCs w:val="28"/>
      </w:rPr>
      <w:instrText xml:space="preserve">PAGE  </w:instrText>
    </w:r>
    <w:r>
      <w:rPr>
        <w:rStyle w:val="16"/>
        <w:rFonts w:ascii="宋体" w:hAnsi="宋体" w:cs="宋体"/>
        <w:sz w:val="28"/>
        <w:szCs w:val="28"/>
      </w:rPr>
      <w:fldChar w:fldCharType="separate"/>
    </w:r>
    <w:r>
      <w:rPr>
        <w:rStyle w:val="16"/>
        <w:rFonts w:ascii="宋体" w:hAnsi="宋体" w:cs="宋体"/>
        <w:sz w:val="28"/>
        <w:szCs w:val="28"/>
      </w:rPr>
      <w:t>- 3 -</w:t>
    </w:r>
    <w:r>
      <w:rPr>
        <w:rStyle w:val="16"/>
        <w:rFonts w:ascii="宋体" w:hAnsi="宋体" w:cs="宋体"/>
        <w:sz w:val="28"/>
        <w:szCs w:val="28"/>
      </w:rPr>
      <w:fldChar w:fldCharType="end"/>
    </w:r>
  </w:p>
  <w:p>
    <w:pPr>
      <w:pStyle w:val="9"/>
      <w:ind w:right="360" w:firstLine="360"/>
      <w:rPr>
        <w:rFonts w:cs="Times New Roman"/>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oNotHyphenateCaps/>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U5MjAxNzRiZDMwYzFlZmNkNjg5ZTkzNjYyMDI2YmQifQ=="/>
  </w:docVars>
  <w:rsids>
    <w:rsidRoot w:val="0C3F7F28"/>
    <w:rsid w:val="000371E0"/>
    <w:rsid w:val="000E0DE4"/>
    <w:rsid w:val="001663E9"/>
    <w:rsid w:val="00306BE5"/>
    <w:rsid w:val="00386916"/>
    <w:rsid w:val="00390300"/>
    <w:rsid w:val="00435F69"/>
    <w:rsid w:val="004629B5"/>
    <w:rsid w:val="004C48DC"/>
    <w:rsid w:val="004F15CB"/>
    <w:rsid w:val="00511D94"/>
    <w:rsid w:val="00516D9A"/>
    <w:rsid w:val="005377F4"/>
    <w:rsid w:val="005C36E4"/>
    <w:rsid w:val="00672993"/>
    <w:rsid w:val="00816C8B"/>
    <w:rsid w:val="00921DE2"/>
    <w:rsid w:val="009315D5"/>
    <w:rsid w:val="009401D4"/>
    <w:rsid w:val="00A218E7"/>
    <w:rsid w:val="00B17918"/>
    <w:rsid w:val="00C06C5E"/>
    <w:rsid w:val="00D91063"/>
    <w:rsid w:val="00DF6BD7"/>
    <w:rsid w:val="00EE63AF"/>
    <w:rsid w:val="00F91CB9"/>
    <w:rsid w:val="00FA3BD2"/>
    <w:rsid w:val="0137631D"/>
    <w:rsid w:val="016A291B"/>
    <w:rsid w:val="01923886"/>
    <w:rsid w:val="01B33754"/>
    <w:rsid w:val="03BB3E9F"/>
    <w:rsid w:val="03C97220"/>
    <w:rsid w:val="04312A83"/>
    <w:rsid w:val="052574C2"/>
    <w:rsid w:val="056A2F65"/>
    <w:rsid w:val="05C0261C"/>
    <w:rsid w:val="06140651"/>
    <w:rsid w:val="06C8286B"/>
    <w:rsid w:val="07050E8C"/>
    <w:rsid w:val="07CF5F5B"/>
    <w:rsid w:val="07EA40FA"/>
    <w:rsid w:val="08200818"/>
    <w:rsid w:val="0860567F"/>
    <w:rsid w:val="08C345FB"/>
    <w:rsid w:val="08CD17B5"/>
    <w:rsid w:val="08D9306E"/>
    <w:rsid w:val="08E53DCC"/>
    <w:rsid w:val="090E4FC1"/>
    <w:rsid w:val="098351FC"/>
    <w:rsid w:val="0A921143"/>
    <w:rsid w:val="0B4D46A7"/>
    <w:rsid w:val="0B900814"/>
    <w:rsid w:val="0BC40FDD"/>
    <w:rsid w:val="0BFB2449"/>
    <w:rsid w:val="0C3F7F28"/>
    <w:rsid w:val="0C7555BF"/>
    <w:rsid w:val="0D9969D3"/>
    <w:rsid w:val="0DEE01D0"/>
    <w:rsid w:val="0E2D0D53"/>
    <w:rsid w:val="0EF91CC7"/>
    <w:rsid w:val="107B485B"/>
    <w:rsid w:val="1097515F"/>
    <w:rsid w:val="11412547"/>
    <w:rsid w:val="117E093C"/>
    <w:rsid w:val="11DE295A"/>
    <w:rsid w:val="11F829D8"/>
    <w:rsid w:val="12291AC6"/>
    <w:rsid w:val="132E2449"/>
    <w:rsid w:val="135E50C7"/>
    <w:rsid w:val="13C21358"/>
    <w:rsid w:val="13C51283"/>
    <w:rsid w:val="14A10E2D"/>
    <w:rsid w:val="14A36410"/>
    <w:rsid w:val="14BD790C"/>
    <w:rsid w:val="151C563E"/>
    <w:rsid w:val="161E48AD"/>
    <w:rsid w:val="16A30061"/>
    <w:rsid w:val="16ED3CE1"/>
    <w:rsid w:val="17E61337"/>
    <w:rsid w:val="1974068B"/>
    <w:rsid w:val="19832C78"/>
    <w:rsid w:val="1A226DF0"/>
    <w:rsid w:val="1A4A794F"/>
    <w:rsid w:val="1A502929"/>
    <w:rsid w:val="1B7D26D0"/>
    <w:rsid w:val="1B816DBB"/>
    <w:rsid w:val="1D611172"/>
    <w:rsid w:val="1DBD265E"/>
    <w:rsid w:val="1E834ADE"/>
    <w:rsid w:val="1E924157"/>
    <w:rsid w:val="1EFE1AC1"/>
    <w:rsid w:val="1F1F419E"/>
    <w:rsid w:val="1F201AA3"/>
    <w:rsid w:val="1FBB4C56"/>
    <w:rsid w:val="1FD42EEF"/>
    <w:rsid w:val="1FEA64F1"/>
    <w:rsid w:val="20CC45B5"/>
    <w:rsid w:val="20DE5A0F"/>
    <w:rsid w:val="20F704A6"/>
    <w:rsid w:val="21134148"/>
    <w:rsid w:val="21327AED"/>
    <w:rsid w:val="21EA7EFC"/>
    <w:rsid w:val="220077CE"/>
    <w:rsid w:val="2269666C"/>
    <w:rsid w:val="24256403"/>
    <w:rsid w:val="255E48D2"/>
    <w:rsid w:val="25701EFE"/>
    <w:rsid w:val="26390AD4"/>
    <w:rsid w:val="26836035"/>
    <w:rsid w:val="271C1AF8"/>
    <w:rsid w:val="273A1B9E"/>
    <w:rsid w:val="27ED3B4A"/>
    <w:rsid w:val="281C3246"/>
    <w:rsid w:val="28497BA5"/>
    <w:rsid w:val="28D62767"/>
    <w:rsid w:val="291B616B"/>
    <w:rsid w:val="29BD60B5"/>
    <w:rsid w:val="2A641987"/>
    <w:rsid w:val="2A852EEF"/>
    <w:rsid w:val="2B775F5F"/>
    <w:rsid w:val="2B980456"/>
    <w:rsid w:val="2C354CE0"/>
    <w:rsid w:val="2C471B3F"/>
    <w:rsid w:val="2C685F12"/>
    <w:rsid w:val="2C7D3B5E"/>
    <w:rsid w:val="2CCE2161"/>
    <w:rsid w:val="2CD0044E"/>
    <w:rsid w:val="2D1E57A8"/>
    <w:rsid w:val="2D6E33B4"/>
    <w:rsid w:val="2D9C182C"/>
    <w:rsid w:val="2DF85A46"/>
    <w:rsid w:val="2E2A2DA6"/>
    <w:rsid w:val="2E4B68F8"/>
    <w:rsid w:val="2EAF4A6B"/>
    <w:rsid w:val="2EBA2595"/>
    <w:rsid w:val="2FA85B06"/>
    <w:rsid w:val="2FC63B18"/>
    <w:rsid w:val="2FD30191"/>
    <w:rsid w:val="30BB63B8"/>
    <w:rsid w:val="313269B0"/>
    <w:rsid w:val="31E43EA8"/>
    <w:rsid w:val="320E6194"/>
    <w:rsid w:val="3279220B"/>
    <w:rsid w:val="327E7A1D"/>
    <w:rsid w:val="32B13BB3"/>
    <w:rsid w:val="32E67805"/>
    <w:rsid w:val="33052F97"/>
    <w:rsid w:val="33547EB1"/>
    <w:rsid w:val="33BF3854"/>
    <w:rsid w:val="34050D03"/>
    <w:rsid w:val="34162C8A"/>
    <w:rsid w:val="341A4F93"/>
    <w:rsid w:val="34953595"/>
    <w:rsid w:val="352E3E91"/>
    <w:rsid w:val="3540749A"/>
    <w:rsid w:val="358939C9"/>
    <w:rsid w:val="36035193"/>
    <w:rsid w:val="36DD3472"/>
    <w:rsid w:val="373E6D90"/>
    <w:rsid w:val="374B3883"/>
    <w:rsid w:val="37A9552C"/>
    <w:rsid w:val="37BC0275"/>
    <w:rsid w:val="3809636B"/>
    <w:rsid w:val="383D051E"/>
    <w:rsid w:val="393D63D5"/>
    <w:rsid w:val="395B08DC"/>
    <w:rsid w:val="3A7F6B8D"/>
    <w:rsid w:val="3B05682D"/>
    <w:rsid w:val="3B301452"/>
    <w:rsid w:val="3BC60AB5"/>
    <w:rsid w:val="3CC36C47"/>
    <w:rsid w:val="3CC9399F"/>
    <w:rsid w:val="3D1C19F6"/>
    <w:rsid w:val="3D947D7D"/>
    <w:rsid w:val="3DA730A6"/>
    <w:rsid w:val="3DBF03DA"/>
    <w:rsid w:val="3DED5F54"/>
    <w:rsid w:val="3DF353AA"/>
    <w:rsid w:val="3E5E1D28"/>
    <w:rsid w:val="3E63046C"/>
    <w:rsid w:val="3ED91278"/>
    <w:rsid w:val="3EF754E1"/>
    <w:rsid w:val="3F851392"/>
    <w:rsid w:val="3FA045D3"/>
    <w:rsid w:val="3FE04D52"/>
    <w:rsid w:val="405541E2"/>
    <w:rsid w:val="405D05B1"/>
    <w:rsid w:val="41467638"/>
    <w:rsid w:val="41485997"/>
    <w:rsid w:val="4153163B"/>
    <w:rsid w:val="42641A43"/>
    <w:rsid w:val="43661345"/>
    <w:rsid w:val="43AF4B6D"/>
    <w:rsid w:val="43FA7EA9"/>
    <w:rsid w:val="44FD1BEA"/>
    <w:rsid w:val="46EC12DD"/>
    <w:rsid w:val="46FC04D7"/>
    <w:rsid w:val="47AC2461"/>
    <w:rsid w:val="48D80EFB"/>
    <w:rsid w:val="49226BD4"/>
    <w:rsid w:val="494F7C9F"/>
    <w:rsid w:val="49644270"/>
    <w:rsid w:val="4A297835"/>
    <w:rsid w:val="4A9C674F"/>
    <w:rsid w:val="4AEA54FF"/>
    <w:rsid w:val="4B7B724D"/>
    <w:rsid w:val="4B8E640D"/>
    <w:rsid w:val="4BC97278"/>
    <w:rsid w:val="4BD8130B"/>
    <w:rsid w:val="4BE11BDA"/>
    <w:rsid w:val="4C267B3B"/>
    <w:rsid w:val="4C764002"/>
    <w:rsid w:val="4D372FD9"/>
    <w:rsid w:val="4D5D1CC1"/>
    <w:rsid w:val="4E1B3B28"/>
    <w:rsid w:val="4EAA3663"/>
    <w:rsid w:val="4F91636B"/>
    <w:rsid w:val="50DC252D"/>
    <w:rsid w:val="50FA4DC9"/>
    <w:rsid w:val="510440E3"/>
    <w:rsid w:val="511270E3"/>
    <w:rsid w:val="51170960"/>
    <w:rsid w:val="51F84F75"/>
    <w:rsid w:val="5233294E"/>
    <w:rsid w:val="529023A6"/>
    <w:rsid w:val="533208F2"/>
    <w:rsid w:val="53381109"/>
    <w:rsid w:val="53A85AC2"/>
    <w:rsid w:val="54AD0823"/>
    <w:rsid w:val="55A22A49"/>
    <w:rsid w:val="55BC5C85"/>
    <w:rsid w:val="55DF41DA"/>
    <w:rsid w:val="55F618B3"/>
    <w:rsid w:val="56E46DCB"/>
    <w:rsid w:val="570A060F"/>
    <w:rsid w:val="5776478D"/>
    <w:rsid w:val="584247CD"/>
    <w:rsid w:val="58C231D6"/>
    <w:rsid w:val="593C34F5"/>
    <w:rsid w:val="599B413C"/>
    <w:rsid w:val="59B01EF0"/>
    <w:rsid w:val="59B300AA"/>
    <w:rsid w:val="5A2A1417"/>
    <w:rsid w:val="5A5E38B1"/>
    <w:rsid w:val="5ACF5DDB"/>
    <w:rsid w:val="5BC50790"/>
    <w:rsid w:val="5BF93CB7"/>
    <w:rsid w:val="5C3D26D0"/>
    <w:rsid w:val="5CCE09B7"/>
    <w:rsid w:val="5D3336D4"/>
    <w:rsid w:val="5DE55297"/>
    <w:rsid w:val="5DFA3D2D"/>
    <w:rsid w:val="5DFD7B42"/>
    <w:rsid w:val="5DFE0C53"/>
    <w:rsid w:val="5EB03074"/>
    <w:rsid w:val="5EB216FF"/>
    <w:rsid w:val="5EC5493C"/>
    <w:rsid w:val="5F8C4984"/>
    <w:rsid w:val="5FF107D4"/>
    <w:rsid w:val="60437134"/>
    <w:rsid w:val="609F4522"/>
    <w:rsid w:val="6163082F"/>
    <w:rsid w:val="616D3903"/>
    <w:rsid w:val="616F46B9"/>
    <w:rsid w:val="61B6151D"/>
    <w:rsid w:val="61EA31EE"/>
    <w:rsid w:val="626231B4"/>
    <w:rsid w:val="62D143FF"/>
    <w:rsid w:val="632828CC"/>
    <w:rsid w:val="634D5A73"/>
    <w:rsid w:val="63894F10"/>
    <w:rsid w:val="63A9735D"/>
    <w:rsid w:val="63AD66D4"/>
    <w:rsid w:val="63BD6121"/>
    <w:rsid w:val="63E84920"/>
    <w:rsid w:val="643075CB"/>
    <w:rsid w:val="648872FD"/>
    <w:rsid w:val="64A73BAB"/>
    <w:rsid w:val="651C68EC"/>
    <w:rsid w:val="654432AC"/>
    <w:rsid w:val="65B130DC"/>
    <w:rsid w:val="65F25D7C"/>
    <w:rsid w:val="66F9245F"/>
    <w:rsid w:val="673B1F6A"/>
    <w:rsid w:val="67C12368"/>
    <w:rsid w:val="67D52769"/>
    <w:rsid w:val="68640830"/>
    <w:rsid w:val="69366591"/>
    <w:rsid w:val="69CD5721"/>
    <w:rsid w:val="69E268CF"/>
    <w:rsid w:val="6A4D47C8"/>
    <w:rsid w:val="6B2C4E05"/>
    <w:rsid w:val="6B911665"/>
    <w:rsid w:val="6C3F3DB0"/>
    <w:rsid w:val="6C645553"/>
    <w:rsid w:val="6D7106A8"/>
    <w:rsid w:val="6DA61B71"/>
    <w:rsid w:val="6DC272DB"/>
    <w:rsid w:val="6EA93858"/>
    <w:rsid w:val="6ECC03FD"/>
    <w:rsid w:val="6EDD3B49"/>
    <w:rsid w:val="6EDE2EAC"/>
    <w:rsid w:val="6EF5602D"/>
    <w:rsid w:val="708F1060"/>
    <w:rsid w:val="71671535"/>
    <w:rsid w:val="721E0514"/>
    <w:rsid w:val="72435865"/>
    <w:rsid w:val="728D75FA"/>
    <w:rsid w:val="73D42AE2"/>
    <w:rsid w:val="73DE2B8B"/>
    <w:rsid w:val="745B4798"/>
    <w:rsid w:val="746820A9"/>
    <w:rsid w:val="74883D25"/>
    <w:rsid w:val="74F902B7"/>
    <w:rsid w:val="75C46177"/>
    <w:rsid w:val="75D62CEB"/>
    <w:rsid w:val="763C4DFA"/>
    <w:rsid w:val="76D159D8"/>
    <w:rsid w:val="77AD3627"/>
    <w:rsid w:val="77F046E3"/>
    <w:rsid w:val="780E10CD"/>
    <w:rsid w:val="78457969"/>
    <w:rsid w:val="7864054C"/>
    <w:rsid w:val="788727A2"/>
    <w:rsid w:val="7908213E"/>
    <w:rsid w:val="791514E3"/>
    <w:rsid w:val="795959E2"/>
    <w:rsid w:val="79AE7570"/>
    <w:rsid w:val="79D419DA"/>
    <w:rsid w:val="79DA61BA"/>
    <w:rsid w:val="7A4610E6"/>
    <w:rsid w:val="7A80060D"/>
    <w:rsid w:val="7AD633A6"/>
    <w:rsid w:val="7B132509"/>
    <w:rsid w:val="7B431C5E"/>
    <w:rsid w:val="7C271809"/>
    <w:rsid w:val="7C2E57C2"/>
    <w:rsid w:val="7C487FF8"/>
    <w:rsid w:val="7C5D195E"/>
    <w:rsid w:val="7CBE4193"/>
    <w:rsid w:val="7D0D0078"/>
    <w:rsid w:val="7D4E0A00"/>
    <w:rsid w:val="7E0E5F56"/>
    <w:rsid w:val="7EF24C6E"/>
    <w:rsid w:val="7F2B5AD6"/>
    <w:rsid w:val="7F38142E"/>
    <w:rsid w:val="7FE8724A"/>
    <w:rsid w:val="7FFC3DF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nhideWhenUsed="0" w:uiPriority="9" w:semiHidden="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4">
    <w:name w:val="heading 1"/>
    <w:basedOn w:val="1"/>
    <w:next w:val="1"/>
    <w:qFormat/>
    <w:locked/>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locked/>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qFormat/>
    <w:locked/>
    <w:uiPriority w:val="9"/>
    <w:pPr>
      <w:keepNext/>
      <w:keepLines/>
      <w:spacing w:before="260" w:after="260" w:line="416" w:lineRule="auto"/>
      <w:outlineLvl w:val="2"/>
    </w:pPr>
    <w:rPr>
      <w:b/>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99"/>
    <w:pPr>
      <w:ind w:firstLine="420" w:firstLineChars="100"/>
    </w:pPr>
  </w:style>
  <w:style w:type="paragraph" w:styleId="3">
    <w:name w:val="Body Text"/>
    <w:basedOn w:val="1"/>
    <w:qFormat/>
    <w:uiPriority w:val="99"/>
    <w:pPr>
      <w:spacing w:after="120"/>
    </w:pPr>
  </w:style>
  <w:style w:type="paragraph" w:styleId="7">
    <w:name w:val="annotation text"/>
    <w:basedOn w:val="1"/>
    <w:unhideWhenUsed/>
    <w:qFormat/>
    <w:uiPriority w:val="99"/>
    <w:pPr>
      <w:jc w:val="left"/>
    </w:pPr>
  </w:style>
  <w:style w:type="paragraph" w:styleId="8">
    <w:name w:val="Body Text Indent"/>
    <w:basedOn w:val="1"/>
    <w:unhideWhenUsed/>
    <w:qFormat/>
    <w:uiPriority w:val="99"/>
    <w:pPr>
      <w:spacing w:after="120"/>
      <w:ind w:left="420" w:leftChars="200"/>
    </w:pPr>
    <w:rPr>
      <w:kern w:val="0"/>
      <w:sz w:val="20"/>
      <w:szCs w:val="20"/>
    </w:rPr>
  </w:style>
  <w:style w:type="paragraph" w:styleId="9">
    <w:name w:val="footer"/>
    <w:basedOn w:val="1"/>
    <w:link w:val="18"/>
    <w:qFormat/>
    <w:uiPriority w:val="99"/>
    <w:pPr>
      <w:tabs>
        <w:tab w:val="center" w:pos="4153"/>
        <w:tab w:val="right" w:pos="8306"/>
      </w:tabs>
      <w:snapToGrid w:val="0"/>
      <w:jc w:val="left"/>
    </w:pPr>
    <w:rPr>
      <w:sz w:val="18"/>
      <w:szCs w:val="18"/>
    </w:rPr>
  </w:style>
  <w:style w:type="paragraph" w:styleId="10">
    <w:name w:val="header"/>
    <w:basedOn w:val="1"/>
    <w:link w:val="19"/>
    <w:qFormat/>
    <w:uiPriority w:val="99"/>
    <w:pPr>
      <w:pBdr>
        <w:bottom w:val="single" w:color="auto" w:sz="6" w:space="1"/>
      </w:pBdr>
      <w:tabs>
        <w:tab w:val="center" w:pos="4153"/>
        <w:tab w:val="right" w:pos="8306"/>
      </w:tabs>
      <w:snapToGrid w:val="0"/>
      <w:jc w:val="center"/>
    </w:pPr>
    <w:rPr>
      <w:sz w:val="18"/>
      <w:szCs w:val="18"/>
    </w:rPr>
  </w:style>
  <w:style w:type="paragraph" w:styleId="11">
    <w:name w:val="Title"/>
    <w:basedOn w:val="1"/>
    <w:next w:val="1"/>
    <w:qFormat/>
    <w:locked/>
    <w:uiPriority w:val="10"/>
    <w:pPr>
      <w:outlineLvl w:val="0"/>
    </w:pPr>
    <w:rPr>
      <w:rFonts w:cstheme="majorBidi"/>
      <w:bCs/>
      <w:szCs w:val="32"/>
    </w:rPr>
  </w:style>
  <w:style w:type="paragraph" w:styleId="12">
    <w:name w:val="Body Text First Indent 2"/>
    <w:basedOn w:val="8"/>
    <w:unhideWhenUsed/>
    <w:qFormat/>
    <w:uiPriority w:val="99"/>
    <w:pPr>
      <w:ind w:firstLine="420"/>
    </w:pPr>
  </w:style>
  <w:style w:type="table" w:styleId="14">
    <w:name w:val="Table Grid"/>
    <w:basedOn w:val="13"/>
    <w:qFormat/>
    <w:uiPriority w:val="99"/>
    <w:pPr>
      <w:widowControl w:val="0"/>
      <w:jc w:val="both"/>
    </w:pPr>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basedOn w:val="15"/>
    <w:qFormat/>
    <w:uiPriority w:val="99"/>
  </w:style>
  <w:style w:type="character" w:styleId="17">
    <w:name w:val="Hyperlink"/>
    <w:basedOn w:val="15"/>
    <w:qFormat/>
    <w:uiPriority w:val="99"/>
    <w:rPr>
      <w:color w:val="0000FF"/>
      <w:u w:val="single"/>
    </w:rPr>
  </w:style>
  <w:style w:type="character" w:customStyle="1" w:styleId="18">
    <w:name w:val="页脚 字符"/>
    <w:basedOn w:val="15"/>
    <w:link w:val="9"/>
    <w:semiHidden/>
    <w:qFormat/>
    <w:uiPriority w:val="99"/>
    <w:rPr>
      <w:rFonts w:cs="Calibri"/>
      <w:sz w:val="18"/>
      <w:szCs w:val="18"/>
    </w:rPr>
  </w:style>
  <w:style w:type="character" w:customStyle="1" w:styleId="19">
    <w:name w:val="页眉 字符"/>
    <w:basedOn w:val="15"/>
    <w:link w:val="10"/>
    <w:semiHidden/>
    <w:qFormat/>
    <w:uiPriority w:val="99"/>
    <w:rPr>
      <w:rFonts w:cs="Calibri"/>
      <w:sz w:val="18"/>
      <w:szCs w:val="18"/>
    </w:rPr>
  </w:style>
  <w:style w:type="table" w:customStyle="1" w:styleId="20">
    <w:name w:val="网格型4"/>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31</Pages>
  <Words>13207</Words>
  <Characters>17472</Characters>
  <Lines>139</Lines>
  <Paragraphs>39</Paragraphs>
  <TotalTime>11</TotalTime>
  <ScaleCrop>false</ScaleCrop>
  <LinksUpToDate>false</LinksUpToDate>
  <CharactersWithSpaces>17583</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2021-01-19T05:39:00Z</dcterms:created>
  <dc:creator>lenovo</dc:creator>
  <cp:lastModifiedBy>༺༒Joey Chan༒༻</cp:lastModifiedBy>
  <cp:lastPrinted>2021-01-06T02:44:00Z</cp:lastPrinted>
  <dcterms:modified xsi:type="dcterms:W3CDTF">2022-07-28T08:43:55Z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4E3444BE375341E49ECDFFF686587A97</vt:lpwstr>
  </property>
</Properties>
</file>