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outlineLvl w:val="0"/>
        <w:rPr>
          <w:rFonts w:ascii="宋体" w:hAnsi="宋体" w:eastAsia="宋体" w:cs="宋体"/>
          <w:b/>
          <w:sz w:val="44"/>
          <w:szCs w:val="44"/>
        </w:rPr>
      </w:pPr>
      <w:bookmarkStart w:id="0" w:name="_Toc16166"/>
      <w:bookmarkStart w:id="1" w:name="_Toc440"/>
      <w:bookmarkStart w:id="2" w:name="_Toc27332"/>
      <w:r>
        <w:rPr>
          <w:rFonts w:hint="eastAsia" w:ascii="宋体" w:hAnsi="宋体" w:eastAsia="宋体" w:cs="宋体"/>
          <w:b/>
          <w:sz w:val="44"/>
          <w:szCs w:val="44"/>
        </w:rPr>
        <w:t>2022年海南省职业院校技能大赛</w:t>
      </w:r>
      <w:bookmarkEnd w:id="0"/>
      <w:bookmarkEnd w:id="1"/>
      <w:bookmarkEnd w:id="2"/>
      <w:bookmarkStart w:id="3" w:name="_Toc23911"/>
      <w:bookmarkStart w:id="4" w:name="_Toc4151"/>
      <w:bookmarkStart w:id="5" w:name="_Toc15895"/>
    </w:p>
    <w:p>
      <w:pPr>
        <w:snapToGrid w:val="0"/>
        <w:spacing w:line="540" w:lineRule="exact"/>
        <w:jc w:val="center"/>
        <w:outlineLvl w:val="0"/>
        <w:rPr>
          <w:rFonts w:ascii="仿宋" w:hAnsi="仿宋" w:eastAsia="仿宋" w:cs="仿宋"/>
          <w:b/>
          <w:sz w:val="36"/>
          <w:szCs w:val="36"/>
        </w:rPr>
      </w:pPr>
      <w:r>
        <w:rPr>
          <w:rFonts w:hint="eastAsia" w:ascii="宋体" w:hAnsi="宋体" w:eastAsia="宋体" w:cs="宋体"/>
          <w:b/>
          <w:sz w:val="44"/>
          <w:szCs w:val="44"/>
        </w:rPr>
        <w:t>（高职组）汽车技术赛项规程</w:t>
      </w:r>
      <w:bookmarkEnd w:id="3"/>
      <w:bookmarkEnd w:id="4"/>
      <w:bookmarkEnd w:id="5"/>
    </w:p>
    <w:p>
      <w:pPr>
        <w:snapToGrid w:val="0"/>
        <w:spacing w:line="560" w:lineRule="exact"/>
        <w:outlineLvl w:val="0"/>
        <w:rPr>
          <w:rFonts w:ascii="仿宋_GB2312" w:hAnsi="仿宋" w:eastAsia="仿宋_GB2312" w:cs="仿宋"/>
          <w:b/>
          <w:bCs/>
          <w:sz w:val="32"/>
          <w:szCs w:val="32"/>
        </w:rPr>
      </w:pPr>
      <w:bookmarkStart w:id="6" w:name="_Toc9940"/>
      <w:bookmarkStart w:id="7" w:name="_Toc11219"/>
      <w:bookmarkStart w:id="8" w:name="_Toc23241"/>
      <w:r>
        <w:rPr>
          <w:rFonts w:hint="eastAsia" w:ascii="仿宋_GB2312" w:hAnsi="仿宋" w:eastAsia="仿宋_GB2312" w:cs="仿宋"/>
          <w:b/>
          <w:bCs/>
          <w:sz w:val="32"/>
          <w:szCs w:val="32"/>
        </w:rPr>
        <w:t>一、赛项名称</w:t>
      </w:r>
      <w:bookmarkEnd w:id="6"/>
      <w:bookmarkEnd w:id="7"/>
      <w:bookmarkEnd w:id="8"/>
    </w:p>
    <w:p>
      <w:pPr>
        <w:snapToGrid w:val="0"/>
        <w:spacing w:line="560" w:lineRule="exact"/>
        <w:ind w:firstLine="640" w:firstLineChars="200"/>
        <w:outlineLvl w:val="0"/>
        <w:rPr>
          <w:rFonts w:ascii="仿宋_GB2312" w:hAnsi="仿宋" w:eastAsia="仿宋_GB2312" w:cs="仿宋"/>
          <w:sz w:val="32"/>
          <w:szCs w:val="32"/>
        </w:rPr>
      </w:pPr>
      <w:r>
        <w:rPr>
          <w:rFonts w:hint="eastAsia" w:ascii="仿宋_GB2312" w:hAnsi="仿宋" w:eastAsia="仿宋_GB2312" w:cs="仿宋"/>
          <w:sz w:val="32"/>
          <w:szCs w:val="32"/>
        </w:rPr>
        <w:t>赛项</w:t>
      </w:r>
      <w:bookmarkStart w:id="9" w:name="_Hlk3816826"/>
      <w:r>
        <w:rPr>
          <w:rFonts w:hint="eastAsia" w:ascii="仿宋_GB2312" w:hAnsi="仿宋" w:eastAsia="仿宋_GB2312" w:cs="仿宋"/>
          <w:sz w:val="32"/>
          <w:szCs w:val="32"/>
        </w:rPr>
        <w:t>名称：</w:t>
      </w:r>
      <w:bookmarkEnd w:id="9"/>
      <w:r>
        <w:rPr>
          <w:rFonts w:hint="eastAsia" w:ascii="仿宋_GB2312" w:hAnsi="仿宋" w:eastAsia="仿宋_GB2312" w:cs="仿宋"/>
          <w:sz w:val="32"/>
          <w:szCs w:val="32"/>
        </w:rPr>
        <w:t>汽车技术</w:t>
      </w:r>
    </w:p>
    <w:p>
      <w:pPr>
        <w:snapToGrid w:val="0"/>
        <w:spacing w:line="560" w:lineRule="exact"/>
        <w:ind w:firstLine="640" w:firstLineChars="200"/>
        <w:outlineLvl w:val="0"/>
        <w:rPr>
          <w:rFonts w:ascii="仿宋_GB2312" w:hAnsi="仿宋" w:eastAsia="仿宋_GB2312" w:cs="仿宋"/>
          <w:sz w:val="32"/>
          <w:szCs w:val="32"/>
        </w:rPr>
      </w:pPr>
      <w:r>
        <w:rPr>
          <w:rFonts w:hint="eastAsia" w:ascii="仿宋_GB2312" w:hAnsi="仿宋" w:eastAsia="仿宋_GB2312" w:cs="仿宋"/>
          <w:sz w:val="32"/>
          <w:szCs w:val="32"/>
        </w:rPr>
        <w:t>英文名称：AUTOMOBILE TECHNOLOGY</w:t>
      </w:r>
    </w:p>
    <w:p>
      <w:pPr>
        <w:snapToGrid w:val="0"/>
        <w:spacing w:line="560" w:lineRule="exact"/>
        <w:ind w:firstLine="640" w:firstLineChars="200"/>
        <w:outlineLvl w:val="0"/>
        <w:rPr>
          <w:rFonts w:ascii="仿宋_GB2312" w:hAnsi="仿宋" w:eastAsia="仿宋_GB2312" w:cs="仿宋"/>
          <w:sz w:val="32"/>
          <w:szCs w:val="32"/>
        </w:rPr>
      </w:pPr>
      <w:r>
        <w:rPr>
          <w:rFonts w:hint="eastAsia" w:ascii="仿宋_GB2312" w:hAnsi="仿宋" w:eastAsia="仿宋_GB2312" w:cs="仿宋"/>
          <w:sz w:val="32"/>
          <w:szCs w:val="32"/>
        </w:rPr>
        <w:t>赛项组别：高职组</w:t>
      </w:r>
    </w:p>
    <w:p>
      <w:pPr>
        <w:snapToGrid w:val="0"/>
        <w:spacing w:line="560" w:lineRule="exact"/>
        <w:ind w:firstLine="640" w:firstLineChars="200"/>
        <w:outlineLvl w:val="0"/>
        <w:rPr>
          <w:rFonts w:ascii="仿宋_GB2312" w:hAnsi="仿宋" w:eastAsia="仿宋_GB2312" w:cs="仿宋"/>
          <w:b/>
          <w:bCs/>
          <w:sz w:val="28"/>
          <w:szCs w:val="28"/>
        </w:rPr>
      </w:pPr>
      <w:r>
        <w:rPr>
          <w:rFonts w:hint="eastAsia" w:ascii="仿宋_GB2312" w:hAnsi="仿宋" w:eastAsia="仿宋_GB2312" w:cs="仿宋"/>
          <w:sz w:val="32"/>
          <w:szCs w:val="32"/>
        </w:rPr>
        <w:t>赛项归属：装备制造大类</w:t>
      </w:r>
      <w:r>
        <w:rPr>
          <w:rFonts w:hint="eastAsia" w:ascii="仿宋_GB2312" w:hAnsi="仿宋" w:eastAsia="仿宋_GB2312" w:cs="仿宋"/>
          <w:color w:val="auto"/>
          <w:sz w:val="32"/>
          <w:szCs w:val="32"/>
        </w:rPr>
        <w:t>、交通运输大类</w:t>
      </w:r>
    </w:p>
    <w:p>
      <w:pPr>
        <w:snapToGrid w:val="0"/>
        <w:spacing w:line="560" w:lineRule="exact"/>
        <w:outlineLvl w:val="0"/>
        <w:rPr>
          <w:rFonts w:ascii="仿宋_GB2312" w:hAnsi="仿宋" w:eastAsia="仿宋_GB2312" w:cs="仿宋"/>
          <w:b/>
          <w:bCs/>
          <w:sz w:val="32"/>
          <w:szCs w:val="32"/>
        </w:rPr>
      </w:pPr>
      <w:bookmarkStart w:id="10" w:name="_Toc4958"/>
      <w:bookmarkStart w:id="11" w:name="_Toc31941"/>
      <w:bookmarkStart w:id="12" w:name="_Toc5017"/>
      <w:r>
        <w:rPr>
          <w:rFonts w:hint="eastAsia" w:ascii="仿宋_GB2312" w:hAnsi="仿宋" w:eastAsia="仿宋_GB2312" w:cs="仿宋"/>
          <w:b/>
          <w:bCs/>
          <w:sz w:val="32"/>
          <w:szCs w:val="32"/>
        </w:rPr>
        <w:t>二、竞赛目的</w:t>
      </w:r>
      <w:bookmarkEnd w:id="10"/>
      <w:bookmarkEnd w:id="11"/>
      <w:bookmarkEnd w:id="12"/>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为贯彻党中央、国务院对职业教育工作的决策部署，推动落实《国家职业教育改革实施方案》，加快职业教育制度创新，促进职业教育高质量发展，以“汽车技术”相关专业群为背景，结合《汽车产业中长期发展规划》《节能与新能源汽车技术路线图 2.0》的目标要求，向国际先进水平看齐，办成世界高水平赛事。通过竞赛检验高职院校汽车技术类专业的教育教学成果，引领其专业建设的发展方向，加快产教融合人才培养和课程改革与创新的步伐。通过汽车的“发动机管理技术”“车身电气技术”“电动汽车技术”“智能网联汽车技术”等模块的竞赛，考察参赛队安全生产、组织管理、现场问题的分析与处理、工作效率等职业技能与素养，展示参赛队良好的精神风貌，向社会宣传职业教育成就，促进职业教育质量提升作用得到进一步发挥，培育工匠精神成效显著提升，培养高素质劳动者和技术技能人才的贡献率明显提高。</w:t>
      </w:r>
    </w:p>
    <w:p>
      <w:pPr>
        <w:snapToGrid w:val="0"/>
        <w:spacing w:line="560" w:lineRule="exact"/>
        <w:outlineLvl w:val="0"/>
        <w:rPr>
          <w:rFonts w:ascii="仿宋_GB2312" w:hAnsi="仿宋" w:eastAsia="仿宋_GB2312" w:cs="仿宋"/>
          <w:b/>
          <w:bCs/>
          <w:sz w:val="32"/>
          <w:szCs w:val="32"/>
        </w:rPr>
      </w:pPr>
      <w:bookmarkStart w:id="13" w:name="_Toc14953"/>
      <w:bookmarkStart w:id="14" w:name="_Toc4905"/>
      <w:bookmarkStart w:id="15" w:name="_Toc15574"/>
      <w:r>
        <w:rPr>
          <w:rFonts w:hint="eastAsia" w:ascii="仿宋_GB2312" w:hAnsi="仿宋" w:eastAsia="仿宋_GB2312" w:cs="仿宋"/>
          <w:b/>
          <w:bCs/>
          <w:sz w:val="32"/>
          <w:szCs w:val="32"/>
        </w:rPr>
        <w:t>三、竞赛内容</w:t>
      </w:r>
      <w:bookmarkEnd w:id="13"/>
      <w:bookmarkEnd w:id="14"/>
      <w:bookmarkEnd w:id="15"/>
    </w:p>
    <w:p>
      <w:pPr>
        <w:spacing w:line="560" w:lineRule="exact"/>
        <w:ind w:firstLine="640" w:firstLineChars="200"/>
        <w:rPr>
          <w:rFonts w:ascii="仿宋_GB2312" w:hAnsi="仿宋_GB2312" w:eastAsia="仿宋_GB2312" w:cs="宋体"/>
          <w:sz w:val="32"/>
          <w:szCs w:val="32"/>
        </w:rPr>
      </w:pPr>
      <w:bookmarkStart w:id="16" w:name="_Toc22146"/>
      <w:bookmarkStart w:id="17" w:name="_Toc21089"/>
      <w:bookmarkStart w:id="18" w:name="_Toc23715"/>
      <w:r>
        <w:rPr>
          <w:rFonts w:hint="eastAsia" w:ascii="仿宋_GB2312" w:hAnsi="仿宋_GB2312" w:eastAsia="仿宋_GB2312" w:cs="宋体"/>
          <w:sz w:val="32"/>
          <w:szCs w:val="32"/>
        </w:rPr>
        <w:t>比赛采用实操考核形式，分“发动机管理技术”“车身电气技术”“电动汽车技术”“智能网联汽车技术”四个竞赛模块进行。理论考核融入实操考核中，参赛队在完成实操考核同时，应填写选手报告单，各竞赛模块的竞赛内容、时长与权重见表。</w:t>
      </w:r>
    </w:p>
    <w:p>
      <w:pPr>
        <w:spacing w:line="560" w:lineRule="exact"/>
        <w:ind w:firstLine="480" w:firstLineChars="200"/>
        <w:jc w:val="center"/>
        <w:rPr>
          <w:rFonts w:hint="eastAsia" w:ascii="微软雅黑" w:eastAsia="微软雅黑"/>
          <w:b w:val="0"/>
          <w:bCs/>
          <w:sz w:val="24"/>
        </w:rPr>
      </w:pPr>
      <w:r>
        <w:rPr>
          <w:rFonts w:hint="eastAsia" w:ascii="微软雅黑" w:eastAsia="微软雅黑"/>
          <w:b w:val="0"/>
          <w:bCs/>
          <w:sz w:val="24"/>
        </w:rPr>
        <w:t>表 1</w:t>
      </w:r>
      <w:r>
        <w:rPr>
          <w:rFonts w:hint="eastAsia" w:ascii="微软雅黑" w:eastAsia="微软雅黑"/>
          <w:b w:val="0"/>
          <w:bCs/>
          <w:sz w:val="24"/>
        </w:rPr>
        <w:tab/>
      </w:r>
      <w:r>
        <w:rPr>
          <w:rFonts w:hint="eastAsia" w:ascii="微软雅黑" w:eastAsia="微软雅黑"/>
          <w:b w:val="0"/>
          <w:bCs/>
          <w:sz w:val="24"/>
        </w:rPr>
        <w:t>各竞赛模块的竞赛内容、时长与权重</w:t>
      </w:r>
    </w:p>
    <w:tbl>
      <w:tblPr>
        <w:tblStyle w:val="1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960"/>
        <w:gridCol w:w="3399"/>
        <w:gridCol w:w="1712"/>
        <w:gridCol w:w="100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1" w:hRule="atLeast"/>
          <w:jc w:val="center"/>
        </w:trPr>
        <w:tc>
          <w:tcPr>
            <w:tcW w:w="2960" w:type="dxa"/>
          </w:tcPr>
          <w:p>
            <w:pPr>
              <w:pStyle w:val="34"/>
              <w:spacing w:before="62"/>
              <w:ind w:left="573"/>
              <w:rPr>
                <w:b/>
                <w:sz w:val="24"/>
              </w:rPr>
            </w:pPr>
            <w:r>
              <w:rPr>
                <w:b/>
                <w:sz w:val="24"/>
              </w:rPr>
              <w:t>模块竞赛内容</w:t>
            </w:r>
          </w:p>
        </w:tc>
        <w:tc>
          <w:tcPr>
            <w:tcW w:w="3399" w:type="dxa"/>
          </w:tcPr>
          <w:p>
            <w:pPr>
              <w:pStyle w:val="34"/>
              <w:spacing w:before="62"/>
              <w:ind w:left="738"/>
              <w:rPr>
                <w:b/>
                <w:color w:val="auto"/>
                <w:sz w:val="24"/>
              </w:rPr>
            </w:pPr>
            <w:r>
              <w:rPr>
                <w:b/>
                <w:color w:val="auto"/>
                <w:sz w:val="24"/>
              </w:rPr>
              <w:t>竞赛时长（</w:t>
            </w:r>
            <w:r>
              <w:rPr>
                <w:rFonts w:hint="eastAsia" w:asciiTheme="minorEastAsia" w:hAnsiTheme="minorEastAsia" w:eastAsiaTheme="minorEastAsia"/>
                <w:b/>
                <w:color w:val="auto"/>
                <w:sz w:val="24"/>
              </w:rPr>
              <w:t>分钟</w:t>
            </w:r>
            <w:r>
              <w:rPr>
                <w:b/>
                <w:color w:val="auto"/>
                <w:sz w:val="24"/>
              </w:rPr>
              <w:t>）</w:t>
            </w:r>
          </w:p>
        </w:tc>
        <w:tc>
          <w:tcPr>
            <w:tcW w:w="1712" w:type="dxa"/>
          </w:tcPr>
          <w:p>
            <w:pPr>
              <w:pStyle w:val="34"/>
              <w:spacing w:before="62"/>
              <w:ind w:left="230" w:right="336"/>
              <w:jc w:val="center"/>
              <w:rPr>
                <w:b/>
                <w:color w:val="auto"/>
                <w:sz w:val="24"/>
              </w:rPr>
            </w:pPr>
            <w:r>
              <w:rPr>
                <w:b/>
                <w:color w:val="auto"/>
                <w:sz w:val="24"/>
              </w:rPr>
              <w:t>权重（%）</w:t>
            </w:r>
          </w:p>
        </w:tc>
        <w:tc>
          <w:tcPr>
            <w:tcW w:w="1000" w:type="dxa"/>
          </w:tcPr>
          <w:p>
            <w:pPr>
              <w:pStyle w:val="34"/>
              <w:spacing w:before="62"/>
              <w:ind w:left="232"/>
              <w:rPr>
                <w:b/>
                <w:sz w:val="24"/>
              </w:rPr>
            </w:pPr>
            <w:r>
              <w:rPr>
                <w:b/>
                <w:sz w:val="24"/>
              </w:rPr>
              <w:t>分值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0" w:hRule="atLeast"/>
          <w:jc w:val="center"/>
        </w:trPr>
        <w:tc>
          <w:tcPr>
            <w:tcW w:w="2960" w:type="dxa"/>
          </w:tcPr>
          <w:p>
            <w:pPr>
              <w:pStyle w:val="34"/>
              <w:spacing w:before="62"/>
              <w:ind w:left="643"/>
              <w:rPr>
                <w:sz w:val="24"/>
              </w:rPr>
            </w:pPr>
            <w:r>
              <w:rPr>
                <w:sz w:val="24"/>
              </w:rPr>
              <w:t>发动机管理技术</w:t>
            </w:r>
          </w:p>
        </w:tc>
        <w:tc>
          <w:tcPr>
            <w:tcW w:w="3399" w:type="dxa"/>
          </w:tcPr>
          <w:p>
            <w:pPr>
              <w:pStyle w:val="34"/>
              <w:spacing w:before="62"/>
              <w:ind w:left="17"/>
              <w:jc w:val="center"/>
              <w:rPr>
                <w:rFonts w:eastAsia="宋体"/>
                <w:color w:val="auto"/>
                <w:sz w:val="24"/>
              </w:rPr>
            </w:pPr>
            <w:r>
              <w:rPr>
                <w:rFonts w:eastAsia="宋体"/>
                <w:color w:val="auto"/>
                <w:sz w:val="24"/>
              </w:rPr>
              <w:t>60</w:t>
            </w:r>
            <w:r>
              <w:rPr>
                <w:rFonts w:hint="eastAsia" w:eastAsia="宋体"/>
                <w:color w:val="auto"/>
                <w:sz w:val="24"/>
              </w:rPr>
              <w:t>分钟</w:t>
            </w:r>
          </w:p>
        </w:tc>
        <w:tc>
          <w:tcPr>
            <w:tcW w:w="1712" w:type="dxa"/>
          </w:tcPr>
          <w:p>
            <w:pPr>
              <w:pStyle w:val="34"/>
              <w:spacing w:before="62"/>
              <w:ind w:left="228" w:right="336"/>
              <w:jc w:val="center"/>
              <w:rPr>
                <w:color w:val="auto"/>
                <w:sz w:val="24"/>
              </w:rPr>
            </w:pPr>
            <w:r>
              <w:rPr>
                <w:color w:val="auto"/>
                <w:sz w:val="24"/>
              </w:rPr>
              <w:t>30</w:t>
            </w:r>
            <w:r>
              <w:rPr>
                <w:rFonts w:hint="eastAsia" w:asciiTheme="minorEastAsia" w:hAnsiTheme="minorEastAsia" w:eastAsiaTheme="minorEastAsia"/>
                <w:color w:val="auto"/>
                <w:sz w:val="24"/>
              </w:rPr>
              <w:t>%</w:t>
            </w:r>
          </w:p>
        </w:tc>
        <w:tc>
          <w:tcPr>
            <w:tcW w:w="1000" w:type="dxa"/>
            <w:vMerge w:val="restart"/>
          </w:tcPr>
          <w:p>
            <w:pPr>
              <w:pStyle w:val="34"/>
              <w:rPr>
                <w:rFonts w:ascii="微软雅黑"/>
                <w:b/>
                <w:sz w:val="24"/>
              </w:rPr>
            </w:pPr>
          </w:p>
          <w:p>
            <w:pPr>
              <w:pStyle w:val="34"/>
              <w:spacing w:before="4"/>
              <w:rPr>
                <w:rFonts w:ascii="微软雅黑"/>
                <w:b/>
                <w:sz w:val="20"/>
              </w:rPr>
            </w:pPr>
          </w:p>
          <w:p>
            <w:pPr>
              <w:pStyle w:val="34"/>
              <w:ind w:left="172"/>
              <w:rPr>
                <w:sz w:val="24"/>
              </w:rPr>
            </w:pPr>
            <w:r>
              <w:rPr>
                <w:sz w:val="24"/>
              </w:rPr>
              <w:t>100分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1" w:hRule="atLeast"/>
          <w:jc w:val="center"/>
        </w:trPr>
        <w:tc>
          <w:tcPr>
            <w:tcW w:w="2960" w:type="dxa"/>
            <w:vAlign w:val="center"/>
          </w:tcPr>
          <w:p>
            <w:pPr>
              <w:pStyle w:val="34"/>
              <w:spacing w:before="62"/>
              <w:ind w:left="763"/>
              <w:jc w:val="left"/>
              <w:rPr>
                <w:sz w:val="24"/>
              </w:rPr>
            </w:pPr>
            <w:r>
              <w:rPr>
                <w:sz w:val="24"/>
              </w:rPr>
              <w:t>车身电气技术</w:t>
            </w:r>
          </w:p>
        </w:tc>
        <w:tc>
          <w:tcPr>
            <w:tcW w:w="3399" w:type="dxa"/>
            <w:vAlign w:val="center"/>
          </w:tcPr>
          <w:p>
            <w:pPr>
              <w:pStyle w:val="34"/>
              <w:spacing w:before="62"/>
              <w:ind w:left="17"/>
              <w:jc w:val="center"/>
              <w:rPr>
                <w:color w:val="auto"/>
                <w:sz w:val="24"/>
              </w:rPr>
            </w:pPr>
            <w:r>
              <w:rPr>
                <w:rFonts w:eastAsia="宋体"/>
                <w:color w:val="auto"/>
                <w:sz w:val="24"/>
              </w:rPr>
              <w:t>50</w:t>
            </w:r>
            <w:r>
              <w:rPr>
                <w:rFonts w:hint="eastAsia" w:eastAsia="宋体"/>
                <w:color w:val="auto"/>
                <w:sz w:val="24"/>
              </w:rPr>
              <w:t>分钟</w:t>
            </w:r>
          </w:p>
        </w:tc>
        <w:tc>
          <w:tcPr>
            <w:tcW w:w="1712" w:type="dxa"/>
          </w:tcPr>
          <w:p>
            <w:pPr>
              <w:pStyle w:val="34"/>
              <w:spacing w:before="62"/>
              <w:ind w:left="228" w:right="336"/>
              <w:jc w:val="center"/>
              <w:rPr>
                <w:color w:val="auto"/>
                <w:sz w:val="24"/>
              </w:rPr>
            </w:pPr>
            <w:r>
              <w:rPr>
                <w:rFonts w:hint="eastAsia" w:eastAsia="宋体"/>
                <w:color w:val="auto"/>
                <w:sz w:val="24"/>
              </w:rPr>
              <w:t>25%</w:t>
            </w:r>
          </w:p>
        </w:tc>
        <w:tc>
          <w:tcPr>
            <w:tcW w:w="1000" w:type="dxa"/>
            <w:vMerge w:val="continue"/>
            <w:tcBorders>
              <w:top w:val="nil"/>
            </w:tcBorders>
          </w:tcPr>
          <w:p>
            <w:pPr>
              <w:rPr>
                <w:sz w:val="2"/>
                <w:szCs w:val="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3" w:hRule="atLeast"/>
          <w:jc w:val="center"/>
        </w:trPr>
        <w:tc>
          <w:tcPr>
            <w:tcW w:w="2960" w:type="dxa"/>
          </w:tcPr>
          <w:p>
            <w:pPr>
              <w:pStyle w:val="34"/>
              <w:spacing w:before="62"/>
              <w:ind w:left="643"/>
              <w:rPr>
                <w:sz w:val="24"/>
              </w:rPr>
            </w:pPr>
            <w:r>
              <w:rPr>
                <w:sz w:val="24"/>
              </w:rPr>
              <w:t>纯电动汽车技术</w:t>
            </w:r>
          </w:p>
        </w:tc>
        <w:tc>
          <w:tcPr>
            <w:tcW w:w="3399" w:type="dxa"/>
          </w:tcPr>
          <w:p>
            <w:pPr>
              <w:pStyle w:val="34"/>
              <w:spacing w:before="62"/>
              <w:ind w:left="17"/>
              <w:jc w:val="center"/>
              <w:rPr>
                <w:rFonts w:eastAsia="宋体"/>
                <w:color w:val="auto"/>
                <w:sz w:val="24"/>
              </w:rPr>
            </w:pPr>
            <w:r>
              <w:rPr>
                <w:rFonts w:eastAsia="宋体"/>
                <w:color w:val="auto"/>
                <w:sz w:val="24"/>
              </w:rPr>
              <w:t>50</w:t>
            </w:r>
            <w:r>
              <w:rPr>
                <w:rFonts w:hint="eastAsia" w:eastAsia="宋体"/>
                <w:color w:val="auto"/>
                <w:sz w:val="24"/>
              </w:rPr>
              <w:t>分钟</w:t>
            </w:r>
          </w:p>
        </w:tc>
        <w:tc>
          <w:tcPr>
            <w:tcW w:w="1712" w:type="dxa"/>
          </w:tcPr>
          <w:p>
            <w:pPr>
              <w:pStyle w:val="34"/>
              <w:spacing w:before="62"/>
              <w:ind w:left="228" w:right="336"/>
              <w:jc w:val="center"/>
              <w:rPr>
                <w:color w:val="auto"/>
                <w:sz w:val="24"/>
              </w:rPr>
            </w:pPr>
            <w:r>
              <w:rPr>
                <w:rFonts w:hint="eastAsia" w:eastAsia="宋体"/>
                <w:color w:val="auto"/>
                <w:sz w:val="24"/>
              </w:rPr>
              <w:t>25%</w:t>
            </w:r>
          </w:p>
        </w:tc>
        <w:tc>
          <w:tcPr>
            <w:tcW w:w="1000" w:type="dxa"/>
            <w:vMerge w:val="continue"/>
            <w:tcBorders>
              <w:top w:val="nil"/>
            </w:tcBorders>
          </w:tcPr>
          <w:p>
            <w:pPr>
              <w:rPr>
                <w:sz w:val="2"/>
                <w:szCs w:val="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1" w:hRule="atLeast"/>
          <w:jc w:val="center"/>
        </w:trPr>
        <w:tc>
          <w:tcPr>
            <w:tcW w:w="2960" w:type="dxa"/>
          </w:tcPr>
          <w:p>
            <w:pPr>
              <w:pStyle w:val="34"/>
              <w:spacing w:before="60"/>
              <w:ind w:left="602"/>
              <w:rPr>
                <w:sz w:val="22"/>
              </w:rPr>
            </w:pPr>
            <w:r>
              <w:rPr>
                <w:sz w:val="24"/>
              </w:rPr>
              <w:t>智能网联汽车技术</w:t>
            </w:r>
          </w:p>
        </w:tc>
        <w:tc>
          <w:tcPr>
            <w:tcW w:w="3399" w:type="dxa"/>
          </w:tcPr>
          <w:p>
            <w:pPr>
              <w:pStyle w:val="34"/>
              <w:spacing w:before="61"/>
              <w:ind w:left="193"/>
              <w:rPr>
                <w:color w:val="auto"/>
                <w:sz w:val="24"/>
              </w:rPr>
            </w:pPr>
            <w:r>
              <w:rPr>
                <w:color w:val="auto"/>
                <w:sz w:val="24"/>
              </w:rPr>
              <w:t>50</w:t>
            </w:r>
            <w:r>
              <w:rPr>
                <w:rFonts w:hint="eastAsia"/>
                <w:color w:val="auto"/>
                <w:sz w:val="24"/>
              </w:rPr>
              <w:t>分钟</w:t>
            </w:r>
            <w:r>
              <w:rPr>
                <w:color w:val="auto"/>
                <w:sz w:val="24"/>
              </w:rPr>
              <w:t>（室内调测+室外路测）</w:t>
            </w:r>
          </w:p>
        </w:tc>
        <w:tc>
          <w:tcPr>
            <w:tcW w:w="1712" w:type="dxa"/>
          </w:tcPr>
          <w:p>
            <w:pPr>
              <w:pStyle w:val="34"/>
              <w:spacing w:before="61"/>
              <w:ind w:left="228" w:right="336"/>
              <w:jc w:val="center"/>
              <w:rPr>
                <w:color w:val="auto"/>
                <w:sz w:val="24"/>
              </w:rPr>
            </w:pPr>
            <w:r>
              <w:rPr>
                <w:color w:val="auto"/>
                <w:sz w:val="24"/>
              </w:rPr>
              <w:t>20</w:t>
            </w:r>
            <w:r>
              <w:rPr>
                <w:rFonts w:hint="eastAsia" w:asciiTheme="minorEastAsia" w:hAnsiTheme="minorEastAsia" w:eastAsiaTheme="minorEastAsia"/>
                <w:color w:val="auto"/>
                <w:sz w:val="24"/>
              </w:rPr>
              <w:t>%</w:t>
            </w:r>
          </w:p>
        </w:tc>
        <w:tc>
          <w:tcPr>
            <w:tcW w:w="1000" w:type="dxa"/>
            <w:vMerge w:val="continue"/>
            <w:tcBorders>
              <w:top w:val="nil"/>
            </w:tcBorders>
          </w:tcPr>
          <w:p>
            <w:pPr>
              <w:rPr>
                <w:sz w:val="2"/>
                <w:szCs w:val="2"/>
              </w:rPr>
            </w:pPr>
          </w:p>
        </w:tc>
      </w:tr>
    </w:tbl>
    <w:p>
      <w:pPr>
        <w:spacing w:line="560" w:lineRule="exact"/>
        <w:rPr>
          <w:rFonts w:ascii="仿宋_GB2312" w:hAnsi="仿宋_GB2312" w:eastAsia="仿宋_GB2312" w:cs="宋体"/>
          <w:sz w:val="32"/>
          <w:szCs w:val="32"/>
        </w:rPr>
      </w:pPr>
      <w:r>
        <w:rPr>
          <w:rFonts w:hint="eastAsia" w:ascii="仿宋_GB2312" w:hAnsi="仿宋_GB2312" w:eastAsia="仿宋_GB2312" w:cs="宋体"/>
          <w:sz w:val="32"/>
          <w:szCs w:val="32"/>
        </w:rPr>
        <w:t>每个竞赛模块的作业要求和考核要点如下：</w:t>
      </w:r>
    </w:p>
    <w:p>
      <w:pPr>
        <w:spacing w:line="560" w:lineRule="exact"/>
        <w:rPr>
          <w:rFonts w:ascii="仿宋_GB2312" w:hAnsi="仿宋_GB2312" w:eastAsia="仿宋_GB2312" w:cs="宋体"/>
          <w:sz w:val="32"/>
          <w:szCs w:val="32"/>
        </w:rPr>
      </w:pPr>
      <w:r>
        <w:rPr>
          <w:rFonts w:hint="eastAsia" w:ascii="仿宋_GB2312" w:hAnsi="仿宋_GB2312" w:eastAsia="仿宋_GB2312" w:cs="宋体"/>
          <w:sz w:val="32"/>
          <w:szCs w:val="32"/>
        </w:rPr>
        <w:t>（一）发动机管理技术</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1.作业要求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规定时间内，要求参赛选手对发动机无法起动（不得使用故障诊断仪）、发动机工作不良两种故障现象进行诊断并排除；依据故障树诊断逻辑完整展示作业过程，完整准确填写《发动机管理技术选手报告单》。作业过程中要熟练查阅维修资料、规范使用工量具和仪器设备、准确测量技术参数和判断故障点,做到安全文明作业。</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2.考核要点</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围围绕汽油发动机控制系统共性关键技术，重点考核参赛选手以下能力：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①针对燃油汽车发动机无法起动、发动机工作不良两种故障现象的分析、诊断、排除的能力，以及对发动机与整车结构和控制逻辑的理解能力；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②对万用表、故障诊断仪、示波器等常用诊断检测设备的应用能力；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③对发动机控制系统进行故障诊断的能力，包括前期准备、安全检查、症状确认与分析、目视检查、仪器连接、故障码和数据流读取、元器件测量、电路测量、故障点确认和排除、现场5S整理等。</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（二）车身电气技术</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1.作业要求：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w:t>
      </w:r>
      <w:bookmarkStart w:id="19" w:name="2.考核要点"/>
      <w:bookmarkEnd w:id="19"/>
      <w:r>
        <w:rPr>
          <w:rFonts w:hint="eastAsia" w:ascii="仿宋_GB2312" w:hAnsi="仿宋_GB2312" w:eastAsia="仿宋_GB2312" w:cs="宋体"/>
          <w:sz w:val="32"/>
          <w:szCs w:val="32"/>
        </w:rPr>
        <w:t>规定时间内，要求参赛选手对车身电气系统故障（不得使用故障诊断仪） 进行诊断与排除；依据故障树诊断逻辑完整展示作业过程，完整准确填写《车身电气技术选手报告单》。作业过程中要熟练查阅维修资料、规范使用工量具和仪器设备、准确测量技术参数和判断故障点，做到安全文明作业。</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2.考核要点</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围绕围绕汽车电源管理系统、灯光控制系统、舒适系统、仪表与警告装置、车载网络系统、车身附件电路等共性关键技术，重点考核参赛选手以下能力：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①重点考察参赛选手对汽车电源管理系统、灯光控制系统、舒适系统等系统的结构和控制逻辑的理解程度；</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②考察参赛选手对万用表、示波器等常用诊断设备的应用能力；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③对车身电气技术系统进行故障诊断的能力，包括前期准备、安全检查、症状确认与分析、目视检查、仪器连接、故障码和数据流读取、元器件测量、电路测量、故障点确认和排除、现场5S整理等。</w:t>
      </w:r>
    </w:p>
    <w:p>
      <w:pPr>
        <w:spacing w:line="560" w:lineRule="exact"/>
        <w:ind w:firstLine="640" w:firstLineChars="200"/>
        <w:rPr>
          <w:rFonts w:ascii="仿宋_GB2312" w:hAnsi="仿宋_GB2312" w:eastAsia="仿宋_GB2312" w:cs="宋体"/>
          <w:sz w:val="32"/>
          <w:szCs w:val="32"/>
        </w:rPr>
      </w:pPr>
      <w:bookmarkStart w:id="20" w:name="（三）电动汽车技术"/>
      <w:bookmarkEnd w:id="20"/>
      <w:r>
        <w:rPr>
          <w:rFonts w:hint="eastAsia" w:ascii="仿宋_GB2312" w:hAnsi="仿宋_GB2312" w:eastAsia="仿宋_GB2312" w:cs="宋体"/>
          <w:sz w:val="32"/>
          <w:szCs w:val="32"/>
        </w:rPr>
        <w:t>（三）电动汽车技术</w:t>
      </w:r>
    </w:p>
    <w:p>
      <w:pPr>
        <w:spacing w:line="560" w:lineRule="exact"/>
        <w:ind w:firstLine="640" w:firstLineChars="200"/>
        <w:rPr>
          <w:rFonts w:ascii="仿宋_GB2312" w:hAnsi="仿宋_GB2312" w:eastAsia="仿宋_GB2312" w:cs="宋体"/>
          <w:sz w:val="32"/>
          <w:szCs w:val="32"/>
        </w:rPr>
      </w:pPr>
      <w:bookmarkStart w:id="21" w:name="1.作业要求"/>
      <w:bookmarkEnd w:id="21"/>
      <w:r>
        <w:rPr>
          <w:rFonts w:hint="eastAsia" w:ascii="仿宋_GB2312" w:hAnsi="仿宋_GB2312" w:eastAsia="仿宋_GB2312" w:cs="宋体"/>
          <w:sz w:val="32"/>
          <w:szCs w:val="32"/>
        </w:rPr>
        <w:t>1.作业要求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规定时间内，要求参赛选手对纯电动汽车系统进行故障诊断与排除；依据故障树诊断逻辑完整展示作业过程，完整准确填写《纯电动汽车技术选手报告单》。作业过程中要熟练地查阅维修资料、规范使用工量具和仪器设备、准确测量技术参数和判断故障点，做到安全文明作业。</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2.考核要点</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围绕纯电动汽车“三电”系统的“低压上电异常”、“高压上电异常”、“车辆无法正常行驶”、“车辆无法（交流）充电”设置故障，重点考察以下能力：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①对车辆电动化系统控制逻辑的理解能力。</w:t>
      </w:r>
    </w:p>
    <w:p>
      <w:pPr>
        <w:spacing w:line="560" w:lineRule="exact"/>
        <w:ind w:left="958" w:leftChars="304" w:hanging="320" w:hangingChars="100"/>
        <w:rPr>
          <w:rFonts w:ascii="仿宋_GB2312" w:hAnsi="仿宋_GB2312" w:eastAsia="仿宋_GB2312" w:cs="宋体"/>
          <w:sz w:val="32"/>
          <w:szCs w:val="32"/>
        </w:rPr>
      </w:pPr>
      <w:r>
        <w:rPr>
          <w:rFonts w:hint="eastAsia" w:ascii="仿宋_GB2312" w:hAnsi="仿宋_GB2312" w:eastAsia="仿宋_GB2312" w:cs="宋体"/>
          <w:sz w:val="32"/>
          <w:szCs w:val="32"/>
        </w:rPr>
        <w:t>②对故障诊断仪、万用表、示波器等常用诊断设备的应用能力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③对电动汽车技术系统进行故障诊断的能力，包括前期准备、安全检查、症状确认与分析、目视检查、仪器连接、故障码和数据流读取、高压断电、非带电状态检测验证、绝缘（漏电）检测、元器件测量、故障点确认和排除、现场5S整理等。</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（四）智能网联汽车技术</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1.作业要求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在规定时间内，要求参赛选手对车辆控制系统进行装调，对智能网联汽车系统进行故障检测与排除，对驾驶辅助系统进行装调、标定与测试，对线控底盘CAN 通讯数据进行读取与调测，完成高精建图和地图标注，调取传感器装调参数进行单模块和组合模块的虚拟仿真测试，在仿真平台上完成功能验证，完成实车道路运行测试；完整准确填写《智能网联汽车技术选手报告单》。作业过程中要熟练地查阅技术资料、规范使用工量具和仪器设备、 准确测量技术参数和判断故障点，做到安全文明作业。</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2.考核要点</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围绕智能网联汽车共性关键技术，重点考核以下能力：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①按照技术手册完成完成环境感知、决策规划、控制执行、无线通信、车载网络等系统软硬件的装配、调试与标定能力；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②按照技术手册完成环境感知、决策规划、控制执行、无线通信、车载网络等系统软硬件的故障检测与排除的能力；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③按照技术手册完成指定场地高精建图及地图标注的能力；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④按照要求完成竞赛指定路线保障车辆自动驾驶的能力。</w:t>
      </w:r>
    </w:p>
    <w:p>
      <w:pPr>
        <w:spacing w:line="560" w:lineRule="exact"/>
        <w:rPr>
          <w:rFonts w:ascii="仿宋_GB2312" w:hAnsi="仿宋_GB2312" w:eastAsia="仿宋_GB2312" w:cs="宋体"/>
          <w:sz w:val="32"/>
          <w:szCs w:val="32"/>
        </w:rPr>
      </w:pPr>
      <w:bookmarkStart w:id="22" w:name="（四）智能网联汽车技术"/>
      <w:bookmarkEnd w:id="22"/>
      <w:r>
        <w:rPr>
          <w:rFonts w:hint="eastAsia" w:ascii="仿宋_GB2312" w:hAnsi="仿宋_GB2312" w:eastAsia="仿宋_GB2312" w:cs="宋体"/>
          <w:sz w:val="32"/>
          <w:szCs w:val="32"/>
        </w:rPr>
        <w:t>四、竞赛方式</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（一）竞赛以个人赛方式进行，要求选手必须参加所有模块的竞赛。高职参赛选手须为高等学校在籍高职高专类学生；根据</w:t>
      </w:r>
      <w:r>
        <w:rPr>
          <w:rFonts w:hint="eastAsia" w:ascii="仿宋_GB2312" w:hAnsi="仿宋_GB2312" w:eastAsia="仿宋_GB2312" w:cs="宋体"/>
          <w:color w:val="auto"/>
          <w:sz w:val="32"/>
          <w:szCs w:val="32"/>
        </w:rPr>
        <w:t>202</w:t>
      </w:r>
      <w:r>
        <w:rPr>
          <w:rFonts w:ascii="仿宋_GB2312" w:hAnsi="仿宋_GB2312" w:eastAsia="仿宋_GB2312" w:cs="宋体"/>
          <w:color w:val="auto"/>
          <w:sz w:val="32"/>
          <w:szCs w:val="32"/>
        </w:rPr>
        <w:t>2</w:t>
      </w:r>
      <w:r>
        <w:rPr>
          <w:rFonts w:hint="eastAsia" w:ascii="仿宋_GB2312" w:hAnsi="仿宋_GB2312" w:eastAsia="仿宋_GB2312" w:cs="宋体"/>
          <w:color w:val="auto"/>
          <w:sz w:val="32"/>
          <w:szCs w:val="32"/>
        </w:rPr>
        <w:t>年</w:t>
      </w:r>
      <w:r>
        <w:rPr>
          <w:rFonts w:hint="eastAsia" w:ascii="仿宋_GB2312" w:hAnsi="仿宋_GB2312" w:eastAsia="仿宋_GB2312" w:cs="宋体"/>
          <w:sz w:val="32"/>
          <w:szCs w:val="32"/>
        </w:rPr>
        <w:t>全国职业院校技能大赛选拔参赛选手的要求，高职组参赛选手年龄不超过25周岁（即</w:t>
      </w:r>
      <w:r>
        <w:rPr>
          <w:rFonts w:hint="eastAsia" w:ascii="仿宋_GB2312" w:hAnsi="仿宋_GB2312" w:eastAsia="仿宋_GB2312" w:cs="宋体"/>
          <w:color w:val="auto"/>
          <w:sz w:val="32"/>
          <w:szCs w:val="32"/>
        </w:rPr>
        <w:t>199</w:t>
      </w:r>
      <w:r>
        <w:rPr>
          <w:rFonts w:hint="eastAsia" w:ascii="仿宋_GB2312" w:hAnsi="仿宋_GB2312" w:eastAsia="仿宋_GB2312" w:cs="宋体"/>
          <w:color w:val="auto"/>
          <w:sz w:val="32"/>
          <w:szCs w:val="32"/>
          <w:lang w:val="en-US" w:eastAsia="zh-CN"/>
        </w:rPr>
        <w:t>8</w:t>
      </w:r>
      <w:bookmarkStart w:id="68" w:name="_GoBack"/>
      <w:bookmarkEnd w:id="68"/>
      <w:r>
        <w:rPr>
          <w:rFonts w:hint="eastAsia" w:ascii="仿宋_GB2312" w:hAnsi="仿宋_GB2312" w:eastAsia="仿宋_GB2312" w:cs="宋体"/>
          <w:color w:val="auto"/>
          <w:sz w:val="32"/>
          <w:szCs w:val="32"/>
        </w:rPr>
        <w:t>年</w:t>
      </w:r>
      <w:r>
        <w:rPr>
          <w:rFonts w:ascii="仿宋_GB2312" w:hAnsi="仿宋_GB2312" w:eastAsia="仿宋_GB2312" w:cs="宋体"/>
          <w:color w:val="auto"/>
          <w:sz w:val="32"/>
          <w:szCs w:val="32"/>
        </w:rPr>
        <w:t>10</w:t>
      </w:r>
      <w:r>
        <w:rPr>
          <w:rFonts w:hint="eastAsia" w:ascii="仿宋_GB2312" w:hAnsi="仿宋_GB2312" w:eastAsia="仿宋_GB2312" w:cs="宋体"/>
          <w:color w:val="auto"/>
          <w:sz w:val="32"/>
          <w:szCs w:val="32"/>
        </w:rPr>
        <w:t>月</w:t>
      </w:r>
      <w:r>
        <w:rPr>
          <w:rFonts w:hint="eastAsia" w:ascii="仿宋_GB2312" w:hAnsi="仿宋_GB2312" w:eastAsia="仿宋_GB2312" w:cs="宋体"/>
          <w:sz w:val="32"/>
          <w:szCs w:val="32"/>
        </w:rPr>
        <w:t>1日及以后出生）。五年制高职学生报名参赛的，四、五年级学生参加高职组比赛。在2021全国职业院校技能大赛中获一等奖的学生，不再参加同一项目（同一组别）的全省竞赛。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（二）竞赛队伍组成：由海南省内各高职院校为单位组队参赛，每队参赛选手1名，同一学校相同项目报名参赛队不超过2支，不得跨校组队；指导教师须为本校专兼职教师，每队1名指导教师。</w:t>
      </w:r>
    </w:p>
    <w:p>
      <w:pPr>
        <w:spacing w:line="560" w:lineRule="exact"/>
        <w:rPr>
          <w:rFonts w:ascii="仿宋_GB2312" w:hAnsi="仿宋_GB2312" w:eastAsia="仿宋_GB2312" w:cs="宋体"/>
          <w:sz w:val="32"/>
          <w:szCs w:val="32"/>
        </w:rPr>
      </w:pPr>
      <w:bookmarkStart w:id="23" w:name="_Toc1328"/>
      <w:bookmarkStart w:id="24" w:name="_Toc21173"/>
      <w:bookmarkStart w:id="25" w:name="_Toc19327"/>
      <w:r>
        <w:rPr>
          <w:rFonts w:hint="eastAsia" w:ascii="仿宋_GB2312" w:hAnsi="仿宋_GB2312" w:eastAsia="仿宋_GB2312" w:cs="宋体"/>
          <w:sz w:val="32"/>
          <w:szCs w:val="32"/>
        </w:rPr>
        <w:t>五、竞赛流程</w:t>
      </w:r>
      <w:bookmarkEnd w:id="23"/>
      <w:bookmarkEnd w:id="24"/>
      <w:bookmarkEnd w:id="25"/>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比赛日期：10月份</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比赛时间安排：正式比赛时间2天，具体安排见表二。</w:t>
      </w:r>
    </w:p>
    <w:p>
      <w:pPr>
        <w:spacing w:line="560" w:lineRule="exact"/>
        <w:ind w:firstLine="480" w:firstLineChars="200"/>
        <w:jc w:val="center"/>
        <w:rPr>
          <w:rFonts w:ascii="仿宋_GB2312" w:hAnsi="仿宋_GB2312" w:eastAsia="仿宋_GB2312" w:cs="宋体"/>
          <w:sz w:val="32"/>
          <w:szCs w:val="32"/>
        </w:rPr>
      </w:pPr>
      <w:r>
        <w:rPr>
          <w:rFonts w:hint="eastAsia" w:ascii="微软雅黑" w:eastAsia="微软雅黑"/>
          <w:b w:val="0"/>
          <w:bCs/>
          <w:sz w:val="24"/>
        </w:rPr>
        <w:t>表</w:t>
      </w:r>
      <w:r>
        <w:rPr>
          <w:rFonts w:hint="eastAsia" w:ascii="微软雅黑" w:eastAsia="微软雅黑"/>
          <w:b w:val="0"/>
          <w:bCs/>
          <w:sz w:val="24"/>
          <w:lang w:val="en-US" w:eastAsia="zh-CN"/>
        </w:rPr>
        <w:t>2</w:t>
      </w:r>
      <w:r>
        <w:rPr>
          <w:rFonts w:hint="eastAsia" w:ascii="微软雅黑" w:eastAsia="微软雅黑"/>
          <w:b w:val="0"/>
          <w:bCs/>
          <w:sz w:val="24"/>
        </w:rPr>
        <w:t xml:space="preserve">  竞赛日程及内容</w:t>
      </w:r>
    </w:p>
    <w:tbl>
      <w:tblPr>
        <w:tblStyle w:val="16"/>
        <w:tblW w:w="8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2"/>
        <w:gridCol w:w="1074"/>
        <w:gridCol w:w="1610"/>
        <w:gridCol w:w="990"/>
        <w:gridCol w:w="3040"/>
        <w:gridCol w:w="1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032" w:type="dxa"/>
            <w:tcBorders>
              <w:bottom w:val="single" w:color="auto" w:sz="4" w:space="0"/>
            </w:tcBorders>
            <w:vAlign w:val="center"/>
          </w:tcPr>
          <w:p>
            <w:pPr>
              <w:jc w:val="center"/>
              <w:rPr>
                <w:color w:val="auto"/>
              </w:rPr>
            </w:pPr>
            <w:r>
              <w:rPr>
                <w:rFonts w:hint="eastAsia" w:asciiTheme="minorEastAsia" w:hAnsiTheme="minorEastAsia" w:eastAsiaTheme="minorEastAsia"/>
                <w:color w:val="auto"/>
              </w:rPr>
              <w:t>日期</w:t>
            </w:r>
          </w:p>
        </w:tc>
        <w:tc>
          <w:tcPr>
            <w:tcW w:w="2684" w:type="dxa"/>
            <w:gridSpan w:val="2"/>
            <w:tcBorders>
              <w:bottom w:val="single" w:color="auto" w:sz="4" w:space="0"/>
            </w:tcBorders>
            <w:vAlign w:val="center"/>
          </w:tcPr>
          <w:p>
            <w:pPr>
              <w:jc w:val="center"/>
              <w:rPr>
                <w:color w:val="auto"/>
              </w:rPr>
            </w:pPr>
            <w:r>
              <w:rPr>
                <w:rFonts w:hint="eastAsia"/>
                <w:color w:val="auto"/>
              </w:rPr>
              <w:t>时间</w:t>
            </w:r>
          </w:p>
        </w:tc>
        <w:tc>
          <w:tcPr>
            <w:tcW w:w="990" w:type="dxa"/>
            <w:tcBorders>
              <w:bottom w:val="single" w:color="auto" w:sz="4" w:space="0"/>
            </w:tcBorders>
            <w:vAlign w:val="center"/>
          </w:tcPr>
          <w:p>
            <w:pPr>
              <w:jc w:val="center"/>
              <w:rPr>
                <w:color w:val="auto"/>
              </w:rPr>
            </w:pPr>
            <w:r>
              <w:rPr>
                <w:rFonts w:hint="eastAsia"/>
                <w:color w:val="auto"/>
              </w:rPr>
              <w:t>场次</w:t>
            </w:r>
          </w:p>
        </w:tc>
        <w:tc>
          <w:tcPr>
            <w:tcW w:w="3040" w:type="dxa"/>
            <w:tcBorders>
              <w:bottom w:val="single" w:color="auto" w:sz="4" w:space="0"/>
            </w:tcBorders>
            <w:vAlign w:val="center"/>
          </w:tcPr>
          <w:p>
            <w:pPr>
              <w:jc w:val="center"/>
              <w:rPr>
                <w:rFonts w:hint="eastAsia" w:eastAsia="宋体"/>
                <w:color w:val="auto"/>
                <w:lang w:val="en-US" w:eastAsia="zh-CN"/>
              </w:rPr>
            </w:pPr>
            <w:r>
              <w:rPr>
                <w:rFonts w:hint="eastAsia" w:eastAsia="宋体"/>
                <w:color w:val="auto"/>
                <w:lang w:val="en-US" w:eastAsia="zh-CN"/>
              </w:rPr>
              <w:t>内容</w:t>
            </w:r>
          </w:p>
        </w:tc>
        <w:tc>
          <w:tcPr>
            <w:tcW w:w="1106" w:type="dxa"/>
            <w:tcBorders>
              <w:bottom w:val="single" w:color="auto" w:sz="4" w:space="0"/>
            </w:tcBorders>
            <w:vAlign w:val="center"/>
          </w:tcPr>
          <w:p>
            <w:pPr>
              <w:jc w:val="center"/>
              <w:rPr>
                <w:color w:val="auto"/>
              </w:rPr>
            </w:pPr>
            <w:r>
              <w:rPr>
                <w:rFonts w:hint="eastAsia"/>
                <w:color w:val="auto"/>
              </w:rPr>
              <w:t>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jc w:val="center"/>
        </w:trPr>
        <w:tc>
          <w:tcPr>
            <w:tcW w:w="1032"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宋体"/>
                <w:color w:val="auto"/>
              </w:rPr>
            </w:pPr>
            <w:r>
              <w:rPr>
                <w:rFonts w:hint="eastAsia" w:eastAsia="宋体"/>
                <w:color w:val="auto"/>
              </w:rPr>
              <w:t>赛前一天</w:t>
            </w:r>
          </w:p>
        </w:tc>
        <w:tc>
          <w:tcPr>
            <w:tcW w:w="107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宋体"/>
                <w:b/>
                <w:color w:val="auto"/>
              </w:rPr>
            </w:pPr>
            <w:r>
              <w:rPr>
                <w:rFonts w:hint="eastAsia" w:eastAsia="宋体"/>
                <w:color w:val="auto"/>
              </w:rPr>
              <w:t>第一天</w:t>
            </w:r>
          </w:p>
        </w:tc>
        <w:tc>
          <w:tcPr>
            <w:tcW w:w="161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14:00～15:30</w:t>
            </w: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rFonts w:eastAsia="宋体"/>
                <w:color w:val="auto"/>
              </w:rPr>
            </w:pPr>
            <w:r>
              <w:rPr>
                <w:rFonts w:hint="eastAsia" w:eastAsia="宋体"/>
                <w:color w:val="auto"/>
              </w:rPr>
              <w:t>裁判会</w:t>
            </w:r>
          </w:p>
        </w:tc>
        <w:tc>
          <w:tcPr>
            <w:tcW w:w="3040"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color w:val="auto"/>
              </w:rPr>
            </w:pPr>
          </w:p>
        </w:tc>
        <w:tc>
          <w:tcPr>
            <w:tcW w:w="1106" w:type="dxa"/>
            <w:tcBorders>
              <w:top w:val="single" w:color="auto" w:sz="4" w:space="0"/>
              <w:left w:val="single" w:color="auto" w:sz="4" w:space="0"/>
              <w:bottom w:val="single" w:color="auto" w:sz="4" w:space="0"/>
              <w:right w:val="single" w:color="auto" w:sz="4" w:space="0"/>
            </w:tcBorders>
            <w:vAlign w:val="center"/>
          </w:tcPr>
          <w:p>
            <w:pPr>
              <w:jc w:val="center"/>
              <w:rPr>
                <w:rFonts w:eastAsia="宋体"/>
                <w:color w:val="auto"/>
              </w:rPr>
            </w:pPr>
            <w:r>
              <w:rPr>
                <w:rFonts w:hint="eastAsia" w:eastAsia="宋体"/>
                <w:color w:val="auto"/>
              </w:rPr>
              <w:t>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jc w:val="center"/>
        </w:trPr>
        <w:tc>
          <w:tcPr>
            <w:tcW w:w="1032" w:type="dxa"/>
            <w:vMerge w:val="continue"/>
            <w:tcBorders>
              <w:top w:val="single" w:color="auto" w:sz="4" w:space="0"/>
              <w:left w:val="single" w:color="auto" w:sz="4" w:space="0"/>
              <w:bottom w:val="single" w:color="auto" w:sz="4" w:space="0"/>
              <w:right w:val="single" w:color="auto" w:sz="4" w:space="0"/>
            </w:tcBorders>
            <w:vAlign w:val="center"/>
          </w:tcPr>
          <w:p>
            <w:pPr>
              <w:jc w:val="center"/>
              <w:rPr>
                <w:color w:val="auto"/>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pPr>
              <w:jc w:val="center"/>
              <w:rPr>
                <w:b/>
                <w:color w:val="auto"/>
              </w:rPr>
            </w:pPr>
          </w:p>
        </w:tc>
        <w:tc>
          <w:tcPr>
            <w:tcW w:w="161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15:30～16:30</w:t>
            </w: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rFonts w:eastAsia="宋体"/>
                <w:color w:val="auto"/>
              </w:rPr>
            </w:pPr>
            <w:r>
              <w:rPr>
                <w:rFonts w:hint="eastAsia" w:eastAsia="宋体"/>
                <w:color w:val="auto"/>
              </w:rPr>
              <w:t>领队会</w:t>
            </w:r>
          </w:p>
        </w:tc>
        <w:tc>
          <w:tcPr>
            <w:tcW w:w="3040" w:type="dxa"/>
            <w:tcBorders>
              <w:top w:val="single" w:color="auto" w:sz="4" w:space="0"/>
              <w:left w:val="single" w:color="auto" w:sz="4" w:space="0"/>
              <w:bottom w:val="single" w:color="auto" w:sz="4" w:space="0"/>
              <w:right w:val="single" w:color="auto" w:sz="4" w:space="0"/>
            </w:tcBorders>
            <w:vAlign w:val="center"/>
          </w:tcPr>
          <w:p>
            <w:pPr>
              <w:jc w:val="center"/>
              <w:rPr>
                <w:color w:val="auto"/>
              </w:rPr>
            </w:pPr>
          </w:p>
        </w:tc>
        <w:tc>
          <w:tcPr>
            <w:tcW w:w="1106"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会议室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jc w:val="center"/>
        </w:trPr>
        <w:tc>
          <w:tcPr>
            <w:tcW w:w="1032" w:type="dxa"/>
            <w:vMerge w:val="restart"/>
            <w:tcBorders>
              <w:top w:val="single" w:color="auto" w:sz="4" w:space="0"/>
              <w:left w:val="single" w:color="auto" w:sz="4" w:space="0"/>
              <w:right w:val="single" w:color="auto" w:sz="4" w:space="0"/>
            </w:tcBorders>
            <w:vAlign w:val="center"/>
          </w:tcPr>
          <w:p>
            <w:pPr>
              <w:jc w:val="center"/>
              <w:rPr>
                <w:rFonts w:eastAsia="宋体"/>
                <w:color w:val="auto"/>
              </w:rPr>
            </w:pPr>
            <w:r>
              <w:rPr>
                <w:rFonts w:hint="eastAsia" w:eastAsia="宋体"/>
                <w:color w:val="auto"/>
              </w:rPr>
              <w:t>比赛日1</w:t>
            </w:r>
          </w:p>
        </w:tc>
        <w:tc>
          <w:tcPr>
            <w:tcW w:w="1074" w:type="dxa"/>
            <w:vMerge w:val="restart"/>
            <w:tcBorders>
              <w:top w:val="single" w:color="auto" w:sz="4" w:space="0"/>
              <w:left w:val="single" w:color="auto" w:sz="4" w:space="0"/>
              <w:right w:val="single" w:color="auto" w:sz="4" w:space="0"/>
            </w:tcBorders>
            <w:vAlign w:val="center"/>
          </w:tcPr>
          <w:p>
            <w:pPr>
              <w:jc w:val="center"/>
              <w:rPr>
                <w:b/>
                <w:color w:val="auto"/>
              </w:rPr>
            </w:pPr>
            <w:r>
              <w:rPr>
                <w:rFonts w:hint="eastAsia"/>
                <w:b/>
                <w:color w:val="auto"/>
              </w:rPr>
              <w:t>第</w:t>
            </w:r>
            <w:r>
              <w:rPr>
                <w:rFonts w:hint="eastAsia" w:asciiTheme="minorEastAsia" w:hAnsiTheme="minorEastAsia" w:eastAsiaTheme="minorEastAsia"/>
                <w:b/>
                <w:color w:val="auto"/>
              </w:rPr>
              <w:t>二</w:t>
            </w:r>
            <w:r>
              <w:rPr>
                <w:rFonts w:hint="eastAsia"/>
                <w:b/>
                <w:color w:val="auto"/>
              </w:rPr>
              <w:t>天</w:t>
            </w:r>
          </w:p>
        </w:tc>
        <w:tc>
          <w:tcPr>
            <w:tcW w:w="1610" w:type="dxa"/>
            <w:vMerge w:val="restart"/>
            <w:tcBorders>
              <w:top w:val="single" w:color="auto" w:sz="4" w:space="0"/>
              <w:left w:val="single" w:color="auto" w:sz="4" w:space="0"/>
              <w:right w:val="single" w:color="auto" w:sz="4" w:space="0"/>
            </w:tcBorders>
            <w:vAlign w:val="center"/>
          </w:tcPr>
          <w:p>
            <w:pPr>
              <w:jc w:val="center"/>
              <w:rPr>
                <w:color w:val="auto"/>
              </w:rPr>
            </w:pPr>
            <w:r>
              <w:rPr>
                <w:rFonts w:hint="eastAsia" w:eastAsia="宋体"/>
                <w:color w:val="auto"/>
              </w:rPr>
              <w:t>7</w:t>
            </w:r>
            <w:r>
              <w:rPr>
                <w:color w:val="auto"/>
              </w:rPr>
              <w:t>:</w:t>
            </w:r>
            <w:r>
              <w:rPr>
                <w:rFonts w:hint="eastAsia" w:eastAsia="宋体"/>
                <w:color w:val="auto"/>
              </w:rPr>
              <w:t>0</w:t>
            </w:r>
            <w:r>
              <w:rPr>
                <w:color w:val="auto"/>
              </w:rPr>
              <w:t>0～</w:t>
            </w:r>
            <w:r>
              <w:rPr>
                <w:rFonts w:hint="eastAsia" w:eastAsia="宋体"/>
                <w:color w:val="auto"/>
              </w:rPr>
              <w:t>18</w:t>
            </w:r>
            <w:r>
              <w:rPr>
                <w:color w:val="auto"/>
              </w:rPr>
              <w:t>:</w:t>
            </w:r>
            <w:r>
              <w:rPr>
                <w:rFonts w:hint="eastAsia" w:eastAsia="宋体"/>
                <w:color w:val="auto"/>
              </w:rPr>
              <w:t>0</w:t>
            </w:r>
            <w:r>
              <w:rPr>
                <w:color w:val="auto"/>
              </w:rPr>
              <w:t>0</w:t>
            </w: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第一场</w:t>
            </w:r>
          </w:p>
        </w:tc>
        <w:tc>
          <w:tcPr>
            <w:tcW w:w="3040" w:type="dxa"/>
            <w:tcBorders>
              <w:top w:val="single" w:color="auto" w:sz="4" w:space="0"/>
              <w:left w:val="single" w:color="auto" w:sz="4" w:space="0"/>
              <w:right w:val="single" w:color="auto" w:sz="4" w:space="0"/>
            </w:tcBorders>
            <w:vAlign w:val="center"/>
          </w:tcPr>
          <w:p>
            <w:pPr>
              <w:jc w:val="center"/>
              <w:rPr>
                <w:rFonts w:hint="eastAsia" w:eastAsia="宋体"/>
                <w:color w:val="auto"/>
                <w:lang w:eastAsia="zh-CN"/>
              </w:rPr>
            </w:pPr>
            <w:r>
              <w:rPr>
                <w:rFonts w:hint="eastAsia"/>
                <w:color w:val="auto"/>
                <w:lang w:eastAsia="zh-CN"/>
              </w:rPr>
              <w:t>“</w:t>
            </w:r>
            <w:r>
              <w:rPr>
                <w:color w:val="auto"/>
              </w:rPr>
              <w:t>车身电气技术</w:t>
            </w:r>
            <w:r>
              <w:rPr>
                <w:rFonts w:hint="eastAsia"/>
                <w:color w:val="auto"/>
                <w:lang w:eastAsia="zh-CN"/>
              </w:rPr>
              <w:t>”、“</w:t>
            </w:r>
            <w:r>
              <w:rPr>
                <w:color w:val="auto"/>
              </w:rPr>
              <w:t>纯电动汽车技术</w:t>
            </w:r>
            <w:r>
              <w:rPr>
                <w:rFonts w:hint="eastAsia"/>
                <w:color w:val="auto"/>
                <w:lang w:eastAsia="zh-CN"/>
              </w:rPr>
              <w:t>”、“</w:t>
            </w:r>
            <w:r>
              <w:rPr>
                <w:color w:val="auto"/>
              </w:rPr>
              <w:t>智能网联汽车技术</w:t>
            </w:r>
            <w:r>
              <w:rPr>
                <w:rFonts w:hint="eastAsia"/>
                <w:color w:val="auto"/>
                <w:lang w:eastAsia="zh-CN"/>
              </w:rPr>
              <w:t>”</w:t>
            </w:r>
          </w:p>
        </w:tc>
        <w:tc>
          <w:tcPr>
            <w:tcW w:w="1106" w:type="dxa"/>
            <w:vMerge w:val="restart"/>
            <w:tcBorders>
              <w:top w:val="single" w:color="auto" w:sz="4" w:space="0"/>
              <w:left w:val="single" w:color="auto" w:sz="4" w:space="0"/>
              <w:right w:val="single" w:color="auto" w:sz="4" w:space="0"/>
            </w:tcBorders>
            <w:vAlign w:val="center"/>
          </w:tcPr>
          <w:p>
            <w:pPr>
              <w:jc w:val="center"/>
              <w:rPr>
                <w:rFonts w:eastAsia="宋体"/>
                <w:color w:val="auto"/>
              </w:rPr>
            </w:pPr>
            <w:r>
              <w:rPr>
                <w:rFonts w:hint="eastAsia" w:eastAsia="宋体"/>
                <w:color w:val="auto"/>
              </w:rPr>
              <w:t>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b/>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第二场</w:t>
            </w:r>
          </w:p>
        </w:tc>
        <w:tc>
          <w:tcPr>
            <w:tcW w:w="3040" w:type="dxa"/>
            <w:tcBorders>
              <w:left w:val="single" w:color="auto" w:sz="4" w:space="0"/>
              <w:right w:val="single" w:color="auto" w:sz="4" w:space="0"/>
            </w:tcBorders>
            <w:vAlign w:val="center"/>
          </w:tcPr>
          <w:p>
            <w:pPr>
              <w:jc w:val="center"/>
              <w:rPr>
                <w:color w:val="auto"/>
              </w:rPr>
            </w:pPr>
            <w:r>
              <w:rPr>
                <w:rFonts w:hint="eastAsia"/>
                <w:color w:val="auto"/>
                <w:lang w:eastAsia="zh-CN"/>
              </w:rPr>
              <w:t>“</w:t>
            </w:r>
            <w:r>
              <w:rPr>
                <w:color w:val="auto"/>
              </w:rPr>
              <w:t>车身电气技术</w:t>
            </w:r>
            <w:r>
              <w:rPr>
                <w:rFonts w:hint="eastAsia"/>
                <w:color w:val="auto"/>
                <w:lang w:eastAsia="zh-CN"/>
              </w:rPr>
              <w:t>”、“</w:t>
            </w:r>
            <w:r>
              <w:rPr>
                <w:color w:val="auto"/>
              </w:rPr>
              <w:t>纯电动汽车技术</w:t>
            </w:r>
            <w:r>
              <w:rPr>
                <w:rFonts w:hint="eastAsia"/>
                <w:color w:val="auto"/>
                <w:lang w:eastAsia="zh-CN"/>
              </w:rPr>
              <w:t>”、“</w:t>
            </w:r>
            <w:r>
              <w:rPr>
                <w:color w:val="auto"/>
              </w:rPr>
              <w:t>智能网联汽车技术</w:t>
            </w:r>
            <w:r>
              <w:rPr>
                <w:rFonts w:hint="eastAsia"/>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b/>
                <w:color w:val="auto"/>
              </w:rPr>
            </w:pPr>
          </w:p>
        </w:tc>
        <w:tc>
          <w:tcPr>
            <w:tcW w:w="1610" w:type="dxa"/>
            <w:vMerge w:val="continue"/>
            <w:tcBorders>
              <w:left w:val="single" w:color="auto" w:sz="4" w:space="0"/>
              <w:right w:val="single" w:color="auto" w:sz="4" w:space="0"/>
            </w:tcBorders>
            <w:vAlign w:val="center"/>
          </w:tcPr>
          <w:p>
            <w:pPr>
              <w:jc w:val="center"/>
              <w:rPr>
                <w:rFonts w:eastAsia="宋体"/>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第三场</w:t>
            </w:r>
          </w:p>
        </w:tc>
        <w:tc>
          <w:tcPr>
            <w:tcW w:w="3040" w:type="dxa"/>
            <w:tcBorders>
              <w:left w:val="single" w:color="auto" w:sz="4" w:space="0"/>
              <w:right w:val="single" w:color="auto" w:sz="4" w:space="0"/>
            </w:tcBorders>
            <w:vAlign w:val="center"/>
          </w:tcPr>
          <w:p>
            <w:pPr>
              <w:jc w:val="center"/>
              <w:rPr>
                <w:color w:val="auto"/>
              </w:rPr>
            </w:pPr>
            <w:r>
              <w:rPr>
                <w:rFonts w:hint="eastAsia"/>
                <w:color w:val="auto"/>
                <w:lang w:eastAsia="zh-CN"/>
              </w:rPr>
              <w:t>“</w:t>
            </w:r>
            <w:r>
              <w:rPr>
                <w:color w:val="auto"/>
              </w:rPr>
              <w:t>车身电气技术</w:t>
            </w:r>
            <w:r>
              <w:rPr>
                <w:rFonts w:hint="eastAsia"/>
                <w:color w:val="auto"/>
                <w:lang w:eastAsia="zh-CN"/>
              </w:rPr>
              <w:t>”、“</w:t>
            </w:r>
            <w:r>
              <w:rPr>
                <w:color w:val="auto"/>
              </w:rPr>
              <w:t>纯电动汽车技术</w:t>
            </w:r>
            <w:r>
              <w:rPr>
                <w:rFonts w:hint="eastAsia"/>
                <w:color w:val="auto"/>
                <w:lang w:eastAsia="zh-CN"/>
              </w:rPr>
              <w:t>”、“</w:t>
            </w:r>
            <w:r>
              <w:rPr>
                <w:color w:val="auto"/>
              </w:rPr>
              <w:t>智能网联汽车技术</w:t>
            </w:r>
            <w:r>
              <w:rPr>
                <w:rFonts w:hint="eastAsia"/>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b/>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第四场</w:t>
            </w:r>
          </w:p>
        </w:tc>
        <w:tc>
          <w:tcPr>
            <w:tcW w:w="3040" w:type="dxa"/>
            <w:tcBorders>
              <w:left w:val="single" w:color="auto" w:sz="4" w:space="0"/>
              <w:right w:val="single" w:color="auto" w:sz="4" w:space="0"/>
            </w:tcBorders>
            <w:vAlign w:val="center"/>
          </w:tcPr>
          <w:p>
            <w:pPr>
              <w:jc w:val="center"/>
              <w:rPr>
                <w:color w:val="auto"/>
              </w:rPr>
            </w:pPr>
            <w:r>
              <w:rPr>
                <w:rFonts w:hint="eastAsia"/>
                <w:color w:val="auto"/>
                <w:lang w:eastAsia="zh-CN"/>
              </w:rPr>
              <w:t>“</w:t>
            </w:r>
            <w:r>
              <w:rPr>
                <w:color w:val="auto"/>
              </w:rPr>
              <w:t>车身电气技术</w:t>
            </w:r>
            <w:r>
              <w:rPr>
                <w:rFonts w:hint="eastAsia"/>
                <w:color w:val="auto"/>
                <w:lang w:eastAsia="zh-CN"/>
              </w:rPr>
              <w:t>”、“</w:t>
            </w:r>
            <w:r>
              <w:rPr>
                <w:color w:val="auto"/>
              </w:rPr>
              <w:t>纯电动汽车技术</w:t>
            </w:r>
            <w:r>
              <w:rPr>
                <w:rFonts w:hint="eastAsia"/>
                <w:color w:val="auto"/>
                <w:lang w:eastAsia="zh-CN"/>
              </w:rPr>
              <w:t>”、“</w:t>
            </w:r>
            <w:r>
              <w:rPr>
                <w:color w:val="auto"/>
              </w:rPr>
              <w:t>智能网联汽车技术</w:t>
            </w:r>
            <w:r>
              <w:rPr>
                <w:rFonts w:hint="eastAsia"/>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b/>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w:t>
            </w:r>
            <w:r>
              <w:rPr>
                <w:rFonts w:hint="eastAsia" w:eastAsia="宋体"/>
                <w:color w:val="auto"/>
              </w:rPr>
              <w:t>五</w:t>
            </w:r>
            <w:r>
              <w:rPr>
                <w:color w:val="auto"/>
              </w:rPr>
              <w:t>场</w:t>
            </w:r>
          </w:p>
        </w:tc>
        <w:tc>
          <w:tcPr>
            <w:tcW w:w="3040" w:type="dxa"/>
            <w:tcBorders>
              <w:left w:val="single" w:color="auto" w:sz="4" w:space="0"/>
              <w:right w:val="single" w:color="auto" w:sz="4" w:space="0"/>
            </w:tcBorders>
            <w:vAlign w:val="center"/>
          </w:tcPr>
          <w:p>
            <w:pPr>
              <w:jc w:val="center"/>
              <w:rPr>
                <w:color w:val="auto"/>
              </w:rPr>
            </w:pPr>
            <w:r>
              <w:rPr>
                <w:rFonts w:hint="eastAsia"/>
                <w:color w:val="auto"/>
                <w:lang w:eastAsia="zh-CN"/>
              </w:rPr>
              <w:t>“</w:t>
            </w:r>
            <w:r>
              <w:rPr>
                <w:color w:val="auto"/>
              </w:rPr>
              <w:t>车身电气技术</w:t>
            </w:r>
            <w:r>
              <w:rPr>
                <w:rFonts w:hint="eastAsia"/>
                <w:color w:val="auto"/>
                <w:lang w:eastAsia="zh-CN"/>
              </w:rPr>
              <w:t>”、“</w:t>
            </w:r>
            <w:r>
              <w:rPr>
                <w:color w:val="auto"/>
              </w:rPr>
              <w:t>纯电动汽车技术</w:t>
            </w:r>
            <w:r>
              <w:rPr>
                <w:rFonts w:hint="eastAsia"/>
                <w:color w:val="auto"/>
                <w:lang w:eastAsia="zh-CN"/>
              </w:rPr>
              <w:t>”、“</w:t>
            </w:r>
            <w:r>
              <w:rPr>
                <w:color w:val="auto"/>
              </w:rPr>
              <w:t>智能网联汽车技术</w:t>
            </w:r>
            <w:r>
              <w:rPr>
                <w:rFonts w:hint="eastAsia"/>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b/>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w:t>
            </w:r>
            <w:r>
              <w:rPr>
                <w:rFonts w:hint="eastAsia" w:eastAsia="宋体"/>
                <w:color w:val="auto"/>
              </w:rPr>
              <w:t>六</w:t>
            </w:r>
            <w:r>
              <w:rPr>
                <w:color w:val="auto"/>
              </w:rPr>
              <w:t>场</w:t>
            </w:r>
          </w:p>
        </w:tc>
        <w:tc>
          <w:tcPr>
            <w:tcW w:w="3040" w:type="dxa"/>
            <w:tcBorders>
              <w:left w:val="single" w:color="auto" w:sz="4" w:space="0"/>
              <w:right w:val="single" w:color="auto" w:sz="4" w:space="0"/>
            </w:tcBorders>
            <w:vAlign w:val="center"/>
          </w:tcPr>
          <w:p>
            <w:pPr>
              <w:jc w:val="center"/>
              <w:rPr>
                <w:color w:val="auto"/>
              </w:rPr>
            </w:pPr>
            <w:r>
              <w:rPr>
                <w:rFonts w:hint="eastAsia"/>
                <w:color w:val="auto"/>
                <w:lang w:eastAsia="zh-CN"/>
              </w:rPr>
              <w:t>“</w:t>
            </w:r>
            <w:r>
              <w:rPr>
                <w:color w:val="auto"/>
              </w:rPr>
              <w:t>车身电气技术</w:t>
            </w:r>
            <w:r>
              <w:rPr>
                <w:rFonts w:hint="eastAsia"/>
                <w:color w:val="auto"/>
                <w:lang w:eastAsia="zh-CN"/>
              </w:rPr>
              <w:t>”、“</w:t>
            </w:r>
            <w:r>
              <w:rPr>
                <w:color w:val="auto"/>
              </w:rPr>
              <w:t>纯电动汽车技术</w:t>
            </w:r>
            <w:r>
              <w:rPr>
                <w:rFonts w:hint="eastAsia"/>
                <w:color w:val="auto"/>
                <w:lang w:eastAsia="zh-CN"/>
              </w:rPr>
              <w:t>”、“</w:t>
            </w:r>
            <w:r>
              <w:rPr>
                <w:color w:val="auto"/>
              </w:rPr>
              <w:t>智能网联汽车技术</w:t>
            </w:r>
            <w:r>
              <w:rPr>
                <w:rFonts w:hint="eastAsia"/>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b/>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w:t>
            </w:r>
            <w:r>
              <w:rPr>
                <w:rFonts w:hint="eastAsia" w:eastAsia="宋体"/>
                <w:color w:val="auto"/>
              </w:rPr>
              <w:t>七</w:t>
            </w:r>
            <w:r>
              <w:rPr>
                <w:color w:val="auto"/>
              </w:rPr>
              <w:t>场</w:t>
            </w:r>
          </w:p>
        </w:tc>
        <w:tc>
          <w:tcPr>
            <w:tcW w:w="3040" w:type="dxa"/>
            <w:tcBorders>
              <w:left w:val="single" w:color="auto" w:sz="4" w:space="0"/>
              <w:right w:val="single" w:color="auto" w:sz="4" w:space="0"/>
            </w:tcBorders>
            <w:vAlign w:val="center"/>
          </w:tcPr>
          <w:p>
            <w:pPr>
              <w:jc w:val="center"/>
              <w:rPr>
                <w:color w:val="auto"/>
              </w:rPr>
            </w:pPr>
            <w:r>
              <w:rPr>
                <w:rFonts w:hint="eastAsia"/>
                <w:color w:val="auto"/>
                <w:lang w:eastAsia="zh-CN"/>
              </w:rPr>
              <w:t>“</w:t>
            </w:r>
            <w:r>
              <w:rPr>
                <w:color w:val="auto"/>
              </w:rPr>
              <w:t>车身电气技术</w:t>
            </w:r>
            <w:r>
              <w:rPr>
                <w:rFonts w:hint="eastAsia"/>
                <w:color w:val="auto"/>
                <w:lang w:eastAsia="zh-CN"/>
              </w:rPr>
              <w:t>”、“</w:t>
            </w:r>
            <w:r>
              <w:rPr>
                <w:color w:val="auto"/>
              </w:rPr>
              <w:t>纯电动汽车技术</w:t>
            </w:r>
            <w:r>
              <w:rPr>
                <w:rFonts w:hint="eastAsia"/>
                <w:color w:val="auto"/>
                <w:lang w:eastAsia="zh-CN"/>
              </w:rPr>
              <w:t>”、“</w:t>
            </w:r>
            <w:r>
              <w:rPr>
                <w:color w:val="auto"/>
              </w:rPr>
              <w:t>智能网联汽车技术</w:t>
            </w:r>
            <w:r>
              <w:rPr>
                <w:rFonts w:hint="eastAsia"/>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jc w:val="center"/>
        </w:trPr>
        <w:tc>
          <w:tcPr>
            <w:tcW w:w="1032" w:type="dxa"/>
            <w:vMerge w:val="restart"/>
            <w:tcBorders>
              <w:top w:val="single" w:color="auto" w:sz="4" w:space="0"/>
              <w:left w:val="single" w:color="auto" w:sz="4" w:space="0"/>
              <w:right w:val="single" w:color="auto" w:sz="4" w:space="0"/>
            </w:tcBorders>
            <w:vAlign w:val="center"/>
          </w:tcPr>
          <w:p>
            <w:pPr>
              <w:jc w:val="center"/>
              <w:rPr>
                <w:rFonts w:eastAsia="宋体"/>
                <w:color w:val="auto"/>
              </w:rPr>
            </w:pPr>
            <w:r>
              <w:rPr>
                <w:rFonts w:hint="eastAsia" w:eastAsia="宋体"/>
                <w:color w:val="auto"/>
              </w:rPr>
              <w:t>比赛日2</w:t>
            </w:r>
          </w:p>
        </w:tc>
        <w:tc>
          <w:tcPr>
            <w:tcW w:w="1074" w:type="dxa"/>
            <w:vMerge w:val="restart"/>
            <w:tcBorders>
              <w:top w:val="single" w:color="auto" w:sz="4" w:space="0"/>
              <w:left w:val="single" w:color="auto" w:sz="4" w:space="0"/>
              <w:right w:val="single" w:color="auto" w:sz="4" w:space="0"/>
            </w:tcBorders>
            <w:vAlign w:val="center"/>
          </w:tcPr>
          <w:p>
            <w:pPr>
              <w:jc w:val="center"/>
              <w:rPr>
                <w:rFonts w:eastAsiaTheme="minorEastAsia"/>
                <w:b/>
                <w:color w:val="auto"/>
              </w:rPr>
            </w:pPr>
            <w:r>
              <w:rPr>
                <w:rFonts w:hint="eastAsia" w:ascii="微软雅黑" w:hAnsi="微软雅黑" w:eastAsia="微软雅黑" w:cs="微软雅黑"/>
                <w:b/>
                <w:color w:val="auto"/>
              </w:rPr>
              <w:t>第三天</w:t>
            </w:r>
          </w:p>
        </w:tc>
        <w:tc>
          <w:tcPr>
            <w:tcW w:w="1610" w:type="dxa"/>
            <w:vMerge w:val="restart"/>
            <w:tcBorders>
              <w:top w:val="single" w:color="auto" w:sz="4" w:space="0"/>
              <w:left w:val="single" w:color="auto" w:sz="4" w:space="0"/>
              <w:right w:val="single" w:color="auto" w:sz="4" w:space="0"/>
            </w:tcBorders>
            <w:vAlign w:val="center"/>
          </w:tcPr>
          <w:p>
            <w:pPr>
              <w:jc w:val="center"/>
              <w:rPr>
                <w:color w:val="auto"/>
              </w:rPr>
            </w:pPr>
            <w:r>
              <w:rPr>
                <w:rFonts w:hint="eastAsia" w:eastAsia="宋体"/>
                <w:color w:val="auto"/>
              </w:rPr>
              <w:t>7</w:t>
            </w:r>
            <w:r>
              <w:rPr>
                <w:color w:val="auto"/>
              </w:rPr>
              <w:t>:</w:t>
            </w:r>
            <w:r>
              <w:rPr>
                <w:rFonts w:hint="eastAsia" w:eastAsia="宋体"/>
                <w:color w:val="auto"/>
              </w:rPr>
              <w:t>0</w:t>
            </w:r>
            <w:r>
              <w:rPr>
                <w:color w:val="auto"/>
              </w:rPr>
              <w:t>0～</w:t>
            </w:r>
            <w:r>
              <w:rPr>
                <w:rFonts w:hint="eastAsia" w:eastAsia="宋体"/>
                <w:color w:val="auto"/>
              </w:rPr>
              <w:t>18</w:t>
            </w:r>
            <w:r>
              <w:rPr>
                <w:color w:val="auto"/>
              </w:rPr>
              <w:t>:</w:t>
            </w:r>
            <w:r>
              <w:rPr>
                <w:rFonts w:hint="eastAsia" w:eastAsia="宋体"/>
                <w:color w:val="auto"/>
              </w:rPr>
              <w:t>0</w:t>
            </w:r>
            <w:r>
              <w:rPr>
                <w:color w:val="auto"/>
              </w:rPr>
              <w:t>0</w:t>
            </w: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第一场</w:t>
            </w:r>
          </w:p>
        </w:tc>
        <w:tc>
          <w:tcPr>
            <w:tcW w:w="3040" w:type="dxa"/>
            <w:tcBorders>
              <w:top w:val="single" w:color="auto" w:sz="4" w:space="0"/>
              <w:left w:val="single" w:color="auto" w:sz="4" w:space="0"/>
              <w:right w:val="single" w:color="auto" w:sz="4" w:space="0"/>
            </w:tcBorders>
            <w:vAlign w:val="center"/>
          </w:tcPr>
          <w:p>
            <w:pPr>
              <w:jc w:val="center"/>
              <w:rPr>
                <w:rFonts w:hint="eastAsia" w:eastAsia="宋体"/>
                <w:color w:val="auto"/>
                <w:lang w:eastAsia="zh-CN"/>
              </w:rPr>
            </w:pPr>
            <w:r>
              <w:rPr>
                <w:rFonts w:hint="eastAsia" w:eastAsia="宋体"/>
                <w:color w:val="auto"/>
                <w:lang w:eastAsia="zh-CN"/>
              </w:rPr>
              <w:t>“</w:t>
            </w:r>
            <w:r>
              <w:rPr>
                <w:color w:val="auto"/>
              </w:rPr>
              <w:t>发动机管理技术</w:t>
            </w:r>
            <w:r>
              <w:rPr>
                <w:rFonts w:hint="eastAsia" w:eastAsia="宋体"/>
                <w:color w:val="auto"/>
                <w:lang w:eastAsia="zh-CN"/>
              </w:rPr>
              <w:t>”</w:t>
            </w:r>
          </w:p>
        </w:tc>
        <w:tc>
          <w:tcPr>
            <w:tcW w:w="1106" w:type="dxa"/>
            <w:vMerge w:val="restart"/>
            <w:tcBorders>
              <w:top w:val="single" w:color="auto" w:sz="4" w:space="0"/>
              <w:left w:val="single" w:color="auto" w:sz="4" w:space="0"/>
              <w:right w:val="single" w:color="auto" w:sz="4" w:space="0"/>
            </w:tcBorders>
            <w:vAlign w:val="center"/>
          </w:tcPr>
          <w:p>
            <w:pPr>
              <w:jc w:val="center"/>
              <w:rPr>
                <w:rFonts w:eastAsia="宋体"/>
                <w:color w:val="auto"/>
              </w:rPr>
            </w:pPr>
            <w:r>
              <w:rPr>
                <w:rFonts w:hint="eastAsia" w:eastAsia="宋体"/>
                <w:color w:val="auto"/>
              </w:rPr>
              <w:t>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第二场</w:t>
            </w:r>
          </w:p>
        </w:tc>
        <w:tc>
          <w:tcPr>
            <w:tcW w:w="3040" w:type="dxa"/>
            <w:tcBorders>
              <w:left w:val="single" w:color="auto" w:sz="4" w:space="0"/>
              <w:right w:val="single" w:color="auto" w:sz="4" w:space="0"/>
            </w:tcBorders>
            <w:vAlign w:val="center"/>
          </w:tcPr>
          <w:p>
            <w:pPr>
              <w:jc w:val="center"/>
              <w:rPr>
                <w:color w:val="auto"/>
              </w:rPr>
            </w:pPr>
            <w:r>
              <w:rPr>
                <w:rFonts w:hint="eastAsia" w:eastAsia="宋体"/>
                <w:color w:val="auto"/>
                <w:lang w:eastAsia="zh-CN"/>
              </w:rPr>
              <w:t>“</w:t>
            </w:r>
            <w:r>
              <w:rPr>
                <w:color w:val="auto"/>
              </w:rPr>
              <w:t>发动机管理技术</w:t>
            </w:r>
            <w:r>
              <w:rPr>
                <w:rFonts w:hint="eastAsia" w:eastAsia="宋体"/>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color w:val="auto"/>
              </w:rPr>
            </w:pPr>
          </w:p>
        </w:tc>
        <w:tc>
          <w:tcPr>
            <w:tcW w:w="1610" w:type="dxa"/>
            <w:vMerge w:val="continue"/>
            <w:tcBorders>
              <w:left w:val="single" w:color="auto" w:sz="4" w:space="0"/>
              <w:right w:val="single" w:color="auto" w:sz="4" w:space="0"/>
            </w:tcBorders>
            <w:vAlign w:val="center"/>
          </w:tcPr>
          <w:p>
            <w:pPr>
              <w:jc w:val="center"/>
              <w:rPr>
                <w:rFonts w:eastAsia="宋体"/>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第三场</w:t>
            </w:r>
          </w:p>
        </w:tc>
        <w:tc>
          <w:tcPr>
            <w:tcW w:w="3040" w:type="dxa"/>
            <w:tcBorders>
              <w:left w:val="single" w:color="auto" w:sz="4" w:space="0"/>
              <w:right w:val="single" w:color="auto" w:sz="4" w:space="0"/>
            </w:tcBorders>
            <w:vAlign w:val="center"/>
          </w:tcPr>
          <w:p>
            <w:pPr>
              <w:jc w:val="center"/>
              <w:rPr>
                <w:color w:val="auto"/>
              </w:rPr>
            </w:pPr>
            <w:r>
              <w:rPr>
                <w:rFonts w:hint="eastAsia" w:eastAsia="宋体"/>
                <w:color w:val="auto"/>
                <w:lang w:eastAsia="zh-CN"/>
              </w:rPr>
              <w:t>“</w:t>
            </w:r>
            <w:r>
              <w:rPr>
                <w:color w:val="auto"/>
              </w:rPr>
              <w:t>发动机管理技术</w:t>
            </w:r>
            <w:r>
              <w:rPr>
                <w:rFonts w:hint="eastAsia" w:eastAsia="宋体"/>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第四场</w:t>
            </w:r>
          </w:p>
        </w:tc>
        <w:tc>
          <w:tcPr>
            <w:tcW w:w="3040" w:type="dxa"/>
            <w:tcBorders>
              <w:left w:val="single" w:color="auto" w:sz="4" w:space="0"/>
              <w:right w:val="single" w:color="auto" w:sz="4" w:space="0"/>
            </w:tcBorders>
            <w:vAlign w:val="center"/>
          </w:tcPr>
          <w:p>
            <w:pPr>
              <w:jc w:val="center"/>
              <w:rPr>
                <w:color w:val="auto"/>
              </w:rPr>
            </w:pPr>
            <w:r>
              <w:rPr>
                <w:rFonts w:hint="eastAsia" w:eastAsia="宋体"/>
                <w:color w:val="auto"/>
                <w:lang w:eastAsia="zh-CN"/>
              </w:rPr>
              <w:t>“</w:t>
            </w:r>
            <w:r>
              <w:rPr>
                <w:color w:val="auto"/>
              </w:rPr>
              <w:t>发动机管理技术</w:t>
            </w:r>
            <w:r>
              <w:rPr>
                <w:rFonts w:hint="eastAsia" w:eastAsia="宋体"/>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w:t>
            </w:r>
            <w:r>
              <w:rPr>
                <w:rFonts w:hint="eastAsia" w:eastAsia="宋体"/>
                <w:color w:val="auto"/>
              </w:rPr>
              <w:t>五</w:t>
            </w:r>
            <w:r>
              <w:rPr>
                <w:color w:val="auto"/>
              </w:rPr>
              <w:t>场</w:t>
            </w:r>
          </w:p>
        </w:tc>
        <w:tc>
          <w:tcPr>
            <w:tcW w:w="3040" w:type="dxa"/>
            <w:tcBorders>
              <w:left w:val="single" w:color="auto" w:sz="4" w:space="0"/>
              <w:right w:val="single" w:color="auto" w:sz="4" w:space="0"/>
            </w:tcBorders>
            <w:vAlign w:val="center"/>
          </w:tcPr>
          <w:p>
            <w:pPr>
              <w:jc w:val="center"/>
              <w:rPr>
                <w:color w:val="auto"/>
              </w:rPr>
            </w:pPr>
            <w:r>
              <w:rPr>
                <w:rFonts w:hint="eastAsia" w:eastAsia="宋体"/>
                <w:color w:val="auto"/>
                <w:lang w:eastAsia="zh-CN"/>
              </w:rPr>
              <w:t>“</w:t>
            </w:r>
            <w:r>
              <w:rPr>
                <w:color w:val="auto"/>
              </w:rPr>
              <w:t>发动机管理技术</w:t>
            </w:r>
            <w:r>
              <w:rPr>
                <w:rFonts w:hint="eastAsia" w:eastAsia="宋体"/>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w:t>
            </w:r>
            <w:r>
              <w:rPr>
                <w:rFonts w:hint="eastAsia" w:eastAsia="宋体"/>
                <w:color w:val="auto"/>
              </w:rPr>
              <w:t>六</w:t>
            </w:r>
            <w:r>
              <w:rPr>
                <w:color w:val="auto"/>
              </w:rPr>
              <w:t>场</w:t>
            </w:r>
          </w:p>
        </w:tc>
        <w:tc>
          <w:tcPr>
            <w:tcW w:w="3040" w:type="dxa"/>
            <w:tcBorders>
              <w:left w:val="single" w:color="auto" w:sz="4" w:space="0"/>
              <w:right w:val="single" w:color="auto" w:sz="4" w:space="0"/>
            </w:tcBorders>
            <w:vAlign w:val="center"/>
          </w:tcPr>
          <w:p>
            <w:pPr>
              <w:jc w:val="center"/>
              <w:rPr>
                <w:color w:val="auto"/>
              </w:rPr>
            </w:pPr>
            <w:r>
              <w:rPr>
                <w:rFonts w:hint="eastAsia" w:eastAsia="宋体"/>
                <w:color w:val="auto"/>
                <w:lang w:eastAsia="zh-CN"/>
              </w:rPr>
              <w:t>“</w:t>
            </w:r>
            <w:r>
              <w:rPr>
                <w:color w:val="auto"/>
              </w:rPr>
              <w:t>发动机管理技术</w:t>
            </w:r>
            <w:r>
              <w:rPr>
                <w:rFonts w:hint="eastAsia" w:eastAsia="宋体"/>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1032" w:type="dxa"/>
            <w:vMerge w:val="continue"/>
            <w:tcBorders>
              <w:left w:val="single" w:color="auto" w:sz="4" w:space="0"/>
              <w:right w:val="single" w:color="auto" w:sz="4" w:space="0"/>
            </w:tcBorders>
            <w:vAlign w:val="center"/>
          </w:tcPr>
          <w:p>
            <w:pPr>
              <w:jc w:val="center"/>
              <w:rPr>
                <w:color w:val="auto"/>
              </w:rPr>
            </w:pPr>
          </w:p>
        </w:tc>
        <w:tc>
          <w:tcPr>
            <w:tcW w:w="1074" w:type="dxa"/>
            <w:vMerge w:val="continue"/>
            <w:tcBorders>
              <w:left w:val="single" w:color="auto" w:sz="4" w:space="0"/>
              <w:right w:val="single" w:color="auto" w:sz="4" w:space="0"/>
            </w:tcBorders>
            <w:vAlign w:val="center"/>
          </w:tcPr>
          <w:p>
            <w:pPr>
              <w:jc w:val="center"/>
              <w:rPr>
                <w:color w:val="auto"/>
              </w:rPr>
            </w:pPr>
          </w:p>
        </w:tc>
        <w:tc>
          <w:tcPr>
            <w:tcW w:w="1610" w:type="dxa"/>
            <w:vMerge w:val="continue"/>
            <w:tcBorders>
              <w:left w:val="single" w:color="auto" w:sz="4" w:space="0"/>
              <w:right w:val="single" w:color="auto" w:sz="4" w:space="0"/>
            </w:tcBorders>
            <w:vAlign w:val="center"/>
          </w:tcPr>
          <w:p>
            <w:pPr>
              <w:jc w:val="center"/>
              <w:rPr>
                <w:color w:val="auto"/>
              </w:rPr>
            </w:pPr>
          </w:p>
        </w:tc>
        <w:tc>
          <w:tcPr>
            <w:tcW w:w="990" w:type="dxa"/>
            <w:tcBorders>
              <w:top w:val="single" w:color="auto" w:sz="4" w:space="0"/>
              <w:left w:val="single" w:color="auto" w:sz="4" w:space="0"/>
              <w:bottom w:val="single" w:color="auto" w:sz="4" w:space="0"/>
              <w:right w:val="single" w:color="auto" w:sz="4" w:space="0"/>
            </w:tcBorders>
            <w:vAlign w:val="center"/>
          </w:tcPr>
          <w:p>
            <w:pPr>
              <w:jc w:val="center"/>
              <w:rPr>
                <w:color w:val="auto"/>
              </w:rPr>
            </w:pPr>
            <w:r>
              <w:rPr>
                <w:color w:val="auto"/>
              </w:rPr>
              <w:t>第</w:t>
            </w:r>
            <w:r>
              <w:rPr>
                <w:rFonts w:hint="eastAsia" w:eastAsia="宋体"/>
                <w:color w:val="auto"/>
              </w:rPr>
              <w:t>七</w:t>
            </w:r>
            <w:r>
              <w:rPr>
                <w:color w:val="auto"/>
              </w:rPr>
              <w:t>场</w:t>
            </w:r>
          </w:p>
        </w:tc>
        <w:tc>
          <w:tcPr>
            <w:tcW w:w="3040" w:type="dxa"/>
            <w:tcBorders>
              <w:left w:val="single" w:color="auto" w:sz="4" w:space="0"/>
              <w:right w:val="single" w:color="auto" w:sz="4" w:space="0"/>
            </w:tcBorders>
            <w:vAlign w:val="center"/>
          </w:tcPr>
          <w:p>
            <w:pPr>
              <w:jc w:val="center"/>
              <w:rPr>
                <w:color w:val="auto"/>
              </w:rPr>
            </w:pPr>
            <w:r>
              <w:rPr>
                <w:rFonts w:hint="eastAsia" w:eastAsia="宋体"/>
                <w:color w:val="auto"/>
                <w:lang w:eastAsia="zh-CN"/>
              </w:rPr>
              <w:t>“</w:t>
            </w:r>
            <w:r>
              <w:rPr>
                <w:color w:val="auto"/>
              </w:rPr>
              <w:t>发动机管理技术</w:t>
            </w:r>
            <w:r>
              <w:rPr>
                <w:rFonts w:hint="eastAsia" w:eastAsia="宋体"/>
                <w:color w:val="auto"/>
                <w:lang w:eastAsia="zh-CN"/>
              </w:rPr>
              <w:t>”</w:t>
            </w:r>
          </w:p>
        </w:tc>
        <w:tc>
          <w:tcPr>
            <w:tcW w:w="1106" w:type="dxa"/>
            <w:vMerge w:val="continue"/>
            <w:tcBorders>
              <w:left w:val="single" w:color="auto" w:sz="4" w:space="0"/>
              <w:right w:val="single" w:color="auto" w:sz="4" w:space="0"/>
            </w:tcBorders>
            <w:vAlign w:val="center"/>
          </w:tcPr>
          <w:p>
            <w:pPr>
              <w:jc w:val="center"/>
              <w:rPr>
                <w:color w:val="auto"/>
              </w:rPr>
            </w:pPr>
          </w:p>
        </w:tc>
      </w:tr>
    </w:tbl>
    <w:p>
      <w:pPr>
        <w:spacing w:line="560" w:lineRule="exact"/>
        <w:rPr>
          <w:rFonts w:ascii="仿宋_GB2312" w:hAnsi="仿宋_GB2312" w:eastAsia="仿宋_GB2312" w:cs="宋体"/>
          <w:color w:val="FF0000"/>
          <w:sz w:val="32"/>
          <w:szCs w:val="32"/>
        </w:rPr>
      </w:pPr>
    </w:p>
    <w:p>
      <w:pPr>
        <w:spacing w:line="560" w:lineRule="exact"/>
        <w:rPr>
          <w:rFonts w:ascii="仿宋_GB2312" w:hAnsi="仿宋_GB2312" w:eastAsia="仿宋_GB2312" w:cs="宋体"/>
          <w:sz w:val="32"/>
          <w:szCs w:val="32"/>
        </w:rPr>
      </w:pPr>
      <w:bookmarkStart w:id="26" w:name="_Toc20403"/>
      <w:bookmarkStart w:id="27" w:name="_Toc23779"/>
      <w:bookmarkStart w:id="28" w:name="_Toc23009"/>
      <w:r>
        <w:rPr>
          <w:rFonts w:hint="eastAsia" w:ascii="仿宋_GB2312" w:hAnsi="仿宋_GB2312" w:eastAsia="仿宋_GB2312" w:cs="宋体"/>
          <w:sz w:val="32"/>
          <w:szCs w:val="32"/>
        </w:rPr>
        <w:t>六、竞赛赛卷</w:t>
      </w:r>
      <w:bookmarkEnd w:id="26"/>
      <w:bookmarkEnd w:id="27"/>
      <w:bookmarkEnd w:id="28"/>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（一）命题流程</w:t>
      </w:r>
    </w:p>
    <w:p>
      <w:pPr>
        <w:spacing w:line="560" w:lineRule="exact"/>
        <w:ind w:firstLine="640" w:firstLineChars="200"/>
        <w:rPr>
          <w:rFonts w:hint="eastAsia" w:ascii="仿宋_GB2312" w:hAnsi="仿宋_GB2312" w:eastAsia="仿宋_GB2312" w:cs="宋体"/>
          <w:color w:val="auto"/>
          <w:sz w:val="32"/>
          <w:szCs w:val="32"/>
        </w:rPr>
      </w:pPr>
      <w:r>
        <w:rPr>
          <w:rFonts w:hint="eastAsia" w:ascii="仿宋_GB2312" w:hAnsi="仿宋_GB2312" w:eastAsia="仿宋_GB2312" w:cs="宋体"/>
          <w:sz w:val="32"/>
          <w:szCs w:val="32"/>
        </w:rPr>
        <w:t>专家组依据本规程公布的作业要求和考核要点负责编制竞赛用试题，试题与评分标准对应考核模块的故障点或规范操作要点。</w:t>
      </w:r>
      <w:r>
        <w:rPr>
          <w:rFonts w:hint="eastAsia" w:ascii="仿宋_GB2312" w:hAnsi="仿宋_GB2312" w:eastAsia="仿宋_GB2312" w:cs="宋体"/>
          <w:color w:val="auto"/>
          <w:sz w:val="32"/>
          <w:szCs w:val="32"/>
        </w:rPr>
        <w:t>样题与参考评分标准</w:t>
      </w:r>
      <w:r>
        <w:rPr>
          <w:rFonts w:hint="eastAsia" w:ascii="仿宋_GB2312" w:hAnsi="仿宋_GB2312" w:eastAsia="仿宋_GB2312" w:cs="宋体"/>
          <w:color w:val="auto"/>
          <w:sz w:val="32"/>
          <w:szCs w:val="32"/>
          <w:lang w:val="en-US" w:eastAsia="zh-CN"/>
        </w:rPr>
        <w:t>参照国赛</w:t>
      </w:r>
      <w:r>
        <w:rPr>
          <w:rFonts w:hint="eastAsia" w:ascii="仿宋_GB2312" w:hAnsi="仿宋_GB2312" w:eastAsia="仿宋_GB2312" w:cs="宋体"/>
          <w:color w:val="auto"/>
          <w:sz w:val="32"/>
          <w:szCs w:val="32"/>
        </w:rPr>
        <w:t>，仅作为训练参考。</w:t>
      </w:r>
      <w:bookmarkStart w:id="29" w:name="（二）专家命题"/>
      <w:bookmarkEnd w:id="29"/>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（二）专家命题</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由专家组赛前封闭式完成比赛试题的具体命制与验证，包括根据比赛车型和机型，确定故障现象，设置具体故障点并予以验证、准确的电器和机械参数测量、完成评分细则，同时验证比赛试题作业的难易程度和需要的标准工作时间等，最终确定试题的选手报告单、现场裁判评判表和评分表。在开赛当天专家组对裁判进行培训，培训讲解评分细则。</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命题专家在比赛过程中作为各考核模块的技术支持专家，不参与直接执裁打分，负责裁判培训、指导并监督执裁、处理现场出现的问题、以及协助裁判长做好技术管理等工作。专家组须指定专人负责赛题印刷、加密保管、领取和回收工作。</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（三）赛项说明会</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在赛前召开赛项说明会，结合样题讲解考核要点、竞赛方式、注意事项。</w:t>
      </w:r>
    </w:p>
    <w:p>
      <w:pPr>
        <w:spacing w:line="560" w:lineRule="exact"/>
        <w:ind w:firstLine="640" w:firstLineChars="200"/>
        <w:rPr>
          <w:rFonts w:ascii="仿宋_GB2312" w:hAnsi="仿宋_GB2312" w:eastAsia="仿宋_GB2312" w:cs="宋体"/>
          <w:sz w:val="32"/>
          <w:szCs w:val="32"/>
        </w:rPr>
      </w:pPr>
      <w:bookmarkStart w:id="30" w:name="（四）最终赛题产生的方式"/>
      <w:bookmarkEnd w:id="30"/>
      <w:r>
        <w:rPr>
          <w:rFonts w:hint="eastAsia" w:ascii="仿宋_GB2312" w:hAnsi="仿宋_GB2312" w:eastAsia="仿宋_GB2312" w:cs="宋体"/>
          <w:sz w:val="32"/>
          <w:szCs w:val="32"/>
        </w:rPr>
        <w:t>（四）最终赛题产生的方式</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命题组将依据公布的作业要求和考核要点，出 3套试题，试题重复率不超过 50</w:t>
      </w:r>
      <w:r>
        <w:rPr>
          <w:rFonts w:hint="eastAsia" w:ascii="仿宋_GB2312" w:hAnsi="仿宋_GB2312" w:eastAsia="仿宋_GB2312" w:cs="宋体"/>
          <w:sz w:val="32"/>
          <w:szCs w:val="32"/>
        </w:rPr>
        <w:drawing>
          <wp:inline distT="0" distB="0" distL="0" distR="0">
            <wp:extent cx="75565" cy="135890"/>
            <wp:effectExtent l="0" t="0" r="635" b="3810"/>
            <wp:docPr id="1026" name="图片 13"/>
            <wp:cNvGraphicFramePr/>
            <a:graphic xmlns:a="http://schemas.openxmlformats.org/drawingml/2006/main">
              <a:graphicData uri="http://schemas.openxmlformats.org/drawingml/2006/picture">
                <pic:pic xmlns:pic="http://schemas.openxmlformats.org/drawingml/2006/picture">
                  <pic:nvPicPr>
                    <pic:cNvPr id="1026" name="图片 13"/>
                    <pic:cNvPicPr/>
                  </pic:nvPicPr>
                  <pic:blipFill>
                    <a:blip r:embed="rId7" cstate="print"/>
                    <a:srcRect/>
                    <a:stretch>
                      <a:fillRect/>
                    </a:stretch>
                  </pic:blipFill>
                  <pic:spPr>
                    <a:xfrm>
                      <a:off x="0" y="0"/>
                      <a:ext cx="75565" cy="135890"/>
                    </a:xfrm>
                    <a:prstGeom prst="rect">
                      <a:avLst/>
                    </a:prstGeom>
                    <a:ln>
                      <a:noFill/>
                    </a:ln>
                  </pic:spPr>
                </pic:pic>
              </a:graphicData>
            </a:graphic>
          </wp:inline>
        </w:drawing>
      </w:r>
      <w:r>
        <w:rPr>
          <w:rFonts w:hint="eastAsia" w:ascii="仿宋_GB2312" w:hAnsi="仿宋_GB2312" w:eastAsia="仿宋_GB2312" w:cs="宋体"/>
          <w:sz w:val="32"/>
          <w:szCs w:val="32"/>
        </w:rPr>
        <w:t>，在比赛前 1 天由裁判长指定专人在监督仲裁组的监督下于现场随机抽取1套试题作为竞赛用题。</w:t>
      </w:r>
    </w:p>
    <w:p>
      <w:pPr>
        <w:spacing w:line="560" w:lineRule="exact"/>
        <w:rPr>
          <w:rFonts w:ascii="仿宋_GB2312" w:hAnsi="仿宋_GB2312" w:eastAsia="仿宋_GB2312" w:cs="宋体"/>
          <w:sz w:val="32"/>
          <w:szCs w:val="32"/>
        </w:rPr>
      </w:pPr>
      <w:r>
        <w:rPr>
          <w:rFonts w:hint="eastAsia" w:ascii="仿宋_GB2312" w:hAnsi="仿宋_GB2312" w:eastAsia="仿宋_GB2312" w:cs="宋体"/>
          <w:sz w:val="32"/>
          <w:szCs w:val="32"/>
        </w:rPr>
        <w:t>七、竞赛规则</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（一）熟悉场地</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赛项比赛前一天下午安排参赛队熟悉比赛场地，召开领队会议，宣布竞赛纪律和有关规定。</w:t>
      </w:r>
    </w:p>
    <w:p>
      <w:pPr>
        <w:spacing w:line="560" w:lineRule="exact"/>
        <w:ind w:firstLine="640" w:firstLineChars="200"/>
        <w:rPr>
          <w:rFonts w:ascii="仿宋_GB2312" w:hAnsi="仿宋_GB2312" w:eastAsia="仿宋_GB2312" w:cs="宋体"/>
          <w:sz w:val="32"/>
          <w:szCs w:val="32"/>
        </w:rPr>
      </w:pPr>
      <w:bookmarkStart w:id="31" w:name="（二）检录与加密解密"/>
      <w:bookmarkEnd w:id="31"/>
      <w:r>
        <w:rPr>
          <w:rFonts w:hint="eastAsia" w:ascii="仿宋_GB2312" w:hAnsi="仿宋_GB2312" w:eastAsia="仿宋_GB2312" w:cs="宋体"/>
          <w:sz w:val="32"/>
          <w:szCs w:val="32"/>
        </w:rPr>
        <w:t>（二）检录与加密解密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参照《2022年全国职业院校技能大赛制度汇编》要求，进行检录、加密及解密等工作。</w:t>
      </w:r>
    </w:p>
    <w:p>
      <w:pPr>
        <w:spacing w:line="560" w:lineRule="exact"/>
        <w:ind w:firstLine="640" w:firstLineChars="200"/>
        <w:rPr>
          <w:rFonts w:ascii="仿宋_GB2312" w:hAnsi="仿宋_GB2312" w:eastAsia="仿宋_GB2312" w:cs="宋体"/>
          <w:sz w:val="32"/>
          <w:szCs w:val="32"/>
        </w:rPr>
      </w:pPr>
      <w:bookmarkStart w:id="32" w:name="（三）正式比赛"/>
      <w:bookmarkEnd w:id="32"/>
      <w:r>
        <w:rPr>
          <w:rFonts w:hint="eastAsia" w:ascii="仿宋_GB2312" w:hAnsi="仿宋_GB2312" w:eastAsia="仿宋_GB2312" w:cs="宋体"/>
          <w:sz w:val="32"/>
          <w:szCs w:val="32"/>
        </w:rPr>
        <w:t>（三）正式比赛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每轮比赛统一听从裁判长发布竞赛开始指令后正式开始竞赛，参赛选手合理计划安排，利用现场提供的所有条件完成竞赛任务。</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参赛选手在比赛期间实行封闭管理。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竞赛过程中，参赛选手须严格遵守安全操作规程，并接受裁判员的监督和警示，以确保安全。参赛选手因个人误操作造成人身安全事故和设备故障时， 裁判长有权中止该参赛选手竞赛；如非参赛选手个人因素出现设备故障而无法竞赛，由裁判长视具体情况做出裁决(调换到备份工位或调整至最后一场次参加竞赛)；如裁判长确定设备故障可由技术支持人员排除故障后继续竞赛，将给参赛选手补足所耽误的竞赛时间。</w:t>
      </w:r>
    </w:p>
    <w:p>
      <w:pPr>
        <w:spacing w:line="560" w:lineRule="exact"/>
        <w:ind w:firstLine="640" w:firstLineChars="200"/>
        <w:rPr>
          <w:rFonts w:ascii="仿宋_GB2312" w:hAnsi="仿宋_GB2312" w:eastAsia="仿宋_GB2312" w:cs="宋体"/>
          <w:sz w:val="32"/>
          <w:szCs w:val="32"/>
        </w:rPr>
      </w:pPr>
      <w:bookmarkStart w:id="33" w:name="（二）车身电气技术"/>
      <w:bookmarkEnd w:id="33"/>
      <w:bookmarkStart w:id="34" w:name="（一）发动机管理技术"/>
      <w:bookmarkEnd w:id="34"/>
      <w:r>
        <w:rPr>
          <w:rFonts w:hint="eastAsia" w:ascii="仿宋_GB2312" w:hAnsi="仿宋_GB2312" w:eastAsia="仿宋_GB2312" w:cs="宋体"/>
          <w:sz w:val="32"/>
          <w:szCs w:val="32"/>
        </w:rPr>
        <w:t>参赛选手若提前结束竞赛，应举手向裁判示意，竞赛结束时间由现场裁判记录，参赛选手结束竞赛后不得再进行任何操作。</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裁判长在竞赛阶段统一进行剩余时间提醒、发布竞赛结束指令。竞赛结束时所有未完成任务参赛选手立即停止操作。</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参赛选手不携带任何参赛队及个人信息、任何通讯及存储设备、纸质材料等物品进入赛场，赛场内提供必需用品。</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参赛选手提交的选手报告单等竞赛成果，需要现场裁判与参赛选手签工位号确认。</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其它未涉及事项或突发事件，由大赛组委会负责解释或决定。</w:t>
      </w:r>
      <w:bookmarkStart w:id="35" w:name="八、竞赛环境"/>
      <w:bookmarkEnd w:id="35"/>
    </w:p>
    <w:p>
      <w:pPr>
        <w:spacing w:line="560" w:lineRule="exact"/>
        <w:rPr>
          <w:rFonts w:ascii="仿宋_GB2312" w:hAnsi="仿宋_GB2312" w:eastAsia="仿宋_GB2312" w:cs="宋体"/>
          <w:sz w:val="32"/>
          <w:szCs w:val="32"/>
        </w:rPr>
      </w:pPr>
      <w:r>
        <w:rPr>
          <w:rFonts w:hint="eastAsia" w:ascii="仿宋_GB2312" w:hAnsi="仿宋_GB2312" w:eastAsia="仿宋_GB2312" w:cs="宋体"/>
          <w:sz w:val="32"/>
          <w:szCs w:val="32"/>
        </w:rPr>
        <w:t>八、竞赛环境</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竞赛场地在承办院校合格场地进行，其竞赛场地面积和比赛工位设置如下，具体见表 3（比赛工位数根据最后报名参赛队数量调整）。</w:t>
      </w:r>
    </w:p>
    <w:p>
      <w:pPr>
        <w:spacing w:line="560" w:lineRule="exact"/>
        <w:ind w:firstLine="480" w:firstLineChars="200"/>
        <w:jc w:val="center"/>
        <w:rPr>
          <w:rFonts w:hint="eastAsia" w:ascii="微软雅黑" w:eastAsia="微软雅黑"/>
          <w:b w:val="0"/>
          <w:bCs/>
          <w:sz w:val="24"/>
        </w:rPr>
      </w:pPr>
      <w:r>
        <w:rPr>
          <w:rFonts w:hint="eastAsia" w:ascii="微软雅黑" w:eastAsia="微软雅黑"/>
          <w:b w:val="0"/>
          <w:bCs/>
          <w:sz w:val="24"/>
        </w:rPr>
        <w:t>表 3</w:t>
      </w:r>
      <w:r>
        <w:rPr>
          <w:rFonts w:hint="eastAsia" w:ascii="微软雅黑" w:eastAsia="微软雅黑"/>
          <w:b w:val="0"/>
          <w:bCs/>
          <w:sz w:val="24"/>
        </w:rPr>
        <w:tab/>
      </w:r>
      <w:r>
        <w:rPr>
          <w:rFonts w:hint="eastAsia" w:ascii="微软雅黑" w:eastAsia="微软雅黑"/>
          <w:b w:val="0"/>
          <w:bCs/>
          <w:sz w:val="24"/>
        </w:rPr>
        <w:t>各模块占地面积及工位数</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22"/>
        <w:gridCol w:w="3051"/>
        <w:gridCol w:w="2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022" w:type="dxa"/>
            <w:vAlign w:val="center"/>
          </w:tcPr>
          <w:p>
            <w:pPr>
              <w:jc w:val="center"/>
              <w:rPr>
                <w:rFonts w:ascii="仿宋" w:hAnsi="仿宋" w:eastAsia="仿宋" w:cs="仿宋"/>
                <w:sz w:val="32"/>
                <w:szCs w:val="32"/>
              </w:rPr>
            </w:pPr>
            <w:r>
              <w:rPr>
                <w:rFonts w:hint="eastAsia" w:ascii="仿宋" w:hAnsi="仿宋" w:eastAsia="仿宋" w:cs="仿宋"/>
                <w:sz w:val="32"/>
                <w:szCs w:val="32"/>
              </w:rPr>
              <w:t>模块竞赛内容</w:t>
            </w:r>
          </w:p>
        </w:tc>
        <w:tc>
          <w:tcPr>
            <w:tcW w:w="3051" w:type="dxa"/>
            <w:vAlign w:val="center"/>
          </w:tcPr>
          <w:p>
            <w:pPr>
              <w:jc w:val="center"/>
              <w:rPr>
                <w:rFonts w:ascii="仿宋" w:hAnsi="仿宋" w:eastAsia="仿宋" w:cs="仿宋"/>
                <w:sz w:val="32"/>
                <w:szCs w:val="32"/>
              </w:rPr>
            </w:pPr>
            <w:r>
              <w:rPr>
                <w:rFonts w:hint="eastAsia" w:ascii="仿宋" w:hAnsi="仿宋" w:eastAsia="仿宋" w:cs="仿宋"/>
                <w:sz w:val="32"/>
                <w:szCs w:val="32"/>
              </w:rPr>
              <w:t>竞赛场地面积（㎡）</w:t>
            </w:r>
          </w:p>
        </w:tc>
        <w:tc>
          <w:tcPr>
            <w:tcW w:w="2841" w:type="dxa"/>
            <w:vAlign w:val="center"/>
          </w:tcPr>
          <w:p>
            <w:pPr>
              <w:jc w:val="center"/>
              <w:rPr>
                <w:rFonts w:ascii="仿宋" w:hAnsi="仿宋" w:eastAsia="仿宋" w:cs="仿宋"/>
                <w:sz w:val="32"/>
                <w:szCs w:val="32"/>
              </w:rPr>
            </w:pPr>
            <w:r>
              <w:rPr>
                <w:rFonts w:hint="eastAsia" w:ascii="仿宋" w:hAnsi="仿宋" w:eastAsia="仿宋" w:cs="仿宋"/>
                <w:sz w:val="32"/>
                <w:szCs w:val="32"/>
              </w:rPr>
              <w:t>比赛工位（个）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3022" w:type="dxa"/>
            <w:vAlign w:val="center"/>
          </w:tcPr>
          <w:p>
            <w:pPr>
              <w:jc w:val="center"/>
              <w:rPr>
                <w:rFonts w:ascii="仿宋" w:hAnsi="仿宋" w:eastAsia="仿宋" w:cs="仿宋"/>
                <w:sz w:val="32"/>
                <w:szCs w:val="32"/>
              </w:rPr>
            </w:pPr>
            <w:r>
              <w:rPr>
                <w:rFonts w:hint="eastAsia" w:ascii="仿宋" w:hAnsi="仿宋" w:eastAsia="仿宋" w:cs="仿宋"/>
                <w:sz w:val="32"/>
                <w:szCs w:val="32"/>
              </w:rPr>
              <w:t>发动机管理技术</w:t>
            </w:r>
          </w:p>
        </w:tc>
        <w:tc>
          <w:tcPr>
            <w:tcW w:w="3051" w:type="dxa"/>
            <w:vAlign w:val="center"/>
          </w:tcPr>
          <w:p>
            <w:pPr>
              <w:jc w:val="center"/>
              <w:rPr>
                <w:rFonts w:ascii="仿宋" w:hAnsi="仿宋" w:eastAsia="仿宋" w:cs="仿宋"/>
                <w:sz w:val="32"/>
                <w:szCs w:val="32"/>
              </w:rPr>
            </w:pPr>
            <w:r>
              <w:rPr>
                <w:rFonts w:hint="eastAsia" w:ascii="仿宋" w:hAnsi="仿宋" w:eastAsia="仿宋" w:cs="仿宋"/>
                <w:sz w:val="32"/>
                <w:szCs w:val="32"/>
              </w:rPr>
              <w:t>300</w:t>
            </w:r>
          </w:p>
        </w:tc>
        <w:tc>
          <w:tcPr>
            <w:tcW w:w="2841" w:type="dxa"/>
            <w:vAlign w:val="center"/>
          </w:tcPr>
          <w:p>
            <w:pPr>
              <w:jc w:val="center"/>
              <w:rPr>
                <w:rFonts w:ascii="仿宋" w:hAnsi="仿宋" w:eastAsia="仿宋" w:cs="仿宋"/>
                <w:sz w:val="32"/>
                <w:szCs w:val="32"/>
              </w:rPr>
            </w:pPr>
            <w:r>
              <w:rPr>
                <w:rFonts w:hint="eastAsia" w:ascii="仿宋" w:hAnsi="仿宋" w:eastAsia="仿宋" w:cs="仿宋"/>
                <w:sz w:val="32"/>
                <w:szCs w:val="32"/>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3022" w:type="dxa"/>
            <w:vAlign w:val="center"/>
          </w:tcPr>
          <w:p>
            <w:pPr>
              <w:jc w:val="center"/>
              <w:rPr>
                <w:rFonts w:ascii="仿宋" w:hAnsi="仿宋" w:eastAsia="仿宋" w:cs="仿宋"/>
                <w:sz w:val="32"/>
                <w:szCs w:val="32"/>
              </w:rPr>
            </w:pPr>
            <w:r>
              <w:rPr>
                <w:rFonts w:hint="eastAsia" w:ascii="仿宋" w:hAnsi="仿宋" w:eastAsia="仿宋" w:cs="仿宋"/>
                <w:sz w:val="32"/>
                <w:szCs w:val="32"/>
              </w:rPr>
              <w:t>车身电气技术</w:t>
            </w:r>
          </w:p>
        </w:tc>
        <w:tc>
          <w:tcPr>
            <w:tcW w:w="3051" w:type="dxa"/>
            <w:vAlign w:val="center"/>
          </w:tcPr>
          <w:p>
            <w:pPr>
              <w:jc w:val="center"/>
              <w:rPr>
                <w:rFonts w:ascii="仿宋" w:hAnsi="仿宋" w:eastAsia="仿宋" w:cs="仿宋"/>
                <w:sz w:val="32"/>
                <w:szCs w:val="32"/>
              </w:rPr>
            </w:pPr>
            <w:r>
              <w:rPr>
                <w:rFonts w:hint="eastAsia" w:ascii="仿宋" w:hAnsi="仿宋" w:eastAsia="仿宋" w:cs="仿宋"/>
                <w:sz w:val="32"/>
                <w:szCs w:val="32"/>
              </w:rPr>
              <w:t>300</w:t>
            </w:r>
          </w:p>
        </w:tc>
        <w:tc>
          <w:tcPr>
            <w:tcW w:w="2841" w:type="dxa"/>
            <w:vAlign w:val="center"/>
          </w:tcPr>
          <w:p>
            <w:pPr>
              <w:jc w:val="center"/>
              <w:rPr>
                <w:rFonts w:ascii="仿宋" w:hAnsi="仿宋" w:eastAsia="仿宋" w:cs="仿宋"/>
                <w:sz w:val="32"/>
                <w:szCs w:val="32"/>
              </w:rPr>
            </w:pPr>
            <w:r>
              <w:rPr>
                <w:rFonts w:hint="eastAsia" w:ascii="仿宋" w:hAnsi="仿宋" w:eastAsia="仿宋" w:cs="仿宋"/>
                <w:sz w:val="32"/>
                <w:szCs w:val="32"/>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3022" w:type="dxa"/>
            <w:vAlign w:val="center"/>
          </w:tcPr>
          <w:p>
            <w:pPr>
              <w:jc w:val="center"/>
              <w:rPr>
                <w:rFonts w:ascii="仿宋" w:hAnsi="仿宋" w:eastAsia="仿宋" w:cs="仿宋"/>
                <w:sz w:val="32"/>
                <w:szCs w:val="32"/>
              </w:rPr>
            </w:pPr>
            <w:r>
              <w:rPr>
                <w:rFonts w:hint="eastAsia" w:ascii="仿宋" w:hAnsi="仿宋" w:eastAsia="仿宋" w:cs="仿宋"/>
                <w:sz w:val="32"/>
                <w:szCs w:val="32"/>
              </w:rPr>
              <w:t>电动汽车技术</w:t>
            </w:r>
          </w:p>
        </w:tc>
        <w:tc>
          <w:tcPr>
            <w:tcW w:w="3051" w:type="dxa"/>
            <w:vAlign w:val="center"/>
          </w:tcPr>
          <w:p>
            <w:pPr>
              <w:jc w:val="center"/>
              <w:rPr>
                <w:rFonts w:ascii="仿宋" w:hAnsi="仿宋" w:eastAsia="仿宋" w:cs="仿宋"/>
                <w:sz w:val="32"/>
                <w:szCs w:val="32"/>
              </w:rPr>
            </w:pPr>
            <w:r>
              <w:rPr>
                <w:rFonts w:hint="eastAsia" w:ascii="仿宋" w:hAnsi="仿宋" w:eastAsia="仿宋" w:cs="仿宋"/>
                <w:sz w:val="32"/>
                <w:szCs w:val="32"/>
              </w:rPr>
              <w:t>300</w:t>
            </w:r>
          </w:p>
        </w:tc>
        <w:tc>
          <w:tcPr>
            <w:tcW w:w="2841" w:type="dxa"/>
            <w:vAlign w:val="center"/>
          </w:tcPr>
          <w:p>
            <w:pPr>
              <w:jc w:val="center"/>
              <w:rPr>
                <w:rFonts w:ascii="仿宋" w:hAnsi="仿宋" w:eastAsia="仿宋" w:cs="仿宋"/>
                <w:sz w:val="32"/>
                <w:szCs w:val="32"/>
              </w:rPr>
            </w:pPr>
            <w:r>
              <w:rPr>
                <w:rFonts w:hint="eastAsia" w:ascii="仿宋" w:hAnsi="仿宋" w:eastAsia="仿宋" w:cs="仿宋"/>
                <w:sz w:val="32"/>
                <w:szCs w:val="32"/>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3022" w:type="dxa"/>
            <w:vAlign w:val="center"/>
          </w:tcPr>
          <w:p>
            <w:pPr>
              <w:jc w:val="center"/>
              <w:rPr>
                <w:rFonts w:ascii="仿宋" w:hAnsi="仿宋" w:eastAsia="仿宋" w:cs="仿宋"/>
                <w:sz w:val="32"/>
                <w:szCs w:val="32"/>
              </w:rPr>
            </w:pPr>
            <w:r>
              <w:rPr>
                <w:rFonts w:hint="eastAsia" w:ascii="仿宋" w:hAnsi="仿宋" w:eastAsia="仿宋" w:cs="仿宋"/>
                <w:sz w:val="32"/>
                <w:szCs w:val="32"/>
              </w:rPr>
              <w:t>智能网联汽车技术</w:t>
            </w:r>
          </w:p>
        </w:tc>
        <w:tc>
          <w:tcPr>
            <w:tcW w:w="3051" w:type="dxa"/>
            <w:vAlign w:val="center"/>
          </w:tcPr>
          <w:p>
            <w:pPr>
              <w:jc w:val="center"/>
              <w:rPr>
                <w:rFonts w:ascii="仿宋" w:hAnsi="仿宋" w:eastAsia="仿宋" w:cs="仿宋"/>
                <w:sz w:val="32"/>
                <w:szCs w:val="32"/>
              </w:rPr>
            </w:pPr>
            <w:r>
              <w:rPr>
                <w:rFonts w:hint="eastAsia" w:ascii="仿宋" w:hAnsi="仿宋" w:eastAsia="仿宋" w:cs="仿宋"/>
                <w:sz w:val="32"/>
                <w:szCs w:val="32"/>
              </w:rPr>
              <w:t>300</w:t>
            </w:r>
          </w:p>
        </w:tc>
        <w:tc>
          <w:tcPr>
            <w:tcW w:w="2841" w:type="dxa"/>
            <w:vAlign w:val="center"/>
          </w:tcPr>
          <w:p>
            <w:pPr>
              <w:jc w:val="center"/>
              <w:rPr>
                <w:rFonts w:ascii="仿宋" w:hAnsi="仿宋" w:eastAsia="仿宋" w:cs="仿宋"/>
                <w:sz w:val="32"/>
                <w:szCs w:val="32"/>
              </w:rPr>
            </w:pPr>
            <w:r>
              <w:rPr>
                <w:rFonts w:hint="eastAsia" w:ascii="仿宋" w:hAnsi="仿宋" w:eastAsia="仿宋" w:cs="仿宋"/>
                <w:sz w:val="32"/>
                <w:szCs w:val="32"/>
              </w:rPr>
              <w:t>2</w:t>
            </w:r>
          </w:p>
        </w:tc>
      </w:tr>
    </w:tbl>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竞赛场地每个工位占地面积不低于48㎡，“发动机管理技术”“车身电气技术” 竞赛场地设有通风装置，提供稳定的电、气源，场地采光、照明和通风良好。“纯电动汽车技术”“智能网联汽车技术”竞赛场地提供220V交流电（插座带地线），线路能承载功率7kW、电流32A以上。</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场内安排有裁判休息区、监督仲裁室、专家室、评分裁判室、机要室、医疗室、选手封闭室、卫生间等必要的区域；评分裁判室、裁判休息区、监督仲裁室、选手封闭区刚性隔离，配备志愿者，严禁外人进入；所有比赛工位用专用屏风隔离，避免相互影响；现场配备音响、摄像设备，以便有效组织赛场活动；现场配备有计时器，准确把控竞赛时间。</w:t>
      </w:r>
    </w:p>
    <w:p>
      <w:pPr>
        <w:spacing w:line="560" w:lineRule="exact"/>
        <w:rPr>
          <w:rFonts w:ascii="仿宋_GB2312" w:hAnsi="仿宋_GB2312" w:eastAsia="仿宋_GB2312" w:cs="宋体"/>
          <w:sz w:val="32"/>
          <w:szCs w:val="32"/>
        </w:rPr>
      </w:pPr>
      <w:bookmarkStart w:id="36" w:name="九、技术规范"/>
      <w:bookmarkEnd w:id="36"/>
      <w:r>
        <w:rPr>
          <w:rFonts w:hint="eastAsia" w:ascii="仿宋_GB2312" w:hAnsi="仿宋_GB2312" w:eastAsia="仿宋_GB2312" w:cs="宋体"/>
          <w:sz w:val="32"/>
          <w:szCs w:val="32"/>
        </w:rPr>
        <w:t>九、技术规范</w:t>
      </w:r>
    </w:p>
    <w:p>
      <w:pPr>
        <w:spacing w:line="560" w:lineRule="exact"/>
        <w:ind w:firstLine="640" w:firstLineChars="200"/>
        <w:rPr>
          <w:rFonts w:ascii="仿宋_GB2312" w:hAnsi="仿宋_GB2312" w:eastAsia="仿宋_GB2312" w:cs="宋体"/>
          <w:sz w:val="32"/>
          <w:szCs w:val="32"/>
        </w:rPr>
      </w:pPr>
      <w:bookmarkStart w:id="37" w:name="（一）法律法规"/>
      <w:bookmarkEnd w:id="37"/>
      <w:r>
        <w:rPr>
          <w:rFonts w:hint="eastAsia" w:ascii="仿宋_GB2312" w:hAnsi="仿宋_GB2312" w:eastAsia="仿宋_GB2312" w:cs="宋体"/>
          <w:sz w:val="32"/>
          <w:szCs w:val="32"/>
        </w:rPr>
        <w:t>（一）法律法规</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《中华人民共和国安全生产法》</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《机动车维修管理规定》</w:t>
      </w:r>
    </w:p>
    <w:p>
      <w:pPr>
        <w:spacing w:line="560" w:lineRule="exact"/>
        <w:ind w:firstLine="640" w:firstLineChars="200"/>
        <w:rPr>
          <w:rFonts w:ascii="仿宋_GB2312" w:hAnsi="仿宋_GB2312" w:eastAsia="仿宋_GB2312" w:cs="宋体"/>
          <w:sz w:val="32"/>
          <w:szCs w:val="32"/>
        </w:rPr>
      </w:pPr>
      <w:bookmarkStart w:id="38" w:name="（二）技术标准"/>
      <w:bookmarkEnd w:id="38"/>
      <w:r>
        <w:rPr>
          <w:rFonts w:hint="eastAsia" w:ascii="仿宋_GB2312" w:hAnsi="仿宋_GB2312" w:eastAsia="仿宋_GB2312" w:cs="宋体"/>
          <w:sz w:val="32"/>
          <w:szCs w:val="32"/>
        </w:rPr>
        <w:t>（二）技术标准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18344-2016 汽车维护、检测、诊断技术规范</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 7258-2017 机动车运行安全技术条件</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15746-2011 汽车修理质量检查评定方法</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19910-2005 汽车发动机电子控制系统修理技术要求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GB/T18384.1-2015 电动汽车安全要求第 1 部分： 车载可充电储能系统(REESS)</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GB/T18384.2-2015 电动汽车安全要求第 2 部分：操作安全和故障防护</w:t>
      </w:r>
    </w:p>
    <w:p>
      <w:pPr>
        <w:spacing w:line="560" w:lineRule="exact"/>
        <w:ind w:firstLine="640" w:firstLineChars="200"/>
        <w:rPr>
          <w:rFonts w:ascii="仿宋_GB2312" w:hAnsi="仿宋_GB2312" w:eastAsia="仿宋_GB2312" w:cs="宋体"/>
          <w:color w:val="auto"/>
          <w:sz w:val="32"/>
          <w:szCs w:val="32"/>
        </w:rPr>
      </w:pPr>
      <w:r>
        <w:rPr>
          <w:rFonts w:hint="eastAsia" w:ascii="仿宋_GB2312" w:hAnsi="仿宋_GB2312" w:eastAsia="仿宋_GB2312" w:cs="宋体"/>
          <w:color w:val="auto"/>
          <w:sz w:val="32"/>
          <w:szCs w:val="32"/>
        </w:rPr>
        <w:t>GB/T18384.3-2015 电动汽车安全要求第 3 部分：人员触电防护</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28382-2012 纯电动乘用车技术条件</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18385-2005 电动汽车动力性能试验方法</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18487.1-2015 电动汽车传导充电系统第 1 部分通用要求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31486-2015 电动汽车用动力蓄电池电性能要求及试验方法</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18488.1-2015电动汽车用驱动电机系统第 1 部分：技术条件</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18488.2-2015电动汽车用驱动电机系统第 2 部分：试验方法</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20234.1-2015电动汽车传导充电用连接装置第 1 部分：通用要求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20234.2-2015 电动汽车传导充电用连接装置第 2 部分：交流充电接口</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19596-2017 电动汽车术语</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GB/T 24347-2009 电动汽车DC/DC 变换器</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《智能网联汽车自动驾驶功能测试规程》由CAICV和NTCAS联合发布</w:t>
      </w:r>
    </w:p>
    <w:p>
      <w:pPr>
        <w:spacing w:line="560" w:lineRule="exact"/>
        <w:ind w:firstLine="640" w:firstLineChars="200"/>
        <w:rPr>
          <w:rFonts w:ascii="仿宋_GB2312" w:hAnsi="仿宋_GB2312" w:eastAsia="仿宋_GB2312" w:cs="宋体"/>
          <w:sz w:val="32"/>
          <w:szCs w:val="32"/>
        </w:rPr>
      </w:pPr>
      <w:bookmarkStart w:id="39" w:name="（三）高职专业教学标准"/>
      <w:bookmarkEnd w:id="39"/>
      <w:r>
        <w:rPr>
          <w:rFonts w:hint="eastAsia" w:ascii="仿宋_GB2312" w:hAnsi="仿宋_GB2312" w:eastAsia="仿宋_GB2312" w:cs="宋体"/>
          <w:sz w:val="32"/>
          <w:szCs w:val="32"/>
        </w:rPr>
        <w:t>（三）高职专业教学标准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汽车制造类-汽车制造与试验技术 460701</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汽车制造类-新能源汽车技术 460702</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汽车制造类-汽车电子技术 460703</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汽车制造类-智能网联汽车技术 460704</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汽车制造类-汽车造型与改装技术 460705</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道路运输类-汽车检测与维修技术 500211</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 xml:space="preserve">道路运输类-新能源汽车检测与维修技术 500212 </w:t>
      </w:r>
      <w:bookmarkStart w:id="40" w:name="十、技术平台"/>
      <w:bookmarkEnd w:id="40"/>
    </w:p>
    <w:p>
      <w:pPr>
        <w:spacing w:line="560" w:lineRule="exact"/>
        <w:rPr>
          <w:rFonts w:ascii="仿宋_GB2312" w:hAnsi="仿宋_GB2312" w:eastAsia="仿宋_GB2312" w:cs="宋体"/>
          <w:sz w:val="32"/>
          <w:szCs w:val="32"/>
        </w:rPr>
      </w:pPr>
      <w:r>
        <w:rPr>
          <w:rFonts w:hint="eastAsia" w:ascii="仿宋_GB2312" w:hAnsi="仿宋_GB2312" w:eastAsia="仿宋_GB2312" w:cs="宋体"/>
          <w:sz w:val="32"/>
          <w:szCs w:val="32"/>
        </w:rPr>
        <w:t>十、技术平台</w:t>
      </w:r>
    </w:p>
    <w:p>
      <w:pPr>
        <w:spacing w:line="560" w:lineRule="exact"/>
        <w:ind w:firstLine="640" w:firstLineChars="200"/>
        <w:rPr>
          <w:rFonts w:hint="eastAsia" w:ascii="仿宋_GB2312" w:hAnsi="仿宋_GB2312" w:eastAsia="仿宋_GB2312" w:cs="宋体"/>
          <w:sz w:val="32"/>
          <w:szCs w:val="32"/>
        </w:rPr>
      </w:pPr>
      <w:r>
        <w:rPr>
          <w:rFonts w:hint="eastAsia" w:ascii="仿宋_GB2312" w:hAnsi="仿宋_GB2312" w:eastAsia="仿宋_GB2312" w:cs="宋体"/>
          <w:sz w:val="32"/>
          <w:szCs w:val="32"/>
        </w:rPr>
        <w:t>竞赛平台采用相同指标的设备平台，工具、耗材统一提供。</w:t>
      </w:r>
    </w:p>
    <w:p>
      <w:pPr>
        <w:spacing w:line="560" w:lineRule="exact"/>
        <w:ind w:firstLine="480" w:firstLineChars="200"/>
        <w:jc w:val="center"/>
        <w:rPr>
          <w:rFonts w:hint="eastAsia" w:ascii="微软雅黑" w:eastAsia="微软雅黑"/>
          <w:b/>
          <w:sz w:val="24"/>
          <w:lang w:eastAsia="zh-CN"/>
        </w:rPr>
      </w:pPr>
      <w:r>
        <w:rPr>
          <w:rFonts w:hint="eastAsia" w:ascii="微软雅黑" w:eastAsia="微软雅黑"/>
          <w:b w:val="0"/>
          <w:bCs/>
          <w:sz w:val="24"/>
        </w:rPr>
        <w:t>表 4 竞赛器材配备表</w:t>
      </w:r>
      <w:r>
        <w:rPr>
          <w:rFonts w:hint="eastAsia" w:ascii="微软雅黑" w:eastAsia="微软雅黑"/>
          <w:b w:val="0"/>
          <w:bCs/>
          <w:sz w:val="24"/>
          <w:lang w:eastAsia="zh-CN"/>
        </w:rPr>
        <w:t>（</w:t>
      </w:r>
      <w:r>
        <w:rPr>
          <w:rFonts w:hint="eastAsia" w:ascii="微软雅黑" w:eastAsia="微软雅黑"/>
          <w:b w:val="0"/>
          <w:bCs/>
          <w:sz w:val="24"/>
          <w:lang w:val="en-US" w:eastAsia="zh-CN"/>
        </w:rPr>
        <w:t>发动机管理技术模块、车身电气技术模块</w:t>
      </w:r>
      <w:r>
        <w:rPr>
          <w:rFonts w:hint="eastAsia" w:ascii="微软雅黑" w:eastAsia="微软雅黑"/>
          <w:b w:val="0"/>
          <w:bCs/>
          <w:sz w:val="24"/>
          <w:lang w:eastAsia="zh-CN"/>
        </w:rPr>
        <w:t>）</w:t>
      </w:r>
    </w:p>
    <w:p>
      <w:pPr>
        <w:rPr>
          <w:rFonts w:hint="eastAsia" w:ascii="微软雅黑" w:eastAsia="微软雅黑"/>
          <w:b/>
          <w:sz w:val="24"/>
          <w:lang w:eastAsia="zh-CN"/>
        </w:rPr>
      </w:pPr>
    </w:p>
    <w:tbl>
      <w:tblPr>
        <w:tblStyle w:val="16"/>
        <w:tblW w:w="0" w:type="auto"/>
        <w:tblInd w:w="9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7"/>
        <w:gridCol w:w="1313"/>
        <w:gridCol w:w="4948"/>
        <w:gridCol w:w="9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tcPr>
          <w:p>
            <w:pPr>
              <w:pStyle w:val="34"/>
              <w:spacing w:before="162"/>
              <w:ind w:left="176" w:right="160"/>
              <w:jc w:val="left"/>
              <w:rPr>
                <w:sz w:val="24"/>
              </w:rPr>
            </w:pPr>
            <w:r>
              <w:rPr>
                <w:sz w:val="24"/>
              </w:rPr>
              <w:t>竞赛模块</w:t>
            </w:r>
          </w:p>
        </w:tc>
        <w:tc>
          <w:tcPr>
            <w:tcW w:w="1313" w:type="dxa"/>
          </w:tcPr>
          <w:p>
            <w:pPr>
              <w:pStyle w:val="34"/>
              <w:spacing w:before="162"/>
              <w:ind w:left="31" w:right="15"/>
              <w:jc w:val="left"/>
              <w:rPr>
                <w:sz w:val="24"/>
              </w:rPr>
            </w:pPr>
            <w:r>
              <w:rPr>
                <w:sz w:val="24"/>
              </w:rPr>
              <w:t>技术平台</w:t>
            </w:r>
          </w:p>
        </w:tc>
        <w:tc>
          <w:tcPr>
            <w:tcW w:w="4948" w:type="dxa"/>
          </w:tcPr>
          <w:p>
            <w:pPr>
              <w:pStyle w:val="34"/>
              <w:spacing w:before="162"/>
              <w:ind w:left="1978" w:right="1959"/>
              <w:jc w:val="left"/>
              <w:rPr>
                <w:sz w:val="24"/>
              </w:rPr>
            </w:pPr>
            <w:r>
              <w:rPr>
                <w:sz w:val="24"/>
              </w:rPr>
              <w:t>技术参数</w:t>
            </w:r>
          </w:p>
        </w:tc>
        <w:tc>
          <w:tcPr>
            <w:tcW w:w="958" w:type="dxa"/>
          </w:tcPr>
          <w:p>
            <w:pPr>
              <w:pStyle w:val="34"/>
              <w:spacing w:before="6" w:line="242" w:lineRule="auto"/>
              <w:ind w:left="242" w:right="163" w:hanging="60"/>
              <w:jc w:val="left"/>
              <w:rPr>
                <w:sz w:val="24"/>
              </w:rPr>
            </w:pPr>
            <w:r>
              <w:rPr>
                <w:sz w:val="24"/>
              </w:rPr>
              <w:t>数量/ 工位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347" w:type="dxa"/>
            <w:tcBorders>
              <w:bottom w:val="nil"/>
            </w:tcBorders>
          </w:tcPr>
          <w:p>
            <w:pPr>
              <w:pStyle w:val="34"/>
              <w:jc w:val="left"/>
              <w:rPr>
                <w:rFonts w:ascii="Times New Roman"/>
                <w:sz w:val="22"/>
              </w:rPr>
            </w:pPr>
          </w:p>
        </w:tc>
        <w:tc>
          <w:tcPr>
            <w:tcW w:w="1313" w:type="dxa"/>
            <w:tcBorders>
              <w:bottom w:val="nil"/>
            </w:tcBorders>
          </w:tcPr>
          <w:p>
            <w:pPr>
              <w:pStyle w:val="34"/>
              <w:jc w:val="left"/>
              <w:rPr>
                <w:rFonts w:ascii="Times New Roman"/>
                <w:sz w:val="22"/>
              </w:rPr>
            </w:pPr>
          </w:p>
        </w:tc>
        <w:tc>
          <w:tcPr>
            <w:tcW w:w="4948" w:type="dxa"/>
            <w:tcBorders>
              <w:bottom w:val="nil"/>
            </w:tcBorders>
          </w:tcPr>
          <w:p>
            <w:pPr>
              <w:pStyle w:val="34"/>
              <w:spacing w:line="297"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1.主要参数：</w:t>
            </w:r>
          </w:p>
        </w:tc>
        <w:tc>
          <w:tcPr>
            <w:tcW w:w="958" w:type="dxa"/>
            <w:tcBorders>
              <w:bottom w:val="nil"/>
            </w:tcBorders>
          </w:tcPr>
          <w:p>
            <w:pPr>
              <w:pStyle w:val="34"/>
              <w:jc w:val="left"/>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347" w:type="dxa"/>
            <w:tcBorders>
              <w:top w:val="nil"/>
              <w:bottom w:val="nil"/>
            </w:tcBorders>
          </w:tcPr>
          <w:p>
            <w:pPr>
              <w:pStyle w:val="34"/>
              <w:jc w:val="left"/>
              <w:rPr>
                <w:rFonts w:ascii="Times New Roman"/>
                <w:sz w:val="22"/>
              </w:rPr>
            </w:pPr>
          </w:p>
        </w:tc>
        <w:tc>
          <w:tcPr>
            <w:tcW w:w="1313" w:type="dxa"/>
            <w:tcBorders>
              <w:top w:val="nil"/>
              <w:bottom w:val="nil"/>
            </w:tcBorders>
          </w:tcPr>
          <w:p>
            <w:pPr>
              <w:pStyle w:val="34"/>
              <w:jc w:val="left"/>
              <w:rPr>
                <w:rFonts w:ascii="Times New Roman"/>
                <w:sz w:val="22"/>
              </w:rPr>
            </w:pPr>
          </w:p>
        </w:tc>
        <w:tc>
          <w:tcPr>
            <w:tcW w:w="4948" w:type="dxa"/>
            <w:tcBorders>
              <w:top w:val="nil"/>
              <w:bottom w:val="nil"/>
            </w:tcBorders>
          </w:tcPr>
          <w:p>
            <w:pPr>
              <w:pStyle w:val="34"/>
              <w:spacing w:line="297"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发动机：汽油</w:t>
            </w:r>
          </w:p>
        </w:tc>
        <w:tc>
          <w:tcPr>
            <w:tcW w:w="958" w:type="dxa"/>
            <w:tcBorders>
              <w:top w:val="nil"/>
              <w:bottom w:val="nil"/>
            </w:tcBorders>
          </w:tcPr>
          <w:p>
            <w:pPr>
              <w:pStyle w:val="34"/>
              <w:jc w:val="left"/>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347" w:type="dxa"/>
            <w:tcBorders>
              <w:top w:val="nil"/>
              <w:bottom w:val="nil"/>
            </w:tcBorders>
          </w:tcPr>
          <w:p>
            <w:pPr>
              <w:pStyle w:val="34"/>
              <w:jc w:val="left"/>
              <w:rPr>
                <w:rFonts w:ascii="Times New Roman"/>
                <w:sz w:val="22"/>
              </w:rPr>
            </w:pPr>
          </w:p>
        </w:tc>
        <w:tc>
          <w:tcPr>
            <w:tcW w:w="1313" w:type="dxa"/>
            <w:tcBorders>
              <w:top w:val="nil"/>
              <w:bottom w:val="nil"/>
            </w:tcBorders>
          </w:tcPr>
          <w:p>
            <w:pPr>
              <w:pStyle w:val="34"/>
              <w:jc w:val="left"/>
              <w:rPr>
                <w:rFonts w:ascii="Times New Roman"/>
                <w:sz w:val="22"/>
              </w:rPr>
            </w:pPr>
          </w:p>
        </w:tc>
        <w:tc>
          <w:tcPr>
            <w:tcW w:w="4948" w:type="dxa"/>
            <w:tcBorders>
              <w:top w:val="nil"/>
              <w:bottom w:val="nil"/>
            </w:tcBorders>
          </w:tcPr>
          <w:p>
            <w:pPr>
              <w:pStyle w:val="34"/>
              <w:spacing w:line="298"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最大功率(kW)：137-162</w:t>
            </w:r>
          </w:p>
        </w:tc>
        <w:tc>
          <w:tcPr>
            <w:tcW w:w="958" w:type="dxa"/>
            <w:tcBorders>
              <w:top w:val="nil"/>
              <w:bottom w:val="nil"/>
            </w:tcBorders>
          </w:tcPr>
          <w:p>
            <w:pPr>
              <w:pStyle w:val="34"/>
              <w:jc w:val="left"/>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347" w:type="dxa"/>
            <w:tcBorders>
              <w:top w:val="nil"/>
              <w:bottom w:val="nil"/>
            </w:tcBorders>
          </w:tcPr>
          <w:p>
            <w:pPr>
              <w:pStyle w:val="34"/>
              <w:jc w:val="left"/>
              <w:rPr>
                <w:rFonts w:ascii="Times New Roman"/>
                <w:sz w:val="22"/>
              </w:rPr>
            </w:pPr>
          </w:p>
        </w:tc>
        <w:tc>
          <w:tcPr>
            <w:tcW w:w="1313" w:type="dxa"/>
            <w:tcBorders>
              <w:top w:val="nil"/>
              <w:bottom w:val="nil"/>
            </w:tcBorders>
          </w:tcPr>
          <w:p>
            <w:pPr>
              <w:pStyle w:val="34"/>
              <w:jc w:val="left"/>
              <w:rPr>
                <w:rFonts w:ascii="Times New Roman"/>
                <w:sz w:val="22"/>
              </w:rPr>
            </w:pPr>
          </w:p>
        </w:tc>
        <w:tc>
          <w:tcPr>
            <w:tcW w:w="4948" w:type="dxa"/>
            <w:tcBorders>
              <w:top w:val="nil"/>
              <w:bottom w:val="nil"/>
            </w:tcBorders>
          </w:tcPr>
          <w:p>
            <w:pPr>
              <w:pStyle w:val="34"/>
              <w:spacing w:line="297"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最大马力(PS)：186-220</w:t>
            </w:r>
          </w:p>
        </w:tc>
        <w:tc>
          <w:tcPr>
            <w:tcW w:w="958" w:type="dxa"/>
            <w:tcBorders>
              <w:top w:val="nil"/>
              <w:bottom w:val="nil"/>
            </w:tcBorders>
          </w:tcPr>
          <w:p>
            <w:pPr>
              <w:pStyle w:val="34"/>
              <w:spacing w:before="35" w:line="286" w:lineRule="exact"/>
              <w:ind w:left="17"/>
              <w:jc w:val="left"/>
              <w:rPr>
                <w:sz w:val="24"/>
              </w:rPr>
            </w:pPr>
            <w:r>
              <w:rPr>
                <w:sz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1347" w:type="dxa"/>
            <w:tcBorders>
              <w:top w:val="nil"/>
              <w:bottom w:val="nil"/>
            </w:tcBorders>
          </w:tcPr>
          <w:p>
            <w:pPr>
              <w:pStyle w:val="34"/>
              <w:jc w:val="left"/>
              <w:rPr>
                <w:rFonts w:ascii="Times New Roman"/>
                <w:sz w:val="22"/>
              </w:rPr>
            </w:pPr>
          </w:p>
        </w:tc>
        <w:tc>
          <w:tcPr>
            <w:tcW w:w="1313" w:type="dxa"/>
            <w:tcBorders>
              <w:top w:val="nil"/>
              <w:bottom w:val="nil"/>
            </w:tcBorders>
          </w:tcPr>
          <w:p>
            <w:pPr>
              <w:pStyle w:val="34"/>
              <w:jc w:val="left"/>
              <w:rPr>
                <w:rFonts w:ascii="Times New Roman"/>
                <w:sz w:val="22"/>
              </w:rPr>
            </w:pPr>
          </w:p>
        </w:tc>
        <w:tc>
          <w:tcPr>
            <w:tcW w:w="4948" w:type="dxa"/>
            <w:tcBorders>
              <w:top w:val="nil"/>
              <w:bottom w:val="nil"/>
            </w:tcBorders>
          </w:tcPr>
          <w:p>
            <w:pPr>
              <w:pStyle w:val="34"/>
              <w:spacing w:line="275"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最大功率转速(rpm)：4500-6200</w:t>
            </w:r>
          </w:p>
        </w:tc>
        <w:tc>
          <w:tcPr>
            <w:tcW w:w="958" w:type="dxa"/>
            <w:tcBorders>
              <w:top w:val="nil"/>
              <w:bottom w:val="nil"/>
            </w:tcBorders>
          </w:tcPr>
          <w:p>
            <w:pPr>
              <w:pStyle w:val="34"/>
              <w:jc w:val="left"/>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347" w:type="dxa"/>
            <w:tcBorders>
              <w:top w:val="nil"/>
              <w:bottom w:val="nil"/>
            </w:tcBorders>
          </w:tcPr>
          <w:p>
            <w:pPr>
              <w:pStyle w:val="34"/>
              <w:jc w:val="left"/>
              <w:rPr>
                <w:rFonts w:ascii="Times New Roman"/>
                <w:sz w:val="22"/>
              </w:rPr>
            </w:pPr>
          </w:p>
        </w:tc>
        <w:tc>
          <w:tcPr>
            <w:tcW w:w="1313" w:type="dxa"/>
            <w:tcBorders>
              <w:top w:val="nil"/>
              <w:bottom w:val="nil"/>
            </w:tcBorders>
          </w:tcPr>
          <w:p>
            <w:pPr>
              <w:pStyle w:val="34"/>
              <w:jc w:val="left"/>
              <w:rPr>
                <w:rFonts w:ascii="Times New Roman"/>
                <w:sz w:val="22"/>
              </w:rPr>
            </w:pPr>
          </w:p>
        </w:tc>
        <w:tc>
          <w:tcPr>
            <w:tcW w:w="4948" w:type="dxa"/>
            <w:tcBorders>
              <w:top w:val="nil"/>
              <w:bottom w:val="nil"/>
            </w:tcBorders>
          </w:tcPr>
          <w:p>
            <w:pPr>
              <w:pStyle w:val="34"/>
              <w:spacing w:line="297"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最大扭矩(N•m)：320-350</w:t>
            </w:r>
          </w:p>
        </w:tc>
        <w:tc>
          <w:tcPr>
            <w:tcW w:w="958" w:type="dxa"/>
            <w:tcBorders>
              <w:top w:val="nil"/>
              <w:bottom w:val="nil"/>
            </w:tcBorders>
          </w:tcPr>
          <w:p>
            <w:pPr>
              <w:pStyle w:val="34"/>
              <w:jc w:val="left"/>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347" w:type="dxa"/>
            <w:tcBorders>
              <w:top w:val="nil"/>
              <w:bottom w:val="nil"/>
            </w:tcBorders>
          </w:tcPr>
          <w:p>
            <w:pPr>
              <w:pStyle w:val="34"/>
              <w:jc w:val="left"/>
              <w:rPr>
                <w:rFonts w:ascii="Times New Roman"/>
                <w:sz w:val="22"/>
              </w:rPr>
            </w:pPr>
          </w:p>
        </w:tc>
        <w:tc>
          <w:tcPr>
            <w:tcW w:w="1313" w:type="dxa"/>
            <w:tcBorders>
              <w:top w:val="nil"/>
              <w:bottom w:val="nil"/>
            </w:tcBorders>
          </w:tcPr>
          <w:p>
            <w:pPr>
              <w:pStyle w:val="34"/>
              <w:jc w:val="left"/>
              <w:rPr>
                <w:rFonts w:ascii="Times New Roman"/>
                <w:sz w:val="22"/>
              </w:rPr>
            </w:pPr>
          </w:p>
        </w:tc>
        <w:tc>
          <w:tcPr>
            <w:tcW w:w="4948" w:type="dxa"/>
            <w:tcBorders>
              <w:top w:val="nil"/>
              <w:bottom w:val="nil"/>
            </w:tcBorders>
          </w:tcPr>
          <w:p>
            <w:pPr>
              <w:pStyle w:val="34"/>
              <w:spacing w:line="298"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进气形式：强制进气</w:t>
            </w:r>
          </w:p>
        </w:tc>
        <w:tc>
          <w:tcPr>
            <w:tcW w:w="958" w:type="dxa"/>
            <w:tcBorders>
              <w:top w:val="nil"/>
              <w:bottom w:val="nil"/>
            </w:tcBorders>
          </w:tcPr>
          <w:p>
            <w:pPr>
              <w:pStyle w:val="34"/>
              <w:jc w:val="left"/>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347" w:type="dxa"/>
            <w:tcBorders>
              <w:top w:val="nil"/>
              <w:bottom w:val="nil"/>
            </w:tcBorders>
          </w:tcPr>
          <w:p>
            <w:pPr>
              <w:pStyle w:val="34"/>
              <w:jc w:val="left"/>
              <w:rPr>
                <w:rFonts w:ascii="Times New Roman"/>
                <w:sz w:val="22"/>
              </w:rPr>
            </w:pPr>
          </w:p>
        </w:tc>
        <w:tc>
          <w:tcPr>
            <w:tcW w:w="1313" w:type="dxa"/>
            <w:tcBorders>
              <w:top w:val="nil"/>
              <w:bottom w:val="nil"/>
            </w:tcBorders>
          </w:tcPr>
          <w:p>
            <w:pPr>
              <w:pStyle w:val="34"/>
              <w:jc w:val="left"/>
              <w:rPr>
                <w:rFonts w:ascii="Times New Roman"/>
                <w:sz w:val="22"/>
              </w:rPr>
            </w:pPr>
          </w:p>
        </w:tc>
        <w:tc>
          <w:tcPr>
            <w:tcW w:w="4948" w:type="dxa"/>
            <w:tcBorders>
              <w:top w:val="nil"/>
              <w:bottom w:val="nil"/>
            </w:tcBorders>
          </w:tcPr>
          <w:p>
            <w:pPr>
              <w:pStyle w:val="34"/>
              <w:spacing w:line="297" w:lineRule="exact"/>
              <w:ind w:left="109"/>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变速箱：自动变速器</w:t>
            </w:r>
          </w:p>
        </w:tc>
        <w:tc>
          <w:tcPr>
            <w:tcW w:w="958" w:type="dxa"/>
            <w:tcBorders>
              <w:top w:val="nil"/>
              <w:bottom w:val="nil"/>
            </w:tcBorders>
          </w:tcPr>
          <w:p>
            <w:pPr>
              <w:pStyle w:val="34"/>
              <w:jc w:val="left"/>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燃油汽车</w:t>
            </w: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主动安全配置：ABS防抱死、牵引力控制(ASR/TCS/TRC)、刹车辅助(EBA/BAS/BA)、并线辅助、车道偏离预警系统、车道保持辅助系</w:t>
            </w:r>
          </w:p>
        </w:tc>
        <w:tc>
          <w:tcPr>
            <w:tcW w:w="95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统、主动刹车/主动安全系统、道路交通标示</w:t>
            </w:r>
          </w:p>
        </w:tc>
        <w:tc>
          <w:tcPr>
            <w:tcW w:w="95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识别、疲劳驾驶提示、全速自适应巡航、远近</w:t>
            </w:r>
          </w:p>
        </w:tc>
        <w:tc>
          <w:tcPr>
            <w:tcW w:w="95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光灯光源：LED、感应雨刷。</w:t>
            </w:r>
          </w:p>
        </w:tc>
        <w:tc>
          <w:tcPr>
            <w:tcW w:w="958"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 配置原厂适配器，实现与竞赛车辆无损快</w:t>
            </w:r>
          </w:p>
        </w:tc>
        <w:tc>
          <w:tcPr>
            <w:tcW w:w="958" w:type="dxa"/>
            <w:vMerge w:val="restart"/>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速连接。</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 涵盖发动机控制单元部分、车载电网控制</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0"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发动机管理技术和车身电气</w:t>
            </w: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整车故障设置与检测连接平台</w:t>
            </w: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单元部分、左前车门控制单元部分、右前车</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门控制单元部分、进入及启动许可系统控制单元部分、网关等部分的信号测量与故障设置。</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 可设置断路、短路、偶发、接触不良、CAN线反接故障。</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 可直接用万用表、示波器在面板上实时测</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量电压、电流、电阻、频率、波形信号等。</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1.故障诊断仪器技术参数：</w:t>
            </w:r>
          </w:p>
        </w:tc>
        <w:tc>
          <w:tcPr>
            <w:tcW w:w="958" w:type="dxa"/>
            <w:vMerge w:val="restart"/>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（1）采用专业诊断软件配套诊断电脑、诊断</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接头、诊断数据传输线；</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（2）资料查询系统，可查询原厂维修手册、</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电路图等；</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诊断查询系统（含诊断仪、充电机）</w:t>
            </w: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支持读故障码、清故障码、读数据流、动作测试、特殊功能、匹配、设码、编程等诊断功能；</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支持可编程安装模块的匹配、设码、编程及常用特殊功能,如保养灯一键归零、节气</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门匹配、转向角复位、刹车片复位、胎压复</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位、ABS排气、电池匹配等；</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2.充电机技术参数：</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347"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bottom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具备防短接功能，最大充电电流70A，可以选</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347"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4948" w:type="dxa"/>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择电流、电压、电量的充电模式。</w:t>
            </w:r>
          </w:p>
        </w:tc>
        <w:tc>
          <w:tcPr>
            <w:tcW w:w="958"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bl>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sectPr>
          <w:headerReference r:id="rId3" w:type="default"/>
          <w:pgSz w:w="11910" w:h="16840"/>
          <w:pgMar w:top="1440" w:right="1080" w:bottom="1440" w:left="1080" w:header="0" w:footer="617" w:gutter="0"/>
          <w:cols w:space="720" w:num="1"/>
        </w:sectPr>
      </w:pPr>
    </w:p>
    <w:tbl>
      <w:tblPr>
        <w:tblStyle w:val="16"/>
        <w:tblW w:w="85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7"/>
        <w:gridCol w:w="1313"/>
        <w:gridCol w:w="4948"/>
        <w:gridCol w:w="9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7" w:hRule="atLeast"/>
        </w:trPr>
        <w:tc>
          <w:tcPr>
            <w:tcW w:w="1347" w:type="dxa"/>
            <w:vMerge w:val="restart"/>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汽车专用示波器</w:t>
            </w:r>
          </w:p>
        </w:tc>
        <w:tc>
          <w:tcPr>
            <w:tcW w:w="4948"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要求示波器具备以下性能:</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1.带宽：≥100MHz 模拟通道数：≥2</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实时采样率：≥1GSa/s 2.存储深度：≥28Mpts</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波形捕获率：13万次/秒6.采样模式：正常、平均、峰值、包络。</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支持测试：预设多种汽车测试专业功能，一键式操作。充电电路、启动电路、传感器、执行器、点火测试、通信测试（含CAN、LIN、Flexray、k等）、压力测试（缸压、进排气压</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力、燃油压力等）。</w:t>
            </w:r>
          </w:p>
        </w:tc>
        <w:tc>
          <w:tcPr>
            <w:tcW w:w="958"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2" w:hRule="atLeast"/>
        </w:trPr>
        <w:tc>
          <w:tcPr>
            <w:tcW w:w="1347"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万用接线盒</w:t>
            </w:r>
          </w:p>
        </w:tc>
        <w:tc>
          <w:tcPr>
            <w:tcW w:w="4948"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万用接线盒中专用部分测量线束采用Y型连接设计，在保证车辆正常工作的情况下，通过并联端子进行相关信号测量，提升检测效率。测量线束包括：大灯模块Y型连接线1条、继电器模块Y型连接线2条、喷油器模块Y型连接线1 条。</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万用接线盒中通用部分测量线束，能满足轿车竞赛系统的所有保险丝、继电器、传感器、执行器插接测量之用，并可重复插接使用。包括不同类型针脚测试线、探针、鳄鱼夹等。至少包括：母圆形端子12条；母扁形端子24条； 公圆形端子12条；公扁形端子24条；碳棒2</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条；延长线4条；探针4个；LED试灯1个。</w:t>
            </w:r>
          </w:p>
        </w:tc>
        <w:tc>
          <w:tcPr>
            <w:tcW w:w="958"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4" w:hRule="atLeast"/>
        </w:trPr>
        <w:tc>
          <w:tcPr>
            <w:tcW w:w="1347" w:type="dxa"/>
            <w:vMerge w:val="continue"/>
            <w:tcBorders>
              <w:top w:val="nil"/>
            </w:tcBorders>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tc>
        <w:tc>
          <w:tcPr>
            <w:tcW w:w="1313"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集成工具</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管理</w:t>
            </w:r>
          </w:p>
        </w:tc>
        <w:tc>
          <w:tcPr>
            <w:tcW w:w="4948"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具车下部共含有多层分类存储抽屉，按照拆装工具层、电工工具层、诊断仪器层、测量线束层分门别类地将所需的工量具耗材进行集中管理，每个抽屉层板上均铺设有EVA切割泡棉，根据每一个工件的形状激光雕刻一次成型并牢牢地镶嵌其中。有效实现了工具、设备、测量工具的集中管理与储藏，方便了实际工作的开展。</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工具车底部配备有两个专用充气轮胎以及 两个万向脚轮，移动灵活，安全可靠、坚固耐用。</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具体工具配置要求：</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含万用表、短套筒1/2*23MM(6角*短)、短套筒1/2*21MM(6角*短)、短套筒1/2*17MM(6角*</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短)、短套筒1/2*16MM(6角*短)、短套筒1/2*13MM(6角*短)、短套筒3/8*10MM(6角* 短)、长套筒3/8*8MM(6角*长)、短套筒3/8*T20、短套筒3/8*T25、短套筒3/8*T30、短套筒3/8*T40、套筒100L*T45、套筒100L*T50、套筒100L*T55、万向接头1/2、转换接头（3/8转1/2）、转换接头（1/4转3/8）、长套筒1/2*21MM(12角*长)、长套筒</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1/2*22MM(6角*长)、长套筒1/2*21MM(6角* 长)、长套筒1/2*19MM(6角*长)、长套筒1/2*18MM(6角*长)、长套筒1/2*17MM(6角* 长)、长套筒1/2*16MM(6角*长)、长套筒1/2*14MM(6角*长)、长套筒1/2*13MM(6角* 长)、长套筒1/2*12MM(6角*长)、长套筒1/2*10MM(6角*长)、汽动铬钼钢加长套筒、</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1/2*19MM(六角)、汽动铬钼钢加长套筒、</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1/2*17MM(六角)、接杆3/8*3”、接杆</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3/8*6”、接杆1/2*3"、接杆1/2*5"、接杆</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1/2*10"、防滑压花梅开扳手25"、防滑压花梅开扳手19“、防滑压花梅开扳手15“、防滑压花梅开扳手14“、防滑压花梅开扳手13“、防滑压花梅开扳手12”、防滑压花梅开扳手11 “、防滑压花梅开扳手10“、防滑压花棘轮两用扳手10MM、防滑压花油管扳手9*11、防滑压花油管扳手13*14、新款棘轮扳手3/8（齿轮 型)、新款棘轮扳手1/2（齿轮型)、可调型扭力扳手、1/4*2.5KG(5-25NM）三代、可调型扭力扳手3/8*5KG（10-50NM)、可调型扭力扳手1/2*20KG（40-200NM）、尖咀钳8"、直型喉式管束钳、斜口钳8"、9PCS加长球型内六角、9PCS加长中空星匙、LF型双色柄螺丝批、</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3*100MM(一字)、LF型双色柄螺丝批、</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6*200MM(十字)、LF型双色柄螺丝批、</w:t>
            </w: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6*200MM(一字)、两用螺丝刀6*40、T型万向火花塞套筒(超薄、16MM磁铁)*300ML、点火线圈拔卸器（T10530)、气缸压力表（专用）M12、汽车专用测电笔DY10、汽车内饰拆装组H498、护目镜、手电筒等。</w:t>
            </w:r>
          </w:p>
        </w:tc>
        <w:tc>
          <w:tcPr>
            <w:tcW w:w="958" w:type="dxa"/>
          </w:tcPr>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w:t>
            </w:r>
          </w:p>
        </w:tc>
      </w:tr>
    </w:tbl>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pStyle w:val="2"/>
        <w:rPr>
          <w:rFonts w:hint="eastAsia" w:ascii="微软雅黑" w:eastAsia="微软雅黑"/>
          <w:b/>
          <w:sz w:val="24"/>
        </w:rPr>
      </w:pPr>
    </w:p>
    <w:p>
      <w:pPr>
        <w:jc w:val="center"/>
        <w:rPr>
          <w:rFonts w:hint="eastAsia" w:ascii="微软雅黑" w:eastAsia="微软雅黑"/>
          <w:b w:val="0"/>
          <w:bCs/>
          <w:sz w:val="24"/>
        </w:rPr>
      </w:pPr>
      <w:r>
        <w:rPr>
          <w:rFonts w:hint="eastAsia" w:ascii="微软雅黑" w:eastAsia="微软雅黑"/>
          <w:b w:val="0"/>
          <w:bCs/>
          <w:sz w:val="24"/>
        </w:rPr>
        <w:t xml:space="preserve">表 </w:t>
      </w:r>
      <w:r>
        <w:rPr>
          <w:rFonts w:hint="eastAsia" w:ascii="微软雅黑" w:eastAsia="微软雅黑"/>
          <w:b w:val="0"/>
          <w:bCs/>
          <w:sz w:val="24"/>
          <w:lang w:val="en-US" w:eastAsia="zh-CN"/>
        </w:rPr>
        <w:t>5</w:t>
      </w:r>
      <w:r>
        <w:rPr>
          <w:rFonts w:hint="eastAsia" w:ascii="微软雅黑" w:eastAsia="微软雅黑"/>
          <w:b w:val="0"/>
          <w:bCs/>
          <w:sz w:val="24"/>
        </w:rPr>
        <w:t xml:space="preserve"> 竞赛器材配备表</w:t>
      </w:r>
      <w:r>
        <w:rPr>
          <w:rFonts w:hint="eastAsia" w:ascii="微软雅黑" w:eastAsia="微软雅黑"/>
          <w:b w:val="0"/>
          <w:bCs/>
          <w:sz w:val="24"/>
          <w:lang w:eastAsia="zh-CN"/>
        </w:rPr>
        <w:t>（</w:t>
      </w:r>
      <w:r>
        <w:rPr>
          <w:rFonts w:hint="eastAsia" w:ascii="微软雅黑" w:eastAsia="微软雅黑"/>
          <w:b w:val="0"/>
          <w:bCs/>
          <w:sz w:val="24"/>
          <w:lang w:val="en-US" w:eastAsia="zh-CN"/>
        </w:rPr>
        <w:t>纯电动汽车技术模块</w:t>
      </w:r>
      <w:r>
        <w:rPr>
          <w:rFonts w:hint="eastAsia" w:ascii="微软雅黑" w:eastAsia="微软雅黑"/>
          <w:b w:val="0"/>
          <w:bCs/>
          <w:sz w:val="24"/>
          <w:lang w:eastAsia="zh-CN"/>
        </w:rPr>
        <w:t>）</w:t>
      </w:r>
    </w:p>
    <w:tbl>
      <w:tblPr>
        <w:tblStyle w:val="16"/>
        <w:tblpPr w:leftFromText="180" w:rightFromText="180" w:vertAnchor="text" w:horzAnchor="page" w:tblpX="1686" w:tblpY="39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7"/>
        <w:gridCol w:w="1313"/>
        <w:gridCol w:w="4948"/>
        <w:gridCol w:w="9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pStyle w:val="34"/>
              <w:spacing w:before="162"/>
              <w:ind w:left="176" w:right="160"/>
              <w:jc w:val="both"/>
              <w:rPr>
                <w:sz w:val="24"/>
              </w:rPr>
            </w:pPr>
            <w:r>
              <w:rPr>
                <w:sz w:val="24"/>
              </w:rPr>
              <w:t>竞赛模块</w:t>
            </w:r>
          </w:p>
        </w:tc>
        <w:tc>
          <w:tcPr>
            <w:tcW w:w="1313" w:type="dxa"/>
            <w:vAlign w:val="center"/>
          </w:tcPr>
          <w:p>
            <w:pPr>
              <w:pStyle w:val="34"/>
              <w:spacing w:before="162"/>
              <w:ind w:left="31" w:right="15"/>
              <w:jc w:val="both"/>
              <w:rPr>
                <w:sz w:val="24"/>
              </w:rPr>
            </w:pPr>
            <w:r>
              <w:rPr>
                <w:sz w:val="24"/>
              </w:rPr>
              <w:t>技术平台</w:t>
            </w:r>
          </w:p>
        </w:tc>
        <w:tc>
          <w:tcPr>
            <w:tcW w:w="4948" w:type="dxa"/>
            <w:vAlign w:val="center"/>
          </w:tcPr>
          <w:p>
            <w:pPr>
              <w:pStyle w:val="34"/>
              <w:spacing w:before="162"/>
              <w:ind w:left="1978" w:right="1959"/>
              <w:jc w:val="both"/>
              <w:rPr>
                <w:sz w:val="24"/>
              </w:rPr>
            </w:pPr>
            <w:r>
              <w:rPr>
                <w:sz w:val="24"/>
              </w:rPr>
              <w:t>技术参数</w:t>
            </w:r>
          </w:p>
        </w:tc>
        <w:tc>
          <w:tcPr>
            <w:tcW w:w="958" w:type="dxa"/>
            <w:vAlign w:val="center"/>
          </w:tcPr>
          <w:p>
            <w:pPr>
              <w:pStyle w:val="34"/>
              <w:spacing w:before="6" w:line="242" w:lineRule="auto"/>
              <w:ind w:left="242" w:right="163" w:hanging="60"/>
              <w:jc w:val="both"/>
              <w:rPr>
                <w:sz w:val="24"/>
              </w:rPr>
            </w:pPr>
            <w:r>
              <w:rPr>
                <w:sz w:val="24"/>
              </w:rPr>
              <w:t>数量/ 工位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default"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纯电动汽车技术</w:t>
            </w: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全新秦 EV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标准版（出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行）</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（1）能源类型：纯电动；工况续航里程： </w:t>
            </w:r>
            <w:r>
              <w:rPr>
                <w:rFonts w:hint="eastAsia" w:ascii="仿宋_GB2312" w:hAnsi="宋体" w:eastAsia="仿宋_GB2312" w:cs="仿宋_GB2312"/>
                <w:color w:val="000000"/>
                <w:kern w:val="0"/>
                <w:sz w:val="24"/>
                <w:szCs w:val="24"/>
                <w:lang w:val="en-US" w:eastAsia="zh-CN" w:bidi="ar"/>
              </w:rPr>
              <w:t xml:space="preserve">421km；电机类型：永磁同步电机；最大功率： 100 kw；电池容量：53.1kWh。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（2）具备高压配电保护、继电器状态检测保护、预充电检测和主动放电安全管理、绝缘检测安全管理、碰撞安全管理、物理隔离保护、互锁检测等保护策略。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（3）安全配置：主驾驶座安全气囊、副驾驶座安全气囊、胎压报警、前排安全带未系提醒、儿童座椅接口、ABS 防抱死、制动力分配、刹车辅助、牵引力控制、车身稳定控制。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（4）车辆配备原厂电池管理系统、整车控制器、电机控制器、车载充电机等系统低压线束连接器及适配线束，可实现车辆被测系统与整车故障设置平台和故障检测盒的快速连接。</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整车故障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设置与检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测连接平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台</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1.由检测模块、手动设置模块、无线设故采</w:t>
            </w:r>
            <w:r>
              <w:rPr>
                <w:rFonts w:hint="eastAsia" w:ascii="仿宋_GB2312" w:hAnsi="宋体" w:eastAsia="仿宋_GB2312" w:cs="仿宋_GB2312"/>
                <w:color w:val="000000"/>
                <w:kern w:val="0"/>
                <w:sz w:val="24"/>
                <w:szCs w:val="24"/>
                <w:lang w:val="en-US" w:eastAsia="zh-CN" w:bidi="ar"/>
              </w:rPr>
              <w:t xml:space="preserve">集系统、无损跨接线束、显示系统及台架主体框架组成；支持手动设置故障和智能终端无线故障设置两种设故方式。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 配置原厂适配器，实现与整车无损快速连接；能够进行新能源汽车低压电源管理车身电气、电池管理、电机控制、空调系统模块（热管理）、车载充电机、快充接口、慢充接口、整车控制、电子手刹控制系统、电子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助力转向系统等系统模块的的信号测量与故障设置。</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3.检测面板由 8mm 亚克力制作，面板上安装</w:t>
            </w:r>
            <w:r>
              <w:rPr>
                <w:rFonts w:hint="eastAsia" w:ascii="仿宋_GB2312" w:hAnsi="宋体" w:eastAsia="仿宋_GB2312" w:cs="仿宋_GB2312"/>
                <w:color w:val="000000"/>
                <w:kern w:val="0"/>
                <w:sz w:val="24"/>
                <w:szCs w:val="24"/>
                <w:lang w:val="en-US" w:eastAsia="zh-CN" w:bidi="ar"/>
              </w:rPr>
              <w:t xml:space="preserve">4mm 检测端子，万用表表笔检测时能保证测量数据可靠及操作方便；同时测试面板上配有对应车型的电池管理模块、电机控制器模块及 BCM 等模块插头端子相同针脚排列规律和形状的插口测量功能，多元测量实时交互；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4.无线设故系统采用 20 路设故采集盒，20 路设故采集盒与上位机可通过有线、无线连接上位机软件，将采集到整车线束电信号实时反馈并显示出来，同时可在上位机上进行故障设置，来实现车辆的断路、短路、虚接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等故障，做到软硬件双向实时交互。</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5.手动设置模块由设故操作面板和锁盖组成，内置 PCB 电路封装，同时安装手动设故开关，实现线路断路、线路电阻过大（即串电阻）、线路对正电搭铁、线路对地搭铁、单个元件插头上线路窜线等故障设置；装有圆形锁具，保证故障设置后无法打开知悉具体设置故障线路。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6.采用工业级 60 针与 40 针银色航空接插头，航空插头固定与台架主体框架钣金后侧，且对应跨接线束安装不易脱落亚克力标贴，与台架航空插座标贴一一对应，防止误插；跨接线束另一端配有对应车辆各模块原车插头以及插座，保证车辆与台架进行无损对接的同时，拔下跨接线束后车辆可正常行驶。</w:t>
            </w:r>
          </w:p>
        </w:tc>
        <w:tc>
          <w:tcPr>
            <w:tcW w:w="958" w:type="dxa"/>
            <w:vAlign w:val="center"/>
          </w:tcPr>
          <w:p>
            <w:pPr>
              <w:keepNext w:val="0"/>
              <w:keepLines w:val="0"/>
              <w:widowControl/>
              <w:suppressLineNumbers w:val="0"/>
              <w:jc w:val="both"/>
              <w:rPr>
                <w:rFonts w:hint="default"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故障诊断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仪器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1.具备纯电动汽车动力电池管理系统、电池</w:t>
            </w:r>
            <w:r>
              <w:rPr>
                <w:rFonts w:hint="eastAsia" w:ascii="仿宋_GB2312" w:hAnsi="宋体" w:eastAsia="仿宋_GB2312" w:cs="仿宋_GB2312"/>
                <w:color w:val="000000"/>
                <w:kern w:val="0"/>
                <w:sz w:val="24"/>
                <w:szCs w:val="24"/>
                <w:lang w:val="en-US" w:eastAsia="zh-CN" w:bidi="ar"/>
              </w:rPr>
              <w:t xml:space="preserve">热管理控制器系统、低压电池管理系统、DC-DC 总成系统、 主控制器系统、电机控制器系统读码、清码、读取数据流完整信息和进行执行元件驱动诊断、编程等基本功能。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2.操作系统采用 Android TM4.0, Ice Cream Sandwich 操作系统、处理器。</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万用接线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盒</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主要强调各种规格的“T”型线，能满足轿</w:t>
            </w:r>
            <w:r>
              <w:rPr>
                <w:rFonts w:hint="eastAsia" w:ascii="仿宋_GB2312" w:hAnsi="宋体" w:eastAsia="仿宋_GB2312" w:cs="仿宋_GB2312"/>
                <w:color w:val="000000"/>
                <w:kern w:val="0"/>
                <w:sz w:val="24"/>
                <w:szCs w:val="24"/>
                <w:lang w:val="en-US" w:eastAsia="zh-CN" w:bidi="ar"/>
              </w:rPr>
              <w:t>车竞赛系统的所有保险丝、继电器、传感器、执行器插接测量之用，要有足够的通流能力和可重复插接使用能力。</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万用表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要求满足以下技术参数：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1.适用汽车电器元件检测,满足 CAT III 1000V 及以上等级。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2.可测试直流电压（DC1000V）、交流电压（AC750V）、电阻、电容、频率、直流电流、交流电流、二极管测试、通断报警、低压显示、单位符号显示、数据保持、自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动关机、过载保护、输入阻抗、采样频率、 交流频响、操作方式、显示计数、钳口张开、电源等功能。</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绝缘电阻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测试仪</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要求满足以下技术参数：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1.适用汽车电器元件检测,满足 CAT III 1000V 及以上等级。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2.绝缘测试电压：50V、100V、250V、500V、1000V。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3.带有通过/失败（比较）功能、保存/调用功能、远程测试探头、带电电路检测功能、容性电压自动放电功能、自动关闭功能。</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包含抽屉柜形多功能工具手推车、</w:t>
            </w:r>
            <w:r>
              <w:rPr>
                <w:rFonts w:hint="eastAsia" w:ascii="仿宋_GB2312" w:hAnsi="宋体" w:eastAsia="仿宋_GB2312" w:cs="仿宋_GB2312"/>
                <w:color w:val="000000"/>
                <w:kern w:val="0"/>
                <w:sz w:val="24"/>
                <w:szCs w:val="24"/>
                <w:lang w:val="en-US" w:eastAsia="zh-CN" w:bidi="ar"/>
              </w:rPr>
              <w:t xml:space="preserve">零件车，主要包括：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1.1/2"六角短套筒：8-24,27,30,32mm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2.1/2"六角长套筒:10,12,13,14,17,19mm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3.1/2"气动套筒:17,19,21,23mm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4.1/2"系列 L 型扳手:250mm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5.接杆:1/2"*5",1/2"*10"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6.套筒转接头:1/2"M*3/8"F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7.万向接头:12.5mm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8.快速棘轮扳手:12.5mm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9.工作灯,充电线，油封安装工具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10.橡皮锤子：30mm，45mm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11.1/4"六角长套筒：4-8mm,10mm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12.1/4"六角短套筒（13 件）: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4,4.5,5,5.5,6-14mm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13.3/8"六角套筒:8-19mm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14.长套筒:10-15,17,19mm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15.L 型内六角扳手:1.5，2，2.5，3，4，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5，6，8，10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16.套筒：14，16，18mm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17.游标卡尺,钢直尺,棘轮扳手（大）,棘轮扳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手（中），棘轮扳手（小），旋具批头（12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个），转接头，转向接杆，转向接头1</w:t>
            </w:r>
            <w:r>
              <w:rPr>
                <w:rFonts w:ascii="仿宋_GB2312" w:hAnsi="宋体" w:eastAsia="仿宋_GB2312" w:cs="仿宋_GB2312"/>
                <w:color w:val="000000"/>
                <w:kern w:val="0"/>
                <w:sz w:val="24"/>
                <w:szCs w:val="24"/>
                <w:lang w:val="en-US" w:eastAsia="zh-CN" w:bidi="ar"/>
              </w:rPr>
              <w:t xml:space="preserve">20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18.10mm 系列旋具套筒：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T10，T15，T30，T40，T45，T50，T55，H3，H5，H6，H7，H10，PH1，PH2，PH3，P21,P22,P23,FD5.5,FD7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19.内花键套筒: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E8,E10,E11,E12,E14,E16,E18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20.双梅花扳手: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8*10mm,10*12mm,14*15mm,16*17mm,18 *19mm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21.两用扳手:8-19mm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22.豪华型 S2 穿心螺丝批:一字 6*100mm,十字 PH#2*10mm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23.钳子:6"尖嘴钳,8"鲤鱼钳,10"水泵钳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24.绝缘电工胶布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25.十字螺丝批: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PH0*60mm,PH1*80mm,PH2*100mm,PH3*150mm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26.一字螺丝批: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0.42*2.5*75mm,0.8*4*100mm,1*5.5*125mm,1.2*6.5*150mm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27.绝缘开口扳手:8mm，10mm，12-15mm 剥线钳,预制式扭力扳手(60-340N.m),预 制式扭力扳手(5-25N.m),胎纹笔,冰点测试仪,卡箍钳,卡簧钳（弯头）,深度尺,大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一字螺丝批,卡簧钳（直头）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28.油壶,刮刀,预制式扭矩扳手,拉拔器, 磁力棒,异形钳,水管堵头（长，短），橡皮水管堵头（15 长，15 短，16 长，16 短，20 长，20 短）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29.手摇简式千斤顶,密封性测试水管（长）,密封性测试水管（短）,胎压表, 手摇简式千斤顶摇把,基准尺,生料带,气嘴头,胎压表气嘴头。</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人员及工</w:t>
            </w:r>
            <w:r>
              <w:rPr>
                <w:rFonts w:hint="eastAsia" w:ascii="仿宋_GB2312" w:hAnsi="宋体" w:eastAsia="仿宋_GB2312" w:cs="仿宋_GB2312"/>
                <w:color w:val="000000"/>
                <w:kern w:val="0"/>
                <w:sz w:val="24"/>
                <w:szCs w:val="24"/>
                <w:lang w:val="en-US" w:eastAsia="zh-CN" w:bidi="ar"/>
              </w:rPr>
              <w:t>位安全防护</w:t>
            </w: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1.人员防护套装：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包括绝缘手套、耐磨手套、护目镜、安全帽。</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2.工位安全防护套装：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包括警示牌、隔离带套装、绝缘防护垫等。</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bl>
    <w:p>
      <w:pPr>
        <w:pStyle w:val="2"/>
        <w:rPr>
          <w:rFonts w:hint="eastAsia" w:ascii="微软雅黑" w:eastAsia="微软雅黑"/>
          <w:b/>
          <w:sz w:val="24"/>
        </w:rPr>
      </w:pPr>
    </w:p>
    <w:p>
      <w:pPr>
        <w:keepNext w:val="0"/>
        <w:keepLines w:val="0"/>
        <w:widowControl/>
        <w:suppressLineNumbers w:val="0"/>
        <w:jc w:val="left"/>
        <w:rPr>
          <w:rFonts w:hint="eastAsia" w:ascii="仿宋_GB2312" w:hAnsi="宋体" w:eastAsia="仿宋_GB2312" w:cs="仿宋_GB2312"/>
          <w:color w:val="000000"/>
          <w:kern w:val="0"/>
          <w:sz w:val="24"/>
          <w:szCs w:val="24"/>
          <w:lang w:val="en-US" w:eastAsia="zh-CN" w:bidi="ar"/>
        </w:rPr>
      </w:pPr>
    </w:p>
    <w:p>
      <w:pPr>
        <w:pStyle w:val="2"/>
        <w:rPr>
          <w:rFonts w:hint="eastAsia"/>
        </w:rPr>
      </w:pPr>
    </w:p>
    <w:p/>
    <w:p>
      <w:pPr>
        <w:jc w:val="center"/>
        <w:rPr>
          <w:rFonts w:hint="eastAsia" w:ascii="微软雅黑" w:eastAsia="微软雅黑"/>
          <w:b/>
          <w:sz w:val="24"/>
        </w:rPr>
      </w:pPr>
    </w:p>
    <w:p>
      <w:pPr>
        <w:jc w:val="center"/>
        <w:rPr>
          <w:rFonts w:hint="eastAsia" w:ascii="微软雅黑" w:eastAsia="微软雅黑"/>
          <w:b/>
          <w:sz w:val="24"/>
        </w:rPr>
      </w:pPr>
    </w:p>
    <w:p>
      <w:pPr>
        <w:jc w:val="both"/>
        <w:rPr>
          <w:rFonts w:hint="eastAsia" w:ascii="微软雅黑" w:eastAsia="微软雅黑"/>
          <w:b/>
          <w:sz w:val="24"/>
        </w:rPr>
      </w:pPr>
    </w:p>
    <w:p>
      <w:pPr>
        <w:jc w:val="center"/>
        <w:rPr>
          <w:rFonts w:hint="eastAsia" w:ascii="微软雅黑" w:eastAsia="微软雅黑"/>
          <w:b/>
          <w:sz w:val="24"/>
        </w:rPr>
      </w:pPr>
    </w:p>
    <w:p>
      <w:pPr>
        <w:jc w:val="center"/>
        <w:rPr>
          <w:rFonts w:hint="eastAsia"/>
          <w:b w:val="0"/>
          <w:bCs/>
        </w:rPr>
      </w:pPr>
      <w:r>
        <w:rPr>
          <w:rFonts w:hint="eastAsia" w:ascii="微软雅黑" w:eastAsia="微软雅黑"/>
          <w:b w:val="0"/>
          <w:bCs/>
          <w:sz w:val="24"/>
        </w:rPr>
        <w:t xml:space="preserve">表 </w:t>
      </w:r>
      <w:r>
        <w:rPr>
          <w:rFonts w:hint="eastAsia" w:ascii="微软雅黑" w:eastAsia="微软雅黑"/>
          <w:b w:val="0"/>
          <w:bCs/>
          <w:sz w:val="24"/>
          <w:lang w:val="en-US" w:eastAsia="zh-CN"/>
        </w:rPr>
        <w:t>6</w:t>
      </w:r>
      <w:r>
        <w:rPr>
          <w:rFonts w:hint="eastAsia" w:ascii="微软雅黑" w:eastAsia="微软雅黑"/>
          <w:b w:val="0"/>
          <w:bCs/>
          <w:sz w:val="24"/>
        </w:rPr>
        <w:t xml:space="preserve"> 竞赛器材配备表</w:t>
      </w:r>
      <w:r>
        <w:rPr>
          <w:rFonts w:hint="eastAsia" w:ascii="微软雅黑" w:eastAsia="微软雅黑"/>
          <w:b w:val="0"/>
          <w:bCs/>
          <w:sz w:val="24"/>
          <w:lang w:eastAsia="zh-CN"/>
        </w:rPr>
        <w:t>（</w:t>
      </w:r>
      <w:r>
        <w:rPr>
          <w:rFonts w:hint="eastAsia" w:ascii="微软雅黑" w:eastAsia="微软雅黑"/>
          <w:b w:val="0"/>
          <w:bCs/>
          <w:sz w:val="24"/>
          <w:lang w:val="en-US" w:eastAsia="zh-CN"/>
        </w:rPr>
        <w:t>智能网联汽车技术模块</w:t>
      </w:r>
      <w:r>
        <w:rPr>
          <w:rFonts w:hint="eastAsia" w:ascii="微软雅黑" w:eastAsia="微软雅黑"/>
          <w:b w:val="0"/>
          <w:bCs/>
          <w:sz w:val="24"/>
          <w:lang w:eastAsia="zh-CN"/>
        </w:rPr>
        <w:t>）</w:t>
      </w:r>
    </w:p>
    <w:tbl>
      <w:tblPr>
        <w:tblStyle w:val="16"/>
        <w:tblpPr w:leftFromText="180" w:rightFromText="180" w:vertAnchor="text" w:horzAnchor="page" w:tblpX="1686" w:tblpY="39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7"/>
        <w:gridCol w:w="1313"/>
        <w:gridCol w:w="4948"/>
        <w:gridCol w:w="9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pStyle w:val="34"/>
              <w:spacing w:before="162"/>
              <w:ind w:left="176" w:right="160"/>
              <w:jc w:val="both"/>
              <w:rPr>
                <w:sz w:val="24"/>
              </w:rPr>
            </w:pPr>
            <w:r>
              <w:rPr>
                <w:sz w:val="24"/>
              </w:rPr>
              <w:t>竞赛模块</w:t>
            </w:r>
          </w:p>
        </w:tc>
        <w:tc>
          <w:tcPr>
            <w:tcW w:w="1313" w:type="dxa"/>
            <w:vAlign w:val="center"/>
          </w:tcPr>
          <w:p>
            <w:pPr>
              <w:pStyle w:val="34"/>
              <w:spacing w:before="162"/>
              <w:ind w:left="31" w:right="15"/>
              <w:jc w:val="both"/>
              <w:rPr>
                <w:sz w:val="24"/>
              </w:rPr>
            </w:pPr>
            <w:r>
              <w:rPr>
                <w:sz w:val="24"/>
              </w:rPr>
              <w:t>技术平台</w:t>
            </w:r>
          </w:p>
        </w:tc>
        <w:tc>
          <w:tcPr>
            <w:tcW w:w="4948" w:type="dxa"/>
            <w:vAlign w:val="center"/>
          </w:tcPr>
          <w:p>
            <w:pPr>
              <w:pStyle w:val="34"/>
              <w:spacing w:before="162"/>
              <w:ind w:left="1978" w:right="1959"/>
              <w:jc w:val="both"/>
              <w:rPr>
                <w:sz w:val="24"/>
              </w:rPr>
            </w:pPr>
            <w:r>
              <w:rPr>
                <w:sz w:val="24"/>
              </w:rPr>
              <w:t>技术参数</w:t>
            </w:r>
          </w:p>
        </w:tc>
        <w:tc>
          <w:tcPr>
            <w:tcW w:w="958" w:type="dxa"/>
            <w:vAlign w:val="center"/>
          </w:tcPr>
          <w:p>
            <w:pPr>
              <w:pStyle w:val="34"/>
              <w:spacing w:before="6" w:line="242" w:lineRule="auto"/>
              <w:ind w:left="242" w:right="163" w:hanging="60"/>
              <w:jc w:val="both"/>
              <w:rPr>
                <w:sz w:val="24"/>
              </w:rPr>
            </w:pPr>
            <w:r>
              <w:rPr>
                <w:sz w:val="24"/>
              </w:rPr>
              <w:t>数量/ 工位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pStyle w:val="34"/>
              <w:spacing w:before="162"/>
              <w:ind w:left="176" w:right="160"/>
              <w:jc w:val="both"/>
              <w:rPr>
                <w:sz w:val="24"/>
              </w:rPr>
            </w:pPr>
            <w:r>
              <w:rPr>
                <w:rFonts w:hint="eastAsia" w:ascii="仿宋_GB2312" w:hAnsi="宋体" w:eastAsia="仿宋_GB2312" w:cs="仿宋_GB2312"/>
                <w:color w:val="000000"/>
                <w:kern w:val="0"/>
                <w:sz w:val="24"/>
                <w:szCs w:val="24"/>
                <w:lang w:val="en-US" w:eastAsia="zh-CN" w:bidi="ar"/>
              </w:rPr>
              <w:t>智能网联汽车技术</w:t>
            </w:r>
          </w:p>
        </w:tc>
        <w:tc>
          <w:tcPr>
            <w:tcW w:w="1313" w:type="dxa"/>
            <w:vAlign w:val="center"/>
          </w:tcPr>
          <w:p>
            <w:pPr>
              <w:pStyle w:val="34"/>
              <w:spacing w:before="162"/>
              <w:ind w:right="15"/>
              <w:jc w:val="both"/>
              <w:rPr>
                <w:rFonts w:hint="default"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智能网联汽车整车</w:t>
            </w:r>
          </w:p>
        </w:tc>
        <w:tc>
          <w:tcPr>
            <w:tcW w:w="494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 .智能网联汽车车辆整车参数</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汽车级别：低速车辆</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能源类型：纯电动</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车辆规格：1680mm*960mm*1610mm（长*宽*高）</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上装支架：桁架式支架（桁架采用为方管喷塑，外壳采用ABS与亚克力相结合）</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整车质量：≤200kg，最大承重≥200kg</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最小转弯半径：≤2500mm</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离地间隙：≥150mm</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轴距：≤1100mm</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轮距：≤750mm</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最大车速： ≥20km/h</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续航里程：≥20km</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爬坡能力：≥20%</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底盘结构：前麦弗逊独立悬挂+后整体桥拖拽臂</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车架及车身系统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车架形式：桁架式高强度车架</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车壳防护等级IP55</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前悬架形式：麦弗逊独立悬挂</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后悬架形式：拖曳臂一体桥结构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驱动方式：后轮单电机驱动</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控制方式：扭矩控制/转速控制</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额定功率：≥2.5kW</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额定电压：≥60V</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最高转速：≥3000rpm</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制动方式：线控液压制动（行车制动，基于ibooster的电液制动），电磁制动失电抱轴（驻车制动），反向扭矩制动</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转向形式：前桥阿克曼转向（高精度伺服电机）</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控制方式：转速/转矩/位置</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额定功率：≥200W</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额定电压：≥12V</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响应时间：＜100ms</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控制精度：±1°</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系统具有过载保护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底盘ECU：车规级ECU</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通讯方式：CAN通讯</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开发环境：Matlab/Simulink</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车辆具备故障报警功能，可通过上位机读取故障信息。车辆可响应一、二、三级别故障，执行报警，降功率，切断电源的处理方式。</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动力电池形式：车规级磷酸铁锂电池</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额定电压：≥60V</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额定电流：≥20A</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电量：≥3kWh</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电池箱防水等级：不低于IP66</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BMS系统:具备过充、过放、短接、高温等保护通讯接口:支持CAN总线方式</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可读取电池主要参数:包含且不少于剩余电量、实时电流、当前电压、当前温度、自定义报警信息等</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充电器：≥400w</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底盘故障设置系统可设置17个底盘类故障，13个保险类故障，2个继电器故障。底盘类故障包括：VCU正极电源故障、压力传感器信号故障、ON档继电器驱动故障、ON档开关信号故障、MCU继电器驱动故障、转向使能故障、转向CANH线束故障、转向传感器主电源正极故障、转向传感器主电源负极故障、转向副角度信号故障、转向主角度信号故障、转向传感器副电源正极故障、转向传感器副电源负极故障、转向主扭矩信号故障、转向副扭矩信号故障、制动使能信号故障、电机温传故障。保险类故障包括：路由器电源保险故障、激光雷达电源保险故障、毫米波雷达电源保险故障、导航电源保险故障、双目相机电源保险故障、超声波雷达电源保险故障、轮速传感器电源保险故障、急停遥控模块保险故障、MCU保险故障、显示器电源保险故障、AGX电源保险故障、电源总开关保险故障、使能信号保险故障。</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继电器类故障包括：MCU使能高压继电器故障、ON档继电器故障。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自动大灯：利用光敏电阻实现对光线的感知，实现大灯的亮起或熄灭。</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工作电压：12V</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功率：100W（一对）</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防水等级:IPX7</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照射距离：3-100米</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转向灯：流水转向灯，在手动遥控和自动驾驶过程中转向时会自动点亮，装配四个转向灯。</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工作电压：12V</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材质：高亮灯珠</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  刹车灯：安装于车辆尾部，在车辆刹车时亮起的红色警示灯，装配2个刹车灯。</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工作电压：12V</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功率：14W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安全性：具备车身急停和远程急停开关，能够紧急制动。</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供电接口：不少于12V/7个（600W）； </w:t>
            </w:r>
          </w:p>
        </w:tc>
        <w:tc>
          <w:tcPr>
            <w:tcW w:w="958" w:type="dxa"/>
            <w:vAlign w:val="center"/>
          </w:tcPr>
          <w:p>
            <w:pPr>
              <w:pStyle w:val="34"/>
              <w:spacing w:before="6" w:line="242" w:lineRule="auto"/>
              <w:ind w:left="242" w:right="163" w:hanging="60"/>
              <w:jc w:val="both"/>
              <w:rPr>
                <w:rFonts w:hint="eastAsia" w:eastAsia="宋体"/>
                <w:sz w:val="24"/>
                <w:lang w:val="en-US" w:eastAsia="zh-CN"/>
              </w:rPr>
            </w:pPr>
            <w:r>
              <w:rPr>
                <w:rFonts w:hint="eastAsia" w:eastAsia="宋体"/>
                <w:sz w:val="24"/>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pStyle w:val="34"/>
              <w:spacing w:before="162"/>
              <w:ind w:left="176" w:right="160"/>
              <w:jc w:val="both"/>
              <w:rPr>
                <w:sz w:val="24"/>
              </w:rPr>
            </w:pPr>
          </w:p>
        </w:tc>
        <w:tc>
          <w:tcPr>
            <w:tcW w:w="1313" w:type="dxa"/>
            <w:vAlign w:val="center"/>
          </w:tcPr>
          <w:p>
            <w:pPr>
              <w:pStyle w:val="34"/>
              <w:spacing w:before="162"/>
              <w:ind w:right="15"/>
              <w:jc w:val="both"/>
              <w:rPr>
                <w:rFonts w:hint="eastAsia" w:ascii="仿宋_GB2312" w:hAnsi="宋体" w:eastAsia="仿宋_GB2312" w:cs="仿宋_GB2312"/>
                <w:color w:val="000000"/>
                <w:kern w:val="0"/>
                <w:sz w:val="24"/>
                <w:szCs w:val="24"/>
                <w:lang w:val="en-US" w:eastAsia="zh-CN" w:bidi="ar"/>
              </w:rPr>
            </w:pPr>
            <w:r>
              <w:rPr>
                <w:rFonts w:hint="eastAsia"/>
                <w:sz w:val="24"/>
              </w:rPr>
              <w:t>自动</w:t>
            </w:r>
            <w:r>
              <w:rPr>
                <w:sz w:val="24"/>
              </w:rPr>
              <w:t>驾驶系统</w:t>
            </w: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1、硬件</w:t>
            </w:r>
            <w:r>
              <w:rPr>
                <w:rFonts w:ascii="仿宋_GB2312" w:hAnsi="宋体" w:eastAsia="仿宋_GB2312" w:cs="仿宋_GB2312"/>
                <w:color w:val="000000"/>
                <w:kern w:val="0"/>
                <w:sz w:val="24"/>
                <w:szCs w:val="24"/>
                <w:lang w:val="en-US" w:eastAsia="zh-CN" w:bidi="ar"/>
              </w:rPr>
              <w:t>技术参数</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（1）.雷达系统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w:t>
            </w:r>
            <w:r>
              <w:rPr>
                <w:rFonts w:ascii="仿宋_GB2312" w:hAnsi="宋体" w:eastAsia="仿宋_GB2312" w:cs="仿宋_GB2312"/>
                <w:color w:val="000000"/>
                <w:kern w:val="0"/>
                <w:sz w:val="24"/>
                <w:szCs w:val="24"/>
                <w:lang w:val="en-US" w:eastAsia="zh-CN" w:bidi="ar"/>
              </w:rPr>
              <w:t xml:space="preserve">激光雷达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扫描通道:16线</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激光波长:905m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探测距离:70m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测量精度:±3cm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供电范围:9V-36VDC</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工作温度:-20°C~+60°C</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通信接口:以太网 pps</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尺寸:1</w:t>
            </w:r>
            <w:r>
              <w:rPr>
                <w:rFonts w:ascii="仿宋_GB2312" w:hAnsi="宋体" w:eastAsia="仿宋_GB2312" w:cs="仿宋_GB2312"/>
                <w:color w:val="000000"/>
                <w:kern w:val="0"/>
                <w:sz w:val="24"/>
                <w:szCs w:val="24"/>
                <w:lang w:val="en-US" w:eastAsia="zh-CN" w:bidi="ar"/>
              </w:rPr>
              <w:t>02</w:t>
            </w:r>
            <w:r>
              <w:rPr>
                <w:rFonts w:hint="eastAsia" w:ascii="仿宋_GB2312" w:hAnsi="宋体" w:eastAsia="仿宋_GB2312" w:cs="仿宋_GB2312"/>
                <w:color w:val="000000"/>
                <w:kern w:val="0"/>
                <w:sz w:val="24"/>
                <w:szCs w:val="24"/>
                <w:lang w:val="en-US" w:eastAsia="zh-CN" w:bidi="ar"/>
              </w:rPr>
              <w:t>*</w:t>
            </w:r>
            <w:r>
              <w:rPr>
                <w:rFonts w:ascii="仿宋_GB2312" w:hAnsi="宋体" w:eastAsia="仿宋_GB2312" w:cs="仿宋_GB2312"/>
                <w:color w:val="000000"/>
                <w:kern w:val="0"/>
                <w:sz w:val="24"/>
                <w:szCs w:val="24"/>
                <w:lang w:val="en-US" w:eastAsia="zh-CN" w:bidi="ar"/>
              </w:rPr>
              <w:t>78</w:t>
            </w:r>
            <w:r>
              <w:rPr>
                <w:rFonts w:hint="eastAsia" w:ascii="仿宋_GB2312" w:hAnsi="宋体" w:eastAsia="仿宋_GB2312" w:cs="仿宋_GB2312"/>
                <w:color w:val="000000"/>
                <w:kern w:val="0"/>
                <w:sz w:val="24"/>
                <w:szCs w:val="24"/>
                <w:lang w:val="en-US" w:eastAsia="zh-CN" w:bidi="ar"/>
              </w:rPr>
              <w:t xml:space="preserve">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重量:1</w:t>
            </w:r>
            <w:r>
              <w:rPr>
                <w:rFonts w:ascii="仿宋_GB2312" w:hAnsi="宋体" w:eastAsia="仿宋_GB2312" w:cs="仿宋_GB2312"/>
                <w:color w:val="000000"/>
                <w:kern w:val="0"/>
                <w:sz w:val="24"/>
                <w:szCs w:val="24"/>
                <w:lang w:val="en-US" w:eastAsia="zh-CN" w:bidi="ar"/>
              </w:rPr>
              <w:t>050</w:t>
            </w:r>
            <w:r>
              <w:rPr>
                <w:rFonts w:hint="eastAsia" w:ascii="仿宋_GB2312" w:hAnsi="宋体" w:eastAsia="仿宋_GB2312" w:cs="仿宋_GB2312"/>
                <w:color w:val="000000"/>
                <w:kern w:val="0"/>
                <w:sz w:val="24"/>
                <w:szCs w:val="24"/>
                <w:lang w:val="en-US" w:eastAsia="zh-CN" w:bidi="ar"/>
              </w:rPr>
              <w:t>g</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垂直分辨率小于等于2°</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防护等级IP67</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采集数据包含三维空间坐标与点云反射率等信息</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2）超声</w:t>
            </w:r>
            <w:r>
              <w:rPr>
                <w:rFonts w:ascii="仿宋_GB2312" w:hAnsi="宋体" w:eastAsia="仿宋_GB2312" w:cs="仿宋_GB2312"/>
                <w:color w:val="000000"/>
                <w:kern w:val="0"/>
                <w:sz w:val="24"/>
                <w:szCs w:val="24"/>
                <w:lang w:val="en-US" w:eastAsia="zh-CN" w:bidi="ar"/>
              </w:rPr>
              <w:t xml:space="preserve">波雷达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工作电压：DC 12V</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工作频率：48KHz（左右）、58KHz（前后）</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探测距离：20cm-500cm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水平探测角度：90±10°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垂直探测角度：45±5°</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工作温度：-40-85℃</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防护等级：IP67</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通信接口：CAN</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w:t>
            </w:r>
            <w:r>
              <w:rPr>
                <w:rFonts w:ascii="仿宋_GB2312" w:hAnsi="宋体" w:eastAsia="仿宋_GB2312" w:cs="仿宋_GB2312"/>
                <w:color w:val="000000"/>
                <w:kern w:val="0"/>
                <w:sz w:val="24"/>
                <w:szCs w:val="24"/>
                <w:lang w:val="en-US" w:eastAsia="zh-CN" w:bidi="ar"/>
              </w:rPr>
              <w:t xml:space="preserve"> </w:t>
            </w:r>
            <w:r>
              <w:rPr>
                <w:rFonts w:hint="eastAsia" w:ascii="仿宋_GB2312" w:hAnsi="宋体" w:eastAsia="仿宋_GB2312" w:cs="仿宋_GB2312"/>
                <w:color w:val="000000"/>
                <w:kern w:val="0"/>
                <w:sz w:val="24"/>
                <w:szCs w:val="24"/>
                <w:lang w:val="en-US" w:eastAsia="zh-CN" w:bidi="ar"/>
              </w:rPr>
              <w:t>毫米波雷达</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 测距范围</w:t>
            </w:r>
            <w:r>
              <w:rPr>
                <w:rFonts w:hint="eastAsia" w:ascii="仿宋_GB2312" w:hAnsi="宋体" w:eastAsia="仿宋_GB2312" w:cs="仿宋_GB2312"/>
                <w:color w:val="000000"/>
                <w:kern w:val="0"/>
                <w:sz w:val="24"/>
                <w:szCs w:val="24"/>
                <w:lang w:val="en-US" w:eastAsia="zh-CN" w:bidi="ar"/>
              </w:rPr>
              <w:t>：</w:t>
            </w:r>
            <w:r>
              <w:rPr>
                <w:rFonts w:ascii="仿宋_GB2312" w:hAnsi="宋体" w:eastAsia="仿宋_GB2312" w:cs="仿宋_GB2312"/>
                <w:color w:val="000000"/>
                <w:kern w:val="0"/>
                <w:sz w:val="24"/>
                <w:szCs w:val="24"/>
                <w:lang w:val="en-US" w:eastAsia="zh-CN" w:bidi="ar"/>
              </w:rPr>
              <w:t>0.20 ‐ 250m (长距模式)，0.20 ‐ 100m (短距模式</w:t>
            </w:r>
            <w:r>
              <w:rPr>
                <w:rFonts w:hint="eastAsia" w:ascii="仿宋_GB2312" w:hAnsi="宋体" w:eastAsia="仿宋_GB2312" w:cs="仿宋_GB2312"/>
                <w:color w:val="000000"/>
                <w:kern w:val="0"/>
                <w:sz w:val="24"/>
                <w:szCs w:val="24"/>
                <w:lang w:val="en-US" w:eastAsia="zh-CN" w:bidi="ar"/>
              </w:rPr>
              <w:t>)</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 距离测量分辨率</w:t>
            </w:r>
            <w:r>
              <w:rPr>
                <w:rFonts w:hint="eastAsia" w:ascii="仿宋_GB2312" w:hAnsi="宋体" w:eastAsia="仿宋_GB2312" w:cs="仿宋_GB2312"/>
                <w:color w:val="000000"/>
                <w:kern w:val="0"/>
                <w:sz w:val="24"/>
                <w:szCs w:val="24"/>
                <w:lang w:val="en-US" w:eastAsia="zh-CN" w:bidi="ar"/>
              </w:rPr>
              <w:t>：</w:t>
            </w:r>
            <w:r>
              <w:rPr>
                <w:rFonts w:ascii="仿宋_GB2312" w:hAnsi="宋体" w:eastAsia="仿宋_GB2312" w:cs="仿宋_GB2312"/>
                <w:color w:val="000000"/>
                <w:kern w:val="0"/>
                <w:sz w:val="24"/>
                <w:szCs w:val="24"/>
                <w:lang w:val="en-US" w:eastAsia="zh-CN" w:bidi="ar"/>
              </w:rPr>
              <w:t>1.79m(长距模式)，0.39m(短距模式</w:t>
            </w:r>
            <w:r>
              <w:rPr>
                <w:rFonts w:hint="eastAsia" w:ascii="仿宋_GB2312" w:hAnsi="宋体" w:eastAsia="仿宋_GB2312" w:cs="仿宋_GB2312"/>
                <w:color w:val="000000"/>
                <w:kern w:val="0"/>
                <w:sz w:val="24"/>
                <w:szCs w:val="24"/>
                <w:lang w:val="en-US" w:eastAsia="zh-CN" w:bidi="ar"/>
              </w:rPr>
              <w:t>)</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 距离测量精度</w:t>
            </w:r>
            <w:r>
              <w:rPr>
                <w:rFonts w:hint="eastAsia" w:ascii="仿宋_GB2312" w:hAnsi="宋体" w:eastAsia="仿宋_GB2312" w:cs="仿宋_GB2312"/>
                <w:color w:val="000000"/>
                <w:kern w:val="0"/>
                <w:sz w:val="24"/>
                <w:szCs w:val="24"/>
                <w:lang w:val="en-US" w:eastAsia="zh-CN" w:bidi="ar"/>
              </w:rPr>
              <w:t>：</w:t>
            </w:r>
            <w:r>
              <w:rPr>
                <w:rFonts w:ascii="仿宋_GB2312" w:hAnsi="宋体" w:eastAsia="仿宋_GB2312" w:cs="仿宋_GB2312"/>
                <w:color w:val="000000"/>
                <w:kern w:val="0"/>
                <w:sz w:val="24"/>
                <w:szCs w:val="24"/>
                <w:lang w:val="en-US" w:eastAsia="zh-CN" w:bidi="ar"/>
              </w:rPr>
              <w:t>±0.40 m(长距模式)，±0.10m(短距模式</w:t>
            </w:r>
            <w:r>
              <w:rPr>
                <w:rFonts w:hint="eastAsia" w:ascii="仿宋_GB2312" w:hAnsi="宋体" w:eastAsia="仿宋_GB2312" w:cs="仿宋_GB2312"/>
                <w:color w:val="000000"/>
                <w:kern w:val="0"/>
                <w:sz w:val="24"/>
                <w:szCs w:val="24"/>
                <w:lang w:val="en-US" w:eastAsia="zh-CN" w:bidi="ar"/>
              </w:rPr>
              <w:t>)</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 速度范围</w:t>
            </w:r>
            <w:r>
              <w:rPr>
                <w:rFonts w:hint="eastAsia" w:ascii="仿宋_GB2312" w:hAnsi="宋体" w:eastAsia="仿宋_GB2312" w:cs="仿宋_GB2312"/>
                <w:color w:val="000000"/>
                <w:kern w:val="0"/>
                <w:sz w:val="24"/>
                <w:szCs w:val="24"/>
                <w:lang w:val="en-US" w:eastAsia="zh-CN" w:bidi="ar"/>
              </w:rPr>
              <w:t>：</w:t>
            </w:r>
            <w:r>
              <w:rPr>
                <w:rFonts w:ascii="仿宋_GB2312" w:hAnsi="宋体" w:eastAsia="仿宋_GB2312" w:cs="仿宋_GB2312"/>
                <w:color w:val="000000"/>
                <w:kern w:val="0"/>
                <w:sz w:val="24"/>
                <w:szCs w:val="24"/>
                <w:lang w:val="en-US" w:eastAsia="zh-CN" w:bidi="ar"/>
              </w:rPr>
              <w:t>‐400 km/h...+200 km/h</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 速度精度</w:t>
            </w:r>
            <w:r>
              <w:rPr>
                <w:rFonts w:hint="eastAsia" w:ascii="仿宋_GB2312" w:hAnsi="宋体" w:eastAsia="仿宋_GB2312" w:cs="仿宋_GB2312"/>
                <w:color w:val="000000"/>
                <w:kern w:val="0"/>
                <w:sz w:val="24"/>
                <w:szCs w:val="24"/>
                <w:lang w:val="en-US" w:eastAsia="zh-CN" w:bidi="ar"/>
              </w:rPr>
              <w:t>：</w:t>
            </w:r>
            <w:r>
              <w:rPr>
                <w:rFonts w:ascii="仿宋_GB2312" w:hAnsi="宋体" w:eastAsia="仿宋_GB2312" w:cs="仿宋_GB2312"/>
                <w:color w:val="000000"/>
                <w:kern w:val="0"/>
                <w:sz w:val="24"/>
                <w:szCs w:val="24"/>
                <w:lang w:val="en-US" w:eastAsia="zh-CN" w:bidi="ar"/>
              </w:rPr>
              <w:t>±0.1km/h</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 操作温度</w:t>
            </w:r>
            <w:r>
              <w:rPr>
                <w:rFonts w:hint="eastAsia" w:ascii="仿宋_GB2312" w:hAnsi="宋体" w:eastAsia="仿宋_GB2312" w:cs="仿宋_GB2312"/>
                <w:color w:val="000000"/>
                <w:kern w:val="0"/>
                <w:sz w:val="24"/>
                <w:szCs w:val="24"/>
                <w:lang w:val="en-US" w:eastAsia="zh-CN" w:bidi="ar"/>
              </w:rPr>
              <w:t>：</w:t>
            </w:r>
            <w:r>
              <w:rPr>
                <w:rFonts w:ascii="仿宋_GB2312" w:hAnsi="宋体" w:eastAsia="仿宋_GB2312" w:cs="仿宋_GB2312"/>
                <w:color w:val="000000"/>
                <w:kern w:val="0"/>
                <w:sz w:val="24"/>
                <w:szCs w:val="24"/>
                <w:lang w:val="en-US" w:eastAsia="zh-CN" w:bidi="ar"/>
              </w:rPr>
              <w:t>‐40℃</w:t>
            </w:r>
            <w:r>
              <w:rPr>
                <w:rFonts w:hint="eastAsia" w:ascii="仿宋_GB2312" w:hAnsi="宋体" w:eastAsia="仿宋_GB2312" w:cs="仿宋_GB2312"/>
                <w:color w:val="000000"/>
                <w:kern w:val="0"/>
                <w:sz w:val="24"/>
                <w:szCs w:val="24"/>
                <w:lang w:val="en-US" w:eastAsia="zh-CN" w:bidi="ar"/>
              </w:rPr>
              <w:t>到</w:t>
            </w:r>
            <w:r>
              <w:rPr>
                <w:rFonts w:ascii="仿宋_GB2312" w:hAnsi="宋体" w:eastAsia="仿宋_GB2312" w:cs="仿宋_GB2312"/>
                <w:color w:val="000000"/>
                <w:kern w:val="0"/>
                <w:sz w:val="24"/>
                <w:szCs w:val="24"/>
                <w:lang w:val="en-US" w:eastAsia="zh-CN" w:bidi="ar"/>
              </w:rPr>
              <w:t>+85℃</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4）双目相机</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处理单元：FPGA、双核ARM处理器；1 GB内存8GB Flash存储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镜头焦距：4mm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动态范围：120dB</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尺寸：175mm*85mm*42 mm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分辨率：1280x720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接口：千兆网口、RS485 、 CAN</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视场角：HFOV 40°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俯仰角：70°--90°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工作电压：9-36V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功率：6W</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工作温度：-40-70℃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定位模块</w:t>
            </w:r>
            <w:r>
              <w:rPr>
                <w:rFonts w:ascii="仿宋_GB2312" w:hAnsi="宋体" w:eastAsia="仿宋_GB2312" w:cs="仿宋_GB2312"/>
                <w:color w:val="000000"/>
                <w:kern w:val="0"/>
                <w:sz w:val="24"/>
                <w:szCs w:val="24"/>
                <w:lang w:val="en-US" w:eastAsia="zh-CN" w:bidi="ar"/>
              </w:rPr>
              <w:t xml:space="preserve"> MEMS</w:t>
            </w:r>
            <w:r>
              <w:rPr>
                <w:rFonts w:hint="eastAsia" w:ascii="仿宋_GB2312" w:hAnsi="宋体" w:eastAsia="仿宋_GB2312" w:cs="仿宋_GB2312"/>
                <w:color w:val="000000"/>
                <w:kern w:val="0"/>
                <w:sz w:val="24"/>
                <w:szCs w:val="24"/>
                <w:lang w:val="en-US" w:eastAsia="zh-CN" w:bidi="ar"/>
              </w:rPr>
              <w:t>性能</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陀螺仪：量程：±500°/s  零偏稳定性: ≤3°/h；</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加速度计：量程: ±8g；零偏稳定性: ＜1mgGNSS RTK定位精度；</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姿态精度：定向精度：</w:t>
            </w:r>
            <w:r>
              <w:rPr>
                <w:rFonts w:ascii="仿宋_GB2312" w:hAnsi="宋体" w:eastAsia="仿宋_GB2312" w:cs="仿宋_GB2312"/>
                <w:color w:val="000000"/>
                <w:kern w:val="0"/>
                <w:sz w:val="24"/>
                <w:szCs w:val="24"/>
                <w:lang w:val="en-US" w:eastAsia="zh-CN" w:bidi="ar"/>
              </w:rPr>
              <w:t>0.1°(1m)</w:t>
            </w:r>
            <w:r>
              <w:rPr>
                <w:rFonts w:hint="eastAsia" w:ascii="仿宋_GB2312" w:hAnsi="宋体" w:eastAsia="仿宋_GB2312" w:cs="仿宋_GB2312"/>
                <w:color w:val="000000"/>
                <w:kern w:val="0"/>
                <w:sz w:val="24"/>
                <w:szCs w:val="24"/>
                <w:lang w:val="en-US" w:eastAsia="zh-CN" w:bidi="ar"/>
              </w:rPr>
              <w:t>，横滚/俯仰：</w:t>
            </w:r>
            <w:r>
              <w:rPr>
                <w:rFonts w:ascii="仿宋_GB2312" w:hAnsi="宋体" w:eastAsia="仿宋_GB2312" w:cs="仿宋_GB2312"/>
                <w:color w:val="000000"/>
                <w:kern w:val="0"/>
                <w:sz w:val="24"/>
                <w:szCs w:val="24"/>
                <w:lang w:val="en-US" w:eastAsia="zh-CN" w:bidi="ar"/>
              </w:rPr>
              <w:t>0.1°(1σ)</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（2）G</w:t>
            </w:r>
            <w:r>
              <w:rPr>
                <w:rFonts w:ascii="仿宋_GB2312" w:hAnsi="宋体" w:eastAsia="仿宋_GB2312" w:cs="仿宋_GB2312"/>
                <w:color w:val="000000"/>
                <w:kern w:val="0"/>
                <w:sz w:val="24"/>
                <w:szCs w:val="24"/>
                <w:lang w:val="en-US" w:eastAsia="zh-CN" w:bidi="ar"/>
              </w:rPr>
              <w:t>NSS</w:t>
            </w:r>
            <w:r>
              <w:rPr>
                <w:rFonts w:hint="eastAsia" w:ascii="仿宋_GB2312" w:hAnsi="宋体" w:eastAsia="仿宋_GB2312" w:cs="仿宋_GB2312"/>
                <w:color w:val="000000"/>
                <w:kern w:val="0"/>
                <w:sz w:val="24"/>
                <w:szCs w:val="24"/>
                <w:lang w:val="en-US" w:eastAsia="zh-CN" w:bidi="ar"/>
              </w:rPr>
              <w:t>指标</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1）信号跟踪：BDS：B1/B2；GPS：L1/L2；GLONASS：L1/L2；GALILEO：E1/E5b；</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w:t>
            </w:r>
            <w:r>
              <w:rPr>
                <w:rFonts w:ascii="仿宋_GB2312" w:hAnsi="宋体" w:eastAsia="仿宋_GB2312" w:cs="仿宋_GB2312"/>
                <w:color w:val="000000"/>
                <w:kern w:val="0"/>
                <w:sz w:val="24"/>
                <w:szCs w:val="24"/>
                <w:lang w:val="en-US" w:eastAsia="zh-CN" w:bidi="ar"/>
              </w:rPr>
              <w:t>定位精度</w:t>
            </w:r>
            <w:r>
              <w:rPr>
                <w:rFonts w:hint="eastAsia" w:ascii="仿宋_GB2312" w:hAnsi="宋体" w:eastAsia="仿宋_GB2312" w:cs="仿宋_GB2312"/>
                <w:color w:val="000000"/>
                <w:kern w:val="0"/>
                <w:sz w:val="24"/>
                <w:szCs w:val="24"/>
                <w:lang w:val="en-US" w:eastAsia="zh-CN" w:bidi="ar"/>
              </w:rPr>
              <w:t>：RTK:水平 2cm+1ppm ，高程 4cm+1ppm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3）数据更新率：100Hz</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4）天线接口：定位天线：FAKRA type D，50Ω额定 </w:t>
            </w:r>
            <w:r>
              <w:rPr>
                <w:rFonts w:ascii="仿宋_GB2312" w:hAnsi="宋体" w:eastAsia="仿宋_GB2312" w:cs="仿宋_GB2312"/>
                <w:color w:val="000000"/>
                <w:kern w:val="0"/>
                <w:sz w:val="24"/>
                <w:szCs w:val="24"/>
                <w:lang w:val="en-US" w:eastAsia="zh-CN" w:bidi="ar"/>
              </w:rPr>
              <w:t xml:space="preserve"> </w:t>
            </w:r>
            <w:r>
              <w:rPr>
                <w:rFonts w:hint="eastAsia" w:ascii="仿宋_GB2312" w:hAnsi="宋体" w:eastAsia="仿宋_GB2312" w:cs="仿宋_GB2312"/>
                <w:color w:val="000000"/>
                <w:kern w:val="0"/>
                <w:sz w:val="24"/>
                <w:szCs w:val="24"/>
                <w:lang w:val="en-US" w:eastAsia="zh-CN" w:bidi="ar"/>
              </w:rPr>
              <w:t>定向天线：FAKRA type A，50Ω额定阻抗</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（3）.通讯接口：</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1）RS232 波特率：230400(默认)/115200/19200/9600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2）RS422</w:t>
            </w:r>
            <w:r>
              <w:rPr>
                <w:rFonts w:ascii="仿宋_GB2312" w:hAnsi="宋体" w:eastAsia="仿宋_GB2312" w:cs="仿宋_GB2312"/>
                <w:color w:val="000000"/>
                <w:kern w:val="0"/>
                <w:sz w:val="24"/>
                <w:szCs w:val="24"/>
                <w:lang w:val="en-US" w:eastAsia="zh-CN" w:bidi="ar"/>
              </w:rPr>
              <w:t xml:space="preserve"> </w:t>
            </w:r>
            <w:r>
              <w:rPr>
                <w:rFonts w:hint="eastAsia" w:ascii="仿宋_GB2312" w:hAnsi="宋体" w:eastAsia="仿宋_GB2312" w:cs="仿宋_GB2312"/>
                <w:color w:val="000000"/>
                <w:kern w:val="0"/>
                <w:sz w:val="24"/>
                <w:szCs w:val="24"/>
                <w:lang w:val="en-US" w:eastAsia="zh-CN" w:bidi="ar"/>
              </w:rPr>
              <w:t>波特率：115200（默认）/38400/19200/9600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（4）电气和物理特性</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1）功耗：≤5</w:t>
            </w:r>
            <w:r>
              <w:rPr>
                <w:rFonts w:ascii="仿宋_GB2312" w:hAnsi="宋体" w:eastAsia="仿宋_GB2312" w:cs="仿宋_GB2312"/>
                <w:color w:val="000000"/>
                <w:kern w:val="0"/>
                <w:sz w:val="24"/>
                <w:szCs w:val="24"/>
                <w:lang w:val="en-US" w:eastAsia="zh-CN" w:bidi="ar"/>
              </w:rPr>
              <w:t>W</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2）输入电压：</w:t>
            </w:r>
            <w:r>
              <w:rPr>
                <w:rFonts w:ascii="仿宋_GB2312" w:hAnsi="宋体" w:eastAsia="仿宋_GB2312" w:cs="仿宋_GB2312"/>
                <w:color w:val="000000"/>
                <w:kern w:val="0"/>
                <w:sz w:val="24"/>
                <w:szCs w:val="24"/>
                <w:lang w:val="en-US" w:eastAsia="zh-CN" w:bidi="ar"/>
              </w:rPr>
              <w:t>+6~28VDC</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3）振动：20-20000Hz，6.06g RMS</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4）重量：</w:t>
            </w:r>
            <w:r>
              <w:rPr>
                <w:rFonts w:ascii="仿宋_GB2312" w:hAnsi="宋体" w:eastAsia="仿宋_GB2312" w:cs="仿宋_GB2312"/>
                <w:color w:val="000000"/>
                <w:kern w:val="0"/>
                <w:sz w:val="24"/>
                <w:szCs w:val="24"/>
                <w:lang w:val="en-US" w:eastAsia="zh-CN" w:bidi="ar"/>
              </w:rPr>
              <w:t>412 g</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（5）环境指标</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1）工作温度：-40 - +85℃</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2）湿度：95%无冷凝</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3）防护等级：防水IP</w:t>
            </w:r>
            <w:r>
              <w:rPr>
                <w:rFonts w:ascii="仿宋_GB2312" w:hAnsi="宋体" w:eastAsia="仿宋_GB2312" w:cs="仿宋_GB2312"/>
                <w:color w:val="000000"/>
                <w:kern w:val="0"/>
                <w:sz w:val="24"/>
                <w:szCs w:val="24"/>
                <w:lang w:val="en-US" w:eastAsia="zh-CN" w:bidi="ar"/>
              </w:rPr>
              <w:t>4KX</w:t>
            </w:r>
            <w:r>
              <w:rPr>
                <w:rFonts w:hint="eastAsia" w:ascii="仿宋_GB2312" w:hAnsi="宋体" w:eastAsia="仿宋_GB2312" w:cs="仿宋_GB2312"/>
                <w:color w:val="000000"/>
                <w:kern w:val="0"/>
                <w:sz w:val="24"/>
                <w:szCs w:val="24"/>
                <w:lang w:val="en-US" w:eastAsia="zh-CN" w:bidi="ar"/>
              </w:rPr>
              <w:t>、防尘 IP</w:t>
            </w:r>
            <w:r>
              <w:rPr>
                <w:rFonts w:ascii="仿宋_GB2312" w:hAnsi="宋体" w:eastAsia="仿宋_GB2312" w:cs="仿宋_GB2312"/>
                <w:color w:val="000000"/>
                <w:kern w:val="0"/>
                <w:sz w:val="24"/>
                <w:szCs w:val="24"/>
                <w:lang w:val="en-US" w:eastAsia="zh-CN" w:bidi="ar"/>
              </w:rPr>
              <w:t>X5K</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w:t>
            </w:r>
            <w:r>
              <w:rPr>
                <w:rFonts w:ascii="仿宋_GB2312" w:hAnsi="宋体" w:eastAsia="仿宋_GB2312" w:cs="仿宋_GB2312"/>
                <w:color w:val="000000"/>
                <w:kern w:val="0"/>
                <w:sz w:val="24"/>
                <w:szCs w:val="24"/>
                <w:lang w:val="en-US" w:eastAsia="zh-CN" w:bidi="ar"/>
              </w:rPr>
              <w:t xml:space="preserve">工业显示屏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w:t>
            </w:r>
            <w:r>
              <w:rPr>
                <w:rFonts w:ascii="仿宋_GB2312" w:hAnsi="宋体" w:eastAsia="仿宋_GB2312" w:cs="仿宋_GB2312"/>
                <w:color w:val="000000"/>
                <w:kern w:val="0"/>
                <w:sz w:val="24"/>
                <w:szCs w:val="24"/>
                <w:lang w:val="en-US" w:eastAsia="zh-CN" w:bidi="ar"/>
              </w:rPr>
              <w:t>刷新率≥60HZ。</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w:t>
            </w:r>
            <w:r>
              <w:rPr>
                <w:rFonts w:ascii="仿宋_GB2312" w:hAnsi="宋体" w:eastAsia="仿宋_GB2312" w:cs="仿宋_GB2312"/>
                <w:color w:val="000000"/>
                <w:kern w:val="0"/>
                <w:sz w:val="24"/>
                <w:szCs w:val="24"/>
                <w:lang w:val="en-US" w:eastAsia="zh-CN" w:bidi="ar"/>
              </w:rPr>
              <w:t>支持电压12V-24V。</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3）19寸宽屏。</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（7）</w:t>
            </w:r>
            <w:r>
              <w:rPr>
                <w:rFonts w:ascii="仿宋_GB2312" w:hAnsi="宋体" w:eastAsia="仿宋_GB2312" w:cs="仿宋_GB2312"/>
                <w:color w:val="000000"/>
                <w:kern w:val="0"/>
                <w:sz w:val="24"/>
                <w:szCs w:val="24"/>
                <w:lang w:val="en-US" w:eastAsia="zh-CN" w:bidi="ar"/>
              </w:rPr>
              <w:t xml:space="preserve">处理器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1）CPU：NVIDIA自研4核ARM64架构（代号Carmel），2.26GHz （2x2M B L2 + Quad ARM A57/2MB L2）</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2）GPU：256 颗 Pascal 架构 CUDA 核心</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3）运算性能：1.5TFLOPS（单精度）、46.8 GFLOPS（双精度）</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4）内存：8GB LPDDR4</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5）内置存储：32GB eMMC 5.1</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6）外置存储：500GB SATA SSD</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7）网络：千兆以太网+WiFi</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8）CAN 接口：双 CAN 总线控制器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接口：USB3.0、Type C</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（8）</w:t>
            </w:r>
            <w:r>
              <w:rPr>
                <w:rFonts w:ascii="仿宋_GB2312" w:hAnsi="宋体" w:eastAsia="仿宋_GB2312" w:cs="仿宋_GB2312"/>
                <w:color w:val="000000"/>
                <w:kern w:val="0"/>
                <w:sz w:val="24"/>
                <w:szCs w:val="24"/>
                <w:lang w:val="en-US" w:eastAsia="zh-CN" w:bidi="ar"/>
              </w:rPr>
              <w:t>路由器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1）支持频段：4G 全网通</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2）天线：双天线</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3）网络接口：4个自适应 100/1000 Mbps LAN 口</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4）工作温度 20 85</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5）工作湿度10%-85%RH （不凝结）</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6）供电 12V</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（9） </w:t>
            </w:r>
            <w:r>
              <w:rPr>
                <w:rFonts w:ascii="仿宋_GB2312" w:hAnsi="宋体" w:eastAsia="仿宋_GB2312" w:cs="仿宋_GB2312"/>
                <w:color w:val="000000"/>
                <w:kern w:val="0"/>
                <w:sz w:val="24"/>
                <w:szCs w:val="24"/>
                <w:lang w:val="en-US" w:eastAsia="zh-CN" w:bidi="ar"/>
              </w:rPr>
              <w:t>CAN</w:t>
            </w:r>
            <w:r>
              <w:rPr>
                <w:rFonts w:hint="eastAsia" w:ascii="仿宋_GB2312" w:hAnsi="宋体" w:eastAsia="仿宋_GB2312" w:cs="仿宋_GB2312"/>
                <w:color w:val="000000"/>
                <w:kern w:val="0"/>
                <w:sz w:val="24"/>
                <w:szCs w:val="24"/>
                <w:lang w:val="en-US" w:eastAsia="zh-CN" w:bidi="ar"/>
              </w:rPr>
              <w:t>收发器</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w:t>
            </w:r>
            <w:r>
              <w:rPr>
                <w:rFonts w:ascii="仿宋_GB2312" w:hAnsi="宋体" w:eastAsia="仿宋_GB2312" w:cs="仿宋_GB2312"/>
                <w:color w:val="000000"/>
                <w:kern w:val="0"/>
                <w:sz w:val="24"/>
                <w:szCs w:val="24"/>
                <w:lang w:val="en-US" w:eastAsia="zh-CN" w:bidi="ar"/>
              </w:rPr>
              <w:t>集成两个can收发器。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w:t>
            </w:r>
            <w:r>
              <w:rPr>
                <w:rFonts w:ascii="仿宋_GB2312" w:hAnsi="宋体" w:eastAsia="仿宋_GB2312" w:cs="仿宋_GB2312"/>
                <w:color w:val="000000"/>
                <w:kern w:val="0"/>
                <w:sz w:val="24"/>
                <w:szCs w:val="24"/>
                <w:lang w:val="en-US" w:eastAsia="zh-CN" w:bidi="ar"/>
              </w:rPr>
              <w:t>自动驾驶处理器直接供电3.3V。</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w:t>
            </w:r>
            <w:r>
              <w:rPr>
                <w:rFonts w:ascii="仿宋_GB2312" w:hAnsi="宋体" w:eastAsia="仿宋_GB2312" w:cs="仿宋_GB2312"/>
                <w:color w:val="000000"/>
                <w:kern w:val="0"/>
                <w:sz w:val="24"/>
                <w:szCs w:val="24"/>
                <w:lang w:val="en-US" w:eastAsia="zh-CN" w:bidi="ar"/>
              </w:rPr>
              <w:t>一个带终端电阻，一个不带。</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4）使用排线连接收发器盒，插接拆卸方便，连接牢靠。</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（10）</w:t>
            </w:r>
            <w:r>
              <w:rPr>
                <w:rFonts w:ascii="仿宋_GB2312" w:hAnsi="宋体" w:eastAsia="仿宋_GB2312" w:cs="仿宋_GB2312"/>
                <w:color w:val="000000"/>
                <w:kern w:val="0"/>
                <w:sz w:val="24"/>
                <w:szCs w:val="24"/>
                <w:lang w:val="en-US" w:eastAsia="zh-CN" w:bidi="ar"/>
              </w:rPr>
              <w:t xml:space="preserve">操作平台装调车架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可用于激光雷达、</w:t>
            </w:r>
            <w:r>
              <w:rPr>
                <w:rFonts w:hint="eastAsia" w:ascii="仿宋_GB2312" w:hAnsi="宋体" w:eastAsia="仿宋_GB2312" w:cs="仿宋_GB2312"/>
                <w:color w:val="000000"/>
                <w:kern w:val="0"/>
                <w:sz w:val="24"/>
                <w:szCs w:val="24"/>
                <w:lang w:val="en-US" w:eastAsia="zh-CN" w:bidi="ar"/>
              </w:rPr>
              <w:t>超声</w:t>
            </w:r>
            <w:r>
              <w:rPr>
                <w:rFonts w:ascii="仿宋_GB2312" w:hAnsi="宋体" w:eastAsia="仿宋_GB2312" w:cs="仿宋_GB2312"/>
                <w:color w:val="000000"/>
                <w:kern w:val="0"/>
                <w:sz w:val="24"/>
                <w:szCs w:val="24"/>
                <w:lang w:val="en-US" w:eastAsia="zh-CN" w:bidi="ar"/>
              </w:rPr>
              <w:t>波雷达、定位模块、双目相机</w:t>
            </w:r>
            <w:r>
              <w:rPr>
                <w:rFonts w:hint="eastAsia" w:ascii="仿宋_GB2312" w:hAnsi="宋体" w:eastAsia="仿宋_GB2312" w:cs="仿宋_GB2312"/>
                <w:color w:val="000000"/>
                <w:kern w:val="0"/>
                <w:sz w:val="24"/>
                <w:szCs w:val="24"/>
                <w:lang w:val="en-US" w:eastAsia="zh-CN" w:bidi="ar"/>
              </w:rPr>
              <w:t>、毫米波雷达</w:t>
            </w:r>
            <w:r>
              <w:rPr>
                <w:rFonts w:ascii="仿宋_GB2312" w:hAnsi="宋体" w:eastAsia="仿宋_GB2312" w:cs="仿宋_GB2312"/>
                <w:color w:val="000000"/>
                <w:kern w:val="0"/>
                <w:sz w:val="24"/>
                <w:szCs w:val="24"/>
                <w:lang w:val="en-US" w:eastAsia="zh-CN" w:bidi="ar"/>
              </w:rPr>
              <w:t>和工业显示屏等传感器及设备的位置安装。</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（11） 自动驾驶算法</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1）自动驾驶方案能根据不同类型传感器的感知特点，对周围环境感知信息进行融合，结合提前录制好的地图环境，能够满足特定场景中的自动驾驶功能；</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2）系统可单独对车辆模型参数进行配置（例如车辆长、宽、高、转弯半径、最大转向弧度等参数）便于车辆对横向控制策略进行优化；</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3）能实现自动启停、循迹行驶、紧急制动和红绿灯识别等自动驾驶功能；</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4）系统代码可开源，例如感知模块，监控模块，人机交互模块，规划模块、控制模块等，可自主更改算法；</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5）系统可对PID、最大最小停障距离、最小变道长度等参数进行实时调节；</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6）系统可调整规划模块相应参数如：偏离路径重新规划阈值、横向道路点数划分等。</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7）各传感器能和智能车底层控制算法匹配并完成环境感知功能。</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激光雷达具有多位置安装机构，能与智能车辆台架匹配进行安装和调试操作</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(12)零配件</w:t>
            </w:r>
            <w:r>
              <w:rPr>
                <w:rFonts w:ascii="仿宋_GB2312" w:hAnsi="宋体" w:eastAsia="仿宋_GB2312" w:cs="仿宋_GB2312"/>
                <w:color w:val="000000"/>
                <w:kern w:val="0"/>
                <w:sz w:val="24"/>
                <w:szCs w:val="24"/>
                <w:lang w:val="en-US" w:eastAsia="zh-CN" w:bidi="ar"/>
              </w:rPr>
              <w:t>技术参数</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1）定制激光雷达连接线束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2）超声波连接线束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w:t>
            </w:r>
            <w:r>
              <w:rPr>
                <w:rFonts w:ascii="仿宋_GB2312" w:hAnsi="宋体" w:eastAsia="仿宋_GB2312" w:cs="仿宋_GB2312"/>
                <w:color w:val="000000"/>
                <w:kern w:val="0"/>
                <w:sz w:val="24"/>
                <w:szCs w:val="24"/>
                <w:lang w:val="en-US" w:eastAsia="zh-CN" w:bidi="ar"/>
              </w:rPr>
              <w:t>双目相机</w:t>
            </w:r>
            <w:r>
              <w:rPr>
                <w:rFonts w:hint="eastAsia" w:ascii="仿宋_GB2312" w:hAnsi="宋体" w:eastAsia="仿宋_GB2312" w:cs="仿宋_GB2312"/>
                <w:color w:val="000000"/>
                <w:kern w:val="0"/>
                <w:sz w:val="24"/>
                <w:szCs w:val="24"/>
                <w:lang w:val="en-US" w:eastAsia="zh-CN" w:bidi="ar"/>
              </w:rPr>
              <w:t>连接线束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4）组合导航连接线束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5）</w:t>
            </w:r>
            <w:r>
              <w:rPr>
                <w:rFonts w:ascii="仿宋_GB2312" w:hAnsi="宋体" w:eastAsia="仿宋_GB2312" w:cs="仿宋_GB2312"/>
                <w:color w:val="000000"/>
                <w:kern w:val="0"/>
                <w:sz w:val="24"/>
                <w:szCs w:val="24"/>
                <w:lang w:val="en-US" w:eastAsia="zh-CN" w:bidi="ar"/>
              </w:rPr>
              <w:t>处理器</w:t>
            </w:r>
            <w:r>
              <w:rPr>
                <w:rFonts w:hint="eastAsia" w:ascii="仿宋_GB2312" w:hAnsi="宋体" w:eastAsia="仿宋_GB2312" w:cs="仿宋_GB2312"/>
                <w:color w:val="000000"/>
                <w:kern w:val="0"/>
                <w:sz w:val="24"/>
                <w:szCs w:val="24"/>
                <w:lang w:val="en-US" w:eastAsia="zh-CN" w:bidi="ar"/>
              </w:rPr>
              <w:t>电源线</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6）高清线H</w:t>
            </w:r>
            <w:r>
              <w:rPr>
                <w:rFonts w:ascii="仿宋_GB2312" w:hAnsi="宋体" w:eastAsia="仿宋_GB2312" w:cs="仿宋_GB2312"/>
                <w:color w:val="000000"/>
                <w:kern w:val="0"/>
                <w:sz w:val="24"/>
                <w:szCs w:val="24"/>
                <w:lang w:val="en-US" w:eastAsia="zh-CN" w:bidi="ar"/>
              </w:rPr>
              <w:t>DMI</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7）网线*3</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8）路由器电源线</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9）激光雷达紧固件</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10）超声波雷达紧固件</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11）</w:t>
            </w:r>
            <w:r>
              <w:rPr>
                <w:rFonts w:ascii="仿宋_GB2312" w:hAnsi="宋体" w:eastAsia="仿宋_GB2312" w:cs="仿宋_GB2312"/>
                <w:color w:val="000000"/>
                <w:kern w:val="0"/>
                <w:sz w:val="24"/>
                <w:szCs w:val="24"/>
                <w:lang w:val="en-US" w:eastAsia="zh-CN" w:bidi="ar"/>
              </w:rPr>
              <w:t>双目相机</w:t>
            </w:r>
            <w:r>
              <w:rPr>
                <w:rFonts w:hint="eastAsia" w:ascii="仿宋_GB2312" w:hAnsi="宋体" w:eastAsia="仿宋_GB2312" w:cs="仿宋_GB2312"/>
                <w:color w:val="000000"/>
                <w:kern w:val="0"/>
                <w:sz w:val="24"/>
                <w:szCs w:val="24"/>
                <w:lang w:val="en-US" w:eastAsia="zh-CN" w:bidi="ar"/>
              </w:rPr>
              <w:t>紧固件</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12）组合导航紧固件</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13）</w:t>
            </w:r>
            <w:r>
              <w:rPr>
                <w:rFonts w:ascii="仿宋_GB2312" w:hAnsi="宋体" w:eastAsia="仿宋_GB2312" w:cs="仿宋_GB2312"/>
                <w:color w:val="000000"/>
                <w:kern w:val="0"/>
                <w:sz w:val="24"/>
                <w:szCs w:val="24"/>
                <w:lang w:val="en-US" w:eastAsia="zh-CN" w:bidi="ar"/>
              </w:rPr>
              <w:t>处理器</w:t>
            </w:r>
            <w:r>
              <w:rPr>
                <w:rFonts w:hint="eastAsia" w:ascii="仿宋_GB2312" w:hAnsi="宋体" w:eastAsia="仿宋_GB2312" w:cs="仿宋_GB2312"/>
                <w:color w:val="000000"/>
                <w:kern w:val="0"/>
                <w:sz w:val="24"/>
                <w:szCs w:val="24"/>
                <w:lang w:val="en-US" w:eastAsia="zh-CN" w:bidi="ar"/>
              </w:rPr>
              <w:t>紧固件</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14）路由器紧固件</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2、综合道路</w:t>
            </w:r>
            <w:r>
              <w:rPr>
                <w:rFonts w:ascii="仿宋_GB2312" w:hAnsi="宋体" w:eastAsia="仿宋_GB2312" w:cs="仿宋_GB2312"/>
                <w:color w:val="000000"/>
                <w:kern w:val="0"/>
                <w:sz w:val="24"/>
                <w:szCs w:val="24"/>
                <w:lang w:val="en-US" w:eastAsia="zh-CN" w:bidi="ar"/>
              </w:rPr>
              <w:t>测试设施</w:t>
            </w:r>
            <w:r>
              <w:rPr>
                <w:rFonts w:hint="eastAsia" w:ascii="仿宋_GB2312" w:hAnsi="宋体" w:eastAsia="仿宋_GB2312" w:cs="仿宋_GB2312"/>
                <w:color w:val="000000"/>
                <w:kern w:val="0"/>
                <w:sz w:val="24"/>
                <w:szCs w:val="24"/>
                <w:lang w:val="en-US" w:eastAsia="zh-CN" w:bidi="ar"/>
              </w:rPr>
              <w:t>硬件平台</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（1）定制障碍物</w:t>
            </w:r>
            <w:r>
              <w:rPr>
                <w:rFonts w:ascii="仿宋_GB2312" w:hAnsi="宋体" w:eastAsia="仿宋_GB2312" w:cs="仿宋_GB2312"/>
                <w:color w:val="000000"/>
                <w:kern w:val="0"/>
                <w:sz w:val="24"/>
                <w:szCs w:val="24"/>
                <w:lang w:val="en-US" w:eastAsia="zh-CN" w:bidi="ar"/>
              </w:rPr>
              <w:t xml:space="preserve"> </w:t>
            </w:r>
            <w:r>
              <w:rPr>
                <w:rFonts w:hint="eastAsia" w:ascii="仿宋_GB2312" w:hAnsi="宋体" w:eastAsia="仿宋_GB2312" w:cs="仿宋_GB2312"/>
                <w:color w:val="000000"/>
                <w:kern w:val="0"/>
                <w:sz w:val="24"/>
                <w:szCs w:val="24"/>
                <w:lang w:val="en-US" w:eastAsia="zh-CN" w:bidi="ar"/>
              </w:rPr>
              <w:t>1.外形尺寸：≥</w:t>
            </w:r>
            <w:r>
              <w:rPr>
                <w:rFonts w:ascii="仿宋_GB2312" w:hAnsi="宋体" w:eastAsia="仿宋_GB2312" w:cs="仿宋_GB2312"/>
                <w:color w:val="000000"/>
                <w:kern w:val="0"/>
                <w:sz w:val="24"/>
                <w:szCs w:val="24"/>
                <w:lang w:val="en-US" w:eastAsia="zh-CN" w:bidi="ar"/>
              </w:rPr>
              <w:t>L</w:t>
            </w:r>
            <w:r>
              <w:rPr>
                <w:rFonts w:hint="eastAsia" w:ascii="仿宋_GB2312" w:hAnsi="宋体" w:eastAsia="仿宋_GB2312" w:cs="仿宋_GB2312"/>
                <w:color w:val="000000"/>
                <w:kern w:val="0"/>
                <w:sz w:val="24"/>
                <w:szCs w:val="24"/>
                <w:lang w:val="en-US" w:eastAsia="zh-CN" w:bidi="ar"/>
              </w:rPr>
              <w:t>500</w:t>
            </w:r>
            <w:r>
              <w:rPr>
                <w:rFonts w:ascii="仿宋_GB2312" w:hAnsi="宋体" w:eastAsia="仿宋_GB2312" w:cs="仿宋_GB2312"/>
                <w:color w:val="000000"/>
                <w:kern w:val="0"/>
                <w:sz w:val="24"/>
                <w:szCs w:val="24"/>
                <w:lang w:val="en-US" w:eastAsia="zh-CN" w:bidi="ar"/>
              </w:rPr>
              <w:t xml:space="preserve"> * W</w:t>
            </w:r>
            <w:r>
              <w:rPr>
                <w:rFonts w:hint="eastAsia" w:ascii="仿宋_GB2312" w:hAnsi="宋体" w:eastAsia="仿宋_GB2312" w:cs="仿宋_GB2312"/>
                <w:color w:val="000000"/>
                <w:kern w:val="0"/>
                <w:sz w:val="24"/>
                <w:szCs w:val="24"/>
                <w:lang w:val="en-US" w:eastAsia="zh-CN" w:bidi="ar"/>
              </w:rPr>
              <w:t>5</w:t>
            </w:r>
            <w:r>
              <w:rPr>
                <w:rFonts w:ascii="仿宋_GB2312" w:hAnsi="宋体" w:eastAsia="仿宋_GB2312" w:cs="仿宋_GB2312"/>
                <w:color w:val="000000"/>
                <w:kern w:val="0"/>
                <w:sz w:val="24"/>
                <w:szCs w:val="24"/>
                <w:lang w:val="en-US" w:eastAsia="zh-CN" w:bidi="ar"/>
              </w:rPr>
              <w:t>0</w:t>
            </w:r>
            <w:r>
              <w:rPr>
                <w:rFonts w:hint="eastAsia" w:ascii="仿宋_GB2312" w:hAnsi="宋体" w:eastAsia="仿宋_GB2312" w:cs="仿宋_GB2312"/>
                <w:color w:val="000000"/>
                <w:kern w:val="0"/>
                <w:sz w:val="24"/>
                <w:szCs w:val="24"/>
                <w:lang w:val="en-US" w:eastAsia="zh-CN" w:bidi="ar"/>
              </w:rPr>
              <w:t>0</w:t>
            </w:r>
            <w:r>
              <w:rPr>
                <w:rFonts w:ascii="仿宋_GB2312" w:hAnsi="宋体" w:eastAsia="仿宋_GB2312" w:cs="仿宋_GB2312"/>
                <w:color w:val="000000"/>
                <w:kern w:val="0"/>
                <w:sz w:val="24"/>
                <w:szCs w:val="24"/>
                <w:lang w:val="en-US" w:eastAsia="zh-CN" w:bidi="ar"/>
              </w:rPr>
              <w:t xml:space="preserve"> * H1</w:t>
            </w:r>
            <w:r>
              <w:rPr>
                <w:rFonts w:hint="eastAsia" w:ascii="仿宋_GB2312" w:hAnsi="宋体" w:eastAsia="仿宋_GB2312" w:cs="仿宋_GB2312"/>
                <w:color w:val="000000"/>
                <w:kern w:val="0"/>
                <w:sz w:val="24"/>
                <w:szCs w:val="24"/>
                <w:lang w:val="en-US" w:eastAsia="zh-CN" w:bidi="ar"/>
              </w:rPr>
              <w:t>75</w:t>
            </w:r>
            <w:r>
              <w:rPr>
                <w:rFonts w:ascii="仿宋_GB2312" w:hAnsi="宋体" w:eastAsia="仿宋_GB2312" w:cs="仿宋_GB2312"/>
                <w:color w:val="000000"/>
                <w:kern w:val="0"/>
                <w:sz w:val="24"/>
                <w:szCs w:val="24"/>
                <w:lang w:val="en-US" w:eastAsia="zh-CN" w:bidi="ar"/>
              </w:rPr>
              <w:t>0</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（2）底座：底座可移动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（3）定制交通灯</w:t>
            </w:r>
            <w:r>
              <w:rPr>
                <w:rFonts w:ascii="仿宋_GB2312" w:hAnsi="宋体" w:eastAsia="仿宋_GB2312" w:cs="仿宋_GB2312"/>
                <w:color w:val="000000"/>
                <w:kern w:val="0"/>
                <w:sz w:val="24"/>
                <w:szCs w:val="24"/>
                <w:lang w:val="en-US" w:eastAsia="zh-CN" w:bidi="ar"/>
              </w:rPr>
              <w:t xml:space="preserve"> </w:t>
            </w:r>
            <w:r>
              <w:rPr>
                <w:rFonts w:hint="eastAsia" w:ascii="仿宋_GB2312" w:hAnsi="宋体" w:eastAsia="仿宋_GB2312" w:cs="仿宋_GB2312"/>
                <w:color w:val="000000"/>
                <w:kern w:val="0"/>
                <w:sz w:val="24"/>
                <w:szCs w:val="24"/>
                <w:lang w:val="en-US" w:eastAsia="zh-CN" w:bidi="ar"/>
              </w:rPr>
              <w:t>1.形式：单面三灯</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（4）灯盘规格：300红黄蓝满屏三灯，单色≤15w</w:t>
            </w:r>
            <w:r>
              <w:rPr>
                <w:rFonts w:ascii="仿宋_GB2312" w:hAnsi="宋体" w:eastAsia="仿宋_GB2312" w:cs="仿宋_GB2312"/>
                <w:color w:val="000000"/>
                <w:kern w:val="0"/>
                <w:sz w:val="24"/>
                <w:szCs w:val="24"/>
                <w:lang w:val="en-US" w:eastAsia="zh-CN" w:bidi="ar"/>
              </w:rPr>
              <w:t xml:space="preserve">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（5）蓄电池：48AH 12V免维护锂电池</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（6）充电器：满足5AH锂电池专用充电器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（7）能通过配置自定义协议来与通信件间进行数据交互</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（8）能获取并实时反馈当前红绿灯工作状态</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3、虚拟仿真测试系统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w:t>
            </w:r>
            <w:r>
              <w:rPr>
                <w:rFonts w:ascii="仿宋_GB2312" w:hAnsi="宋体" w:eastAsia="仿宋_GB2312" w:cs="仿宋_GB2312"/>
                <w:color w:val="000000"/>
                <w:kern w:val="0"/>
                <w:sz w:val="24"/>
                <w:szCs w:val="24"/>
                <w:lang w:val="en-US" w:eastAsia="zh-CN" w:bidi="ar"/>
              </w:rPr>
              <w:t>自动驾驶仿真平台</w:t>
            </w:r>
            <w:r>
              <w:rPr>
                <w:rFonts w:hint="eastAsia" w:ascii="仿宋_GB2312" w:hAnsi="宋体" w:eastAsia="仿宋_GB2312" w:cs="仿宋_GB2312"/>
                <w:color w:val="000000"/>
                <w:kern w:val="0"/>
                <w:sz w:val="24"/>
                <w:szCs w:val="24"/>
                <w:lang w:val="en-US" w:eastAsia="zh-CN" w:bidi="ar"/>
              </w:rPr>
              <w:t>中配备真实车辆模型。</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（2）支持虚拟车辆各传感器的随机故障设置，也可进行自定义故障设置，可多故障叠加并出现故障现象。</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（3）测试场景库：</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内置田字形虚拟城市道路测试场景，包含随机出现的车辆与行人、双向双车道、交叉路口与交通灯等交通要素。</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（4）仿真分析：</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1）虚拟仿真道路测试场景下的不同传感器故障对应的故障现象；</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2）实时三维展示仿真过程，可切换不同视角查看及手动控制车辆行驶；</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3）根据故障现象选择对应传感器排故并输出得分分值报告；</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（5）任务管理：支持任务连续性测试。</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（6）支持故障后的排查过程，可在仿真场景下检查各传感器的线路故障以及参数设置故障，通过调整参数可观察各传感器的感知变化并实时记录操作过程。</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（7）支持整车相关参数的设置，并在场景中可按设置参数进行功能测试。</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（8）支持考核完成后，自动生成电子评分工单。</w:t>
            </w:r>
          </w:p>
          <w:p>
            <w:pPr>
              <w:keepNext w:val="0"/>
              <w:keepLines w:val="0"/>
              <w:widowControl/>
              <w:suppressLineNumbers w:val="0"/>
              <w:jc w:val="both"/>
              <w:rPr>
                <w:rFonts w:ascii="仿宋_GB2312" w:hAnsi="宋体" w:eastAsia="仿宋_GB2312" w:cs="仿宋_GB2312"/>
                <w:color w:val="000000"/>
                <w:kern w:val="0"/>
                <w:sz w:val="24"/>
                <w:szCs w:val="24"/>
                <w:lang w:val="en-US" w:eastAsia="zh-Hans" w:bidi="ar"/>
              </w:rPr>
            </w:pPr>
            <w:r>
              <w:rPr>
                <w:rFonts w:hint="eastAsia" w:ascii="仿宋_GB2312" w:hAnsi="宋体" w:eastAsia="仿宋_GB2312" w:cs="仿宋_GB2312"/>
                <w:color w:val="000000"/>
                <w:kern w:val="0"/>
                <w:sz w:val="24"/>
                <w:szCs w:val="24"/>
                <w:lang w:val="en-US" w:eastAsia="zh-CN" w:bidi="ar"/>
              </w:rPr>
              <w:t>（9）</w:t>
            </w:r>
            <w:r>
              <w:rPr>
                <w:rFonts w:ascii="仿宋_GB2312" w:hAnsi="宋体" w:eastAsia="仿宋_GB2312" w:cs="仿宋_GB2312"/>
                <w:color w:val="000000"/>
                <w:kern w:val="0"/>
                <w:sz w:val="24"/>
                <w:szCs w:val="24"/>
                <w:lang w:val="en-US" w:eastAsia="zh-Hans" w:bidi="ar"/>
              </w:rPr>
              <w:t>自动驾驶排故仿真平台</w:t>
            </w:r>
            <w:r>
              <w:rPr>
                <w:rFonts w:hint="eastAsia" w:ascii="仿宋_GB2312" w:hAnsi="宋体" w:eastAsia="仿宋_GB2312" w:cs="仿宋_GB2312"/>
                <w:color w:val="000000"/>
                <w:kern w:val="0"/>
                <w:sz w:val="24"/>
                <w:szCs w:val="24"/>
                <w:lang w:val="en-US" w:eastAsia="zh-Hans" w:bidi="ar"/>
              </w:rPr>
              <w:t>可设置故障数量</w:t>
            </w:r>
            <w:r>
              <w:rPr>
                <w:rFonts w:ascii="仿宋_GB2312" w:hAnsi="宋体" w:eastAsia="仿宋_GB2312" w:cs="仿宋_GB2312"/>
                <w:color w:val="000000"/>
                <w:kern w:val="0"/>
                <w:sz w:val="24"/>
                <w:szCs w:val="24"/>
                <w:lang w:val="en-US" w:eastAsia="zh-CN" w:bidi="ar"/>
              </w:rPr>
              <w:t>≥22个</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（10）运行环境要求满足使用W</w:t>
            </w:r>
            <w:r>
              <w:rPr>
                <w:rFonts w:ascii="仿宋_GB2312" w:hAnsi="宋体" w:eastAsia="仿宋_GB2312" w:cs="仿宋_GB2312"/>
                <w:color w:val="000000"/>
                <w:kern w:val="0"/>
                <w:sz w:val="24"/>
                <w:szCs w:val="24"/>
                <w:lang w:val="en-US" w:eastAsia="zh-CN" w:bidi="ar"/>
              </w:rPr>
              <w:t>IN10</w:t>
            </w:r>
            <w:r>
              <w:rPr>
                <w:rFonts w:hint="eastAsia" w:ascii="仿宋_GB2312" w:hAnsi="宋体" w:eastAsia="仿宋_GB2312" w:cs="仿宋_GB2312"/>
                <w:color w:val="000000"/>
                <w:kern w:val="0"/>
                <w:sz w:val="24"/>
                <w:szCs w:val="24"/>
                <w:lang w:val="en-US" w:eastAsia="zh-CN" w:bidi="ar"/>
              </w:rPr>
              <w:t>系统,处理器I</w:t>
            </w:r>
            <w:r>
              <w:rPr>
                <w:rFonts w:ascii="仿宋_GB2312" w:hAnsi="宋体" w:eastAsia="仿宋_GB2312" w:cs="仿宋_GB2312"/>
                <w:color w:val="000000"/>
                <w:kern w:val="0"/>
                <w:sz w:val="24"/>
                <w:szCs w:val="24"/>
                <w:lang w:val="en-US" w:eastAsia="zh-CN" w:bidi="ar"/>
              </w:rPr>
              <w:t>5 9400</w:t>
            </w:r>
            <w:r>
              <w:rPr>
                <w:rFonts w:hint="eastAsia" w:ascii="仿宋_GB2312" w:hAnsi="宋体" w:eastAsia="仿宋_GB2312" w:cs="仿宋_GB2312"/>
                <w:color w:val="000000"/>
                <w:kern w:val="0"/>
                <w:sz w:val="24"/>
                <w:szCs w:val="24"/>
                <w:lang w:val="en-US" w:eastAsia="zh-CN" w:bidi="ar"/>
              </w:rPr>
              <w:t>及以上,内存≥8</w:t>
            </w:r>
            <w:r>
              <w:rPr>
                <w:rFonts w:ascii="仿宋_GB2312" w:hAnsi="宋体" w:eastAsia="仿宋_GB2312" w:cs="仿宋_GB2312"/>
                <w:color w:val="000000"/>
                <w:kern w:val="0"/>
                <w:sz w:val="24"/>
                <w:szCs w:val="24"/>
                <w:lang w:val="en-US" w:eastAsia="zh-CN" w:bidi="ar"/>
              </w:rPr>
              <w:t>G</w:t>
            </w:r>
            <w:r>
              <w:rPr>
                <w:rFonts w:hint="eastAsia" w:ascii="仿宋_GB2312" w:hAnsi="宋体" w:eastAsia="仿宋_GB2312" w:cs="仿宋_GB2312"/>
                <w:color w:val="000000"/>
                <w:kern w:val="0"/>
                <w:sz w:val="24"/>
                <w:szCs w:val="24"/>
                <w:lang w:val="en-US" w:eastAsia="zh-CN" w:bidi="ar"/>
              </w:rPr>
              <w:t>硬盘≥512</w:t>
            </w:r>
            <w:r>
              <w:rPr>
                <w:rFonts w:ascii="仿宋_GB2312" w:hAnsi="宋体" w:eastAsia="仿宋_GB2312" w:cs="仿宋_GB2312"/>
                <w:color w:val="000000"/>
                <w:kern w:val="0"/>
                <w:sz w:val="24"/>
                <w:szCs w:val="24"/>
                <w:lang w:val="en-US" w:eastAsia="zh-CN" w:bidi="ar"/>
              </w:rPr>
              <w:t>G</w:t>
            </w:r>
            <w:r>
              <w:rPr>
                <w:rFonts w:hint="eastAsia" w:ascii="仿宋_GB2312" w:hAnsi="宋体" w:eastAsia="仿宋_GB2312" w:cs="仿宋_GB2312"/>
                <w:color w:val="000000"/>
                <w:kern w:val="0"/>
                <w:sz w:val="24"/>
                <w:szCs w:val="24"/>
                <w:lang w:val="en-US" w:eastAsia="zh-CN" w:bidi="ar"/>
              </w:rPr>
              <w:t>.显卡G</w:t>
            </w:r>
            <w:r>
              <w:rPr>
                <w:rFonts w:ascii="仿宋_GB2312" w:hAnsi="宋体" w:eastAsia="仿宋_GB2312" w:cs="仿宋_GB2312"/>
                <w:color w:val="000000"/>
                <w:kern w:val="0"/>
                <w:sz w:val="24"/>
                <w:szCs w:val="24"/>
                <w:lang w:val="en-US" w:eastAsia="zh-CN" w:bidi="ar"/>
              </w:rPr>
              <w:t>TX1080</w:t>
            </w:r>
            <w:r>
              <w:rPr>
                <w:rFonts w:hint="eastAsia" w:ascii="仿宋_GB2312" w:hAnsi="宋体" w:eastAsia="仿宋_GB2312" w:cs="仿宋_GB2312"/>
                <w:color w:val="000000"/>
                <w:kern w:val="0"/>
                <w:sz w:val="24"/>
                <w:szCs w:val="24"/>
                <w:lang w:val="en-US" w:eastAsia="zh-CN" w:bidi="ar"/>
              </w:rPr>
              <w:t>，显</w:t>
            </w:r>
            <w:r>
              <w:rPr>
                <w:rFonts w:ascii="仿宋_GB2312" w:hAnsi="宋体" w:eastAsia="仿宋_GB2312" w:cs="仿宋_GB2312"/>
                <w:color w:val="000000"/>
                <w:kern w:val="0"/>
                <w:sz w:val="24"/>
                <w:szCs w:val="24"/>
                <w:lang w:val="en-US" w:eastAsia="zh-CN" w:bidi="ar"/>
              </w:rPr>
              <w:t>存</w:t>
            </w:r>
            <w:r>
              <w:rPr>
                <w:rFonts w:hint="eastAsia" w:ascii="仿宋_GB2312" w:hAnsi="宋体" w:eastAsia="仿宋_GB2312" w:cs="仿宋_GB2312"/>
                <w:color w:val="000000"/>
                <w:kern w:val="0"/>
                <w:sz w:val="24"/>
                <w:szCs w:val="24"/>
                <w:lang w:val="en-US" w:eastAsia="zh-CN" w:bidi="ar"/>
              </w:rPr>
              <w:t>≥4</w:t>
            </w:r>
            <w:r>
              <w:rPr>
                <w:rFonts w:ascii="仿宋_GB2312" w:hAnsi="宋体" w:eastAsia="仿宋_GB2312" w:cs="仿宋_GB2312"/>
                <w:color w:val="000000"/>
                <w:kern w:val="0"/>
                <w:sz w:val="24"/>
                <w:szCs w:val="24"/>
                <w:lang w:val="en-US" w:eastAsia="zh-CN" w:bidi="ar"/>
              </w:rPr>
              <w:t>G</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能源类型：纯电动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功能要求：满足智能网联技术功能的智能车辆，能够完成高精建图及基于交通规则的自动驾驶等功能,能够录制地图、自动驾驶、识别交通信号灯、主动避障、自动紧急制动、车道线识别等功能；</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直线运行速度：10--60km/h；</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续航里程：≥20km；</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w:t>
            </w:r>
            <w:r>
              <w:rPr>
                <w:rFonts w:hint="eastAsia" w:ascii="仿宋_GB2312" w:hAnsi="宋体" w:eastAsia="仿宋_GB2312" w:cs="仿宋_GB2312"/>
                <w:color w:val="000000"/>
                <w:kern w:val="0"/>
                <w:sz w:val="24"/>
                <w:szCs w:val="24"/>
                <w:lang w:val="en-US" w:eastAsia="zh-CN" w:bidi="ar"/>
              </w:rPr>
              <w:t>11</w:t>
            </w:r>
            <w:r>
              <w:rPr>
                <w:rFonts w:ascii="仿宋_GB2312" w:hAnsi="宋体" w:eastAsia="仿宋_GB2312" w:cs="仿宋_GB2312"/>
                <w:color w:val="000000"/>
                <w:kern w:val="0"/>
                <w:sz w:val="24"/>
                <w:szCs w:val="24"/>
                <w:lang w:val="en-US" w:eastAsia="zh-CN" w:bidi="ar"/>
              </w:rPr>
              <w:t>）爬坡能力：≥20% 2.线控驱动/制动系统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驱动方式：电机驱动；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控制方式：扭矩控制/转速控制；</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制动方式：线控液压制动，电压12V 3.线控转向系统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电动供电：12V；</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控制方式：转速/转矩/位置；</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系统具有过载保护；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4.动力电池系统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BMS系统:具备过充、过放、过压、短路、高温等保护功能；</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保护通讯接口:支持CAN 总线方式；</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可读取电池主要参数:包含且不少于剩余电量、实时电流、当前电压、当前温度、自定义报警信息等；</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可自定义报警信息。</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5.线控底盘故障设置系统</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可针对线控转向、线控制动、线控驱动等进行故障设置。</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6.其他</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安全性：具备车身急停和远程急停开关，能够</w:t>
            </w:r>
          </w:p>
          <w:p>
            <w:pPr>
              <w:keepNext w:val="0"/>
              <w:keepLines w:val="0"/>
              <w:widowControl/>
              <w:suppressLineNumbers w:val="0"/>
              <w:jc w:val="both"/>
              <w:rPr>
                <w:rFonts w:hint="eastAsia"/>
                <w:lang w:val="en-US" w:eastAsia="zh-CN"/>
              </w:rPr>
            </w:pPr>
            <w:r>
              <w:rPr>
                <w:rFonts w:ascii="仿宋_GB2312" w:hAnsi="宋体" w:eastAsia="仿宋_GB2312" w:cs="仿宋_GB2312"/>
                <w:color w:val="000000"/>
                <w:kern w:val="0"/>
                <w:sz w:val="24"/>
                <w:szCs w:val="24"/>
                <w:lang w:val="en-US" w:eastAsia="zh-CN" w:bidi="ar"/>
              </w:rPr>
              <w:t>紧急制动。</w:t>
            </w:r>
          </w:p>
        </w:tc>
        <w:tc>
          <w:tcPr>
            <w:tcW w:w="958" w:type="dxa"/>
            <w:vAlign w:val="center"/>
          </w:tcPr>
          <w:p>
            <w:pPr>
              <w:pStyle w:val="34"/>
              <w:spacing w:before="6" w:line="242" w:lineRule="auto"/>
              <w:ind w:left="242" w:right="163" w:hanging="60"/>
              <w:jc w:val="both"/>
              <w:rPr>
                <w:rFonts w:hint="eastAsia" w:eastAsia="宋体"/>
                <w:sz w:val="24"/>
                <w:lang w:val="en-US" w:eastAsia="zh-CN"/>
              </w:rPr>
            </w:pPr>
            <w:r>
              <w:rPr>
                <w:rFonts w:hint="eastAsia" w:eastAsia="宋体"/>
                <w:sz w:val="24"/>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万用接线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盒</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主要强调各种规格的“T”型线，能满足轿</w:t>
            </w:r>
            <w:r>
              <w:rPr>
                <w:rFonts w:hint="eastAsia" w:ascii="仿宋_GB2312" w:hAnsi="宋体" w:eastAsia="仿宋_GB2312" w:cs="仿宋_GB2312"/>
                <w:color w:val="000000"/>
                <w:kern w:val="0"/>
                <w:sz w:val="24"/>
                <w:szCs w:val="24"/>
                <w:lang w:val="en-US" w:eastAsia="zh-CN" w:bidi="ar"/>
              </w:rPr>
              <w:t>车竞赛系统的所有保险丝、继电器、传感器、执行器插接测量之用，要有足够的通流能力和可重复插接使用能力。</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万用表</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要求满足以下技术参数：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1.适用汽车电器元件检测,满足 CAT III 1000V 及以上等级。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2.可测试直流电压（DC1000V）、交流电压（AC750V）、电阻、电容、频率、直流电流、交流电流、二极管测试、通断报警、低压显示、单位符号显示、数据保持、自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动关机、过载保护、输入阻抗、采样频率、 交流频响、操作方式、显示计数、钳口张开、电源等功能。</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绝缘电阻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测试仪</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 xml:space="preserve">要求满足以下技术参数：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1.适用汽车电器元件检测,满足 CAT III 1000V 及以上等级。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2.绝缘测试电压：50V、100V、250V、500V、1000V。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3.带有通过/失败（比较）功能、保存/调用功能、远程测试探头、带电电路检测功能、容性电压自动放电功能、自动关闭功能。</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347"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c>
          <w:tcPr>
            <w:tcW w:w="1313"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p>
        </w:tc>
        <w:tc>
          <w:tcPr>
            <w:tcW w:w="4948" w:type="dxa"/>
            <w:vAlign w:val="center"/>
          </w:tcPr>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ascii="仿宋_GB2312" w:hAnsi="宋体" w:eastAsia="仿宋_GB2312" w:cs="仿宋_GB2312"/>
                <w:color w:val="000000"/>
                <w:kern w:val="0"/>
                <w:sz w:val="24"/>
                <w:szCs w:val="24"/>
                <w:lang w:val="en-US" w:eastAsia="zh-CN" w:bidi="ar"/>
              </w:rPr>
              <w:t>包含抽屉柜形多功能工具手推车、</w:t>
            </w:r>
            <w:r>
              <w:rPr>
                <w:rFonts w:hint="eastAsia" w:ascii="仿宋_GB2312" w:hAnsi="宋体" w:eastAsia="仿宋_GB2312" w:cs="仿宋_GB2312"/>
                <w:color w:val="000000"/>
                <w:kern w:val="0"/>
                <w:sz w:val="24"/>
                <w:szCs w:val="24"/>
                <w:lang w:val="en-US" w:eastAsia="zh-CN" w:bidi="ar"/>
              </w:rPr>
              <w:t xml:space="preserve">零件车，主要包括：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1.1/2"六角短套筒：8-24,27,30,32mm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2.1/2"六角长套筒:10,12,13,14,17,19mm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3.1/2"气动套筒:17,19,21,23mm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4.1/2"系列 L 型扳手:250mm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5.接杆:1/2"*5",1/2"*10"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6.套筒转接头:1/2"M*3/8"F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7.万向接头:12.5mm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8.快速棘轮扳手:12.5mm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9.工作灯,充电线，油封安装工具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10.橡皮锤子：30mm，45mm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11.1/4"六角长套筒：4-8mm,10mm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12.1/4"六角短套筒（13 件）: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4,4.5,5,5.5,6-14mm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13.3/8"六角套筒:8-19mm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14.长套筒:10-15,17,19mm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15.L 型内六角扳手:1.5，2，2.5，3，4，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5，6，8，10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16.套筒：14，16，18mm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17.游标卡尺,钢直尺,棘轮扳手（大）,棘轮扳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手（中），棘轮扳手（小），旋具批头（12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个），转接头，转向接杆，转向接头1</w:t>
            </w:r>
            <w:r>
              <w:rPr>
                <w:rFonts w:ascii="仿宋_GB2312" w:hAnsi="宋体" w:eastAsia="仿宋_GB2312" w:cs="仿宋_GB2312"/>
                <w:color w:val="000000"/>
                <w:kern w:val="0"/>
                <w:sz w:val="24"/>
                <w:szCs w:val="24"/>
                <w:lang w:val="en-US" w:eastAsia="zh-CN" w:bidi="ar"/>
              </w:rPr>
              <w:t xml:space="preserve">20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18.10mm 系列旋具套筒：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T10，T15，T30，T40，T45，T50，T55，H3，H5，H6，H7，H10，PH1，PH2，PH3，P21,P22,P23,FD5.5,FD7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19.内花键套筒: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E8,E10,E11,E12,E14,E16,E18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20.双梅花扳手: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8*10mm,10*12mm,14*15mm,16*17mm,18 *19mm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21.两用扳手:8-19mm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22.豪华型 S2 穿心螺丝批:一字 6*100mm,十字 PH#2*10mm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23.钳子:6"尖嘴钳,8"鲤鱼钳,10"水泵钳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24.绝缘电工胶布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25.十字螺丝批: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PH0*60mm,PH1*80mm,PH2*100mm,PH3*150mm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26.一字螺丝批: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0.42*2.5*75mm,0.8*4*100mm,1*5.5*125mm,1.2*6.5*150mm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27.绝缘开口扳手:8mm，10mm，12-15mm 剥线钳,预制式扭力扳手(60-340N.m),预 制式扭力扳手(5-25N.m),胎纹笔,冰点测试仪,卡箍钳,卡簧钳（弯头）,深度尺,大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一字螺丝批,卡簧钳（直头） </w:t>
            </w:r>
          </w:p>
          <w:p>
            <w:pPr>
              <w:keepNext w:val="0"/>
              <w:keepLines w:val="0"/>
              <w:widowControl/>
              <w:suppressLineNumbers w:val="0"/>
              <w:jc w:val="both"/>
              <w:rPr>
                <w:rFonts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 xml:space="preserve">28.油壶,刮刀,预制式扭矩扳手,拉拔器, 磁力棒,异形钳,水管堵头（长，短），橡皮水管堵头（15 长，15 短，16 长，16 短，20 长，20 短） </w:t>
            </w:r>
          </w:p>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r>
              <w:rPr>
                <w:rFonts w:hint="eastAsia" w:ascii="仿宋_GB2312" w:hAnsi="宋体" w:eastAsia="仿宋_GB2312" w:cs="仿宋_GB2312"/>
                <w:color w:val="000000"/>
                <w:kern w:val="0"/>
                <w:sz w:val="24"/>
                <w:szCs w:val="24"/>
                <w:lang w:val="en-US" w:eastAsia="zh-CN" w:bidi="ar"/>
              </w:rPr>
              <w:t>29.手摇简式千斤顶,密封性测试水管（长）,密封性测试水管（短）,胎压表, 手摇简式千斤顶摇把,基准尺,生料带,气嘴头,胎压表气嘴头。</w:t>
            </w:r>
          </w:p>
        </w:tc>
        <w:tc>
          <w:tcPr>
            <w:tcW w:w="958" w:type="dxa"/>
            <w:vAlign w:val="center"/>
          </w:tcPr>
          <w:p>
            <w:pPr>
              <w:keepNext w:val="0"/>
              <w:keepLines w:val="0"/>
              <w:widowControl/>
              <w:suppressLineNumbers w:val="0"/>
              <w:jc w:val="both"/>
              <w:rPr>
                <w:rFonts w:hint="eastAsia" w:ascii="仿宋_GB2312" w:hAnsi="宋体" w:eastAsia="仿宋_GB2312" w:cs="仿宋_GB2312"/>
                <w:color w:val="000000"/>
                <w:kern w:val="0"/>
                <w:sz w:val="24"/>
                <w:szCs w:val="24"/>
                <w:lang w:val="en-US" w:eastAsia="zh-CN" w:bidi="ar"/>
              </w:rPr>
            </w:pPr>
          </w:p>
        </w:tc>
      </w:tr>
    </w:tbl>
    <w:p>
      <w:pPr>
        <w:jc w:val="both"/>
        <w:rPr>
          <w:sz w:val="24"/>
        </w:rPr>
      </w:pPr>
    </w:p>
    <w:p>
      <w:pPr>
        <w:pStyle w:val="2"/>
        <w:rPr>
          <w:sz w:val="24"/>
        </w:rPr>
      </w:pPr>
    </w:p>
    <w:p>
      <w:pPr>
        <w:spacing w:line="560" w:lineRule="exact"/>
        <w:rPr>
          <w:rFonts w:ascii="仿宋_GB2312" w:hAnsi="仿宋_GB2312" w:eastAsia="仿宋_GB2312" w:cs="宋体"/>
          <w:sz w:val="32"/>
          <w:szCs w:val="32"/>
        </w:rPr>
      </w:pPr>
      <w:r>
        <w:rPr>
          <w:rFonts w:hint="eastAsia" w:ascii="仿宋_GB2312" w:hAnsi="仿宋_GB2312" w:eastAsia="仿宋_GB2312" w:cs="宋体"/>
          <w:sz w:val="32"/>
          <w:szCs w:val="32"/>
        </w:rPr>
        <w:t>十一、成绩评定</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（一）评分标准</w:t>
      </w:r>
    </w:p>
    <w:p>
      <w:pPr>
        <w:spacing w:line="560" w:lineRule="exact"/>
        <w:ind w:firstLine="640" w:firstLineChars="200"/>
        <w:rPr>
          <w:rFonts w:ascii="仿宋_GB2312" w:hAnsi="仿宋_GB2312" w:eastAsia="仿宋_GB2312" w:cs="宋体"/>
          <w:sz w:val="32"/>
          <w:szCs w:val="32"/>
        </w:rPr>
      </w:pPr>
      <w:bookmarkStart w:id="41" w:name="1.评分标准的制订原则"/>
      <w:bookmarkEnd w:id="41"/>
      <w:r>
        <w:rPr>
          <w:rFonts w:hint="eastAsia" w:ascii="仿宋_GB2312" w:hAnsi="仿宋_GB2312" w:eastAsia="仿宋_GB2312" w:cs="宋体"/>
          <w:sz w:val="32"/>
          <w:szCs w:val="32"/>
        </w:rPr>
        <w:t>1.评分标准的制订原则</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赛项裁判组负责赛项成绩评定工作。评分标准以“公平、公正、公开”为原则，采用过程评分和结果评分两种方式。</w:t>
      </w:r>
    </w:p>
    <w:p>
      <w:pPr>
        <w:spacing w:line="560" w:lineRule="exact"/>
        <w:ind w:firstLine="640" w:firstLineChars="200"/>
        <w:rPr>
          <w:rFonts w:ascii="仿宋_GB2312" w:hAnsi="仿宋_GB2312" w:eastAsia="仿宋_GB2312" w:cs="宋体"/>
          <w:sz w:val="32"/>
          <w:szCs w:val="32"/>
        </w:rPr>
      </w:pPr>
      <w:bookmarkStart w:id="42" w:name="2.组织分工"/>
      <w:bookmarkEnd w:id="42"/>
      <w:r>
        <w:rPr>
          <w:rFonts w:hint="eastAsia" w:ascii="仿宋_GB2312" w:hAnsi="仿宋_GB2312" w:eastAsia="仿宋_GB2312" w:cs="宋体"/>
          <w:sz w:val="32"/>
          <w:szCs w:val="32"/>
        </w:rPr>
        <w:t>2.组织分工</w:t>
      </w:r>
    </w:p>
    <w:p>
      <w:pPr>
        <w:spacing w:line="560" w:lineRule="exact"/>
        <w:ind w:firstLine="640" w:firstLineChars="200"/>
        <w:rPr>
          <w:rFonts w:eastAsia="宋体"/>
        </w:rPr>
      </w:pPr>
      <w:r>
        <w:rPr>
          <w:rFonts w:hint="eastAsia" w:ascii="仿宋_GB2312" w:hAnsi="仿宋_GB2312" w:eastAsia="仿宋_GB2312" w:cs="宋体"/>
          <w:sz w:val="32"/>
          <w:szCs w:val="32"/>
        </w:rPr>
        <w:t>成立成绩管理组织机构，参照《全国职业院校技能大赛专家和裁判工作管理办法》的有关要求。</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具体要求与分工如下：</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检录工作人员负责对参赛选手进行点名登记、身份核对等工作。检录工作由赛项承办院校工作人员承担。</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裁判组实行“裁判长负责制”，全面负责赛项的裁判管理工作并处理比赛中出现的争议问题。负责组织比赛，对竞赛模块的试题与评分标准认真领会并向裁判培训解释。</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裁判每天比赛前 1 小时通过抽签方式，初步确定裁判执裁工位。按规定做好赛场记录，维护赛场纪律，评判参赛选手的现场作业情况。负责对参赛选手的报告单按赛项评分标准进行评定，并负责核分和统分工作。</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监督仲裁组对裁判组的工作进行全程监督，并对竞赛成绩抽检复核；接受由参赛队领队提出的对裁判结果的申诉，组织复议并及时反馈复议结果。</w:t>
      </w:r>
    </w:p>
    <w:p>
      <w:pPr>
        <w:spacing w:line="560" w:lineRule="exact"/>
        <w:ind w:firstLine="640" w:firstLineChars="200"/>
        <w:rPr>
          <w:rFonts w:ascii="仿宋_GB2312" w:hAnsi="仿宋_GB2312" w:eastAsia="仿宋_GB2312" w:cs="宋体"/>
          <w:sz w:val="32"/>
          <w:szCs w:val="32"/>
        </w:rPr>
      </w:pPr>
      <w:bookmarkStart w:id="43" w:name="3.成绩管理程序"/>
      <w:bookmarkEnd w:id="43"/>
      <w:r>
        <w:rPr>
          <w:rFonts w:hint="eastAsia" w:ascii="仿宋_GB2312" w:hAnsi="仿宋_GB2312" w:eastAsia="仿宋_GB2312" w:cs="宋体"/>
          <w:sz w:val="32"/>
          <w:szCs w:val="32"/>
        </w:rPr>
        <w:t>3.成绩管理程序</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考《2022年全国职业院校技能大赛制度汇编》中成绩管理办法明确要求，严禁参赛选手、赛项裁判（含裁判长）、专家组成员、工作人员私自携带通讯、摄录设备进入比赛场地。如有需要，由赛项统一配置、统一管理。赛场可根据需要配置安检设备，对进入赛场重要部位的人员进行安检，可在赛场相关区域安置无线信息屏蔽设备。赛项裁判应在检录前与参赛选手隔离。参赛选手的成绩评定与管理按照严密的程序进行，见</w:t>
      </w:r>
      <w:r>
        <w:rPr>
          <w:rFonts w:hint="eastAsia" w:ascii="仿宋_GB2312" w:hAnsi="仿宋_GB2312" w:eastAsia="仿宋_GB2312" w:cs="宋体"/>
          <w:color w:val="auto"/>
          <w:sz w:val="32"/>
          <w:szCs w:val="32"/>
        </w:rPr>
        <w:t xml:space="preserve">成绩管理流程图 </w:t>
      </w:r>
      <w:r>
        <w:rPr>
          <w:rFonts w:ascii="仿宋_GB2312" w:hAnsi="仿宋_GB2312" w:eastAsia="仿宋_GB2312" w:cs="宋体"/>
          <w:color w:val="auto"/>
          <w:sz w:val="32"/>
          <w:szCs w:val="32"/>
        </w:rPr>
        <w:t>1</w:t>
      </w:r>
      <w:r>
        <w:rPr>
          <w:rFonts w:hint="eastAsia" w:ascii="仿宋_GB2312" w:hAnsi="仿宋_GB2312" w:eastAsia="仿宋_GB2312" w:cs="宋体"/>
          <w:color w:val="auto"/>
          <w:sz w:val="32"/>
          <w:szCs w:val="32"/>
        </w:rPr>
        <w:t>。</w:t>
      </w:r>
    </w:p>
    <w:p>
      <w:pPr>
        <w:spacing w:line="560" w:lineRule="exact"/>
        <w:ind w:firstLine="420" w:firstLineChars="200"/>
        <w:rPr>
          <w:rFonts w:ascii="仿宋_GB2312" w:hAnsi="仿宋_GB2312" w:eastAsia="仿宋_GB2312" w:cs="宋体"/>
          <w:sz w:val="32"/>
          <w:szCs w:val="32"/>
        </w:rPr>
      </w:pPr>
      <w:r>
        <w:drawing>
          <wp:anchor distT="0" distB="0" distL="0" distR="0" simplePos="0" relativeHeight="251659264" behindDoc="0" locked="0" layoutInCell="1" allowOverlap="1">
            <wp:simplePos x="0" y="0"/>
            <wp:positionH relativeFrom="column">
              <wp:posOffset>306070</wp:posOffset>
            </wp:positionH>
            <wp:positionV relativeFrom="paragraph">
              <wp:posOffset>225425</wp:posOffset>
            </wp:positionV>
            <wp:extent cx="4732655" cy="4013835"/>
            <wp:effectExtent l="0" t="0" r="4445" b="12065"/>
            <wp:wrapNone/>
            <wp:docPr id="1027" name="image7.jpeg"/>
            <wp:cNvGraphicFramePr/>
            <a:graphic xmlns:a="http://schemas.openxmlformats.org/drawingml/2006/main">
              <a:graphicData uri="http://schemas.openxmlformats.org/drawingml/2006/picture">
                <pic:pic xmlns:pic="http://schemas.openxmlformats.org/drawingml/2006/picture">
                  <pic:nvPicPr>
                    <pic:cNvPr id="1027" name="image7.jpeg"/>
                    <pic:cNvPicPr/>
                  </pic:nvPicPr>
                  <pic:blipFill>
                    <a:blip r:embed="rId8" cstate="print"/>
                    <a:srcRect/>
                    <a:stretch>
                      <a:fillRect/>
                    </a:stretch>
                  </pic:blipFill>
                  <pic:spPr>
                    <a:xfrm>
                      <a:off x="0" y="0"/>
                      <a:ext cx="4732655" cy="4013835"/>
                    </a:xfrm>
                    <a:prstGeom prst="rect">
                      <a:avLst/>
                    </a:prstGeom>
                    <a:ln>
                      <a:noFill/>
                    </a:ln>
                  </pic:spPr>
                </pic:pic>
              </a:graphicData>
            </a:graphic>
          </wp:anchor>
        </w:drawing>
      </w:r>
    </w:p>
    <w:p/>
    <w:p/>
    <w:p/>
    <w:p/>
    <w:p/>
    <w:p/>
    <w:p/>
    <w:p/>
    <w:p/>
    <w:p/>
    <w:p/>
    <w:p/>
    <w:p/>
    <w:p/>
    <w:p/>
    <w:p/>
    <w:p/>
    <w:p/>
    <w:p/>
    <w:p/>
    <w:p>
      <w:pPr>
        <w:spacing w:line="560" w:lineRule="exact"/>
        <w:jc w:val="center"/>
        <w:rPr>
          <w:rFonts w:hint="eastAsia" w:ascii="仿宋_GB2312" w:hAnsi="仿宋_GB2312" w:eastAsia="仿宋_GB2312" w:cs="宋体"/>
          <w:color w:val="auto"/>
          <w:sz w:val="32"/>
          <w:szCs w:val="32"/>
        </w:rPr>
      </w:pPr>
      <w:r>
        <w:rPr>
          <w:rFonts w:hint="eastAsia" w:ascii="仿宋_GB2312" w:hAnsi="仿宋_GB2312" w:eastAsia="仿宋_GB2312" w:cs="宋体"/>
          <w:color w:val="auto"/>
          <w:sz w:val="32"/>
          <w:szCs w:val="32"/>
        </w:rPr>
        <w:t xml:space="preserve">图 </w:t>
      </w:r>
      <w:r>
        <w:rPr>
          <w:rFonts w:ascii="仿宋_GB2312" w:hAnsi="仿宋_GB2312" w:eastAsia="仿宋_GB2312" w:cs="宋体"/>
          <w:color w:val="auto"/>
          <w:sz w:val="32"/>
          <w:szCs w:val="32"/>
        </w:rPr>
        <w:t>1</w:t>
      </w:r>
      <w:r>
        <w:rPr>
          <w:rFonts w:hint="eastAsia" w:ascii="仿宋_GB2312" w:hAnsi="仿宋_GB2312" w:eastAsia="仿宋_GB2312" w:cs="宋体"/>
          <w:color w:val="auto"/>
          <w:sz w:val="32"/>
          <w:szCs w:val="32"/>
        </w:rPr>
        <w:t xml:space="preserve"> 成绩管理</w:t>
      </w:r>
    </w:p>
    <w:bookmarkEnd w:id="16"/>
    <w:bookmarkEnd w:id="17"/>
    <w:bookmarkEnd w:id="18"/>
    <w:p>
      <w:pPr>
        <w:spacing w:line="560" w:lineRule="exact"/>
        <w:rPr>
          <w:rFonts w:ascii="仿宋_GB2312" w:hAnsi="仿宋_GB2312" w:eastAsia="仿宋_GB2312" w:cs="宋体"/>
          <w:sz w:val="32"/>
          <w:szCs w:val="32"/>
        </w:rPr>
      </w:pPr>
      <w:bookmarkStart w:id="44" w:name="4.成绩评分"/>
      <w:bookmarkEnd w:id="44"/>
      <w:bookmarkStart w:id="45" w:name="十一、成绩评定"/>
      <w:bookmarkEnd w:id="45"/>
      <w:bookmarkStart w:id="46" w:name="（三）赛项说明会"/>
      <w:bookmarkEnd w:id="46"/>
      <w:bookmarkStart w:id="47" w:name="（一）评分标准"/>
      <w:bookmarkEnd w:id="47"/>
      <w:bookmarkStart w:id="48" w:name="_Toc3283"/>
      <w:bookmarkStart w:id="49" w:name="_Toc30784"/>
      <w:bookmarkStart w:id="50" w:name="_Toc13698"/>
      <w:r>
        <w:rPr>
          <w:rFonts w:hint="eastAsia" w:ascii="仿宋_GB2312" w:hAnsi="仿宋_GB2312" w:eastAsia="仿宋_GB2312" w:cs="宋体"/>
          <w:sz w:val="32"/>
          <w:szCs w:val="32"/>
        </w:rPr>
        <w:t>4.成绩评分过程评判</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现场裁判依据现场评判表，对参赛选手竞赛过程的人物安全、设备使用、操作规范、职业素养进行评判。评判结果由现场执裁裁判员签字确认。</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5.结果评分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评分裁判根据现场评判表、参赛选手提交的报告单，依据评分标准进行评分、统分和核分。评分结果由评分裁判员、统分和核分裁判员签字确认。</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6.总成绩排序</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总总成绩为四个竞赛模块成绩之和。竞赛成绩相同时，按“发动机管理技术”赛项成绩进行排序的名次在前；竞赛成绩再相同时，按“纯电动汽车技术”赛项成绩进行排序；竞赛成绩仍相同时，按“车身电气技术”赛项成绩进行排序；竞赛成绩仍相同时，按“智能网联汽车技术”赛项成绩进行排序。</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7.抽检复核</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为保障成绩统计的准确性，监督仲裁组对赛项总成绩排名前30</w:t>
      </w:r>
      <w:r>
        <w:rPr>
          <w:rFonts w:hint="eastAsia" w:ascii="仿宋_GB2312" w:hAnsi="仿宋_GB2312" w:eastAsia="仿宋_GB2312" w:cs="宋体"/>
          <w:sz w:val="32"/>
          <w:szCs w:val="32"/>
        </w:rPr>
        <w:drawing>
          <wp:inline distT="0" distB="0" distL="0" distR="0">
            <wp:extent cx="75565" cy="135890"/>
            <wp:effectExtent l="0" t="0" r="635" b="3810"/>
            <wp:docPr id="1028" name="图片 14"/>
            <wp:cNvGraphicFramePr/>
            <a:graphic xmlns:a="http://schemas.openxmlformats.org/drawingml/2006/main">
              <a:graphicData uri="http://schemas.openxmlformats.org/drawingml/2006/picture">
                <pic:pic xmlns:pic="http://schemas.openxmlformats.org/drawingml/2006/picture">
                  <pic:nvPicPr>
                    <pic:cNvPr id="1028" name="图片 14"/>
                    <pic:cNvPicPr/>
                  </pic:nvPicPr>
                  <pic:blipFill>
                    <a:blip r:embed="rId7" cstate="print"/>
                    <a:srcRect/>
                    <a:stretch>
                      <a:fillRect/>
                    </a:stretch>
                  </pic:blipFill>
                  <pic:spPr>
                    <a:xfrm>
                      <a:off x="0" y="0"/>
                      <a:ext cx="75565" cy="135890"/>
                    </a:xfrm>
                    <a:prstGeom prst="rect">
                      <a:avLst/>
                    </a:prstGeom>
                    <a:ln>
                      <a:noFill/>
                    </a:ln>
                  </pic:spPr>
                </pic:pic>
              </a:graphicData>
            </a:graphic>
          </wp:inline>
        </w:drawing>
      </w:r>
      <w:r>
        <w:rPr>
          <w:rFonts w:hint="eastAsia" w:ascii="仿宋_GB2312" w:hAnsi="仿宋_GB2312" w:eastAsia="仿宋_GB2312" w:cs="宋体"/>
          <w:sz w:val="32"/>
          <w:szCs w:val="32"/>
        </w:rPr>
        <w:t>的所有参赛队伍的成绩进行复核；对其余成绩进行抽检复核，抽检覆盖率不得低于15</w:t>
      </w:r>
      <w:r>
        <w:rPr>
          <w:rFonts w:hint="eastAsia" w:ascii="仿宋_GB2312" w:hAnsi="仿宋_GB2312" w:eastAsia="仿宋_GB2312" w:cs="宋体"/>
          <w:sz w:val="32"/>
          <w:szCs w:val="32"/>
        </w:rPr>
        <w:drawing>
          <wp:inline distT="0" distB="0" distL="0" distR="0">
            <wp:extent cx="75565" cy="135890"/>
            <wp:effectExtent l="0" t="0" r="635" b="3810"/>
            <wp:docPr id="1029" name="图片 15"/>
            <wp:cNvGraphicFramePr/>
            <a:graphic xmlns:a="http://schemas.openxmlformats.org/drawingml/2006/main">
              <a:graphicData uri="http://schemas.openxmlformats.org/drawingml/2006/picture">
                <pic:pic xmlns:pic="http://schemas.openxmlformats.org/drawingml/2006/picture">
                  <pic:nvPicPr>
                    <pic:cNvPr id="1029" name="图片 15"/>
                    <pic:cNvPicPr/>
                  </pic:nvPicPr>
                  <pic:blipFill>
                    <a:blip r:embed="rId7" cstate="print"/>
                    <a:srcRect/>
                    <a:stretch>
                      <a:fillRect/>
                    </a:stretch>
                  </pic:blipFill>
                  <pic:spPr>
                    <a:xfrm>
                      <a:off x="0" y="0"/>
                      <a:ext cx="75565" cy="135890"/>
                    </a:xfrm>
                    <a:prstGeom prst="rect">
                      <a:avLst/>
                    </a:prstGeom>
                    <a:ln>
                      <a:noFill/>
                    </a:ln>
                  </pic:spPr>
                </pic:pic>
              </a:graphicData>
            </a:graphic>
          </wp:inline>
        </w:drawing>
      </w:r>
      <w:r>
        <w:rPr>
          <w:rFonts w:hint="eastAsia" w:ascii="仿宋_GB2312" w:hAnsi="仿宋_GB2312" w:eastAsia="仿宋_GB2312" w:cs="宋体"/>
          <w:sz w:val="32"/>
          <w:szCs w:val="32"/>
        </w:rPr>
        <w:t>。监督仲裁组将复检中发现的错误通过书面方式及时告知裁判长，由裁判长更正成绩并签字确认。错误率超过5</w:t>
      </w:r>
      <w:r>
        <w:rPr>
          <w:rFonts w:hint="eastAsia" w:ascii="仿宋_GB2312" w:hAnsi="仿宋_GB2312" w:eastAsia="仿宋_GB2312" w:cs="宋体"/>
          <w:sz w:val="32"/>
          <w:szCs w:val="32"/>
        </w:rPr>
        <w:drawing>
          <wp:inline distT="0" distB="0" distL="0" distR="0">
            <wp:extent cx="75565" cy="135890"/>
            <wp:effectExtent l="0" t="0" r="635" b="3810"/>
            <wp:docPr id="1030" name="图片 16"/>
            <wp:cNvGraphicFramePr/>
            <a:graphic xmlns:a="http://schemas.openxmlformats.org/drawingml/2006/main">
              <a:graphicData uri="http://schemas.openxmlformats.org/drawingml/2006/picture">
                <pic:pic xmlns:pic="http://schemas.openxmlformats.org/drawingml/2006/picture">
                  <pic:nvPicPr>
                    <pic:cNvPr id="1030" name="图片 16"/>
                    <pic:cNvPicPr/>
                  </pic:nvPicPr>
                  <pic:blipFill>
                    <a:blip r:embed="rId7" cstate="print"/>
                    <a:srcRect/>
                    <a:stretch>
                      <a:fillRect/>
                    </a:stretch>
                  </pic:blipFill>
                  <pic:spPr>
                    <a:xfrm>
                      <a:off x="0" y="0"/>
                      <a:ext cx="75565" cy="135890"/>
                    </a:xfrm>
                    <a:prstGeom prst="rect">
                      <a:avLst/>
                    </a:prstGeom>
                    <a:ln>
                      <a:noFill/>
                    </a:ln>
                  </pic:spPr>
                </pic:pic>
              </a:graphicData>
            </a:graphic>
          </wp:inline>
        </w:drawing>
      </w:r>
      <w:r>
        <w:rPr>
          <w:rFonts w:hint="eastAsia" w:ascii="仿宋_GB2312" w:hAnsi="仿宋_GB2312" w:eastAsia="仿宋_GB2312" w:cs="宋体"/>
          <w:sz w:val="32"/>
          <w:szCs w:val="32"/>
        </w:rPr>
        <w:t>的，则认定为非小概率事件，裁判组需对所有成绩进行复核。</w:t>
      </w:r>
    </w:p>
    <w:p>
      <w:pPr>
        <w:spacing w:line="560" w:lineRule="exact"/>
        <w:ind w:firstLine="640" w:firstLineChars="200"/>
        <w:rPr>
          <w:rFonts w:ascii="仿宋_GB2312" w:hAnsi="仿宋_GB2312" w:eastAsia="仿宋_GB2312" w:cs="宋体"/>
          <w:sz w:val="32"/>
          <w:szCs w:val="32"/>
        </w:rPr>
      </w:pPr>
      <w:bookmarkStart w:id="51" w:name="5.成绩公布"/>
      <w:bookmarkEnd w:id="51"/>
      <w:r>
        <w:rPr>
          <w:rFonts w:hint="eastAsia" w:ascii="仿宋_GB2312" w:hAnsi="仿宋_GB2312" w:eastAsia="仿宋_GB2312" w:cs="宋体"/>
          <w:sz w:val="32"/>
          <w:szCs w:val="32"/>
        </w:rPr>
        <w:t>8.成绩公布</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公示。所有竞赛结束后记分员将解密后的各参赛队成绩汇总成最终成绩单，经裁判长签字后进行公示。</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9.审核。赛务信息员对成绩数据审核后，将成绩导出打印，经裁判长审核签字。</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10.公布。由裁判长在闭幕式上宣布最终竞赛成绩。</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11.报送。由赛务信息员将签字的纸质打印成绩单报送赛项执委会和大赛执委会办公室。</w:t>
      </w:r>
    </w:p>
    <w:p>
      <w:pPr>
        <w:spacing w:line="560" w:lineRule="exact"/>
        <w:ind w:firstLine="640" w:firstLineChars="200"/>
        <w:rPr>
          <w:rFonts w:ascii="仿宋_GB2312" w:hAnsi="仿宋_GB2312" w:eastAsia="仿宋_GB2312" w:cs="宋体"/>
          <w:sz w:val="32"/>
          <w:szCs w:val="32"/>
        </w:rPr>
      </w:pPr>
      <w:bookmarkStart w:id="52" w:name="（二）配分规则"/>
      <w:bookmarkEnd w:id="52"/>
      <w:r>
        <w:rPr>
          <w:rFonts w:hint="eastAsia" w:ascii="仿宋_GB2312" w:hAnsi="仿宋_GB2312" w:eastAsia="仿宋_GB2312" w:cs="宋体"/>
          <w:sz w:val="32"/>
          <w:szCs w:val="32"/>
        </w:rPr>
        <w:t>（二）配分规则</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各竞赛模块配分规则见表 5。</w:t>
      </w:r>
    </w:p>
    <w:p>
      <w:pPr>
        <w:spacing w:line="560" w:lineRule="exact"/>
        <w:ind w:firstLine="640" w:firstLineChars="200"/>
        <w:jc w:val="center"/>
        <w:rPr>
          <w:rFonts w:ascii="仿宋_GB2312" w:hAnsi="仿宋_GB2312" w:eastAsia="仿宋_GB2312" w:cs="宋体"/>
          <w:sz w:val="32"/>
          <w:szCs w:val="32"/>
        </w:rPr>
      </w:pPr>
      <w:r>
        <w:rPr>
          <w:rFonts w:hint="eastAsia" w:ascii="仿宋_GB2312" w:hAnsi="仿宋_GB2312" w:eastAsia="仿宋_GB2312" w:cs="宋体"/>
          <w:sz w:val="32"/>
          <w:szCs w:val="32"/>
        </w:rPr>
        <w:t>表 5 各竞赛模块配分</w:t>
      </w:r>
    </w:p>
    <w:tbl>
      <w:tblPr>
        <w:tblStyle w:val="16"/>
        <w:tblpPr w:leftFromText="180" w:rightFromText="180" w:vertAnchor="text" w:horzAnchor="page" w:tblpXSpec="center" w:tblpY="238"/>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99"/>
        <w:gridCol w:w="36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4599" w:type="dxa"/>
            <w:vAlign w:val="center"/>
          </w:tcPr>
          <w:p>
            <w:pPr>
              <w:jc w:val="center"/>
            </w:pPr>
            <w:r>
              <w:rPr>
                <w:rFonts w:hint="eastAsia"/>
              </w:rPr>
              <w:t>评分项目</w:t>
            </w:r>
          </w:p>
        </w:tc>
        <w:tc>
          <w:tcPr>
            <w:tcW w:w="3619" w:type="dxa"/>
            <w:vAlign w:val="center"/>
          </w:tcPr>
          <w:p>
            <w:pPr>
              <w:jc w:val="center"/>
            </w:pPr>
            <w:r>
              <w:rPr>
                <w:rFonts w:hint="eastAsia"/>
              </w:rPr>
              <w:t>配分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4599" w:type="dxa"/>
            <w:vAlign w:val="center"/>
          </w:tcPr>
          <w:p>
            <w:pPr>
              <w:jc w:val="center"/>
            </w:pPr>
            <w:r>
              <w:t>健康与安全</w:t>
            </w:r>
          </w:p>
        </w:tc>
        <w:tc>
          <w:tcPr>
            <w:tcW w:w="3619" w:type="dxa"/>
            <w:vAlign w:val="center"/>
          </w:tcPr>
          <w:p>
            <w:pPr>
              <w:jc w:val="center"/>
            </w:pPr>
            <w:r>
              <w:t>20 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4599" w:type="dxa"/>
            <w:vAlign w:val="center"/>
          </w:tcPr>
          <w:p>
            <w:pPr>
              <w:jc w:val="center"/>
            </w:pPr>
            <w:r>
              <w:t>作业过程与记录</w:t>
            </w:r>
          </w:p>
        </w:tc>
        <w:tc>
          <w:tcPr>
            <w:tcW w:w="3619" w:type="dxa"/>
            <w:vAlign w:val="center"/>
          </w:tcPr>
          <w:p>
            <w:pPr>
              <w:jc w:val="center"/>
            </w:pPr>
            <w:r>
              <w:t>80 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4599" w:type="dxa"/>
            <w:vAlign w:val="center"/>
          </w:tcPr>
          <w:p>
            <w:pPr>
              <w:jc w:val="center"/>
            </w:pPr>
            <w:r>
              <w:t>合计</w:t>
            </w:r>
          </w:p>
        </w:tc>
        <w:tc>
          <w:tcPr>
            <w:tcW w:w="3619" w:type="dxa"/>
            <w:vAlign w:val="center"/>
          </w:tcPr>
          <w:p>
            <w:pPr>
              <w:jc w:val="center"/>
            </w:pPr>
            <w:r>
              <w:t>100 分</w:t>
            </w:r>
          </w:p>
        </w:tc>
      </w:tr>
    </w:tbl>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（三）违规扣分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在完成工作任务的过程中，因操作不当导致人身或设备安全事故扣 10 分，直至取消比赛资格。</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损坏赛场提供的设备，污染赛场环境等不符合职业规范的行为扣 5 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在竞赛时段，参赛选手有不服从裁判扰乱赛场秩序、有作弊行为的、裁判宣布竞赛时间到仍强行操作的，取消参赛队奖项评比资格。</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选手报告单上留有不应有的标识、符号、文字，扣 5 分。</w:t>
      </w:r>
      <w:bookmarkStart w:id="53" w:name="十二、奖项设定"/>
      <w:bookmarkEnd w:id="53"/>
    </w:p>
    <w:p>
      <w:pPr>
        <w:spacing w:line="560" w:lineRule="exact"/>
        <w:rPr>
          <w:rFonts w:ascii="仿宋_GB2312" w:hAnsi="仿宋_GB2312" w:eastAsia="仿宋_GB2312" w:cs="宋体"/>
          <w:sz w:val="32"/>
          <w:szCs w:val="32"/>
        </w:rPr>
      </w:pPr>
      <w:r>
        <w:rPr>
          <w:rFonts w:hint="eastAsia" w:ascii="仿宋_GB2312" w:hAnsi="仿宋_GB2312" w:eastAsia="仿宋_GB2312" w:cs="宋体"/>
          <w:sz w:val="32"/>
          <w:szCs w:val="32"/>
        </w:rPr>
        <w:t>十二、奖项设定</w:t>
      </w:r>
    </w:p>
    <w:p>
      <w:pPr>
        <w:spacing w:line="560" w:lineRule="exact"/>
        <w:ind w:firstLine="640" w:firstLineChars="200"/>
        <w:rPr>
          <w:rFonts w:ascii="仿宋_GB2312" w:hAnsi="仿宋_GB2312" w:eastAsia="仿宋_GB2312" w:cs="宋体"/>
          <w:color w:val="auto"/>
          <w:sz w:val="32"/>
          <w:szCs w:val="32"/>
          <w:lang w:val="zh-CN"/>
        </w:rPr>
      </w:pPr>
      <w:r>
        <w:rPr>
          <w:rFonts w:hint="eastAsia" w:ascii="仿宋_GB2312" w:hAnsi="仿宋_GB2312" w:eastAsia="仿宋_GB2312" w:cs="宋体"/>
          <w:color w:val="auto"/>
          <w:sz w:val="32"/>
          <w:szCs w:val="32"/>
          <w:lang w:val="zh-CN"/>
        </w:rPr>
        <w:t>（一）奖项设置。根据</w:t>
      </w:r>
      <w:r>
        <w:rPr>
          <w:rFonts w:ascii="仿宋_GB2312" w:hAnsi="仿宋_GB2312" w:eastAsia="仿宋_GB2312" w:cs="宋体"/>
          <w:color w:val="auto"/>
          <w:sz w:val="32"/>
          <w:szCs w:val="32"/>
          <w:lang w:val="zh-CN"/>
        </w:rPr>
        <w:t>2022</w:t>
      </w:r>
      <w:r>
        <w:rPr>
          <w:rFonts w:hint="eastAsia" w:ascii="仿宋_GB2312" w:hAnsi="仿宋_GB2312" w:eastAsia="仿宋_GB2312" w:cs="宋体"/>
          <w:color w:val="auto"/>
          <w:sz w:val="32"/>
          <w:szCs w:val="32"/>
          <w:lang w:val="zh-CN"/>
        </w:rPr>
        <w:t>年海南省职业院校技能大赛组委会相关文件执行。</w:t>
      </w:r>
    </w:p>
    <w:p>
      <w:pPr>
        <w:spacing w:line="560" w:lineRule="exact"/>
        <w:ind w:firstLine="640" w:firstLineChars="200"/>
        <w:rPr>
          <w:rFonts w:ascii="仿宋_GB2312" w:hAnsi="仿宋_GB2312" w:eastAsia="仿宋_GB2312" w:cs="宋体"/>
          <w:color w:val="auto"/>
          <w:sz w:val="32"/>
          <w:szCs w:val="32"/>
          <w:lang w:val="zh-CN"/>
        </w:rPr>
      </w:pPr>
      <w:r>
        <w:rPr>
          <w:rFonts w:hint="eastAsia" w:ascii="仿宋_GB2312" w:hAnsi="仿宋_GB2312" w:eastAsia="仿宋_GB2312" w:cs="宋体"/>
          <w:color w:val="auto"/>
          <w:sz w:val="32"/>
          <w:szCs w:val="32"/>
          <w:lang w:val="zh-CN"/>
        </w:rPr>
        <w:t>（二）获奖选手及指导老师由组委会颁发荣誉证书。</w:t>
      </w:r>
    </w:p>
    <w:p>
      <w:pPr>
        <w:spacing w:line="560" w:lineRule="exact"/>
        <w:ind w:firstLine="640" w:firstLineChars="200"/>
        <w:rPr>
          <w:rFonts w:ascii="仿宋_GB2312" w:hAnsi="仿宋_GB2312" w:eastAsia="仿宋_GB2312" w:cs="宋体"/>
          <w:sz w:val="32"/>
          <w:szCs w:val="32"/>
        </w:rPr>
      </w:pPr>
      <w:bookmarkStart w:id="54" w:name="十三、赛场预案"/>
      <w:bookmarkEnd w:id="54"/>
      <w:r>
        <w:rPr>
          <w:rFonts w:hint="eastAsia" w:ascii="仿宋_GB2312" w:hAnsi="仿宋_GB2312" w:eastAsia="仿宋_GB2312" w:cs="宋体"/>
          <w:sz w:val="32"/>
          <w:szCs w:val="32"/>
        </w:rPr>
        <w:t>十三、赛场预案</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参照《2022年全国职业院校技能大赛制度汇编》中相关制度执行。</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赛场配备技术人员，当车辆、设备等出现问题时，技术人员可第一时间提供专业技术支持。</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竞赛现场配置安全通道，当出现火情或其他灾害情况，工作人员应立即向保卫组汇报，保卫组接报后要火速到达现场并配合消防队员和公安干警，指挥人员疏散到安全区域并及时处置现场状况。</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竞赛过程中出现设备断电、故障等意外时，现场裁判需及时确认情况， 安排技术支持人员进行处理，现场裁判登记详细情况，填写补时登记表，报裁判长批准后，可安排延长补足相应选手的比赛时间。</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赛场布置备用工位，与其他竞赛工位间隔至少 1 个工位的宽度布置。当出现非选手原因设备断电、故障等意外时，经现场裁判认可，裁判长确认予以安排备用工位进行比赛。</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赛场设有应急医疗点，用于参赛选手突发身体不适（如发热、咳嗽等） 或出现碰伤、划伤等意外情况的应急处理；如应急医疗点诊断参赛选手可以继续比赛的，经裁判长确认予以安排原工位或备用工位进行比赛。如参赛选手不能继续参加比赛的，必要时可联系120 急救车。</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比赛期间发生意外事故，发现者应第一时间报告赛项执委会，同时采取措施避免事态扩大。赛项出现重大安全问题可以停赛，是否停赛由赛区执委会决定。事后赛区执委会应向大赛执委会报告详细情况。</w:t>
      </w:r>
    </w:p>
    <w:p>
      <w:pPr>
        <w:spacing w:line="560" w:lineRule="exact"/>
        <w:ind w:firstLine="640" w:firstLineChars="200"/>
        <w:rPr>
          <w:rFonts w:ascii="仿宋_GB2312" w:hAnsi="仿宋_GB2312" w:eastAsia="仿宋_GB2312" w:cs="宋体"/>
          <w:sz w:val="32"/>
          <w:szCs w:val="32"/>
        </w:rPr>
      </w:pPr>
      <w:bookmarkStart w:id="55" w:name="十四、赛项安全"/>
      <w:bookmarkEnd w:id="55"/>
      <w:r>
        <w:rPr>
          <w:rFonts w:hint="eastAsia" w:ascii="仿宋_GB2312" w:hAnsi="仿宋_GB2312" w:eastAsia="仿宋_GB2312" w:cs="宋体"/>
          <w:sz w:val="32"/>
          <w:szCs w:val="32"/>
        </w:rPr>
        <w:t>十四、赛项安全</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赛项安全是一切工作顺利开展的先决条件，是赛项筹备和运行工作必须考虑的核心问题。赛项执委会采取切实有效措施保证大赛期间参赛选手、指导教师、工作人员等人员的人身安全。</w:t>
      </w:r>
    </w:p>
    <w:p>
      <w:pPr>
        <w:spacing w:line="560" w:lineRule="exact"/>
        <w:ind w:firstLine="640" w:firstLineChars="200"/>
        <w:rPr>
          <w:rFonts w:ascii="仿宋_GB2312" w:hAnsi="仿宋_GB2312" w:eastAsia="仿宋_GB2312" w:cs="宋体"/>
          <w:sz w:val="32"/>
          <w:szCs w:val="32"/>
        </w:rPr>
      </w:pPr>
      <w:bookmarkStart w:id="56" w:name="（一）比赛环境"/>
      <w:bookmarkEnd w:id="56"/>
      <w:r>
        <w:rPr>
          <w:rFonts w:hint="eastAsia" w:ascii="仿宋_GB2312" w:hAnsi="仿宋_GB2312" w:eastAsia="仿宋_GB2312" w:cs="宋体"/>
          <w:sz w:val="32"/>
          <w:szCs w:val="32"/>
        </w:rPr>
        <w:t>（一）比赛环境</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执委会须在赛前组织专人对比赛现场、住宿场所和交通保障进行考察， 并对安全工作提出明确要求。赛场的布置，赛场内的器材、设备应符合国家有关安全规定。赛前进行赛场全负荷模拟测试，以发现可能出现的问题，及时排除安全隐患。</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赛场周围要设立警戒线，无关人员不得进入。比赛现场内应参照相关职业岗位的要求为选手提供必要的劳动保护。在具有危险性的操作环节，裁判员要严防选手出现错误操作。</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参赛选手、赛项裁判、工作人员进入赛场区域内，严禁携带通讯、照相摄录设备、记录用具。赛项需要配置安检设备对进入赛场人员进行安检。</w:t>
      </w:r>
    </w:p>
    <w:p>
      <w:pPr>
        <w:spacing w:line="560" w:lineRule="exact"/>
        <w:ind w:firstLine="640" w:firstLineChars="200"/>
        <w:rPr>
          <w:rFonts w:ascii="仿宋_GB2312" w:hAnsi="仿宋_GB2312" w:eastAsia="仿宋_GB2312" w:cs="宋体"/>
          <w:sz w:val="32"/>
          <w:szCs w:val="32"/>
        </w:rPr>
      </w:pPr>
      <w:bookmarkStart w:id="57" w:name="（二）处罚措施"/>
      <w:bookmarkEnd w:id="57"/>
      <w:r>
        <w:rPr>
          <w:rFonts w:hint="eastAsia" w:ascii="仿宋_GB2312" w:hAnsi="仿宋_GB2312" w:eastAsia="仿宋_GB2312" w:cs="宋体"/>
          <w:sz w:val="32"/>
          <w:szCs w:val="32"/>
        </w:rPr>
        <w:t>（二）处罚措施</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因参赛队伍原因造成重大安全事故的，取消其获奖资格。</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参赛队伍有发生重大安全事故隐患，经赛场工作人员提示、警告无效的， 可取消其继续比赛的资格。</w:t>
      </w:r>
    </w:p>
    <w:p>
      <w:pPr>
        <w:spacing w:line="560" w:lineRule="exact"/>
        <w:ind w:firstLine="640" w:firstLineChars="200"/>
        <w:rPr>
          <w:rFonts w:hint="eastAsia" w:ascii="仿宋_GB2312" w:hAnsi="仿宋_GB2312" w:eastAsia="仿宋_GB2312" w:cs="宋体"/>
          <w:sz w:val="32"/>
          <w:szCs w:val="32"/>
        </w:rPr>
      </w:pPr>
      <w:r>
        <w:rPr>
          <w:rFonts w:hint="eastAsia" w:ascii="仿宋_GB2312" w:hAnsi="仿宋_GB2312" w:eastAsia="仿宋_GB2312" w:cs="宋体"/>
          <w:sz w:val="32"/>
          <w:szCs w:val="32"/>
        </w:rPr>
        <w:t>赛事工作人员违规的，按照相应的制度追究责任。情节恶劣并造成重大安全事故的，由司法机关追究相应法律责任。</w:t>
      </w:r>
    </w:p>
    <w:p>
      <w:pPr>
        <w:pStyle w:val="2"/>
        <w:numPr>
          <w:ilvl w:val="0"/>
          <w:numId w:val="1"/>
        </w:numPr>
        <w:rPr>
          <w:rFonts w:hint="eastAsia" w:ascii="仿宋_GB2312" w:hAnsi="仿宋_GB2312" w:eastAsia="仿宋_GB2312" w:cs="宋体"/>
          <w:sz w:val="32"/>
          <w:szCs w:val="32"/>
          <w:lang w:val="en-US" w:eastAsia="zh-CN"/>
        </w:rPr>
      </w:pPr>
      <w:r>
        <w:rPr>
          <w:rFonts w:hint="eastAsia" w:ascii="仿宋_GB2312" w:hAnsi="仿宋_GB2312" w:eastAsia="仿宋_GB2312" w:cs="宋体"/>
          <w:sz w:val="32"/>
          <w:szCs w:val="32"/>
          <w:lang w:val="en-US" w:eastAsia="zh-CN"/>
        </w:rPr>
        <w:t>疫情防控</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lang w:val="en-US" w:eastAsia="zh-CN"/>
        </w:rPr>
        <w:t>严格按照学院关于疫情防控的各项要求执行，并将责任落实到个人。</w:t>
      </w:r>
    </w:p>
    <w:p>
      <w:pPr>
        <w:spacing w:line="560" w:lineRule="exact"/>
        <w:ind w:firstLine="640" w:firstLineChars="200"/>
        <w:rPr>
          <w:rFonts w:ascii="仿宋_GB2312" w:hAnsi="仿宋_GB2312" w:eastAsia="仿宋_GB2312" w:cs="宋体"/>
          <w:sz w:val="32"/>
          <w:szCs w:val="32"/>
        </w:rPr>
      </w:pPr>
      <w:bookmarkStart w:id="58" w:name="十五、竞赛须知"/>
      <w:bookmarkEnd w:id="58"/>
      <w:r>
        <w:rPr>
          <w:rFonts w:hint="eastAsia" w:ascii="仿宋_GB2312" w:hAnsi="仿宋_GB2312" w:eastAsia="仿宋_GB2312" w:cs="宋体"/>
          <w:sz w:val="32"/>
          <w:szCs w:val="32"/>
        </w:rPr>
        <w:t>十五、竞赛须知</w:t>
      </w:r>
    </w:p>
    <w:p>
      <w:pPr>
        <w:spacing w:line="560" w:lineRule="exact"/>
        <w:ind w:firstLine="640" w:firstLineChars="200"/>
        <w:rPr>
          <w:rFonts w:ascii="仿宋_GB2312" w:hAnsi="仿宋_GB2312" w:eastAsia="仿宋_GB2312" w:cs="宋体"/>
          <w:sz w:val="32"/>
          <w:szCs w:val="32"/>
        </w:rPr>
      </w:pPr>
      <w:bookmarkStart w:id="59" w:name="（一）参赛队须知"/>
      <w:bookmarkEnd w:id="59"/>
      <w:r>
        <w:rPr>
          <w:rFonts w:hint="eastAsia" w:ascii="仿宋_GB2312" w:hAnsi="仿宋_GB2312" w:eastAsia="仿宋_GB2312" w:cs="宋体"/>
          <w:sz w:val="32"/>
          <w:szCs w:val="32"/>
        </w:rPr>
        <w:t>（一）参赛队须知</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各参赛队须为参赛选手购买大赛期间的人身意外伤害保险。</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各参赛队须对参赛选手、指导教师、领队进行安全管理和维稳教育，在比赛期间需保持通信畅通。</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对申诉的仲裁结果，领队和指导教师应带头服从和执行，还应说服参赛选手服从和执行。凡恶意申诉，一经查实，组委会将追查相关人员责任。</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领队负责做好本参赛队比赛期间的管理与组织工作。</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执行大赛各项规定。各参赛队领队、指导教师在比赛前和比赛期间不允许私自接触裁判，不得以任何形式影响裁判人员的评判。</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指定一名领队或指导教师准时参加赛前领队会议，进行抽签确定竞赛当日抽签顺序，并认真传达落实会议精神。</w:t>
      </w:r>
    </w:p>
    <w:p>
      <w:pPr>
        <w:spacing w:line="560" w:lineRule="exact"/>
        <w:ind w:firstLine="640" w:firstLineChars="200"/>
        <w:rPr>
          <w:rFonts w:ascii="仿宋_GB2312" w:hAnsi="仿宋_GB2312" w:eastAsia="仿宋_GB2312" w:cs="宋体"/>
          <w:sz w:val="32"/>
          <w:szCs w:val="32"/>
        </w:rPr>
      </w:pPr>
      <w:bookmarkStart w:id="60" w:name="（二）指导教师须知"/>
      <w:bookmarkEnd w:id="60"/>
      <w:r>
        <w:rPr>
          <w:rFonts w:hint="eastAsia" w:ascii="仿宋_GB2312" w:hAnsi="仿宋_GB2312" w:eastAsia="仿宋_GB2312" w:cs="宋体"/>
          <w:sz w:val="32"/>
          <w:szCs w:val="32"/>
        </w:rPr>
        <w:t>（二）指导教师须知</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各代表队指导教师要坚决执行比赛的各项规定，指导选手做好赛前的一切准备工作，不得以任何理由影响比赛正常进行。</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对申诉的仲裁结果，指导教师应带头服从和执行，还应说服选手服从和执行。</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指导教师应认真研究和掌握本赛项比赛的技术规则和赛场要求，对参赛选手做好安全和纪律教育。</w:t>
      </w:r>
    </w:p>
    <w:p>
      <w:pPr>
        <w:spacing w:line="560" w:lineRule="exact"/>
        <w:ind w:firstLine="640" w:firstLineChars="200"/>
        <w:rPr>
          <w:rFonts w:ascii="仿宋_GB2312" w:hAnsi="仿宋_GB2312" w:eastAsia="仿宋_GB2312" w:cs="宋体"/>
          <w:sz w:val="32"/>
          <w:szCs w:val="32"/>
        </w:rPr>
      </w:pPr>
      <w:bookmarkStart w:id="61" w:name="（三）参赛选手须知"/>
      <w:bookmarkEnd w:id="61"/>
      <w:r>
        <w:rPr>
          <w:rFonts w:hint="eastAsia" w:ascii="仿宋_GB2312" w:hAnsi="仿宋_GB2312" w:eastAsia="仿宋_GB2312" w:cs="宋体"/>
          <w:sz w:val="32"/>
          <w:szCs w:val="32"/>
        </w:rPr>
        <w:t>（三）参赛选手须知</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参赛选手应严格遵守竞赛规则和竞赛纪律，服从裁判员和竞赛工作人员的统一指挥安排，自觉维护赛场秩序，不得因申诉或对处理意见不服而停止竞赛，否则以弃权处理。</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参赛选手须文明竞赛，接受裁判的监督和警示。</w:t>
      </w:r>
    </w:p>
    <w:p>
      <w:pPr>
        <w:spacing w:line="560" w:lineRule="exact"/>
        <w:ind w:firstLine="640" w:firstLineChars="200"/>
      </w:pPr>
      <w:r>
        <w:rPr>
          <w:rFonts w:hint="eastAsia" w:ascii="仿宋_GB2312" w:hAnsi="仿宋_GB2312" w:eastAsia="仿宋_GB2312" w:cs="宋体"/>
          <w:sz w:val="32"/>
          <w:szCs w:val="32"/>
        </w:rPr>
        <w:t>参赛选手必须持本人身份证、并佩戴组委会签发的参赛证件；在赛前 60 分钟到达赛场进行检录、抽取赛位号，进行赛前准备，等候比赛开始指令。正式竞赛开始尚未检录的选手，不得参加竞赛。已检录入场的参赛选手未经允许， 不得擅自离开。</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选手进入赛场不得携带任何纸质资料、通讯工具、电子书、存储设备、照相及录像设备等。</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选手在收到开赛信号前不得启动操作；若结束比赛，应向裁判举手示意， 由裁判记录比赛结束时间；比赛结束后，不得再进行任何与比赛有关的操作。</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在比赛中如遇非人为因素造成的器材故障，应及时向裁判反映，经裁判确认后，可向裁判长申请补足排除故障的时间。</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比赛结束后，应按要求向裁判提交选手报告单。</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参赛选手应注意安全，必须穿安全鞋。</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参赛选手经体温检测异常的，按</w:t>
      </w:r>
      <w:r>
        <w:rPr>
          <w:rFonts w:hint="eastAsia" w:ascii="仿宋_GB2312" w:hAnsi="仿宋_GB2312" w:eastAsia="仿宋_GB2312" w:cs="宋体"/>
          <w:sz w:val="32"/>
          <w:szCs w:val="32"/>
          <w:lang w:val="en-US" w:eastAsia="zh-CN"/>
        </w:rPr>
        <w:t>承办院校当地</w:t>
      </w:r>
      <w:r>
        <w:rPr>
          <w:rFonts w:hint="eastAsia" w:ascii="仿宋_GB2312" w:hAnsi="仿宋_GB2312" w:eastAsia="仿宋_GB2312" w:cs="宋体"/>
          <w:sz w:val="32"/>
          <w:szCs w:val="32"/>
        </w:rPr>
        <w:t>防疫要求的规定处理。</w:t>
      </w:r>
    </w:p>
    <w:p>
      <w:pPr>
        <w:spacing w:line="560" w:lineRule="exact"/>
        <w:ind w:firstLine="640" w:firstLineChars="200"/>
        <w:rPr>
          <w:rFonts w:ascii="仿宋_GB2312" w:hAnsi="仿宋_GB2312" w:eastAsia="仿宋_GB2312" w:cs="宋体"/>
          <w:sz w:val="32"/>
          <w:szCs w:val="32"/>
        </w:rPr>
      </w:pPr>
      <w:bookmarkStart w:id="62" w:name="（四）工作人员须知"/>
      <w:bookmarkEnd w:id="62"/>
      <w:r>
        <w:rPr>
          <w:rFonts w:hint="eastAsia" w:ascii="仿宋_GB2312" w:hAnsi="仿宋_GB2312" w:eastAsia="仿宋_GB2312" w:cs="宋体"/>
          <w:sz w:val="32"/>
          <w:szCs w:val="32"/>
        </w:rPr>
        <w:t>（四）工作人员须知</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1、工作人员必须服从统一领导，严格遵守竞赛纪律及时间安排，严守工作岗位，不得无故离岗。</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2、工作人员必须着装整齐，统一佩戴由大赛组委会签发的相应证件，精神饱满、热情服务。</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3、熟悉赛项指南，严格按照工作程序和有关规定办事，遇突发事件，按照安全工作预案，组织指挥人员疏散，确保人员安全。</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4、工作人员未经允许不得随意进入比赛现场。</w:t>
      </w:r>
      <w:bookmarkStart w:id="63" w:name="十六、申诉与仲裁"/>
      <w:bookmarkEnd w:id="63"/>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十六、申诉与仲裁</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本赛项在比赛过程中若出现有失公正或有关人员违规等现象，参赛队领队可在当日比赛结束后 2 小时内向监督仲裁组提出申诉。赛项监督仲裁组在接到申诉后的2小时内组织复议，并及时反馈复议结果。申诉方对复议结果仍有异议，可由领队向赛区仲裁委员会提出申诉。赛区仲裁委员会的仲裁结果为最终结果。</w:t>
      </w:r>
    </w:p>
    <w:p>
      <w:pPr>
        <w:spacing w:line="560" w:lineRule="exact"/>
        <w:ind w:firstLine="640" w:firstLineChars="200"/>
        <w:rPr>
          <w:rFonts w:ascii="仿宋_GB2312" w:hAnsi="仿宋_GB2312" w:eastAsia="仿宋_GB2312" w:cs="宋体"/>
          <w:sz w:val="32"/>
          <w:szCs w:val="32"/>
        </w:rPr>
      </w:pPr>
      <w:bookmarkStart w:id="64" w:name="十七、竞赛观摩"/>
      <w:bookmarkEnd w:id="64"/>
      <w:r>
        <w:rPr>
          <w:rFonts w:hint="eastAsia" w:ascii="仿宋_GB2312" w:hAnsi="仿宋_GB2312" w:eastAsia="仿宋_GB2312" w:cs="宋体"/>
          <w:sz w:val="32"/>
          <w:szCs w:val="32"/>
        </w:rPr>
        <w:t>十七、竞赛观摩</w:t>
      </w:r>
    </w:p>
    <w:p>
      <w:pPr>
        <w:spacing w:line="560" w:lineRule="exact"/>
        <w:ind w:firstLine="640" w:firstLineChars="200"/>
        <w:rPr>
          <w:rFonts w:ascii="仿宋_GB2312" w:hAnsi="仿宋_GB2312" w:eastAsia="仿宋_GB2312" w:cs="宋体"/>
          <w:sz w:val="32"/>
          <w:szCs w:val="32"/>
        </w:rPr>
      </w:pPr>
      <w:r>
        <w:rPr>
          <w:rFonts w:hint="eastAsia" w:ascii="仿宋_GB2312" w:hAnsi="仿宋_GB2312" w:eastAsia="仿宋_GB2312" w:cs="宋体"/>
          <w:sz w:val="32"/>
          <w:szCs w:val="32"/>
        </w:rPr>
        <w:t>根据国家疫情防控要求，为避免人员聚集，竞赛采取“适度集中、有限开放”的办赛模式，原则上不开放组织现场观摩。</w:t>
      </w:r>
    </w:p>
    <w:p>
      <w:pPr>
        <w:numPr>
          <w:ilvl w:val="0"/>
          <w:numId w:val="2"/>
        </w:numPr>
        <w:spacing w:line="560" w:lineRule="exact"/>
        <w:ind w:firstLine="640" w:firstLineChars="200"/>
        <w:rPr>
          <w:rFonts w:ascii="仿宋_GB2312" w:hAnsi="仿宋_GB2312" w:eastAsia="仿宋_GB2312" w:cs="宋体"/>
          <w:sz w:val="32"/>
          <w:szCs w:val="32"/>
        </w:rPr>
      </w:pPr>
      <w:bookmarkStart w:id="65" w:name="十八、竞赛直播"/>
      <w:bookmarkEnd w:id="65"/>
      <w:r>
        <w:rPr>
          <w:rFonts w:hint="eastAsia" w:ascii="仿宋_GB2312" w:hAnsi="仿宋_GB2312" w:eastAsia="仿宋_GB2312" w:cs="宋体"/>
          <w:sz w:val="32"/>
          <w:szCs w:val="32"/>
        </w:rPr>
        <w:t>竞赛录像。</w:t>
      </w:r>
    </w:p>
    <w:p>
      <w:pPr>
        <w:spacing w:line="560" w:lineRule="exact"/>
        <w:ind w:firstLine="640" w:firstLineChars="200"/>
      </w:pPr>
      <w:r>
        <w:rPr>
          <w:rFonts w:hint="eastAsia" w:ascii="仿宋_GB2312" w:hAnsi="仿宋_GB2312" w:eastAsia="仿宋_GB2312" w:cs="宋体"/>
          <w:sz w:val="32"/>
          <w:szCs w:val="32"/>
        </w:rPr>
        <w:t>赛项全程录像。</w:t>
      </w:r>
      <w:bookmarkEnd w:id="48"/>
      <w:bookmarkEnd w:id="49"/>
      <w:bookmarkEnd w:id="50"/>
      <w:bookmarkStart w:id="66" w:name="（三）违规扣分"/>
      <w:bookmarkEnd w:id="66"/>
      <w:bookmarkStart w:id="67" w:name="十九、资源转化"/>
      <w:bookmarkEnd w:id="67"/>
    </w:p>
    <w:sectPr>
      <w:headerReference r:id="rId4" w:type="default"/>
      <w:footerReference r:id="rId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20387A"/>
    <w:multiLevelType w:val="singleLevel"/>
    <w:tmpl w:val="8A20387A"/>
    <w:lvl w:ilvl="0" w:tentative="0">
      <w:start w:val="3"/>
      <w:numFmt w:val="chineseCounting"/>
      <w:suff w:val="nothing"/>
      <w:lvlText w:val="（%1）"/>
      <w:lvlJc w:val="left"/>
      <w:rPr>
        <w:rFonts w:hint="eastAsia"/>
      </w:rPr>
    </w:lvl>
  </w:abstractNum>
  <w:abstractNum w:abstractNumId="1">
    <w:nsid w:val="00000001"/>
    <w:multiLevelType w:val="singleLevel"/>
    <w:tmpl w:val="00000001"/>
    <w:lvl w:ilvl="0" w:tentative="0">
      <w:start w:val="1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1ZmIyMGU2YTQzM2FiNDM2MjgwYzM3ZDNmZjA3NjcifQ=="/>
  </w:docVars>
  <w:rsids>
    <w:rsidRoot w:val="00FF499C"/>
    <w:rsid w:val="00071678"/>
    <w:rsid w:val="00127C15"/>
    <w:rsid w:val="001F33FF"/>
    <w:rsid w:val="0023087A"/>
    <w:rsid w:val="0029450F"/>
    <w:rsid w:val="00340BB7"/>
    <w:rsid w:val="0034188C"/>
    <w:rsid w:val="00711A9F"/>
    <w:rsid w:val="00731406"/>
    <w:rsid w:val="007B4E2A"/>
    <w:rsid w:val="008A3D1A"/>
    <w:rsid w:val="00972CD6"/>
    <w:rsid w:val="00993D73"/>
    <w:rsid w:val="009A718E"/>
    <w:rsid w:val="009B5EF1"/>
    <w:rsid w:val="00AC6C73"/>
    <w:rsid w:val="00B65D00"/>
    <w:rsid w:val="00DD1272"/>
    <w:rsid w:val="00FB612D"/>
    <w:rsid w:val="00FF499C"/>
    <w:rsid w:val="01A3226D"/>
    <w:rsid w:val="025A6DFF"/>
    <w:rsid w:val="027C1B3D"/>
    <w:rsid w:val="0BC63362"/>
    <w:rsid w:val="0D7A1750"/>
    <w:rsid w:val="101E7BF6"/>
    <w:rsid w:val="11075F39"/>
    <w:rsid w:val="1356256C"/>
    <w:rsid w:val="169248BD"/>
    <w:rsid w:val="18BB3A34"/>
    <w:rsid w:val="1D8503AD"/>
    <w:rsid w:val="262F40C3"/>
    <w:rsid w:val="29A520E4"/>
    <w:rsid w:val="2A5B051C"/>
    <w:rsid w:val="2EC808B3"/>
    <w:rsid w:val="333E3858"/>
    <w:rsid w:val="43D35CFF"/>
    <w:rsid w:val="550B17DA"/>
    <w:rsid w:val="67C77A4A"/>
    <w:rsid w:val="68FB5A38"/>
    <w:rsid w:val="6C8C5F63"/>
    <w:rsid w:val="6F444552"/>
    <w:rsid w:val="74DA5F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Calibri" w:cs="Times New Roman"/>
      <w:kern w:val="2"/>
      <w:sz w:val="21"/>
      <w:szCs w:val="24"/>
      <w:lang w:val="en-US" w:eastAsia="zh-CN" w:bidi="ar-SA"/>
    </w:rPr>
  </w:style>
  <w:style w:type="paragraph" w:styleId="3">
    <w:name w:val="heading 1"/>
    <w:basedOn w:val="1"/>
    <w:next w:val="1"/>
    <w:link w:val="28"/>
    <w:qFormat/>
    <w:uiPriority w:val="99"/>
    <w:pPr>
      <w:keepNext/>
      <w:keepLines/>
      <w:spacing w:before="340" w:after="330" w:line="576" w:lineRule="auto"/>
      <w:outlineLvl w:val="0"/>
    </w:pPr>
    <w:rPr>
      <w:rFonts w:ascii="Times New Roman" w:hAnsi="Times New Roman"/>
      <w:b/>
      <w:kern w:val="44"/>
      <w:sz w:val="44"/>
      <w:szCs w:val="20"/>
    </w:rPr>
  </w:style>
  <w:style w:type="paragraph" w:styleId="4">
    <w:name w:val="heading 2"/>
    <w:basedOn w:val="1"/>
    <w:next w:val="1"/>
    <w:link w:val="22"/>
    <w:qFormat/>
    <w:uiPriority w:val="0"/>
    <w:pPr>
      <w:keepNext/>
      <w:keepLines/>
      <w:spacing w:before="260" w:after="260" w:line="413" w:lineRule="auto"/>
      <w:outlineLvl w:val="1"/>
    </w:pPr>
    <w:rPr>
      <w:rFonts w:ascii="Arial" w:hAnsi="Arial" w:eastAsia="黑体"/>
      <w:b/>
      <w:kern w:val="0"/>
      <w:sz w:val="32"/>
      <w:szCs w:val="20"/>
    </w:rPr>
  </w:style>
  <w:style w:type="paragraph" w:styleId="5">
    <w:name w:val="heading 5"/>
    <w:basedOn w:val="1"/>
    <w:next w:val="1"/>
    <w:qFormat/>
    <w:uiPriority w:val="1"/>
    <w:pPr>
      <w:ind w:left="1394"/>
      <w:outlineLvl w:val="4"/>
    </w:pPr>
    <w:rPr>
      <w:rFonts w:ascii="微软雅黑" w:hAnsi="微软雅黑" w:eastAsia="微软雅黑" w:cs="微软雅黑"/>
      <w:b/>
      <w:bCs/>
      <w:sz w:val="28"/>
      <w:szCs w:val="28"/>
      <w:lang w:val="zh-CN" w:bidi="zh-CN"/>
    </w:rPr>
  </w:style>
  <w:style w:type="character" w:default="1" w:styleId="17">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2">
    <w:name w:val="table of authorities"/>
    <w:basedOn w:val="1"/>
    <w:next w:val="1"/>
    <w:unhideWhenUsed/>
    <w:qFormat/>
    <w:uiPriority w:val="99"/>
    <w:pPr>
      <w:ind w:left="420" w:leftChars="200"/>
    </w:pPr>
  </w:style>
  <w:style w:type="paragraph" w:styleId="6">
    <w:name w:val="annotation text"/>
    <w:basedOn w:val="1"/>
    <w:link w:val="26"/>
    <w:qFormat/>
    <w:uiPriority w:val="0"/>
    <w:rPr>
      <w:sz w:val="20"/>
      <w:szCs w:val="20"/>
    </w:rPr>
  </w:style>
  <w:style w:type="paragraph" w:styleId="7">
    <w:name w:val="Body Text"/>
    <w:basedOn w:val="1"/>
    <w:qFormat/>
    <w:uiPriority w:val="1"/>
    <w:rPr>
      <w:rFonts w:ascii="宋体" w:hAnsi="宋体" w:eastAsia="宋体" w:cs="宋体"/>
      <w:sz w:val="28"/>
      <w:szCs w:val="28"/>
      <w:lang w:val="zh-CN" w:bidi="zh-CN"/>
    </w:rPr>
  </w:style>
  <w:style w:type="paragraph" w:styleId="8">
    <w:name w:val="Date"/>
    <w:basedOn w:val="1"/>
    <w:next w:val="1"/>
    <w:qFormat/>
    <w:uiPriority w:val="0"/>
    <w:pPr>
      <w:ind w:left="100" w:leftChars="2500"/>
    </w:pPr>
  </w:style>
  <w:style w:type="paragraph" w:styleId="9">
    <w:name w:val="Balloon Text"/>
    <w:basedOn w:val="1"/>
    <w:link w:val="21"/>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4">
    <w:name w:val="Title"/>
    <w:basedOn w:val="1"/>
    <w:next w:val="1"/>
    <w:qFormat/>
    <w:uiPriority w:val="0"/>
    <w:pPr>
      <w:snapToGrid w:val="0"/>
      <w:spacing w:line="540" w:lineRule="exact"/>
      <w:jc w:val="center"/>
    </w:pPr>
    <w:rPr>
      <w:rFonts w:ascii="黑体" w:hAnsi="黑体" w:eastAsia="黑体" w:cs="宋体"/>
      <w:b/>
      <w:sz w:val="36"/>
      <w:szCs w:val="36"/>
    </w:rPr>
  </w:style>
  <w:style w:type="paragraph" w:styleId="15">
    <w:name w:val="annotation subject"/>
    <w:basedOn w:val="6"/>
    <w:next w:val="6"/>
    <w:link w:val="27"/>
    <w:qFormat/>
    <w:uiPriority w:val="0"/>
    <w:pPr>
      <w:jc w:val="left"/>
    </w:pPr>
    <w:rPr>
      <w:b/>
      <w:bCs/>
      <w:sz w:val="21"/>
      <w:szCs w:val="24"/>
    </w:rPr>
  </w:style>
  <w:style w:type="character" w:styleId="18">
    <w:name w:val="FollowedHyperlink"/>
    <w:qFormat/>
    <w:uiPriority w:val="0"/>
    <w:rPr>
      <w:color w:val="000000"/>
      <w:u w:val="none"/>
    </w:rPr>
  </w:style>
  <w:style w:type="character" w:styleId="19">
    <w:name w:val="Hyperlink"/>
    <w:qFormat/>
    <w:uiPriority w:val="0"/>
    <w:rPr>
      <w:color w:val="000000"/>
      <w:u w:val="none"/>
    </w:rPr>
  </w:style>
  <w:style w:type="character" w:styleId="20">
    <w:name w:val="annotation reference"/>
    <w:qFormat/>
    <w:uiPriority w:val="0"/>
    <w:rPr>
      <w:sz w:val="21"/>
      <w:szCs w:val="21"/>
    </w:rPr>
  </w:style>
  <w:style w:type="character" w:customStyle="1" w:styleId="21">
    <w:name w:val="批注框文本 字符"/>
    <w:link w:val="9"/>
    <w:qFormat/>
    <w:uiPriority w:val="0"/>
    <w:rPr>
      <w:kern w:val="2"/>
      <w:sz w:val="18"/>
      <w:szCs w:val="18"/>
    </w:rPr>
  </w:style>
  <w:style w:type="character" w:customStyle="1" w:styleId="22">
    <w:name w:val="标题 2 字符"/>
    <w:link w:val="4"/>
    <w:qFormat/>
    <w:uiPriority w:val="0"/>
    <w:rPr>
      <w:rFonts w:ascii="Arial" w:hAnsi="Arial" w:eastAsia="黑体"/>
      <w:b/>
      <w:kern w:val="0"/>
      <w:sz w:val="32"/>
      <w:szCs w:val="20"/>
    </w:rPr>
  </w:style>
  <w:style w:type="character" w:customStyle="1" w:styleId="23">
    <w:name w:val="标题 1 Char"/>
    <w:qFormat/>
    <w:uiPriority w:val="0"/>
    <w:rPr>
      <w:rFonts w:ascii="Times New Roman" w:hAnsi="Times New Roman"/>
      <w:b/>
      <w:kern w:val="44"/>
      <w:sz w:val="44"/>
      <w:szCs w:val="20"/>
    </w:rPr>
  </w:style>
  <w:style w:type="character" w:customStyle="1" w:styleId="24">
    <w:name w:val="页脚 字符"/>
    <w:link w:val="10"/>
    <w:qFormat/>
    <w:uiPriority w:val="0"/>
    <w:rPr>
      <w:kern w:val="2"/>
      <w:sz w:val="18"/>
      <w:szCs w:val="18"/>
    </w:rPr>
  </w:style>
  <w:style w:type="character" w:customStyle="1" w:styleId="25">
    <w:name w:val="页眉 字符"/>
    <w:link w:val="11"/>
    <w:qFormat/>
    <w:uiPriority w:val="0"/>
    <w:rPr>
      <w:kern w:val="2"/>
      <w:sz w:val="18"/>
      <w:szCs w:val="18"/>
    </w:rPr>
  </w:style>
  <w:style w:type="character" w:customStyle="1" w:styleId="26">
    <w:name w:val="批注文字 字符"/>
    <w:link w:val="6"/>
    <w:qFormat/>
    <w:uiPriority w:val="0"/>
    <w:rPr>
      <w:kern w:val="2"/>
    </w:rPr>
  </w:style>
  <w:style w:type="character" w:customStyle="1" w:styleId="27">
    <w:name w:val="批注主题 字符"/>
    <w:basedOn w:val="26"/>
    <w:link w:val="15"/>
    <w:qFormat/>
    <w:uiPriority w:val="0"/>
    <w:rPr>
      <w:kern w:val="2"/>
    </w:rPr>
  </w:style>
  <w:style w:type="character" w:customStyle="1" w:styleId="28">
    <w:name w:val="标题 1 字符"/>
    <w:link w:val="3"/>
    <w:qFormat/>
    <w:uiPriority w:val="99"/>
    <w:rPr>
      <w:rFonts w:ascii="Times New Roman" w:hAnsi="Times New Roman"/>
      <w:b/>
      <w:kern w:val="44"/>
      <w:sz w:val="44"/>
      <w:szCs w:val="20"/>
    </w:rPr>
  </w:style>
  <w:style w:type="paragraph" w:customStyle="1" w:styleId="29">
    <w:name w:val="WPSOffice手动目录 2"/>
    <w:uiPriority w:val="0"/>
    <w:pPr>
      <w:ind w:left="200" w:leftChars="200"/>
    </w:pPr>
    <w:rPr>
      <w:rFonts w:ascii="Calibri" w:hAnsi="Calibri" w:eastAsia="Calibri" w:cs="Times New Roman"/>
      <w:lang w:val="en-US" w:eastAsia="zh-CN" w:bidi="ar-SA"/>
    </w:rPr>
  </w:style>
  <w:style w:type="paragraph" w:customStyle="1" w:styleId="30">
    <w:name w:val="WPSOffice手动目录 1"/>
    <w:qFormat/>
    <w:uiPriority w:val="0"/>
    <w:rPr>
      <w:rFonts w:ascii="Calibri" w:hAnsi="Calibri" w:eastAsia="Calibri" w:cs="Times New Roman"/>
      <w:lang w:val="en-US" w:eastAsia="zh-CN" w:bidi="ar-SA"/>
    </w:rPr>
  </w:style>
  <w:style w:type="paragraph" w:customStyle="1" w:styleId="31">
    <w:name w:val="WPSOffice手动目录 3"/>
    <w:qFormat/>
    <w:uiPriority w:val="0"/>
    <w:pPr>
      <w:ind w:left="400" w:leftChars="400"/>
    </w:pPr>
    <w:rPr>
      <w:rFonts w:ascii="Calibri" w:hAnsi="Calibri" w:eastAsia="Calibri" w:cs="Times New Roman"/>
      <w:lang w:val="en-US" w:eastAsia="zh-CN" w:bidi="ar-SA"/>
    </w:rPr>
  </w:style>
  <w:style w:type="paragraph" w:styleId="32">
    <w:name w:val="List Paragraph"/>
    <w:basedOn w:val="1"/>
    <w:qFormat/>
    <w:uiPriority w:val="1"/>
    <w:pPr>
      <w:ind w:left="832" w:firstLine="561"/>
    </w:pPr>
    <w:rPr>
      <w:rFonts w:ascii="宋体" w:hAnsi="宋体" w:eastAsia="宋体" w:cs="宋体"/>
      <w:lang w:val="zh-CN" w:bidi="zh-CN"/>
    </w:rPr>
  </w:style>
  <w:style w:type="paragraph" w:customStyle="1" w:styleId="33">
    <w:name w:val="19正文"/>
    <w:basedOn w:val="1"/>
    <w:qFormat/>
    <w:uiPriority w:val="0"/>
    <w:pPr>
      <w:spacing w:line="560" w:lineRule="exact"/>
      <w:ind w:firstLine="602" w:firstLineChars="200"/>
    </w:pPr>
    <w:rPr>
      <w:rFonts w:ascii="仿宋" w:hAnsi="仿宋" w:eastAsia="仿宋"/>
      <w:sz w:val="28"/>
    </w:rPr>
  </w:style>
  <w:style w:type="paragraph" w:customStyle="1" w:styleId="34">
    <w:name w:val="Table Paragraph"/>
    <w:basedOn w:val="1"/>
    <w:qFormat/>
    <w:uiPriority w:val="1"/>
  </w:style>
  <w:style w:type="paragraph" w:customStyle="1" w:styleId="35">
    <w:name w:val="列出段落4"/>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37</Pages>
  <Words>16822</Words>
  <Characters>19181</Characters>
  <Lines>149</Lines>
  <Paragraphs>41</Paragraphs>
  <TotalTime>3</TotalTime>
  <ScaleCrop>false</ScaleCrop>
  <LinksUpToDate>false</LinksUpToDate>
  <CharactersWithSpaces>19693</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2019-03-18T03:04:00Z</dcterms:created>
  <dc:creator>Administrator</dc:creator>
  <cp:lastModifiedBy>芬芬</cp:lastModifiedBy>
  <cp:lastPrinted>2019-03-18T02:14:00Z</cp:lastPrinted>
  <dcterms:modified xsi:type="dcterms:W3CDTF">2022-07-28T05:48:16Z</dcterms:modified>
  <dc:title>关于做好2016年全国职业院校技能大赛</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CB37E8E9E60241AFB7EE17DEBF5E9018</vt:lpwstr>
  </property>
</Properties>
</file>