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val="0"/>
        <w:autoSpaceDN w:val="0"/>
        <w:bidi w:val="0"/>
        <w:adjustRightInd/>
        <w:snapToGrid/>
        <w:spacing w:line="700" w:lineRule="exact"/>
        <w:jc w:val="center"/>
        <w:textAlignment w:val="auto"/>
        <w:rPr>
          <w:rFonts w:hint="eastAsia" w:ascii="方正小标宋简体" w:hAnsi="方正小标宋简体" w:eastAsia="方正小标宋简体" w:cs="方正小标宋简体"/>
          <w:b w:val="0"/>
          <w:bCs/>
          <w:color w:val="auto"/>
          <w:kern w:val="0"/>
          <w:sz w:val="44"/>
          <w:szCs w:val="44"/>
          <w:highlight w:val="none"/>
          <w:lang w:val="en-US" w:eastAsia="zh-CN" w:bidi="ar"/>
        </w:rPr>
      </w:pPr>
      <w:bookmarkStart w:id="2" w:name="_GoBack"/>
      <w:bookmarkEnd w:id="2"/>
      <w:r>
        <w:rPr>
          <w:rFonts w:hint="eastAsia" w:ascii="方正小标宋简体" w:hAnsi="方正小标宋简体" w:eastAsia="方正小标宋简体" w:cs="方正小标宋简体"/>
          <w:b w:val="0"/>
          <w:bCs/>
          <w:color w:val="auto"/>
          <w:kern w:val="0"/>
          <w:sz w:val="44"/>
          <w:szCs w:val="44"/>
          <w:highlight w:val="none"/>
          <w:lang w:val="en-US" w:eastAsia="zh-CN" w:bidi="ar"/>
        </w:rPr>
        <w:t>2022年海南省职业院校技能大赛</w:t>
      </w:r>
    </w:p>
    <w:p>
      <w:pPr>
        <w:keepNext w:val="0"/>
        <w:keepLines w:val="0"/>
        <w:pageBreakBefore w:val="0"/>
        <w:widowControl/>
        <w:suppressLineNumbers w:val="0"/>
        <w:kinsoku/>
        <w:wordWrap/>
        <w:overflowPunct/>
        <w:topLinePunct w:val="0"/>
        <w:autoSpaceDE w:val="0"/>
        <w:autoSpaceDN w:val="0"/>
        <w:bidi w:val="0"/>
        <w:adjustRightInd/>
        <w:snapToGrid/>
        <w:spacing w:line="700" w:lineRule="exact"/>
        <w:jc w:val="center"/>
        <w:textAlignment w:val="auto"/>
        <w:rPr>
          <w:rFonts w:hint="eastAsia" w:ascii="黑体" w:hAnsi="黑体" w:eastAsia="黑体" w:cs="黑体"/>
          <w:b/>
          <w:bCs w:val="0"/>
          <w:color w:val="auto"/>
          <w:kern w:val="0"/>
          <w:sz w:val="32"/>
          <w:szCs w:val="32"/>
          <w:highlight w:val="none"/>
          <w:lang w:val="en-US" w:eastAsia="zh-CN" w:bidi="ar"/>
        </w:rPr>
      </w:pPr>
      <w:r>
        <w:rPr>
          <w:rFonts w:hint="eastAsia" w:ascii="方正小标宋简体" w:hAnsi="方正小标宋简体" w:eastAsia="方正小标宋简体" w:cs="方正小标宋简体"/>
          <w:b w:val="0"/>
          <w:bCs/>
          <w:color w:val="auto"/>
          <w:kern w:val="0"/>
          <w:sz w:val="44"/>
          <w:szCs w:val="44"/>
          <w:highlight w:val="none"/>
          <w:lang w:val="en-US" w:eastAsia="zh-CN" w:bidi="ar"/>
        </w:rPr>
        <w:t>赛项规程</w:t>
      </w:r>
    </w:p>
    <w:p>
      <w:pPr>
        <w:keepNext w:val="0"/>
        <w:keepLines w:val="0"/>
        <w:widowControl/>
        <w:suppressLineNumbers w:val="0"/>
        <w:jc w:val="center"/>
        <w:rPr>
          <w:rFonts w:hint="eastAsia" w:ascii="黑体" w:hAnsi="黑体" w:eastAsia="黑体" w:cs="黑体"/>
          <w:b/>
          <w:bCs w:val="0"/>
          <w:color w:val="auto"/>
          <w:kern w:val="0"/>
          <w:sz w:val="32"/>
          <w:szCs w:val="32"/>
          <w:highlight w:val="none"/>
          <w:lang w:val="en-US" w:eastAsia="zh-CN" w:bidi="ar"/>
        </w:rPr>
      </w:pPr>
    </w:p>
    <w:p>
      <w:pPr>
        <w:pStyle w:val="2"/>
        <w:keepNext w:val="0"/>
        <w:keepLines w:val="0"/>
        <w:pageBreakBefore w:val="0"/>
        <w:kinsoku/>
        <w:wordWrap/>
        <w:overflowPunct/>
        <w:topLinePunct w:val="0"/>
        <w:autoSpaceDE w:val="0"/>
        <w:autoSpaceDN w:val="0"/>
        <w:bidi w:val="0"/>
        <w:adjustRightInd/>
        <w:snapToGrid/>
        <w:spacing w:before="0" w:line="560" w:lineRule="exact"/>
        <w:ind w:left="0" w:leftChars="0" w:firstLine="562"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一、</w:t>
      </w:r>
      <w:r>
        <w:rPr>
          <w:rFonts w:hint="eastAsia" w:asciiTheme="minorEastAsia" w:hAnsiTheme="minorEastAsia" w:eastAsiaTheme="minorEastAsia" w:cstheme="minorEastAsia"/>
          <w:color w:val="auto"/>
          <w:sz w:val="28"/>
          <w:szCs w:val="28"/>
          <w:highlight w:val="none"/>
        </w:rPr>
        <w:t>赛项名称</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赛项名称：健康与社会照护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英文名称：Health and Social Care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left"/>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赛项组别：高职组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left"/>
        <w:textAlignment w:val="auto"/>
        <w:rPr>
          <w:rFonts w:hint="default"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赛项归属产业：健康产业</w:t>
      </w:r>
    </w:p>
    <w:p>
      <w:pPr>
        <w:pStyle w:val="2"/>
        <w:keepNext w:val="0"/>
        <w:keepLines w:val="0"/>
        <w:pageBreakBefore w:val="0"/>
        <w:kinsoku/>
        <w:wordWrap/>
        <w:overflowPunct/>
        <w:topLinePunct w:val="0"/>
        <w:autoSpaceDE w:val="0"/>
        <w:autoSpaceDN w:val="0"/>
        <w:bidi w:val="0"/>
        <w:adjustRightInd/>
        <w:snapToGrid/>
        <w:spacing w:before="0" w:line="560" w:lineRule="exact"/>
        <w:ind w:left="0" w:leftChars="0" w:firstLine="562"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二、</w:t>
      </w:r>
      <w:r>
        <w:rPr>
          <w:rFonts w:hint="eastAsia" w:asciiTheme="minorEastAsia" w:hAnsiTheme="minorEastAsia" w:eastAsiaTheme="minorEastAsia" w:cstheme="minorEastAsia"/>
          <w:color w:val="auto"/>
          <w:sz w:val="28"/>
          <w:szCs w:val="28"/>
          <w:highlight w:val="none"/>
        </w:rPr>
        <w:t>竞赛目的</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本次技能大赛发挥对职业教育的“树旗、导航、定标、催化”作用，基于教学、高于教学、引领教学，围绕社会需求、岗位需求，进一步推进大赛科学化、规范化，对接国际、行业、职业等标准，遵循安全、质量、公平、廉洁的原则，“以赛促教、以赛促学、以赛促改”，紧跟健康产业行业发展，在培养高技能人才、促进职业教育高质量发展等方面起到示范、引领作用。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kern w:val="0"/>
          <w:sz w:val="28"/>
          <w:szCs w:val="28"/>
          <w:highlight w:val="none"/>
          <w:lang w:val="en-US" w:eastAsia="zh-CN" w:bidi="ar"/>
        </w:rPr>
        <w:t xml:space="preserve">（一）检验高等职业院校教学成果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本赛项以“人”为中心，实现全生命周期人群整体照护，以此理念检验高等职业院校在健康与社会照护方面技能人才培养水平，检验职业院校人才提供方与行业、产业需求的契合度，检验深化产教融合、校企合作、现代学徒制等建设成果。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kern w:val="0"/>
          <w:sz w:val="28"/>
          <w:szCs w:val="28"/>
          <w:highlight w:val="none"/>
          <w:lang w:val="en-US" w:eastAsia="zh-CN" w:bidi="ar"/>
        </w:rPr>
        <w:t>（二）深化专业融合发展，推动岗课赛证融合</w:t>
      </w:r>
      <w:r>
        <w:rPr>
          <w:rFonts w:hint="eastAsia" w:asciiTheme="minorEastAsia" w:hAnsiTheme="minorEastAsia" w:eastAsiaTheme="minorEastAsia" w:cstheme="minorEastAsia"/>
          <w:color w:val="auto"/>
          <w:kern w:val="0"/>
          <w:sz w:val="28"/>
          <w:szCs w:val="28"/>
          <w:highlight w:val="none"/>
          <w:lang w:val="en-US" w:eastAsia="zh-CN" w:bidi="ar"/>
        </w:rPr>
        <w:t xml:space="preserve">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健康与社会照护赛项与医康养护行业相关度高，围绕岗位所需，紧贴行业、产业与社会实际，通过大赛引领职业院校适应大健康产业的发展趋势，加快相关技能人才培养模式改革，深化与行业、产业深度融合，体现工作任务的真实性和完整性，提升学生创新能力、实践能力、解决问题和应变能力等综合能力，推进岗课赛证融合，为健康中国贡献力量。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left"/>
        <w:textAlignment w:val="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kern w:val="0"/>
          <w:sz w:val="28"/>
          <w:szCs w:val="28"/>
          <w:highlight w:val="none"/>
          <w:lang w:val="en-US" w:eastAsia="zh-CN" w:bidi="ar"/>
        </w:rPr>
        <w:t xml:space="preserve">（三）瞄准世界高水平，促进广泛参与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本次大赛吸纳世界技能大赛健康与社会照护赛项相关技术标准，结合我国实际，突出以“照护对象”为中心，还原真实情景、体现完整任务，对参赛选手知识技能、责任、体力、精力、耐力进行综合考验，希望更广泛的职业院校师生参与到健康与社会照护之中，促进高水平赛事推动职业教育高质量发展。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kern w:val="0"/>
          <w:sz w:val="28"/>
          <w:szCs w:val="28"/>
          <w:highlight w:val="none"/>
          <w:lang w:val="en-US" w:eastAsia="zh-CN" w:bidi="ar"/>
        </w:rPr>
        <w:t xml:space="preserve">（四）营造崇尚技能的社会氛围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通过大赛让更多人了解职业技能的专业性和实际贡献，营造尊重劳动、崇尚技能的浓厚氛围，让更多青年走技能成才之路，成为大国工匠、能工巧匠、高素质技术技能人才。</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三、竞赛内容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健康与社会照护赛项是指参赛选手在不同场合，包括医院、机构、社区以及居家，为需要的人群提供专业的照护服务，通过评估、计划、实施和评价等工作，确保促进他们的生理和心理健康、疾病康复，改善其生活质量，使其整体照护需求得到满足。本赛项选手需要掌握和理解的知识及技能要求如下。 </w:t>
      </w:r>
    </w:p>
    <w:tbl>
      <w:tblPr>
        <w:tblStyle w:val="7"/>
        <w:tblpPr w:leftFromText="180" w:rightFromText="180" w:vertAnchor="text" w:horzAnchor="page" w:tblpX="1103" w:tblpY="304"/>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3"/>
        <w:gridCol w:w="88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spacing w:before="2"/>
              <w:ind w:left="0"/>
              <w:rPr>
                <w:rFonts w:hint="eastAsia" w:asciiTheme="minorEastAsia" w:hAnsiTheme="minorEastAsia" w:eastAsiaTheme="minorEastAsia" w:cstheme="minorEastAsia"/>
                <w:color w:val="auto"/>
                <w:sz w:val="24"/>
                <w:szCs w:val="24"/>
                <w:highlight w:val="none"/>
              </w:rPr>
            </w:pPr>
          </w:p>
          <w:p>
            <w:pPr>
              <w:pStyle w:val="11"/>
              <w:ind w:left="7"/>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w w:val="99"/>
                <w:sz w:val="24"/>
                <w:szCs w:val="24"/>
                <w:highlight w:val="none"/>
              </w:rPr>
              <w:t>1</w:t>
            </w:r>
          </w:p>
        </w:tc>
        <w:tc>
          <w:tcPr>
            <w:tcW w:w="8874" w:type="dxa"/>
            <w:vAlign w:val="top"/>
          </w:tcPr>
          <w:p>
            <w:pPr>
              <w:pStyle w:val="11"/>
              <w:spacing w:before="197"/>
              <w:ind w:left="1984" w:right="1976"/>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工作中组织与管理的能力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spacing w:before="4"/>
              <w:ind w:left="0"/>
              <w:rPr>
                <w:rFonts w:hint="eastAsia" w:asciiTheme="minorEastAsia" w:hAnsiTheme="minorEastAsia" w:eastAsiaTheme="minorEastAsia" w:cstheme="minorEastAsia"/>
                <w:color w:val="auto"/>
                <w:sz w:val="24"/>
                <w:szCs w:val="24"/>
                <w:highlight w:val="none"/>
              </w:rPr>
            </w:pPr>
          </w:p>
          <w:p>
            <w:pPr>
              <w:pStyle w:val="11"/>
              <w:spacing w:line="417" w:lineRule="auto"/>
              <w:ind w:left="204" w:right="19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知识</w:t>
            </w:r>
          </w:p>
        </w:tc>
        <w:tc>
          <w:tcPr>
            <w:tcW w:w="8874" w:type="dxa"/>
            <w:vAlign w:val="top"/>
          </w:tcPr>
          <w:p>
            <w:pPr>
              <w:pStyle w:val="11"/>
              <w:numPr>
                <w:ilvl w:val="0"/>
                <w:numId w:val="1"/>
              </w:numPr>
              <w:tabs>
                <w:tab w:val="left" w:pos="673"/>
              </w:tabs>
              <w:spacing w:before="2"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健康、安全、环保、卫生法规、指南、常规和相关文件</w:t>
            </w:r>
          </w:p>
          <w:p>
            <w:pPr>
              <w:pStyle w:val="11"/>
              <w:numPr>
                <w:ilvl w:val="0"/>
                <w:numId w:val="1"/>
              </w:numPr>
              <w:tabs>
                <w:tab w:val="left" w:pos="673"/>
              </w:tabs>
              <w:spacing w:before="2"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感染风险及控制知识与方法</w:t>
            </w:r>
          </w:p>
          <w:p>
            <w:pPr>
              <w:pStyle w:val="11"/>
              <w:numPr>
                <w:ilvl w:val="0"/>
                <w:numId w:val="1"/>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职业制服和个人防护服用品的使用方法</w:t>
            </w:r>
          </w:p>
          <w:p>
            <w:pPr>
              <w:pStyle w:val="11"/>
              <w:numPr>
                <w:ilvl w:val="0"/>
                <w:numId w:val="1"/>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照护物品、设备及材料能够正确选择、有效使用并安全储存与处置</w:t>
            </w:r>
          </w:p>
          <w:p>
            <w:pPr>
              <w:pStyle w:val="11"/>
              <w:numPr>
                <w:ilvl w:val="0"/>
                <w:numId w:val="1"/>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药物使用的理论和方法</w:t>
            </w:r>
          </w:p>
          <w:p>
            <w:pPr>
              <w:pStyle w:val="11"/>
              <w:numPr>
                <w:ilvl w:val="0"/>
                <w:numId w:val="1"/>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时间管理和合理安排工作的原则</w:t>
            </w:r>
          </w:p>
          <w:p>
            <w:pPr>
              <w:pStyle w:val="11"/>
              <w:numPr>
                <w:ilvl w:val="0"/>
                <w:numId w:val="1"/>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符合人体力学原则、节力及自我保护的重要性</w:t>
            </w:r>
          </w:p>
          <w:p>
            <w:pPr>
              <w:pStyle w:val="11"/>
              <w:numPr>
                <w:ilvl w:val="0"/>
                <w:numId w:val="1"/>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环保工作实践的重要性</w:t>
            </w:r>
          </w:p>
          <w:p>
            <w:pPr>
              <w:pStyle w:val="11"/>
              <w:numPr>
                <w:ilvl w:val="0"/>
                <w:numId w:val="1"/>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绿色可持续发展的重要性（如节约使用物品等资源）</w:t>
            </w:r>
          </w:p>
          <w:p>
            <w:pPr>
              <w:pStyle w:val="11"/>
              <w:numPr>
                <w:ilvl w:val="0"/>
                <w:numId w:val="1"/>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与他人协作的重要性</w:t>
            </w:r>
          </w:p>
          <w:p>
            <w:pPr>
              <w:pStyle w:val="11"/>
              <w:numPr>
                <w:ilvl w:val="0"/>
                <w:numId w:val="1"/>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加强教育培训，不断提升职业素养能力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spacing w:before="1"/>
              <w:ind w:left="0"/>
              <w:rPr>
                <w:rFonts w:hint="eastAsia" w:asciiTheme="minorEastAsia" w:hAnsiTheme="minorEastAsia" w:eastAsiaTheme="minorEastAsia" w:cstheme="minorEastAsia"/>
                <w:color w:val="auto"/>
                <w:sz w:val="24"/>
                <w:szCs w:val="24"/>
                <w:highlight w:val="none"/>
              </w:rPr>
            </w:pPr>
          </w:p>
          <w:p>
            <w:pPr>
              <w:pStyle w:val="11"/>
              <w:spacing w:line="417" w:lineRule="auto"/>
              <w:ind w:left="204" w:right="19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技能</w:t>
            </w:r>
          </w:p>
        </w:tc>
        <w:tc>
          <w:tcPr>
            <w:tcW w:w="8874" w:type="dxa"/>
            <w:vAlign w:val="top"/>
          </w:tcPr>
          <w:p>
            <w:pPr>
              <w:pStyle w:val="11"/>
              <w:numPr>
                <w:ilvl w:val="0"/>
                <w:numId w:val="2"/>
              </w:numPr>
              <w:tabs>
                <w:tab w:val="left" w:pos="673"/>
              </w:tabs>
              <w:spacing w:before="2"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遵循健康、安全、卫生标准、法规及规章制度</w:t>
            </w:r>
          </w:p>
          <w:p>
            <w:pPr>
              <w:pStyle w:val="11"/>
              <w:numPr>
                <w:ilvl w:val="0"/>
                <w:numId w:val="2"/>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采取适合的卫生措施预防感染</w:t>
            </w:r>
          </w:p>
          <w:p>
            <w:pPr>
              <w:pStyle w:val="11"/>
              <w:numPr>
                <w:ilvl w:val="0"/>
                <w:numId w:val="2"/>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识别和使用适当的制服和个人防护服（包括安全鞋）</w:t>
            </w:r>
          </w:p>
          <w:p>
            <w:pPr>
              <w:pStyle w:val="11"/>
              <w:numPr>
                <w:ilvl w:val="0"/>
                <w:numId w:val="2"/>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正确选择并安全、有效/高效使用照护物品、设备、材料及存放和处置</w:t>
            </w:r>
          </w:p>
          <w:p>
            <w:pPr>
              <w:pStyle w:val="11"/>
              <w:numPr>
                <w:ilvl w:val="0"/>
                <w:numId w:val="3"/>
              </w:numPr>
              <w:tabs>
                <w:tab w:val="left" w:pos="673"/>
              </w:tabs>
              <w:spacing w:before="2"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根据规范确保安全储存及使用药物</w:t>
            </w:r>
          </w:p>
          <w:p>
            <w:pPr>
              <w:pStyle w:val="11"/>
              <w:numPr>
                <w:ilvl w:val="0"/>
                <w:numId w:val="3"/>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根据需要计划、安排工作，分配优先顺序</w:t>
            </w:r>
          </w:p>
          <w:p>
            <w:pPr>
              <w:pStyle w:val="11"/>
              <w:numPr>
                <w:ilvl w:val="0"/>
                <w:numId w:val="3"/>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确保工作实践安全且符合人体力学</w:t>
            </w:r>
          </w:p>
          <w:p>
            <w:pPr>
              <w:pStyle w:val="11"/>
              <w:numPr>
                <w:ilvl w:val="0"/>
                <w:numId w:val="3"/>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正确处理废弃物，绿色环保可持续</w:t>
            </w:r>
          </w:p>
          <w:p>
            <w:pPr>
              <w:pStyle w:val="11"/>
              <w:numPr>
                <w:ilvl w:val="0"/>
                <w:numId w:val="3"/>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与同行、其他从业者有效/高效合作</w:t>
            </w:r>
          </w:p>
          <w:p>
            <w:pPr>
              <w:pStyle w:val="11"/>
              <w:numPr>
                <w:ilvl w:val="0"/>
                <w:numId w:val="3"/>
              </w:numPr>
              <w:tabs>
                <w:tab w:val="left" w:pos="673"/>
              </w:tabs>
              <w:spacing w:before="2" w:after="0" w:line="310" w:lineRule="atLeast"/>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及时学习并能运用最新的实践标准和法律法规</w:t>
            </w:r>
            <w:r>
              <w:rPr>
                <w:rFonts w:hint="eastAsia" w:asciiTheme="minorEastAsia" w:hAnsiTheme="minorEastAsia" w:eastAsiaTheme="minorEastAsia" w:cstheme="minorEastAsia"/>
                <w:color w:val="auto"/>
                <w:spacing w:val="-3"/>
                <w:sz w:val="24"/>
                <w:szCs w:val="24"/>
                <w:highlight w:val="none"/>
              </w:rPr>
              <w:t>（</w:t>
            </w:r>
            <w:r>
              <w:rPr>
                <w:rFonts w:hint="eastAsia" w:asciiTheme="minorEastAsia" w:hAnsiTheme="minorEastAsia" w:eastAsiaTheme="minorEastAsia" w:cstheme="minorEastAsia"/>
                <w:color w:val="auto"/>
                <w:spacing w:val="-6"/>
                <w:sz w:val="24"/>
                <w:szCs w:val="24"/>
                <w:highlight w:val="none"/>
              </w:rPr>
              <w:t>如运动安全、健康与</w:t>
            </w:r>
            <w:r>
              <w:rPr>
                <w:rFonts w:hint="eastAsia" w:asciiTheme="minorEastAsia" w:hAnsiTheme="minorEastAsia" w:eastAsiaTheme="minorEastAsia" w:cstheme="minorEastAsia"/>
                <w:color w:val="auto"/>
                <w:sz w:val="24"/>
                <w:szCs w:val="24"/>
                <w:highlight w:val="none"/>
              </w:rPr>
              <w:t>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spacing w:before="1"/>
              <w:ind w:left="0"/>
              <w:rPr>
                <w:rFonts w:hint="eastAsia" w:asciiTheme="minorEastAsia" w:hAnsiTheme="minorEastAsia" w:eastAsiaTheme="minorEastAsia" w:cstheme="minorEastAsia"/>
                <w:color w:val="auto"/>
                <w:sz w:val="24"/>
                <w:szCs w:val="24"/>
                <w:highlight w:val="none"/>
              </w:rPr>
            </w:pPr>
          </w:p>
          <w:p>
            <w:pPr>
              <w:pStyle w:val="11"/>
              <w:ind w:left="7"/>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w w:val="99"/>
                <w:sz w:val="24"/>
                <w:szCs w:val="24"/>
                <w:highlight w:val="none"/>
              </w:rPr>
              <w:t>2</w:t>
            </w:r>
          </w:p>
        </w:tc>
        <w:tc>
          <w:tcPr>
            <w:tcW w:w="8874" w:type="dxa"/>
            <w:vAlign w:val="top"/>
          </w:tcPr>
          <w:p>
            <w:pPr>
              <w:pStyle w:val="11"/>
              <w:spacing w:before="196"/>
              <w:ind w:left="1984" w:right="1973"/>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沟通和人际交往的能力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Merge w:val="restart"/>
            <w:vAlign w:val="top"/>
          </w:tcPr>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spacing w:before="248" w:line="417" w:lineRule="auto"/>
              <w:ind w:left="204" w:right="19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知识</w:t>
            </w:r>
          </w:p>
        </w:tc>
        <w:tc>
          <w:tcPr>
            <w:tcW w:w="8874" w:type="dxa"/>
            <w:tcBorders>
              <w:bottom w:val="nil"/>
            </w:tcBorders>
            <w:vAlign w:val="top"/>
          </w:tcPr>
          <w:p>
            <w:pPr>
              <w:pStyle w:val="11"/>
              <w:numPr>
                <w:ilvl w:val="0"/>
                <w:numId w:val="4"/>
              </w:numPr>
              <w:tabs>
                <w:tab w:val="left" w:pos="673"/>
              </w:tabs>
              <w:spacing w:before="2"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树立和保持客户信心的重要性</w:t>
            </w:r>
          </w:p>
          <w:p>
            <w:pPr>
              <w:pStyle w:val="11"/>
              <w:numPr>
                <w:ilvl w:val="0"/>
                <w:numId w:val="4"/>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与客户及家属建立和维持相互信任、合作关系的重要性</w:t>
            </w:r>
          </w:p>
          <w:p>
            <w:pPr>
              <w:pStyle w:val="11"/>
              <w:numPr>
                <w:ilvl w:val="0"/>
                <w:numId w:val="4"/>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遵守客户及家人的信息保密和隐私保护相关规定</w:t>
            </w:r>
          </w:p>
          <w:p>
            <w:pPr>
              <w:pStyle w:val="11"/>
              <w:numPr>
                <w:ilvl w:val="0"/>
                <w:numId w:val="4"/>
              </w:numPr>
              <w:tabs>
                <w:tab w:val="left" w:pos="673"/>
              </w:tabs>
              <w:spacing w:before="2" w:after="0" w:line="310" w:lineRule="atLeast"/>
              <w:ind w:left="107" w:right="28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帮助客户从疾病中康复到自我成长及了解与其伴随的疾病和健康教</w:t>
            </w:r>
            <w:r>
              <w:rPr>
                <w:rFonts w:hint="eastAsia" w:asciiTheme="minorEastAsia" w:hAnsiTheme="minorEastAsia" w:eastAsiaTheme="minorEastAsia" w:cstheme="minorEastAsia"/>
                <w:color w:val="auto"/>
                <w:sz w:val="24"/>
                <w:szCs w:val="24"/>
                <w:highlight w:val="none"/>
              </w:rPr>
              <w:t>育等的方法与技术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Merge w:val="continue"/>
            <w:tcBorders>
              <w:top w:val="nil"/>
            </w:tcBorders>
            <w:vAlign w:val="top"/>
          </w:tcPr>
          <w:p>
            <w:pPr>
              <w:rPr>
                <w:rFonts w:hint="eastAsia" w:asciiTheme="minorEastAsia" w:hAnsiTheme="minorEastAsia" w:eastAsiaTheme="minorEastAsia" w:cstheme="minorEastAsia"/>
                <w:color w:val="auto"/>
                <w:sz w:val="24"/>
                <w:szCs w:val="24"/>
                <w:highlight w:val="none"/>
              </w:rPr>
            </w:pPr>
          </w:p>
        </w:tc>
        <w:tc>
          <w:tcPr>
            <w:tcW w:w="8874" w:type="dxa"/>
            <w:tcBorders>
              <w:top w:val="nil"/>
            </w:tcBorders>
            <w:vAlign w:val="top"/>
          </w:tcPr>
          <w:p>
            <w:pPr>
              <w:pStyle w:val="11"/>
              <w:numPr>
                <w:ilvl w:val="0"/>
                <w:numId w:val="5"/>
              </w:numPr>
              <w:tabs>
                <w:tab w:val="left" w:pos="673"/>
              </w:tabs>
              <w:spacing w:before="0" w:after="0" w:line="304" w:lineRule="exact"/>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在健康促进范畴内与客户和/或家人达成共识的方法</w:t>
            </w:r>
          </w:p>
          <w:p>
            <w:pPr>
              <w:pStyle w:val="11"/>
              <w:numPr>
                <w:ilvl w:val="0"/>
                <w:numId w:val="5"/>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解决矛盾冲突和误解的方法</w:t>
            </w:r>
          </w:p>
          <w:p>
            <w:pPr>
              <w:pStyle w:val="11"/>
              <w:numPr>
                <w:ilvl w:val="0"/>
                <w:numId w:val="5"/>
              </w:numPr>
              <w:tabs>
                <w:tab w:val="left" w:pos="673"/>
              </w:tabs>
              <w:spacing w:before="2" w:after="0" w:line="310" w:lineRule="atLeast"/>
              <w:ind w:left="107" w:right="97" w:firstLine="480"/>
              <w:jc w:val="left"/>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与有沟通或认知障碍客户的沟通交流的技能和方法，如：认知症、听</w:t>
            </w:r>
            <w:r>
              <w:rPr>
                <w:rFonts w:hint="eastAsia" w:asciiTheme="minorEastAsia" w:hAnsiTheme="minorEastAsia" w:eastAsiaTheme="minorEastAsia" w:cstheme="minorEastAsia"/>
                <w:color w:val="auto"/>
                <w:sz w:val="24"/>
                <w:szCs w:val="24"/>
                <w:highlight w:val="none"/>
              </w:rPr>
              <w:t>力障碍等</w:t>
            </w:r>
          </w:p>
          <w:p>
            <w:pPr>
              <w:pStyle w:val="11"/>
              <w:numPr>
                <w:ilvl w:val="0"/>
                <w:numId w:val="6"/>
              </w:numPr>
              <w:tabs>
                <w:tab w:val="left" w:pos="673"/>
              </w:tabs>
              <w:spacing w:before="0" w:after="0" w:line="305" w:lineRule="exact"/>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准确记录信息的重要性</w:t>
            </w:r>
          </w:p>
          <w:p>
            <w:pPr>
              <w:pStyle w:val="11"/>
              <w:numPr>
                <w:ilvl w:val="0"/>
                <w:numId w:val="6"/>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专业的与客户及家人进行互动方法</w:t>
            </w:r>
          </w:p>
          <w:p>
            <w:pPr>
              <w:pStyle w:val="11"/>
              <w:numPr>
                <w:ilvl w:val="0"/>
                <w:numId w:val="6"/>
              </w:numPr>
              <w:tabs>
                <w:tab w:val="left" w:pos="673"/>
              </w:tabs>
              <w:spacing w:before="2" w:after="0" w:line="310" w:lineRule="atLeast"/>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建立和维护高效工作关系的重要性，并能参与团队中其他相关从业人</w:t>
            </w:r>
            <w:r>
              <w:rPr>
                <w:rFonts w:hint="eastAsia" w:asciiTheme="minorEastAsia" w:hAnsiTheme="minorEastAsia" w:eastAsiaTheme="minorEastAsia" w:cstheme="minorEastAsia"/>
                <w:color w:val="auto"/>
                <w:sz w:val="24"/>
                <w:szCs w:val="24"/>
                <w:highlight w:val="none"/>
              </w:rPr>
              <w:t>员的角色、能力和要求，掌握合作和互动方法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spacing w:before="5"/>
              <w:ind w:left="0"/>
              <w:rPr>
                <w:rFonts w:hint="eastAsia" w:asciiTheme="minorEastAsia" w:hAnsiTheme="minorEastAsia" w:eastAsiaTheme="minorEastAsia" w:cstheme="minorEastAsia"/>
                <w:color w:val="auto"/>
                <w:sz w:val="24"/>
                <w:szCs w:val="24"/>
                <w:highlight w:val="none"/>
              </w:rPr>
            </w:pPr>
          </w:p>
          <w:p>
            <w:pPr>
              <w:pStyle w:val="11"/>
              <w:spacing w:before="1" w:line="417" w:lineRule="auto"/>
              <w:ind w:left="204" w:right="19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技能</w:t>
            </w:r>
          </w:p>
        </w:tc>
        <w:tc>
          <w:tcPr>
            <w:tcW w:w="8874" w:type="dxa"/>
            <w:vAlign w:val="top"/>
          </w:tcPr>
          <w:p>
            <w:pPr>
              <w:pStyle w:val="11"/>
              <w:numPr>
                <w:ilvl w:val="0"/>
                <w:numId w:val="7"/>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对客户保持专业而敏锐的观察能力</w:t>
            </w:r>
          </w:p>
          <w:p>
            <w:pPr>
              <w:pStyle w:val="11"/>
              <w:numPr>
                <w:ilvl w:val="0"/>
                <w:numId w:val="7"/>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保持良好的职业素养和专业行为，包括仪容仪表</w:t>
            </w:r>
          </w:p>
          <w:p>
            <w:pPr>
              <w:pStyle w:val="11"/>
              <w:numPr>
                <w:ilvl w:val="0"/>
                <w:numId w:val="7"/>
              </w:numPr>
              <w:tabs>
                <w:tab w:val="left" w:pos="673"/>
              </w:tabs>
              <w:spacing w:before="5" w:after="0" w:line="242" w:lineRule="auto"/>
              <w:ind w:left="107" w:right="4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在合适的情境下，采用正确的方式与客户进行开放式或闭合式交流， </w:t>
            </w:r>
            <w:r>
              <w:rPr>
                <w:rFonts w:hint="eastAsia" w:asciiTheme="minorEastAsia" w:hAnsiTheme="minorEastAsia" w:eastAsiaTheme="minorEastAsia" w:cstheme="minorEastAsia"/>
                <w:color w:val="auto"/>
                <w:sz w:val="24"/>
                <w:szCs w:val="24"/>
                <w:highlight w:val="none"/>
              </w:rPr>
              <w:t>建立和谐关系</w:t>
            </w:r>
          </w:p>
          <w:p>
            <w:pPr>
              <w:pStyle w:val="11"/>
              <w:numPr>
                <w:ilvl w:val="0"/>
                <w:numId w:val="7"/>
              </w:numPr>
              <w:tabs>
                <w:tab w:val="left" w:pos="673"/>
              </w:tabs>
              <w:spacing w:before="2"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尊重客户有接受和拒绝照护的自主性和权力，始终对客户诚实</w:t>
            </w:r>
          </w:p>
          <w:p>
            <w:pPr>
              <w:pStyle w:val="11"/>
              <w:numPr>
                <w:ilvl w:val="0"/>
                <w:numId w:val="7"/>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尊重客户的文化和信仰</w:t>
            </w:r>
          </w:p>
          <w:p>
            <w:pPr>
              <w:pStyle w:val="11"/>
              <w:numPr>
                <w:ilvl w:val="0"/>
                <w:numId w:val="7"/>
              </w:numPr>
              <w:tabs>
                <w:tab w:val="left" w:pos="673"/>
              </w:tabs>
              <w:spacing w:before="4"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照护过程中采用治疗性沟通方式，包括：主动倾听、提问技巧、非语</w:t>
            </w:r>
            <w:r>
              <w:rPr>
                <w:rFonts w:hint="eastAsia" w:asciiTheme="minorEastAsia" w:hAnsiTheme="minorEastAsia" w:eastAsiaTheme="minorEastAsia" w:cstheme="minorEastAsia"/>
                <w:color w:val="auto"/>
                <w:sz w:val="24"/>
                <w:szCs w:val="24"/>
                <w:highlight w:val="none"/>
              </w:rPr>
              <w:t>言沟通方法、以及采用恰当的健康教育技能</w:t>
            </w:r>
          </w:p>
          <w:p>
            <w:pPr>
              <w:pStyle w:val="11"/>
              <w:numPr>
                <w:ilvl w:val="0"/>
                <w:numId w:val="7"/>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指导客户学会新的“生活技能”</w:t>
            </w:r>
          </w:p>
          <w:p>
            <w:pPr>
              <w:pStyle w:val="11"/>
              <w:numPr>
                <w:ilvl w:val="0"/>
                <w:numId w:val="7"/>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以专业的方法与有沟通或认知障碍的客户进行沟通交流</w:t>
            </w:r>
          </w:p>
          <w:p>
            <w:pPr>
              <w:pStyle w:val="11"/>
              <w:numPr>
                <w:ilvl w:val="0"/>
                <w:numId w:val="7"/>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以适当的方式与客户家属进行专业有效的沟通，确保以客户需求为中</w:t>
            </w:r>
          </w:p>
          <w:p>
            <w:pPr>
              <w:pStyle w:val="11"/>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心</w:t>
            </w:r>
          </w:p>
          <w:p>
            <w:pPr>
              <w:pStyle w:val="11"/>
              <w:numPr>
                <w:ilvl w:val="0"/>
                <w:numId w:val="7"/>
              </w:numPr>
              <w:tabs>
                <w:tab w:val="left" w:pos="673"/>
              </w:tabs>
              <w:spacing w:before="4"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以满足客户自主性和需求为导向，与同事、医务人员、客户及其家属</w:t>
            </w:r>
            <w:r>
              <w:rPr>
                <w:rFonts w:hint="eastAsia" w:asciiTheme="minorEastAsia" w:hAnsiTheme="minorEastAsia" w:eastAsiaTheme="minorEastAsia" w:cstheme="minorEastAsia"/>
                <w:color w:val="auto"/>
                <w:sz w:val="24"/>
                <w:szCs w:val="24"/>
                <w:highlight w:val="none"/>
              </w:rPr>
              <w:t>协商，寻求最适合的照护类型和水平</w:t>
            </w:r>
          </w:p>
          <w:p>
            <w:pPr>
              <w:pStyle w:val="11"/>
              <w:numPr>
                <w:ilvl w:val="0"/>
                <w:numId w:val="7"/>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与参与照护的同事及其他专业人员始终能保持有效的语言和书面沟</w:t>
            </w:r>
          </w:p>
          <w:p>
            <w:pPr>
              <w:pStyle w:val="11"/>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通</w:t>
            </w:r>
          </w:p>
          <w:p>
            <w:pPr>
              <w:pStyle w:val="11"/>
              <w:numPr>
                <w:ilvl w:val="0"/>
                <w:numId w:val="7"/>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用正确的格式记录客户信息（如记录单）</w:t>
            </w:r>
          </w:p>
          <w:p>
            <w:pPr>
              <w:pStyle w:val="11"/>
              <w:numPr>
                <w:ilvl w:val="0"/>
                <w:numId w:val="7"/>
              </w:numPr>
              <w:tabs>
                <w:tab w:val="left" w:pos="673"/>
              </w:tabs>
              <w:spacing w:before="5" w:after="0" w:line="289" w:lineRule="exact"/>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在专业讨论中能表述和呈现客户情况及具体案例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spacing w:before="1"/>
              <w:ind w:left="0"/>
              <w:rPr>
                <w:rFonts w:hint="eastAsia" w:asciiTheme="minorEastAsia" w:hAnsiTheme="minorEastAsia" w:eastAsiaTheme="minorEastAsia" w:cstheme="minorEastAsia"/>
                <w:color w:val="auto"/>
                <w:sz w:val="24"/>
                <w:szCs w:val="24"/>
                <w:highlight w:val="none"/>
              </w:rPr>
            </w:pPr>
          </w:p>
          <w:p>
            <w:pPr>
              <w:pStyle w:val="11"/>
              <w:ind w:left="7"/>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w w:val="99"/>
                <w:sz w:val="24"/>
                <w:szCs w:val="24"/>
                <w:highlight w:val="none"/>
              </w:rPr>
              <w:t>3</w:t>
            </w:r>
          </w:p>
        </w:tc>
        <w:tc>
          <w:tcPr>
            <w:tcW w:w="8874" w:type="dxa"/>
            <w:vAlign w:val="top"/>
          </w:tcPr>
          <w:p>
            <w:pPr>
              <w:pStyle w:val="11"/>
              <w:spacing w:before="196"/>
              <w:ind w:left="1984" w:right="1973"/>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解决问题与创新的能力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spacing w:before="7"/>
              <w:ind w:left="0"/>
              <w:rPr>
                <w:rFonts w:hint="eastAsia" w:asciiTheme="minorEastAsia" w:hAnsiTheme="minorEastAsia" w:eastAsiaTheme="minorEastAsia" w:cstheme="minorEastAsia"/>
                <w:color w:val="auto"/>
                <w:sz w:val="24"/>
                <w:szCs w:val="24"/>
                <w:highlight w:val="none"/>
              </w:rPr>
            </w:pPr>
          </w:p>
          <w:p>
            <w:pPr>
              <w:pStyle w:val="11"/>
              <w:spacing w:before="1" w:line="417" w:lineRule="auto"/>
              <w:ind w:left="204" w:right="19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知识</w:t>
            </w:r>
          </w:p>
        </w:tc>
        <w:tc>
          <w:tcPr>
            <w:tcW w:w="8874" w:type="dxa"/>
            <w:vAlign w:val="top"/>
          </w:tcPr>
          <w:p>
            <w:pPr>
              <w:pStyle w:val="11"/>
              <w:numPr>
                <w:ilvl w:val="0"/>
                <w:numId w:val="8"/>
              </w:numPr>
              <w:tabs>
                <w:tab w:val="left" w:pos="673"/>
              </w:tabs>
              <w:spacing w:before="2"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熟悉健康和社会照护工作中常见的场景和类型</w:t>
            </w:r>
          </w:p>
          <w:p>
            <w:pPr>
              <w:pStyle w:val="11"/>
              <w:numPr>
                <w:ilvl w:val="0"/>
                <w:numId w:val="8"/>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常见的各种症状、原因、应急处理</w:t>
            </w:r>
          </w:p>
          <w:p>
            <w:pPr>
              <w:pStyle w:val="11"/>
              <w:numPr>
                <w:ilvl w:val="0"/>
                <w:numId w:val="8"/>
              </w:numPr>
              <w:tabs>
                <w:tab w:val="left" w:pos="673"/>
              </w:tabs>
              <w:spacing w:before="5"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当客户及家人不愿意就出现的问题进行讨论时，分析其原因以及应对</w:t>
            </w:r>
            <w:r>
              <w:rPr>
                <w:rFonts w:hint="eastAsia" w:asciiTheme="minorEastAsia" w:hAnsiTheme="minorEastAsia" w:eastAsiaTheme="minorEastAsia" w:cstheme="minorEastAsia"/>
                <w:color w:val="auto"/>
                <w:sz w:val="24"/>
                <w:szCs w:val="24"/>
                <w:highlight w:val="none"/>
              </w:rPr>
              <w:t>方法</w:t>
            </w:r>
          </w:p>
          <w:p>
            <w:pPr>
              <w:pStyle w:val="11"/>
              <w:numPr>
                <w:ilvl w:val="0"/>
                <w:numId w:val="8"/>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与客户合作，并尊重其解决问题的愿望的重要性</w:t>
            </w:r>
          </w:p>
          <w:p>
            <w:pPr>
              <w:pStyle w:val="11"/>
              <w:numPr>
                <w:ilvl w:val="0"/>
                <w:numId w:val="8"/>
              </w:numPr>
              <w:tabs>
                <w:tab w:val="left" w:pos="673"/>
              </w:tabs>
              <w:spacing w:before="4"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持续观察客户动态变化，及时发现客户未能意识到的风险和问题，具</w:t>
            </w:r>
            <w:r>
              <w:rPr>
                <w:rFonts w:hint="eastAsia" w:asciiTheme="minorEastAsia" w:hAnsiTheme="minorEastAsia" w:eastAsiaTheme="minorEastAsia" w:cstheme="minorEastAsia"/>
                <w:color w:val="auto"/>
                <w:sz w:val="24"/>
                <w:szCs w:val="24"/>
                <w:highlight w:val="none"/>
              </w:rPr>
              <w:t>有重要意义</w:t>
            </w:r>
          </w:p>
          <w:p>
            <w:pPr>
              <w:pStyle w:val="11"/>
              <w:numPr>
                <w:ilvl w:val="0"/>
                <w:numId w:val="8"/>
              </w:numPr>
              <w:tabs>
                <w:tab w:val="left" w:pos="673"/>
              </w:tabs>
              <w:spacing w:before="3"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寻找创新的方法，提升客户生活质量，对改善客户感受提供支持和帮</w:t>
            </w:r>
            <w:r>
              <w:rPr>
                <w:rFonts w:hint="eastAsia" w:asciiTheme="minorEastAsia" w:hAnsiTheme="minorEastAsia" w:eastAsiaTheme="minorEastAsia" w:cstheme="minorEastAsia"/>
                <w:color w:val="auto"/>
                <w:sz w:val="24"/>
                <w:szCs w:val="24"/>
                <w:highlight w:val="none"/>
              </w:rPr>
              <w:t>助，让客户能够在不同生活环境中学会自我照护</w:t>
            </w:r>
          </w:p>
          <w:p>
            <w:pPr>
              <w:pStyle w:val="11"/>
              <w:numPr>
                <w:ilvl w:val="0"/>
                <w:numId w:val="8"/>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掌握本领域的最新趋势和发展，确保为客户提供最优质的服务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spacing w:before="1" w:line="417" w:lineRule="auto"/>
              <w:ind w:left="204" w:right="194"/>
              <w:rPr>
                <w:rFonts w:hint="eastAsia" w:asciiTheme="minorEastAsia" w:hAnsiTheme="minorEastAsia" w:eastAsiaTheme="minorEastAsia" w:cstheme="minorEastAsia"/>
                <w:b/>
                <w:color w:val="auto"/>
                <w:sz w:val="24"/>
                <w:szCs w:val="24"/>
                <w:highlight w:val="none"/>
              </w:rPr>
            </w:pPr>
          </w:p>
          <w:p>
            <w:pPr>
              <w:pStyle w:val="11"/>
              <w:spacing w:before="1" w:line="417" w:lineRule="auto"/>
              <w:ind w:left="204" w:right="194"/>
              <w:rPr>
                <w:rFonts w:hint="eastAsia" w:asciiTheme="minorEastAsia" w:hAnsiTheme="minorEastAsia" w:eastAsiaTheme="minorEastAsia" w:cstheme="minorEastAsia"/>
                <w:b/>
                <w:color w:val="auto"/>
                <w:sz w:val="24"/>
                <w:szCs w:val="24"/>
                <w:highlight w:val="none"/>
              </w:rPr>
            </w:pPr>
          </w:p>
          <w:p>
            <w:pPr>
              <w:pStyle w:val="11"/>
              <w:spacing w:before="1" w:line="417" w:lineRule="auto"/>
              <w:ind w:left="204" w:right="19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技能</w:t>
            </w:r>
          </w:p>
        </w:tc>
        <w:tc>
          <w:tcPr>
            <w:tcW w:w="8874" w:type="dxa"/>
            <w:vAlign w:val="top"/>
          </w:tcPr>
          <w:p>
            <w:pPr>
              <w:pStyle w:val="11"/>
              <w:numPr>
                <w:ilvl w:val="0"/>
                <w:numId w:val="9"/>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了解客户的兴趣爱好及其性格特征，尊重并重视他的自身价值</w:t>
            </w:r>
          </w:p>
          <w:p>
            <w:pPr>
              <w:pStyle w:val="11"/>
              <w:numPr>
                <w:ilvl w:val="0"/>
                <w:numId w:val="9"/>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取得客户信任，使其愿意面对并讨论自己的问题，并建立客户信心</w:t>
            </w:r>
          </w:p>
          <w:p>
            <w:pPr>
              <w:pStyle w:val="11"/>
              <w:numPr>
                <w:ilvl w:val="0"/>
                <w:numId w:val="9"/>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帮助客户迅速认识存在的问题，并能够通过自我管理来解决问题</w:t>
            </w:r>
          </w:p>
          <w:p>
            <w:pPr>
              <w:pStyle w:val="11"/>
              <w:numPr>
                <w:ilvl w:val="0"/>
                <w:numId w:val="9"/>
              </w:numPr>
              <w:tabs>
                <w:tab w:val="left" w:pos="673"/>
              </w:tabs>
              <w:spacing w:before="4"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通过细致观察和反复询问及与客户针对问题进行结构化讨论，找出问</w:t>
            </w:r>
            <w:r>
              <w:rPr>
                <w:rFonts w:hint="eastAsia" w:asciiTheme="minorEastAsia" w:hAnsiTheme="minorEastAsia" w:eastAsiaTheme="minorEastAsia" w:cstheme="minorEastAsia"/>
                <w:color w:val="auto"/>
                <w:sz w:val="24"/>
                <w:szCs w:val="24"/>
                <w:highlight w:val="none"/>
              </w:rPr>
              <w:t>题的根因</w:t>
            </w:r>
          </w:p>
          <w:p>
            <w:pPr>
              <w:pStyle w:val="11"/>
              <w:numPr>
                <w:ilvl w:val="0"/>
                <w:numId w:val="9"/>
              </w:numPr>
              <w:tabs>
                <w:tab w:val="left" w:pos="673"/>
              </w:tabs>
              <w:spacing w:before="3"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根据具体情况和客户需求，主动灵活地变更对客户照护内容的优先顺</w:t>
            </w:r>
            <w:r>
              <w:rPr>
                <w:rFonts w:hint="eastAsia" w:asciiTheme="minorEastAsia" w:hAnsiTheme="minorEastAsia" w:eastAsiaTheme="minorEastAsia" w:cstheme="minorEastAsia"/>
                <w:color w:val="auto"/>
                <w:sz w:val="24"/>
                <w:szCs w:val="24"/>
                <w:highlight w:val="none"/>
              </w:rPr>
              <w:t>序，注意轻重缓急</w:t>
            </w:r>
          </w:p>
          <w:p>
            <w:pPr>
              <w:pStyle w:val="11"/>
              <w:numPr>
                <w:ilvl w:val="0"/>
                <w:numId w:val="9"/>
              </w:numPr>
              <w:tabs>
                <w:tab w:val="left" w:pos="673"/>
              </w:tabs>
              <w:spacing w:before="3"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在解决客户问题过程中，认清自己的专业能力和权限，适当参考同事</w:t>
            </w:r>
            <w:r>
              <w:rPr>
                <w:rFonts w:hint="eastAsia" w:asciiTheme="minorEastAsia" w:hAnsiTheme="minorEastAsia" w:eastAsiaTheme="minorEastAsia" w:cstheme="minorEastAsia"/>
                <w:color w:val="auto"/>
                <w:sz w:val="24"/>
                <w:szCs w:val="24"/>
                <w:highlight w:val="none"/>
              </w:rPr>
              <w:t>和其他专业人士的意见，并能根据情况转介给更合适的专业人员</w:t>
            </w:r>
          </w:p>
          <w:p>
            <w:pPr>
              <w:pStyle w:val="11"/>
              <w:numPr>
                <w:ilvl w:val="0"/>
                <w:numId w:val="9"/>
              </w:numPr>
              <w:tabs>
                <w:tab w:val="left" w:pos="673"/>
              </w:tabs>
              <w:spacing w:before="3" w:after="0" w:line="286" w:lineRule="exact"/>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创新、发展、讨论出新的安全的工作方法以改善客户的生活质量和提</w:t>
            </w:r>
            <w:r>
              <w:rPr>
                <w:rFonts w:hint="eastAsia" w:asciiTheme="minorEastAsia" w:hAnsiTheme="minorEastAsia" w:eastAsiaTheme="minorEastAsia" w:cstheme="minorEastAsia"/>
                <w:color w:val="auto"/>
                <w:sz w:val="24"/>
                <w:szCs w:val="24"/>
                <w:highlight w:val="none"/>
              </w:rPr>
              <w:t>高其幸福感（如利用辅助设备材料等来改善客户活动性）</w:t>
            </w:r>
          </w:p>
          <w:p>
            <w:pPr>
              <w:pStyle w:val="11"/>
              <w:numPr>
                <w:ilvl w:val="0"/>
                <w:numId w:val="8"/>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识别机会并预先主动提出改善客户照护的方式方法，例如，提前或选</w:t>
            </w:r>
            <w:r>
              <w:rPr>
                <w:rFonts w:hint="eastAsia" w:asciiTheme="minorEastAsia" w:hAnsiTheme="minorEastAsia" w:eastAsiaTheme="minorEastAsia" w:cstheme="minorEastAsia"/>
                <w:color w:val="auto"/>
                <w:sz w:val="24"/>
                <w:szCs w:val="24"/>
                <w:highlight w:val="none"/>
              </w:rPr>
              <w:t>择正确时间进行讨论，能更有效利用客户的生活环境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spacing w:before="1"/>
              <w:ind w:left="0"/>
              <w:rPr>
                <w:rFonts w:hint="eastAsia" w:asciiTheme="minorEastAsia" w:hAnsiTheme="minorEastAsia" w:eastAsiaTheme="minorEastAsia" w:cstheme="minorEastAsia"/>
                <w:color w:val="auto"/>
                <w:sz w:val="24"/>
                <w:szCs w:val="24"/>
                <w:highlight w:val="none"/>
              </w:rPr>
            </w:pPr>
          </w:p>
          <w:p>
            <w:pPr>
              <w:pStyle w:val="11"/>
              <w:ind w:left="7"/>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w w:val="99"/>
                <w:sz w:val="24"/>
                <w:szCs w:val="24"/>
                <w:highlight w:val="none"/>
              </w:rPr>
              <w:t>4</w:t>
            </w:r>
          </w:p>
        </w:tc>
        <w:tc>
          <w:tcPr>
            <w:tcW w:w="8874" w:type="dxa"/>
            <w:vAlign w:val="top"/>
          </w:tcPr>
          <w:p>
            <w:pPr>
              <w:pStyle w:val="11"/>
              <w:spacing w:before="196"/>
              <w:ind w:left="1984" w:right="1976"/>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评估需求和规划照护服务的能力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spacing w:before="163" w:line="417" w:lineRule="auto"/>
              <w:ind w:left="204" w:right="19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知识</w:t>
            </w:r>
          </w:p>
        </w:tc>
        <w:tc>
          <w:tcPr>
            <w:tcW w:w="8874" w:type="dxa"/>
            <w:vAlign w:val="top"/>
          </w:tcPr>
          <w:p>
            <w:pPr>
              <w:pStyle w:val="11"/>
              <w:numPr>
                <w:ilvl w:val="0"/>
                <w:numId w:val="10"/>
              </w:numPr>
              <w:tabs>
                <w:tab w:val="left" w:pos="673"/>
              </w:tabs>
              <w:spacing w:before="2"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人的生命周期及其发展规律</w:t>
            </w:r>
          </w:p>
          <w:p>
            <w:pPr>
              <w:pStyle w:val="11"/>
              <w:numPr>
                <w:ilvl w:val="0"/>
                <w:numId w:val="10"/>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各年龄段常见疾病、多发疾病及慢性疾病类型和相关治疗方法</w:t>
            </w:r>
          </w:p>
          <w:p>
            <w:pPr>
              <w:pStyle w:val="11"/>
              <w:numPr>
                <w:ilvl w:val="0"/>
                <w:numId w:val="10"/>
              </w:numPr>
              <w:tabs>
                <w:tab w:val="left" w:pos="673"/>
              </w:tabs>
              <w:spacing w:before="4"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在各种日常生活情况下，整个生命周期内客户的健康特征、社会照护</w:t>
            </w:r>
            <w:r>
              <w:rPr>
                <w:rFonts w:hint="eastAsia" w:asciiTheme="minorEastAsia" w:hAnsiTheme="minorEastAsia" w:eastAsiaTheme="minorEastAsia" w:cstheme="minorEastAsia"/>
                <w:color w:val="auto"/>
                <w:sz w:val="24"/>
                <w:szCs w:val="24"/>
                <w:highlight w:val="none"/>
              </w:rPr>
              <w:t>和康复情况</w:t>
            </w:r>
          </w:p>
          <w:p>
            <w:pPr>
              <w:pStyle w:val="11"/>
              <w:numPr>
                <w:ilvl w:val="0"/>
                <w:numId w:val="10"/>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关于人权、歧视和虐待的道德和法律</w:t>
            </w:r>
          </w:p>
          <w:p>
            <w:pPr>
              <w:pStyle w:val="11"/>
              <w:numPr>
                <w:ilvl w:val="0"/>
                <w:numId w:val="10"/>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与客户及其家人合作，准确判断客户的照护需求的技巧</w:t>
            </w:r>
          </w:p>
          <w:p>
            <w:pPr>
              <w:pStyle w:val="11"/>
              <w:numPr>
                <w:ilvl w:val="0"/>
                <w:numId w:val="10"/>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营养和特殊饮食的作用</w:t>
            </w:r>
          </w:p>
          <w:p>
            <w:pPr>
              <w:pStyle w:val="11"/>
              <w:numPr>
                <w:ilvl w:val="0"/>
                <w:numId w:val="10"/>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评估客户及家庭能力的方法（包括客户社会交往情况）</w:t>
            </w:r>
          </w:p>
          <w:p>
            <w:pPr>
              <w:pStyle w:val="11"/>
              <w:numPr>
                <w:ilvl w:val="0"/>
                <w:numId w:val="10"/>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经济状况，如预算限制。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ind w:left="0"/>
              <w:rPr>
                <w:rFonts w:hint="eastAsia" w:asciiTheme="minorEastAsia" w:hAnsiTheme="minorEastAsia" w:eastAsiaTheme="minorEastAsia" w:cstheme="minorEastAsia"/>
                <w:color w:val="auto"/>
                <w:sz w:val="24"/>
                <w:szCs w:val="24"/>
                <w:highlight w:val="none"/>
              </w:rPr>
            </w:pPr>
          </w:p>
          <w:p>
            <w:pPr>
              <w:pStyle w:val="11"/>
              <w:spacing w:before="8"/>
              <w:ind w:left="0"/>
              <w:rPr>
                <w:rFonts w:hint="eastAsia" w:asciiTheme="minorEastAsia" w:hAnsiTheme="minorEastAsia" w:eastAsiaTheme="minorEastAsia" w:cstheme="minorEastAsia"/>
                <w:color w:val="auto"/>
                <w:sz w:val="24"/>
                <w:szCs w:val="24"/>
                <w:highlight w:val="none"/>
              </w:rPr>
            </w:pPr>
          </w:p>
          <w:p>
            <w:pPr>
              <w:pStyle w:val="11"/>
              <w:spacing w:before="1" w:line="417" w:lineRule="auto"/>
              <w:ind w:left="204" w:right="19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技能</w:t>
            </w:r>
          </w:p>
        </w:tc>
        <w:tc>
          <w:tcPr>
            <w:tcW w:w="8874" w:type="dxa"/>
            <w:vAlign w:val="top"/>
          </w:tcPr>
          <w:p>
            <w:pPr>
              <w:pStyle w:val="11"/>
              <w:numPr>
                <w:ilvl w:val="0"/>
                <w:numId w:val="11"/>
              </w:numPr>
              <w:tabs>
                <w:tab w:val="left" w:pos="673"/>
              </w:tabs>
              <w:spacing w:before="2"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仔细评估客户的环境和情境，确定客户照护需求，并认清照护者自身</w:t>
            </w:r>
            <w:r>
              <w:rPr>
                <w:rFonts w:hint="eastAsia" w:asciiTheme="minorEastAsia" w:hAnsiTheme="minorEastAsia" w:eastAsiaTheme="minorEastAsia" w:cstheme="minorEastAsia"/>
                <w:color w:val="auto"/>
                <w:sz w:val="24"/>
                <w:szCs w:val="24"/>
                <w:highlight w:val="none"/>
              </w:rPr>
              <w:t>角色的职业界限</w:t>
            </w:r>
          </w:p>
          <w:p>
            <w:pPr>
              <w:pStyle w:val="11"/>
              <w:numPr>
                <w:ilvl w:val="0"/>
                <w:numId w:val="11"/>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评估客户及其家人的照护能力</w:t>
            </w:r>
          </w:p>
          <w:p>
            <w:pPr>
              <w:pStyle w:val="11"/>
              <w:numPr>
                <w:ilvl w:val="0"/>
                <w:numId w:val="11"/>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识别客户营养状况和需求</w:t>
            </w:r>
          </w:p>
          <w:p>
            <w:pPr>
              <w:pStyle w:val="11"/>
              <w:numPr>
                <w:ilvl w:val="0"/>
                <w:numId w:val="11"/>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通过评估，计划如何实施以客户为中心的照护，如何促进其康复</w:t>
            </w:r>
          </w:p>
          <w:p>
            <w:pPr>
              <w:pStyle w:val="11"/>
              <w:numPr>
                <w:ilvl w:val="0"/>
                <w:numId w:val="11"/>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备齐所需物品以便实施照护计划</w:t>
            </w:r>
          </w:p>
          <w:p>
            <w:pPr>
              <w:pStyle w:val="11"/>
              <w:numPr>
                <w:ilvl w:val="0"/>
                <w:numId w:val="11"/>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实施照护前征求客户同意</w:t>
            </w:r>
          </w:p>
          <w:p>
            <w:pPr>
              <w:pStyle w:val="11"/>
              <w:numPr>
                <w:ilvl w:val="0"/>
                <w:numId w:val="11"/>
              </w:numPr>
              <w:tabs>
                <w:tab w:val="left" w:pos="673"/>
              </w:tabs>
              <w:spacing w:before="4" w:after="0" w:line="290" w:lineRule="exact"/>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视情况向医疗、护理、康复等专业人员咨询，寻求帮助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ind w:left="0"/>
              <w:rPr>
                <w:rFonts w:hint="eastAsia" w:asciiTheme="minorEastAsia" w:hAnsiTheme="minorEastAsia" w:eastAsiaTheme="minorEastAsia" w:cstheme="minorEastAsia"/>
                <w:color w:val="auto"/>
                <w:sz w:val="24"/>
                <w:szCs w:val="24"/>
                <w:highlight w:val="none"/>
              </w:rPr>
            </w:pPr>
          </w:p>
          <w:p>
            <w:pPr>
              <w:pStyle w:val="11"/>
              <w:ind w:left="7"/>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w w:val="99"/>
                <w:sz w:val="24"/>
                <w:szCs w:val="24"/>
                <w:highlight w:val="none"/>
              </w:rPr>
              <w:t>5</w:t>
            </w:r>
          </w:p>
        </w:tc>
        <w:tc>
          <w:tcPr>
            <w:tcW w:w="8874" w:type="dxa"/>
            <w:vAlign w:val="top"/>
          </w:tcPr>
          <w:p>
            <w:pPr>
              <w:pStyle w:val="11"/>
              <w:spacing w:before="195"/>
              <w:ind w:left="1982" w:right="1976"/>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管理和提供实际</w:t>
            </w:r>
            <w:r>
              <w:rPr>
                <w:rFonts w:hint="eastAsia" w:asciiTheme="minorEastAsia" w:hAnsiTheme="minorEastAsia" w:eastAsiaTheme="minorEastAsia" w:cstheme="minorEastAsia"/>
                <w:b/>
                <w:bCs w:val="0"/>
                <w:color w:val="auto"/>
                <w:sz w:val="24"/>
                <w:szCs w:val="24"/>
                <w:highlight w:val="none"/>
                <w:lang w:val="en-US" w:eastAsia="zh-CN"/>
              </w:rPr>
              <w:t>照护</w:t>
            </w:r>
            <w:r>
              <w:rPr>
                <w:rFonts w:hint="eastAsia" w:asciiTheme="minorEastAsia" w:hAnsiTheme="minorEastAsia" w:eastAsiaTheme="minorEastAsia" w:cstheme="minorEastAsia"/>
                <w:b/>
                <w:bCs w:val="0"/>
                <w:color w:val="auto"/>
                <w:sz w:val="24"/>
                <w:szCs w:val="24"/>
                <w:highlight w:val="none"/>
              </w:rPr>
              <w:t>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ind w:left="7"/>
              <w:jc w:val="center"/>
              <w:rPr>
                <w:rFonts w:hint="eastAsia" w:asciiTheme="minorEastAsia" w:hAnsiTheme="minorEastAsia" w:eastAsiaTheme="minorEastAsia" w:cstheme="minorEastAsia"/>
                <w:b/>
                <w:color w:val="auto"/>
                <w:w w:val="99"/>
                <w:sz w:val="24"/>
                <w:szCs w:val="24"/>
                <w:highlight w:val="none"/>
              </w:rPr>
            </w:pPr>
            <w:r>
              <w:rPr>
                <w:rFonts w:hint="eastAsia" w:asciiTheme="minorEastAsia" w:hAnsiTheme="minorEastAsia" w:eastAsiaTheme="minorEastAsia" w:cstheme="minorEastAsia"/>
                <w:b/>
                <w:color w:val="auto"/>
                <w:sz w:val="24"/>
                <w:szCs w:val="24"/>
                <w:highlight w:val="none"/>
              </w:rPr>
              <w:t>知识</w:t>
            </w:r>
          </w:p>
        </w:tc>
        <w:tc>
          <w:tcPr>
            <w:tcW w:w="8874" w:type="dxa"/>
            <w:vAlign w:val="top"/>
          </w:tcPr>
          <w:p>
            <w:pPr>
              <w:pStyle w:val="11"/>
              <w:numPr>
                <w:ilvl w:val="0"/>
                <w:numId w:val="12"/>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针对客户存在的整体需求，具备所需要的照护能力</w:t>
            </w:r>
          </w:p>
          <w:p>
            <w:pPr>
              <w:pStyle w:val="11"/>
              <w:numPr>
                <w:ilvl w:val="0"/>
                <w:numId w:val="12"/>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客户的行为模式及驱动因素，以及促进自我成长、不断发展的重要性</w:t>
            </w:r>
          </w:p>
          <w:p>
            <w:pPr>
              <w:pStyle w:val="11"/>
              <w:numPr>
                <w:ilvl w:val="0"/>
                <w:numId w:val="12"/>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客户的疾病史和相关生活史</w:t>
            </w:r>
          </w:p>
          <w:p>
            <w:pPr>
              <w:pStyle w:val="11"/>
              <w:numPr>
                <w:ilvl w:val="0"/>
                <w:numId w:val="12"/>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照护不同客户及家庭时，合作和灵活处理的重要性</w:t>
            </w:r>
          </w:p>
          <w:p>
            <w:pPr>
              <w:pStyle w:val="11"/>
              <w:numPr>
                <w:ilvl w:val="0"/>
                <w:numId w:val="12"/>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鼓励客户学习新技能以提升其信心和独立性的重要性和技巧</w:t>
            </w:r>
          </w:p>
          <w:p>
            <w:pPr>
              <w:pStyle w:val="11"/>
              <w:numPr>
                <w:ilvl w:val="0"/>
                <w:numId w:val="12"/>
              </w:numPr>
              <w:tabs>
                <w:tab w:val="left" w:pos="673"/>
              </w:tabs>
              <w:spacing w:before="5"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根据受教育程度，了解相应的解剖、病理、疾病和治疗知识，紧急医</w:t>
            </w:r>
            <w:r>
              <w:rPr>
                <w:rFonts w:hint="eastAsia" w:asciiTheme="minorEastAsia" w:hAnsiTheme="minorEastAsia" w:eastAsiaTheme="minorEastAsia" w:cstheme="minorEastAsia"/>
                <w:color w:val="auto"/>
                <w:sz w:val="24"/>
                <w:szCs w:val="24"/>
                <w:highlight w:val="none"/>
              </w:rPr>
              <w:t>疗救助的方法</w:t>
            </w:r>
          </w:p>
          <w:p>
            <w:pPr>
              <w:pStyle w:val="11"/>
              <w:numPr>
                <w:ilvl w:val="0"/>
                <w:numId w:val="12"/>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健康相关参数的正常值</w:t>
            </w:r>
          </w:p>
          <w:p>
            <w:pPr>
              <w:pStyle w:val="11"/>
              <w:numPr>
                <w:ilvl w:val="0"/>
                <w:numId w:val="12"/>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健康生活方式，以及如何采用积极方式予以促进</w:t>
            </w:r>
          </w:p>
          <w:p>
            <w:pPr>
              <w:pStyle w:val="11"/>
              <w:numPr>
                <w:ilvl w:val="0"/>
                <w:numId w:val="12"/>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客户使用药物的目的、主要作用和潜在副作用</w:t>
            </w:r>
          </w:p>
          <w:p>
            <w:pPr>
              <w:pStyle w:val="11"/>
              <w:numPr>
                <w:ilvl w:val="0"/>
                <w:numId w:val="12"/>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安全隐患</w:t>
            </w:r>
          </w:p>
          <w:p>
            <w:pPr>
              <w:pStyle w:val="11"/>
              <w:numPr>
                <w:ilvl w:val="0"/>
                <w:numId w:val="12"/>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促进客户移动的技巧，以及安全使用移动设备的知识</w:t>
            </w:r>
          </w:p>
          <w:p>
            <w:pPr>
              <w:pStyle w:val="11"/>
              <w:numPr>
                <w:ilvl w:val="0"/>
                <w:numId w:val="12"/>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虚弱、移动困难等无法过多移动的客户的风险因素</w:t>
            </w:r>
          </w:p>
          <w:p>
            <w:pPr>
              <w:pStyle w:val="11"/>
              <w:numPr>
                <w:ilvl w:val="0"/>
                <w:numId w:val="12"/>
              </w:numPr>
              <w:tabs>
                <w:tab w:val="left" w:pos="673"/>
              </w:tabs>
              <w:spacing w:before="5" w:after="0" w:line="240" w:lineRule="auto"/>
              <w:ind w:left="673" w:right="0" w:hanging="86"/>
              <w:jc w:val="left"/>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知晓转诊、安全转运的重要性及主要流程，清晰相关专业人员的角色</w:t>
            </w:r>
          </w:p>
          <w:p>
            <w:pPr>
              <w:pStyle w:val="11"/>
              <w:numPr>
                <w:ilvl w:val="0"/>
                <w:numId w:val="12"/>
              </w:numPr>
              <w:tabs>
                <w:tab w:val="left" w:pos="673"/>
              </w:tabs>
              <w:spacing w:before="5" w:after="0" w:line="240" w:lineRule="auto"/>
              <w:ind w:left="673" w:right="0" w:hanging="86"/>
              <w:jc w:val="left"/>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促进和帮助老年人身心健康，照护和支持其在疾病过程中康复、自我</w:t>
            </w:r>
            <w:r>
              <w:rPr>
                <w:rFonts w:hint="eastAsia" w:asciiTheme="minorEastAsia" w:hAnsiTheme="minorEastAsia" w:eastAsiaTheme="minorEastAsia" w:cstheme="minorEastAsia"/>
                <w:color w:val="auto"/>
                <w:sz w:val="24"/>
                <w:szCs w:val="24"/>
                <w:highlight w:val="none"/>
              </w:rPr>
              <w:t>成长和不断发展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ind w:left="0"/>
              <w:rPr>
                <w:rFonts w:hint="eastAsia" w:asciiTheme="minorEastAsia" w:hAnsiTheme="minorEastAsia" w:eastAsiaTheme="minorEastAsia" w:cstheme="minorEastAsia"/>
                <w:color w:val="auto"/>
                <w:sz w:val="24"/>
                <w:szCs w:val="24"/>
                <w:highlight w:val="none"/>
              </w:rPr>
            </w:pPr>
          </w:p>
          <w:p>
            <w:pPr>
              <w:pStyle w:val="11"/>
              <w:spacing w:before="170" w:line="417" w:lineRule="auto"/>
              <w:ind w:left="204" w:right="19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技能</w:t>
            </w:r>
          </w:p>
        </w:tc>
        <w:tc>
          <w:tcPr>
            <w:tcW w:w="8874" w:type="dxa"/>
            <w:vAlign w:val="top"/>
          </w:tcPr>
          <w:p>
            <w:pPr>
              <w:pStyle w:val="11"/>
              <w:numPr>
                <w:ilvl w:val="0"/>
                <w:numId w:val="13"/>
              </w:numPr>
              <w:tabs>
                <w:tab w:val="left" w:pos="673"/>
              </w:tabs>
              <w:spacing w:before="3"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促进和帮助客户身心健康，照护和支持其在疾病过程中康复、自我成</w:t>
            </w:r>
            <w:r>
              <w:rPr>
                <w:rFonts w:hint="eastAsia" w:asciiTheme="minorEastAsia" w:hAnsiTheme="minorEastAsia" w:eastAsiaTheme="minorEastAsia" w:cstheme="minorEastAsia"/>
                <w:color w:val="auto"/>
                <w:sz w:val="24"/>
                <w:szCs w:val="24"/>
                <w:highlight w:val="none"/>
              </w:rPr>
              <w:t>长和不断发展</w:t>
            </w:r>
          </w:p>
          <w:p>
            <w:pPr>
              <w:pStyle w:val="11"/>
              <w:numPr>
                <w:ilvl w:val="0"/>
                <w:numId w:val="13"/>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遵循照护过程中法律和伦理要求尊重与理解客户</w:t>
            </w:r>
          </w:p>
          <w:p>
            <w:pPr>
              <w:pStyle w:val="11"/>
              <w:numPr>
                <w:ilvl w:val="0"/>
                <w:numId w:val="13"/>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为客户构建积极的、促进健康的环境，并提供安全照护</w:t>
            </w:r>
          </w:p>
          <w:p>
            <w:pPr>
              <w:pStyle w:val="11"/>
              <w:numPr>
                <w:ilvl w:val="0"/>
                <w:numId w:val="13"/>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根据需要协助卫生需求，并尊重和保护其隐私</w:t>
            </w:r>
          </w:p>
          <w:p>
            <w:pPr>
              <w:pStyle w:val="11"/>
              <w:numPr>
                <w:ilvl w:val="0"/>
                <w:numId w:val="13"/>
              </w:numPr>
              <w:tabs>
                <w:tab w:val="left" w:pos="673"/>
              </w:tabs>
              <w:spacing w:before="4"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在照护中要考虑客户的能力，并最大限度利用客户的自身能力并激励</w:t>
            </w:r>
            <w:r>
              <w:rPr>
                <w:rFonts w:hint="eastAsia" w:asciiTheme="minorEastAsia" w:hAnsiTheme="minorEastAsia" w:eastAsiaTheme="minorEastAsia" w:cstheme="minorEastAsia"/>
                <w:color w:val="auto"/>
                <w:sz w:val="24"/>
                <w:szCs w:val="24"/>
                <w:highlight w:val="none"/>
              </w:rPr>
              <w:t>他（她）</w:t>
            </w:r>
          </w:p>
          <w:p>
            <w:pPr>
              <w:pStyle w:val="11"/>
              <w:numPr>
                <w:ilvl w:val="0"/>
                <w:numId w:val="13"/>
              </w:numPr>
              <w:tabs>
                <w:tab w:val="left" w:pos="673"/>
              </w:tabs>
              <w:spacing w:before="4"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执行与文化背景习俗相适应的措施</w:t>
            </w:r>
          </w:p>
          <w:p>
            <w:pPr>
              <w:pStyle w:val="11"/>
              <w:numPr>
                <w:ilvl w:val="0"/>
                <w:numId w:val="13"/>
              </w:numPr>
              <w:tabs>
                <w:tab w:val="left" w:pos="673"/>
              </w:tabs>
              <w:spacing w:before="5" w:after="0" w:line="242" w:lineRule="auto"/>
              <w:ind w:left="107" w:right="-29"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在本专业</w:t>
            </w:r>
            <w:r>
              <w:rPr>
                <w:rFonts w:hint="eastAsia" w:asciiTheme="minorEastAsia" w:hAnsiTheme="minorEastAsia" w:eastAsiaTheme="minorEastAsia" w:cstheme="minorEastAsia"/>
                <w:color w:val="auto"/>
                <w:spacing w:val="-3"/>
                <w:sz w:val="24"/>
                <w:szCs w:val="24"/>
                <w:highlight w:val="none"/>
              </w:rPr>
              <w:t>（</w:t>
            </w:r>
            <w:r>
              <w:rPr>
                <w:rFonts w:hint="eastAsia" w:asciiTheme="minorEastAsia" w:hAnsiTheme="minorEastAsia" w:eastAsiaTheme="minorEastAsia" w:cstheme="minorEastAsia"/>
                <w:color w:val="auto"/>
                <w:sz w:val="24"/>
                <w:szCs w:val="24"/>
                <w:highlight w:val="none"/>
              </w:rPr>
              <w:t>或领域</w:t>
            </w:r>
            <w:r>
              <w:rPr>
                <w:rFonts w:hint="eastAsia" w:asciiTheme="minorEastAsia" w:hAnsiTheme="minorEastAsia" w:eastAsiaTheme="minorEastAsia" w:cstheme="minorEastAsia"/>
                <w:color w:val="auto"/>
                <w:spacing w:val="-44"/>
                <w:sz w:val="24"/>
                <w:szCs w:val="24"/>
                <w:highlight w:val="none"/>
              </w:rPr>
              <w:t>）</w:t>
            </w:r>
            <w:r>
              <w:rPr>
                <w:rFonts w:hint="eastAsia" w:asciiTheme="minorEastAsia" w:hAnsiTheme="minorEastAsia" w:eastAsiaTheme="minorEastAsia" w:cstheme="minorEastAsia"/>
                <w:color w:val="auto"/>
                <w:spacing w:val="-9"/>
                <w:sz w:val="24"/>
                <w:szCs w:val="24"/>
                <w:highlight w:val="none"/>
              </w:rPr>
              <w:t>实践范围内，执行相关的医疗任务，如伤口护理、呼吸训练等</w:t>
            </w:r>
          </w:p>
          <w:p>
            <w:pPr>
              <w:pStyle w:val="11"/>
              <w:numPr>
                <w:ilvl w:val="0"/>
                <w:numId w:val="13"/>
              </w:numPr>
              <w:tabs>
                <w:tab w:val="left" w:pos="673"/>
              </w:tabs>
              <w:spacing w:before="2"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持续观察客户，迅速识别需要关注和医疗处理及转诊的新问题，如压</w:t>
            </w:r>
            <w:r>
              <w:rPr>
                <w:rFonts w:hint="eastAsia" w:asciiTheme="minorEastAsia" w:hAnsiTheme="minorEastAsia" w:eastAsiaTheme="minorEastAsia" w:cstheme="minorEastAsia"/>
                <w:color w:val="auto"/>
                <w:sz w:val="24"/>
                <w:szCs w:val="24"/>
                <w:highlight w:val="none"/>
              </w:rPr>
              <w:t>力性损伤等</w:t>
            </w:r>
          </w:p>
          <w:p>
            <w:pPr>
              <w:pStyle w:val="11"/>
              <w:numPr>
                <w:ilvl w:val="0"/>
                <w:numId w:val="13"/>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准确判断何时需要紧急医疗帮助，必要时采取急救措施</w:t>
            </w:r>
          </w:p>
          <w:p>
            <w:pPr>
              <w:pStyle w:val="11"/>
              <w:numPr>
                <w:ilvl w:val="0"/>
                <w:numId w:val="13"/>
              </w:numPr>
              <w:tabs>
                <w:tab w:val="left" w:pos="673"/>
              </w:tabs>
              <w:spacing w:before="5" w:after="0" w:line="242" w:lineRule="auto"/>
              <w:ind w:left="107" w:right="4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监测各种健康相关参数，如血压、脉搏、体温、血糖、疼痛、体重， </w:t>
            </w:r>
            <w:r>
              <w:rPr>
                <w:rFonts w:hint="eastAsia" w:asciiTheme="minorEastAsia" w:hAnsiTheme="minorEastAsia" w:eastAsiaTheme="minorEastAsia" w:cstheme="minorEastAsia"/>
                <w:color w:val="auto"/>
                <w:sz w:val="24"/>
                <w:szCs w:val="24"/>
                <w:highlight w:val="none"/>
              </w:rPr>
              <w:t>并告知客户相关信息</w:t>
            </w:r>
          </w:p>
          <w:p>
            <w:pPr>
              <w:pStyle w:val="11"/>
              <w:numPr>
                <w:ilvl w:val="0"/>
                <w:numId w:val="13"/>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针对客户常见危险因素采取预防措施（如褥疮、肺炎等）</w:t>
            </w:r>
          </w:p>
          <w:p>
            <w:pPr>
              <w:pStyle w:val="11"/>
              <w:numPr>
                <w:ilvl w:val="0"/>
                <w:numId w:val="13"/>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积极采取促进客户独立性的措施</w:t>
            </w:r>
          </w:p>
          <w:p>
            <w:pPr>
              <w:pStyle w:val="11"/>
              <w:numPr>
                <w:ilvl w:val="0"/>
                <w:numId w:val="13"/>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教育并促进客户健康的生活方式（如经常锻炼、戒烟等）</w:t>
            </w:r>
          </w:p>
          <w:p>
            <w:pPr>
              <w:pStyle w:val="11"/>
              <w:numPr>
                <w:ilvl w:val="0"/>
                <w:numId w:val="13"/>
              </w:numPr>
              <w:tabs>
                <w:tab w:val="left" w:pos="673"/>
              </w:tabs>
              <w:spacing w:before="4"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在实践范畴和法规允许下，给予客户营养建议，并采取合适措施改善</w:t>
            </w:r>
            <w:r>
              <w:rPr>
                <w:rFonts w:hint="eastAsia" w:asciiTheme="minorEastAsia" w:hAnsiTheme="minorEastAsia" w:eastAsiaTheme="minorEastAsia" w:cstheme="minorEastAsia"/>
                <w:color w:val="auto"/>
                <w:sz w:val="24"/>
                <w:szCs w:val="24"/>
                <w:highlight w:val="none"/>
              </w:rPr>
              <w:t>其营养状况</w:t>
            </w:r>
          </w:p>
          <w:p>
            <w:pPr>
              <w:pStyle w:val="11"/>
              <w:numPr>
                <w:ilvl w:val="0"/>
                <w:numId w:val="13"/>
              </w:numPr>
              <w:tabs>
                <w:tab w:val="left" w:pos="673"/>
              </w:tabs>
              <w:spacing w:before="3"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实践范畴和法规允许下，指导客户正确使用常用药物并观察疗效和预</w:t>
            </w:r>
            <w:r>
              <w:rPr>
                <w:rFonts w:hint="eastAsia" w:asciiTheme="minorEastAsia" w:hAnsiTheme="minorEastAsia" w:eastAsiaTheme="minorEastAsia" w:cstheme="minorEastAsia"/>
                <w:color w:val="auto"/>
                <w:sz w:val="24"/>
                <w:szCs w:val="24"/>
                <w:highlight w:val="none"/>
              </w:rPr>
              <w:t>防副作用，如抗高血压药物、镇痛药物等；指导其正确管理和存储药物</w:t>
            </w:r>
          </w:p>
          <w:p>
            <w:pPr>
              <w:pStyle w:val="11"/>
              <w:numPr>
                <w:ilvl w:val="0"/>
                <w:numId w:val="13"/>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合理计划和安排时间，使客户都获得足够照护时间，避免匆忙</w:t>
            </w:r>
          </w:p>
          <w:p>
            <w:pPr>
              <w:pStyle w:val="11"/>
              <w:numPr>
                <w:ilvl w:val="0"/>
                <w:numId w:val="13"/>
              </w:numPr>
              <w:tabs>
                <w:tab w:val="left" w:pos="673"/>
              </w:tabs>
              <w:spacing w:before="4"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组织健康教育</w:t>
            </w:r>
            <w:r>
              <w:rPr>
                <w:rFonts w:hint="eastAsia" w:asciiTheme="minorEastAsia" w:hAnsiTheme="minorEastAsia" w:eastAsiaTheme="minorEastAsia" w:cstheme="minorEastAsia"/>
                <w:color w:val="auto"/>
                <w:sz w:val="24"/>
                <w:szCs w:val="24"/>
                <w:highlight w:val="none"/>
              </w:rPr>
              <w:t>（或指导</w:t>
            </w:r>
            <w:r>
              <w:rPr>
                <w:rFonts w:hint="eastAsia" w:asciiTheme="minorEastAsia" w:hAnsiTheme="minorEastAsia" w:eastAsiaTheme="minorEastAsia" w:cstheme="minorEastAsia"/>
                <w:color w:val="auto"/>
                <w:spacing w:val="-17"/>
                <w:sz w:val="24"/>
                <w:szCs w:val="24"/>
                <w:highlight w:val="none"/>
              </w:rPr>
              <w:t>）</w:t>
            </w:r>
            <w:r>
              <w:rPr>
                <w:rFonts w:hint="eastAsia" w:asciiTheme="minorEastAsia" w:hAnsiTheme="minorEastAsia" w:eastAsiaTheme="minorEastAsia" w:cstheme="minorEastAsia"/>
                <w:color w:val="auto"/>
                <w:spacing w:val="-4"/>
                <w:sz w:val="24"/>
                <w:szCs w:val="24"/>
                <w:highlight w:val="none"/>
              </w:rPr>
              <w:t>和康复锻炼活动，满足不同年龄组成员客户</w:t>
            </w:r>
            <w:r>
              <w:rPr>
                <w:rFonts w:hint="eastAsia" w:asciiTheme="minorEastAsia" w:hAnsiTheme="minorEastAsia" w:eastAsiaTheme="minorEastAsia" w:cstheme="minorEastAsia"/>
                <w:color w:val="auto"/>
                <w:sz w:val="24"/>
                <w:szCs w:val="24"/>
                <w:highlight w:val="none"/>
              </w:rPr>
              <w:t>的需求</w:t>
            </w:r>
          </w:p>
          <w:p>
            <w:pPr>
              <w:pStyle w:val="11"/>
              <w:numPr>
                <w:ilvl w:val="0"/>
                <w:numId w:val="13"/>
              </w:numPr>
              <w:tabs>
                <w:tab w:val="left" w:pos="673"/>
              </w:tabs>
              <w:spacing w:before="3" w:after="0" w:line="242" w:lineRule="auto"/>
              <w:ind w:left="107" w:right="97"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结合客户自身资源促进活动，尊重客户需求，提供充分而恰当的移动</w:t>
            </w:r>
            <w:r>
              <w:rPr>
                <w:rFonts w:hint="eastAsia" w:asciiTheme="minorEastAsia" w:hAnsiTheme="minorEastAsia" w:eastAsiaTheme="minorEastAsia" w:cstheme="minorEastAsia"/>
                <w:color w:val="auto"/>
                <w:sz w:val="24"/>
                <w:szCs w:val="24"/>
                <w:highlight w:val="none"/>
              </w:rPr>
              <w:t>技术</w:t>
            </w:r>
          </w:p>
          <w:p>
            <w:pPr>
              <w:pStyle w:val="11"/>
              <w:numPr>
                <w:ilvl w:val="0"/>
                <w:numId w:val="13"/>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有效且高效地利用资源，不浪费</w:t>
            </w:r>
          </w:p>
          <w:p>
            <w:pPr>
              <w:pStyle w:val="11"/>
              <w:numPr>
                <w:ilvl w:val="0"/>
                <w:numId w:val="13"/>
              </w:numPr>
              <w:tabs>
                <w:tab w:val="left" w:pos="673"/>
              </w:tabs>
              <w:spacing w:before="5" w:after="0" w:line="289" w:lineRule="exact"/>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提高客户生活质量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spacing w:before="1"/>
              <w:ind w:left="0"/>
              <w:rPr>
                <w:rFonts w:hint="eastAsia" w:asciiTheme="minorEastAsia" w:hAnsiTheme="minorEastAsia" w:eastAsiaTheme="minorEastAsia" w:cstheme="minorEastAsia"/>
                <w:color w:val="auto"/>
                <w:sz w:val="24"/>
                <w:szCs w:val="24"/>
                <w:highlight w:val="none"/>
              </w:rPr>
            </w:pPr>
          </w:p>
          <w:p>
            <w:pPr>
              <w:pStyle w:val="11"/>
              <w:ind w:left="7"/>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w w:val="99"/>
                <w:sz w:val="24"/>
                <w:szCs w:val="24"/>
                <w:highlight w:val="none"/>
              </w:rPr>
              <w:t>6</w:t>
            </w:r>
          </w:p>
        </w:tc>
        <w:tc>
          <w:tcPr>
            <w:tcW w:w="8874" w:type="dxa"/>
            <w:vAlign w:val="top"/>
          </w:tcPr>
          <w:p>
            <w:pPr>
              <w:pStyle w:val="11"/>
              <w:spacing w:before="196"/>
              <w:ind w:left="1984" w:right="1976"/>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评价照护结果的能力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spacing w:before="3"/>
              <w:ind w:left="0"/>
              <w:rPr>
                <w:rFonts w:hint="eastAsia" w:asciiTheme="minorEastAsia" w:hAnsiTheme="minorEastAsia" w:eastAsiaTheme="minorEastAsia" w:cstheme="minorEastAsia"/>
                <w:color w:val="auto"/>
                <w:sz w:val="24"/>
                <w:szCs w:val="24"/>
                <w:highlight w:val="none"/>
              </w:rPr>
            </w:pPr>
          </w:p>
          <w:p>
            <w:pPr>
              <w:pStyle w:val="11"/>
              <w:spacing w:before="1" w:line="417" w:lineRule="auto"/>
              <w:ind w:left="204" w:right="19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知识</w:t>
            </w:r>
          </w:p>
        </w:tc>
        <w:tc>
          <w:tcPr>
            <w:tcW w:w="8874" w:type="dxa"/>
            <w:vAlign w:val="top"/>
          </w:tcPr>
          <w:p>
            <w:pPr>
              <w:pStyle w:val="11"/>
              <w:numPr>
                <w:ilvl w:val="0"/>
                <w:numId w:val="14"/>
              </w:numPr>
              <w:tabs>
                <w:tab w:val="left" w:pos="673"/>
              </w:tabs>
              <w:spacing w:before="2"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定期回顾和评价照护情况、获取客户及相关方反馈的重要性</w:t>
            </w:r>
          </w:p>
          <w:p>
            <w:pPr>
              <w:pStyle w:val="11"/>
              <w:numPr>
                <w:ilvl w:val="0"/>
                <w:numId w:val="14"/>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结合客户环境和现状，预期其达到的生活质量水平</w:t>
            </w:r>
          </w:p>
          <w:p>
            <w:pPr>
              <w:pStyle w:val="11"/>
              <w:numPr>
                <w:ilvl w:val="0"/>
                <w:numId w:val="14"/>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改变/改善照护的可能性</w:t>
            </w:r>
          </w:p>
          <w:p>
            <w:pPr>
              <w:pStyle w:val="11"/>
              <w:numPr>
                <w:ilvl w:val="0"/>
                <w:numId w:val="14"/>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健康相关产品和服务最新发展</w:t>
            </w:r>
          </w:p>
          <w:p>
            <w:pPr>
              <w:pStyle w:val="11"/>
              <w:numPr>
                <w:ilvl w:val="0"/>
                <w:numId w:val="14"/>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获得结果方法并进行评价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823" w:type="dxa"/>
            <w:vAlign w:val="top"/>
          </w:tcPr>
          <w:p>
            <w:pPr>
              <w:pStyle w:val="11"/>
              <w:ind w:left="0"/>
              <w:rPr>
                <w:rFonts w:hint="eastAsia" w:asciiTheme="minorEastAsia" w:hAnsiTheme="minorEastAsia" w:eastAsiaTheme="minorEastAsia" w:cstheme="minorEastAsia"/>
                <w:color w:val="auto"/>
                <w:sz w:val="24"/>
                <w:szCs w:val="24"/>
                <w:highlight w:val="none"/>
              </w:rPr>
            </w:pPr>
          </w:p>
          <w:p>
            <w:pPr>
              <w:pStyle w:val="11"/>
              <w:spacing w:before="2"/>
              <w:ind w:left="0"/>
              <w:rPr>
                <w:rFonts w:hint="eastAsia" w:asciiTheme="minorEastAsia" w:hAnsiTheme="minorEastAsia" w:eastAsiaTheme="minorEastAsia" w:cstheme="minorEastAsia"/>
                <w:color w:val="auto"/>
                <w:sz w:val="24"/>
                <w:szCs w:val="24"/>
                <w:highlight w:val="none"/>
              </w:rPr>
            </w:pPr>
          </w:p>
          <w:p>
            <w:pPr>
              <w:pStyle w:val="11"/>
              <w:spacing w:line="417" w:lineRule="auto"/>
              <w:ind w:left="204" w:right="19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技能</w:t>
            </w:r>
          </w:p>
        </w:tc>
        <w:tc>
          <w:tcPr>
            <w:tcW w:w="8874" w:type="dxa"/>
            <w:vAlign w:val="top"/>
          </w:tcPr>
          <w:p>
            <w:pPr>
              <w:pStyle w:val="11"/>
              <w:numPr>
                <w:ilvl w:val="0"/>
                <w:numId w:val="15"/>
              </w:numPr>
              <w:tabs>
                <w:tab w:val="left" w:pos="673"/>
              </w:tabs>
              <w:spacing w:before="2"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通过与客户认真仔细讨论，了解其对照护的满意程度，理解其观点</w:t>
            </w:r>
          </w:p>
          <w:p>
            <w:pPr>
              <w:pStyle w:val="11"/>
              <w:numPr>
                <w:ilvl w:val="0"/>
                <w:numId w:val="15"/>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从客户家人、同事和相关专业人员那里获得更多信息</w:t>
            </w:r>
          </w:p>
          <w:p>
            <w:pPr>
              <w:pStyle w:val="11"/>
              <w:numPr>
                <w:ilvl w:val="0"/>
                <w:numId w:val="15"/>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了解能让客户开心的事情，及其所认为的“健康”与“幸福”</w:t>
            </w:r>
          </w:p>
          <w:p>
            <w:pPr>
              <w:pStyle w:val="11"/>
              <w:numPr>
                <w:ilvl w:val="0"/>
                <w:numId w:val="15"/>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仔细倾听并积极回应客户任何问题，努力寻求解决方案</w:t>
            </w:r>
          </w:p>
          <w:p>
            <w:pPr>
              <w:pStyle w:val="11"/>
              <w:numPr>
                <w:ilvl w:val="0"/>
                <w:numId w:val="15"/>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评价照护计划给予客户帮助的程度</w:t>
            </w:r>
          </w:p>
          <w:p>
            <w:pPr>
              <w:pStyle w:val="11"/>
              <w:numPr>
                <w:ilvl w:val="0"/>
                <w:numId w:val="15"/>
              </w:numPr>
              <w:tabs>
                <w:tab w:val="left" w:pos="673"/>
              </w:tabs>
              <w:spacing w:before="2" w:after="0" w:line="310" w:lineRule="atLeast"/>
              <w:ind w:left="107" w:right="97" w:firstLine="480"/>
              <w:jc w:val="left"/>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7"/>
                <w:sz w:val="24"/>
                <w:szCs w:val="24"/>
                <w:highlight w:val="none"/>
              </w:rPr>
              <w:t>与客户及其家人、同事、相关专业人士商讨照护计划的任何调整，就</w:t>
            </w:r>
            <w:r>
              <w:rPr>
                <w:rFonts w:hint="eastAsia" w:asciiTheme="minorEastAsia" w:hAnsiTheme="minorEastAsia" w:eastAsiaTheme="minorEastAsia" w:cstheme="minorEastAsia"/>
                <w:color w:val="auto"/>
                <w:sz w:val="24"/>
                <w:szCs w:val="24"/>
                <w:highlight w:val="none"/>
              </w:rPr>
              <w:t>照护计划的修改达成共识</w:t>
            </w:r>
          </w:p>
          <w:p>
            <w:pPr>
              <w:pStyle w:val="11"/>
              <w:numPr>
                <w:ilvl w:val="0"/>
                <w:numId w:val="16"/>
              </w:numPr>
              <w:tabs>
                <w:tab w:val="left" w:pos="673"/>
              </w:tabs>
              <w:spacing w:before="3"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记录评价结果</w:t>
            </w:r>
          </w:p>
          <w:p>
            <w:pPr>
              <w:pStyle w:val="11"/>
              <w:numPr>
                <w:ilvl w:val="0"/>
                <w:numId w:val="16"/>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根据客户可用资源，制定改进的行动计划</w:t>
            </w:r>
          </w:p>
          <w:p>
            <w:pPr>
              <w:pStyle w:val="11"/>
              <w:numPr>
                <w:ilvl w:val="0"/>
                <w:numId w:val="16"/>
              </w:numPr>
              <w:tabs>
                <w:tab w:val="left" w:pos="673"/>
              </w:tabs>
              <w:spacing w:before="5"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向相关各方报告并记录任何值得关注的问题</w:t>
            </w:r>
          </w:p>
          <w:p>
            <w:pPr>
              <w:pStyle w:val="11"/>
              <w:numPr>
                <w:ilvl w:val="0"/>
                <w:numId w:val="16"/>
              </w:numPr>
              <w:tabs>
                <w:tab w:val="left" w:pos="673"/>
              </w:tabs>
              <w:spacing w:before="4" w:after="0" w:line="240" w:lineRule="auto"/>
              <w:ind w:left="673" w:right="0" w:hanging="8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反思反馈并评价自己的工作实践</w:t>
            </w:r>
          </w:p>
        </w:tc>
      </w:tr>
    </w:tbl>
    <w:p>
      <w:pPr>
        <w:pStyle w:val="4"/>
        <w:spacing w:before="6"/>
        <w:ind w:left="0"/>
        <w:rPr>
          <w:rFonts w:hint="eastAsia" w:asciiTheme="minorEastAsia" w:hAnsiTheme="minorEastAsia" w:eastAsiaTheme="minorEastAsia" w:cstheme="minorEastAsia"/>
          <w:color w:val="auto"/>
          <w:sz w:val="24"/>
          <w:szCs w:val="24"/>
          <w:highlight w:val="none"/>
        </w:rPr>
      </w:pPr>
    </w:p>
    <w:p>
      <w:pPr>
        <w:keepNext w:val="0"/>
        <w:keepLines w:val="0"/>
        <w:pageBreakBefore w:val="0"/>
        <w:kinsoku/>
        <w:wordWrap/>
        <w:overflowPunct/>
        <w:topLinePunct w:val="0"/>
        <w:autoSpaceDE w:val="0"/>
        <w:autoSpaceDN w:val="0"/>
        <w:bidi w:val="0"/>
        <w:adjustRightInd/>
        <w:snapToGrid/>
        <w:spacing w:before="5" w:line="560" w:lineRule="exact"/>
        <w:ind w:righ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*客户指被照护的人员，可称之为照护对象。</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（二）竞赛模块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竞赛分为四个模块，分别考核医院、机构、社区及居家场景内的健康与社会照护知识与技能。本赛项重点考核参赛选手的文字表达能力、实践操作能力、沟通交流能力。文字表达能力通过书写计划、制作健康教育海报或撰写反思报告来考核；实践操作和沟通交流能力融合在具体的案例中。本赛项尽可能还原真实情景、体现完整任务、考察综合能力、突出应变能力、强化职业素养并提倡创新。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1. 医院模块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bookmarkStart w:id="0" w:name="（三）竞赛形式"/>
      <w:bookmarkEnd w:id="0"/>
      <w:r>
        <w:rPr>
          <w:rFonts w:hint="eastAsia" w:asciiTheme="minorEastAsia" w:hAnsiTheme="minorEastAsia" w:eastAsiaTheme="minorEastAsia" w:cstheme="minorEastAsia"/>
          <w:color w:val="auto"/>
          <w:kern w:val="0"/>
          <w:sz w:val="28"/>
          <w:szCs w:val="28"/>
          <w:highlight w:val="none"/>
          <w:lang w:val="en-US" w:eastAsia="zh-CN" w:bidi="ar"/>
        </w:rPr>
        <w:t xml:space="preserve">该模块为医院场景下，对患有常见疾病或病情危重的住院患者的整体照护。要求选手掌握相关专业特别是对疾病的知识和技能，及医疗仪器设备的使用。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选手要完成照护计划书写、进行实际照护及撰写反思报告。其中照护计划是选手根据给予的模块案例描述、实际照护任务要求进行撰写，有的模块会根据具体情况，给予相应辅助材料，如检查申请单等；选手按照制定的照护计划，对患者进行整体评估，按照任务要求和患者需求展开实际照护工作并完成相应的任务。在此过程中要注重沟通与人文关怀、心理支持、有针对性的健康教育、解答患者的问题（或疑惑）和评价照护效果。最后选手根据照护过程撰写反思报告。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2. 机构模块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该模块设置为长期照护机构场景下，患有慢性疾病或处于身心疾病康复期的失能半失能（包括失智）老年人的整体照护能力。要求选手掌握相关专业知识和技能。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选手要完成照护计划书写、进行实际照护及制作健康教育海报。其中照护计划是选手根据给予的模块案例描述、实际照护任务要求进行撰写，有的模块会根据具体情况，给予相应辅助材料，如服药单等；选手按照制定的照护计划，对老年人进行整体评估，按照任务要求和老年人需求展开实际照护工作并完成相应的任务。在此过程中要注重整体评估、沟通与人文关怀、心理支持、有针对性的健康教育和营养改善建议、最大限度利用老年人的资源和能力提高生活质量、解答老年人的问题（或疑惑）和评价照护效果。最后选手根据照护过程制作健康教育海报。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3. 社区模块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该模块设置为社区场景下，在日常情况下对有需要的照护对象的整体照护。要求选手掌握相关专业知识和技能。</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选手要完成照护计划书写、进行实际照护及制作健康教育海报。其中照护计划是选手根据给予的模块案例描述、实际照护任务要求进行撰写，有的模块会根据具体情况，给予相应辅助材料，如服药单等；选手按照制定的照护计划，对照护对象进行评估，按照任务要求和照护对象的需求展开实际照护工作并完成相应的任务。在此过程中要注重沟通与人文关怀、相应治疗的方法的指导、有针对性的健康教育、解答问题（或疑惑）和评价照护效果。最后选手根据照护过程制作健康教育海报。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4. 居家模块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该模块设置为居家场景下，对有需要的患有慢性疾病或处于身心疾病康复期的照护对象进行整体照护。要求选手入户为照护对象提供照护，掌握相关专业知识和技能。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选手要完成照护计划书写、进行实际照护及撰写反思报告。其中照护计划是选手根据给予的模块案例描述、实际照护任务要求进行撰写，有的模块会根据具体情况，给予相应辅助材料，如入户服务单等；选手按照制定的照护计划，对照护对象进行评估，按照任务要求和照护对象的需求展开实际照护工作并完成相应的任务。在此过程中要注重沟通与人文关怀、有针对性的健康教育、自我管理和自我照护措施的指导、教会照护对象或家人监测评估和紧急情况处理、解答问题（或疑惑）和评价照护效果。最后选手根据照护过程撰写反思报告。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*本赛项使用标准化病人（Standard Patient，SP）或是统一标准化培训的演职人员配合案例展现。按照模块数和赛道数进行配比。针对这一比赛，SP 或是演职人员赛前接受统一标准化培训，掌握相关疾病的主要症状和特点，心理和社会的相关特征，表现出案例要求的相应感受和体验，按照脚本要求配合完成选手的照护任务。SP 或是演职人员要保证在同一案例中表演和配合一致性，为每一名选手提供公平一致的配合。因此，SP 或是演职人员培训前要签署保密责任书，服从大赛安排，要具备良好的表演能力、理解能力、记忆力、沟通能力，同时要有良好的体力和耐力，有足够时间参加培训及比赛。</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default" w:asciiTheme="minorEastAsia" w:hAnsiTheme="minorEastAsia" w:eastAsiaTheme="minorEastAsia" w:cstheme="minorEastAsia"/>
          <w:color w:val="auto"/>
          <w:sz w:val="28"/>
          <w:szCs w:val="28"/>
          <w:highlight w:val="none"/>
          <w:lang w:val="en-US"/>
        </w:rPr>
      </w:pPr>
      <w:r>
        <w:rPr>
          <w:rFonts w:hint="eastAsia" w:asciiTheme="minorEastAsia" w:hAnsiTheme="minorEastAsia" w:eastAsiaTheme="minorEastAsia" w:cstheme="minorEastAsia"/>
          <w:b/>
          <w:color w:val="auto"/>
          <w:kern w:val="0"/>
          <w:sz w:val="28"/>
          <w:szCs w:val="28"/>
          <w:highlight w:val="none"/>
          <w:lang w:val="en-US" w:eastAsia="zh-CN" w:bidi="ar"/>
        </w:rPr>
        <w:t xml:space="preserve">（三）竞赛形式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本赛项采用单人竞赛模式。每名选手均参加医院、社区、机构及居家四个模块中的裁判选定的两个模块竞赛。两个模块将标注为 A、B模块。每个模块为 1 个案例，由 3 部分组成。每个模块程序相同，竞赛时间相同。裁判在旁观察及评分，不予提问和干扰。选手不需要向裁判做任何解释和交流。每个竞赛区独立计时。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（四）竞赛时长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每个模块竞赛时间为 80 分钟。每位参赛选手需完成两个模块的所有任务。竞赛总时长约 2.7小时（160 分钟）。</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p>
    <w:p>
      <w:pPr>
        <w:pStyle w:val="4"/>
        <w:spacing w:line="20" w:lineRule="exact"/>
        <w:ind w:left="85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inline distT="0" distB="0" distL="114300" distR="114300">
                <wp:extent cx="4894580" cy="6350"/>
                <wp:effectExtent l="0" t="0" r="0" b="0"/>
                <wp:docPr id="3" name="组合 2"/>
                <wp:cNvGraphicFramePr/>
                <a:graphic xmlns:a="http://schemas.openxmlformats.org/drawingml/2006/main">
                  <a:graphicData uri="http://schemas.microsoft.com/office/word/2010/wordprocessingGroup">
                    <wpg:wgp>
                      <wpg:cNvGrpSpPr/>
                      <wpg:grpSpPr>
                        <a:xfrm>
                          <a:off x="0" y="0"/>
                          <a:ext cx="4894580" cy="6350"/>
                          <a:chOff x="0" y="0"/>
                          <a:chExt cx="7708" cy="10"/>
                        </a:xfrm>
                      </wpg:grpSpPr>
                      <wps:wsp>
                        <wps:cNvPr id="2" name="直线 3"/>
                        <wps:cNvCnPr/>
                        <wps:spPr>
                          <a:xfrm>
                            <a:off x="0" y="5"/>
                            <a:ext cx="7708" cy="0"/>
                          </a:xfrm>
                          <a:prstGeom prst="line">
                            <a:avLst/>
                          </a:prstGeom>
                          <a:ln w="6096" cap="flat" cmpd="sng">
                            <a:solidFill>
                              <a:srgbClr val="000000"/>
                            </a:solidFill>
                            <a:prstDash val="solid"/>
                            <a:headEnd type="none" w="med" len="med"/>
                            <a:tailEnd type="none" w="med" len="med"/>
                          </a:ln>
                        </wps:spPr>
                        <wps:bodyPr upright="1"/>
                      </wps:wsp>
                    </wpg:wgp>
                  </a:graphicData>
                </a:graphic>
              </wp:inline>
            </w:drawing>
          </mc:Choice>
          <mc:Fallback>
            <w:pict>
              <v:group id="组合 2" o:spid="_x0000_s1026" o:spt="203" style="height:0.5pt;width:385.4pt;" coordsize="7708,10" o:gfxdata="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n85Ig0wAAAAMBAAAPAAAAAAAAAAEA&#10;IAAAACIAAABkcnMvZG93bnJldi54bWxQSwECFAAUAAAACACHTuJAVBdAuU0CAAD+BAAADgAAAAAA&#10;AAABACAAAAAiAQAAZHJzL2Uyb0RvYy54bWxQSwUGAAAAAAYABgBZAQAA4QUAAAAA&#10;">
                <o:lock v:ext="edit" aspectratio="f"/>
                <v:line id="直线 3" o:spid="_x0000_s1026" o:spt="20" style="position:absolute;left:0;top:5;height:0;width:7708;" filled="f" stroked="t" coordsize="21600,21600" o:gfxdata="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i89H6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w10:wrap type="none"/>
                <w10:anchorlock/>
              </v:group>
            </w:pict>
          </mc:Fallback>
        </mc:AlternateContent>
      </w:r>
    </w:p>
    <w:p>
      <w:pPr>
        <w:tabs>
          <w:tab w:val="left" w:pos="6576"/>
        </w:tabs>
        <w:spacing w:before="212"/>
        <w:ind w:left="1448" w:righ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单模块的三部分</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竞赛时长（分）</w:t>
      </w:r>
    </w:p>
    <w:p>
      <w:pPr>
        <w:tabs>
          <w:tab w:val="right" w:pos="7286"/>
        </w:tabs>
        <w:spacing w:before="323"/>
        <w:ind w:left="1448" w:righ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4384" behindDoc="0" locked="0" layoutInCell="1" allowOverlap="1">
                <wp:simplePos x="0" y="0"/>
                <wp:positionH relativeFrom="page">
                  <wp:posOffset>1332230</wp:posOffset>
                </wp:positionH>
                <wp:positionV relativeFrom="paragraph">
                  <wp:posOffset>149860</wp:posOffset>
                </wp:positionV>
                <wp:extent cx="4894580" cy="0"/>
                <wp:effectExtent l="0" t="0" r="0" b="0"/>
                <wp:wrapNone/>
                <wp:docPr id="8" name="直线 4"/>
                <wp:cNvGraphicFramePr/>
                <a:graphic xmlns:a="http://schemas.openxmlformats.org/drawingml/2006/main">
                  <a:graphicData uri="http://schemas.microsoft.com/office/word/2010/wordprocessingShape">
                    <wps:wsp>
                      <wps:cNvCnPr/>
                      <wps:spPr>
                        <a:xfrm>
                          <a:off x="0" y="0"/>
                          <a:ext cx="4894580" cy="0"/>
                        </a:xfrm>
                        <a:prstGeom prst="line">
                          <a:avLst/>
                        </a:prstGeom>
                        <a:ln w="3048"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104.9pt;margin-top:11.8pt;height:0pt;width:385.4pt;mso-position-horizontal-relative:page;z-index:251664384;mso-width-relative:page;mso-height-relative:page;" filled="f" stroked="t" coordsize="21600,21600" o:gfxdata="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DemoHtcA&#10;AAAJAQAADwAAAAAAAAABACAAAAAiAAAAZHJzL2Rvd25yZXYueG1sUEsBAhQAFAAAAAgAh07iQCyM&#10;HC/nAQAA2wMAAA4AAAAAAAAAAQAgAAAAJgEAAGRycy9lMm9Eb2MueG1sUEsFBgAAAAAGAAYAWQEA&#10;AH8FAAAAAA==&#10;">
                <v:fill on="f" focussize="0,0"/>
                <v:stroke weight="0.24pt"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w:t>**照护计划</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20</w:t>
      </w:r>
    </w:p>
    <w:p>
      <w:pPr>
        <w:tabs>
          <w:tab w:val="left" w:pos="6605"/>
        </w:tabs>
        <w:spacing w:before="166"/>
        <w:ind w:left="1448" w:righ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5408" behindDoc="0" locked="0" layoutInCell="1" allowOverlap="1">
                <wp:simplePos x="0" y="0"/>
                <wp:positionH relativeFrom="page">
                  <wp:posOffset>1332230</wp:posOffset>
                </wp:positionH>
                <wp:positionV relativeFrom="paragraph">
                  <wp:posOffset>55245</wp:posOffset>
                </wp:positionV>
                <wp:extent cx="4894580" cy="0"/>
                <wp:effectExtent l="0" t="0" r="0" b="0"/>
                <wp:wrapNone/>
                <wp:docPr id="9" name="直线 5"/>
                <wp:cNvGraphicFramePr/>
                <a:graphic xmlns:a="http://schemas.openxmlformats.org/drawingml/2006/main">
                  <a:graphicData uri="http://schemas.microsoft.com/office/word/2010/wordprocessingShape">
                    <wps:wsp>
                      <wps:cNvCnPr/>
                      <wps:spPr>
                        <a:xfrm>
                          <a:off x="0" y="0"/>
                          <a:ext cx="4894580" cy="0"/>
                        </a:xfrm>
                        <a:prstGeom prst="line">
                          <a:avLst/>
                        </a:prstGeom>
                        <a:ln w="3048" cap="flat" cmpd="sng">
                          <a:solidFill>
                            <a:srgbClr val="000000"/>
                          </a:solidFill>
                          <a:prstDash val="solid"/>
                          <a:headEnd type="none" w="med" len="med"/>
                          <a:tailEnd type="none" w="med" len="med"/>
                        </a:ln>
                      </wps:spPr>
                      <wps:bodyPr upright="1"/>
                    </wps:wsp>
                  </a:graphicData>
                </a:graphic>
              </wp:anchor>
            </w:drawing>
          </mc:Choice>
          <mc:Fallback>
            <w:pict>
              <v:line id="直线 5" o:spid="_x0000_s1026" o:spt="20" style="position:absolute;left:0pt;margin-left:104.9pt;margin-top:4.35pt;height:0pt;width:385.4pt;mso-position-horizontal-relative:page;z-index:251665408;mso-width-relative:page;mso-height-relative:page;" filled="f" stroked="t" coordsize="21600,21600" o:gfxdata="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Hnof/PW&#10;AAAABwEAAA8AAAAAAAAAAQAgAAAAIgAAAGRycy9kb3ducmV2LnhtbFBLAQIUABQAAAAIAIdO4kAl&#10;VWpI6QEAANsDAAAOAAAAAAAAAAEAIAAAACUBAABkcnMvZTJvRG9jLnhtbFBLBQYAAAAABgAGAFkB&#10;AACABQAAAAA=&#10;">
                <v:fill on="f" focussize="0,0"/>
                <v:stroke weight="0.24pt"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6432" behindDoc="0" locked="0" layoutInCell="1" allowOverlap="1">
                <wp:simplePos x="0" y="0"/>
                <wp:positionH relativeFrom="page">
                  <wp:posOffset>1332230</wp:posOffset>
                </wp:positionH>
                <wp:positionV relativeFrom="paragraph">
                  <wp:posOffset>350520</wp:posOffset>
                </wp:positionV>
                <wp:extent cx="4894580" cy="0"/>
                <wp:effectExtent l="0" t="0" r="0" b="0"/>
                <wp:wrapNone/>
                <wp:docPr id="10" name="直线 6"/>
                <wp:cNvGraphicFramePr/>
                <a:graphic xmlns:a="http://schemas.openxmlformats.org/drawingml/2006/main">
                  <a:graphicData uri="http://schemas.microsoft.com/office/word/2010/wordprocessingShape">
                    <wps:wsp>
                      <wps:cNvCnPr/>
                      <wps:spPr>
                        <a:xfrm>
                          <a:off x="0" y="0"/>
                          <a:ext cx="4894580" cy="0"/>
                        </a:xfrm>
                        <a:prstGeom prst="line">
                          <a:avLst/>
                        </a:prstGeom>
                        <a:ln w="3048" cap="flat" cmpd="sng">
                          <a:solidFill>
                            <a:srgbClr val="000000"/>
                          </a:solidFill>
                          <a:prstDash val="solid"/>
                          <a:headEnd type="none" w="med" len="med"/>
                          <a:tailEnd type="none" w="med" len="med"/>
                        </a:ln>
                      </wps:spPr>
                      <wps:bodyPr upright="1"/>
                    </wps:wsp>
                  </a:graphicData>
                </a:graphic>
              </wp:anchor>
            </w:drawing>
          </mc:Choice>
          <mc:Fallback>
            <w:pict>
              <v:line id="直线 6" o:spid="_x0000_s1026" o:spt="20" style="position:absolute;left:0pt;margin-left:104.9pt;margin-top:27.6pt;height:0pt;width:385.4pt;mso-position-horizontal-relative:page;z-index:251666432;mso-width-relative:page;mso-height-relative:page;" filled="f" stroked="t" coordsize="21600,21600" o:gfxdata="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GSTO&#10;gNgAAAAJAQAADwAAAAAAAAABACAAAAAiAAAAZHJzL2Rvd25yZXYueG1sUEsBAhQAFAAAAAgAh07i&#10;QAKwyEXpAQAA3AMAAA4AAAAAAAAAAQAgAAAAJwEAAGRycy9lMm9Eb2MueG1sUEsFBgAAAAAGAAYA&#10;WQEAAIIFAAAAAA==&#10;">
                <v:fill on="f" focussize="0,0"/>
                <v:stroke weight="0.24pt"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w:t>**沟通与实际照护</w:t>
      </w:r>
      <w:r>
        <w:rPr>
          <w:rFonts w:hint="eastAsia" w:asciiTheme="minorEastAsia" w:hAnsiTheme="minorEastAsia" w:eastAsiaTheme="minorEastAsia" w:cstheme="minorEastAsia"/>
          <w:color w:val="auto"/>
          <w:spacing w:val="-2"/>
          <w:sz w:val="24"/>
          <w:szCs w:val="24"/>
          <w:highlight w:val="none"/>
        </w:rPr>
        <w:t xml:space="preserve"> </w:t>
      </w:r>
      <w:r>
        <w:rPr>
          <w:rFonts w:hint="eastAsia" w:asciiTheme="minorEastAsia" w:hAnsiTheme="minorEastAsia" w:eastAsiaTheme="minorEastAsia" w:cstheme="minorEastAsia"/>
          <w:color w:val="auto"/>
          <w:sz w:val="24"/>
          <w:szCs w:val="24"/>
          <w:highlight w:val="none"/>
        </w:rPr>
        <w:t>（简称实际照护）</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30</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5+25）</w:t>
      </w:r>
    </w:p>
    <w:p>
      <w:pPr>
        <w:tabs>
          <w:tab w:val="right" w:pos="7286"/>
        </w:tabs>
        <w:spacing w:before="158"/>
        <w:ind w:left="1448" w:righ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3360" behindDoc="1" locked="0" layoutInCell="1" allowOverlap="1">
                <wp:simplePos x="0" y="0"/>
                <wp:positionH relativeFrom="page">
                  <wp:posOffset>1332230</wp:posOffset>
                </wp:positionH>
                <wp:positionV relativeFrom="paragraph">
                  <wp:posOffset>346710</wp:posOffset>
                </wp:positionV>
                <wp:extent cx="4894580" cy="0"/>
                <wp:effectExtent l="0" t="0" r="0" b="0"/>
                <wp:wrapTopAndBottom/>
                <wp:docPr id="7" name="直线 7"/>
                <wp:cNvGraphicFramePr/>
                <a:graphic xmlns:a="http://schemas.openxmlformats.org/drawingml/2006/main">
                  <a:graphicData uri="http://schemas.microsoft.com/office/word/2010/wordprocessingShape">
                    <wps:wsp>
                      <wps:cNvCnPr/>
                      <wps:spPr>
                        <a:xfrm>
                          <a:off x="0" y="0"/>
                          <a:ext cx="489458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7" o:spid="_x0000_s1026" o:spt="20" style="position:absolute;left:0pt;margin-left:104.9pt;margin-top:27.3pt;height:0pt;width:385.4pt;mso-position-horizontal-relative:page;mso-wrap-distance-bottom:0pt;mso-wrap-distance-top:0pt;z-index:-251653120;mso-width-relative:page;mso-height-relative:page;" filled="f" stroked="t" coordsize="21600,21600" o:gfxdata="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vQp8&#10;CdgAAAAJAQAADwAAAAAAAAABACAAAAAiAAAAZHJzL2Rvd25yZXYueG1sUEsBAhQAFAAAAAgAh07i&#10;QGZexs7pAQAA2wMAAA4AAAAAAAAAAQAgAAAAJwEAAGRycy9lMm9Eb2MueG1sUEsFBgAAAAAGAAYA&#10;WQEAAIIFAAAAAA==&#10;">
                <v:fill on="f" focussize="0,0"/>
                <v:stroke weight="0.48pt" color="#000000" joinstyle="round"/>
                <v:imagedata o:title=""/>
                <o:lock v:ext="edit" aspectratio="f"/>
                <w10:wrap type="topAndBottom"/>
              </v:line>
            </w:pict>
          </mc:Fallback>
        </mc:AlternateContent>
      </w:r>
      <w:r>
        <w:rPr>
          <w:rFonts w:hint="eastAsia" w:asciiTheme="minorEastAsia" w:hAnsiTheme="minorEastAsia" w:eastAsiaTheme="minorEastAsia" w:cstheme="minorEastAsia"/>
          <w:color w:val="auto"/>
          <w:sz w:val="24"/>
          <w:szCs w:val="24"/>
          <w:highlight w:val="none"/>
        </w:rPr>
        <w:t>**健康教育海报或反思报告</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30</w:t>
      </w:r>
    </w:p>
    <w:p>
      <w:pPr>
        <w:keepNext w:val="0"/>
        <w:keepLines w:val="0"/>
        <w:widowControl/>
        <w:suppressLineNumbers w:val="0"/>
        <w:ind w:firstLine="482" w:firstLineChars="200"/>
        <w:jc w:val="left"/>
        <w:rPr>
          <w:rFonts w:hint="eastAsia" w:asciiTheme="minorEastAsia" w:hAnsiTheme="minorEastAsia" w:eastAsiaTheme="minorEastAsia" w:cstheme="minorEastAsia"/>
          <w:b/>
          <w:color w:val="auto"/>
          <w:kern w:val="0"/>
          <w:sz w:val="24"/>
          <w:szCs w:val="24"/>
          <w:highlight w:val="none"/>
          <w:lang w:val="en-US" w:eastAsia="zh-CN" w:bidi="ar"/>
        </w:rPr>
      </w:pPr>
      <w:bookmarkStart w:id="1" w:name="（五）成绩比例"/>
      <w:bookmarkEnd w:id="1"/>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（五）成绩比例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竞赛成绩采用每个模块百分制、分步计分，最后总和。现场打分，每个模块 100分，满分为 200分。成绩录入系统时，将每个模块 100 分换算成 50 分，200分换算成 100 分。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四、竞赛方式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本赛项为个人赛。依据《海南省教育厅 海南省人力资源和社会保障厅关于印发2022年海南省职业院校职业技能大赛方案的通知》的有关要求，每支参赛队4名参赛选手，每名参赛选手 1 名指导教师。参赛选手和指导教师报名获得确认后不得随意更换。发现实际参赛选手与报名信息不符的情况，则参赛选手不得入场比赛。参赛选手须为高等学校在籍高职高专类学生；根据2022年省教育厅技能大赛文件要求，高职组参赛选手年龄不超过25周岁（即1998年5月1日及以后出生），在2021全国职业院校技能大赛中获一等奖的学生，不再参加同一项目（同一组别）的全省竞赛。</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五、竞赛流程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（一）参赛选手竞赛流程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本项目竞赛两个赛道。每个参赛单位的 4名选手分别抽签决定赛道。每个赛道进行两个模块的竞赛项目。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（见图 1） </w:t>
      </w:r>
    </w:p>
    <w:p>
      <w:pPr>
        <w:pStyle w:val="4"/>
        <w:spacing w:before="3"/>
        <w:ind w:left="0"/>
        <w:rPr>
          <w:rFonts w:hint="eastAsia" w:asciiTheme="minorEastAsia" w:hAnsiTheme="minorEastAsia" w:eastAsiaTheme="minorEastAsia" w:cstheme="minorEastAsia"/>
          <w:color w:val="auto"/>
          <w:sz w:val="24"/>
          <w:szCs w:val="24"/>
          <w:highlight w:val="none"/>
        </w:rPr>
      </w:pPr>
    </w:p>
    <w:p>
      <w:pPr>
        <w:pStyle w:val="4"/>
        <w:ind w:left="7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drawing>
          <wp:inline distT="0" distB="0" distL="0" distR="0">
            <wp:extent cx="4919980" cy="3221990"/>
            <wp:effectExtent l="0" t="0" r="13970" b="1651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7" cstate="print"/>
                    <a:stretch>
                      <a:fillRect/>
                    </a:stretch>
                  </pic:blipFill>
                  <pic:spPr>
                    <a:xfrm>
                      <a:off x="0" y="0"/>
                      <a:ext cx="4920217" cy="3221990"/>
                    </a:xfrm>
                    <a:prstGeom prst="rect">
                      <a:avLst/>
                    </a:prstGeom>
                  </pic:spPr>
                </pic:pic>
              </a:graphicData>
            </a:graphic>
          </wp:inline>
        </w:drawing>
      </w:r>
    </w:p>
    <w:p>
      <w:pPr>
        <w:pStyle w:val="4"/>
        <w:keepNext w:val="0"/>
        <w:keepLines w:val="0"/>
        <w:pageBreakBefore w:val="0"/>
        <w:widowControl w:val="0"/>
        <w:tabs>
          <w:tab w:val="left" w:pos="3838"/>
        </w:tabs>
        <w:kinsoku/>
        <w:wordWrap/>
        <w:overflowPunct/>
        <w:topLinePunct w:val="0"/>
        <w:autoSpaceDE w:val="0"/>
        <w:autoSpaceDN w:val="0"/>
        <w:bidi w:val="0"/>
        <w:adjustRightInd/>
        <w:snapToGrid/>
        <w:spacing w:before="0" w:line="560" w:lineRule="exact"/>
        <w:ind w:left="0" w:right="0" w:firstLine="3920" w:firstLineChars="14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图</w:t>
      </w:r>
      <w:r>
        <w:rPr>
          <w:rFonts w:hint="eastAsia" w:asciiTheme="minorEastAsia" w:hAnsiTheme="minorEastAsia" w:eastAsiaTheme="minorEastAsia" w:cstheme="minorEastAsia"/>
          <w:color w:val="auto"/>
          <w:spacing w:val="-71"/>
          <w:sz w:val="28"/>
          <w:szCs w:val="28"/>
          <w:highlight w:val="none"/>
        </w:rPr>
        <w:t xml:space="preserve"> </w:t>
      </w: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参</w:t>
      </w:r>
      <w:r>
        <w:rPr>
          <w:rFonts w:hint="eastAsia" w:asciiTheme="minorEastAsia" w:hAnsiTheme="minorEastAsia" w:eastAsiaTheme="minorEastAsia" w:cstheme="minorEastAsia"/>
          <w:color w:val="auto"/>
          <w:spacing w:val="-3"/>
          <w:sz w:val="28"/>
          <w:szCs w:val="28"/>
          <w:highlight w:val="none"/>
        </w:rPr>
        <w:t>赛</w:t>
      </w:r>
      <w:r>
        <w:rPr>
          <w:rFonts w:hint="eastAsia" w:asciiTheme="minorEastAsia" w:hAnsiTheme="minorEastAsia" w:eastAsiaTheme="minorEastAsia" w:cstheme="minorEastAsia"/>
          <w:color w:val="auto"/>
          <w:sz w:val="28"/>
          <w:szCs w:val="28"/>
          <w:highlight w:val="none"/>
        </w:rPr>
        <w:t>选手</w:t>
      </w:r>
      <w:r>
        <w:rPr>
          <w:rFonts w:hint="eastAsia" w:asciiTheme="minorEastAsia" w:hAnsiTheme="minorEastAsia" w:eastAsiaTheme="minorEastAsia" w:cstheme="minorEastAsia"/>
          <w:color w:val="auto"/>
          <w:spacing w:val="-3"/>
          <w:sz w:val="28"/>
          <w:szCs w:val="28"/>
          <w:highlight w:val="none"/>
        </w:rPr>
        <w:t>竞</w:t>
      </w:r>
      <w:r>
        <w:rPr>
          <w:rFonts w:hint="eastAsia" w:asciiTheme="minorEastAsia" w:hAnsiTheme="minorEastAsia" w:eastAsiaTheme="minorEastAsia" w:cstheme="minorEastAsia"/>
          <w:color w:val="auto"/>
          <w:sz w:val="28"/>
          <w:szCs w:val="28"/>
          <w:highlight w:val="none"/>
        </w:rPr>
        <w:t>赛流程</w:t>
      </w:r>
    </w:p>
    <w:p>
      <w:pPr>
        <w:keepNext w:val="0"/>
        <w:keepLines w:val="0"/>
        <w:pageBreakBefore w:val="0"/>
        <w:widowControl w:val="0"/>
        <w:numPr>
          <w:ilvl w:val="0"/>
          <w:numId w:val="17"/>
        </w:numPr>
        <w:kinsoku/>
        <w:wordWrap/>
        <w:overflowPunct/>
        <w:topLinePunct w:val="0"/>
        <w:autoSpaceDE w:val="0"/>
        <w:autoSpaceDN w:val="0"/>
        <w:bidi w:val="0"/>
        <w:adjustRightInd/>
        <w:snapToGrid/>
        <w:spacing w:before="0" w:line="560" w:lineRule="exact"/>
        <w:ind w:left="0" w:right="0" w:firstLine="562" w:firstLineChars="200"/>
        <w:jc w:val="left"/>
        <w:textAlignment w:val="auto"/>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rPr>
        <w:t>竞赛模块流程</w:t>
      </w:r>
      <w:r>
        <w:rPr>
          <w:rFonts w:hint="eastAsia" w:asciiTheme="minorEastAsia" w:hAnsiTheme="minorEastAsia" w:eastAsiaTheme="minorEastAsia" w:cstheme="minorEastAsia"/>
          <w:color w:val="auto"/>
          <w:sz w:val="28"/>
          <w:szCs w:val="28"/>
          <w:highlight w:val="none"/>
        </w:rPr>
        <w:t>（见图 2）</w:t>
      </w:r>
    </w:p>
    <w:p>
      <w:pPr>
        <w:keepNext w:val="0"/>
        <w:keepLines w:val="0"/>
        <w:widowControl/>
        <w:suppressLineNumbers w:val="0"/>
        <w:ind w:firstLine="480"/>
        <w:jc w:val="center"/>
        <w:rPr>
          <w:color w:val="auto"/>
          <w:highlight w:val="none"/>
        </w:rPr>
      </w:pPr>
      <w:r>
        <w:rPr>
          <w:color w:val="auto"/>
          <w:highlight w:val="none"/>
        </w:rPr>
        <w:drawing>
          <wp:inline distT="0" distB="0" distL="114300" distR="114300">
            <wp:extent cx="4580890" cy="1472565"/>
            <wp:effectExtent l="0" t="0" r="3810" b="63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8"/>
                    <a:stretch>
                      <a:fillRect/>
                    </a:stretch>
                  </pic:blipFill>
                  <pic:spPr>
                    <a:xfrm>
                      <a:off x="0" y="0"/>
                      <a:ext cx="4580890" cy="1472565"/>
                    </a:xfrm>
                    <a:prstGeom prst="rect">
                      <a:avLst/>
                    </a:prstGeom>
                    <a:noFill/>
                    <a:ln>
                      <a:noFill/>
                    </a:ln>
                  </pic:spPr>
                </pic:pic>
              </a:graphicData>
            </a:graphic>
          </wp:inline>
        </w:drawing>
      </w:r>
    </w:p>
    <w:p>
      <w:pPr>
        <w:keepNext w:val="0"/>
        <w:keepLines w:val="0"/>
        <w:widowControl/>
        <w:suppressLineNumbers w:val="0"/>
        <w:jc w:val="center"/>
        <w:rPr>
          <w:rFonts w:ascii="仿宋_GB2312" w:hAnsi="仿宋_GB2312" w:eastAsia="仿宋_GB2312" w:cs="仿宋_GB2312"/>
          <w:color w:val="auto"/>
          <w:kern w:val="0"/>
          <w:sz w:val="28"/>
          <w:szCs w:val="28"/>
          <w:highlight w:val="none"/>
          <w:lang w:val="en-US" w:eastAsia="zh-CN" w:bidi="ar"/>
        </w:rPr>
      </w:pPr>
    </w:p>
    <w:p>
      <w:pPr>
        <w:keepNext w:val="0"/>
        <w:keepLines w:val="0"/>
        <w:widowControl/>
        <w:suppressLineNumbers w:val="0"/>
        <w:jc w:val="center"/>
        <w:rPr>
          <w:color w:val="auto"/>
          <w:highlight w:val="none"/>
        </w:rPr>
      </w:pPr>
      <w:r>
        <w:rPr>
          <w:rFonts w:ascii="仿宋_GB2312" w:hAnsi="仿宋_GB2312" w:eastAsia="仿宋_GB2312" w:cs="仿宋_GB2312"/>
          <w:color w:val="auto"/>
          <w:kern w:val="0"/>
          <w:sz w:val="28"/>
          <w:szCs w:val="28"/>
          <w:highlight w:val="none"/>
          <w:lang w:val="en-US" w:eastAsia="zh-CN" w:bidi="ar"/>
        </w:rPr>
        <w:t>图 2 健康与社会照护赛项竞赛模块流程</w:t>
      </w:r>
    </w:p>
    <w:p>
      <w:pPr>
        <w:numPr>
          <w:ilvl w:val="0"/>
          <w:numId w:val="0"/>
        </w:numPr>
        <w:spacing w:before="173" w:line="333" w:lineRule="auto"/>
        <w:ind w:right="4377" w:rightChars="0"/>
        <w:jc w:val="both"/>
        <w:rPr>
          <w:rFonts w:hint="eastAsia" w:asciiTheme="minorEastAsia" w:hAnsiTheme="minorEastAsia" w:eastAsiaTheme="minorEastAsia" w:cstheme="minorEastAsia"/>
          <w:color w:val="auto"/>
          <w:sz w:val="24"/>
          <w:szCs w:val="24"/>
          <w:highlight w:val="none"/>
        </w:rPr>
      </w:pPr>
    </w:p>
    <w:p>
      <w:pPr>
        <w:pStyle w:val="3"/>
        <w:numPr>
          <w:ilvl w:val="0"/>
          <w:numId w:val="0"/>
        </w:numPr>
        <w:tabs>
          <w:tab w:val="left" w:pos="265"/>
        </w:tabs>
        <w:ind w:leftChars="200" w:right="0" w:rightChars="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rPr>
        <w:t>单模块竞赛流程</w:t>
      </w:r>
    </w:p>
    <w:p>
      <w:pPr>
        <w:widowControl w:val="0"/>
        <w:numPr>
          <w:ilvl w:val="0"/>
          <w:numId w:val="0"/>
        </w:numPr>
        <w:autoSpaceDE w:val="0"/>
        <w:autoSpaceDN w:val="0"/>
        <w:spacing w:before="0" w:after="0" w:line="240" w:lineRule="auto"/>
        <w:ind w:right="0" w:rightChars="0"/>
        <w:jc w:val="left"/>
        <w:rPr>
          <w:rFonts w:hint="eastAsia" w:asciiTheme="minorEastAsia" w:hAnsiTheme="minorEastAsia" w:eastAsiaTheme="minorEastAsia" w:cstheme="minorEastAsia"/>
          <w:color w:val="auto"/>
          <w:sz w:val="24"/>
          <w:szCs w:val="24"/>
          <w:highlight w:val="none"/>
        </w:rPr>
      </w:pPr>
    </w:p>
    <w:tbl>
      <w:tblPr>
        <w:tblStyle w:val="7"/>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0"/>
        <w:gridCol w:w="7099"/>
        <w:gridCol w:w="10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0" w:hRule="atLeast"/>
        </w:trPr>
        <w:tc>
          <w:tcPr>
            <w:tcW w:w="1030"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流程</w:t>
            </w:r>
          </w:p>
        </w:tc>
        <w:tc>
          <w:tcPr>
            <w:tcW w:w="7099"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内容</w:t>
            </w:r>
          </w:p>
        </w:tc>
        <w:tc>
          <w:tcPr>
            <w:tcW w:w="1056"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3" w:hRule="atLeast"/>
        </w:trPr>
        <w:tc>
          <w:tcPr>
            <w:tcW w:w="1030"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照护计划竞赛区</w:t>
            </w:r>
          </w:p>
        </w:tc>
        <w:tc>
          <w:tcPr>
            <w:tcW w:w="7099"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各赛道参赛选手按抽取的赛道赛位号依次进入相应赛道的竞</w:t>
            </w:r>
            <w:r>
              <w:rPr>
                <w:rFonts w:hint="eastAsia" w:asciiTheme="minorEastAsia" w:hAnsiTheme="minorEastAsia" w:eastAsiaTheme="minorEastAsia" w:cstheme="minorEastAsia"/>
                <w:color w:val="auto"/>
                <w:spacing w:val="-16"/>
                <w:sz w:val="24"/>
                <w:szCs w:val="24"/>
                <w:highlight w:val="none"/>
              </w:rPr>
              <w:t>赛模块。首先进入该模块的“照护计划竞赛区”，本模块的案例</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pacing w:val="-16"/>
                <w:sz w:val="24"/>
                <w:szCs w:val="24"/>
                <w:highlight w:val="none"/>
              </w:rPr>
              <w:t>及</w:t>
            </w:r>
            <w:r>
              <w:rPr>
                <w:rFonts w:hint="eastAsia" w:asciiTheme="minorEastAsia" w:hAnsiTheme="minorEastAsia" w:eastAsiaTheme="minorEastAsia" w:cstheme="minorEastAsia"/>
                <w:color w:val="auto"/>
                <w:sz w:val="24"/>
                <w:szCs w:val="24"/>
                <w:highlight w:val="none"/>
              </w:rPr>
              <w:t>辅助单</w:t>
            </w:r>
            <w:r>
              <w:rPr>
                <w:rFonts w:hint="eastAsia" w:asciiTheme="minorEastAsia" w:hAnsiTheme="minorEastAsia" w:eastAsiaTheme="minorEastAsia" w:cstheme="minorEastAsia"/>
                <w:color w:val="auto"/>
                <w:spacing w:val="-46"/>
                <w:sz w:val="24"/>
                <w:szCs w:val="24"/>
                <w:highlight w:val="none"/>
              </w:rPr>
              <w:t>）</w:t>
            </w:r>
            <w:r>
              <w:rPr>
                <w:rFonts w:hint="eastAsia" w:asciiTheme="minorEastAsia" w:hAnsiTheme="minorEastAsia" w:eastAsiaTheme="minorEastAsia" w:cstheme="minorEastAsia"/>
                <w:color w:val="auto"/>
                <w:spacing w:val="-10"/>
                <w:sz w:val="24"/>
                <w:szCs w:val="24"/>
                <w:highlight w:val="none"/>
              </w:rPr>
              <w:t>会放在桌上</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pacing w:val="-5"/>
                <w:sz w:val="24"/>
                <w:szCs w:val="24"/>
                <w:highlight w:val="none"/>
              </w:rPr>
              <w:t>此案例单可以一直携带。根据模块具体情况相应辅助单可携带）</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当计时开始，请认真阅读案例。阅读后，以书面形式写出该案</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例照护计划，包括所有任务、有逻辑顺序的时间计划、拟完成的目标等。</w:t>
            </w:r>
          </w:p>
        </w:tc>
        <w:tc>
          <w:tcPr>
            <w:tcW w:w="1056"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color w:val="auto"/>
                <w:sz w:val="24"/>
                <w:szCs w:val="24"/>
                <w:highlight w:val="none"/>
                <w:lang w:val="en-US" w:eastAsia="zh-CN"/>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 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0" w:hRule="atLeast"/>
        </w:trPr>
        <w:tc>
          <w:tcPr>
            <w:tcW w:w="1030" w:type="dxa"/>
            <w:vMerge w:val="restart"/>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实际照护竞赛区</w:t>
            </w:r>
          </w:p>
        </w:tc>
        <w:tc>
          <w:tcPr>
            <w:tcW w:w="7099"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各赛道参赛选手完成照护计划后，携带案例单</w:t>
            </w:r>
            <w:r>
              <w:rPr>
                <w:rFonts w:hint="eastAsia" w:asciiTheme="minorEastAsia" w:hAnsiTheme="minorEastAsia" w:eastAsiaTheme="minorEastAsia" w:cstheme="minorEastAsia"/>
                <w:color w:val="auto"/>
                <w:sz w:val="24"/>
                <w:szCs w:val="24"/>
                <w:highlight w:val="none"/>
              </w:rPr>
              <w:t>（及辅助单</w:t>
            </w:r>
            <w:r>
              <w:rPr>
                <w:rFonts w:hint="eastAsia" w:asciiTheme="minorEastAsia" w:hAnsiTheme="minorEastAsia" w:eastAsiaTheme="minorEastAsia" w:cstheme="minorEastAsia"/>
                <w:color w:val="auto"/>
                <w:spacing w:val="-8"/>
                <w:sz w:val="24"/>
                <w:szCs w:val="24"/>
                <w:highlight w:val="none"/>
              </w:rPr>
              <w:t>）</w:t>
            </w:r>
            <w:r>
              <w:rPr>
                <w:rFonts w:hint="eastAsia" w:asciiTheme="minorEastAsia" w:hAnsiTheme="minorEastAsia" w:eastAsiaTheme="minorEastAsia" w:cstheme="minorEastAsia"/>
                <w:color w:val="auto"/>
                <w:spacing w:val="-12"/>
                <w:sz w:val="24"/>
                <w:szCs w:val="24"/>
                <w:highlight w:val="none"/>
              </w:rPr>
              <w:t>在</w:t>
            </w:r>
            <w:r>
              <w:rPr>
                <w:rFonts w:hint="eastAsia" w:asciiTheme="minorEastAsia" w:hAnsiTheme="minorEastAsia" w:eastAsiaTheme="minorEastAsia" w:cstheme="minorEastAsia"/>
                <w:color w:val="auto"/>
                <w:spacing w:val="-5"/>
                <w:sz w:val="24"/>
                <w:szCs w:val="24"/>
                <w:highlight w:val="none"/>
              </w:rPr>
              <w:t>引导员引导下进入“实际照护竞赛备物区”。计时开始，准备相应</w:t>
            </w:r>
            <w:r>
              <w:rPr>
                <w:rFonts w:hint="eastAsia" w:asciiTheme="minorEastAsia" w:hAnsiTheme="minorEastAsia" w:eastAsiaTheme="minorEastAsia" w:cstheme="minorEastAsia"/>
                <w:color w:val="auto"/>
                <w:sz w:val="24"/>
                <w:szCs w:val="24"/>
                <w:highlight w:val="none"/>
              </w:rPr>
              <w:t>物品、设备等材料。</w:t>
            </w:r>
          </w:p>
        </w:tc>
        <w:tc>
          <w:tcPr>
            <w:tcW w:w="1056"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 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3" w:hRule="atLeast"/>
        </w:trPr>
        <w:tc>
          <w:tcPr>
            <w:tcW w:w="1030"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color w:val="auto"/>
                <w:sz w:val="24"/>
                <w:szCs w:val="24"/>
                <w:highlight w:val="none"/>
              </w:rPr>
            </w:pPr>
          </w:p>
        </w:tc>
        <w:tc>
          <w:tcPr>
            <w:tcW w:w="7099"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3"/>
                <w:sz w:val="24"/>
                <w:szCs w:val="24"/>
                <w:highlight w:val="none"/>
              </w:rPr>
              <w:t>备物结束，由引导员引导离开备物区，进入“实际照护竞赛区”</w:t>
            </w:r>
            <w:r>
              <w:rPr>
                <w:rFonts w:hint="eastAsia" w:asciiTheme="minorEastAsia" w:hAnsiTheme="minorEastAsia" w:eastAsiaTheme="minorEastAsia" w:cstheme="minorEastAsia"/>
                <w:color w:val="auto"/>
                <w:spacing w:val="-3"/>
                <w:sz w:val="24"/>
                <w:szCs w:val="24"/>
                <w:highlight w:val="none"/>
              </w:rPr>
              <w:t xml:space="preserve">将案例单放在门口桌上。进入竞赛区内即比赛计时开始。按照任务要求，利用现有资源，自取用物，实现对 </w:t>
            </w:r>
            <w:r>
              <w:rPr>
                <w:rFonts w:hint="eastAsia" w:asciiTheme="minorEastAsia" w:hAnsiTheme="minorEastAsia" w:eastAsiaTheme="minorEastAsia" w:cstheme="minorEastAsia"/>
                <w:color w:val="auto"/>
                <w:sz w:val="24"/>
                <w:szCs w:val="24"/>
                <w:highlight w:val="none"/>
              </w:rPr>
              <w:t>SP</w:t>
            </w:r>
            <w:r>
              <w:rPr>
                <w:rFonts w:hint="eastAsia" w:asciiTheme="minorEastAsia" w:hAnsiTheme="minorEastAsia" w:eastAsiaTheme="minorEastAsia" w:cstheme="minorEastAsia"/>
                <w:color w:val="auto"/>
                <w:spacing w:val="-4"/>
                <w:sz w:val="24"/>
                <w:szCs w:val="24"/>
                <w:highlight w:val="none"/>
              </w:rPr>
              <w:t xml:space="preserve"> 或是演职人员等的自主和独立的健康与社会照护。</w:t>
            </w:r>
          </w:p>
        </w:tc>
        <w:tc>
          <w:tcPr>
            <w:tcW w:w="1056"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 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43" w:hRule="atLeast"/>
        </w:trPr>
        <w:tc>
          <w:tcPr>
            <w:tcW w:w="1030"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健康教育海报或反思报告</w:t>
            </w:r>
          </w:p>
        </w:tc>
        <w:tc>
          <w:tcPr>
            <w:tcW w:w="7099"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参赛选手完成实际照护竞赛区的任务后，携带案例单</w:t>
            </w:r>
            <w:r>
              <w:rPr>
                <w:rFonts w:hint="eastAsia" w:asciiTheme="minorEastAsia" w:hAnsiTheme="minorEastAsia" w:eastAsiaTheme="minorEastAsia" w:cstheme="minorEastAsia"/>
                <w:color w:val="auto"/>
                <w:spacing w:val="-3"/>
                <w:sz w:val="24"/>
                <w:szCs w:val="24"/>
                <w:highlight w:val="none"/>
              </w:rPr>
              <w:t>（</w:t>
            </w:r>
            <w:r>
              <w:rPr>
                <w:rFonts w:hint="eastAsia" w:asciiTheme="minorEastAsia" w:hAnsiTheme="minorEastAsia" w:eastAsiaTheme="minorEastAsia" w:cstheme="minorEastAsia"/>
                <w:color w:val="auto"/>
                <w:spacing w:val="-4"/>
                <w:sz w:val="24"/>
                <w:szCs w:val="24"/>
                <w:highlight w:val="none"/>
              </w:rPr>
              <w:t>及辅助</w:t>
            </w:r>
            <w:r>
              <w:rPr>
                <w:rFonts w:hint="eastAsia" w:asciiTheme="minorEastAsia" w:hAnsiTheme="minorEastAsia" w:eastAsiaTheme="minorEastAsia" w:cstheme="minorEastAsia"/>
                <w:color w:val="auto"/>
                <w:sz w:val="24"/>
                <w:szCs w:val="24"/>
                <w:highlight w:val="none"/>
              </w:rPr>
              <w:t>单</w:t>
            </w:r>
            <w:r>
              <w:rPr>
                <w:rFonts w:hint="eastAsia" w:asciiTheme="minorEastAsia" w:hAnsiTheme="minorEastAsia" w:eastAsiaTheme="minorEastAsia" w:cstheme="minorEastAsia"/>
                <w:color w:val="auto"/>
                <w:spacing w:val="-4"/>
                <w:sz w:val="24"/>
                <w:szCs w:val="24"/>
                <w:highlight w:val="none"/>
              </w:rPr>
              <w:t>）</w:t>
            </w:r>
            <w:r>
              <w:rPr>
                <w:rFonts w:hint="eastAsia" w:asciiTheme="minorEastAsia" w:hAnsiTheme="minorEastAsia" w:eastAsiaTheme="minorEastAsia" w:cstheme="minorEastAsia"/>
                <w:color w:val="auto"/>
                <w:spacing w:val="-5"/>
                <w:sz w:val="24"/>
                <w:szCs w:val="24"/>
                <w:highlight w:val="none"/>
              </w:rPr>
              <w:t>，在引导下进入“健康教育海报或反思报告竞赛区”，完成海</w:t>
            </w:r>
            <w:r>
              <w:rPr>
                <w:rFonts w:hint="eastAsia" w:asciiTheme="minorEastAsia" w:hAnsiTheme="minorEastAsia" w:eastAsiaTheme="minorEastAsia" w:cstheme="minorEastAsia"/>
                <w:color w:val="auto"/>
                <w:sz w:val="24"/>
                <w:szCs w:val="24"/>
                <w:highlight w:val="none"/>
              </w:rPr>
              <w:t>报或反思报告。</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完成所有任务后，将案例单（及辅助单）放在桌上，离开竞赛区。</w:t>
            </w:r>
          </w:p>
        </w:tc>
        <w:tc>
          <w:tcPr>
            <w:tcW w:w="1056" w:type="dxa"/>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 分钟</w:t>
            </w:r>
          </w:p>
        </w:tc>
      </w:tr>
    </w:tbl>
    <w:p>
      <w:pPr>
        <w:pStyle w:val="4"/>
        <w:spacing w:before="16"/>
        <w:ind w:left="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0288" behindDoc="1" locked="0" layoutInCell="1" allowOverlap="1">
                <wp:simplePos x="0" y="0"/>
                <wp:positionH relativeFrom="page">
                  <wp:posOffset>6027420</wp:posOffset>
                </wp:positionH>
                <wp:positionV relativeFrom="page">
                  <wp:posOffset>1287780</wp:posOffset>
                </wp:positionV>
                <wp:extent cx="667385" cy="2185035"/>
                <wp:effectExtent l="0" t="0" r="18415" b="5715"/>
                <wp:wrapNone/>
                <wp:docPr id="5" name="矩形 8"/>
                <wp:cNvGraphicFramePr/>
                <a:graphic xmlns:a="http://schemas.openxmlformats.org/drawingml/2006/main">
                  <a:graphicData uri="http://schemas.microsoft.com/office/word/2010/wordprocessingShape">
                    <wps:wsp>
                      <wps:cNvSpPr/>
                      <wps:spPr>
                        <a:xfrm>
                          <a:off x="0" y="0"/>
                          <a:ext cx="667385" cy="2185035"/>
                        </a:xfrm>
                        <a:prstGeom prst="rect">
                          <a:avLst/>
                        </a:prstGeom>
                        <a:solidFill>
                          <a:srgbClr val="FFFFFF"/>
                        </a:solidFill>
                        <a:ln>
                          <a:noFill/>
                        </a:ln>
                      </wps:spPr>
                      <wps:bodyPr upright="1"/>
                    </wps:wsp>
                  </a:graphicData>
                </a:graphic>
              </wp:anchor>
            </w:drawing>
          </mc:Choice>
          <mc:Fallback>
            <w:pict>
              <v:rect id="矩形 8" o:spid="_x0000_s1026" o:spt="1" style="position:absolute;left:0pt;margin-left:474.6pt;margin-top:101.4pt;height:172.05pt;width:52.55pt;mso-position-horizontal-relative:page;mso-position-vertical-relative:page;z-index:-251656192;mso-width-relative:page;mso-height-relative:page;" fillcolor="#FFFFFF" filled="t" stroked="f" coordsize="21600,21600" o:gfxdata="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P00&#10;swzZAAAADAEAAA8AAAAAAAAAAQAgAAAAIgAAAGRycy9kb3ducmV2LnhtbFBLAQIUABQAAAAIAIdO&#10;4kCDmyxxsAEAAF8DAAAOAAAAAAAAAAEAIAAAACgBAABkcnMvZTJvRG9jLnhtbFBLBQYAAAAABgAG&#10;AFkBAABKBQAAAAA=&#10;">
                <v:fill on="t" focussize="0,0"/>
                <v:stroke on="f"/>
                <v:imagedata o:title=""/>
                <o:lock v:ext="edit" aspectratio="f"/>
              </v:rect>
            </w:pict>
          </mc:Fallback>
        </mc:AlternateConten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1312" behindDoc="1" locked="0" layoutInCell="1" allowOverlap="1">
                <wp:simplePos x="0" y="0"/>
                <wp:positionH relativeFrom="page">
                  <wp:posOffset>6027420</wp:posOffset>
                </wp:positionH>
                <wp:positionV relativeFrom="page">
                  <wp:posOffset>4475480</wp:posOffset>
                </wp:positionV>
                <wp:extent cx="667385" cy="1299845"/>
                <wp:effectExtent l="0" t="0" r="18415" b="14605"/>
                <wp:wrapNone/>
                <wp:docPr id="6" name="矩形 9"/>
                <wp:cNvGraphicFramePr/>
                <a:graphic xmlns:a="http://schemas.openxmlformats.org/drawingml/2006/main">
                  <a:graphicData uri="http://schemas.microsoft.com/office/word/2010/wordprocessingShape">
                    <wps:wsp>
                      <wps:cNvSpPr/>
                      <wps:spPr>
                        <a:xfrm>
                          <a:off x="0" y="0"/>
                          <a:ext cx="667385" cy="1299845"/>
                        </a:xfrm>
                        <a:prstGeom prst="rect">
                          <a:avLst/>
                        </a:prstGeom>
                        <a:solidFill>
                          <a:srgbClr val="FFFFFF"/>
                        </a:solidFill>
                        <a:ln>
                          <a:noFill/>
                        </a:ln>
                      </wps:spPr>
                      <wps:bodyPr upright="1"/>
                    </wps:wsp>
                  </a:graphicData>
                </a:graphic>
              </wp:anchor>
            </w:drawing>
          </mc:Choice>
          <mc:Fallback>
            <w:pict>
              <v:rect id="矩形 9" o:spid="_x0000_s1026" o:spt="1" style="position:absolute;left:0pt;margin-left:474.6pt;margin-top:352.4pt;height:102.35pt;width:52.55pt;mso-position-horizontal-relative:page;mso-position-vertical-relative:page;z-index:-251655168;mso-width-relative:page;mso-height-relative:page;" fillcolor="#FFFFFF" filled="t" stroked="f" coordsize="21600,21600" o:gfxdata="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BAE&#10;EuXYAAAADAEAAA8AAAAAAAAAAQAgAAAAIgAAAGRycy9kb3ducmV2LnhtbFBLAQIUABQAAAAIAIdO&#10;4kChkXI7sQEAAF8DAAAOAAAAAAAAAAEAIAAAACcBAABkcnMvZTJvRG9jLnhtbFBLBQYAAAAABgAG&#10;AFkBAABKBQAAAAA=&#10;">
                <v:fill on="t" focussize="0,0"/>
                <v:stroke on="f"/>
                <v:imagedata o:title=""/>
                <o:lock v:ext="edit" aspectratio="f"/>
              </v:rect>
            </w:pict>
          </mc:Fallback>
        </mc:AlternateConten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（四）检录加密流程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1.检录。由检录工作人员依照检录表进行点名核对，并检查确定无误后向裁判长递交检录单。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2.加密。所有比赛项目在比赛的当天进行两次加密，加密后参赛选手中途不得擅自离开赛场。分别由两组加密裁判组织实施加密工作，管理加密结果。监督仲裁人员全程监督加密过程。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第一组加密裁判，组织参赛选手进行第一次抽签，产生赛道号参赛编号，替换选手参赛证等个人身份信息，在《海南省职业院校技能大赛一次加密记录表》中填写一次加密记录表后，连同选手参赛证等个人身份信息证件，当即装入一次加密结果密封袋中单独保管。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第二组加密裁判，组织参赛选手进行第二次抽签，确定赛道赛位号，替换选手参赛编号，在《海南省职业院校技能大赛二次加密记录表》中填写二次加密记录表后，连同选手赛道号参赛编号，当即装入二次加密结果密封袋中单独保管。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所有加密结果密封袋的封条均需相应的加密裁判和监督仲裁人员签字。密封袋在监督仲裁人员监督下由加密裁判放置于保密室的保险柜中保存。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3.引导。参赛选手凭赛位号进入赛场，不得携带其他显示个人身份信息和违规的物品。引导员负责引导参赛选手至赛位前等待竞赛指令。比赛开始前，在没有裁判允许的情况下，严禁随意触碰竞赛设施和阅读案例单内容。比赛中途不得离开赛场。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b/>
          <w:bCs/>
          <w:color w:val="auto"/>
          <w:kern w:val="0"/>
          <w:sz w:val="28"/>
          <w:szCs w:val="28"/>
          <w:highlight w:val="none"/>
          <w:lang w:val="en-US" w:eastAsia="zh-CN" w:bidi="ar"/>
        </w:rPr>
      </w:pPr>
      <w:r>
        <w:rPr>
          <w:rFonts w:hint="eastAsia" w:asciiTheme="minorEastAsia" w:hAnsiTheme="minorEastAsia" w:eastAsiaTheme="minorEastAsia" w:cstheme="minorEastAsia"/>
          <w:b/>
          <w:bCs/>
          <w:color w:val="auto"/>
          <w:kern w:val="0"/>
          <w:sz w:val="28"/>
          <w:szCs w:val="28"/>
          <w:highlight w:val="none"/>
          <w:lang w:val="en-US" w:eastAsia="zh-CN" w:bidi="ar"/>
        </w:rPr>
        <w:t>六、竞赛赛卷</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本赛项赛题库与2022年全国职业院校技能大赛健康与社会照护赛项赛题库一致。正式赛卷于比赛前由裁判长指定相关人员抽取正式赛卷与备用赛卷，由专家组根据情况修改不超过 30%内容。</w:t>
      </w:r>
    </w:p>
    <w:p>
      <w:pPr>
        <w:pStyle w:val="3"/>
        <w:keepNext w:val="0"/>
        <w:keepLines w:val="0"/>
        <w:pageBreakBefore w:val="0"/>
        <w:kinsoku/>
        <w:wordWrap/>
        <w:overflowPunct/>
        <w:topLinePunct w:val="0"/>
        <w:autoSpaceDE w:val="0"/>
        <w:autoSpaceDN w:val="0"/>
        <w:bidi w:val="0"/>
        <w:adjustRightInd/>
        <w:snapToGrid/>
        <w:spacing w:before="0" w:line="560" w:lineRule="exact"/>
        <w:ind w:left="0" w:leftChars="0" w:firstLine="562" w:firstLineChars="200"/>
        <w:jc w:val="both"/>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（一）医院模块样卷</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模块案例描述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王同，男，45 岁，因间歇性胸痛 7 个月，加重伴气短 1 天，以“心绞痛”住院，现住在 105 房间 1 床。7 个月前间歇性出现劳累后心前区针刺样疼痛，持续 3-5 分钟，口服药物及休息后可自行缓解，此后随身携带缓解心绞痛药物。入院后查体：T 36.4℃，P 70 次/分，R 18 次/分，BP130/87mmHg，体重 70kg，身高 174cm，神志清楚，查体合作，饮食睡眠较好,近期体重无明显增减。入院后做多层螺旋CT 冠状动脉成像时，在 CT 准备室内突然出现心前区针刺样疼痛，胸闷、气短明显。CT 准备室内有抢救设施。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参赛选手任务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请书写照护计划、完成实际照护任务并撰写反思报告。实际照护任务：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请给患者舌下用药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请给患者吸入氧气并测量血氧饱和度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（二）机构模块样卷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模块案例描述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赵华，女，78 岁。高血压病 25 年。3 年前突发“脑卒中”，导致右侧肢体偏瘫，虽按照康复训练计划进行康复训练，但恢复效果较差。每天穿脱衣裤等部分生活需要协助，她觉得很不方便，有些焦虑，目前在养老院接受照护。她平日寡言少语，近期偶感风寒，自觉低热。丈夫在 2 年前去世，育有 2 个儿子，因工作忙，每月只能来养老院探视一次。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参赛选手任务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请书写照护计划、完成实际照护任务并完成脑卒中健康教育海报。实际照护任务：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请根据资料监测体温，并说出体温监测的方法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请训练她完成穿脱衣服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（三）社区模块样卷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模块案例描述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吴萍，女，72 岁。高血压病 10 年。退休后每周一和周三到社区活动中心与老邻居们参加活动。今日在社区活动中心参加活动时突然有些眩晕，走路、喝水等均需要协助。活动中心人员急忙将她送到隔壁的日间照料中心，平卧后情况有所好转。已通知她的儿子。她与儿子住在一起，家在 1 楼。平时性格开朗，喜好书法。因她已报名 3 天后的书法联谊会，担心无法参加，出现焦虑情绪。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参赛选手任务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请书写照护计划、完成实际照护任务并绘制高血压健康教育海报。实际照护任务：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请给予测血压、脉搏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请使用轮椅送她回家，并向她儿子交代情况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（四）居家模块样卷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模块案例描述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张兰，女，76 岁。高血压病24年，糖尿病 4 年，需要用胰岛素。2 年前，家人发现她性格和行为有些异常：经常会手上拿着钥匙却四处寻找钥匙，东西也经常随处乱放，却常常责怪孩子把屋子弄得乱七八糟。家人认为她年纪大了，糊涂了未引起重视。她慢慢出现不爱说话、不爱出门，半夜有时起床看电视，容易发脾气。有时散步后不知道住几层楼。她是退休的教师。育有1女。刚退休时，身体健康，经常参加社区活动，讲究家居整洁，爱收拾。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参赛选手任务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请书写照护计划、完成实际照护任务并撰写反思报告。实际照护任务：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请协助她测血糖，并给予她及家属胰岛素管理指导及支持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jc w:val="both"/>
        <w:textAlignment w:val="auto"/>
        <w:rPr>
          <w:rFonts w:hint="eastAsia" w:asciiTheme="minorEastAsia" w:hAnsiTheme="minorEastAsia" w:eastAsiaTheme="minorEastAsia" w:cstheme="minorEastAsia"/>
          <w:color w:val="auto"/>
          <w:sz w:val="28"/>
          <w:szCs w:val="28"/>
          <w:highlight w:val="none"/>
          <w:lang w:val="en-US"/>
        </w:rPr>
      </w:pPr>
      <w:r>
        <w:rPr>
          <w:rFonts w:hint="eastAsia" w:asciiTheme="minorEastAsia" w:hAnsiTheme="minorEastAsia" w:eastAsiaTheme="minorEastAsia" w:cstheme="minorEastAsia"/>
          <w:color w:val="auto"/>
          <w:kern w:val="0"/>
          <w:sz w:val="28"/>
          <w:szCs w:val="28"/>
          <w:highlight w:val="none"/>
          <w:lang w:val="en-US" w:eastAsia="zh-CN" w:bidi="ar"/>
        </w:rPr>
        <w:t xml:space="preserve"> 请为她进行记忆力、注意力训练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七、技术规范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本赛项遵循的技术规范可参考如下：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《国家职业技能标准—健康照护师》职业编码：4-14-01-02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《国家职业技能标准—老年人能力评估师》职业编码：4-14-02-05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以相关领域、专业的国家级职业教育教材为主 </w:t>
      </w:r>
    </w:p>
    <w:p>
      <w:pPr>
        <w:keepNext w:val="0"/>
        <w:keepLines w:val="0"/>
        <w:pageBreakBefore w:val="0"/>
        <w:widowControl/>
        <w:suppressLineNumbers w:val="0"/>
        <w:kinsoku/>
        <w:wordWrap/>
        <w:overflowPunct/>
        <w:topLinePunct w:val="0"/>
        <w:autoSpaceDE w:val="0"/>
        <w:autoSpaceDN w:val="0"/>
        <w:bidi w:val="0"/>
        <w:adjustRightInd/>
        <w:snapToGrid/>
        <w:spacing w:before="0"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八、技术平台 </w:t>
      </w:r>
    </w:p>
    <w:p>
      <w:pPr>
        <w:pStyle w:val="3"/>
        <w:keepNext w:val="0"/>
        <w:keepLines w:val="0"/>
        <w:pageBreakBefore w:val="0"/>
        <w:kinsoku/>
        <w:wordWrap/>
        <w:overflowPunct/>
        <w:topLinePunct w:val="0"/>
        <w:autoSpaceDE w:val="0"/>
        <w:autoSpaceDN w:val="0"/>
        <w:bidi w:val="0"/>
        <w:adjustRightInd/>
        <w:snapToGrid/>
        <w:spacing w:before="0" w:line="560" w:lineRule="exact"/>
        <w:ind w:left="0" w:leftChars="0"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（一）竞赛项目主要使用的器材和物品</w:t>
      </w:r>
    </w:p>
    <w:p>
      <w:pPr>
        <w:pStyle w:val="4"/>
        <w:spacing w:before="13"/>
        <w:ind w:left="0"/>
        <w:rPr>
          <w:rFonts w:hint="eastAsia" w:asciiTheme="minorEastAsia" w:hAnsiTheme="minorEastAsia" w:eastAsiaTheme="minorEastAsia" w:cstheme="minorEastAsia"/>
          <w:b/>
          <w:color w:val="auto"/>
          <w:sz w:val="24"/>
          <w:szCs w:val="24"/>
          <w:highlight w:val="none"/>
        </w:rPr>
      </w:pPr>
    </w:p>
    <w:tbl>
      <w:tblPr>
        <w:tblStyle w:val="7"/>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2950"/>
        <w:gridCol w:w="4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序号</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名称</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多功能护理床</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可实现背部起身，腿部升起等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床上用品</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床单 150*260cm 被套 160*220cm</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枕套 45*70cm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枕头</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45*70cm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棉被</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150*200cm 根据季节准备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床头柜</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ABS 材质。能与床搭配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床尾椅</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有靠背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SP（或演职员）衣服</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XXXL，前开襟纯棉睡衣及病号服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双层治疗护理车</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备医用垃圾和生活垃圾桶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治疗盘（或服药盘）</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不锈钢 40*30*3.3cm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弯盘</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17.8*10.4*2.5cm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医用免洗洗手液</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500 毫升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记录笔</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黑色 0.5mm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照护记录单</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A4 纸张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记录夹</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315*226mm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腕带</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有姓名、性别、年龄、住院号、科室、入</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院日期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床头卡</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血压计</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台式水银血压计、电子血压计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听诊器</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轮椅</w:t>
            </w:r>
          </w:p>
        </w:tc>
        <w:tc>
          <w:tcPr>
            <w:tcW w:w="4620" w:type="dxa"/>
            <w:vAlign w:val="center"/>
          </w:tcPr>
          <w:p>
            <w:pPr>
              <w:pStyle w:val="11"/>
              <w:keepNext w:val="0"/>
              <w:keepLines w:val="0"/>
              <w:pageBreakBefore w:val="0"/>
              <w:widowControl w:val="0"/>
              <w:tabs>
                <w:tab w:val="left" w:pos="3707"/>
              </w:tabs>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刹车类型：手刹；材质：铝合金</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可折叠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毛毯</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120*150cm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楔形垫</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46*25*14.5cm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大号软枕</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74*48cm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中号软枕</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50*35cm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小号软枕</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30*20cm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水杯</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塑料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小毛巾</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25*25cm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痰盂</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污物杯</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在杯子外标注“污物杯”名称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一次性护理垫</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80*60cm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塑料吸管</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50 只装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屏风</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180cm*200cm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留取标本盒</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餐巾纸（纸抽）</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套头衫</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绷带</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8cm*4.5m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纱布（块）</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普通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医用胶布</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纸质，防过敏，宽 0.9cm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剪刀</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救护用三角巾</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90*90*127cm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一次性口罩</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独立包装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碘伏</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100ml/瓶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棉签（无菌）</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个/包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棉垫</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平方厘米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康复训练步梯</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332 ㎝×80 ㎝×（134～166）㎝左右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四脚拐杖</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四挡高度调节：79-94cm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康复训练保护腰带</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可调试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助行器</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开口水杯</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400ml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药杯与药勺</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带盖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药瓶</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带标示小药瓶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餐巾</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34*72cm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汤匙</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20.4*4.6cm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音响设置</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音响模型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录音机</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录音机模型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雾化吸入器</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超声及压缩（空气）式雾化吸入器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水温计</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常用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锐器盒</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圆形，5ml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一次性吸氧管</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单腔/双腔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扳手</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寸活动扳手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管道氧气装置或氧气筒及</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氧气压力装置（全套）</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氧气筒标识牌</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湿化瓶</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小餐桌</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YU610 移动餐桌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餐盘</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不锈钢，直径：5.5-6.5 英寸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餐碗</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不锈钢，直径 14.8cm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筷子</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竹筷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浴巾</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70*150cm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毛巾</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34*72cm 及 25*25cm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弹力足踝矫形器</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量杯</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1000ml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床单</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150*260cm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扫床刷</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5*20cm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医用扫床刷套</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10*25cm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小药卡</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水壶</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冷水壶、热水壶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输液器</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连体裤袜（黑色）</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玩具</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认知卡片（数字、植物、</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动物卡片）</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人民币（硬币）</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角、5 角、1 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一次性中单</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120*80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镜子（桌镜）</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长宽约 20cm-30cm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单词卡片</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 张/盒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图卡片及与文字配套的实</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物</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张/盒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软垫（软枕）</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45*70cm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脸盆</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内径 31cm 可塑料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滴耳、眼的药液瓶</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5ml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烫伤膏</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小量杯</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50ml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蒸馏水</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消毒干棉球</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手电筒</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98*24*20mm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清洁体温计存放盒</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370mm*275*100mm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体温计消毒盒及消毒液</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750ml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腋温计</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水银、电子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小相册</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内有相片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移动或固定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靠背垫</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20*20 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带盖水杯</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200-300ml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一次性酒精棉片</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小馒头、饼干等</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普通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穿衣镜</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高：200cm，宽：80cm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简易角度尺</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普通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床旁靠背椅</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家用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一次性注射器</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30-50ml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治疗碗</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不锈钢 14-16cm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色彩笔</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普通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海报纸</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57*86cm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沙发</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单人沙发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圆桌</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普通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桌布</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与桌子相配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花</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可塑料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花瓶</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普通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凳子</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普通（适合老年人）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入户便携式服务箱</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35*20*22cm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红糖</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普通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快速血糖仪</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有采血针和血糖试纸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心肺复苏模型</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指夹式脉搏血氧仪</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纸尿裤</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成人型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手指头仿真软质模型</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护理车</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常规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123</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弹力袜</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124</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酒精</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125</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垃圾箱</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家用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126</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防滑鞋</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127</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润肤霜</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128</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模拟烟</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129</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银白色假发套</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130</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长枕</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50*90cm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65"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w:t>
            </w:r>
          </w:p>
        </w:tc>
        <w:tc>
          <w:tcPr>
            <w:tcW w:w="295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秒表</w:t>
            </w:r>
          </w:p>
        </w:tc>
        <w:tc>
          <w:tcPr>
            <w:tcW w:w="4620"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r>
    </w:tbl>
    <w:p>
      <w:pPr>
        <w:keepNext w:val="0"/>
        <w:keepLines w:val="0"/>
        <w:pageBreakBefore w:val="0"/>
        <w:kinsoku/>
        <w:wordWrap/>
        <w:overflowPunct/>
        <w:topLinePunct w:val="0"/>
        <w:autoSpaceDE w:val="0"/>
        <w:autoSpaceDN w:val="0"/>
        <w:bidi w:val="0"/>
        <w:adjustRightInd/>
        <w:snapToGrid/>
        <w:spacing w:before="0" w:line="560" w:lineRule="exact"/>
        <w:ind w:left="0" w:right="0" w:firstLine="562" w:firstLineChars="200"/>
        <w:jc w:val="both"/>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（二）竞赛工作平台</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赛项的器材、物品和 SP（或标准化演职人员）由承办院校具体负责。</w:t>
      </w:r>
    </w:p>
    <w:p>
      <w:pPr>
        <w:pStyle w:val="3"/>
        <w:keepNext w:val="0"/>
        <w:keepLines w:val="0"/>
        <w:pageBreakBefore w:val="0"/>
        <w:kinsoku/>
        <w:wordWrap/>
        <w:overflowPunct/>
        <w:topLinePunct w:val="0"/>
        <w:autoSpaceDE w:val="0"/>
        <w:autoSpaceDN w:val="0"/>
        <w:bidi w:val="0"/>
        <w:adjustRightInd/>
        <w:snapToGrid/>
        <w:spacing w:line="560" w:lineRule="exact"/>
        <w:ind w:left="0" w:leftChars="0"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（三）场地要求</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竞赛场地要求通风、宽敞明亮、适合单体封闭观摩体验，配备双线路供电系统和漏电保护装置，配备实况监控视频转播系统。</w:t>
      </w:r>
    </w:p>
    <w:p>
      <w:pPr>
        <w:keepNext w:val="0"/>
        <w:keepLines w:val="0"/>
        <w:pageBreakBefore w:val="0"/>
        <w:widowControl/>
        <w:numPr>
          <w:ilvl w:val="0"/>
          <w:numId w:val="18"/>
        </w:numPr>
        <w:suppressLineNumbers w:val="0"/>
        <w:kinsoku/>
        <w:wordWrap/>
        <w:overflowPunct/>
        <w:topLinePunct w:val="0"/>
        <w:autoSpaceDE w:val="0"/>
        <w:autoSpaceDN w:val="0"/>
        <w:bidi w:val="0"/>
        <w:adjustRightInd/>
        <w:snapToGrid/>
        <w:spacing w:line="560" w:lineRule="exact"/>
        <w:ind w:left="0" w:leftChars="0" w:firstLine="482" w:firstLineChars="0"/>
        <w:jc w:val="both"/>
        <w:textAlignment w:val="auto"/>
        <w:rPr>
          <w:rFonts w:hint="eastAsia" w:asciiTheme="minorEastAsia" w:hAnsiTheme="minorEastAsia" w:eastAsiaTheme="minorEastAsia" w:cstheme="minorEastAsia"/>
          <w:b/>
          <w:color w:val="auto"/>
          <w:kern w:val="0"/>
          <w:sz w:val="28"/>
          <w:szCs w:val="28"/>
          <w:highlight w:val="none"/>
          <w:lang w:val="en-US" w:eastAsia="zh-CN" w:bidi="ar"/>
        </w:rPr>
      </w:pPr>
      <w:r>
        <w:rPr>
          <w:rFonts w:hint="eastAsia" w:asciiTheme="minorEastAsia" w:hAnsiTheme="minorEastAsia" w:eastAsiaTheme="minorEastAsia" w:cstheme="minorEastAsia"/>
          <w:b/>
          <w:color w:val="auto"/>
          <w:kern w:val="0"/>
          <w:sz w:val="28"/>
          <w:szCs w:val="28"/>
          <w:highlight w:val="none"/>
          <w:lang w:val="en-US" w:eastAsia="zh-CN" w:bidi="ar"/>
        </w:rPr>
        <w:t>成绩评定</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本次评分方案按照标准规范进行赋分，主要考核参赛选手的工作组织和管理的能力、沟通和人际交往的能力、解决问题与创新创造的能力、评估需求和规划照护服务的能力、管理和提供实际照护的能力、评价照护结果的能力。</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2" w:firstLineChars="200"/>
        <w:jc w:val="both"/>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val="en-US" w:eastAsia="zh-CN"/>
        </w:rPr>
        <w:t>一</w:t>
      </w:r>
      <w:r>
        <w:rPr>
          <w:rFonts w:hint="eastAsia" w:asciiTheme="minorEastAsia" w:hAnsiTheme="minorEastAsia" w:eastAsiaTheme="minorEastAsia" w:cstheme="minorEastAsia"/>
          <w:b/>
          <w:color w:val="auto"/>
          <w:sz w:val="28"/>
          <w:szCs w:val="28"/>
          <w:highlight w:val="none"/>
        </w:rPr>
        <w:t>）裁判评分方法</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本赛项评分方法为过程评分，分为测量和评价两类。凡需要采用主观描述进行的评判为评价（Judgement）评分，凡可采用客观数据表述的评判为测量(Measurement)评分。裁判长按 3 名现场执裁裁判员为一组组成评判小组，并确定 1 名为裁判组长，负责一个模块的三个部分的评判。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1. 评价评分（J）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评分方式：3 位评判小组裁判各自独立评分。评判结果是“0-3”（4 个等级），最后给予的分数是根据 3 位裁判评判结果的平均数计算得出。裁判之间的评判结果差距必须小于等于 1 个等级，否则需要给出确切理由并在裁判组长或裁判长的监督下进行调分。“0-3”4 个等级与行业标准的关系如下：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0 表现各方面均低于行业标准，包括本评分项目未完成；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1 表现符合行业标准；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2 表现达到并在特定方面超过行业标准；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3 表现完成超出行业标准，并被评为优秀或杰出。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2. 测量评分（M）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评分方式：三位现场执裁裁判作为一个裁判小组裁决一个模块的三个部分。在测量评分中，三位裁判共同按评分标准要求进行赋分。测量评分分数：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达到标准——满分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达到部分标准——部分分数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 未达到标准——零分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（四）成绩产生方法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left="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每位选手成绩由2个模块成绩之和构成。每个模块成绩由测量评分成绩和评价评分之和构成。 </w:t>
      </w:r>
    </w:p>
    <w:p>
      <w:pPr>
        <w:pStyle w:val="3"/>
        <w:keepNext w:val="0"/>
        <w:keepLines w:val="0"/>
        <w:pageBreakBefore w:val="0"/>
        <w:numPr>
          <w:ilvl w:val="0"/>
          <w:numId w:val="0"/>
        </w:numPr>
        <w:tabs>
          <w:tab w:val="left" w:pos="1312"/>
        </w:tabs>
        <w:kinsoku/>
        <w:wordWrap/>
        <w:overflowPunct/>
        <w:topLinePunct w:val="0"/>
        <w:autoSpaceDE w:val="0"/>
        <w:autoSpaceDN w:val="0"/>
        <w:bidi w:val="0"/>
        <w:adjustRightInd/>
        <w:snapToGrid/>
        <w:spacing w:before="0" w:after="0" w:line="560" w:lineRule="exact"/>
        <w:ind w:left="0" w:right="0" w:rightChars="0"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1.</w:t>
      </w:r>
      <w:r>
        <w:rPr>
          <w:rFonts w:hint="eastAsia" w:asciiTheme="minorEastAsia" w:hAnsiTheme="minorEastAsia" w:eastAsiaTheme="minorEastAsia" w:cstheme="minorEastAsia"/>
          <w:color w:val="auto"/>
          <w:sz w:val="28"/>
          <w:szCs w:val="28"/>
          <w:highlight w:val="none"/>
        </w:rPr>
        <w:t>评分标准主要内容</w:t>
      </w:r>
    </w:p>
    <w:tbl>
      <w:tblPr>
        <w:tblStyle w:val="7"/>
        <w:tblW w:w="0" w:type="auto"/>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67"/>
        <w:gridCol w:w="1478"/>
        <w:gridCol w:w="5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1" w:hRule="atLeast"/>
        </w:trPr>
        <w:tc>
          <w:tcPr>
            <w:tcW w:w="1467" w:type="dxa"/>
            <w:vMerge w:val="restart"/>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hanging="42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照护计划1</w:t>
            </w: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所有要完成的任务</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pacing w:val="-6"/>
                <w:sz w:val="24"/>
                <w:szCs w:val="24"/>
                <w:highlight w:val="none"/>
              </w:rPr>
              <w:t xml:space="preserve">至少描述完成本案例 </w:t>
            </w: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pacing w:val="-20"/>
                <w:sz w:val="24"/>
                <w:szCs w:val="24"/>
                <w:highlight w:val="none"/>
              </w:rPr>
              <w:t xml:space="preserve"> 项任务，清晰完整，重点突出</w:t>
            </w:r>
            <w:r>
              <w:rPr>
                <w:rFonts w:hint="eastAsia" w:asciiTheme="minorEastAsia" w:hAnsiTheme="minorEastAsia" w:eastAsiaTheme="minorEastAsia" w:cstheme="minorEastAsia"/>
                <w:color w:val="auto"/>
                <w:spacing w:val="-12"/>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1"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每项任务需要的时间和逻辑顺序</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（根据总体的时间进行合理安排，条理清晰，不超时）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每项任务要达到的目标</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（至少 4 个目标。目标应具体、可评价）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目标以“人”为中心，以满足需求为导向</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（至少 50%的目标是以照护对象为中心的）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书面计划单页上有选手赛道赛位号。字数适中，字体清晰可读等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按照计划在实践中执行，或者根据实际情况适度调整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1467" w:type="dxa"/>
            <w:vMerge w:val="restart"/>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沟通、评估与实际照护2</w:t>
            </w: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选手穿着得体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核实照护对象的身份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与照护对象建立融洽互信关系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根据目前环境和病情，对照护对象进行一般情况评估、疾病相关情况等专业评估与服务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评估照护对象对于自身疾病、身体状况、营养饮食等的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1467" w:type="dxa"/>
            <w:vMerge w:val="restart"/>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了解与需求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评估照护对象的家庭、社会、心理对其影响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解释本次照护目的、意义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确认照护对象已理解本次照护过程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实际照护任务的实施：不违反基本原则，能够根据实际情况完成任务。包括物品准备。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离开前整理床单位或与其相关的环境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记录评估、照护情况及照护对象满意程度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确保照护对象舒适并给予积极支持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鼓励照护对象最大限度发挥能动性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保护照护对象的隐私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选手完成照护前能充分与照护对象沟通，并根据情况给予需求能否满足的反馈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为照护对象提供安全措施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遵守感染控制和管理要求，坚持卫生原则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注意劳动保护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通过健康教育，使照护对象能够学习新的生活技能，促进健康生活方式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讨论如何从他人/社会获得帮助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1"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创新性</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根据实际情况，及时调整照护方法和计划安排，具有灵活性；创造性地为患者提供全新的、安全的照护方式， 促进照护对象的健康和和幸福感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对法律、法规、公约、标准等有无违反的言行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J</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共情沟通，积极倾听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按时完成所有任务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467" w:type="dxa"/>
            <w:vMerge w:val="restart"/>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hanging="42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反思报告3</w:t>
            </w: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描述要反思的某个学习事件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对这一学习事件感受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整个学习事件中觉得好的方面评价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整个学习事件中不足方面的评价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1467" w:type="dxa"/>
            <w:vMerge w:val="restart"/>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分析原因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2"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提升计划</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pacing w:val="-1"/>
                <w:sz w:val="24"/>
                <w:szCs w:val="24"/>
                <w:highlight w:val="none"/>
              </w:rPr>
              <w:t xml:space="preserve">将采取哪些措施去改进和提升，去克服困难和问题； </w:t>
            </w:r>
            <w:r>
              <w:rPr>
                <w:rFonts w:hint="eastAsia" w:asciiTheme="minorEastAsia" w:hAnsiTheme="minorEastAsia" w:eastAsiaTheme="minorEastAsia" w:cstheme="minorEastAsia"/>
                <w:color w:val="auto"/>
                <w:spacing w:val="-5"/>
                <w:sz w:val="24"/>
                <w:szCs w:val="24"/>
                <w:highlight w:val="none"/>
              </w:rPr>
              <w:t>如果类似的事情再发生一次，你将会有哪些不同的做法和改变）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9" w:hRule="atLeast"/>
        </w:trPr>
        <w:tc>
          <w:tcPr>
            <w:tcW w:w="1467" w:type="dxa"/>
            <w:vMerge w:val="restart"/>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hanging="315"/>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**健康教育海报</w:t>
            </w: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b/>
                <w:color w:val="auto"/>
                <w:sz w:val="24"/>
                <w:szCs w:val="24"/>
                <w:highlight w:val="none"/>
              </w:rPr>
            </w:pPr>
          </w:p>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结合案例和实际照护情况，进行健康教育海报绘制。健</w:t>
            </w:r>
            <w:r>
              <w:rPr>
                <w:rFonts w:hint="eastAsia" w:asciiTheme="minorEastAsia" w:hAnsiTheme="minorEastAsia" w:eastAsiaTheme="minorEastAsia" w:cstheme="minorEastAsia"/>
                <w:color w:val="auto"/>
                <w:sz w:val="24"/>
                <w:szCs w:val="24"/>
                <w:highlight w:val="none"/>
              </w:rPr>
              <w:t>康教育信息清晰易懂，4</w:t>
            </w:r>
            <w:r>
              <w:rPr>
                <w:rFonts w:hint="eastAsia" w:asciiTheme="minorEastAsia" w:hAnsiTheme="minorEastAsia" w:eastAsiaTheme="minorEastAsia" w:cstheme="minorEastAsia"/>
                <w:color w:val="auto"/>
                <w:spacing w:val="-9"/>
                <w:sz w:val="24"/>
                <w:szCs w:val="24"/>
                <w:highlight w:val="none"/>
              </w:rPr>
              <w:t xml:space="preserve"> 个主题，要恰当的、容易理解</w:t>
            </w:r>
            <w:r>
              <w:rPr>
                <w:rFonts w:hint="eastAsia" w:asciiTheme="minorEastAsia" w:hAnsiTheme="minorEastAsia" w:eastAsiaTheme="minorEastAsia" w:cstheme="minorEastAsia"/>
                <w:color w:val="auto"/>
                <w:sz w:val="24"/>
                <w:szCs w:val="24"/>
                <w:highlight w:val="none"/>
              </w:rPr>
              <w:t>的进行健康教育海报内容表达，避免诱发因素信息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字体大小恰当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字迹清晰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布局、色彩搭配合理（至少使用 4 种不同颜色）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绘制元素多于书写元素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文字简短易懂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46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1478"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M</w:t>
            </w:r>
          </w:p>
        </w:tc>
        <w:tc>
          <w:tcPr>
            <w:tcW w:w="5922" w:type="dxa"/>
            <w:vAlign w:val="center"/>
          </w:tcPr>
          <w:p>
            <w:pPr>
              <w:pStyle w:val="11"/>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个性鲜明</w:t>
            </w:r>
          </w:p>
        </w:tc>
      </w:tr>
    </w:tbl>
    <w:p>
      <w:pPr>
        <w:pStyle w:val="4"/>
        <w:spacing w:before="18"/>
        <w:ind w:left="0"/>
        <w:rPr>
          <w:rFonts w:hint="eastAsia" w:asciiTheme="minorEastAsia" w:hAnsiTheme="minorEastAsia" w:eastAsiaTheme="minorEastAsia" w:cstheme="minorEastAsia"/>
          <w:b/>
          <w:color w:val="auto"/>
          <w:sz w:val="24"/>
          <w:szCs w:val="24"/>
          <w:highlight w:val="none"/>
        </w:rPr>
      </w:pP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2"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kern w:val="0"/>
          <w:sz w:val="28"/>
          <w:szCs w:val="28"/>
          <w:highlight w:val="none"/>
          <w:lang w:val="en-US" w:eastAsia="zh-CN" w:bidi="ar"/>
        </w:rPr>
        <w:t xml:space="preserve">2.说明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（1）每部分成绩保留小数点后 2 位。</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（2）比赛结束，选手未完成比赛的部分不得分。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（3）每个模块的测量评分为 3 名评判小组裁判共同赋分数；评价评分为 3 名评判小组裁判各自赋分，并由两名核分裁判在监督仲裁人员的现场监督，取平均值。每名选手每个模块成绩由测量评分和评价评分相加而构成本模块成绩。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bidi="ar"/>
        </w:rPr>
        <w:t xml:space="preserve">（4）裁判长在竞赛日要提交当天所进行的所有选手模块评分（成绩）结果，经复核无误，由裁判长、监督仲裁人员签字确认。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（5）竞赛结束，结果录入系统时，总成绩折合成 100 分。</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2" w:firstLineChars="200"/>
        <w:jc w:val="both"/>
        <w:textAlignment w:val="auto"/>
        <w:rPr>
          <w:rFonts w:hint="eastAsia" w:asciiTheme="minorEastAsia" w:hAnsiTheme="minorEastAsia" w:eastAsiaTheme="minorEastAsia" w:cstheme="minorEastAsia"/>
          <w:b/>
          <w:bCs/>
          <w:color w:val="auto"/>
          <w:kern w:val="0"/>
          <w:sz w:val="28"/>
          <w:szCs w:val="28"/>
          <w:highlight w:val="none"/>
          <w:lang w:val="en-US" w:eastAsia="zh-CN" w:bidi="ar"/>
        </w:rPr>
      </w:pPr>
      <w:r>
        <w:rPr>
          <w:rFonts w:hint="eastAsia" w:asciiTheme="minorEastAsia" w:hAnsiTheme="minorEastAsia" w:eastAsiaTheme="minorEastAsia" w:cstheme="minorEastAsia"/>
          <w:b/>
          <w:bCs/>
          <w:color w:val="auto"/>
          <w:kern w:val="0"/>
          <w:sz w:val="28"/>
          <w:szCs w:val="28"/>
          <w:highlight w:val="none"/>
          <w:lang w:val="en-US" w:eastAsia="zh-CN" w:bidi="ar"/>
        </w:rPr>
        <w:t xml:space="preserve">（五）成绩审核方法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1.每位现场执裁裁判对所赋分数要认真审核。核分裁判对现场裁判的赋分进行二次审核。裁判长对所有成绩负总责。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2.为保障成绩评判的准确性，监督仲裁组对赛项总成绩排名前30%的所有参赛选手的成绩进行复核；对其余成绩进行抽检复核，抽检覆盖率不低于15%。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3.监督仲裁组须将复检中发现的错误以书面方式及时告知裁判长，由裁判长更正成绩并签字确认。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4.复核、抽检错误率超过5%的，则认定为非小概率事件，裁判组须对所有成绩进行复核。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2" w:firstLineChars="200"/>
        <w:jc w:val="both"/>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十、竞赛须知</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2" w:firstLineChars="200"/>
        <w:jc w:val="both"/>
        <w:textAlignment w:val="auto"/>
        <w:rPr>
          <w:rFonts w:hint="eastAsia" w:asciiTheme="minorEastAsia" w:hAnsiTheme="minorEastAsia" w:eastAsiaTheme="minorEastAsia" w:cstheme="minorEastAsia"/>
          <w:b/>
          <w:bCs/>
          <w:color w:val="auto"/>
          <w:kern w:val="0"/>
          <w:sz w:val="28"/>
          <w:szCs w:val="28"/>
          <w:highlight w:val="none"/>
          <w:lang w:val="en-US" w:eastAsia="zh-CN" w:bidi="ar"/>
        </w:rPr>
      </w:pPr>
      <w:r>
        <w:rPr>
          <w:rFonts w:hint="eastAsia" w:asciiTheme="minorEastAsia" w:hAnsiTheme="minorEastAsia" w:eastAsiaTheme="minorEastAsia" w:cstheme="minorEastAsia"/>
          <w:b/>
          <w:bCs/>
          <w:color w:val="auto"/>
          <w:kern w:val="0"/>
          <w:sz w:val="28"/>
          <w:szCs w:val="28"/>
          <w:highlight w:val="none"/>
          <w:lang w:val="en-US" w:eastAsia="zh-CN" w:bidi="ar"/>
        </w:rPr>
        <w:t>（一）参赛队须知</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1.领队负责申诉工作。参赛队认为存在有失公正的评判、奖励，以及违规行为等情况时，须由领队在该赛项竞赛结束后 2 小时内，向赛项监督仲裁组提交书面申诉材料。</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2.领队应积极做好本校参赛队文明参赛的教育与培训，引导和教育本院校参赛指导教师和学生正确对待参赛工作，积极配合赛项组织机构的工作。明确要求指导教师和参赛选手按制度规定的程序处理比赛过程中出现的争议问题，不得利用比赛相关的微信群、QQ 群等发表虚假信息和不当言论。</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3.各参赛队的领队、指导教师可进入赛项直播室进行观摩。</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2"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b/>
          <w:bCs/>
          <w:color w:val="auto"/>
          <w:kern w:val="0"/>
          <w:sz w:val="28"/>
          <w:szCs w:val="28"/>
          <w:highlight w:val="none"/>
          <w:lang w:val="en-US" w:eastAsia="zh-CN" w:bidi="ar"/>
        </w:rPr>
        <w:t>（二）指导教师须知</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1.指导教师必须是参赛选手所在学校的专任教师，每名选手限 1 名指导教师。指导教师一经确定原则上不得随意变更。</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2.指导教师应该根据专业教学计划和赛项规程合理制定训练方案，认真指导选手训练，培养选手的综合职业能力和良好的职业素养，克服功利化思想，避免为赛而学、以赛代学。比赛期间对参赛选手进行日常管理等。</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3.指导教师应该根据赛项规程要求做好参赛选手保险办理工作， 并积极做好选手的安全教育。</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4.指导教师参加赛项观摩等活动，不得违反赛项规定进入赛场， 干扰比赛正常进行。</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5.指导教师应自觉遵守大赛各项制度，尊重专家、裁判、监督仲裁及赛项承办单位工作人员。要引导和教育参赛选手，按照赛项指南规定和大赛制度进行申诉，不得在网络、微信群等各种媒体发表、传播有待核实信息和过激言论。对比赛过程中的争议问题，要按大赛制度规定程序处理，不得采取过激行为。</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2" w:firstLineChars="200"/>
        <w:jc w:val="both"/>
        <w:textAlignment w:val="auto"/>
        <w:rPr>
          <w:rFonts w:hint="eastAsia" w:asciiTheme="minorEastAsia" w:hAnsiTheme="minorEastAsia" w:eastAsiaTheme="minorEastAsia" w:cstheme="minorEastAsia"/>
          <w:b/>
          <w:bCs/>
          <w:color w:val="auto"/>
          <w:kern w:val="0"/>
          <w:sz w:val="28"/>
          <w:szCs w:val="28"/>
          <w:highlight w:val="none"/>
          <w:lang w:val="en-US" w:eastAsia="zh-CN" w:bidi="ar"/>
        </w:rPr>
      </w:pPr>
      <w:r>
        <w:rPr>
          <w:rFonts w:hint="eastAsia" w:asciiTheme="minorEastAsia" w:hAnsiTheme="minorEastAsia" w:eastAsiaTheme="minorEastAsia" w:cstheme="minorEastAsia"/>
          <w:b/>
          <w:bCs/>
          <w:color w:val="auto"/>
          <w:kern w:val="0"/>
          <w:sz w:val="28"/>
          <w:szCs w:val="28"/>
          <w:highlight w:val="none"/>
          <w:lang w:val="en-US" w:eastAsia="zh-CN" w:bidi="ar"/>
        </w:rPr>
        <w:t>（三）参赛选手须知</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1.参赛选手应该文明参赛，服从裁判统一指挥，尊重赛场工作人员，自觉维护赛场秩序。如参赛选手因对裁判不服从而停止比赛，则以弃权处理。</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2.参赛选手须严格遵守竞赛规程规定的安全操作流程，防止发生安全事故。</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3.参赛选手应该爱护赛场使用的设备、仪器等，不得人为损坏比赛所使用的仪器设备。</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4.参赛选手须严格按照规定时间进入候赛区和比赛场地，不允许携带任何竞赛规程禁止使用的电子产品及通讯工具，以及其它与竞赛有关的资料和书籍，不得以任何方式泄露参赛院校、选手姓名等涉及竞赛场上应该保密的信息。</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5.参赛选手对于认为有影响个人比赛成绩的裁判行为或设备故障等，应向指导老师反映，由领队按大赛制度规定进行申诉。参赛选手不得利用比赛相关的微信群、QQ 群等发表虚假信息和不当言论。</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6.参赛选手统一着装进入赛场。参赛选手必须着大赛统一提供的制服，自备白鞋、白色纯棉袜子，不得在参赛服饰上作任何标识。</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7.参赛选手进入赛场须携带身份证、参赛证，不得携带其它任何物品，违规者取消本次比赛成绩。</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8.参赛选手竞赛开始、终止时间由工作人员记录在案；比赛时间到，选手停止撰写或实操，按照要求离开竞赛区域。参赛选手提前结束竞赛并示意后，不得再进行任何操作。</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9.赛场各类工作人员都统一佩戴由赛项执委会印制的相应证件， 有问题可以询问工作人员。</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2" w:firstLineChars="200"/>
        <w:jc w:val="both"/>
        <w:textAlignment w:val="auto"/>
        <w:rPr>
          <w:rFonts w:hint="eastAsia" w:asciiTheme="minorEastAsia" w:hAnsiTheme="minorEastAsia" w:eastAsiaTheme="minorEastAsia" w:cstheme="minorEastAsia"/>
          <w:b/>
          <w:bCs/>
          <w:color w:val="auto"/>
          <w:kern w:val="0"/>
          <w:sz w:val="28"/>
          <w:szCs w:val="28"/>
          <w:highlight w:val="none"/>
          <w:lang w:val="en-US" w:eastAsia="zh-CN" w:bidi="ar"/>
        </w:rPr>
      </w:pPr>
      <w:r>
        <w:rPr>
          <w:rFonts w:hint="eastAsia" w:asciiTheme="minorEastAsia" w:hAnsiTheme="minorEastAsia" w:eastAsiaTheme="minorEastAsia" w:cstheme="minorEastAsia"/>
          <w:b/>
          <w:bCs/>
          <w:color w:val="auto"/>
          <w:kern w:val="0"/>
          <w:sz w:val="28"/>
          <w:szCs w:val="28"/>
          <w:highlight w:val="none"/>
          <w:lang w:val="en-US" w:eastAsia="zh-CN" w:bidi="ar"/>
        </w:rPr>
        <w:t>（四）工作人员须知</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1.赛场各类工作人员必须统一佩戴由赛项执委会印制的相应证件，着装整齐，进入工作岗位。</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2.除赛项执委会成员、专家组成员、现场裁判、赛场配备的工作人员外，其他人员未经赛项执委会允许不得进入赛场。</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3.新闻媒体人员等进入赛场必须经过赛项执委会允许，并且听从现场工作人员的安排和指挥，不得影响竞赛正常进行。</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2" w:firstLineChars="200"/>
        <w:jc w:val="both"/>
        <w:textAlignment w:val="auto"/>
        <w:rPr>
          <w:rFonts w:hint="eastAsia" w:asciiTheme="minorEastAsia" w:hAnsiTheme="minorEastAsia" w:eastAsiaTheme="minorEastAsia" w:cstheme="minorEastAsia"/>
          <w:b/>
          <w:bCs/>
          <w:color w:val="auto"/>
          <w:kern w:val="0"/>
          <w:sz w:val="28"/>
          <w:szCs w:val="28"/>
          <w:highlight w:val="none"/>
          <w:lang w:val="en-US" w:eastAsia="zh-CN" w:bidi="ar"/>
        </w:rPr>
      </w:pPr>
      <w:r>
        <w:rPr>
          <w:rFonts w:hint="eastAsia" w:asciiTheme="minorEastAsia" w:hAnsiTheme="minorEastAsia" w:eastAsiaTheme="minorEastAsia" w:cstheme="minorEastAsia"/>
          <w:b/>
          <w:bCs/>
          <w:color w:val="auto"/>
          <w:kern w:val="0"/>
          <w:sz w:val="28"/>
          <w:szCs w:val="28"/>
          <w:highlight w:val="none"/>
          <w:lang w:val="en-US" w:eastAsia="zh-CN" w:bidi="ar"/>
        </w:rPr>
        <w:t>十一、奖项设定</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default" w:asciiTheme="minorEastAsia" w:hAnsiTheme="minorEastAsia" w:eastAsiaTheme="minorEastAsia" w:cstheme="minorEastAsia"/>
          <w:color w:val="auto"/>
          <w:kern w:val="0"/>
          <w:sz w:val="28"/>
          <w:szCs w:val="28"/>
          <w:highlight w:val="none"/>
          <w:lang w:val="en-US" w:eastAsia="zh-CN" w:bidi="ar"/>
        </w:rPr>
      </w:pPr>
      <w:r>
        <w:rPr>
          <w:rFonts w:hint="default" w:asciiTheme="minorEastAsia" w:hAnsiTheme="minorEastAsia" w:eastAsiaTheme="minorEastAsia" w:cstheme="minorEastAsia"/>
          <w:color w:val="auto"/>
          <w:kern w:val="0"/>
          <w:sz w:val="28"/>
          <w:szCs w:val="28"/>
          <w:highlight w:val="none"/>
          <w:lang w:val="en-US" w:eastAsia="zh-CN" w:bidi="ar"/>
        </w:rPr>
        <w:t>参照省教育厅技能大赛文件执行。</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2" w:firstLineChars="200"/>
        <w:jc w:val="both"/>
        <w:textAlignment w:val="auto"/>
        <w:rPr>
          <w:rFonts w:hint="eastAsia" w:asciiTheme="minorEastAsia" w:hAnsiTheme="minorEastAsia" w:eastAsiaTheme="minorEastAsia" w:cstheme="minorEastAsia"/>
          <w:b/>
          <w:bCs/>
          <w:color w:val="auto"/>
          <w:kern w:val="0"/>
          <w:sz w:val="28"/>
          <w:szCs w:val="28"/>
          <w:highlight w:val="none"/>
          <w:lang w:val="en-US" w:eastAsia="zh-CN" w:bidi="ar"/>
        </w:rPr>
      </w:pPr>
      <w:r>
        <w:rPr>
          <w:rFonts w:hint="eastAsia" w:asciiTheme="minorEastAsia" w:hAnsiTheme="minorEastAsia" w:eastAsiaTheme="minorEastAsia" w:cstheme="minorEastAsia"/>
          <w:b/>
          <w:bCs/>
          <w:color w:val="auto"/>
          <w:kern w:val="0"/>
          <w:sz w:val="28"/>
          <w:szCs w:val="28"/>
          <w:highlight w:val="none"/>
          <w:lang w:val="en-US" w:eastAsia="zh-CN" w:bidi="ar"/>
        </w:rPr>
        <w:t>十二、安保须知</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1.每支代表队报到时需提供所有人的健康情况声明书，提供近 14 天的行程轨迹。在承办院校入口设立体温监测岗位，如发现体温异常者，立即禁止入校。如选手体温异常，就医后由专家组和裁判长决定是否启动备用赛场以供其单独完成竞赛。</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2.比赛期间，所有人员需凭证进入赛场，严禁携带易燃易爆等危险品进入赛点。</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3.保卫部门加强比赛场地周边巡查，警惕事故的发生。做好有关应急预案和防范措施，确定警戒范围。</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4.按消防安全的有关要求，检查比赛的各项设施设备，保证各类人员出入通道畅通。安全疏散地点：学校运动场。</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5.发生火灾或发现火灾隐患时应急措施：</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向大赛安全保卫人员及大赛执委会报告；</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迅速组织有关人员进行疏散，保证参赛人员安全；</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充分利用就近灭火器或水源及时组织人员扑救。</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6.保证大赛期间双电源正常供电。</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7.突发疾病或受伤，病情或伤势较轻，可到赛点的门诊治疗；病情或伤势较重，立即与赛点工作人员联系，送医院治疗。</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2" w:firstLineChars="200"/>
        <w:jc w:val="both"/>
        <w:textAlignment w:val="auto"/>
        <w:rPr>
          <w:rFonts w:hint="eastAsia" w:asciiTheme="minorEastAsia" w:hAnsiTheme="minorEastAsia" w:eastAsiaTheme="minorEastAsia" w:cstheme="minorEastAsia"/>
          <w:b/>
          <w:bCs/>
          <w:color w:val="auto"/>
          <w:kern w:val="0"/>
          <w:sz w:val="28"/>
          <w:szCs w:val="28"/>
          <w:highlight w:val="none"/>
          <w:lang w:val="en-US" w:eastAsia="zh-CN" w:bidi="ar"/>
        </w:rPr>
      </w:pPr>
      <w:r>
        <w:rPr>
          <w:rFonts w:hint="eastAsia" w:asciiTheme="minorEastAsia" w:hAnsiTheme="minorEastAsia" w:eastAsiaTheme="minorEastAsia" w:cstheme="minorEastAsia"/>
          <w:b/>
          <w:bCs/>
          <w:color w:val="auto"/>
          <w:kern w:val="0"/>
          <w:sz w:val="28"/>
          <w:szCs w:val="28"/>
          <w:highlight w:val="none"/>
          <w:lang w:val="en-US" w:eastAsia="zh-CN" w:bidi="ar"/>
        </w:rPr>
        <w:t>十三、申诉与仲裁</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1.各参赛队对不符合大赛和赛项规程规定的仪器、设备、工装、材料、物件、计算机软硬件等，竞赛执裁、赛场管理，以及工作人员的不规范行为等，可向赛项监督仲裁组提出申诉。申诉主体为参赛队领队。</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2.监督仲裁人员的姓名、联系方式、工作地点应该在竞赛期间向参赛队和工作人员公示，确保信息畅通并同时接受大众监督。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3.申诉启动时，由各院校领队向赛项监督仲裁工作组递交亲笔签字同意的书面申诉报告。申诉报告应对申诉事件的现象、发生时间、涉及人员、申诉依据等进行充分、实事求是的叙述。非书面申诉不予受理。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4.提出申诉的时间应在比赛结束选手成绩公布 2 小时内。超过时效不予受理。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5.赛项监督仲裁工作组在接到申诉报告后的 2 小时内组织复议，并及时将复议结果以书面形式告知申诉方。申诉方对复议结果仍有异议，可由院校领队向海南省仲裁委员会提出申诉。海南省仲裁委员会的仲裁结果为最终结果。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6.仲裁结果由申诉人签收，不能代收，如在约定时间和地点申诉人离开，视为自行放弃申诉。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7.申诉方可随时提出放弃申诉。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r>
        <w:rPr>
          <w:rFonts w:hint="eastAsia" w:asciiTheme="minorEastAsia" w:hAnsiTheme="minorEastAsia" w:eastAsiaTheme="minorEastAsia" w:cstheme="minorEastAsia"/>
          <w:color w:val="auto"/>
          <w:kern w:val="0"/>
          <w:sz w:val="28"/>
          <w:szCs w:val="28"/>
          <w:highlight w:val="none"/>
          <w:lang w:val="en-US" w:eastAsia="zh-CN" w:bidi="ar"/>
        </w:rPr>
        <w:t xml:space="preserve">8.申诉方必须提供真实的申诉信息并严格遵守申诉程序，不得以任何理由采取过激行为扰乱赛场秩序。 </w:t>
      </w:r>
    </w:p>
    <w:p>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560" w:lineRule="exact"/>
        <w:ind w:leftChars="0" w:right="0" w:rightChars="0" w:firstLine="560" w:firstLineChars="200"/>
        <w:jc w:val="both"/>
        <w:textAlignment w:val="auto"/>
        <w:rPr>
          <w:rFonts w:hint="eastAsia" w:asciiTheme="minorEastAsia" w:hAnsiTheme="minorEastAsia" w:eastAsiaTheme="minorEastAsia" w:cstheme="minorEastAsia"/>
          <w:color w:val="auto"/>
          <w:kern w:val="0"/>
          <w:sz w:val="28"/>
          <w:szCs w:val="28"/>
          <w:highlight w:val="none"/>
          <w:lang w:val="en-US" w:eastAsia="zh-CN" w:bidi="ar"/>
        </w:rPr>
      </w:pPr>
    </w:p>
    <w:sectPr>
      <w:footerReference r:id="rId5" w:type="default"/>
      <w:pgSz w:w="11910" w:h="16840"/>
      <w:pgMar w:top="1520" w:right="1240" w:bottom="1380" w:left="1240" w:header="0" w:footer="1200"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AC63F7F-624C-4BDA-B548-1C0854F3666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font>
  <w:font w:name="仿宋">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Arial">
    <w:panose1 w:val="020B0604020202020204"/>
    <w:charset w:val="00"/>
    <w:family w:val="auto"/>
    <w:pitch w:val="default"/>
    <w:sig w:usb0="E0002AFF" w:usb1="C0007843" w:usb2="00000009" w:usb3="00000000" w:csb0="400001FF" w:csb1="FFFF0000"/>
  </w:font>
  <w:font w:name="仿宋_GB2312">
    <w:panose1 w:val="02010609030101010101"/>
    <w:charset w:val="86"/>
    <w:family w:val="auto"/>
    <w:pitch w:val="default"/>
    <w:sig w:usb0="00000001" w:usb1="080E0000" w:usb2="00000000" w:usb3="00000000" w:csb0="00040000" w:csb1="00000000"/>
    <w:embedRegular r:id="rId2" w:fontKey="{0C512409-E8D2-443C-9E18-AEB2B3651589}"/>
  </w:font>
  <w:font w:name="方正小标宋简体">
    <w:panose1 w:val="02000000000000000000"/>
    <w:charset w:val="86"/>
    <w:family w:val="auto"/>
    <w:pitch w:val="default"/>
    <w:sig w:usb0="00000001" w:usb1="080E0000" w:usb2="00000000" w:usb3="00000000" w:csb0="00040000" w:csb1="00000000"/>
    <w:embedRegular r:id="rId3" w:fontKey="{357968D8-264E-47F2-8428-60CEAD530D82}"/>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ind w:left="0"/>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40</w:t>
                          </w:r>
                          <w:r>
                            <w:rPr>
                              <w:rFonts w:hint="eastAsia"/>
                              <w:lang w:eastAsia="zh-CN"/>
                            </w:rP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GLADMg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0s&#10;sz59gBrT7gMmpuGdHzB39gM6M+1BRZu/SIhgHNU9X9WVQyIiP1qv1usKQwJj8wXx2cPzECG9l96S&#10;bDQ04viKqvz0EdKYOqfkas7faWPKCI37x4GY2cNy72OP2UrDfpgI7X17Rj49Tr6hDhedEvPBobB5&#10;SWYjzsZ+No4h6kNXtijXg3B7TNhE6S1XGGGnwjiywm5ar7wTj+8l6+GX2v4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JRiwAzIAQAAmgMAAA4AAAAAAAAAAQAgAAAAHgEAAGRycy9lMm9Eb2Mu&#10;eG1sUEsFBgAAAAAGAAYAWQEAAFgFA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40</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882" w:hanging="86"/>
      </w:pPr>
      <w:rPr>
        <w:rFonts w:hint="default"/>
        <w:lang w:val="zh-CN" w:eastAsia="zh-CN" w:bidi="zh-CN"/>
      </w:rPr>
    </w:lvl>
    <w:lvl w:ilvl="2" w:tentative="0">
      <w:start w:val="0"/>
      <w:numFmt w:val="bullet"/>
      <w:lvlText w:val="•"/>
      <w:lvlJc w:val="left"/>
      <w:pPr>
        <w:ind w:left="1664" w:hanging="86"/>
      </w:pPr>
      <w:rPr>
        <w:rFonts w:hint="default"/>
        <w:lang w:val="zh-CN" w:eastAsia="zh-CN" w:bidi="zh-CN"/>
      </w:rPr>
    </w:lvl>
    <w:lvl w:ilvl="3" w:tentative="0">
      <w:start w:val="0"/>
      <w:numFmt w:val="bullet"/>
      <w:lvlText w:val="•"/>
      <w:lvlJc w:val="left"/>
      <w:pPr>
        <w:ind w:left="2446" w:hanging="86"/>
      </w:pPr>
      <w:rPr>
        <w:rFonts w:hint="default"/>
        <w:lang w:val="zh-CN" w:eastAsia="zh-CN" w:bidi="zh-CN"/>
      </w:rPr>
    </w:lvl>
    <w:lvl w:ilvl="4" w:tentative="0">
      <w:start w:val="0"/>
      <w:numFmt w:val="bullet"/>
      <w:lvlText w:val="•"/>
      <w:lvlJc w:val="left"/>
      <w:pPr>
        <w:ind w:left="3228" w:hanging="86"/>
      </w:pPr>
      <w:rPr>
        <w:rFonts w:hint="default"/>
        <w:lang w:val="zh-CN" w:eastAsia="zh-CN" w:bidi="zh-CN"/>
      </w:rPr>
    </w:lvl>
    <w:lvl w:ilvl="5" w:tentative="0">
      <w:start w:val="0"/>
      <w:numFmt w:val="bullet"/>
      <w:lvlText w:val="•"/>
      <w:lvlJc w:val="left"/>
      <w:pPr>
        <w:ind w:left="4010" w:hanging="86"/>
      </w:pPr>
      <w:rPr>
        <w:rFonts w:hint="default"/>
        <w:lang w:val="zh-CN" w:eastAsia="zh-CN" w:bidi="zh-CN"/>
      </w:rPr>
    </w:lvl>
    <w:lvl w:ilvl="6" w:tentative="0">
      <w:start w:val="0"/>
      <w:numFmt w:val="bullet"/>
      <w:lvlText w:val="•"/>
      <w:lvlJc w:val="left"/>
      <w:pPr>
        <w:ind w:left="4792" w:hanging="86"/>
      </w:pPr>
      <w:rPr>
        <w:rFonts w:hint="default"/>
        <w:lang w:val="zh-CN" w:eastAsia="zh-CN" w:bidi="zh-CN"/>
      </w:rPr>
    </w:lvl>
    <w:lvl w:ilvl="7" w:tentative="0">
      <w:start w:val="0"/>
      <w:numFmt w:val="bullet"/>
      <w:lvlText w:val="•"/>
      <w:lvlJc w:val="left"/>
      <w:pPr>
        <w:ind w:left="5574" w:hanging="86"/>
      </w:pPr>
      <w:rPr>
        <w:rFonts w:hint="default"/>
        <w:lang w:val="zh-CN" w:eastAsia="zh-CN" w:bidi="zh-CN"/>
      </w:rPr>
    </w:lvl>
    <w:lvl w:ilvl="8" w:tentative="0">
      <w:start w:val="0"/>
      <w:numFmt w:val="bullet"/>
      <w:lvlText w:val="•"/>
      <w:lvlJc w:val="left"/>
      <w:pPr>
        <w:ind w:left="6356" w:hanging="86"/>
      </w:pPr>
      <w:rPr>
        <w:rFonts w:hint="default"/>
        <w:lang w:val="zh-CN" w:eastAsia="zh-CN" w:bidi="zh-CN"/>
      </w:rPr>
    </w:lvl>
  </w:abstractNum>
  <w:abstractNum w:abstractNumId="1">
    <w:nsid w:val="B5E306ED"/>
    <w:multiLevelType w:val="multilevel"/>
    <w:tmpl w:val="B5E306ED"/>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882" w:hanging="86"/>
      </w:pPr>
      <w:rPr>
        <w:rFonts w:hint="default"/>
        <w:lang w:val="zh-CN" w:eastAsia="zh-CN" w:bidi="zh-CN"/>
      </w:rPr>
    </w:lvl>
    <w:lvl w:ilvl="2" w:tentative="0">
      <w:start w:val="0"/>
      <w:numFmt w:val="bullet"/>
      <w:lvlText w:val="•"/>
      <w:lvlJc w:val="left"/>
      <w:pPr>
        <w:ind w:left="1664" w:hanging="86"/>
      </w:pPr>
      <w:rPr>
        <w:rFonts w:hint="default"/>
        <w:lang w:val="zh-CN" w:eastAsia="zh-CN" w:bidi="zh-CN"/>
      </w:rPr>
    </w:lvl>
    <w:lvl w:ilvl="3" w:tentative="0">
      <w:start w:val="0"/>
      <w:numFmt w:val="bullet"/>
      <w:lvlText w:val="•"/>
      <w:lvlJc w:val="left"/>
      <w:pPr>
        <w:ind w:left="2446" w:hanging="86"/>
      </w:pPr>
      <w:rPr>
        <w:rFonts w:hint="default"/>
        <w:lang w:val="zh-CN" w:eastAsia="zh-CN" w:bidi="zh-CN"/>
      </w:rPr>
    </w:lvl>
    <w:lvl w:ilvl="4" w:tentative="0">
      <w:start w:val="0"/>
      <w:numFmt w:val="bullet"/>
      <w:lvlText w:val="•"/>
      <w:lvlJc w:val="left"/>
      <w:pPr>
        <w:ind w:left="3228" w:hanging="86"/>
      </w:pPr>
      <w:rPr>
        <w:rFonts w:hint="default"/>
        <w:lang w:val="zh-CN" w:eastAsia="zh-CN" w:bidi="zh-CN"/>
      </w:rPr>
    </w:lvl>
    <w:lvl w:ilvl="5" w:tentative="0">
      <w:start w:val="0"/>
      <w:numFmt w:val="bullet"/>
      <w:lvlText w:val="•"/>
      <w:lvlJc w:val="left"/>
      <w:pPr>
        <w:ind w:left="4010" w:hanging="86"/>
      </w:pPr>
      <w:rPr>
        <w:rFonts w:hint="default"/>
        <w:lang w:val="zh-CN" w:eastAsia="zh-CN" w:bidi="zh-CN"/>
      </w:rPr>
    </w:lvl>
    <w:lvl w:ilvl="6" w:tentative="0">
      <w:start w:val="0"/>
      <w:numFmt w:val="bullet"/>
      <w:lvlText w:val="•"/>
      <w:lvlJc w:val="left"/>
      <w:pPr>
        <w:ind w:left="4792" w:hanging="86"/>
      </w:pPr>
      <w:rPr>
        <w:rFonts w:hint="default"/>
        <w:lang w:val="zh-CN" w:eastAsia="zh-CN" w:bidi="zh-CN"/>
      </w:rPr>
    </w:lvl>
    <w:lvl w:ilvl="7" w:tentative="0">
      <w:start w:val="0"/>
      <w:numFmt w:val="bullet"/>
      <w:lvlText w:val="•"/>
      <w:lvlJc w:val="left"/>
      <w:pPr>
        <w:ind w:left="5574" w:hanging="86"/>
      </w:pPr>
      <w:rPr>
        <w:rFonts w:hint="default"/>
        <w:lang w:val="zh-CN" w:eastAsia="zh-CN" w:bidi="zh-CN"/>
      </w:rPr>
    </w:lvl>
    <w:lvl w:ilvl="8" w:tentative="0">
      <w:start w:val="0"/>
      <w:numFmt w:val="bullet"/>
      <w:lvlText w:val="•"/>
      <w:lvlJc w:val="left"/>
      <w:pPr>
        <w:ind w:left="6356" w:hanging="86"/>
      </w:pPr>
      <w:rPr>
        <w:rFonts w:hint="default"/>
        <w:lang w:val="zh-CN" w:eastAsia="zh-CN" w:bidi="zh-CN"/>
      </w:rPr>
    </w:lvl>
  </w:abstractNum>
  <w:abstractNum w:abstractNumId="2">
    <w:nsid w:val="BF205925"/>
    <w:multiLevelType w:val="multilevel"/>
    <w:tmpl w:val="BF205925"/>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882" w:hanging="86"/>
      </w:pPr>
      <w:rPr>
        <w:rFonts w:hint="default"/>
        <w:lang w:val="zh-CN" w:eastAsia="zh-CN" w:bidi="zh-CN"/>
      </w:rPr>
    </w:lvl>
    <w:lvl w:ilvl="2" w:tentative="0">
      <w:start w:val="0"/>
      <w:numFmt w:val="bullet"/>
      <w:lvlText w:val="•"/>
      <w:lvlJc w:val="left"/>
      <w:pPr>
        <w:ind w:left="1664" w:hanging="86"/>
      </w:pPr>
      <w:rPr>
        <w:rFonts w:hint="default"/>
        <w:lang w:val="zh-CN" w:eastAsia="zh-CN" w:bidi="zh-CN"/>
      </w:rPr>
    </w:lvl>
    <w:lvl w:ilvl="3" w:tentative="0">
      <w:start w:val="0"/>
      <w:numFmt w:val="bullet"/>
      <w:lvlText w:val="•"/>
      <w:lvlJc w:val="left"/>
      <w:pPr>
        <w:ind w:left="2446" w:hanging="86"/>
      </w:pPr>
      <w:rPr>
        <w:rFonts w:hint="default"/>
        <w:lang w:val="zh-CN" w:eastAsia="zh-CN" w:bidi="zh-CN"/>
      </w:rPr>
    </w:lvl>
    <w:lvl w:ilvl="4" w:tentative="0">
      <w:start w:val="0"/>
      <w:numFmt w:val="bullet"/>
      <w:lvlText w:val="•"/>
      <w:lvlJc w:val="left"/>
      <w:pPr>
        <w:ind w:left="3228" w:hanging="86"/>
      </w:pPr>
      <w:rPr>
        <w:rFonts w:hint="default"/>
        <w:lang w:val="zh-CN" w:eastAsia="zh-CN" w:bidi="zh-CN"/>
      </w:rPr>
    </w:lvl>
    <w:lvl w:ilvl="5" w:tentative="0">
      <w:start w:val="0"/>
      <w:numFmt w:val="bullet"/>
      <w:lvlText w:val="•"/>
      <w:lvlJc w:val="left"/>
      <w:pPr>
        <w:ind w:left="4010" w:hanging="86"/>
      </w:pPr>
      <w:rPr>
        <w:rFonts w:hint="default"/>
        <w:lang w:val="zh-CN" w:eastAsia="zh-CN" w:bidi="zh-CN"/>
      </w:rPr>
    </w:lvl>
    <w:lvl w:ilvl="6" w:tentative="0">
      <w:start w:val="0"/>
      <w:numFmt w:val="bullet"/>
      <w:lvlText w:val="•"/>
      <w:lvlJc w:val="left"/>
      <w:pPr>
        <w:ind w:left="4792" w:hanging="86"/>
      </w:pPr>
      <w:rPr>
        <w:rFonts w:hint="default"/>
        <w:lang w:val="zh-CN" w:eastAsia="zh-CN" w:bidi="zh-CN"/>
      </w:rPr>
    </w:lvl>
    <w:lvl w:ilvl="7" w:tentative="0">
      <w:start w:val="0"/>
      <w:numFmt w:val="bullet"/>
      <w:lvlText w:val="•"/>
      <w:lvlJc w:val="left"/>
      <w:pPr>
        <w:ind w:left="5574" w:hanging="86"/>
      </w:pPr>
      <w:rPr>
        <w:rFonts w:hint="default"/>
        <w:lang w:val="zh-CN" w:eastAsia="zh-CN" w:bidi="zh-CN"/>
      </w:rPr>
    </w:lvl>
    <w:lvl w:ilvl="8" w:tentative="0">
      <w:start w:val="0"/>
      <w:numFmt w:val="bullet"/>
      <w:lvlText w:val="•"/>
      <w:lvlJc w:val="left"/>
      <w:pPr>
        <w:ind w:left="6356" w:hanging="86"/>
      </w:pPr>
      <w:rPr>
        <w:rFonts w:hint="default"/>
        <w:lang w:val="zh-CN" w:eastAsia="zh-CN" w:bidi="zh-CN"/>
      </w:rPr>
    </w:lvl>
  </w:abstractNum>
  <w:abstractNum w:abstractNumId="3">
    <w:nsid w:val="C8879AEF"/>
    <w:multiLevelType w:val="multilevel"/>
    <w:tmpl w:val="C8879AEF"/>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882" w:hanging="86"/>
      </w:pPr>
      <w:rPr>
        <w:rFonts w:hint="default"/>
        <w:lang w:val="zh-CN" w:eastAsia="zh-CN" w:bidi="zh-CN"/>
      </w:rPr>
    </w:lvl>
    <w:lvl w:ilvl="2" w:tentative="0">
      <w:start w:val="0"/>
      <w:numFmt w:val="bullet"/>
      <w:lvlText w:val="•"/>
      <w:lvlJc w:val="left"/>
      <w:pPr>
        <w:ind w:left="1664" w:hanging="86"/>
      </w:pPr>
      <w:rPr>
        <w:rFonts w:hint="default"/>
        <w:lang w:val="zh-CN" w:eastAsia="zh-CN" w:bidi="zh-CN"/>
      </w:rPr>
    </w:lvl>
    <w:lvl w:ilvl="3" w:tentative="0">
      <w:start w:val="0"/>
      <w:numFmt w:val="bullet"/>
      <w:lvlText w:val="•"/>
      <w:lvlJc w:val="left"/>
      <w:pPr>
        <w:ind w:left="2446" w:hanging="86"/>
      </w:pPr>
      <w:rPr>
        <w:rFonts w:hint="default"/>
        <w:lang w:val="zh-CN" w:eastAsia="zh-CN" w:bidi="zh-CN"/>
      </w:rPr>
    </w:lvl>
    <w:lvl w:ilvl="4" w:tentative="0">
      <w:start w:val="0"/>
      <w:numFmt w:val="bullet"/>
      <w:lvlText w:val="•"/>
      <w:lvlJc w:val="left"/>
      <w:pPr>
        <w:ind w:left="3228" w:hanging="86"/>
      </w:pPr>
      <w:rPr>
        <w:rFonts w:hint="default"/>
        <w:lang w:val="zh-CN" w:eastAsia="zh-CN" w:bidi="zh-CN"/>
      </w:rPr>
    </w:lvl>
    <w:lvl w:ilvl="5" w:tentative="0">
      <w:start w:val="0"/>
      <w:numFmt w:val="bullet"/>
      <w:lvlText w:val="•"/>
      <w:lvlJc w:val="left"/>
      <w:pPr>
        <w:ind w:left="4010" w:hanging="86"/>
      </w:pPr>
      <w:rPr>
        <w:rFonts w:hint="default"/>
        <w:lang w:val="zh-CN" w:eastAsia="zh-CN" w:bidi="zh-CN"/>
      </w:rPr>
    </w:lvl>
    <w:lvl w:ilvl="6" w:tentative="0">
      <w:start w:val="0"/>
      <w:numFmt w:val="bullet"/>
      <w:lvlText w:val="•"/>
      <w:lvlJc w:val="left"/>
      <w:pPr>
        <w:ind w:left="4792" w:hanging="86"/>
      </w:pPr>
      <w:rPr>
        <w:rFonts w:hint="default"/>
        <w:lang w:val="zh-CN" w:eastAsia="zh-CN" w:bidi="zh-CN"/>
      </w:rPr>
    </w:lvl>
    <w:lvl w:ilvl="7" w:tentative="0">
      <w:start w:val="0"/>
      <w:numFmt w:val="bullet"/>
      <w:lvlText w:val="•"/>
      <w:lvlJc w:val="left"/>
      <w:pPr>
        <w:ind w:left="5574" w:hanging="86"/>
      </w:pPr>
      <w:rPr>
        <w:rFonts w:hint="default"/>
        <w:lang w:val="zh-CN" w:eastAsia="zh-CN" w:bidi="zh-CN"/>
      </w:rPr>
    </w:lvl>
    <w:lvl w:ilvl="8" w:tentative="0">
      <w:start w:val="0"/>
      <w:numFmt w:val="bullet"/>
      <w:lvlText w:val="•"/>
      <w:lvlJc w:val="left"/>
      <w:pPr>
        <w:ind w:left="6356" w:hanging="86"/>
      </w:pPr>
      <w:rPr>
        <w:rFonts w:hint="default"/>
        <w:lang w:val="zh-CN" w:eastAsia="zh-CN" w:bidi="zh-CN"/>
      </w:rPr>
    </w:lvl>
  </w:abstractNum>
  <w:abstractNum w:abstractNumId="4">
    <w:nsid w:val="CF092B84"/>
    <w:multiLevelType w:val="multilevel"/>
    <w:tmpl w:val="CF092B84"/>
    <w:lvl w:ilvl="0" w:tentative="0">
      <w:start w:val="0"/>
      <w:numFmt w:val="bullet"/>
      <w:lvlText w:val="•"/>
      <w:lvlJc w:val="left"/>
      <w:pPr>
        <w:ind w:left="673"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1404" w:hanging="86"/>
      </w:pPr>
      <w:rPr>
        <w:rFonts w:hint="default"/>
        <w:lang w:val="zh-CN" w:eastAsia="zh-CN" w:bidi="zh-CN"/>
      </w:rPr>
    </w:lvl>
    <w:lvl w:ilvl="2" w:tentative="0">
      <w:start w:val="0"/>
      <w:numFmt w:val="bullet"/>
      <w:lvlText w:val="•"/>
      <w:lvlJc w:val="left"/>
      <w:pPr>
        <w:ind w:left="2128" w:hanging="86"/>
      </w:pPr>
      <w:rPr>
        <w:rFonts w:hint="default"/>
        <w:lang w:val="zh-CN" w:eastAsia="zh-CN" w:bidi="zh-CN"/>
      </w:rPr>
    </w:lvl>
    <w:lvl w:ilvl="3" w:tentative="0">
      <w:start w:val="0"/>
      <w:numFmt w:val="bullet"/>
      <w:lvlText w:val="•"/>
      <w:lvlJc w:val="left"/>
      <w:pPr>
        <w:ind w:left="2852" w:hanging="86"/>
      </w:pPr>
      <w:rPr>
        <w:rFonts w:hint="default"/>
        <w:lang w:val="zh-CN" w:eastAsia="zh-CN" w:bidi="zh-CN"/>
      </w:rPr>
    </w:lvl>
    <w:lvl w:ilvl="4" w:tentative="0">
      <w:start w:val="0"/>
      <w:numFmt w:val="bullet"/>
      <w:lvlText w:val="•"/>
      <w:lvlJc w:val="left"/>
      <w:pPr>
        <w:ind w:left="3576" w:hanging="86"/>
      </w:pPr>
      <w:rPr>
        <w:rFonts w:hint="default"/>
        <w:lang w:val="zh-CN" w:eastAsia="zh-CN" w:bidi="zh-CN"/>
      </w:rPr>
    </w:lvl>
    <w:lvl w:ilvl="5" w:tentative="0">
      <w:start w:val="0"/>
      <w:numFmt w:val="bullet"/>
      <w:lvlText w:val="•"/>
      <w:lvlJc w:val="left"/>
      <w:pPr>
        <w:ind w:left="4300" w:hanging="86"/>
      </w:pPr>
      <w:rPr>
        <w:rFonts w:hint="default"/>
        <w:lang w:val="zh-CN" w:eastAsia="zh-CN" w:bidi="zh-CN"/>
      </w:rPr>
    </w:lvl>
    <w:lvl w:ilvl="6" w:tentative="0">
      <w:start w:val="0"/>
      <w:numFmt w:val="bullet"/>
      <w:lvlText w:val="•"/>
      <w:lvlJc w:val="left"/>
      <w:pPr>
        <w:ind w:left="5024" w:hanging="86"/>
      </w:pPr>
      <w:rPr>
        <w:rFonts w:hint="default"/>
        <w:lang w:val="zh-CN" w:eastAsia="zh-CN" w:bidi="zh-CN"/>
      </w:rPr>
    </w:lvl>
    <w:lvl w:ilvl="7" w:tentative="0">
      <w:start w:val="0"/>
      <w:numFmt w:val="bullet"/>
      <w:lvlText w:val="•"/>
      <w:lvlJc w:val="left"/>
      <w:pPr>
        <w:ind w:left="5748" w:hanging="86"/>
      </w:pPr>
      <w:rPr>
        <w:rFonts w:hint="default"/>
        <w:lang w:val="zh-CN" w:eastAsia="zh-CN" w:bidi="zh-CN"/>
      </w:rPr>
    </w:lvl>
    <w:lvl w:ilvl="8" w:tentative="0">
      <w:start w:val="0"/>
      <w:numFmt w:val="bullet"/>
      <w:lvlText w:val="•"/>
      <w:lvlJc w:val="left"/>
      <w:pPr>
        <w:ind w:left="6472" w:hanging="86"/>
      </w:pPr>
      <w:rPr>
        <w:rFonts w:hint="default"/>
        <w:lang w:val="zh-CN" w:eastAsia="zh-CN" w:bidi="zh-CN"/>
      </w:rPr>
    </w:lvl>
  </w:abstractNum>
  <w:abstractNum w:abstractNumId="5">
    <w:nsid w:val="D7F9FE59"/>
    <w:multiLevelType w:val="multilevel"/>
    <w:tmpl w:val="D7F9FE59"/>
    <w:lvl w:ilvl="0" w:tentative="0">
      <w:start w:val="0"/>
      <w:numFmt w:val="bullet"/>
      <w:lvlText w:val="•"/>
      <w:lvlJc w:val="left"/>
      <w:pPr>
        <w:ind w:left="673"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1404" w:hanging="86"/>
      </w:pPr>
      <w:rPr>
        <w:rFonts w:hint="default"/>
        <w:lang w:val="zh-CN" w:eastAsia="zh-CN" w:bidi="zh-CN"/>
      </w:rPr>
    </w:lvl>
    <w:lvl w:ilvl="2" w:tentative="0">
      <w:start w:val="0"/>
      <w:numFmt w:val="bullet"/>
      <w:lvlText w:val="•"/>
      <w:lvlJc w:val="left"/>
      <w:pPr>
        <w:ind w:left="2128" w:hanging="86"/>
      </w:pPr>
      <w:rPr>
        <w:rFonts w:hint="default"/>
        <w:lang w:val="zh-CN" w:eastAsia="zh-CN" w:bidi="zh-CN"/>
      </w:rPr>
    </w:lvl>
    <w:lvl w:ilvl="3" w:tentative="0">
      <w:start w:val="0"/>
      <w:numFmt w:val="bullet"/>
      <w:lvlText w:val="•"/>
      <w:lvlJc w:val="left"/>
      <w:pPr>
        <w:ind w:left="2852" w:hanging="86"/>
      </w:pPr>
      <w:rPr>
        <w:rFonts w:hint="default"/>
        <w:lang w:val="zh-CN" w:eastAsia="zh-CN" w:bidi="zh-CN"/>
      </w:rPr>
    </w:lvl>
    <w:lvl w:ilvl="4" w:tentative="0">
      <w:start w:val="0"/>
      <w:numFmt w:val="bullet"/>
      <w:lvlText w:val="•"/>
      <w:lvlJc w:val="left"/>
      <w:pPr>
        <w:ind w:left="3576" w:hanging="86"/>
      </w:pPr>
      <w:rPr>
        <w:rFonts w:hint="default"/>
        <w:lang w:val="zh-CN" w:eastAsia="zh-CN" w:bidi="zh-CN"/>
      </w:rPr>
    </w:lvl>
    <w:lvl w:ilvl="5" w:tentative="0">
      <w:start w:val="0"/>
      <w:numFmt w:val="bullet"/>
      <w:lvlText w:val="•"/>
      <w:lvlJc w:val="left"/>
      <w:pPr>
        <w:ind w:left="4300" w:hanging="86"/>
      </w:pPr>
      <w:rPr>
        <w:rFonts w:hint="default"/>
        <w:lang w:val="zh-CN" w:eastAsia="zh-CN" w:bidi="zh-CN"/>
      </w:rPr>
    </w:lvl>
    <w:lvl w:ilvl="6" w:tentative="0">
      <w:start w:val="0"/>
      <w:numFmt w:val="bullet"/>
      <w:lvlText w:val="•"/>
      <w:lvlJc w:val="left"/>
      <w:pPr>
        <w:ind w:left="5024" w:hanging="86"/>
      </w:pPr>
      <w:rPr>
        <w:rFonts w:hint="default"/>
        <w:lang w:val="zh-CN" w:eastAsia="zh-CN" w:bidi="zh-CN"/>
      </w:rPr>
    </w:lvl>
    <w:lvl w:ilvl="7" w:tentative="0">
      <w:start w:val="0"/>
      <w:numFmt w:val="bullet"/>
      <w:lvlText w:val="•"/>
      <w:lvlJc w:val="left"/>
      <w:pPr>
        <w:ind w:left="5748" w:hanging="86"/>
      </w:pPr>
      <w:rPr>
        <w:rFonts w:hint="default"/>
        <w:lang w:val="zh-CN" w:eastAsia="zh-CN" w:bidi="zh-CN"/>
      </w:rPr>
    </w:lvl>
    <w:lvl w:ilvl="8" w:tentative="0">
      <w:start w:val="0"/>
      <w:numFmt w:val="bullet"/>
      <w:lvlText w:val="•"/>
      <w:lvlJc w:val="left"/>
      <w:pPr>
        <w:ind w:left="6472" w:hanging="86"/>
      </w:pPr>
      <w:rPr>
        <w:rFonts w:hint="default"/>
        <w:lang w:val="zh-CN" w:eastAsia="zh-CN" w:bidi="zh-CN"/>
      </w:rPr>
    </w:lvl>
  </w:abstractNum>
  <w:abstractNum w:abstractNumId="6">
    <w:nsid w:val="DCBA6B53"/>
    <w:multiLevelType w:val="multilevel"/>
    <w:tmpl w:val="DCBA6B53"/>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882" w:hanging="86"/>
      </w:pPr>
      <w:rPr>
        <w:rFonts w:hint="default"/>
        <w:lang w:val="zh-CN" w:eastAsia="zh-CN" w:bidi="zh-CN"/>
      </w:rPr>
    </w:lvl>
    <w:lvl w:ilvl="2" w:tentative="0">
      <w:start w:val="0"/>
      <w:numFmt w:val="bullet"/>
      <w:lvlText w:val="•"/>
      <w:lvlJc w:val="left"/>
      <w:pPr>
        <w:ind w:left="1664" w:hanging="86"/>
      </w:pPr>
      <w:rPr>
        <w:rFonts w:hint="default"/>
        <w:lang w:val="zh-CN" w:eastAsia="zh-CN" w:bidi="zh-CN"/>
      </w:rPr>
    </w:lvl>
    <w:lvl w:ilvl="3" w:tentative="0">
      <w:start w:val="0"/>
      <w:numFmt w:val="bullet"/>
      <w:lvlText w:val="•"/>
      <w:lvlJc w:val="left"/>
      <w:pPr>
        <w:ind w:left="2446" w:hanging="86"/>
      </w:pPr>
      <w:rPr>
        <w:rFonts w:hint="default"/>
        <w:lang w:val="zh-CN" w:eastAsia="zh-CN" w:bidi="zh-CN"/>
      </w:rPr>
    </w:lvl>
    <w:lvl w:ilvl="4" w:tentative="0">
      <w:start w:val="0"/>
      <w:numFmt w:val="bullet"/>
      <w:lvlText w:val="•"/>
      <w:lvlJc w:val="left"/>
      <w:pPr>
        <w:ind w:left="3228" w:hanging="86"/>
      </w:pPr>
      <w:rPr>
        <w:rFonts w:hint="default"/>
        <w:lang w:val="zh-CN" w:eastAsia="zh-CN" w:bidi="zh-CN"/>
      </w:rPr>
    </w:lvl>
    <w:lvl w:ilvl="5" w:tentative="0">
      <w:start w:val="0"/>
      <w:numFmt w:val="bullet"/>
      <w:lvlText w:val="•"/>
      <w:lvlJc w:val="left"/>
      <w:pPr>
        <w:ind w:left="4010" w:hanging="86"/>
      </w:pPr>
      <w:rPr>
        <w:rFonts w:hint="default"/>
        <w:lang w:val="zh-CN" w:eastAsia="zh-CN" w:bidi="zh-CN"/>
      </w:rPr>
    </w:lvl>
    <w:lvl w:ilvl="6" w:tentative="0">
      <w:start w:val="0"/>
      <w:numFmt w:val="bullet"/>
      <w:lvlText w:val="•"/>
      <w:lvlJc w:val="left"/>
      <w:pPr>
        <w:ind w:left="4792" w:hanging="86"/>
      </w:pPr>
      <w:rPr>
        <w:rFonts w:hint="default"/>
        <w:lang w:val="zh-CN" w:eastAsia="zh-CN" w:bidi="zh-CN"/>
      </w:rPr>
    </w:lvl>
    <w:lvl w:ilvl="7" w:tentative="0">
      <w:start w:val="0"/>
      <w:numFmt w:val="bullet"/>
      <w:lvlText w:val="•"/>
      <w:lvlJc w:val="left"/>
      <w:pPr>
        <w:ind w:left="5574" w:hanging="86"/>
      </w:pPr>
      <w:rPr>
        <w:rFonts w:hint="default"/>
        <w:lang w:val="zh-CN" w:eastAsia="zh-CN" w:bidi="zh-CN"/>
      </w:rPr>
    </w:lvl>
    <w:lvl w:ilvl="8" w:tentative="0">
      <w:start w:val="0"/>
      <w:numFmt w:val="bullet"/>
      <w:lvlText w:val="•"/>
      <w:lvlJc w:val="left"/>
      <w:pPr>
        <w:ind w:left="6356" w:hanging="86"/>
      </w:pPr>
      <w:rPr>
        <w:rFonts w:hint="default"/>
        <w:lang w:val="zh-CN" w:eastAsia="zh-CN" w:bidi="zh-CN"/>
      </w:rPr>
    </w:lvl>
  </w:abstractNum>
  <w:abstractNum w:abstractNumId="7">
    <w:nsid w:val="F4B5D9F5"/>
    <w:multiLevelType w:val="multilevel"/>
    <w:tmpl w:val="F4B5D9F5"/>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913" w:hanging="86"/>
      </w:pPr>
      <w:rPr>
        <w:rFonts w:hint="default" w:ascii="Arial" w:hAnsi="Arial" w:eastAsia="Arial" w:cs="Arial"/>
        <w:spacing w:val="-1"/>
        <w:w w:val="100"/>
        <w:sz w:val="22"/>
        <w:szCs w:val="22"/>
        <w:lang w:val="zh-CN" w:eastAsia="zh-CN" w:bidi="zh-CN"/>
      </w:rPr>
    </w:lvl>
    <w:lvl w:ilvl="2" w:tentative="0">
      <w:start w:val="0"/>
      <w:numFmt w:val="bullet"/>
      <w:lvlText w:val="•"/>
      <w:lvlJc w:val="left"/>
      <w:pPr>
        <w:ind w:left="1697" w:hanging="86"/>
      </w:pPr>
      <w:rPr>
        <w:rFonts w:hint="default"/>
        <w:lang w:val="zh-CN" w:eastAsia="zh-CN" w:bidi="zh-CN"/>
      </w:rPr>
    </w:lvl>
    <w:lvl w:ilvl="3" w:tentative="0">
      <w:start w:val="0"/>
      <w:numFmt w:val="bullet"/>
      <w:lvlText w:val="•"/>
      <w:lvlJc w:val="left"/>
      <w:pPr>
        <w:ind w:left="2475" w:hanging="86"/>
      </w:pPr>
      <w:rPr>
        <w:rFonts w:hint="default"/>
        <w:lang w:val="zh-CN" w:eastAsia="zh-CN" w:bidi="zh-CN"/>
      </w:rPr>
    </w:lvl>
    <w:lvl w:ilvl="4" w:tentative="0">
      <w:start w:val="0"/>
      <w:numFmt w:val="bullet"/>
      <w:lvlText w:val="•"/>
      <w:lvlJc w:val="left"/>
      <w:pPr>
        <w:ind w:left="3253" w:hanging="86"/>
      </w:pPr>
      <w:rPr>
        <w:rFonts w:hint="default"/>
        <w:lang w:val="zh-CN" w:eastAsia="zh-CN" w:bidi="zh-CN"/>
      </w:rPr>
    </w:lvl>
    <w:lvl w:ilvl="5" w:tentative="0">
      <w:start w:val="0"/>
      <w:numFmt w:val="bullet"/>
      <w:lvlText w:val="•"/>
      <w:lvlJc w:val="left"/>
      <w:pPr>
        <w:ind w:left="4031" w:hanging="86"/>
      </w:pPr>
      <w:rPr>
        <w:rFonts w:hint="default"/>
        <w:lang w:val="zh-CN" w:eastAsia="zh-CN" w:bidi="zh-CN"/>
      </w:rPr>
    </w:lvl>
    <w:lvl w:ilvl="6" w:tentative="0">
      <w:start w:val="0"/>
      <w:numFmt w:val="bullet"/>
      <w:lvlText w:val="•"/>
      <w:lvlJc w:val="left"/>
      <w:pPr>
        <w:ind w:left="4809" w:hanging="86"/>
      </w:pPr>
      <w:rPr>
        <w:rFonts w:hint="default"/>
        <w:lang w:val="zh-CN" w:eastAsia="zh-CN" w:bidi="zh-CN"/>
      </w:rPr>
    </w:lvl>
    <w:lvl w:ilvl="7" w:tentative="0">
      <w:start w:val="0"/>
      <w:numFmt w:val="bullet"/>
      <w:lvlText w:val="•"/>
      <w:lvlJc w:val="left"/>
      <w:pPr>
        <w:ind w:left="5587" w:hanging="86"/>
      </w:pPr>
      <w:rPr>
        <w:rFonts w:hint="default"/>
        <w:lang w:val="zh-CN" w:eastAsia="zh-CN" w:bidi="zh-CN"/>
      </w:rPr>
    </w:lvl>
    <w:lvl w:ilvl="8" w:tentative="0">
      <w:start w:val="0"/>
      <w:numFmt w:val="bullet"/>
      <w:lvlText w:val="•"/>
      <w:lvlJc w:val="left"/>
      <w:pPr>
        <w:ind w:left="6365" w:hanging="86"/>
      </w:pPr>
      <w:rPr>
        <w:rFonts w:hint="default"/>
        <w:lang w:val="zh-CN" w:eastAsia="zh-CN" w:bidi="zh-CN"/>
      </w:rPr>
    </w:lvl>
  </w:abstractNum>
  <w:abstractNum w:abstractNumId="8">
    <w:nsid w:val="F90534EC"/>
    <w:multiLevelType w:val="singleLevel"/>
    <w:tmpl w:val="F90534EC"/>
    <w:lvl w:ilvl="0" w:tentative="0">
      <w:start w:val="2"/>
      <w:numFmt w:val="chineseCounting"/>
      <w:suff w:val="nothing"/>
      <w:lvlText w:val="（%1）"/>
      <w:lvlJc w:val="left"/>
      <w:rPr>
        <w:rFonts w:hint="eastAsia"/>
      </w:rPr>
    </w:lvl>
  </w:abstractNum>
  <w:abstractNum w:abstractNumId="9">
    <w:nsid w:val="0248C179"/>
    <w:multiLevelType w:val="multilevel"/>
    <w:tmpl w:val="0248C179"/>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882" w:hanging="86"/>
      </w:pPr>
      <w:rPr>
        <w:rFonts w:hint="default"/>
        <w:lang w:val="zh-CN" w:eastAsia="zh-CN" w:bidi="zh-CN"/>
      </w:rPr>
    </w:lvl>
    <w:lvl w:ilvl="2" w:tentative="0">
      <w:start w:val="0"/>
      <w:numFmt w:val="bullet"/>
      <w:lvlText w:val="•"/>
      <w:lvlJc w:val="left"/>
      <w:pPr>
        <w:ind w:left="1664" w:hanging="86"/>
      </w:pPr>
      <w:rPr>
        <w:rFonts w:hint="default"/>
        <w:lang w:val="zh-CN" w:eastAsia="zh-CN" w:bidi="zh-CN"/>
      </w:rPr>
    </w:lvl>
    <w:lvl w:ilvl="3" w:tentative="0">
      <w:start w:val="0"/>
      <w:numFmt w:val="bullet"/>
      <w:lvlText w:val="•"/>
      <w:lvlJc w:val="left"/>
      <w:pPr>
        <w:ind w:left="2446" w:hanging="86"/>
      </w:pPr>
      <w:rPr>
        <w:rFonts w:hint="default"/>
        <w:lang w:val="zh-CN" w:eastAsia="zh-CN" w:bidi="zh-CN"/>
      </w:rPr>
    </w:lvl>
    <w:lvl w:ilvl="4" w:tentative="0">
      <w:start w:val="0"/>
      <w:numFmt w:val="bullet"/>
      <w:lvlText w:val="•"/>
      <w:lvlJc w:val="left"/>
      <w:pPr>
        <w:ind w:left="3228" w:hanging="86"/>
      </w:pPr>
      <w:rPr>
        <w:rFonts w:hint="default"/>
        <w:lang w:val="zh-CN" w:eastAsia="zh-CN" w:bidi="zh-CN"/>
      </w:rPr>
    </w:lvl>
    <w:lvl w:ilvl="5" w:tentative="0">
      <w:start w:val="0"/>
      <w:numFmt w:val="bullet"/>
      <w:lvlText w:val="•"/>
      <w:lvlJc w:val="left"/>
      <w:pPr>
        <w:ind w:left="4010" w:hanging="86"/>
      </w:pPr>
      <w:rPr>
        <w:rFonts w:hint="default"/>
        <w:lang w:val="zh-CN" w:eastAsia="zh-CN" w:bidi="zh-CN"/>
      </w:rPr>
    </w:lvl>
    <w:lvl w:ilvl="6" w:tentative="0">
      <w:start w:val="0"/>
      <w:numFmt w:val="bullet"/>
      <w:lvlText w:val="•"/>
      <w:lvlJc w:val="left"/>
      <w:pPr>
        <w:ind w:left="4792" w:hanging="86"/>
      </w:pPr>
      <w:rPr>
        <w:rFonts w:hint="default"/>
        <w:lang w:val="zh-CN" w:eastAsia="zh-CN" w:bidi="zh-CN"/>
      </w:rPr>
    </w:lvl>
    <w:lvl w:ilvl="7" w:tentative="0">
      <w:start w:val="0"/>
      <w:numFmt w:val="bullet"/>
      <w:lvlText w:val="•"/>
      <w:lvlJc w:val="left"/>
      <w:pPr>
        <w:ind w:left="5574" w:hanging="86"/>
      </w:pPr>
      <w:rPr>
        <w:rFonts w:hint="default"/>
        <w:lang w:val="zh-CN" w:eastAsia="zh-CN" w:bidi="zh-CN"/>
      </w:rPr>
    </w:lvl>
    <w:lvl w:ilvl="8" w:tentative="0">
      <w:start w:val="0"/>
      <w:numFmt w:val="bullet"/>
      <w:lvlText w:val="•"/>
      <w:lvlJc w:val="left"/>
      <w:pPr>
        <w:ind w:left="6356" w:hanging="86"/>
      </w:pPr>
      <w:rPr>
        <w:rFonts w:hint="default"/>
        <w:lang w:val="zh-CN" w:eastAsia="zh-CN" w:bidi="zh-CN"/>
      </w:rPr>
    </w:lvl>
  </w:abstractNum>
  <w:abstractNum w:abstractNumId="10">
    <w:nsid w:val="03D62ECE"/>
    <w:multiLevelType w:val="multilevel"/>
    <w:tmpl w:val="03D62ECE"/>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882" w:hanging="86"/>
      </w:pPr>
      <w:rPr>
        <w:rFonts w:hint="default"/>
        <w:lang w:val="zh-CN" w:eastAsia="zh-CN" w:bidi="zh-CN"/>
      </w:rPr>
    </w:lvl>
    <w:lvl w:ilvl="2" w:tentative="0">
      <w:start w:val="0"/>
      <w:numFmt w:val="bullet"/>
      <w:lvlText w:val="•"/>
      <w:lvlJc w:val="left"/>
      <w:pPr>
        <w:ind w:left="1664" w:hanging="86"/>
      </w:pPr>
      <w:rPr>
        <w:rFonts w:hint="default"/>
        <w:lang w:val="zh-CN" w:eastAsia="zh-CN" w:bidi="zh-CN"/>
      </w:rPr>
    </w:lvl>
    <w:lvl w:ilvl="3" w:tentative="0">
      <w:start w:val="0"/>
      <w:numFmt w:val="bullet"/>
      <w:lvlText w:val="•"/>
      <w:lvlJc w:val="left"/>
      <w:pPr>
        <w:ind w:left="2446" w:hanging="86"/>
      </w:pPr>
      <w:rPr>
        <w:rFonts w:hint="default"/>
        <w:lang w:val="zh-CN" w:eastAsia="zh-CN" w:bidi="zh-CN"/>
      </w:rPr>
    </w:lvl>
    <w:lvl w:ilvl="4" w:tentative="0">
      <w:start w:val="0"/>
      <w:numFmt w:val="bullet"/>
      <w:lvlText w:val="•"/>
      <w:lvlJc w:val="left"/>
      <w:pPr>
        <w:ind w:left="3228" w:hanging="86"/>
      </w:pPr>
      <w:rPr>
        <w:rFonts w:hint="default"/>
        <w:lang w:val="zh-CN" w:eastAsia="zh-CN" w:bidi="zh-CN"/>
      </w:rPr>
    </w:lvl>
    <w:lvl w:ilvl="5" w:tentative="0">
      <w:start w:val="0"/>
      <w:numFmt w:val="bullet"/>
      <w:lvlText w:val="•"/>
      <w:lvlJc w:val="left"/>
      <w:pPr>
        <w:ind w:left="4010" w:hanging="86"/>
      </w:pPr>
      <w:rPr>
        <w:rFonts w:hint="default"/>
        <w:lang w:val="zh-CN" w:eastAsia="zh-CN" w:bidi="zh-CN"/>
      </w:rPr>
    </w:lvl>
    <w:lvl w:ilvl="6" w:tentative="0">
      <w:start w:val="0"/>
      <w:numFmt w:val="bullet"/>
      <w:lvlText w:val="•"/>
      <w:lvlJc w:val="left"/>
      <w:pPr>
        <w:ind w:left="4792" w:hanging="86"/>
      </w:pPr>
      <w:rPr>
        <w:rFonts w:hint="default"/>
        <w:lang w:val="zh-CN" w:eastAsia="zh-CN" w:bidi="zh-CN"/>
      </w:rPr>
    </w:lvl>
    <w:lvl w:ilvl="7" w:tentative="0">
      <w:start w:val="0"/>
      <w:numFmt w:val="bullet"/>
      <w:lvlText w:val="•"/>
      <w:lvlJc w:val="left"/>
      <w:pPr>
        <w:ind w:left="5574" w:hanging="86"/>
      </w:pPr>
      <w:rPr>
        <w:rFonts w:hint="default"/>
        <w:lang w:val="zh-CN" w:eastAsia="zh-CN" w:bidi="zh-CN"/>
      </w:rPr>
    </w:lvl>
    <w:lvl w:ilvl="8" w:tentative="0">
      <w:start w:val="0"/>
      <w:numFmt w:val="bullet"/>
      <w:lvlText w:val="•"/>
      <w:lvlJc w:val="left"/>
      <w:pPr>
        <w:ind w:left="6356" w:hanging="86"/>
      </w:pPr>
      <w:rPr>
        <w:rFonts w:hint="default"/>
        <w:lang w:val="zh-CN" w:eastAsia="zh-CN" w:bidi="zh-CN"/>
      </w:rPr>
    </w:lvl>
  </w:abstractNum>
  <w:abstractNum w:abstractNumId="11">
    <w:nsid w:val="2470EC97"/>
    <w:multiLevelType w:val="multilevel"/>
    <w:tmpl w:val="2470EC97"/>
    <w:lvl w:ilvl="0" w:tentative="0">
      <w:start w:val="0"/>
      <w:numFmt w:val="bullet"/>
      <w:lvlText w:val="•"/>
      <w:lvlJc w:val="left"/>
      <w:pPr>
        <w:ind w:left="673"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1404" w:hanging="86"/>
      </w:pPr>
      <w:rPr>
        <w:rFonts w:hint="default"/>
        <w:lang w:val="zh-CN" w:eastAsia="zh-CN" w:bidi="zh-CN"/>
      </w:rPr>
    </w:lvl>
    <w:lvl w:ilvl="2" w:tentative="0">
      <w:start w:val="0"/>
      <w:numFmt w:val="bullet"/>
      <w:lvlText w:val="•"/>
      <w:lvlJc w:val="left"/>
      <w:pPr>
        <w:ind w:left="2128" w:hanging="86"/>
      </w:pPr>
      <w:rPr>
        <w:rFonts w:hint="default"/>
        <w:lang w:val="zh-CN" w:eastAsia="zh-CN" w:bidi="zh-CN"/>
      </w:rPr>
    </w:lvl>
    <w:lvl w:ilvl="3" w:tentative="0">
      <w:start w:val="0"/>
      <w:numFmt w:val="bullet"/>
      <w:lvlText w:val="•"/>
      <w:lvlJc w:val="left"/>
      <w:pPr>
        <w:ind w:left="2852" w:hanging="86"/>
      </w:pPr>
      <w:rPr>
        <w:rFonts w:hint="default"/>
        <w:lang w:val="zh-CN" w:eastAsia="zh-CN" w:bidi="zh-CN"/>
      </w:rPr>
    </w:lvl>
    <w:lvl w:ilvl="4" w:tentative="0">
      <w:start w:val="0"/>
      <w:numFmt w:val="bullet"/>
      <w:lvlText w:val="•"/>
      <w:lvlJc w:val="left"/>
      <w:pPr>
        <w:ind w:left="3576" w:hanging="86"/>
      </w:pPr>
      <w:rPr>
        <w:rFonts w:hint="default"/>
        <w:lang w:val="zh-CN" w:eastAsia="zh-CN" w:bidi="zh-CN"/>
      </w:rPr>
    </w:lvl>
    <w:lvl w:ilvl="5" w:tentative="0">
      <w:start w:val="0"/>
      <w:numFmt w:val="bullet"/>
      <w:lvlText w:val="•"/>
      <w:lvlJc w:val="left"/>
      <w:pPr>
        <w:ind w:left="4300" w:hanging="86"/>
      </w:pPr>
      <w:rPr>
        <w:rFonts w:hint="default"/>
        <w:lang w:val="zh-CN" w:eastAsia="zh-CN" w:bidi="zh-CN"/>
      </w:rPr>
    </w:lvl>
    <w:lvl w:ilvl="6" w:tentative="0">
      <w:start w:val="0"/>
      <w:numFmt w:val="bullet"/>
      <w:lvlText w:val="•"/>
      <w:lvlJc w:val="left"/>
      <w:pPr>
        <w:ind w:left="5024" w:hanging="86"/>
      </w:pPr>
      <w:rPr>
        <w:rFonts w:hint="default"/>
        <w:lang w:val="zh-CN" w:eastAsia="zh-CN" w:bidi="zh-CN"/>
      </w:rPr>
    </w:lvl>
    <w:lvl w:ilvl="7" w:tentative="0">
      <w:start w:val="0"/>
      <w:numFmt w:val="bullet"/>
      <w:lvlText w:val="•"/>
      <w:lvlJc w:val="left"/>
      <w:pPr>
        <w:ind w:left="5748" w:hanging="86"/>
      </w:pPr>
      <w:rPr>
        <w:rFonts w:hint="default"/>
        <w:lang w:val="zh-CN" w:eastAsia="zh-CN" w:bidi="zh-CN"/>
      </w:rPr>
    </w:lvl>
    <w:lvl w:ilvl="8" w:tentative="0">
      <w:start w:val="0"/>
      <w:numFmt w:val="bullet"/>
      <w:lvlText w:val="•"/>
      <w:lvlJc w:val="left"/>
      <w:pPr>
        <w:ind w:left="6472" w:hanging="86"/>
      </w:pPr>
      <w:rPr>
        <w:rFonts w:hint="default"/>
        <w:lang w:val="zh-CN" w:eastAsia="zh-CN" w:bidi="zh-CN"/>
      </w:rPr>
    </w:lvl>
  </w:abstractNum>
  <w:abstractNum w:abstractNumId="12">
    <w:nsid w:val="25B654F3"/>
    <w:multiLevelType w:val="multilevel"/>
    <w:tmpl w:val="25B654F3"/>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882" w:hanging="86"/>
      </w:pPr>
      <w:rPr>
        <w:rFonts w:hint="default"/>
        <w:lang w:val="zh-CN" w:eastAsia="zh-CN" w:bidi="zh-CN"/>
      </w:rPr>
    </w:lvl>
    <w:lvl w:ilvl="2" w:tentative="0">
      <w:start w:val="0"/>
      <w:numFmt w:val="bullet"/>
      <w:lvlText w:val="•"/>
      <w:lvlJc w:val="left"/>
      <w:pPr>
        <w:ind w:left="1664" w:hanging="86"/>
      </w:pPr>
      <w:rPr>
        <w:rFonts w:hint="default"/>
        <w:lang w:val="zh-CN" w:eastAsia="zh-CN" w:bidi="zh-CN"/>
      </w:rPr>
    </w:lvl>
    <w:lvl w:ilvl="3" w:tentative="0">
      <w:start w:val="0"/>
      <w:numFmt w:val="bullet"/>
      <w:lvlText w:val="•"/>
      <w:lvlJc w:val="left"/>
      <w:pPr>
        <w:ind w:left="2446" w:hanging="86"/>
      </w:pPr>
      <w:rPr>
        <w:rFonts w:hint="default"/>
        <w:lang w:val="zh-CN" w:eastAsia="zh-CN" w:bidi="zh-CN"/>
      </w:rPr>
    </w:lvl>
    <w:lvl w:ilvl="4" w:tentative="0">
      <w:start w:val="0"/>
      <w:numFmt w:val="bullet"/>
      <w:lvlText w:val="•"/>
      <w:lvlJc w:val="left"/>
      <w:pPr>
        <w:ind w:left="3228" w:hanging="86"/>
      </w:pPr>
      <w:rPr>
        <w:rFonts w:hint="default"/>
        <w:lang w:val="zh-CN" w:eastAsia="zh-CN" w:bidi="zh-CN"/>
      </w:rPr>
    </w:lvl>
    <w:lvl w:ilvl="5" w:tentative="0">
      <w:start w:val="0"/>
      <w:numFmt w:val="bullet"/>
      <w:lvlText w:val="•"/>
      <w:lvlJc w:val="left"/>
      <w:pPr>
        <w:ind w:left="4010" w:hanging="86"/>
      </w:pPr>
      <w:rPr>
        <w:rFonts w:hint="default"/>
        <w:lang w:val="zh-CN" w:eastAsia="zh-CN" w:bidi="zh-CN"/>
      </w:rPr>
    </w:lvl>
    <w:lvl w:ilvl="6" w:tentative="0">
      <w:start w:val="0"/>
      <w:numFmt w:val="bullet"/>
      <w:lvlText w:val="•"/>
      <w:lvlJc w:val="left"/>
      <w:pPr>
        <w:ind w:left="4792" w:hanging="86"/>
      </w:pPr>
      <w:rPr>
        <w:rFonts w:hint="default"/>
        <w:lang w:val="zh-CN" w:eastAsia="zh-CN" w:bidi="zh-CN"/>
      </w:rPr>
    </w:lvl>
    <w:lvl w:ilvl="7" w:tentative="0">
      <w:start w:val="0"/>
      <w:numFmt w:val="bullet"/>
      <w:lvlText w:val="•"/>
      <w:lvlJc w:val="left"/>
      <w:pPr>
        <w:ind w:left="5574" w:hanging="86"/>
      </w:pPr>
      <w:rPr>
        <w:rFonts w:hint="default"/>
        <w:lang w:val="zh-CN" w:eastAsia="zh-CN" w:bidi="zh-CN"/>
      </w:rPr>
    </w:lvl>
    <w:lvl w:ilvl="8" w:tentative="0">
      <w:start w:val="0"/>
      <w:numFmt w:val="bullet"/>
      <w:lvlText w:val="•"/>
      <w:lvlJc w:val="left"/>
      <w:pPr>
        <w:ind w:left="6356" w:hanging="86"/>
      </w:pPr>
      <w:rPr>
        <w:rFonts w:hint="default"/>
        <w:lang w:val="zh-CN" w:eastAsia="zh-CN" w:bidi="zh-CN"/>
      </w:rPr>
    </w:lvl>
  </w:abstractNum>
  <w:abstractNum w:abstractNumId="13">
    <w:nsid w:val="45ED5DCC"/>
    <w:multiLevelType w:val="singleLevel"/>
    <w:tmpl w:val="45ED5DCC"/>
    <w:lvl w:ilvl="0" w:tentative="0">
      <w:start w:val="9"/>
      <w:numFmt w:val="chineseCounting"/>
      <w:suff w:val="nothing"/>
      <w:lvlText w:val="%1、"/>
      <w:lvlJc w:val="left"/>
      <w:pPr>
        <w:ind w:left="-42"/>
      </w:pPr>
      <w:rPr>
        <w:rFonts w:hint="eastAsia"/>
      </w:rPr>
    </w:lvl>
  </w:abstractNum>
  <w:abstractNum w:abstractNumId="14">
    <w:nsid w:val="4D4DC07F"/>
    <w:multiLevelType w:val="multilevel"/>
    <w:tmpl w:val="4D4DC07F"/>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882" w:hanging="86"/>
      </w:pPr>
      <w:rPr>
        <w:rFonts w:hint="default"/>
        <w:lang w:val="zh-CN" w:eastAsia="zh-CN" w:bidi="zh-CN"/>
      </w:rPr>
    </w:lvl>
    <w:lvl w:ilvl="2" w:tentative="0">
      <w:start w:val="0"/>
      <w:numFmt w:val="bullet"/>
      <w:lvlText w:val="•"/>
      <w:lvlJc w:val="left"/>
      <w:pPr>
        <w:ind w:left="1664" w:hanging="86"/>
      </w:pPr>
      <w:rPr>
        <w:rFonts w:hint="default"/>
        <w:lang w:val="zh-CN" w:eastAsia="zh-CN" w:bidi="zh-CN"/>
      </w:rPr>
    </w:lvl>
    <w:lvl w:ilvl="3" w:tentative="0">
      <w:start w:val="0"/>
      <w:numFmt w:val="bullet"/>
      <w:lvlText w:val="•"/>
      <w:lvlJc w:val="left"/>
      <w:pPr>
        <w:ind w:left="2446" w:hanging="86"/>
      </w:pPr>
      <w:rPr>
        <w:rFonts w:hint="default"/>
        <w:lang w:val="zh-CN" w:eastAsia="zh-CN" w:bidi="zh-CN"/>
      </w:rPr>
    </w:lvl>
    <w:lvl w:ilvl="4" w:tentative="0">
      <w:start w:val="0"/>
      <w:numFmt w:val="bullet"/>
      <w:lvlText w:val="•"/>
      <w:lvlJc w:val="left"/>
      <w:pPr>
        <w:ind w:left="3228" w:hanging="86"/>
      </w:pPr>
      <w:rPr>
        <w:rFonts w:hint="default"/>
        <w:lang w:val="zh-CN" w:eastAsia="zh-CN" w:bidi="zh-CN"/>
      </w:rPr>
    </w:lvl>
    <w:lvl w:ilvl="5" w:tentative="0">
      <w:start w:val="0"/>
      <w:numFmt w:val="bullet"/>
      <w:lvlText w:val="•"/>
      <w:lvlJc w:val="left"/>
      <w:pPr>
        <w:ind w:left="4010" w:hanging="86"/>
      </w:pPr>
      <w:rPr>
        <w:rFonts w:hint="default"/>
        <w:lang w:val="zh-CN" w:eastAsia="zh-CN" w:bidi="zh-CN"/>
      </w:rPr>
    </w:lvl>
    <w:lvl w:ilvl="6" w:tentative="0">
      <w:start w:val="0"/>
      <w:numFmt w:val="bullet"/>
      <w:lvlText w:val="•"/>
      <w:lvlJc w:val="left"/>
      <w:pPr>
        <w:ind w:left="4792" w:hanging="86"/>
      </w:pPr>
      <w:rPr>
        <w:rFonts w:hint="default"/>
        <w:lang w:val="zh-CN" w:eastAsia="zh-CN" w:bidi="zh-CN"/>
      </w:rPr>
    </w:lvl>
    <w:lvl w:ilvl="7" w:tentative="0">
      <w:start w:val="0"/>
      <w:numFmt w:val="bullet"/>
      <w:lvlText w:val="•"/>
      <w:lvlJc w:val="left"/>
      <w:pPr>
        <w:ind w:left="5574" w:hanging="86"/>
      </w:pPr>
      <w:rPr>
        <w:rFonts w:hint="default"/>
        <w:lang w:val="zh-CN" w:eastAsia="zh-CN" w:bidi="zh-CN"/>
      </w:rPr>
    </w:lvl>
    <w:lvl w:ilvl="8" w:tentative="0">
      <w:start w:val="0"/>
      <w:numFmt w:val="bullet"/>
      <w:lvlText w:val="•"/>
      <w:lvlJc w:val="left"/>
      <w:pPr>
        <w:ind w:left="6356" w:hanging="86"/>
      </w:pPr>
      <w:rPr>
        <w:rFonts w:hint="default"/>
        <w:lang w:val="zh-CN" w:eastAsia="zh-CN" w:bidi="zh-CN"/>
      </w:rPr>
    </w:lvl>
  </w:abstractNum>
  <w:abstractNum w:abstractNumId="15">
    <w:nsid w:val="59ADCABA"/>
    <w:multiLevelType w:val="multilevel"/>
    <w:tmpl w:val="59ADCABA"/>
    <w:lvl w:ilvl="0" w:tentative="0">
      <w:start w:val="0"/>
      <w:numFmt w:val="bullet"/>
      <w:lvlText w:val="•"/>
      <w:lvlJc w:val="left"/>
      <w:pPr>
        <w:ind w:left="673"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1404" w:hanging="86"/>
      </w:pPr>
      <w:rPr>
        <w:rFonts w:hint="default"/>
        <w:lang w:val="zh-CN" w:eastAsia="zh-CN" w:bidi="zh-CN"/>
      </w:rPr>
    </w:lvl>
    <w:lvl w:ilvl="2" w:tentative="0">
      <w:start w:val="0"/>
      <w:numFmt w:val="bullet"/>
      <w:lvlText w:val="•"/>
      <w:lvlJc w:val="left"/>
      <w:pPr>
        <w:ind w:left="2128" w:hanging="86"/>
      </w:pPr>
      <w:rPr>
        <w:rFonts w:hint="default"/>
        <w:lang w:val="zh-CN" w:eastAsia="zh-CN" w:bidi="zh-CN"/>
      </w:rPr>
    </w:lvl>
    <w:lvl w:ilvl="3" w:tentative="0">
      <w:start w:val="0"/>
      <w:numFmt w:val="bullet"/>
      <w:lvlText w:val="•"/>
      <w:lvlJc w:val="left"/>
      <w:pPr>
        <w:ind w:left="2852" w:hanging="86"/>
      </w:pPr>
      <w:rPr>
        <w:rFonts w:hint="default"/>
        <w:lang w:val="zh-CN" w:eastAsia="zh-CN" w:bidi="zh-CN"/>
      </w:rPr>
    </w:lvl>
    <w:lvl w:ilvl="4" w:tentative="0">
      <w:start w:val="0"/>
      <w:numFmt w:val="bullet"/>
      <w:lvlText w:val="•"/>
      <w:lvlJc w:val="left"/>
      <w:pPr>
        <w:ind w:left="3576" w:hanging="86"/>
      </w:pPr>
      <w:rPr>
        <w:rFonts w:hint="default"/>
        <w:lang w:val="zh-CN" w:eastAsia="zh-CN" w:bidi="zh-CN"/>
      </w:rPr>
    </w:lvl>
    <w:lvl w:ilvl="5" w:tentative="0">
      <w:start w:val="0"/>
      <w:numFmt w:val="bullet"/>
      <w:lvlText w:val="•"/>
      <w:lvlJc w:val="left"/>
      <w:pPr>
        <w:ind w:left="4300" w:hanging="86"/>
      </w:pPr>
      <w:rPr>
        <w:rFonts w:hint="default"/>
        <w:lang w:val="zh-CN" w:eastAsia="zh-CN" w:bidi="zh-CN"/>
      </w:rPr>
    </w:lvl>
    <w:lvl w:ilvl="6" w:tentative="0">
      <w:start w:val="0"/>
      <w:numFmt w:val="bullet"/>
      <w:lvlText w:val="•"/>
      <w:lvlJc w:val="left"/>
      <w:pPr>
        <w:ind w:left="5024" w:hanging="86"/>
      </w:pPr>
      <w:rPr>
        <w:rFonts w:hint="default"/>
        <w:lang w:val="zh-CN" w:eastAsia="zh-CN" w:bidi="zh-CN"/>
      </w:rPr>
    </w:lvl>
    <w:lvl w:ilvl="7" w:tentative="0">
      <w:start w:val="0"/>
      <w:numFmt w:val="bullet"/>
      <w:lvlText w:val="•"/>
      <w:lvlJc w:val="left"/>
      <w:pPr>
        <w:ind w:left="5748" w:hanging="86"/>
      </w:pPr>
      <w:rPr>
        <w:rFonts w:hint="default"/>
        <w:lang w:val="zh-CN" w:eastAsia="zh-CN" w:bidi="zh-CN"/>
      </w:rPr>
    </w:lvl>
    <w:lvl w:ilvl="8" w:tentative="0">
      <w:start w:val="0"/>
      <w:numFmt w:val="bullet"/>
      <w:lvlText w:val="•"/>
      <w:lvlJc w:val="left"/>
      <w:pPr>
        <w:ind w:left="6472" w:hanging="86"/>
      </w:pPr>
      <w:rPr>
        <w:rFonts w:hint="default"/>
        <w:lang w:val="zh-CN" w:eastAsia="zh-CN" w:bidi="zh-CN"/>
      </w:rPr>
    </w:lvl>
  </w:abstractNum>
  <w:abstractNum w:abstractNumId="16">
    <w:nsid w:val="5A241D34"/>
    <w:multiLevelType w:val="multilevel"/>
    <w:tmpl w:val="5A241D34"/>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882" w:hanging="86"/>
      </w:pPr>
      <w:rPr>
        <w:rFonts w:hint="default"/>
        <w:lang w:val="zh-CN" w:eastAsia="zh-CN" w:bidi="zh-CN"/>
      </w:rPr>
    </w:lvl>
    <w:lvl w:ilvl="2" w:tentative="0">
      <w:start w:val="0"/>
      <w:numFmt w:val="bullet"/>
      <w:lvlText w:val="•"/>
      <w:lvlJc w:val="left"/>
      <w:pPr>
        <w:ind w:left="1664" w:hanging="86"/>
      </w:pPr>
      <w:rPr>
        <w:rFonts w:hint="default"/>
        <w:lang w:val="zh-CN" w:eastAsia="zh-CN" w:bidi="zh-CN"/>
      </w:rPr>
    </w:lvl>
    <w:lvl w:ilvl="3" w:tentative="0">
      <w:start w:val="0"/>
      <w:numFmt w:val="bullet"/>
      <w:lvlText w:val="•"/>
      <w:lvlJc w:val="left"/>
      <w:pPr>
        <w:ind w:left="2446" w:hanging="86"/>
      </w:pPr>
      <w:rPr>
        <w:rFonts w:hint="default"/>
        <w:lang w:val="zh-CN" w:eastAsia="zh-CN" w:bidi="zh-CN"/>
      </w:rPr>
    </w:lvl>
    <w:lvl w:ilvl="4" w:tentative="0">
      <w:start w:val="0"/>
      <w:numFmt w:val="bullet"/>
      <w:lvlText w:val="•"/>
      <w:lvlJc w:val="left"/>
      <w:pPr>
        <w:ind w:left="3228" w:hanging="86"/>
      </w:pPr>
      <w:rPr>
        <w:rFonts w:hint="default"/>
        <w:lang w:val="zh-CN" w:eastAsia="zh-CN" w:bidi="zh-CN"/>
      </w:rPr>
    </w:lvl>
    <w:lvl w:ilvl="5" w:tentative="0">
      <w:start w:val="0"/>
      <w:numFmt w:val="bullet"/>
      <w:lvlText w:val="•"/>
      <w:lvlJc w:val="left"/>
      <w:pPr>
        <w:ind w:left="4010" w:hanging="86"/>
      </w:pPr>
      <w:rPr>
        <w:rFonts w:hint="default"/>
        <w:lang w:val="zh-CN" w:eastAsia="zh-CN" w:bidi="zh-CN"/>
      </w:rPr>
    </w:lvl>
    <w:lvl w:ilvl="6" w:tentative="0">
      <w:start w:val="0"/>
      <w:numFmt w:val="bullet"/>
      <w:lvlText w:val="•"/>
      <w:lvlJc w:val="left"/>
      <w:pPr>
        <w:ind w:left="4792" w:hanging="86"/>
      </w:pPr>
      <w:rPr>
        <w:rFonts w:hint="default"/>
        <w:lang w:val="zh-CN" w:eastAsia="zh-CN" w:bidi="zh-CN"/>
      </w:rPr>
    </w:lvl>
    <w:lvl w:ilvl="7" w:tentative="0">
      <w:start w:val="0"/>
      <w:numFmt w:val="bullet"/>
      <w:lvlText w:val="•"/>
      <w:lvlJc w:val="left"/>
      <w:pPr>
        <w:ind w:left="5574" w:hanging="86"/>
      </w:pPr>
      <w:rPr>
        <w:rFonts w:hint="default"/>
        <w:lang w:val="zh-CN" w:eastAsia="zh-CN" w:bidi="zh-CN"/>
      </w:rPr>
    </w:lvl>
    <w:lvl w:ilvl="8" w:tentative="0">
      <w:start w:val="0"/>
      <w:numFmt w:val="bullet"/>
      <w:lvlText w:val="•"/>
      <w:lvlJc w:val="left"/>
      <w:pPr>
        <w:ind w:left="6356" w:hanging="86"/>
      </w:pPr>
      <w:rPr>
        <w:rFonts w:hint="default"/>
        <w:lang w:val="zh-CN" w:eastAsia="zh-CN" w:bidi="zh-CN"/>
      </w:rPr>
    </w:lvl>
  </w:abstractNum>
  <w:abstractNum w:abstractNumId="17">
    <w:nsid w:val="72183CF9"/>
    <w:multiLevelType w:val="multilevel"/>
    <w:tmpl w:val="72183CF9"/>
    <w:lvl w:ilvl="0" w:tentative="0">
      <w:start w:val="0"/>
      <w:numFmt w:val="bullet"/>
      <w:lvlText w:val="•"/>
      <w:lvlJc w:val="left"/>
      <w:pPr>
        <w:ind w:left="107" w:hanging="86"/>
      </w:pPr>
      <w:rPr>
        <w:rFonts w:hint="default" w:ascii="Arial" w:hAnsi="Arial" w:eastAsia="Arial" w:cs="Arial"/>
        <w:spacing w:val="-1"/>
        <w:w w:val="100"/>
        <w:sz w:val="22"/>
        <w:szCs w:val="22"/>
        <w:lang w:val="zh-CN" w:eastAsia="zh-CN" w:bidi="zh-CN"/>
      </w:rPr>
    </w:lvl>
    <w:lvl w:ilvl="1" w:tentative="0">
      <w:start w:val="0"/>
      <w:numFmt w:val="bullet"/>
      <w:lvlText w:val="•"/>
      <w:lvlJc w:val="left"/>
      <w:pPr>
        <w:ind w:left="882" w:hanging="86"/>
      </w:pPr>
      <w:rPr>
        <w:rFonts w:hint="default"/>
        <w:lang w:val="zh-CN" w:eastAsia="zh-CN" w:bidi="zh-CN"/>
      </w:rPr>
    </w:lvl>
    <w:lvl w:ilvl="2" w:tentative="0">
      <w:start w:val="0"/>
      <w:numFmt w:val="bullet"/>
      <w:lvlText w:val="•"/>
      <w:lvlJc w:val="left"/>
      <w:pPr>
        <w:ind w:left="1664" w:hanging="86"/>
      </w:pPr>
      <w:rPr>
        <w:rFonts w:hint="default"/>
        <w:lang w:val="zh-CN" w:eastAsia="zh-CN" w:bidi="zh-CN"/>
      </w:rPr>
    </w:lvl>
    <w:lvl w:ilvl="3" w:tentative="0">
      <w:start w:val="0"/>
      <w:numFmt w:val="bullet"/>
      <w:lvlText w:val="•"/>
      <w:lvlJc w:val="left"/>
      <w:pPr>
        <w:ind w:left="2446" w:hanging="86"/>
      </w:pPr>
      <w:rPr>
        <w:rFonts w:hint="default"/>
        <w:lang w:val="zh-CN" w:eastAsia="zh-CN" w:bidi="zh-CN"/>
      </w:rPr>
    </w:lvl>
    <w:lvl w:ilvl="4" w:tentative="0">
      <w:start w:val="0"/>
      <w:numFmt w:val="bullet"/>
      <w:lvlText w:val="•"/>
      <w:lvlJc w:val="left"/>
      <w:pPr>
        <w:ind w:left="3228" w:hanging="86"/>
      </w:pPr>
      <w:rPr>
        <w:rFonts w:hint="default"/>
        <w:lang w:val="zh-CN" w:eastAsia="zh-CN" w:bidi="zh-CN"/>
      </w:rPr>
    </w:lvl>
    <w:lvl w:ilvl="5" w:tentative="0">
      <w:start w:val="0"/>
      <w:numFmt w:val="bullet"/>
      <w:lvlText w:val="•"/>
      <w:lvlJc w:val="left"/>
      <w:pPr>
        <w:ind w:left="4010" w:hanging="86"/>
      </w:pPr>
      <w:rPr>
        <w:rFonts w:hint="default"/>
        <w:lang w:val="zh-CN" w:eastAsia="zh-CN" w:bidi="zh-CN"/>
      </w:rPr>
    </w:lvl>
    <w:lvl w:ilvl="6" w:tentative="0">
      <w:start w:val="0"/>
      <w:numFmt w:val="bullet"/>
      <w:lvlText w:val="•"/>
      <w:lvlJc w:val="left"/>
      <w:pPr>
        <w:ind w:left="4792" w:hanging="86"/>
      </w:pPr>
      <w:rPr>
        <w:rFonts w:hint="default"/>
        <w:lang w:val="zh-CN" w:eastAsia="zh-CN" w:bidi="zh-CN"/>
      </w:rPr>
    </w:lvl>
    <w:lvl w:ilvl="7" w:tentative="0">
      <w:start w:val="0"/>
      <w:numFmt w:val="bullet"/>
      <w:lvlText w:val="•"/>
      <w:lvlJc w:val="left"/>
      <w:pPr>
        <w:ind w:left="5574" w:hanging="86"/>
      </w:pPr>
      <w:rPr>
        <w:rFonts w:hint="default"/>
        <w:lang w:val="zh-CN" w:eastAsia="zh-CN" w:bidi="zh-CN"/>
      </w:rPr>
    </w:lvl>
    <w:lvl w:ilvl="8" w:tentative="0">
      <w:start w:val="0"/>
      <w:numFmt w:val="bullet"/>
      <w:lvlText w:val="•"/>
      <w:lvlJc w:val="left"/>
      <w:pPr>
        <w:ind w:left="6356" w:hanging="86"/>
      </w:pPr>
      <w:rPr>
        <w:rFonts w:hint="default"/>
        <w:lang w:val="zh-CN" w:eastAsia="zh-CN" w:bidi="zh-CN"/>
      </w:rPr>
    </w:lvl>
  </w:abstractNum>
  <w:num w:numId="1">
    <w:abstractNumId w:val="4"/>
  </w:num>
  <w:num w:numId="2">
    <w:abstractNumId w:val="15"/>
  </w:num>
  <w:num w:numId="3">
    <w:abstractNumId w:val="2"/>
  </w:num>
  <w:num w:numId="4">
    <w:abstractNumId w:val="1"/>
  </w:num>
  <w:num w:numId="5">
    <w:abstractNumId w:val="10"/>
  </w:num>
  <w:num w:numId="6">
    <w:abstractNumId w:val="12"/>
  </w:num>
  <w:num w:numId="7">
    <w:abstractNumId w:val="17"/>
  </w:num>
  <w:num w:numId="8">
    <w:abstractNumId w:val="9"/>
  </w:num>
  <w:num w:numId="9">
    <w:abstractNumId w:val="0"/>
  </w:num>
  <w:num w:numId="10">
    <w:abstractNumId w:val="16"/>
  </w:num>
  <w:num w:numId="11">
    <w:abstractNumId w:val="3"/>
  </w:num>
  <w:num w:numId="12">
    <w:abstractNumId w:val="14"/>
  </w:num>
  <w:num w:numId="13">
    <w:abstractNumId w:val="7"/>
  </w:num>
  <w:num w:numId="14">
    <w:abstractNumId w:val="11"/>
  </w:num>
  <w:num w:numId="15">
    <w:abstractNumId w:val="6"/>
  </w:num>
  <w:num w:numId="16">
    <w:abstractNumId w:val="5"/>
  </w:num>
  <w:num w:numId="17">
    <w:abstractNumId w:val="8"/>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kZDcxZTFlNGJlNTZiM2NkYTdiMmQ5YzA1ZTgwNjIifQ=="/>
  </w:docVars>
  <w:rsids>
    <w:rsidRoot w:val="00000000"/>
    <w:rsid w:val="03C04DE9"/>
    <w:rsid w:val="05B33FE2"/>
    <w:rsid w:val="0AD576C5"/>
    <w:rsid w:val="12F96A4A"/>
    <w:rsid w:val="16AD4036"/>
    <w:rsid w:val="1A4D7203"/>
    <w:rsid w:val="1B5C39DD"/>
    <w:rsid w:val="21850121"/>
    <w:rsid w:val="22616E90"/>
    <w:rsid w:val="23C03406"/>
    <w:rsid w:val="28FC6085"/>
    <w:rsid w:val="29FF65B1"/>
    <w:rsid w:val="2C665E9F"/>
    <w:rsid w:val="2E77240B"/>
    <w:rsid w:val="305D0628"/>
    <w:rsid w:val="324B0D21"/>
    <w:rsid w:val="37BF3CB2"/>
    <w:rsid w:val="403A033E"/>
    <w:rsid w:val="428905D0"/>
    <w:rsid w:val="45EC5026"/>
    <w:rsid w:val="463F6001"/>
    <w:rsid w:val="49770A53"/>
    <w:rsid w:val="4DDB6B60"/>
    <w:rsid w:val="4E1E3CF0"/>
    <w:rsid w:val="55097811"/>
    <w:rsid w:val="55B42837"/>
    <w:rsid w:val="5BF437CE"/>
    <w:rsid w:val="5D120333"/>
    <w:rsid w:val="5E86015C"/>
    <w:rsid w:val="67DF5A1D"/>
    <w:rsid w:val="69B8584F"/>
    <w:rsid w:val="6A427DA1"/>
    <w:rsid w:val="6B7A5450"/>
    <w:rsid w:val="741657A4"/>
    <w:rsid w:val="759C5357"/>
    <w:rsid w:val="79C53706"/>
    <w:rsid w:val="7F6C19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1160"/>
      <w:outlineLvl w:val="1"/>
    </w:pPr>
    <w:rPr>
      <w:rFonts w:ascii="Microsoft JhengHei" w:hAnsi="Microsoft JhengHei" w:eastAsia="Microsoft JhengHei" w:cs="Microsoft JhengHei"/>
      <w:b/>
      <w:bCs/>
      <w:sz w:val="30"/>
      <w:szCs w:val="30"/>
      <w:lang w:val="zh-CN" w:eastAsia="zh-CN" w:bidi="zh-CN"/>
    </w:rPr>
  </w:style>
  <w:style w:type="paragraph" w:styleId="3">
    <w:name w:val="heading 2"/>
    <w:basedOn w:val="1"/>
    <w:next w:val="1"/>
    <w:qFormat/>
    <w:uiPriority w:val="1"/>
    <w:pPr>
      <w:ind w:left="1119"/>
      <w:outlineLvl w:val="2"/>
    </w:pPr>
    <w:rPr>
      <w:rFonts w:ascii="Microsoft JhengHei" w:hAnsi="Microsoft JhengHei" w:eastAsia="Microsoft JhengHei" w:cs="Microsoft JhengHei"/>
      <w:b/>
      <w:bCs/>
      <w:sz w:val="28"/>
      <w:szCs w:val="28"/>
      <w:lang w:val="zh-CN" w:eastAsia="zh-CN" w:bidi="zh-CN"/>
    </w:rPr>
  </w:style>
  <w:style w:type="character" w:default="1" w:styleId="8">
    <w:name w:val="Default Paragraph Font"/>
    <w:semiHidden/>
    <w:unhideWhenUsed/>
    <w:qFormat/>
    <w:uiPriority w:val="1"/>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ind w:left="560"/>
    </w:pPr>
    <w:rPr>
      <w:rFonts w:ascii="宋体" w:hAnsi="宋体" w:eastAsia="宋体" w:cs="宋体"/>
      <w:sz w:val="28"/>
      <w:szCs w:val="28"/>
      <w:lang w:val="zh-CN" w:eastAsia="zh-CN" w:bidi="zh-C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pPr>
      <w:ind w:left="560" w:firstLine="559"/>
    </w:pPr>
    <w:rPr>
      <w:rFonts w:ascii="宋体" w:hAnsi="宋体" w:eastAsia="宋体" w:cs="宋体"/>
      <w:lang w:val="zh-CN" w:eastAsia="zh-CN" w:bidi="zh-CN"/>
    </w:rPr>
  </w:style>
  <w:style w:type="paragraph" w:customStyle="1" w:styleId="11">
    <w:name w:val="Table Paragraph"/>
    <w:basedOn w:val="1"/>
    <w:qFormat/>
    <w:uiPriority w:val="1"/>
    <w:pPr>
      <w:ind w:left="107"/>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Words>14112</Words>
  <Characters>14863</Characters>
  <TotalTime>1</TotalTime>
  <ScaleCrop>false</ScaleCrop>
  <LinksUpToDate>false</LinksUpToDate>
  <CharactersWithSpaces>15189</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2022-07-11T14:10:00Z</dcterms:created>
  <dc:creator>111</dc:creator>
  <cp:lastModifiedBy></cp:lastModifiedBy>
  <dcterms:modified xsi:type="dcterms:W3CDTF">2022-07-29T11:09:32Z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2022-03-22T00:00:00Z</vt:filetime>
  </property>
  <property fmtid="{D5CDD505-2E9C-101B-9397-08002B2CF9AE}" pid="3" name="Creator">
    <vt:lpwstr>WPS 文字</vt:lpwstr>
  </property>
  <property fmtid="{D5CDD505-2E9C-101B-9397-08002B2CF9AE}" pid="4" name="LastSaved">
    <vt:filetime>2022-07-11T00:00:00Z</vt:filetime>
  </property>
  <property fmtid="{D5CDD505-2E9C-101B-9397-08002B2CF9AE}" pid="5" name="KSOProductBuildVer">
    <vt:lpwstr>2052-11.1.0.11636</vt:lpwstr>
  </property>
  <property fmtid="{D5CDD505-2E9C-101B-9397-08002B2CF9AE}" pid="6" name="ICV">
    <vt:lpwstr>985C0A94328F4C448D67A41A0835BB3D</vt:lpwstr>
  </property>
</Properties>
</file>