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44"/>
          <w:szCs w:val="44"/>
        </w:rPr>
      </w:pPr>
    </w:p>
    <w:p>
      <w:pPr>
        <w:jc w:val="center"/>
        <w:rPr>
          <w:rStyle w:val="11"/>
          <w:rFonts w:hint="eastAsia" w:ascii="宋体" w:hAnsi="宋体" w:eastAsia="宋体" w:cs="宋体"/>
          <w:b/>
          <w:sz w:val="44"/>
          <w:szCs w:val="44"/>
        </w:rPr>
      </w:pPr>
      <w:r>
        <w:rPr>
          <w:rStyle w:val="11"/>
          <w:rFonts w:hint="eastAsia" w:ascii="宋体" w:hAnsi="宋体" w:eastAsia="宋体" w:cs="宋体"/>
          <w:b/>
          <w:sz w:val="44"/>
          <w:szCs w:val="44"/>
        </w:rPr>
        <w:t>2018年</w:t>
      </w:r>
      <w:r>
        <w:rPr>
          <w:rStyle w:val="11"/>
          <w:rFonts w:hint="eastAsia" w:ascii="宋体" w:hAnsi="宋体" w:eastAsia="宋体" w:cs="宋体"/>
          <w:b/>
          <w:sz w:val="44"/>
          <w:szCs w:val="44"/>
          <w:lang w:val="en-US" w:eastAsia="zh-CN"/>
        </w:rPr>
        <w:t>海南</w:t>
      </w:r>
      <w:r>
        <w:rPr>
          <w:rStyle w:val="11"/>
          <w:rFonts w:hint="eastAsia" w:ascii="宋体" w:hAnsi="宋体" w:eastAsia="宋体" w:cs="宋体"/>
          <w:b/>
          <w:sz w:val="44"/>
          <w:szCs w:val="44"/>
        </w:rPr>
        <w:t>省职业院校技能大赛</w:t>
      </w:r>
    </w:p>
    <w:p>
      <w:pPr>
        <w:jc w:val="center"/>
        <w:rPr>
          <w:rStyle w:val="11"/>
          <w:rFonts w:hint="eastAsia" w:ascii="宋体" w:hAnsi="宋体" w:eastAsia="宋体" w:cs="宋体"/>
          <w:b/>
          <w:sz w:val="44"/>
          <w:szCs w:val="44"/>
        </w:rPr>
      </w:pPr>
      <w:r>
        <w:rPr>
          <w:rStyle w:val="11"/>
          <w:rFonts w:hint="eastAsia" w:ascii="宋体" w:hAnsi="宋体" w:eastAsia="宋体" w:cs="宋体"/>
          <w:b/>
          <w:sz w:val="44"/>
          <w:szCs w:val="44"/>
        </w:rPr>
        <w:t>“银行业务综合技能”赛项规</w:t>
      </w:r>
      <w:bookmarkStart w:id="0" w:name="_Hlt252882114"/>
      <w:bookmarkStart w:id="1" w:name="_Hlt253936550"/>
      <w:bookmarkStart w:id="2" w:name="_Hlt253342540"/>
      <w:r>
        <w:rPr>
          <w:rStyle w:val="11"/>
          <w:rFonts w:hint="eastAsia" w:ascii="宋体" w:hAnsi="宋体" w:eastAsia="宋体" w:cs="宋体"/>
          <w:b/>
          <w:sz w:val="44"/>
          <w:szCs w:val="44"/>
        </w:rPr>
        <w:t>程</w:t>
      </w:r>
      <w:bookmarkEnd w:id="0"/>
      <w:bookmarkEnd w:id="1"/>
      <w:bookmarkEnd w:id="2"/>
    </w:p>
    <w:p>
      <w:pPr>
        <w:jc w:val="center"/>
        <w:rPr>
          <w:rStyle w:val="11"/>
          <w:rFonts w:hint="eastAsia" w:ascii="宋体" w:hAnsi="宋体" w:eastAsia="宋体" w:cs="宋体"/>
          <w:b/>
          <w:sz w:val="44"/>
          <w:szCs w:val="44"/>
        </w:rPr>
      </w:pP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30" w:firstLineChars="196"/>
        <w:jc w:val="both"/>
        <w:textAlignment w:val="auto"/>
        <w:outlineLvl w:val="9"/>
        <w:rPr>
          <w:rFonts w:hint="eastAsia" w:ascii="仿宋" w:hAnsi="仿宋" w:eastAsia="仿宋" w:cs="仿宋"/>
          <w:sz w:val="32"/>
          <w:szCs w:val="32"/>
        </w:rPr>
      </w:pPr>
      <w:r>
        <w:rPr>
          <w:rFonts w:hint="eastAsia" w:ascii="仿宋" w:hAnsi="仿宋" w:eastAsia="仿宋" w:cs="仿宋"/>
          <w:b/>
          <w:sz w:val="32"/>
          <w:szCs w:val="32"/>
        </w:rPr>
        <w:t>一、赛项名称</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color w:val="FF0000"/>
          <w:sz w:val="32"/>
          <w:szCs w:val="32"/>
        </w:rPr>
      </w:pPr>
      <w:r>
        <w:rPr>
          <w:rFonts w:hint="eastAsia" w:ascii="仿宋" w:hAnsi="仿宋" w:eastAsia="仿宋" w:cs="仿宋"/>
          <w:sz w:val="32"/>
          <w:szCs w:val="32"/>
        </w:rPr>
        <w:t>赛项编号：</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赛项名称：银行业务综合技能</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赛项组别：高职组</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竞赛形式：团体赛</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赛项专业大类：财经商贸</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30" w:firstLineChars="196"/>
        <w:jc w:val="both"/>
        <w:textAlignment w:val="auto"/>
        <w:outlineLvl w:val="9"/>
        <w:rPr>
          <w:rFonts w:hint="eastAsia" w:ascii="仿宋" w:hAnsi="仿宋" w:eastAsia="仿宋" w:cs="仿宋"/>
          <w:b/>
          <w:sz w:val="32"/>
          <w:szCs w:val="32"/>
        </w:rPr>
      </w:pPr>
      <w:r>
        <w:rPr>
          <w:rFonts w:hint="eastAsia" w:ascii="仿宋" w:hAnsi="仿宋" w:eastAsia="仿宋" w:cs="仿宋"/>
          <w:b/>
          <w:sz w:val="32"/>
          <w:szCs w:val="32"/>
        </w:rPr>
        <w:t>二、竞赛目的</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为检验</w:t>
      </w:r>
      <w:r>
        <w:rPr>
          <w:rFonts w:hint="eastAsia" w:ascii="仿宋" w:hAnsi="仿宋" w:eastAsia="仿宋" w:cs="仿宋"/>
          <w:sz w:val="32"/>
          <w:szCs w:val="32"/>
          <w:lang w:val="en-US" w:eastAsia="zh-CN"/>
        </w:rPr>
        <w:t>海南</w:t>
      </w:r>
      <w:r>
        <w:rPr>
          <w:rFonts w:hint="eastAsia" w:ascii="仿宋" w:hAnsi="仿宋" w:eastAsia="仿宋" w:cs="仿宋"/>
          <w:sz w:val="32"/>
          <w:szCs w:val="32"/>
        </w:rPr>
        <w:t>省高职高专金融专业教学改革成果，展现各个高职院校金融专业人才培养水平，加深学生对银行相关专业知识的理解，提高专业实际应用能力，培养团队合作精神和处理分析解决问题的能力，引领和促进高职高专金融专业教学改革，提升高职高专金融职业人才培养工作水平，达到以赛促教、以赛促学、以赛促改、以赛促建的目的，全面推动金融专业职业教育稳步健康发展。</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30" w:firstLineChars="196"/>
        <w:jc w:val="both"/>
        <w:textAlignment w:val="auto"/>
        <w:outlineLvl w:val="9"/>
        <w:rPr>
          <w:rFonts w:hint="eastAsia" w:ascii="仿宋" w:hAnsi="仿宋" w:eastAsia="仿宋" w:cs="仿宋"/>
          <w:b/>
          <w:sz w:val="32"/>
          <w:szCs w:val="32"/>
        </w:rPr>
      </w:pPr>
      <w:r>
        <w:rPr>
          <w:rFonts w:hint="eastAsia" w:ascii="仿宋" w:hAnsi="仿宋" w:eastAsia="仿宋" w:cs="仿宋"/>
          <w:b/>
          <w:sz w:val="32"/>
          <w:szCs w:val="32"/>
        </w:rPr>
        <w:t>三、竞赛内容（详见竞赛样题）</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“银行业务综合技能”竞赛是以银行业为背景，基于银行零售柜员、对公柜员、信贷员、会计主管和理财经理、客户经理、大堂经理等核心岗位工作内容设计。</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33" w:firstLineChars="198"/>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竞赛内容包括：“银行从业知识”竞赛、“银行基本技能”竞赛（包含了传票算、字符录入、手工点钞、货币防伪与鉴别）、“银行业务能力”竞赛（包含了银行综合业务、金融营销能力、票据业务处理）、银行服务情景展示等项目。竞赛内容结构图如下：</w:t>
      </w:r>
    </w:p>
    <w:p>
      <w:pPr>
        <w:keepNext w:val="0"/>
        <w:keepLines w:val="0"/>
        <w:pageBreakBefore w:val="0"/>
        <w:widowControl w:val="0"/>
        <w:kinsoku/>
        <w:wordWrap/>
        <w:overflowPunct/>
        <w:topLinePunct w:val="0"/>
        <w:autoSpaceDE/>
        <w:autoSpaceDN/>
        <w:bidi w:val="0"/>
        <w:adjustRightInd/>
        <w:snapToGrid w:val="0"/>
        <w:spacing w:line="600" w:lineRule="exact"/>
        <w:ind w:right="0" w:rightChars="0"/>
        <w:jc w:val="both"/>
        <w:textAlignment w:val="auto"/>
        <w:outlineLvl w:val="9"/>
        <w:rPr>
          <w:rFonts w:hint="eastAsia" w:ascii="仿宋" w:hAnsi="仿宋" w:eastAsia="仿宋" w:cs="仿宋"/>
          <w:b/>
          <w:sz w:val="32"/>
          <w:szCs w:val="32"/>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3" w:firstLineChars="200"/>
        <w:jc w:val="both"/>
        <w:textAlignment w:val="auto"/>
        <w:outlineLvl w:val="9"/>
        <w:rPr>
          <w:rFonts w:hint="eastAsia" w:ascii="仿宋" w:hAnsi="仿宋" w:eastAsia="仿宋" w:cs="仿宋"/>
          <w:b/>
          <w:sz w:val="32"/>
          <w:szCs w:val="32"/>
        </w:rPr>
      </w:pPr>
      <w:r>
        <w:rPr>
          <w:rFonts w:hint="eastAsia" w:ascii="仿宋" w:hAnsi="仿宋" w:eastAsia="仿宋" w:cs="仿宋"/>
          <w:b/>
          <w:sz w:val="32"/>
          <w:szCs w:val="32"/>
        </w:rPr>
        <w:drawing>
          <wp:anchor distT="0" distB="0" distL="114300" distR="114300" simplePos="0" relativeHeight="251661312" behindDoc="0" locked="0" layoutInCell="1" allowOverlap="1">
            <wp:simplePos x="0" y="0"/>
            <wp:positionH relativeFrom="column">
              <wp:posOffset>-260985</wp:posOffset>
            </wp:positionH>
            <wp:positionV relativeFrom="paragraph">
              <wp:posOffset>169545</wp:posOffset>
            </wp:positionV>
            <wp:extent cx="5677535" cy="2341245"/>
            <wp:effectExtent l="19050" t="0" r="0" b="0"/>
            <wp:wrapSquare wrapText="bothSides"/>
            <wp:docPr id="27" name="图片 27" descr="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123"/>
                    <pic:cNvPicPr>
                      <a:picLocks noChangeAspect="1"/>
                    </pic:cNvPicPr>
                  </pic:nvPicPr>
                  <pic:blipFill>
                    <a:blip r:embed="rId5"/>
                    <a:stretch>
                      <a:fillRect/>
                    </a:stretch>
                  </pic:blipFill>
                  <pic:spPr>
                    <a:xfrm>
                      <a:off x="0" y="0"/>
                      <a:ext cx="5677535" cy="2341245"/>
                    </a:xfrm>
                    <a:prstGeom prst="rect">
                      <a:avLst/>
                    </a:prstGeom>
                  </pic:spPr>
                </pic:pic>
              </a:graphicData>
            </a:graphic>
          </wp:anchor>
        </w:drawing>
      </w:r>
      <w:r>
        <w:rPr>
          <w:rFonts w:hint="eastAsia" w:ascii="仿宋" w:hAnsi="仿宋" w:eastAsia="仿宋" w:cs="仿宋"/>
          <w:b/>
          <w:sz w:val="32"/>
          <w:szCs w:val="32"/>
        </w:rPr>
        <w:t>（一）“银行从业知识”竞赛</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考核选手对银行从业知识的掌握情况，基于银行从业资格证书考试范围设计。包括“银行业法律法规与综合能力”“个人理财”“银行信贷（含公司信贷和个人贷款）”等方面的知识。</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3" w:firstLineChars="200"/>
        <w:jc w:val="both"/>
        <w:textAlignment w:val="auto"/>
        <w:outlineLvl w:val="9"/>
        <w:rPr>
          <w:rFonts w:hint="eastAsia" w:ascii="仿宋" w:hAnsi="仿宋" w:eastAsia="仿宋" w:cs="仿宋"/>
          <w:b/>
          <w:sz w:val="32"/>
          <w:szCs w:val="32"/>
        </w:rPr>
      </w:pPr>
      <w:r>
        <w:rPr>
          <w:rFonts w:hint="eastAsia" w:ascii="仿宋" w:hAnsi="仿宋" w:eastAsia="仿宋" w:cs="仿宋"/>
          <w:b/>
          <w:sz w:val="32"/>
          <w:szCs w:val="32"/>
        </w:rPr>
        <w:t>（二）“银行基本技能”竞赛</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考核选手对银行基本技能的掌握情况，包括传票算、字符录入、手工点钞、货币防伪与鉴别四个单项；</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3" w:firstLineChars="200"/>
        <w:jc w:val="both"/>
        <w:textAlignment w:val="auto"/>
        <w:outlineLvl w:val="9"/>
        <w:rPr>
          <w:rFonts w:hint="eastAsia" w:ascii="仿宋" w:hAnsi="仿宋" w:eastAsia="仿宋" w:cs="仿宋"/>
          <w:b/>
          <w:sz w:val="32"/>
          <w:szCs w:val="32"/>
        </w:rPr>
      </w:pPr>
      <w:r>
        <w:rPr>
          <w:rFonts w:hint="eastAsia" w:ascii="仿宋" w:hAnsi="仿宋" w:eastAsia="仿宋" w:cs="仿宋"/>
          <w:b/>
          <w:sz w:val="32"/>
          <w:szCs w:val="32"/>
        </w:rPr>
        <w:t>（三）“银行业务能力”竞赛</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1.银行综合业务</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考核选手对柜面业务处理流程及规范的掌握情况，包括个人银行业务、公司银行业务、借记卡业务、贷记卡业务、网银业务、资信业务、代理业务、电子商业汇票业务、纸质商业汇票业务、大小额支付系统、本票/汇票业务、委托收款业务、同城票据纸质交换业务等。</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2.金融营销技能</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考核选手个人理财业务技能、代理保险业务技能和金融产品营销能等。</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3.票据业务处理</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考核选手的商业银行票据业务处理能力，包括票据审核能力考核、支票业务处理能力考核、汇票业务处理能力考核等。</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jc w:val="center"/>
        <w:textAlignment w:val="auto"/>
        <w:outlineLvl w:val="9"/>
        <w:rPr>
          <w:rFonts w:hint="eastAsia" w:ascii="仿宋" w:hAnsi="仿宋" w:eastAsia="仿宋" w:cs="仿宋"/>
          <w:b/>
          <w:sz w:val="32"/>
          <w:szCs w:val="32"/>
        </w:rPr>
      </w:pPr>
      <w:r>
        <w:rPr>
          <w:rFonts w:hint="eastAsia" w:ascii="仿宋" w:hAnsi="仿宋" w:eastAsia="仿宋" w:cs="仿宋"/>
          <w:b/>
          <w:sz w:val="32"/>
          <w:szCs w:val="32"/>
        </w:rPr>
        <w:t>竞赛日程安排与流程</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6"/>
        <w:gridCol w:w="7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46" w:type="dxa"/>
          </w:tcPr>
          <w:p>
            <w:pPr>
              <w:spacing w:line="360" w:lineRule="auto"/>
              <w:rPr>
                <w:szCs w:val="21"/>
              </w:rPr>
            </w:pPr>
            <w:r>
              <w:rPr>
                <w:rFonts w:hint="eastAsia"/>
                <w:szCs w:val="21"/>
              </w:rPr>
              <w:t>日期</w:t>
            </w:r>
          </w:p>
        </w:tc>
        <w:tc>
          <w:tcPr>
            <w:tcW w:w="7276" w:type="dxa"/>
          </w:tcPr>
          <w:p>
            <w:pPr>
              <w:spacing w:line="360" w:lineRule="auto"/>
              <w:rPr>
                <w:szCs w:val="21"/>
              </w:rPr>
            </w:pPr>
            <w:r>
              <w:rPr>
                <w:rFonts w:hint="eastAsia"/>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46" w:type="dxa"/>
          </w:tcPr>
          <w:p>
            <w:pPr>
              <w:spacing w:line="360" w:lineRule="auto"/>
              <w:rPr>
                <w:rFonts w:hint="eastAsia" w:eastAsiaTheme="minorEastAsia"/>
                <w:szCs w:val="21"/>
                <w:lang w:eastAsia="zh-CN"/>
              </w:rPr>
            </w:pPr>
            <w:r>
              <w:rPr>
                <w:rFonts w:hint="eastAsia"/>
                <w:szCs w:val="21"/>
                <w:lang w:val="en-US" w:eastAsia="zh-CN"/>
              </w:rPr>
              <w:t>3月19日</w:t>
            </w:r>
          </w:p>
        </w:tc>
        <w:tc>
          <w:tcPr>
            <w:tcW w:w="7276" w:type="dxa"/>
          </w:tcPr>
          <w:p>
            <w:pPr>
              <w:spacing w:line="360" w:lineRule="auto"/>
              <w:rPr>
                <w:szCs w:val="21"/>
              </w:rPr>
            </w:pPr>
            <w:r>
              <w:rPr>
                <w:szCs w:val="21"/>
              </w:rPr>
              <w:t>代表队报到、熟悉赛场、召开领队、指导老师会议、按队伍数抽取第二天检录顺序号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46" w:type="dxa"/>
          </w:tcPr>
          <w:p>
            <w:pPr>
              <w:spacing w:line="360" w:lineRule="auto"/>
              <w:rPr>
                <w:rFonts w:hint="eastAsia" w:eastAsiaTheme="minorEastAsia"/>
                <w:szCs w:val="21"/>
                <w:lang w:val="en-US" w:eastAsia="zh-CN"/>
              </w:rPr>
            </w:pPr>
            <w:r>
              <w:rPr>
                <w:rFonts w:hint="eastAsia"/>
                <w:szCs w:val="21"/>
                <w:lang w:val="en-US" w:eastAsia="zh-CN"/>
              </w:rPr>
              <w:t>3月20日</w:t>
            </w:r>
          </w:p>
        </w:tc>
        <w:tc>
          <w:tcPr>
            <w:tcW w:w="7276" w:type="dxa"/>
          </w:tcPr>
          <w:p>
            <w:pPr>
              <w:spacing w:line="360" w:lineRule="auto"/>
              <w:rPr>
                <w:szCs w:val="21"/>
              </w:rPr>
            </w:pPr>
            <w:r>
              <w:rPr>
                <w:szCs w:val="21"/>
              </w:rPr>
              <w:t>第一场选手比赛（银行</w:t>
            </w:r>
            <w:r>
              <w:rPr>
                <w:rFonts w:hint="eastAsia"/>
                <w:szCs w:val="21"/>
              </w:rPr>
              <w:t>从业</w:t>
            </w:r>
            <w:r>
              <w:rPr>
                <w:szCs w:val="21"/>
              </w:rPr>
              <w:t>知识赛项）</w:t>
            </w:r>
          </w:p>
          <w:p>
            <w:pPr>
              <w:spacing w:line="360" w:lineRule="auto"/>
              <w:rPr>
                <w:szCs w:val="21"/>
              </w:rPr>
            </w:pPr>
            <w:r>
              <w:rPr>
                <w:szCs w:val="21"/>
              </w:rPr>
              <w:t>第二场选手比赛（银行业务</w:t>
            </w:r>
            <w:r>
              <w:rPr>
                <w:rFonts w:hint="eastAsia"/>
                <w:szCs w:val="21"/>
              </w:rPr>
              <w:t>能力</w:t>
            </w:r>
            <w:r>
              <w:rPr>
                <w:szCs w:val="21"/>
              </w:rPr>
              <w:t>赛项）</w:t>
            </w:r>
          </w:p>
          <w:p>
            <w:pPr>
              <w:spacing w:line="360" w:lineRule="auto"/>
              <w:rPr>
                <w:szCs w:val="21"/>
              </w:rPr>
            </w:pPr>
            <w:r>
              <w:rPr>
                <w:szCs w:val="21"/>
              </w:rPr>
              <w:t>第三场选手比赛（银行</w:t>
            </w:r>
            <w:r>
              <w:rPr>
                <w:rFonts w:hint="eastAsia"/>
                <w:szCs w:val="21"/>
              </w:rPr>
              <w:t>基本</w:t>
            </w:r>
            <w:r>
              <w:rPr>
                <w:szCs w:val="21"/>
              </w:rPr>
              <w:t>技能赛项）</w:t>
            </w:r>
          </w:p>
        </w:tc>
      </w:tr>
    </w:tbl>
    <w:p>
      <w:pPr>
        <w:spacing w:line="360" w:lineRule="auto"/>
        <w:rPr>
          <w:color w:val="FF0000"/>
          <w:sz w:val="24"/>
        </w:rPr>
      </w:pP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30" w:firstLineChars="196"/>
        <w:jc w:val="both"/>
        <w:textAlignment w:val="auto"/>
        <w:outlineLvl w:val="9"/>
        <w:rPr>
          <w:rFonts w:hint="eastAsia" w:ascii="仿宋" w:hAnsi="仿宋" w:eastAsia="仿宋" w:cs="仿宋"/>
          <w:b/>
          <w:sz w:val="32"/>
          <w:szCs w:val="32"/>
        </w:rPr>
      </w:pPr>
      <w:r>
        <w:rPr>
          <w:rFonts w:hint="eastAsia" w:ascii="仿宋" w:hAnsi="仿宋" w:eastAsia="仿宋" w:cs="仿宋"/>
          <w:b/>
          <w:sz w:val="32"/>
          <w:szCs w:val="32"/>
        </w:rPr>
        <w:t>四、竞赛方式</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本赛项为团体赛，以院校为单位组队参赛，每支参赛队由4名选手组成，须为同校在籍学生，性别和年级不限，可配</w:t>
      </w:r>
      <w:r>
        <w:rPr>
          <w:rFonts w:hint="eastAsia" w:ascii="仿宋" w:hAnsi="仿宋" w:eastAsia="仿宋" w:cs="仿宋"/>
          <w:sz w:val="32"/>
          <w:szCs w:val="32"/>
          <w:lang w:val="en-US" w:eastAsia="zh-CN"/>
        </w:rPr>
        <w:t>2名</w:t>
      </w:r>
      <w:r>
        <w:rPr>
          <w:rFonts w:hint="eastAsia" w:ascii="仿宋" w:hAnsi="仿宋" w:eastAsia="仿宋" w:cs="仿宋"/>
          <w:sz w:val="32"/>
          <w:szCs w:val="32"/>
        </w:rPr>
        <w:t>指导教师。</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 xml:space="preserve">    “银行从业知识”竞赛、“银行基本技能”竞赛、“银行业务能力”竞赛由每支参赛队4名选手分别独立完成。其中，“银行基本技能”竞赛由每位参赛选手选择“传票算”、“字符录入”、“手工点钞”、“货币防伪与鉴别”四个单项的其中一项进行比赛，不得重复。</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30" w:firstLineChars="196"/>
        <w:jc w:val="both"/>
        <w:textAlignment w:val="auto"/>
        <w:outlineLvl w:val="9"/>
        <w:rPr>
          <w:rFonts w:hint="eastAsia" w:ascii="仿宋" w:hAnsi="仿宋" w:eastAsia="仿宋" w:cs="仿宋"/>
          <w:sz w:val="32"/>
          <w:szCs w:val="32"/>
        </w:rPr>
      </w:pPr>
      <w:r>
        <w:rPr>
          <w:rFonts w:hint="eastAsia" w:ascii="仿宋" w:hAnsi="仿宋" w:eastAsia="仿宋" w:cs="仿宋"/>
          <w:b/>
          <w:sz w:val="32"/>
          <w:szCs w:val="32"/>
        </w:rPr>
        <w:t>五、竞赛试题</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本赛项竞赛试题采用题库方式，为确保竞赛试题公平公正，在原有练习试题库的基础上建立三套竞赛试题库密封保存，赛前由监督从这三套题库中随机抽取一套导入竞赛平台。</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30" w:firstLineChars="196"/>
        <w:jc w:val="both"/>
        <w:textAlignment w:val="auto"/>
        <w:outlineLvl w:val="9"/>
        <w:rPr>
          <w:rFonts w:hint="eastAsia" w:ascii="仿宋" w:hAnsi="仿宋" w:eastAsia="仿宋" w:cs="仿宋"/>
          <w:b/>
          <w:sz w:val="32"/>
          <w:szCs w:val="32"/>
        </w:rPr>
      </w:pPr>
      <w:r>
        <w:rPr>
          <w:rFonts w:hint="eastAsia" w:ascii="仿宋" w:hAnsi="仿宋" w:eastAsia="仿宋" w:cs="仿宋"/>
          <w:b/>
          <w:sz w:val="32"/>
          <w:szCs w:val="32"/>
        </w:rPr>
        <w:t>六、竞赛规则</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1.参赛选手应认真学习领会本次竞赛相关文件，自觉遵守大赛纪律，服从指挥，听从安排，文明参赛。</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2.参赛选手请勿携带与竞赛无关的电子设备、通讯设备及其他相关资料与用品。</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3.参赛选手应在比赛时间提前30分钟到达指定场所，不得迟到，凭参赛证、身份证检录。工作人员负责核对参赛选手信息，检录信息表交给监督人员保管。检录后选手身份证交给指导老师代管，代表队按照比赛前一天下午抽取的顺序号排好队，每位选手抽取赛场座位号对号入座。</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4.参赛选手入场后不得早退。未进行检录的选手，视为放弃比赛。</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5.在竞赛过程中，如有疑问，参赛选手应举手示意，裁判人员应按照有关要求及时予以答疑。确因是计算机软件或硬件故障，致使操作无法继续的，经裁判长确认后，予以启用备用计算机。</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6.参赛代表队若对赛事有异议，必需由参赛队领队按规程提出书面申诉。</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30" w:firstLineChars="196"/>
        <w:jc w:val="both"/>
        <w:textAlignment w:val="auto"/>
        <w:outlineLvl w:val="9"/>
        <w:rPr>
          <w:rFonts w:hint="eastAsia" w:ascii="仿宋" w:hAnsi="仿宋" w:eastAsia="仿宋" w:cs="仿宋"/>
          <w:sz w:val="32"/>
          <w:szCs w:val="32"/>
        </w:rPr>
      </w:pPr>
      <w:r>
        <w:rPr>
          <w:rFonts w:hint="eastAsia" w:ascii="仿宋" w:hAnsi="仿宋" w:eastAsia="仿宋" w:cs="仿宋"/>
          <w:b/>
          <w:sz w:val="32"/>
          <w:szCs w:val="32"/>
        </w:rPr>
        <w:t>七、竞赛环境</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1.有独立使用的计算机设施，每个队员一台电脑，保证各个队员在竞赛时的独立性，不受外界干扰。满足多队同时比赛。竞赛场地采光、通风良好。</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2. 比赛场地分别为每个选手配备比赛用桌、椅。</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3．使用的设施设备，性能一致，保证竞赛的公平性。</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4．竞赛场地分别设置有裁判工作室和裁判休息室。</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30" w:firstLineChars="196"/>
        <w:jc w:val="both"/>
        <w:textAlignment w:val="auto"/>
        <w:outlineLvl w:val="9"/>
        <w:rPr>
          <w:rFonts w:hint="eastAsia" w:ascii="仿宋" w:hAnsi="仿宋" w:eastAsia="仿宋" w:cs="仿宋"/>
          <w:b/>
          <w:sz w:val="32"/>
          <w:szCs w:val="32"/>
        </w:rPr>
      </w:pPr>
      <w:r>
        <w:rPr>
          <w:rFonts w:hint="eastAsia" w:ascii="仿宋" w:hAnsi="仿宋" w:eastAsia="仿宋" w:cs="仿宋"/>
          <w:b/>
          <w:sz w:val="32"/>
          <w:szCs w:val="32"/>
        </w:rPr>
        <w:t>八、技术规范</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赛项竞赛内容符合国内金融机构业务技术规范，竞赛软件平台采用相同的技术标准、业务流程、业务规范设计。</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（一）B/S架构</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竞赛平台采用B/S结构，能支持远程应用，可通过局域网或互联网连接登录使用。由竞赛技术支持单位提供技术支持。</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（二）三层结构</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软件的设计包括数据库层、应用服务器层、操作层。系统扩展能力强，可以满足上百个小组或数千人同时竞赛。</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（三）数据库</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软件后台采用SQL Server 2008 R2专业数据库系统，数据安全性较高。</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（四）软件知识产权</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b/>
          <w:sz w:val="32"/>
          <w:szCs w:val="32"/>
        </w:rPr>
      </w:pPr>
      <w:r>
        <w:rPr>
          <w:rFonts w:hint="eastAsia" w:ascii="仿宋" w:hAnsi="仿宋" w:eastAsia="仿宋" w:cs="仿宋"/>
          <w:sz w:val="32"/>
          <w:szCs w:val="32"/>
        </w:rPr>
        <w:t>软件需具有独立知识产权，拥有软件著作权证书和软件产品登记证书。本赛项竞赛内容符合国内商业银行综合业务技术规范，竞赛软件平台采用商业银行综合业务相同的技术标准、业务流程、业务规范设计。</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3" w:firstLineChars="200"/>
        <w:jc w:val="both"/>
        <w:textAlignment w:val="auto"/>
        <w:outlineLvl w:val="9"/>
        <w:rPr>
          <w:rFonts w:hint="eastAsia" w:ascii="仿宋" w:hAnsi="仿宋" w:eastAsia="仿宋" w:cs="仿宋"/>
          <w:b/>
          <w:sz w:val="32"/>
          <w:szCs w:val="32"/>
        </w:rPr>
      </w:pPr>
      <w:r>
        <w:rPr>
          <w:rFonts w:hint="eastAsia" w:ascii="仿宋" w:hAnsi="仿宋" w:eastAsia="仿宋" w:cs="仿宋"/>
          <w:b/>
          <w:sz w:val="32"/>
          <w:szCs w:val="32"/>
        </w:rPr>
        <w:t>九、使用的竞赛器材、竞赛平台</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（一）竞赛器材</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竞赛所需器材包括服务器</w:t>
      </w:r>
      <w:r>
        <w:rPr>
          <w:rFonts w:hint="eastAsia" w:ascii="仿宋" w:hAnsi="仿宋" w:eastAsia="仿宋" w:cs="仿宋"/>
          <w:sz w:val="32"/>
          <w:szCs w:val="32"/>
          <w:lang w:val="en-US" w:eastAsia="zh-CN"/>
        </w:rPr>
        <w:t>1</w:t>
      </w:r>
      <w:r>
        <w:rPr>
          <w:rFonts w:hint="eastAsia" w:ascii="仿宋" w:hAnsi="仿宋" w:eastAsia="仿宋" w:cs="仿宋"/>
          <w:sz w:val="32"/>
          <w:szCs w:val="32"/>
        </w:rPr>
        <w:t>台，计算机</w:t>
      </w:r>
      <w:r>
        <w:rPr>
          <w:rFonts w:hint="eastAsia" w:ascii="仿宋" w:hAnsi="仿宋" w:eastAsia="仿宋" w:cs="仿宋"/>
          <w:sz w:val="32"/>
          <w:szCs w:val="32"/>
          <w:lang w:val="en-US" w:eastAsia="zh-CN"/>
        </w:rPr>
        <w:t>3</w:t>
      </w:r>
      <w:r>
        <w:rPr>
          <w:rFonts w:hint="eastAsia" w:ascii="仿宋" w:hAnsi="仿宋" w:eastAsia="仿宋" w:cs="仿宋"/>
          <w:sz w:val="32"/>
          <w:szCs w:val="32"/>
        </w:rPr>
        <w:t>0台、练功券、传票本等。具体要求如下：</w:t>
      </w:r>
    </w:p>
    <w:tbl>
      <w:tblPr>
        <w:tblStyle w:val="8"/>
        <w:tblW w:w="7892" w:type="dxa"/>
        <w:jc w:val="center"/>
        <w:tblInd w:w="4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8"/>
        <w:gridCol w:w="992"/>
        <w:gridCol w:w="51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3" w:hRule="atLeast"/>
          <w:jc w:val="center"/>
        </w:trPr>
        <w:tc>
          <w:tcPr>
            <w:tcW w:w="1778" w:type="dxa"/>
            <w:vAlign w:val="center"/>
          </w:tcPr>
          <w:p>
            <w:pPr>
              <w:spacing w:line="360" w:lineRule="auto"/>
              <w:jc w:val="center"/>
              <w:rPr>
                <w:b/>
                <w:szCs w:val="21"/>
              </w:rPr>
            </w:pPr>
            <w:r>
              <w:rPr>
                <w:rFonts w:hint="eastAsia"/>
                <w:b/>
                <w:szCs w:val="21"/>
              </w:rPr>
              <w:t>器材类型</w:t>
            </w:r>
          </w:p>
        </w:tc>
        <w:tc>
          <w:tcPr>
            <w:tcW w:w="992" w:type="dxa"/>
            <w:vAlign w:val="center"/>
          </w:tcPr>
          <w:p>
            <w:pPr>
              <w:spacing w:line="360" w:lineRule="auto"/>
              <w:jc w:val="center"/>
              <w:rPr>
                <w:b/>
                <w:szCs w:val="21"/>
              </w:rPr>
            </w:pPr>
            <w:r>
              <w:rPr>
                <w:rFonts w:hint="eastAsia"/>
                <w:b/>
                <w:szCs w:val="21"/>
              </w:rPr>
              <w:t>数量</w:t>
            </w:r>
          </w:p>
        </w:tc>
        <w:tc>
          <w:tcPr>
            <w:tcW w:w="5122" w:type="dxa"/>
            <w:vAlign w:val="center"/>
          </w:tcPr>
          <w:p>
            <w:pPr>
              <w:spacing w:line="360" w:lineRule="auto"/>
              <w:jc w:val="center"/>
              <w:rPr>
                <w:b/>
                <w:szCs w:val="21"/>
              </w:rPr>
            </w:pPr>
            <w:r>
              <w:rPr>
                <w:rFonts w:hint="eastAsia"/>
                <w:b/>
                <w:szCs w:val="21"/>
              </w:rPr>
              <w:t>硬件配置要求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6" w:hRule="atLeast"/>
          <w:jc w:val="center"/>
        </w:trPr>
        <w:tc>
          <w:tcPr>
            <w:tcW w:w="1778" w:type="dxa"/>
            <w:vAlign w:val="center"/>
          </w:tcPr>
          <w:p>
            <w:pPr>
              <w:spacing w:line="360" w:lineRule="auto"/>
              <w:rPr>
                <w:szCs w:val="21"/>
              </w:rPr>
            </w:pPr>
            <w:r>
              <w:rPr>
                <w:rFonts w:hint="eastAsia"/>
                <w:szCs w:val="21"/>
              </w:rPr>
              <w:t>竞赛专用练功券</w:t>
            </w:r>
          </w:p>
        </w:tc>
        <w:tc>
          <w:tcPr>
            <w:tcW w:w="992" w:type="dxa"/>
            <w:vAlign w:val="center"/>
          </w:tcPr>
          <w:p>
            <w:pPr>
              <w:spacing w:line="360" w:lineRule="auto"/>
              <w:jc w:val="center"/>
              <w:rPr>
                <w:szCs w:val="21"/>
              </w:rPr>
            </w:pPr>
            <w:r>
              <w:rPr>
                <w:rFonts w:hint="eastAsia"/>
                <w:szCs w:val="21"/>
                <w:lang w:val="en-US" w:eastAsia="zh-CN"/>
              </w:rPr>
              <w:t>10</w:t>
            </w:r>
            <w:r>
              <w:rPr>
                <w:rFonts w:hint="eastAsia"/>
                <w:szCs w:val="21"/>
              </w:rPr>
              <w:t>套</w:t>
            </w:r>
          </w:p>
        </w:tc>
        <w:tc>
          <w:tcPr>
            <w:tcW w:w="5122" w:type="dxa"/>
            <w:vAlign w:val="center"/>
          </w:tcPr>
          <w:p>
            <w:pPr>
              <w:spacing w:line="360" w:lineRule="auto"/>
              <w:rPr>
                <w:szCs w:val="21"/>
              </w:rPr>
            </w:pPr>
            <w:r>
              <w:rPr>
                <w:rFonts w:hint="eastAsia"/>
                <w:szCs w:val="21"/>
              </w:rPr>
              <w:t>每套分8种面额，包括100元、50元、20元、10元、5元、2元、1元、5角各4捆，每捆100张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6" w:hRule="atLeast"/>
          <w:jc w:val="center"/>
        </w:trPr>
        <w:tc>
          <w:tcPr>
            <w:tcW w:w="1778" w:type="dxa"/>
            <w:vAlign w:val="center"/>
          </w:tcPr>
          <w:p>
            <w:pPr>
              <w:spacing w:line="360" w:lineRule="auto"/>
              <w:rPr>
                <w:szCs w:val="21"/>
              </w:rPr>
            </w:pPr>
            <w:r>
              <w:rPr>
                <w:rFonts w:hint="eastAsia"/>
                <w:szCs w:val="21"/>
              </w:rPr>
              <w:t>捆钞条</w:t>
            </w:r>
          </w:p>
        </w:tc>
        <w:tc>
          <w:tcPr>
            <w:tcW w:w="992" w:type="dxa"/>
            <w:vAlign w:val="center"/>
          </w:tcPr>
          <w:p>
            <w:pPr>
              <w:spacing w:line="360" w:lineRule="auto"/>
              <w:jc w:val="center"/>
              <w:rPr>
                <w:szCs w:val="21"/>
              </w:rPr>
            </w:pPr>
            <w:r>
              <w:rPr>
                <w:rFonts w:hint="eastAsia"/>
                <w:szCs w:val="21"/>
              </w:rPr>
              <w:t>1箱</w:t>
            </w:r>
          </w:p>
        </w:tc>
        <w:tc>
          <w:tcPr>
            <w:tcW w:w="5122" w:type="dxa"/>
            <w:vAlign w:val="center"/>
          </w:tcPr>
          <w:p>
            <w:pPr>
              <w:spacing w:line="360" w:lineRule="auto"/>
              <w:rPr>
                <w:szCs w:val="21"/>
              </w:rPr>
            </w:pPr>
            <w:r>
              <w:rPr>
                <w:rFonts w:hint="eastAsia"/>
                <w:szCs w:val="21"/>
              </w:rPr>
              <w:t>常用尺寸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8" w:hRule="atLeast"/>
          <w:jc w:val="center"/>
        </w:trPr>
        <w:tc>
          <w:tcPr>
            <w:tcW w:w="1778" w:type="dxa"/>
            <w:vAlign w:val="center"/>
          </w:tcPr>
          <w:p>
            <w:pPr>
              <w:spacing w:line="360" w:lineRule="auto"/>
              <w:rPr>
                <w:szCs w:val="21"/>
              </w:rPr>
            </w:pPr>
            <w:r>
              <w:rPr>
                <w:rFonts w:hint="eastAsia"/>
                <w:szCs w:val="21"/>
              </w:rPr>
              <w:t>点钞油、点钞蜡</w:t>
            </w:r>
          </w:p>
        </w:tc>
        <w:tc>
          <w:tcPr>
            <w:tcW w:w="992" w:type="dxa"/>
            <w:vAlign w:val="center"/>
          </w:tcPr>
          <w:p>
            <w:pPr>
              <w:spacing w:line="360" w:lineRule="auto"/>
              <w:jc w:val="center"/>
              <w:rPr>
                <w:szCs w:val="21"/>
              </w:rPr>
            </w:pPr>
            <w:r>
              <w:rPr>
                <w:rFonts w:hint="eastAsia"/>
                <w:szCs w:val="21"/>
                <w:lang w:val="en-US" w:eastAsia="zh-CN"/>
              </w:rPr>
              <w:t>10</w:t>
            </w:r>
            <w:r>
              <w:rPr>
                <w:rFonts w:hint="eastAsia"/>
                <w:szCs w:val="21"/>
              </w:rPr>
              <w:t>套</w:t>
            </w:r>
          </w:p>
        </w:tc>
        <w:tc>
          <w:tcPr>
            <w:tcW w:w="5122" w:type="dxa"/>
            <w:vAlign w:val="center"/>
          </w:tcPr>
          <w:p>
            <w:pPr>
              <w:spacing w:line="360" w:lineRule="auto"/>
              <w:rPr>
                <w:szCs w:val="21"/>
              </w:rPr>
            </w:pPr>
            <w:r>
              <w:rPr>
                <w:rFonts w:hint="eastAsia"/>
                <w:szCs w:val="21"/>
              </w:rPr>
              <w:t>点钞专用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1778" w:type="dxa"/>
            <w:vAlign w:val="center"/>
          </w:tcPr>
          <w:p>
            <w:pPr>
              <w:spacing w:line="360" w:lineRule="auto"/>
              <w:rPr>
                <w:szCs w:val="21"/>
              </w:rPr>
            </w:pPr>
            <w:r>
              <w:rPr>
                <w:rFonts w:hint="eastAsia"/>
                <w:szCs w:val="21"/>
              </w:rPr>
              <w:t>竞赛专用百张对角传票本</w:t>
            </w:r>
          </w:p>
        </w:tc>
        <w:tc>
          <w:tcPr>
            <w:tcW w:w="992" w:type="dxa"/>
            <w:vAlign w:val="center"/>
          </w:tcPr>
          <w:p>
            <w:pPr>
              <w:spacing w:line="360" w:lineRule="auto"/>
              <w:jc w:val="center"/>
              <w:rPr>
                <w:szCs w:val="21"/>
              </w:rPr>
            </w:pPr>
            <w:r>
              <w:rPr>
                <w:rFonts w:hint="eastAsia"/>
                <w:szCs w:val="21"/>
                <w:lang w:val="en-US" w:eastAsia="zh-CN"/>
              </w:rPr>
              <w:t>10</w:t>
            </w:r>
            <w:r>
              <w:rPr>
                <w:rFonts w:hint="eastAsia"/>
                <w:szCs w:val="21"/>
              </w:rPr>
              <w:t>套</w:t>
            </w:r>
          </w:p>
        </w:tc>
        <w:tc>
          <w:tcPr>
            <w:tcW w:w="5122" w:type="dxa"/>
            <w:vAlign w:val="center"/>
          </w:tcPr>
          <w:p>
            <w:pPr>
              <w:spacing w:line="360" w:lineRule="auto"/>
              <w:rPr>
                <w:szCs w:val="21"/>
              </w:rPr>
            </w:pPr>
            <w:r>
              <w:rPr>
                <w:rFonts w:hint="eastAsia"/>
                <w:szCs w:val="21"/>
              </w:rPr>
              <w:t>根据竞赛抽取的型号配备</w:t>
            </w:r>
          </w:p>
          <w:p>
            <w:pPr>
              <w:spacing w:line="360" w:lineRule="auto"/>
              <w:rPr>
                <w:szCs w:val="21"/>
              </w:rPr>
            </w:pPr>
            <w:r>
              <w:rPr>
                <w:rFonts w:hint="eastAsia"/>
                <w:szCs w:val="21"/>
              </w:rPr>
              <w:t>（包括AB/CD/EF三种类型）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5" w:hRule="atLeast"/>
          <w:jc w:val="center"/>
        </w:trPr>
        <w:tc>
          <w:tcPr>
            <w:tcW w:w="1778" w:type="dxa"/>
            <w:vAlign w:val="center"/>
          </w:tcPr>
          <w:p>
            <w:pPr>
              <w:spacing w:line="360" w:lineRule="auto"/>
              <w:rPr>
                <w:szCs w:val="21"/>
              </w:rPr>
            </w:pPr>
            <w:r>
              <w:rPr>
                <w:szCs w:val="21"/>
              </w:rPr>
              <w:t>传票用计算器</w:t>
            </w:r>
          </w:p>
        </w:tc>
        <w:tc>
          <w:tcPr>
            <w:tcW w:w="992" w:type="dxa"/>
            <w:vAlign w:val="center"/>
          </w:tcPr>
          <w:p>
            <w:pPr>
              <w:spacing w:line="360" w:lineRule="auto"/>
              <w:jc w:val="center"/>
              <w:rPr>
                <w:szCs w:val="21"/>
              </w:rPr>
            </w:pPr>
            <w:r>
              <w:rPr>
                <w:rFonts w:hint="eastAsia"/>
                <w:szCs w:val="21"/>
                <w:lang w:val="en-US" w:eastAsia="zh-CN"/>
              </w:rPr>
              <w:t>10</w:t>
            </w:r>
            <w:r>
              <w:rPr>
                <w:rFonts w:hint="eastAsia"/>
                <w:szCs w:val="21"/>
              </w:rPr>
              <w:t>个</w:t>
            </w:r>
          </w:p>
        </w:tc>
        <w:tc>
          <w:tcPr>
            <w:tcW w:w="5122" w:type="dxa"/>
            <w:vAlign w:val="center"/>
          </w:tcPr>
          <w:p>
            <w:pPr>
              <w:spacing w:line="360" w:lineRule="auto"/>
              <w:rPr>
                <w:szCs w:val="21"/>
              </w:rPr>
            </w:pPr>
            <w:r>
              <w:rPr>
                <w:rFonts w:hint="eastAsia"/>
                <w:szCs w:val="21"/>
              </w:rPr>
              <w:t>夏普EL</w:t>
            </w:r>
            <w:r>
              <w:rPr>
                <w:szCs w:val="21"/>
              </w:rPr>
              <w:t>-</w:t>
            </w:r>
            <w:r>
              <w:rPr>
                <w:rFonts w:hint="eastAsia"/>
                <w:szCs w:val="21"/>
              </w:rPr>
              <w:t>2135</w:t>
            </w:r>
            <w:r>
              <w:rPr>
                <w:szCs w:val="21"/>
              </w:rPr>
              <w:t>计算器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5" w:hRule="atLeast"/>
          <w:jc w:val="center"/>
        </w:trPr>
        <w:tc>
          <w:tcPr>
            <w:tcW w:w="1778" w:type="dxa"/>
            <w:vAlign w:val="center"/>
          </w:tcPr>
          <w:p>
            <w:pPr>
              <w:spacing w:line="360" w:lineRule="auto"/>
              <w:rPr>
                <w:szCs w:val="21"/>
              </w:rPr>
            </w:pPr>
            <w:r>
              <w:rPr>
                <w:rFonts w:hint="eastAsia"/>
                <w:szCs w:val="21"/>
              </w:rPr>
              <w:t>私人印章</w:t>
            </w:r>
          </w:p>
        </w:tc>
        <w:tc>
          <w:tcPr>
            <w:tcW w:w="992" w:type="dxa"/>
            <w:vAlign w:val="center"/>
          </w:tcPr>
          <w:p>
            <w:pPr>
              <w:spacing w:line="360" w:lineRule="auto"/>
              <w:jc w:val="center"/>
              <w:rPr>
                <w:szCs w:val="21"/>
              </w:rPr>
            </w:pPr>
            <w:r>
              <w:rPr>
                <w:rFonts w:hint="eastAsia"/>
                <w:szCs w:val="21"/>
                <w:lang w:val="en-US" w:eastAsia="zh-CN"/>
              </w:rPr>
              <w:t>10</w:t>
            </w:r>
            <w:r>
              <w:rPr>
                <w:rFonts w:hint="eastAsia"/>
                <w:szCs w:val="21"/>
              </w:rPr>
              <w:t>个</w:t>
            </w:r>
          </w:p>
        </w:tc>
        <w:tc>
          <w:tcPr>
            <w:tcW w:w="5122" w:type="dxa"/>
            <w:vAlign w:val="center"/>
          </w:tcPr>
          <w:p>
            <w:pPr>
              <w:spacing w:line="360" w:lineRule="auto"/>
              <w:rPr>
                <w:szCs w:val="21"/>
              </w:rPr>
            </w:pPr>
            <w:r>
              <w:rPr>
                <w:rFonts w:hint="eastAsia"/>
                <w:szCs w:val="21"/>
              </w:rPr>
              <w:t>塑料弹簧章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5" w:hRule="atLeast"/>
          <w:jc w:val="center"/>
        </w:trPr>
        <w:tc>
          <w:tcPr>
            <w:tcW w:w="1778" w:type="dxa"/>
            <w:vAlign w:val="center"/>
          </w:tcPr>
          <w:p>
            <w:pPr>
              <w:spacing w:line="360" w:lineRule="auto"/>
              <w:rPr>
                <w:szCs w:val="21"/>
              </w:rPr>
            </w:pPr>
            <w:r>
              <w:rPr>
                <w:rFonts w:hint="eastAsia"/>
                <w:szCs w:val="21"/>
              </w:rPr>
              <w:t>收纳筐</w:t>
            </w:r>
          </w:p>
        </w:tc>
        <w:tc>
          <w:tcPr>
            <w:tcW w:w="992" w:type="dxa"/>
            <w:vAlign w:val="center"/>
          </w:tcPr>
          <w:p>
            <w:pPr>
              <w:spacing w:line="360" w:lineRule="auto"/>
              <w:jc w:val="center"/>
              <w:rPr>
                <w:szCs w:val="21"/>
              </w:rPr>
            </w:pPr>
            <w:r>
              <w:rPr>
                <w:rFonts w:hint="eastAsia"/>
                <w:szCs w:val="21"/>
                <w:lang w:val="en-US" w:eastAsia="zh-CN"/>
              </w:rPr>
              <w:t>10</w:t>
            </w:r>
            <w:r>
              <w:rPr>
                <w:rFonts w:hint="eastAsia"/>
                <w:szCs w:val="21"/>
              </w:rPr>
              <w:t>个</w:t>
            </w:r>
          </w:p>
        </w:tc>
        <w:tc>
          <w:tcPr>
            <w:tcW w:w="5122" w:type="dxa"/>
            <w:vAlign w:val="center"/>
          </w:tcPr>
          <w:p>
            <w:pPr>
              <w:spacing w:line="360" w:lineRule="auto"/>
              <w:rPr>
                <w:szCs w:val="21"/>
              </w:rPr>
            </w:pPr>
            <w:r>
              <w:rPr>
                <w:rFonts w:hint="eastAsia"/>
                <w:szCs w:val="21"/>
              </w:rPr>
              <w:t>塑料收纳筐</w:t>
            </w:r>
          </w:p>
        </w:tc>
      </w:tr>
    </w:tbl>
    <w:p>
      <w:pPr>
        <w:snapToGrid w:val="0"/>
        <w:spacing w:line="360" w:lineRule="auto"/>
        <w:ind w:firstLine="480" w:firstLineChars="200"/>
        <w:rPr>
          <w:rFonts w:ascii="仿宋" w:hAnsi="仿宋" w:eastAsia="仿宋"/>
          <w:sz w:val="24"/>
        </w:rPr>
      </w:pPr>
    </w:p>
    <w:p>
      <w:pPr>
        <w:snapToGrid w:val="0"/>
        <w:spacing w:line="360" w:lineRule="auto"/>
        <w:ind w:firstLine="480" w:firstLineChars="200"/>
        <w:rPr>
          <w:rFonts w:ascii="仿宋" w:hAnsi="仿宋" w:eastAsia="仿宋"/>
          <w:sz w:val="24"/>
        </w:rPr>
      </w:pPr>
      <w:r>
        <w:rPr>
          <w:rFonts w:ascii="仿宋" w:hAnsi="仿宋" w:eastAsia="仿宋"/>
          <w:sz w:val="24"/>
        </w:rPr>
        <w:t>注：手工点钞用具及印章、传票</w:t>
      </w:r>
      <w:r>
        <w:rPr>
          <w:rFonts w:hint="eastAsia" w:ascii="仿宋" w:hAnsi="仿宋" w:eastAsia="仿宋"/>
          <w:sz w:val="24"/>
        </w:rPr>
        <w:t>、</w:t>
      </w:r>
      <w:r>
        <w:rPr>
          <w:rFonts w:ascii="仿宋" w:hAnsi="仿宋" w:eastAsia="仿宋"/>
          <w:sz w:val="24"/>
        </w:rPr>
        <w:t>传票用</w:t>
      </w:r>
      <w:r>
        <w:rPr>
          <w:rFonts w:hint="eastAsia" w:ascii="仿宋" w:hAnsi="仿宋" w:eastAsia="仿宋"/>
          <w:sz w:val="24"/>
        </w:rPr>
        <w:t>夏普EL</w:t>
      </w:r>
      <w:r>
        <w:rPr>
          <w:rFonts w:ascii="仿宋" w:hAnsi="仿宋" w:eastAsia="仿宋"/>
          <w:sz w:val="24"/>
        </w:rPr>
        <w:t>-</w:t>
      </w:r>
      <w:r>
        <w:rPr>
          <w:rFonts w:hint="eastAsia" w:ascii="仿宋" w:hAnsi="仿宋" w:eastAsia="仿宋"/>
          <w:sz w:val="24"/>
        </w:rPr>
        <w:t>2135</w:t>
      </w:r>
      <w:r>
        <w:rPr>
          <w:rFonts w:ascii="仿宋" w:hAnsi="仿宋" w:eastAsia="仿宋"/>
          <w:sz w:val="24"/>
        </w:rPr>
        <w:t>计算器由承办校统一提供。</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3" w:firstLineChars="200"/>
        <w:jc w:val="both"/>
        <w:textAlignment w:val="auto"/>
        <w:outlineLvl w:val="9"/>
        <w:rPr>
          <w:rFonts w:hint="eastAsia" w:ascii="仿宋" w:hAnsi="仿宋" w:eastAsia="仿宋" w:cs="仿宋"/>
          <w:b/>
          <w:sz w:val="32"/>
          <w:szCs w:val="32"/>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3" w:firstLineChars="200"/>
        <w:jc w:val="both"/>
        <w:textAlignment w:val="auto"/>
        <w:outlineLvl w:val="9"/>
        <w:rPr>
          <w:rFonts w:hint="eastAsia" w:ascii="仿宋" w:hAnsi="仿宋" w:eastAsia="仿宋" w:cs="仿宋"/>
          <w:b/>
          <w:sz w:val="32"/>
          <w:szCs w:val="32"/>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3" w:firstLineChars="200"/>
        <w:jc w:val="both"/>
        <w:textAlignment w:val="auto"/>
        <w:outlineLvl w:val="9"/>
        <w:rPr>
          <w:rFonts w:hint="eastAsia" w:ascii="仿宋" w:hAnsi="仿宋" w:eastAsia="仿宋" w:cs="仿宋"/>
          <w:sz w:val="32"/>
          <w:szCs w:val="32"/>
        </w:rPr>
      </w:pPr>
      <w:r>
        <w:rPr>
          <w:rFonts w:hint="eastAsia" w:ascii="仿宋" w:hAnsi="仿宋" w:eastAsia="仿宋" w:cs="仿宋"/>
          <w:b/>
          <w:sz w:val="32"/>
          <w:szCs w:val="32"/>
        </w:rPr>
        <w:t>（二）竞赛平台</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采用“</w:t>
      </w:r>
      <w:r>
        <w:rPr>
          <w:rFonts w:hint="eastAsia" w:ascii="仿宋" w:hAnsi="仿宋" w:eastAsia="仿宋" w:cs="仿宋"/>
          <w:sz w:val="32"/>
          <w:szCs w:val="32"/>
          <w:lang w:eastAsia="zh-CN"/>
        </w:rPr>
        <w:t>智盛</w:t>
      </w:r>
      <w:r>
        <w:rPr>
          <w:rFonts w:hint="eastAsia" w:ascii="仿宋" w:hAnsi="仿宋" w:eastAsia="仿宋" w:cs="仿宋"/>
          <w:sz w:val="32"/>
          <w:szCs w:val="32"/>
        </w:rPr>
        <w:t>银行业务综合技能竞赛平台软件V2.0”进行技能竞赛，包括“银行从业知识”竞赛、“银行基本技能”竞赛、“银行业务能力”竞赛、赛题模块、评分模块、成绩汇总打印模块等。其中“银行基本技能”竞赛模块分为“传票算”竞赛、“字符录入”竞赛、“手工点钞”竞赛、“货币防伪与鉴别”竞赛，“银行业务能力”竞赛分为“银行综合业务”、“金融营销技能”、“票据业务处理”等。</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（三）其他设备</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赛场配置服务器及网络设备为赛项提供网络平台技术支持。</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30" w:firstLineChars="196"/>
        <w:jc w:val="both"/>
        <w:textAlignment w:val="auto"/>
        <w:outlineLvl w:val="9"/>
        <w:rPr>
          <w:rFonts w:hint="eastAsia" w:ascii="仿宋" w:hAnsi="仿宋" w:eastAsia="仿宋" w:cs="仿宋"/>
          <w:sz w:val="32"/>
          <w:szCs w:val="32"/>
        </w:rPr>
      </w:pPr>
      <w:r>
        <w:rPr>
          <w:rFonts w:hint="eastAsia" w:ascii="仿宋" w:hAnsi="仿宋" w:eastAsia="仿宋" w:cs="仿宋"/>
          <w:b/>
          <w:sz w:val="32"/>
          <w:szCs w:val="32"/>
        </w:rPr>
        <w:t>十、成绩评定</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1.“银行从业知识”竞赛成绩评定由“银行业务综合技能竞赛平台软件V2.0”自动评分。</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2.“银行基本技能”竞赛成绩评定由“银行业务综合技能竞赛平台软件V2.0”自动评分与裁判人工评分两部分组成。</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3.“银行业务能力”竞赛成绩评定由“银行业务综合技能竞赛平台软件V2.0”自动评分。</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4..团体总成绩由1、2、3项目竞赛得分相加构成。（团体总分=各团队三个比赛内容总成绩之和，四舍五入保留两位小数。若团体总分相同，则查看权重高的比赛内容的得分情况，以高分者排名在前）。</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30" w:firstLineChars="196"/>
        <w:jc w:val="both"/>
        <w:textAlignment w:val="auto"/>
        <w:outlineLvl w:val="9"/>
        <w:rPr>
          <w:rFonts w:hint="eastAsia" w:ascii="仿宋" w:hAnsi="仿宋" w:eastAsia="仿宋" w:cs="仿宋"/>
          <w:b/>
          <w:sz w:val="32"/>
          <w:szCs w:val="32"/>
        </w:rPr>
      </w:pP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30" w:firstLineChars="196"/>
        <w:jc w:val="both"/>
        <w:textAlignment w:val="auto"/>
        <w:outlineLvl w:val="9"/>
        <w:rPr>
          <w:rFonts w:hint="eastAsia" w:ascii="仿宋" w:hAnsi="仿宋" w:eastAsia="仿宋" w:cs="仿宋"/>
          <w:b/>
          <w:sz w:val="32"/>
          <w:szCs w:val="32"/>
        </w:rPr>
      </w:pPr>
      <w:r>
        <w:rPr>
          <w:rFonts w:hint="eastAsia" w:ascii="仿宋" w:hAnsi="仿宋" w:eastAsia="仿宋" w:cs="仿宋"/>
          <w:b/>
          <w:sz w:val="32"/>
          <w:szCs w:val="32"/>
        </w:rPr>
        <w:t>十一、奖项设置</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（一）本赛项设参赛团体奖</w:t>
      </w:r>
      <w:r>
        <w:rPr>
          <w:rFonts w:hint="eastAsia" w:ascii="仿宋" w:hAnsi="仿宋" w:eastAsia="仿宋" w:cs="仿宋"/>
          <w:sz w:val="32"/>
          <w:szCs w:val="32"/>
          <w:lang w:eastAsia="zh-CN"/>
        </w:rPr>
        <w:t>和单项奖</w:t>
      </w:r>
      <w:r>
        <w:rPr>
          <w:rFonts w:hint="eastAsia" w:ascii="仿宋" w:hAnsi="仿宋" w:eastAsia="仿宋" w:cs="仿宋"/>
          <w:sz w:val="32"/>
          <w:szCs w:val="32"/>
        </w:rPr>
        <w:t>。</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（二）按团体设一、二、三等奖，其中一等奖为参赛队总数的 10%，二等奖为参赛队总数的 20%，三等奖为参赛队总数的 30%（小数点后四舍五入）。</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（三）获得团体一等奖的参赛队指导老师获得“优秀指导老师奖”。</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30" w:firstLineChars="196"/>
        <w:jc w:val="both"/>
        <w:textAlignment w:val="auto"/>
        <w:outlineLvl w:val="9"/>
        <w:rPr>
          <w:rFonts w:hint="eastAsia" w:ascii="仿宋" w:hAnsi="仿宋" w:eastAsia="仿宋" w:cs="仿宋"/>
          <w:sz w:val="32"/>
          <w:szCs w:val="32"/>
        </w:rPr>
      </w:pPr>
      <w:r>
        <w:rPr>
          <w:rFonts w:hint="eastAsia" w:ascii="仿宋" w:hAnsi="仿宋" w:eastAsia="仿宋" w:cs="仿宋"/>
          <w:b/>
          <w:sz w:val="32"/>
          <w:szCs w:val="32"/>
        </w:rPr>
        <w:t>十二、申诉与仲裁</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eastAsia="zh-CN"/>
        </w:rPr>
        <w:t>海南</w:t>
      </w:r>
      <w:r>
        <w:rPr>
          <w:rFonts w:hint="eastAsia" w:ascii="仿宋" w:hAnsi="仿宋" w:eastAsia="仿宋" w:cs="仿宋"/>
          <w:sz w:val="32"/>
          <w:szCs w:val="32"/>
        </w:rPr>
        <w:t>省职业院校技能大赛设仲裁工作委员会，赛点设仲裁工作组,组长由大赛组委会办公室指派，组员为赛项裁判长和赛点执委会主任。</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2.参赛队对赛事过程、工作人员工作若有疑异,在事实清楚,证据充分的前提下可由参赛队领队以书面形式向赛点仲裁组提出申诉。报告应对申诉事件的现象、发生时间、涉及人员、申诉依据等进行充分、实事求是的叙述。非书面申诉不予受理。</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3.提出申诉应在赛项比赛结束后1小时内向赛点仲裁组提出。超过时效不予受理。提出申诉后申诉人及相关涉及人员不得离开赛点，否则视为自行放弃申诉。</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　　4.赛点仲裁工作组在接到申诉报告后的２小时内组织复议，并及时将复议结果以书面形式告知申诉方。</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　　5.对赛点仲裁组复议结果不服的，可由代表队所在院校校级领导向大赛仲裁委员会提出申诉。大赛仲裁委员会的仲裁结果为最终结果。</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　　6.申诉方不得以任何理由拒绝接收仲裁结果；不得以任何理由采取过激行为扰乱赛场秩序；仲裁结果由申诉人签收，不能代收；如在约定时间和地点申诉人离开，视为撤诉。</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　　7.申诉方可随时提出放弃申诉。</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jc w:val="both"/>
        <w:textAlignment w:val="auto"/>
        <w:outlineLvl w:val="9"/>
        <w:rPr>
          <w:rFonts w:hint="eastAsia" w:ascii="仿宋" w:hAnsi="仿宋" w:eastAsia="仿宋" w:cs="仿宋"/>
          <w:b/>
          <w:sz w:val="32"/>
          <w:szCs w:val="32"/>
        </w:rPr>
      </w:pPr>
      <w:r>
        <w:rPr>
          <w:rFonts w:hint="eastAsia" w:ascii="仿宋" w:hAnsi="仿宋" w:eastAsia="仿宋" w:cs="仿宋"/>
          <w:sz w:val="32"/>
          <w:szCs w:val="32"/>
        </w:rPr>
        <w:t>　　</w:t>
      </w:r>
      <w:r>
        <w:rPr>
          <w:rFonts w:hint="eastAsia" w:ascii="仿宋" w:hAnsi="仿宋" w:eastAsia="仿宋" w:cs="仿宋"/>
          <w:b/>
          <w:sz w:val="32"/>
          <w:szCs w:val="32"/>
        </w:rPr>
        <w:t>十三、竞赛观摩</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27" w:firstLineChars="196"/>
        <w:jc w:val="both"/>
        <w:textAlignment w:val="auto"/>
        <w:outlineLvl w:val="9"/>
        <w:rPr>
          <w:rFonts w:hint="eastAsia" w:ascii="仿宋" w:hAnsi="仿宋" w:eastAsia="仿宋" w:cs="仿宋"/>
          <w:b/>
          <w:sz w:val="32"/>
          <w:szCs w:val="32"/>
        </w:rPr>
      </w:pPr>
      <w:r>
        <w:rPr>
          <w:rFonts w:hint="eastAsia" w:ascii="仿宋" w:hAnsi="仿宋" w:eastAsia="仿宋" w:cs="仿宋"/>
          <w:sz w:val="32"/>
          <w:szCs w:val="32"/>
        </w:rPr>
        <w:t>本赛项观摩对象为：参赛队领队、指导教师及随队工作人员、媒体工作人员、企业人员等。观摩人员必须到指定的观摩室进行观摩，并遵守现场秩序和现场工作人员的统一安排。</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555"/>
        <w:jc w:val="both"/>
        <w:textAlignment w:val="auto"/>
        <w:outlineLvl w:val="9"/>
        <w:rPr>
          <w:rFonts w:hint="eastAsia" w:ascii="仿宋" w:hAnsi="仿宋" w:eastAsia="仿宋" w:cs="仿宋"/>
          <w:b/>
          <w:sz w:val="32"/>
          <w:szCs w:val="32"/>
        </w:rPr>
      </w:pPr>
      <w:r>
        <w:rPr>
          <w:rFonts w:hint="eastAsia" w:ascii="仿宋" w:hAnsi="仿宋" w:eastAsia="仿宋" w:cs="仿宋"/>
          <w:b/>
          <w:sz w:val="32"/>
          <w:szCs w:val="32"/>
        </w:rPr>
        <w:t>十四、资源转化</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555"/>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（一）竞赛方式转化为专业实践教学体系</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555"/>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本赛项采用“手工与银行柜面业务信息化”、“个人和团体”相结合的方式，竞赛方式的安排对应相关职业岗位或岗位群，体现专业核心能力与核心知识，涵盖丰富的专业知识与专业技能点。因此，赛项的组织方式可以转化为金融专业人才培养实践教学框架方案。</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555"/>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（二）竞赛任务转化为教学内容</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赛项所形成的“银行从业知识”赛题和“银行业务能力”赛题是根据高职金融人才培养目标，将竞赛赛题及竞赛规程、相关银行业务技能训练方法编入“商业银行综合业务”教材，实现竞赛任务到教学内容的转化。</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（三）竞赛资料转化为教学资源</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本次竞赛以银行实际业务方式进行数据采集和分析，形成了一套较为规范完整和真实的业务数据，这对于金融专业实践教学具有较好的引领作用，实现竞赛资料转化为教学资源。</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（四）竞赛软件转化为教学软件</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将竞赛样题和竞赛平台有机结合，形成银行实训教学软件，实现竞赛软件到教学软件的转化。</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30" w:firstLineChars="196"/>
        <w:jc w:val="both"/>
        <w:textAlignment w:val="auto"/>
        <w:outlineLvl w:val="9"/>
        <w:rPr>
          <w:rFonts w:hint="eastAsia" w:ascii="仿宋" w:hAnsi="仿宋" w:eastAsia="仿宋" w:cs="仿宋"/>
          <w:b/>
          <w:sz w:val="32"/>
          <w:szCs w:val="32"/>
        </w:rPr>
      </w:pPr>
      <w:r>
        <w:rPr>
          <w:rFonts w:hint="eastAsia" w:ascii="仿宋" w:hAnsi="仿宋" w:eastAsia="仿宋" w:cs="仿宋"/>
          <w:b/>
          <w:sz w:val="32"/>
          <w:szCs w:val="32"/>
        </w:rPr>
        <w:t>十五、其他</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30" w:firstLineChars="196"/>
        <w:jc w:val="both"/>
        <w:textAlignment w:val="auto"/>
        <w:outlineLvl w:val="9"/>
        <w:rPr>
          <w:rFonts w:hint="eastAsia" w:ascii="仿宋" w:hAnsi="仿宋" w:eastAsia="仿宋" w:cs="仿宋"/>
          <w:sz w:val="32"/>
          <w:szCs w:val="32"/>
        </w:rPr>
      </w:pPr>
      <w:r>
        <w:rPr>
          <w:rFonts w:hint="eastAsia" w:ascii="仿宋" w:hAnsi="仿宋" w:eastAsia="仿宋" w:cs="仿宋"/>
          <w:b/>
          <w:sz w:val="32"/>
          <w:szCs w:val="32"/>
        </w:rPr>
        <w:t>（一）参赛队须知</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1.竞赛采用团队比赛形式。</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2.参赛队名称：统一使用学校名称(全称)。</w:t>
      </w:r>
    </w:p>
    <w:p>
      <w:pPr>
        <w:spacing w:line="600" w:lineRule="exact"/>
        <w:ind w:firstLine="645"/>
        <w:rPr>
          <w:rFonts w:hint="eastAsia" w:ascii="仿宋_GB2312" w:eastAsia="仿宋_GB2312"/>
          <w:kern w:val="0"/>
          <w:sz w:val="32"/>
          <w:szCs w:val="32"/>
        </w:rPr>
      </w:pPr>
      <w:r>
        <w:rPr>
          <w:rFonts w:hint="eastAsia" w:ascii="仿宋" w:hAnsi="仿宋" w:eastAsia="仿宋" w:cs="仿宋"/>
          <w:sz w:val="32"/>
          <w:szCs w:val="32"/>
        </w:rPr>
        <w:t>3.参赛队组成：</w:t>
      </w:r>
      <w:r>
        <w:rPr>
          <w:rFonts w:hint="eastAsia" w:ascii="仿宋_GB2312" w:eastAsia="仿宋_GB2312"/>
          <w:sz w:val="32"/>
        </w:rPr>
        <w:t>高职参赛选手须为高等学校在籍高职高专类学生。高职组参赛选手年龄须不超过25周岁（即199</w:t>
      </w:r>
      <w:r>
        <w:rPr>
          <w:rFonts w:hint="eastAsia" w:ascii="仿宋_GB2312" w:eastAsia="仿宋_GB2312"/>
          <w:sz w:val="32"/>
          <w:lang w:val="en-US" w:eastAsia="zh-CN"/>
        </w:rPr>
        <w:t>3</w:t>
      </w:r>
      <w:r>
        <w:rPr>
          <w:rFonts w:hint="eastAsia" w:ascii="仿宋_GB2312" w:eastAsia="仿宋_GB2312"/>
          <w:sz w:val="32"/>
        </w:rPr>
        <w:t>年5月1日及以后出生）。五年制高职学生报名参赛的，一至三年级（含三年级）学生参加中职组比赛，四、五年级学生参加高职组比赛。凡在往届全国职业院校技能大赛中获一等奖的学生，不再参加同一项目(同一组别)的全省大赛。</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4.每个参赛队配1-2名指导教师，</w:t>
      </w:r>
      <w:bookmarkStart w:id="3" w:name="_GoBack"/>
      <w:bookmarkEnd w:id="3"/>
      <w:r>
        <w:rPr>
          <w:rFonts w:hint="eastAsia" w:ascii="仿宋" w:hAnsi="仿宋" w:eastAsia="仿宋" w:cs="仿宋"/>
          <w:sz w:val="32"/>
          <w:szCs w:val="32"/>
        </w:rPr>
        <w:t>1名领队组成。负责本校参赛队的参赛组织和与大赛组织机构的联络。</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5.参赛队所有人员在竞赛期间未经组委会批准，不得接受任何与竞赛内容相关的采访，不得将竞赛的相关情况及资料私自公开。</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30" w:firstLineChars="196"/>
        <w:jc w:val="both"/>
        <w:textAlignment w:val="auto"/>
        <w:outlineLvl w:val="9"/>
        <w:rPr>
          <w:rFonts w:hint="eastAsia" w:ascii="仿宋" w:hAnsi="仿宋" w:eastAsia="仿宋" w:cs="仿宋"/>
          <w:sz w:val="32"/>
          <w:szCs w:val="32"/>
        </w:rPr>
      </w:pPr>
      <w:r>
        <w:rPr>
          <w:rFonts w:hint="eastAsia" w:ascii="仿宋" w:hAnsi="仿宋" w:eastAsia="仿宋" w:cs="仿宋"/>
          <w:b/>
          <w:sz w:val="32"/>
          <w:szCs w:val="32"/>
        </w:rPr>
        <w:t>（二）领队和指导教师须知</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1.各参赛代表队要发扬良好道德风尚，听从指挥，服从裁判，不弄虚作假。如发现弄虚作假者，取消参赛资格，名次无效。</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 xml:space="preserve">    2.各代表队领队要坚决执行竞赛的各项规定，加强对参赛人员的管理，做好赛前准备工作，督促选手带好证件等竞赛相关材料。</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3.竞赛过程中，除参加当场次竞赛的选手、执行裁判员、现场工作人员和经批准的人员外，领队、指导教师及其他人员一律不得进入竞赛现场。</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4.参赛代表队若对竞赛过程有异议，在1小时内由领队向赛项仲裁工作组提出书面报告。</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5.对申诉的仲裁结果，领队要带头服从和执行，并做好选手工作。参赛选手不得因申诉或对处理意见不服而停止竞赛，否则以弃权处理。</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480" w:firstLineChars="15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 xml:space="preserve"> 6.指导老师应及时查看大赛专用网页有关赛项的通知和内容，认真研究和掌握本赛项竞赛的规程、技术规范和赛场要求，指导选手做好赛前的一切技术准备和竞赛准备。</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30" w:firstLineChars="196"/>
        <w:jc w:val="both"/>
        <w:textAlignment w:val="auto"/>
        <w:outlineLvl w:val="9"/>
        <w:rPr>
          <w:rFonts w:hint="eastAsia" w:ascii="仿宋" w:hAnsi="仿宋" w:eastAsia="仿宋" w:cs="仿宋"/>
          <w:sz w:val="32"/>
          <w:szCs w:val="32"/>
        </w:rPr>
      </w:pPr>
      <w:r>
        <w:rPr>
          <w:rFonts w:hint="eastAsia" w:ascii="仿宋" w:hAnsi="仿宋" w:eastAsia="仿宋" w:cs="仿宋"/>
          <w:b/>
          <w:sz w:val="32"/>
          <w:szCs w:val="32"/>
        </w:rPr>
        <w:t>（三）参赛选手须知</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1.参赛选手须认真填写报名表内容，提供个人身份证明，弄虚作假者，将取消比赛资格和竞赛成绩。</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2.参赛选手凭统一印制的参赛证和有效身份证件参加竞赛。</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3.参赛选手应认真学习领会本次竞赛相关文件，自觉遵守大赛纪律，服从指挥，听从安排，文明参赛。</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4.参赛选手请勿携带与竞赛无关的电子设备、通讯设备及其他资料与用品。</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5.参赛选手应提前30分钟抵达赛场，凭参赛证、身份证件检录，检录后参赛选手身份证件交由领队代管，按要求入场，不得迟到早退。</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6.参赛选手应按有关要求在指定位置就坐。选手座次抽签决定。</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7.在竞赛过程中，如有疑问，参赛选手应举手示意，裁判人员应按照有关要求及时予以答疑。确因计算机软件或硬件故障，致使操作无法继续的，经裁判长确认同意后，予以启用备用计算机。</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30" w:firstLineChars="196"/>
        <w:jc w:val="both"/>
        <w:textAlignment w:val="auto"/>
        <w:outlineLvl w:val="9"/>
        <w:rPr>
          <w:rFonts w:hint="eastAsia" w:ascii="仿宋" w:hAnsi="仿宋" w:eastAsia="仿宋" w:cs="仿宋"/>
          <w:b/>
          <w:sz w:val="32"/>
          <w:szCs w:val="32"/>
        </w:rPr>
      </w:pPr>
      <w:r>
        <w:rPr>
          <w:rFonts w:hint="eastAsia" w:ascii="仿宋" w:hAnsi="仿宋" w:eastAsia="仿宋" w:cs="仿宋"/>
          <w:b/>
          <w:sz w:val="32"/>
          <w:szCs w:val="32"/>
        </w:rPr>
        <w:t>（四）工作人员须知</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1.树立服务观念，一切为选手着想，以高度负责的精神、严肃认真的态度和严谨细致的作风，在赛项执委会的领导下，按照各自职责分工和要求认真做好岗位工作。</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2.所有工作人员必须佩带证件，忠于职守，秉公办理，保守秘密。</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3.注意文明礼貌，保持良好形象，熟悉赛项指南。</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4.自觉遵守赛项纪律和规则，服从调配和分工，确保竞赛工作的顺利进行。</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5.提前30分钟到达赛场，严守工作岗位，不迟到，不早退，不无故离岗，特殊情况需向工作组组长请假。</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6.熟悉竞赛规程，严格按照工作程序和有关规定办事，遇突发事件，按照应急预案，组织指挥人员疏散，确保人员安全。</w:t>
      </w:r>
    </w:p>
    <w:p>
      <w:pPr>
        <w:keepNext w:val="0"/>
        <w:keepLines w:val="0"/>
        <w:pageBreakBefore w:val="0"/>
        <w:widowControl w:val="0"/>
        <w:kinsoku/>
        <w:wordWrap/>
        <w:overflowPunct/>
        <w:topLinePunct w:val="0"/>
        <w:autoSpaceDE/>
        <w:autoSpaceDN/>
        <w:bidi w:val="0"/>
        <w:adjustRightInd/>
        <w:spacing w:line="600" w:lineRule="exact"/>
        <w:ind w:left="0" w:leftChars="0" w:right="0" w:rightChars="0" w:firstLine="640" w:firstLineChars="200"/>
        <w:jc w:val="both"/>
        <w:textAlignment w:val="auto"/>
        <w:outlineLvl w:val="9"/>
        <w:rPr>
          <w:rFonts w:hint="eastAsia" w:ascii="仿宋" w:hAnsi="仿宋" w:eastAsia="仿宋" w:cs="仿宋"/>
          <w:b/>
          <w:sz w:val="32"/>
          <w:szCs w:val="32"/>
        </w:rPr>
      </w:pPr>
      <w:r>
        <w:rPr>
          <w:rFonts w:hint="eastAsia" w:ascii="仿宋" w:hAnsi="仿宋" w:eastAsia="仿宋" w:cs="仿宋"/>
          <w:sz w:val="32"/>
          <w:szCs w:val="32"/>
        </w:rPr>
        <w:t>7.保持通信畅通，服从统一领导，严格遵守竞赛纪律，加强协作配合，提高工作效率。</w:t>
      </w:r>
    </w:p>
    <w:p>
      <w:pPr>
        <w:keepNext w:val="0"/>
        <w:keepLines w:val="0"/>
        <w:pageBreakBefore w:val="0"/>
        <w:widowControl/>
        <w:kinsoku/>
        <w:wordWrap/>
        <w:overflowPunct/>
        <w:topLinePunct w:val="0"/>
        <w:autoSpaceDE/>
        <w:autoSpaceDN/>
        <w:bidi w:val="0"/>
        <w:adjustRightInd/>
        <w:snapToGrid/>
        <w:spacing w:line="600" w:lineRule="exact"/>
        <w:ind w:right="0" w:rightChars="0" w:firstLine="643" w:firstLineChars="200"/>
        <w:jc w:val="left"/>
        <w:textAlignment w:val="auto"/>
        <w:outlineLvl w:val="9"/>
        <w:rPr>
          <w:rFonts w:hint="eastAsia" w:ascii="仿宋" w:hAnsi="仿宋" w:eastAsia="仿宋" w:cs="仿宋"/>
          <w:b/>
          <w:sz w:val="32"/>
          <w:szCs w:val="32"/>
        </w:rPr>
      </w:pPr>
      <w:r>
        <w:rPr>
          <w:rFonts w:hint="eastAsia" w:ascii="仿宋" w:hAnsi="仿宋" w:eastAsia="仿宋" w:cs="仿宋"/>
          <w:b/>
          <w:sz w:val="32"/>
          <w:szCs w:val="32"/>
        </w:rPr>
        <w:t>十</w:t>
      </w:r>
      <w:r>
        <w:rPr>
          <w:rFonts w:hint="eastAsia" w:ascii="仿宋" w:hAnsi="仿宋" w:eastAsia="仿宋" w:cs="仿宋"/>
          <w:b/>
          <w:sz w:val="32"/>
          <w:szCs w:val="32"/>
          <w:lang w:eastAsia="zh-CN"/>
        </w:rPr>
        <w:t>六</w:t>
      </w:r>
      <w:r>
        <w:rPr>
          <w:rFonts w:hint="eastAsia" w:ascii="仿宋" w:hAnsi="仿宋" w:eastAsia="仿宋" w:cs="仿宋"/>
          <w:b/>
          <w:sz w:val="32"/>
          <w:szCs w:val="32"/>
        </w:rPr>
        <w:t>、</w:t>
      </w:r>
      <w:r>
        <w:rPr>
          <w:rFonts w:hint="eastAsia" w:ascii="仿宋" w:hAnsi="仿宋" w:eastAsia="仿宋" w:cs="仿宋"/>
          <w:b/>
          <w:sz w:val="32"/>
          <w:szCs w:val="32"/>
          <w:lang w:eastAsia="zh-CN"/>
        </w:rPr>
        <w:t>赛区组委会及执行小组</w:t>
      </w:r>
    </w:p>
    <w:p>
      <w:pPr>
        <w:keepNext w:val="0"/>
        <w:keepLines w:val="0"/>
        <w:pageBreakBefore w:val="0"/>
        <w:numPr>
          <w:ilvl w:val="0"/>
          <w:numId w:val="1"/>
        </w:numPr>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海南经贸职业技术学院赛区组委会办公室设在教务处（行政楼2楼</w:t>
      </w:r>
      <w:r>
        <w:rPr>
          <w:rFonts w:hint="eastAsia" w:ascii="仿宋" w:hAnsi="仿宋" w:eastAsia="仿宋" w:cs="仿宋"/>
          <w:sz w:val="32"/>
          <w:szCs w:val="32"/>
          <w:lang w:val="en-US" w:eastAsia="zh-CN"/>
        </w:rPr>
        <w:t>212室</w:t>
      </w:r>
      <w:r>
        <w:rPr>
          <w:rFonts w:hint="eastAsia" w:ascii="仿宋" w:hAnsi="仿宋" w:eastAsia="仿宋" w:cs="仿宋"/>
          <w:sz w:val="32"/>
          <w:szCs w:val="32"/>
        </w:rPr>
        <w:t>）</w:t>
      </w:r>
    </w:p>
    <w:p>
      <w:pPr>
        <w:keepNext w:val="0"/>
        <w:keepLines w:val="0"/>
        <w:pageBreakBefore w:val="0"/>
        <w:numPr>
          <w:ilvl w:val="0"/>
          <w:numId w:val="0"/>
        </w:numPr>
        <w:kinsoku/>
        <w:wordWrap/>
        <w:overflowPunct/>
        <w:topLinePunct w:val="0"/>
        <w:autoSpaceDE/>
        <w:autoSpaceDN/>
        <w:bidi w:val="0"/>
        <w:adjustRightInd/>
        <w:snapToGrid/>
        <w:spacing w:line="600" w:lineRule="exact"/>
        <w:ind w:leftChars="200" w:right="0" w:rightChars="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rPr>
        <w:t>负责人：</w:t>
      </w:r>
      <w:r>
        <w:rPr>
          <w:rFonts w:hint="eastAsia" w:ascii="仿宋" w:hAnsi="仿宋" w:eastAsia="仿宋" w:cs="仿宋"/>
          <w:sz w:val="32"/>
          <w:szCs w:val="32"/>
          <w:lang w:eastAsia="zh-CN"/>
        </w:rPr>
        <w:t>马</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红</w:t>
      </w:r>
      <w:r>
        <w:rPr>
          <w:rFonts w:hint="eastAsia" w:ascii="仿宋" w:hAnsi="仿宋" w:eastAsia="仿宋" w:cs="仿宋"/>
          <w:sz w:val="32"/>
          <w:szCs w:val="32"/>
        </w:rPr>
        <w:t xml:space="preserve">   手机：</w:t>
      </w:r>
      <w:r>
        <w:rPr>
          <w:rFonts w:hint="eastAsia" w:ascii="仿宋" w:hAnsi="仿宋" w:eastAsia="仿宋" w:cs="仿宋"/>
          <w:sz w:val="32"/>
          <w:szCs w:val="32"/>
          <w:lang w:val="en-US" w:eastAsia="zh-CN"/>
        </w:rPr>
        <w:t>15289875260</w:t>
      </w:r>
      <w:r>
        <w:rPr>
          <w:rFonts w:hint="eastAsia" w:ascii="仿宋" w:hAnsi="仿宋" w:eastAsia="仿宋" w:cs="仿宋"/>
          <w:sz w:val="32"/>
          <w:szCs w:val="32"/>
        </w:rPr>
        <w:t xml:space="preserve">   电话：</w:t>
      </w:r>
      <w:r>
        <w:rPr>
          <w:rFonts w:hint="eastAsia" w:ascii="仿宋" w:hAnsi="仿宋" w:eastAsia="仿宋" w:cs="仿宋"/>
          <w:sz w:val="32"/>
          <w:szCs w:val="32"/>
          <w:lang w:val="en-US" w:eastAsia="zh-CN"/>
        </w:rPr>
        <w:t>65733038</w:t>
      </w:r>
    </w:p>
    <w:p>
      <w:pPr>
        <w:keepNext w:val="0"/>
        <w:keepLines w:val="0"/>
        <w:pageBreakBefore w:val="0"/>
        <w:numPr>
          <w:ilvl w:val="0"/>
          <w:numId w:val="0"/>
        </w:numPr>
        <w:kinsoku/>
        <w:wordWrap/>
        <w:overflowPunct/>
        <w:topLinePunct w:val="0"/>
        <w:autoSpaceDE/>
        <w:autoSpaceDN/>
        <w:bidi w:val="0"/>
        <w:adjustRightInd/>
        <w:snapToGrid/>
        <w:spacing w:line="600" w:lineRule="exact"/>
        <w:ind w:leftChars="200" w:right="0" w:rightChars="0"/>
        <w:textAlignment w:val="auto"/>
        <w:outlineLvl w:val="9"/>
        <w:rPr>
          <w:rFonts w:hint="eastAsia" w:ascii="仿宋" w:hAnsi="仿宋" w:eastAsia="仿宋" w:cs="仿宋"/>
          <w:sz w:val="32"/>
          <w:szCs w:val="32"/>
          <w:lang w:val="en-US"/>
        </w:rPr>
      </w:pPr>
      <w:r>
        <w:rPr>
          <w:rFonts w:hint="eastAsia" w:ascii="仿宋" w:hAnsi="仿宋" w:eastAsia="仿宋" w:cs="仿宋"/>
          <w:sz w:val="32"/>
          <w:szCs w:val="32"/>
        </w:rPr>
        <w:t>联系人：李  恬   手机：15091979797   电话：</w:t>
      </w:r>
      <w:r>
        <w:rPr>
          <w:rFonts w:hint="eastAsia" w:ascii="仿宋" w:hAnsi="仿宋" w:eastAsia="仿宋" w:cs="仿宋"/>
          <w:sz w:val="32"/>
          <w:szCs w:val="32"/>
          <w:lang w:val="en-US" w:eastAsia="zh-CN"/>
        </w:rPr>
        <w:t>65912230</w:t>
      </w:r>
    </w:p>
    <w:p>
      <w:pPr>
        <w:keepNext w:val="0"/>
        <w:keepLines w:val="0"/>
        <w:pageBreakBefore w:val="0"/>
        <w:numPr>
          <w:ilvl w:val="0"/>
          <w:numId w:val="2"/>
        </w:numPr>
        <w:kinsoku/>
        <w:wordWrap/>
        <w:overflowPunct/>
        <w:topLinePunct w:val="0"/>
        <w:autoSpaceDE/>
        <w:autoSpaceDN/>
        <w:bidi w:val="0"/>
        <w:adjustRightInd/>
        <w:spacing w:line="600" w:lineRule="exact"/>
        <w:ind w:left="0" w:leftChars="0" w:right="0" w:righ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赛项执行小组办公室设在旅游管理学院（第二教学楼二楼）</w:t>
      </w:r>
    </w:p>
    <w:p>
      <w:pPr>
        <w:keepNext w:val="0"/>
        <w:keepLines w:val="0"/>
        <w:pageBreakBefore w:val="0"/>
        <w:numPr>
          <w:ilvl w:val="0"/>
          <w:numId w:val="0"/>
        </w:numPr>
        <w:kinsoku/>
        <w:wordWrap/>
        <w:overflowPunct/>
        <w:topLinePunct w:val="0"/>
        <w:autoSpaceDE/>
        <w:autoSpaceDN/>
        <w:bidi w:val="0"/>
        <w:adjustRightInd/>
        <w:spacing w:line="600" w:lineRule="exact"/>
        <w:ind w:leftChars="200" w:right="0" w:rightChars="0"/>
        <w:textAlignment w:val="auto"/>
        <w:rPr>
          <w:rFonts w:hint="eastAsia" w:ascii="仿宋" w:hAnsi="仿宋" w:eastAsia="仿宋" w:cs="仿宋"/>
          <w:sz w:val="32"/>
          <w:szCs w:val="32"/>
        </w:rPr>
      </w:pPr>
      <w:r>
        <w:rPr>
          <w:rFonts w:hint="eastAsia" w:ascii="仿宋" w:hAnsi="仿宋" w:eastAsia="仿宋" w:cs="仿宋"/>
          <w:sz w:val="32"/>
          <w:szCs w:val="32"/>
        </w:rPr>
        <w:t>负责人：何忠谱   手机：13322017166   电话：65915383</w:t>
      </w:r>
    </w:p>
    <w:p>
      <w:pPr>
        <w:keepNext w:val="0"/>
        <w:keepLines w:val="0"/>
        <w:pageBreakBefore w:val="0"/>
        <w:widowControl/>
        <w:kinsoku/>
        <w:wordWrap/>
        <w:overflowPunct/>
        <w:topLinePunct w:val="0"/>
        <w:autoSpaceDE/>
        <w:autoSpaceDN/>
        <w:bidi w:val="0"/>
        <w:adjustRightInd/>
        <w:spacing w:line="600" w:lineRule="exact"/>
        <w:ind w:right="0" w:rightChars="0" w:firstLine="320" w:firstLineChars="100"/>
        <w:jc w:val="left"/>
        <w:textAlignment w:val="auto"/>
        <w:rPr>
          <w:rFonts w:hint="eastAsia" w:ascii="仿宋" w:hAnsi="仿宋" w:eastAsia="仿宋" w:cs="仿宋"/>
          <w:sz w:val="32"/>
          <w:szCs w:val="32"/>
        </w:rPr>
      </w:pPr>
      <w:r>
        <w:rPr>
          <w:rFonts w:hint="eastAsia" w:ascii="仿宋" w:hAnsi="仿宋" w:eastAsia="仿宋" w:cs="仿宋"/>
          <w:sz w:val="32"/>
          <w:szCs w:val="32"/>
        </w:rPr>
        <w:t xml:space="preserve"> 联系人：林晓梅   手机：18907572138   电话：</w:t>
      </w:r>
      <w:r>
        <w:rPr>
          <w:rFonts w:hint="eastAsia" w:ascii="仿宋" w:hAnsi="仿宋" w:eastAsia="仿宋" w:cs="仿宋"/>
          <w:kern w:val="0"/>
          <w:sz w:val="32"/>
          <w:szCs w:val="32"/>
          <w:lang w:bidi="ar"/>
        </w:rPr>
        <w:t>65733485</w:t>
      </w:r>
    </w:p>
    <w:p>
      <w:pPr>
        <w:keepNext w:val="0"/>
        <w:keepLines w:val="0"/>
        <w:pageBreakBefore w:val="0"/>
        <w:widowControl w:val="0"/>
        <w:kinsoku/>
        <w:wordWrap/>
        <w:overflowPunct/>
        <w:topLinePunct w:val="0"/>
        <w:autoSpaceDE/>
        <w:autoSpaceDN/>
        <w:bidi w:val="0"/>
        <w:adjustRightInd/>
        <w:spacing w:line="600" w:lineRule="exact"/>
        <w:ind w:right="0" w:rightChars="0" w:firstLine="643" w:firstLineChars="200"/>
        <w:jc w:val="both"/>
        <w:textAlignment w:val="auto"/>
        <w:outlineLvl w:val="9"/>
        <w:rPr>
          <w:rFonts w:hint="eastAsia" w:ascii="仿宋" w:hAnsi="仿宋" w:eastAsia="仿宋" w:cs="仿宋"/>
          <w:b/>
          <w:sz w:val="32"/>
          <w:szCs w:val="32"/>
        </w:rPr>
      </w:pPr>
    </w:p>
    <w:p>
      <w:pPr>
        <w:keepNext w:val="0"/>
        <w:keepLines w:val="0"/>
        <w:pageBreakBefore w:val="0"/>
        <w:kinsoku/>
        <w:wordWrap/>
        <w:overflowPunct/>
        <w:topLinePunct w:val="0"/>
        <w:autoSpaceDE/>
        <w:autoSpaceDN/>
        <w:bidi w:val="0"/>
        <w:spacing w:line="600" w:lineRule="exact"/>
        <w:ind w:right="0" w:rightChars="0" w:firstLine="4160" w:firstLineChars="1300"/>
        <w:textAlignment w:val="auto"/>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t>海南经贸职业技术学院赛区</w:t>
      </w:r>
    </w:p>
    <w:p>
      <w:pPr>
        <w:spacing w:line="360" w:lineRule="auto"/>
        <w:jc w:val="both"/>
        <w:rPr>
          <w:b/>
          <w:sz w:val="30"/>
          <w:szCs w:val="30"/>
        </w:rPr>
      </w:pPr>
      <w:r>
        <w:rPr>
          <w:rFonts w:hint="eastAsia" w:ascii="仿宋" w:hAnsi="仿宋" w:eastAsia="仿宋" w:cs="仿宋"/>
          <w:color w:val="000000" w:themeColor="text1"/>
          <w:sz w:val="32"/>
          <w:szCs w:val="32"/>
        </w:rPr>
        <w:t xml:space="preserve">                                  201</w:t>
      </w:r>
      <w:r>
        <w:rPr>
          <w:rFonts w:hint="eastAsia" w:ascii="仿宋" w:hAnsi="仿宋" w:eastAsia="仿宋" w:cs="仿宋"/>
          <w:color w:val="000000" w:themeColor="text1"/>
          <w:sz w:val="32"/>
          <w:szCs w:val="32"/>
          <w:lang w:val="en-US" w:eastAsia="zh-CN"/>
        </w:rPr>
        <w:t>7</w:t>
      </w:r>
      <w:r>
        <w:rPr>
          <w:rFonts w:hint="eastAsia" w:ascii="仿宋" w:hAnsi="仿宋" w:eastAsia="仿宋" w:cs="仿宋"/>
          <w:color w:val="000000" w:themeColor="text1"/>
          <w:sz w:val="32"/>
          <w:szCs w:val="32"/>
        </w:rPr>
        <w:t>年12月</w:t>
      </w:r>
      <w:r>
        <w:rPr>
          <w:rFonts w:hint="eastAsia" w:ascii="仿宋" w:hAnsi="仿宋" w:eastAsia="仿宋" w:cs="仿宋"/>
          <w:color w:val="000000" w:themeColor="text1"/>
          <w:sz w:val="32"/>
          <w:szCs w:val="32"/>
          <w:lang w:val="en-US" w:eastAsia="zh-CN"/>
        </w:rPr>
        <w:t>15</w:t>
      </w:r>
      <w:r>
        <w:rPr>
          <w:rFonts w:hint="eastAsia" w:ascii="仿宋" w:hAnsi="仿宋" w:eastAsia="仿宋" w:cs="仿宋"/>
          <w:color w:val="000000" w:themeColor="text1"/>
          <w:sz w:val="32"/>
          <w:szCs w:val="32"/>
        </w:rPr>
        <w:t xml:space="preserve">日  </w:t>
      </w:r>
    </w:p>
    <w:p>
      <w:pPr>
        <w:spacing w:line="360" w:lineRule="auto"/>
        <w:jc w:val="both"/>
        <w:rPr>
          <w:b/>
          <w:sz w:val="30"/>
          <w:szCs w:val="30"/>
        </w:rPr>
      </w:pPr>
    </w:p>
    <w:p>
      <w:pPr>
        <w:spacing w:line="360" w:lineRule="auto"/>
        <w:jc w:val="both"/>
        <w:rPr>
          <w:b/>
          <w:sz w:val="30"/>
          <w:szCs w:val="30"/>
        </w:rPr>
      </w:pPr>
    </w:p>
    <w:p>
      <w:pPr>
        <w:spacing w:line="360" w:lineRule="auto"/>
        <w:jc w:val="both"/>
        <w:rPr>
          <w:b/>
          <w:sz w:val="30"/>
          <w:szCs w:val="30"/>
        </w:rPr>
      </w:pPr>
    </w:p>
    <w:p>
      <w:pPr>
        <w:spacing w:line="360" w:lineRule="auto"/>
        <w:jc w:val="both"/>
        <w:rPr>
          <w:b/>
          <w:sz w:val="30"/>
          <w:szCs w:val="30"/>
        </w:rPr>
      </w:pPr>
    </w:p>
    <w:p>
      <w:pPr>
        <w:spacing w:line="360" w:lineRule="auto"/>
        <w:jc w:val="both"/>
        <w:rPr>
          <w:b/>
          <w:sz w:val="30"/>
          <w:szCs w:val="30"/>
        </w:rPr>
      </w:pPr>
    </w:p>
    <w:p>
      <w:pPr>
        <w:spacing w:line="360" w:lineRule="auto"/>
        <w:jc w:val="both"/>
        <w:rPr>
          <w:b/>
          <w:sz w:val="30"/>
          <w:szCs w:val="30"/>
        </w:rPr>
      </w:pPr>
    </w:p>
    <w:p>
      <w:pPr>
        <w:spacing w:line="360" w:lineRule="auto"/>
        <w:jc w:val="both"/>
        <w:rPr>
          <w:b/>
          <w:sz w:val="30"/>
          <w:szCs w:val="30"/>
        </w:rPr>
      </w:pPr>
    </w:p>
    <w:p>
      <w:pPr>
        <w:spacing w:line="360" w:lineRule="auto"/>
        <w:jc w:val="both"/>
        <w:rPr>
          <w:b/>
          <w:sz w:val="30"/>
          <w:szCs w:val="30"/>
        </w:rPr>
      </w:pPr>
    </w:p>
    <w:p>
      <w:pPr>
        <w:spacing w:line="360" w:lineRule="auto"/>
        <w:jc w:val="both"/>
        <w:rPr>
          <w:b/>
          <w:sz w:val="30"/>
          <w:szCs w:val="30"/>
        </w:rPr>
      </w:pPr>
    </w:p>
    <w:p>
      <w:pPr>
        <w:spacing w:line="360" w:lineRule="auto"/>
        <w:jc w:val="both"/>
        <w:rPr>
          <w:b/>
          <w:sz w:val="30"/>
          <w:szCs w:val="30"/>
        </w:rPr>
      </w:pPr>
    </w:p>
    <w:p>
      <w:pPr>
        <w:spacing w:line="360" w:lineRule="auto"/>
        <w:jc w:val="both"/>
        <w:rPr>
          <w:rFonts w:hint="eastAsia"/>
          <w:b/>
          <w:sz w:val="30"/>
          <w:szCs w:val="30"/>
          <w:lang w:val="en-US" w:eastAsia="zh-CN"/>
        </w:rPr>
      </w:pPr>
      <w:r>
        <w:rPr>
          <w:b/>
          <w:sz w:val="30"/>
          <w:szCs w:val="30"/>
        </w:rPr>
        <w:t>附</w:t>
      </w:r>
      <w:r>
        <w:rPr>
          <w:rFonts w:hint="eastAsia"/>
          <w:b/>
          <w:sz w:val="30"/>
          <w:szCs w:val="30"/>
          <w:lang w:eastAsia="zh-CN"/>
        </w:rPr>
        <w:t>件</w:t>
      </w:r>
      <w:r>
        <w:rPr>
          <w:b/>
          <w:sz w:val="30"/>
          <w:szCs w:val="30"/>
        </w:rPr>
        <w:t>：</w:t>
      </w:r>
      <w:r>
        <w:rPr>
          <w:rFonts w:hint="eastAsia"/>
          <w:b/>
          <w:sz w:val="30"/>
          <w:szCs w:val="30"/>
          <w:lang w:val="en-US" w:eastAsia="zh-CN"/>
        </w:rPr>
        <w:t xml:space="preserve">             </w:t>
      </w:r>
    </w:p>
    <w:p>
      <w:pPr>
        <w:spacing w:line="360" w:lineRule="auto"/>
        <w:jc w:val="center"/>
        <w:rPr>
          <w:b/>
          <w:sz w:val="30"/>
          <w:szCs w:val="30"/>
        </w:rPr>
      </w:pPr>
      <w:r>
        <w:rPr>
          <w:b/>
          <w:sz w:val="30"/>
          <w:szCs w:val="30"/>
        </w:rPr>
        <w:t>“银行业务综合技能”赛项（部分样题）</w:t>
      </w:r>
    </w:p>
    <w:p>
      <w:pPr>
        <w:spacing w:line="360" w:lineRule="auto"/>
        <w:jc w:val="center"/>
      </w:pPr>
      <w:r>
        <w:rPr>
          <w:b/>
          <w:sz w:val="30"/>
          <w:szCs w:val="30"/>
        </w:rPr>
        <w:t>竞赛试题及评分细节</w:t>
      </w:r>
    </w:p>
    <w:p>
      <w:pPr>
        <w:spacing w:line="360" w:lineRule="auto"/>
        <w:rPr>
          <w:sz w:val="24"/>
        </w:rPr>
      </w:pPr>
    </w:p>
    <w:p>
      <w:pPr>
        <w:snapToGrid w:val="0"/>
        <w:spacing w:line="360" w:lineRule="auto"/>
        <w:ind w:left="420"/>
        <w:outlineLvl w:val="0"/>
        <w:rPr>
          <w:rFonts w:ascii="Arial Narrow" w:hAnsi="Arial Narrow" w:eastAsia="仿宋_GB2312" w:cs="Arial"/>
          <w:b/>
          <w:sz w:val="24"/>
        </w:rPr>
      </w:pPr>
      <w:r>
        <w:rPr>
          <w:rFonts w:hint="eastAsia" w:ascii="Arial Narrow" w:hAnsi="Arial Narrow" w:eastAsia="仿宋_GB2312" w:cs="Arial"/>
          <w:b/>
          <w:sz w:val="24"/>
        </w:rPr>
        <w:t>（一）“银行从业知识”竞赛</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1.（单选）银监会对于小微企业信贷“三个不低于”指标包括（   ）。</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A.小微贷款增速不低于各项贷款平均增速</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B.小微企业贷款户数不低于上年同期水平</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C.小微企业贷款增量不低于上年同期水平</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D.小微企业申贷获得率不低于上年同期水平</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2.（单选）银行从业人员应树立保密观念，增强保密意识，严格遵守保密法规，自觉履行保密责任，这体现了银行从业人员的（   ）行为规范。</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 xml:space="preserve">A.自觉保密 </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 xml:space="preserve">B.交易信息公开 </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 xml:space="preserve">C.妥善处理客户要求 </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D.保护消费者信息</w:t>
      </w:r>
    </w:p>
    <w:p>
      <w:pPr>
        <w:pStyle w:val="16"/>
        <w:widowControl/>
        <w:numPr>
          <w:ilvl w:val="0"/>
          <w:numId w:val="3"/>
        </w:numPr>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（单选）以下不可以成为签约账户的是（    ）</w:t>
      </w:r>
    </w:p>
    <w:p>
      <w:pPr>
        <w:pStyle w:val="16"/>
        <w:widowControl/>
        <w:numPr>
          <w:ilvl w:val="0"/>
          <w:numId w:val="4"/>
        </w:numPr>
        <w:spacing w:line="360" w:lineRule="auto"/>
        <w:ind w:firstLine="600"/>
        <w:jc w:val="left"/>
        <w:rPr>
          <w:rFonts w:ascii="仿宋_GB2312" w:hAnsi="微软雅黑" w:eastAsia="仿宋_GB2312" w:cs="Arial"/>
          <w:sz w:val="24"/>
        </w:rPr>
      </w:pPr>
      <w:r>
        <w:rPr>
          <w:rFonts w:hint="eastAsia" w:ascii="仿宋_GB2312" w:hAnsi="微软雅黑" w:eastAsia="仿宋_GB2312" w:cs="Arial"/>
          <w:sz w:val="24"/>
        </w:rPr>
        <w:t xml:space="preserve">外币定期一本通 </w:t>
      </w:r>
    </w:p>
    <w:p>
      <w:pPr>
        <w:pStyle w:val="16"/>
        <w:widowControl/>
        <w:numPr>
          <w:ilvl w:val="0"/>
          <w:numId w:val="4"/>
        </w:numPr>
        <w:spacing w:line="360" w:lineRule="auto"/>
        <w:ind w:firstLine="600"/>
        <w:jc w:val="left"/>
        <w:rPr>
          <w:rFonts w:ascii="仿宋_GB2312" w:hAnsi="微软雅黑" w:eastAsia="仿宋_GB2312" w:cs="Arial"/>
          <w:sz w:val="24"/>
        </w:rPr>
      </w:pPr>
      <w:r>
        <w:rPr>
          <w:rFonts w:hint="eastAsia" w:ascii="仿宋_GB2312" w:hAnsi="微软雅黑" w:eastAsia="仿宋_GB2312" w:cs="Arial"/>
          <w:sz w:val="24"/>
        </w:rPr>
        <w:t xml:space="preserve">本币绿卡通主卡 </w:t>
      </w:r>
    </w:p>
    <w:p>
      <w:pPr>
        <w:pStyle w:val="16"/>
        <w:widowControl/>
        <w:numPr>
          <w:ilvl w:val="0"/>
          <w:numId w:val="4"/>
        </w:numPr>
        <w:spacing w:line="360" w:lineRule="auto"/>
        <w:ind w:firstLine="600"/>
        <w:jc w:val="left"/>
        <w:rPr>
          <w:rFonts w:ascii="仿宋_GB2312" w:hAnsi="微软雅黑" w:eastAsia="仿宋_GB2312" w:cs="Arial"/>
          <w:sz w:val="24"/>
        </w:rPr>
      </w:pPr>
      <w:r>
        <w:rPr>
          <w:rFonts w:hint="eastAsia" w:ascii="仿宋_GB2312" w:hAnsi="微软雅黑" w:eastAsia="仿宋_GB2312" w:cs="Arial"/>
          <w:sz w:val="24"/>
        </w:rPr>
        <w:t xml:space="preserve">外币绿卡通主卡 </w:t>
      </w:r>
    </w:p>
    <w:p>
      <w:pPr>
        <w:pStyle w:val="16"/>
        <w:widowControl/>
        <w:numPr>
          <w:ilvl w:val="0"/>
          <w:numId w:val="4"/>
        </w:numPr>
        <w:spacing w:line="360" w:lineRule="auto"/>
        <w:ind w:firstLine="600"/>
        <w:jc w:val="left"/>
        <w:rPr>
          <w:rFonts w:ascii="仿宋_GB2312" w:hAnsi="微软雅黑" w:eastAsia="仿宋_GB2312" w:cs="Arial"/>
          <w:sz w:val="24"/>
        </w:rPr>
      </w:pPr>
      <w:r>
        <w:rPr>
          <w:rFonts w:hint="eastAsia" w:ascii="仿宋_GB2312" w:hAnsi="微软雅黑" w:eastAsia="仿宋_GB2312" w:cs="Arial"/>
          <w:sz w:val="24"/>
        </w:rPr>
        <w:t>通知存款存单</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4.（多选）商业银行理财产品销售文件包括（  ）。</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A.风险揭示书</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B.产品宣传折页</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C.客户权益须知</w:t>
      </w:r>
    </w:p>
    <w:p>
      <w:pPr>
        <w:pStyle w:val="16"/>
        <w:widowControl/>
        <w:spacing w:line="360" w:lineRule="auto"/>
        <w:ind w:left="567" w:leftChars="270"/>
        <w:jc w:val="left"/>
        <w:rPr>
          <w:rFonts w:ascii="仿宋_GB2312" w:hAnsi="微软雅黑" w:eastAsia="仿宋_GB2312" w:cs="Arial"/>
          <w:sz w:val="24"/>
        </w:rPr>
      </w:pPr>
      <w:r>
        <w:rPr>
          <w:rFonts w:ascii="仿宋_GB2312" w:hAnsi="微软雅黑" w:eastAsia="仿宋_GB2312" w:cs="Arial"/>
          <w:sz w:val="24"/>
        </w:rPr>
        <w:t>D</w:t>
      </w:r>
      <w:r>
        <w:rPr>
          <w:rFonts w:hint="eastAsia" w:ascii="仿宋_GB2312" w:hAnsi="微软雅黑" w:eastAsia="仿宋_GB2312" w:cs="Arial"/>
          <w:sz w:val="24"/>
        </w:rPr>
        <w:t>.理财产品说明书</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5</w:t>
      </w:r>
      <w:r>
        <w:rPr>
          <w:rFonts w:ascii="仿宋_GB2312" w:hAnsi="微软雅黑" w:eastAsia="仿宋_GB2312" w:cs="Arial"/>
          <w:sz w:val="24"/>
        </w:rPr>
        <w:t>.</w:t>
      </w:r>
      <w:r>
        <w:rPr>
          <w:rFonts w:hint="eastAsia" w:ascii="仿宋_GB2312" w:hAnsi="微软雅黑" w:eastAsia="仿宋_GB2312" w:cs="Arial"/>
          <w:sz w:val="24"/>
        </w:rPr>
        <w:t>（多选）银行在收缴假币过程中有下列哪些情形，应当立即报当地公安机关，提供有关线索。（    ）</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A.一次性发现假人民币20张（枚）（含20张、枚）以上</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B.假外币20张（含20张、枚）以上的</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C.属于利用新的造假手段制造假币的</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D.消费者不配合金融机构收缴行为的</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6.（多选）目前银行代理的保险险种中，占据主流的是（  ）</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A. 投连险</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B. 家庭财产险</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C. 分红险</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D. 万能险</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7.（判断）银行应及时受理各项投诉并登记，受理后应当通过短信、电话、电子邮件或信函等方式告知客户受理情况、处理时限和联系方式。（    ）</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A.正确</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B.错误</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8.（判断）柜员了解客户办理的业务，重复一遍获得客户确认后办理。重复时，声音要小，以仅让客户本人听到为宜，为客户保密。（    ）</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A.正确</w:t>
      </w:r>
    </w:p>
    <w:p>
      <w:pPr>
        <w:pStyle w:val="16"/>
        <w:widowControl/>
        <w:spacing w:line="360" w:lineRule="auto"/>
        <w:ind w:left="567" w:leftChars="270"/>
        <w:jc w:val="left"/>
        <w:rPr>
          <w:rFonts w:ascii="仿宋_GB2312" w:hAnsi="微软雅黑" w:eastAsia="仿宋_GB2312" w:cs="Arial"/>
          <w:sz w:val="24"/>
        </w:rPr>
      </w:pPr>
      <w:r>
        <w:rPr>
          <w:rFonts w:hint="eastAsia" w:ascii="仿宋_GB2312" w:hAnsi="微软雅黑" w:eastAsia="仿宋_GB2312" w:cs="Arial"/>
          <w:sz w:val="24"/>
        </w:rPr>
        <w:t>B.错误</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9.关于合同生效要件的说法中，不正确的是(  )。 </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A</w:t>
      </w:r>
      <w:r>
        <w:rPr>
          <w:rFonts w:hint="eastAsia" w:ascii="仿宋_GB2312" w:hAnsi="仿宋_GB2312" w:eastAsia="仿宋_GB2312" w:cs="仿宋_GB2312"/>
          <w:sz w:val="24"/>
          <w:lang w:val="en-US" w:eastAsia="zh-CN"/>
        </w:rPr>
        <w:t>.</w:t>
      </w:r>
      <w:r>
        <w:rPr>
          <w:rFonts w:hint="eastAsia" w:ascii="仿宋_GB2312" w:hAnsi="仿宋_GB2312" w:eastAsia="仿宋_GB2312" w:cs="仿宋_GB2312"/>
          <w:sz w:val="24"/>
        </w:rPr>
        <w:t xml:space="preserve">至少有一方当事人具有相应的民事行为能力 </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B</w:t>
      </w:r>
      <w:r>
        <w:rPr>
          <w:rFonts w:hint="eastAsia" w:ascii="仿宋_GB2312" w:hAnsi="仿宋_GB2312" w:eastAsia="仿宋_GB2312" w:cs="仿宋_GB2312"/>
          <w:sz w:val="24"/>
          <w:lang w:val="en-US" w:eastAsia="zh-CN"/>
        </w:rPr>
        <w:t>.</w:t>
      </w:r>
      <w:r>
        <w:rPr>
          <w:rFonts w:hint="eastAsia" w:ascii="仿宋_GB2312" w:hAnsi="仿宋_GB2312" w:eastAsia="仿宋_GB2312" w:cs="仿宋_GB2312"/>
          <w:sz w:val="24"/>
        </w:rPr>
        <w:t xml:space="preserve">当事人意思表示真实 </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C</w:t>
      </w:r>
      <w:r>
        <w:rPr>
          <w:rFonts w:hint="eastAsia" w:ascii="仿宋_GB2312" w:hAnsi="仿宋_GB2312" w:eastAsia="仿宋_GB2312" w:cs="仿宋_GB2312"/>
          <w:sz w:val="24"/>
          <w:lang w:val="en-US" w:eastAsia="zh-CN"/>
        </w:rPr>
        <w:t>.</w:t>
      </w:r>
      <w:r>
        <w:rPr>
          <w:rFonts w:hint="eastAsia" w:ascii="仿宋_GB2312" w:hAnsi="仿宋_GB2312" w:eastAsia="仿宋_GB2312" w:cs="仿宋_GB2312"/>
          <w:sz w:val="24"/>
        </w:rPr>
        <w:t xml:space="preserve">合同标的合法，即当事人签订的合同不违反法律和社会公共利益。 </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D</w:t>
      </w:r>
      <w:r>
        <w:rPr>
          <w:rFonts w:hint="eastAsia" w:ascii="仿宋_GB2312" w:hAnsi="仿宋_GB2312" w:eastAsia="仿宋_GB2312" w:cs="仿宋_GB2312"/>
          <w:sz w:val="24"/>
          <w:lang w:val="en-US" w:eastAsia="zh-CN"/>
        </w:rPr>
        <w:t>.</w:t>
      </w:r>
      <w:r>
        <w:rPr>
          <w:rFonts w:hint="eastAsia" w:ascii="仿宋_GB2312" w:hAnsi="仿宋_GB2312" w:eastAsia="仿宋_GB2312" w:cs="仿宋_GB2312"/>
          <w:sz w:val="24"/>
        </w:rPr>
        <w:t xml:space="preserve">合同标的须确定和可能 </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10.(  )是《巴塞尔新资本协会》的第一支柱。 </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A</w:t>
      </w:r>
      <w:r>
        <w:rPr>
          <w:rFonts w:hint="eastAsia" w:ascii="仿宋_GB2312" w:hAnsi="仿宋_GB2312" w:eastAsia="仿宋_GB2312" w:cs="仿宋_GB2312"/>
          <w:sz w:val="24"/>
          <w:lang w:val="en-US" w:eastAsia="zh-CN"/>
        </w:rPr>
        <w:t>.</w:t>
      </w:r>
      <w:r>
        <w:rPr>
          <w:rFonts w:hint="eastAsia" w:ascii="仿宋_GB2312" w:hAnsi="仿宋_GB2312" w:eastAsia="仿宋_GB2312" w:cs="仿宋_GB2312"/>
          <w:sz w:val="24"/>
        </w:rPr>
        <w:t xml:space="preserve">资本协商 </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B</w:t>
      </w:r>
      <w:r>
        <w:rPr>
          <w:rFonts w:hint="eastAsia" w:ascii="仿宋_GB2312" w:hAnsi="仿宋_GB2312" w:eastAsia="仿宋_GB2312" w:cs="仿宋_GB2312"/>
          <w:sz w:val="24"/>
          <w:lang w:val="en-US" w:eastAsia="zh-CN"/>
        </w:rPr>
        <w:t>.</w:t>
      </w:r>
      <w:r>
        <w:rPr>
          <w:rFonts w:hint="eastAsia" w:ascii="仿宋_GB2312" w:hAnsi="仿宋_GB2312" w:eastAsia="仿宋_GB2312" w:cs="仿宋_GB2312"/>
          <w:sz w:val="24"/>
        </w:rPr>
        <w:t xml:space="preserve">最低资本要求 </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C</w:t>
      </w:r>
      <w:r>
        <w:rPr>
          <w:rFonts w:hint="eastAsia" w:ascii="仿宋_GB2312" w:hAnsi="仿宋_GB2312" w:eastAsia="仿宋_GB2312" w:cs="仿宋_GB2312"/>
          <w:sz w:val="24"/>
          <w:lang w:val="en-US" w:eastAsia="zh-CN"/>
        </w:rPr>
        <w:t>.</w:t>
      </w:r>
      <w:r>
        <w:rPr>
          <w:rFonts w:hint="eastAsia" w:ascii="仿宋_GB2312" w:hAnsi="仿宋_GB2312" w:eastAsia="仿宋_GB2312" w:cs="仿宋_GB2312"/>
          <w:sz w:val="24"/>
        </w:rPr>
        <w:t xml:space="preserve">外部监督 </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D</w:t>
      </w:r>
      <w:r>
        <w:rPr>
          <w:rFonts w:hint="eastAsia" w:ascii="仿宋_GB2312" w:hAnsi="仿宋_GB2312" w:eastAsia="仿宋_GB2312" w:cs="仿宋_GB2312"/>
          <w:sz w:val="24"/>
          <w:lang w:val="en-US" w:eastAsia="zh-CN"/>
        </w:rPr>
        <w:t>.</w:t>
      </w:r>
      <w:r>
        <w:rPr>
          <w:rFonts w:hint="eastAsia" w:ascii="仿宋_GB2312" w:hAnsi="仿宋_GB2312" w:eastAsia="仿宋_GB2312" w:cs="仿宋_GB2312"/>
          <w:sz w:val="24"/>
        </w:rPr>
        <w:t xml:space="preserve">市场约束 </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11.当企业经营周转资金出现缺口，可以申请的贷款是（　）。 </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A</w:t>
      </w:r>
      <w:r>
        <w:rPr>
          <w:rFonts w:hint="eastAsia" w:ascii="仿宋_GB2312" w:hAnsi="仿宋_GB2312" w:eastAsia="仿宋_GB2312" w:cs="仿宋_GB2312"/>
          <w:sz w:val="24"/>
          <w:lang w:val="en-US" w:eastAsia="zh-CN"/>
        </w:rPr>
        <w:t>.</w:t>
      </w:r>
      <w:r>
        <w:rPr>
          <w:rFonts w:hint="eastAsia" w:ascii="仿宋_GB2312" w:hAnsi="仿宋_GB2312" w:eastAsia="仿宋_GB2312" w:cs="仿宋_GB2312"/>
          <w:sz w:val="24"/>
        </w:rPr>
        <w:t xml:space="preserve">项目贷款 </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B</w:t>
      </w:r>
      <w:r>
        <w:rPr>
          <w:rFonts w:hint="eastAsia" w:ascii="仿宋_GB2312" w:hAnsi="仿宋_GB2312" w:eastAsia="仿宋_GB2312" w:cs="仿宋_GB2312"/>
          <w:sz w:val="24"/>
          <w:lang w:val="en-US" w:eastAsia="zh-CN"/>
        </w:rPr>
        <w:t>.</w:t>
      </w:r>
      <w:r>
        <w:rPr>
          <w:rFonts w:hint="eastAsia" w:ascii="仿宋_GB2312" w:hAnsi="仿宋_GB2312" w:eastAsia="仿宋_GB2312" w:cs="仿宋_GB2312"/>
          <w:sz w:val="24"/>
        </w:rPr>
        <w:t xml:space="preserve">流动资金贷款 </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C:固定资产贷款 </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D</w:t>
      </w:r>
      <w:r>
        <w:rPr>
          <w:rFonts w:hint="eastAsia" w:ascii="仿宋_GB2312" w:hAnsi="仿宋_GB2312" w:eastAsia="仿宋_GB2312" w:cs="仿宋_GB2312"/>
          <w:sz w:val="24"/>
          <w:lang w:val="en-US" w:eastAsia="zh-CN"/>
        </w:rPr>
        <w:t>.</w:t>
      </w:r>
      <w:r>
        <w:rPr>
          <w:rFonts w:hint="eastAsia" w:ascii="仿宋_GB2312" w:hAnsi="仿宋_GB2312" w:eastAsia="仿宋_GB2312" w:cs="仿宋_GB2312"/>
          <w:sz w:val="24"/>
        </w:rPr>
        <w:t xml:space="preserve">房地产贷款 </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12.银行风险中的国家风险不包括(  )。 </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A</w:t>
      </w:r>
      <w:r>
        <w:rPr>
          <w:rFonts w:hint="eastAsia" w:ascii="仿宋_GB2312" w:hAnsi="仿宋_GB2312" w:eastAsia="仿宋_GB2312" w:cs="仿宋_GB2312"/>
          <w:sz w:val="24"/>
          <w:lang w:val="en-US" w:eastAsia="zh-CN"/>
        </w:rPr>
        <w:t>.</w:t>
      </w:r>
      <w:r>
        <w:rPr>
          <w:rFonts w:hint="eastAsia" w:ascii="仿宋_GB2312" w:hAnsi="仿宋_GB2312" w:eastAsia="仿宋_GB2312" w:cs="仿宋_GB2312"/>
          <w:sz w:val="24"/>
        </w:rPr>
        <w:t xml:space="preserve">政治风险 </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B</w:t>
      </w:r>
      <w:r>
        <w:rPr>
          <w:rFonts w:hint="eastAsia" w:ascii="仿宋_GB2312" w:hAnsi="仿宋_GB2312" w:eastAsia="仿宋_GB2312" w:cs="仿宋_GB2312"/>
          <w:sz w:val="24"/>
          <w:lang w:val="en-US" w:eastAsia="zh-CN"/>
        </w:rPr>
        <w:t>.</w:t>
      </w:r>
      <w:r>
        <w:rPr>
          <w:rFonts w:hint="eastAsia" w:ascii="仿宋_GB2312" w:hAnsi="仿宋_GB2312" w:eastAsia="仿宋_GB2312" w:cs="仿宋_GB2312"/>
          <w:sz w:val="24"/>
        </w:rPr>
        <w:t xml:space="preserve">市场风险 </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C</w:t>
      </w:r>
      <w:r>
        <w:rPr>
          <w:rFonts w:hint="eastAsia" w:ascii="仿宋_GB2312" w:hAnsi="仿宋_GB2312" w:eastAsia="仿宋_GB2312" w:cs="仿宋_GB2312"/>
          <w:sz w:val="24"/>
          <w:lang w:val="en-US" w:eastAsia="zh-CN"/>
        </w:rPr>
        <w:t>.</w:t>
      </w:r>
      <w:r>
        <w:rPr>
          <w:rFonts w:hint="eastAsia" w:ascii="仿宋_GB2312" w:hAnsi="仿宋_GB2312" w:eastAsia="仿宋_GB2312" w:cs="仿宋_GB2312"/>
          <w:sz w:val="24"/>
        </w:rPr>
        <w:t xml:space="preserve">社会风险 </w:t>
      </w:r>
    </w:p>
    <w:p>
      <w:pPr>
        <w:spacing w:line="360" w:lineRule="auto"/>
        <w:rPr>
          <w:rFonts w:ascii="仿宋_GB2312" w:hAnsi="微软雅黑" w:eastAsia="仿宋_GB2312" w:cs="Arial"/>
          <w:sz w:val="24"/>
        </w:rPr>
      </w:pPr>
      <w:r>
        <w:rPr>
          <w:rFonts w:hint="eastAsia" w:ascii="仿宋_GB2312" w:hAnsi="仿宋_GB2312" w:eastAsia="仿宋_GB2312" w:cs="仿宋_GB2312"/>
          <w:sz w:val="24"/>
        </w:rPr>
        <w:t xml:space="preserve">    D</w:t>
      </w:r>
      <w:r>
        <w:rPr>
          <w:rFonts w:hint="eastAsia" w:ascii="仿宋_GB2312" w:hAnsi="仿宋_GB2312" w:eastAsia="仿宋_GB2312" w:cs="仿宋_GB2312"/>
          <w:sz w:val="24"/>
          <w:lang w:val="en-US" w:eastAsia="zh-CN"/>
        </w:rPr>
        <w:t>.</w:t>
      </w:r>
      <w:r>
        <w:rPr>
          <w:rFonts w:hint="eastAsia" w:ascii="仿宋_GB2312" w:hAnsi="仿宋_GB2312" w:eastAsia="仿宋_GB2312" w:cs="仿宋_GB2312"/>
          <w:sz w:val="24"/>
        </w:rPr>
        <w:t xml:space="preserve">经济风险 </w:t>
      </w:r>
    </w:p>
    <w:p>
      <w:pPr>
        <w:snapToGrid w:val="0"/>
        <w:spacing w:line="360" w:lineRule="auto"/>
        <w:ind w:left="420"/>
        <w:outlineLvl w:val="0"/>
        <w:rPr>
          <w:rFonts w:ascii="Arial Narrow" w:hAnsi="Arial Narrow" w:eastAsia="仿宋_GB2312" w:cs="Arial"/>
          <w:b/>
          <w:sz w:val="24"/>
        </w:rPr>
      </w:pPr>
      <w:r>
        <w:rPr>
          <w:rFonts w:hint="eastAsia" w:ascii="Arial Narrow" w:hAnsi="Arial Narrow" w:eastAsia="仿宋_GB2312" w:cs="Arial"/>
          <w:b/>
          <w:sz w:val="24"/>
        </w:rPr>
        <w:t>（二）“银行基本技能”竞赛</w:t>
      </w:r>
    </w:p>
    <w:p>
      <w:pPr>
        <w:snapToGrid w:val="0"/>
        <w:spacing w:line="360" w:lineRule="auto"/>
        <w:ind w:firstLine="482" w:firstLineChars="200"/>
        <w:rPr>
          <w:rFonts w:ascii="Arial Narrow" w:hAnsi="Arial Narrow" w:eastAsia="仿宋_GB2312" w:cs="Arial"/>
          <w:b/>
          <w:bCs/>
          <w:sz w:val="24"/>
        </w:rPr>
      </w:pPr>
      <w:r>
        <w:rPr>
          <w:rFonts w:hint="eastAsia" w:ascii="Arial Narrow" w:hAnsi="Arial Narrow" w:eastAsia="仿宋_GB2312" w:cs="Arial"/>
          <w:b/>
          <w:bCs/>
          <w:sz w:val="24"/>
        </w:rPr>
        <w:t>任务1：传票算</w:t>
      </w:r>
    </w:p>
    <w:p>
      <w:pPr>
        <w:snapToGrid w:val="0"/>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sz w:val="24"/>
        </w:rPr>
        <w:t>赛前由命题专家确定不同传票型号（AB、CD、EF型）和页码范围的赛题，页码范围为连续的30页。赛前抽定题目后由技术人员将传票型号和页码范围输入竞赛平台系统。选手运用专用</w:t>
      </w:r>
      <w:r>
        <w:rPr>
          <w:rFonts w:ascii="仿宋_GB2312" w:hAnsi="仿宋_GB2312" w:eastAsia="仿宋_GB2312" w:cs="仿宋_GB2312"/>
          <w:sz w:val="24"/>
        </w:rPr>
        <w:t xml:space="preserve"> 计算器</w:t>
      </w:r>
      <w:r>
        <w:rPr>
          <w:rFonts w:hint="eastAsia" w:ascii="仿宋_GB2312" w:hAnsi="仿宋_GB2312" w:eastAsia="仿宋_GB2312" w:cs="仿宋_GB2312"/>
          <w:sz w:val="24"/>
        </w:rPr>
        <w:t>或电脑小键盘及Excel表汇总传票算结果，并输入到竞赛平台中。系统自动评分，竞赛时间为10分钟。</w:t>
      </w:r>
    </w:p>
    <w:p>
      <w:pPr>
        <w:snapToGrid w:val="0"/>
        <w:spacing w:line="360" w:lineRule="auto"/>
        <w:ind w:firstLine="480" w:firstLineChars="200"/>
        <w:jc w:val="left"/>
        <w:rPr>
          <w:rFonts w:ascii="仿宋_GB2312" w:hAnsi="仿宋_GB2312" w:eastAsia="仿宋_GB2312" w:cs="仿宋_GB2312"/>
          <w:sz w:val="24"/>
        </w:rPr>
      </w:pPr>
    </w:p>
    <w:p>
      <w:pPr>
        <w:snapToGrid w:val="0"/>
        <w:spacing w:line="360" w:lineRule="auto"/>
        <w:jc w:val="center"/>
        <w:rPr>
          <w:rFonts w:ascii="仿宋_GB2312" w:hAnsi="微软雅黑" w:eastAsia="仿宋_GB2312" w:cs="Arial"/>
          <w:b/>
          <w:bCs/>
          <w:sz w:val="24"/>
        </w:rPr>
      </w:pPr>
      <w:r>
        <w:rPr>
          <w:rFonts w:ascii="仿宋_GB2312" w:hAnsi="仿宋_GB2312" w:eastAsia="仿宋_GB2312" w:cs="仿宋_GB2312"/>
          <w:b/>
          <w:bCs/>
          <w:sz w:val="24"/>
        </w:rPr>
        <w:drawing>
          <wp:anchor distT="0" distB="0" distL="114300" distR="114300" simplePos="0" relativeHeight="251660288" behindDoc="0" locked="0" layoutInCell="1" allowOverlap="1">
            <wp:simplePos x="0" y="0"/>
            <wp:positionH relativeFrom="column">
              <wp:posOffset>-28575</wp:posOffset>
            </wp:positionH>
            <wp:positionV relativeFrom="paragraph">
              <wp:posOffset>130175</wp:posOffset>
            </wp:positionV>
            <wp:extent cx="5608320" cy="3286760"/>
            <wp:effectExtent l="0" t="0" r="11430" b="8890"/>
            <wp:wrapSquare wrapText="bothSides"/>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608320" cy="3286760"/>
                    </a:xfrm>
                    <a:prstGeom prst="rect">
                      <a:avLst/>
                    </a:prstGeom>
                    <a:noFill/>
                  </pic:spPr>
                </pic:pic>
              </a:graphicData>
            </a:graphic>
          </wp:anchor>
        </w:drawing>
      </w:r>
      <w:r>
        <w:rPr>
          <w:rFonts w:hint="eastAsia" w:ascii="仿宋_GB2312" w:hAnsi="仿宋_GB2312" w:eastAsia="仿宋_GB2312" w:cs="仿宋_GB2312"/>
          <w:b/>
          <w:bCs/>
          <w:sz w:val="24"/>
        </w:rPr>
        <w:t>（系统录入界面）</w:t>
      </w:r>
    </w:p>
    <w:p>
      <w:pPr>
        <w:spacing w:line="360" w:lineRule="auto"/>
        <w:ind w:firstLine="482" w:firstLineChars="200"/>
        <w:rPr>
          <w:rFonts w:ascii="仿宋_GB2312" w:hAnsi="微软雅黑" w:eastAsia="仿宋_GB2312" w:cs="Arial"/>
          <w:b/>
          <w:bCs/>
          <w:sz w:val="24"/>
        </w:rPr>
      </w:pPr>
      <w:r>
        <w:rPr>
          <w:rFonts w:hint="eastAsia" w:ascii="仿宋_GB2312" w:hAnsi="微软雅黑" w:eastAsia="仿宋_GB2312" w:cs="Arial"/>
          <w:b/>
          <w:bCs/>
          <w:sz w:val="24"/>
        </w:rPr>
        <w:t>任务2：字符录入</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赛题为系统随机产生的1600个字符，系统提供对照原文进行字符输入的环境，系统自动根据选手在规定的时间内（10分钟）完成的数量和正确率评分。</w:t>
      </w:r>
    </w:p>
    <w:p>
      <w:pPr>
        <w:spacing w:line="360" w:lineRule="auto"/>
        <w:ind w:firstLine="480" w:firstLineChars="200"/>
        <w:rPr>
          <w:rFonts w:ascii="仿宋_GB2312" w:hAnsi="仿宋_GB2312" w:eastAsia="仿宋_GB2312" w:cs="仿宋_GB2312"/>
          <w:sz w:val="24"/>
        </w:rPr>
      </w:pPr>
      <w:r>
        <w:rPr>
          <w:rFonts w:hint="eastAsia" w:ascii="仿宋_GB2312" w:eastAsia="仿宋_GB2312"/>
          <w:sz w:val="24"/>
        </w:rPr>
        <w:t>竞赛电脑系统中预装极品五笔、王码五笔、搜狗输入法</w:t>
      </w:r>
      <w:r>
        <w:rPr>
          <w:rFonts w:hint="eastAsia" w:ascii="Arial" w:hAnsi="Arial" w:cs="Arial"/>
          <w:sz w:val="24"/>
          <w:shd w:val="clear" w:color="auto" w:fill="FFFFFF"/>
        </w:rPr>
        <w:t>、</w:t>
      </w:r>
      <w:r>
        <w:rPr>
          <w:rFonts w:hint="eastAsia" w:ascii="仿宋_GB2312" w:eastAsia="仿宋_GB2312"/>
          <w:sz w:val="24"/>
        </w:rPr>
        <w:t>智能</w:t>
      </w:r>
      <w:r>
        <w:rPr>
          <w:rFonts w:ascii="仿宋_GB2312" w:eastAsia="仿宋_GB2312"/>
          <w:sz w:val="24"/>
        </w:rPr>
        <w:t>ABC</w:t>
      </w:r>
      <w:r>
        <w:rPr>
          <w:rFonts w:hint="eastAsia" w:ascii="仿宋_GB2312" w:eastAsia="仿宋_GB2312"/>
          <w:sz w:val="24"/>
        </w:rPr>
        <w:t>、微软全拼输入法、万能五笔等，</w:t>
      </w:r>
      <w:r>
        <w:rPr>
          <w:rFonts w:hint="eastAsia" w:ascii="仿宋_GB2312" w:hAnsi="仿宋_GB2312" w:eastAsia="仿宋_GB2312" w:cs="仿宋_GB2312"/>
          <w:sz w:val="24"/>
        </w:rPr>
        <w:t>参赛选手可采用上述输入法进行比赛</w:t>
      </w:r>
      <w:r>
        <w:rPr>
          <w:rFonts w:hint="eastAsia" w:ascii="仿宋_GB2312" w:eastAsia="仿宋_GB2312"/>
          <w:sz w:val="24"/>
        </w:rPr>
        <w:t>，竞赛电脑系统中未预装的输入法不得采用。</w:t>
      </w:r>
    </w:p>
    <w:p>
      <w:pPr>
        <w:widowControl/>
        <w:spacing w:line="360" w:lineRule="auto"/>
        <w:jc w:val="center"/>
        <w:rPr>
          <w:sz w:val="30"/>
          <w:szCs w:val="30"/>
        </w:rPr>
      </w:pPr>
      <w:r>
        <w:rPr>
          <w:rFonts w:ascii="宋体" w:hAnsi="宋体" w:eastAsia="宋体" w:cs="宋体"/>
          <w:kern w:val="0"/>
          <w:sz w:val="30"/>
          <w:szCs w:val="30"/>
        </w:rPr>
        <w:drawing>
          <wp:inline distT="0" distB="0" distL="114300" distR="114300">
            <wp:extent cx="5440045" cy="2705735"/>
            <wp:effectExtent l="0" t="0" r="8255" b="18415"/>
            <wp:docPr id="28"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2" descr="IMG_256"/>
                    <pic:cNvPicPr>
                      <a:picLocks noChangeAspect="1"/>
                    </pic:cNvPicPr>
                  </pic:nvPicPr>
                  <pic:blipFill>
                    <a:blip r:embed="rId7"/>
                    <a:stretch>
                      <a:fillRect/>
                    </a:stretch>
                  </pic:blipFill>
                  <pic:spPr>
                    <a:xfrm>
                      <a:off x="0" y="0"/>
                      <a:ext cx="5440045" cy="2705735"/>
                    </a:xfrm>
                    <a:prstGeom prst="rect">
                      <a:avLst/>
                    </a:prstGeom>
                    <a:noFill/>
                    <a:ln w="9525">
                      <a:noFill/>
                    </a:ln>
                  </pic:spPr>
                </pic:pic>
              </a:graphicData>
            </a:graphic>
          </wp:inline>
        </w:drawing>
      </w:r>
    </w:p>
    <w:p>
      <w:pPr>
        <w:widowControl/>
        <w:spacing w:line="360" w:lineRule="auto"/>
        <w:ind w:firstLine="600"/>
        <w:jc w:val="left"/>
        <w:rPr>
          <w:rFonts w:ascii="仿宋_GB2312" w:hAnsi="仿宋_GB2312" w:eastAsia="仿宋_GB2312" w:cs="仿宋_GB2312"/>
          <w:kern w:val="0"/>
          <w:sz w:val="24"/>
        </w:rPr>
      </w:pPr>
      <w:r>
        <w:rPr>
          <w:rFonts w:hint="eastAsia" w:ascii="仿宋_GB2312" w:hAnsi="微软雅黑" w:eastAsia="仿宋_GB2312" w:cs="Arial"/>
          <w:b/>
          <w:bCs/>
          <w:sz w:val="24"/>
        </w:rPr>
        <w:t>任务3：手工点钞</w:t>
      </w:r>
      <w:r>
        <w:rPr>
          <w:rFonts w:hint="eastAsia" w:ascii="仿宋_GB2312" w:hAnsi="微软雅黑" w:eastAsia="仿宋_GB2312" w:cs="Arial"/>
          <w:sz w:val="24"/>
        </w:rPr>
        <w:t> </w:t>
      </w:r>
    </w:p>
    <w:p>
      <w:pPr>
        <w:widowControl/>
        <w:spacing w:line="360" w:lineRule="auto"/>
        <w:ind w:firstLine="555"/>
        <w:jc w:val="left"/>
        <w:rPr>
          <w:rFonts w:ascii="仿宋_GB2312" w:hAnsi="仿宋_GB2312" w:eastAsia="仿宋_GB2312" w:cs="仿宋_GB2312"/>
          <w:sz w:val="24"/>
        </w:rPr>
      </w:pPr>
      <w:r>
        <w:rPr>
          <w:rFonts w:hint="eastAsia" w:ascii="仿宋_GB2312" w:hAnsi="仿宋_GB2312" w:eastAsia="仿宋_GB2312" w:cs="仿宋_GB2312"/>
          <w:sz w:val="24"/>
        </w:rPr>
        <w:t>赛前由命题专家确定每种面额点钞专用券的张数，每种面值介于300—320张之间，现场对8种面额的人民币点钞专用券进行清点。技术人员将清点的张数和对应的金额输入竞赛平台系统中。参赛选手在比赛时将清点结果填入系统设定的“现金存款凭条”，系统对输入结果自动评分，现场裁判对捆扎及盖章质量人工评分。本项目竞赛时间为10分钟。</w:t>
      </w:r>
    </w:p>
    <w:p>
      <w:pPr>
        <w:widowControl/>
        <w:spacing w:line="360" w:lineRule="auto"/>
        <w:jc w:val="left"/>
        <w:rPr>
          <w:rFonts w:ascii="仿宋_GB2312" w:hAnsi="仿宋_GB2312" w:eastAsia="仿宋_GB2312" w:cs="仿宋_GB2312"/>
          <w:sz w:val="24"/>
        </w:rPr>
      </w:pPr>
      <w:r>
        <w:rPr>
          <w:rFonts w:hint="eastAsia" w:ascii="仿宋_GB2312" w:hAnsi="仿宋_GB2312" w:eastAsia="仿宋_GB2312" w:cs="仿宋_GB2312"/>
          <w:b/>
          <w:sz w:val="24"/>
        </w:rPr>
        <w:drawing>
          <wp:anchor distT="0" distB="0" distL="114300" distR="114300" simplePos="0" relativeHeight="251659264" behindDoc="0" locked="0" layoutInCell="1" allowOverlap="1">
            <wp:simplePos x="0" y="0"/>
            <wp:positionH relativeFrom="column">
              <wp:posOffset>226695</wp:posOffset>
            </wp:positionH>
            <wp:positionV relativeFrom="paragraph">
              <wp:posOffset>114300</wp:posOffset>
            </wp:positionV>
            <wp:extent cx="4663440" cy="2650490"/>
            <wp:effectExtent l="0" t="0" r="3810" b="1651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a:stretch>
                      <a:fillRect/>
                    </a:stretch>
                  </pic:blipFill>
                  <pic:spPr>
                    <a:xfrm>
                      <a:off x="0" y="0"/>
                      <a:ext cx="4663440" cy="2650490"/>
                    </a:xfrm>
                    <a:prstGeom prst="rect">
                      <a:avLst/>
                    </a:prstGeom>
                    <a:noFill/>
                    <a:ln w="9525">
                      <a:noFill/>
                    </a:ln>
                  </pic:spPr>
                </pic:pic>
              </a:graphicData>
            </a:graphic>
          </wp:anchor>
        </w:drawing>
      </w:r>
    </w:p>
    <w:p>
      <w:pPr>
        <w:widowControl/>
        <w:spacing w:line="360" w:lineRule="auto"/>
        <w:jc w:val="left"/>
        <w:rPr>
          <w:rFonts w:ascii="仿宋_GB2312" w:hAnsi="仿宋_GB2312" w:eastAsia="仿宋_GB2312" w:cs="仿宋_GB2312"/>
          <w:sz w:val="28"/>
          <w:szCs w:val="28"/>
        </w:rPr>
      </w:pPr>
    </w:p>
    <w:p>
      <w:pPr>
        <w:widowControl/>
        <w:spacing w:line="360" w:lineRule="auto"/>
        <w:jc w:val="left"/>
        <w:rPr>
          <w:rFonts w:ascii="仿宋_GB2312" w:hAnsi="仿宋_GB2312" w:eastAsia="仿宋_GB2312" w:cs="仿宋_GB2312"/>
          <w:sz w:val="28"/>
          <w:szCs w:val="28"/>
        </w:rPr>
      </w:pPr>
    </w:p>
    <w:p>
      <w:pPr>
        <w:widowControl/>
        <w:spacing w:line="360" w:lineRule="auto"/>
        <w:jc w:val="left"/>
        <w:rPr>
          <w:rFonts w:ascii="仿宋_GB2312" w:hAnsi="仿宋_GB2312" w:eastAsia="仿宋_GB2312" w:cs="仿宋_GB2312"/>
          <w:sz w:val="28"/>
          <w:szCs w:val="28"/>
        </w:rPr>
      </w:pPr>
    </w:p>
    <w:p>
      <w:pPr>
        <w:widowControl/>
        <w:spacing w:line="360" w:lineRule="auto"/>
        <w:jc w:val="left"/>
        <w:rPr>
          <w:rFonts w:ascii="仿宋_GB2312" w:hAnsi="仿宋_GB2312" w:eastAsia="仿宋_GB2312" w:cs="仿宋_GB2312"/>
          <w:sz w:val="28"/>
          <w:szCs w:val="28"/>
        </w:rPr>
      </w:pPr>
    </w:p>
    <w:p>
      <w:pPr>
        <w:widowControl/>
        <w:spacing w:line="360" w:lineRule="auto"/>
        <w:jc w:val="left"/>
        <w:rPr>
          <w:rFonts w:ascii="仿宋_GB2312" w:hAnsi="仿宋_GB2312" w:eastAsia="仿宋_GB2312" w:cs="仿宋_GB2312"/>
          <w:sz w:val="28"/>
          <w:szCs w:val="28"/>
        </w:rPr>
      </w:pPr>
    </w:p>
    <w:p>
      <w:pPr>
        <w:snapToGrid w:val="0"/>
        <w:spacing w:line="360" w:lineRule="auto"/>
        <w:rPr>
          <w:rFonts w:ascii="仿宋_GB2312" w:hAnsi="仿宋_GB2312" w:eastAsia="仿宋_GB2312" w:cs="仿宋_GB2312"/>
          <w:b/>
          <w:bCs/>
          <w:sz w:val="28"/>
          <w:szCs w:val="28"/>
        </w:rPr>
      </w:pPr>
    </w:p>
    <w:p>
      <w:pPr>
        <w:widowControl/>
        <w:spacing w:line="360" w:lineRule="auto"/>
        <w:ind w:firstLine="482" w:firstLineChars="200"/>
        <w:jc w:val="center"/>
        <w:rPr>
          <w:rFonts w:ascii="仿宋_GB2312" w:hAnsi="仿宋_GB2312" w:eastAsia="仿宋_GB2312" w:cs="仿宋_GB2312"/>
          <w:b/>
          <w:bCs/>
          <w:sz w:val="24"/>
        </w:rPr>
      </w:pPr>
      <w:r>
        <w:rPr>
          <w:rFonts w:hint="eastAsia" w:ascii="仿宋_GB2312" w:hAnsi="仿宋_GB2312" w:eastAsia="仿宋_GB2312" w:cs="仿宋_GB2312"/>
          <w:b/>
          <w:bCs/>
          <w:sz w:val="24"/>
        </w:rPr>
        <w:t>（系统录入界面）</w:t>
      </w:r>
    </w:p>
    <w:p>
      <w:pPr>
        <w:widowControl/>
        <w:spacing w:line="360" w:lineRule="auto"/>
        <w:ind w:firstLine="482" w:firstLineChars="200"/>
        <w:jc w:val="left"/>
        <w:rPr>
          <w:rFonts w:ascii="仿宋_GB2312" w:hAnsi="Arial Narrow" w:eastAsia="仿宋_GB2312" w:cs="Arial"/>
          <w:b/>
          <w:bCs/>
          <w:sz w:val="24"/>
        </w:rPr>
      </w:pPr>
      <w:r>
        <w:rPr>
          <w:rFonts w:hint="eastAsia" w:ascii="宋体" w:hAnsi="宋体" w:cs="Arial"/>
          <w:b/>
          <w:bCs/>
          <w:color w:val="FF0000"/>
          <w:sz w:val="24"/>
          <w:highlight w:val="yellow"/>
        </w:rPr>
        <w:t>请注意：本次比赛点钞项目不提供计算器。另，点完的所有钞票必须全部放入现场提供的小框内，否则该单项不得分。</w:t>
      </w:r>
    </w:p>
    <w:p>
      <w:pPr>
        <w:widowControl/>
        <w:spacing w:line="360" w:lineRule="auto"/>
        <w:ind w:firstLine="482" w:firstLineChars="200"/>
        <w:jc w:val="left"/>
        <w:rPr>
          <w:rFonts w:ascii="仿宋_GB2312" w:hAnsi="Arial Narrow" w:eastAsia="仿宋_GB2312" w:cs="Arial"/>
          <w:b/>
          <w:bCs/>
          <w:sz w:val="24"/>
        </w:rPr>
      </w:pPr>
      <w:r>
        <w:rPr>
          <w:rFonts w:hint="eastAsia" w:ascii="仿宋_GB2312" w:hAnsi="Arial Narrow" w:eastAsia="仿宋_GB2312" w:cs="Arial"/>
          <w:b/>
          <w:bCs/>
          <w:sz w:val="24"/>
        </w:rPr>
        <w:t>任务4：货币防伪与鉴别</w:t>
      </w:r>
    </w:p>
    <w:p>
      <w:pPr>
        <w:widowControl/>
        <w:spacing w:line="360" w:lineRule="auto"/>
        <w:ind w:firstLine="480" w:firstLineChars="200"/>
        <w:jc w:val="left"/>
        <w:rPr>
          <w:rFonts w:ascii="仿宋_GB2312" w:hAnsi="Arial Narrow" w:eastAsia="仿宋_GB2312" w:cs="Arial"/>
          <w:sz w:val="24"/>
        </w:rPr>
      </w:pPr>
      <w:r>
        <w:rPr>
          <w:rFonts w:ascii="仿宋_GB2312" w:hAnsi="Arial Narrow" w:eastAsia="仿宋_GB2312" w:cs="Arial"/>
          <w:sz w:val="24"/>
        </w:rPr>
        <w:t>1</w:t>
      </w:r>
      <w:r>
        <w:rPr>
          <w:rFonts w:hint="eastAsia" w:ascii="仿宋_GB2312" w:hAnsi="Arial Narrow" w:eastAsia="仿宋_GB2312" w:cs="Arial"/>
          <w:sz w:val="24"/>
        </w:rPr>
        <w:t>.（单选）第五套人民币2005年版纸币在正面主景图案右侧增加了公众防伪特征（  ）。</w:t>
      </w:r>
    </w:p>
    <w:p>
      <w:pPr>
        <w:spacing w:line="360" w:lineRule="auto"/>
        <w:ind w:firstLine="480" w:firstLineChars="200"/>
        <w:rPr>
          <w:rFonts w:ascii="仿宋_GB2312" w:hAnsi="Arial Narrow" w:eastAsia="仿宋_GB2312" w:cs="Arial"/>
          <w:sz w:val="24"/>
        </w:rPr>
      </w:pPr>
      <w:r>
        <w:rPr>
          <w:rFonts w:hint="eastAsia" w:ascii="仿宋_GB2312" w:hAnsi="Arial Narrow" w:eastAsia="仿宋_GB2312" w:cs="Arial"/>
          <w:sz w:val="24"/>
        </w:rPr>
        <w:t>A．</w:t>
      </w:r>
      <w:r>
        <w:rPr>
          <w:rFonts w:ascii="仿宋_GB2312" w:hAnsi="Arial Narrow" w:eastAsia="仿宋_GB2312" w:cs="Arial"/>
          <w:sz w:val="24"/>
        </w:rPr>
        <w:drawing>
          <wp:inline distT="0" distB="0" distL="114300" distR="114300">
            <wp:extent cx="723900" cy="723900"/>
            <wp:effectExtent l="0" t="0" r="0" b="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9"/>
                    <a:stretch>
                      <a:fillRect/>
                    </a:stretch>
                  </pic:blipFill>
                  <pic:spPr>
                    <a:xfrm>
                      <a:off x="0" y="0"/>
                      <a:ext cx="723900" cy="723900"/>
                    </a:xfrm>
                    <a:prstGeom prst="rect">
                      <a:avLst/>
                    </a:prstGeom>
                    <a:noFill/>
                    <a:ln w="9525">
                      <a:noFill/>
                    </a:ln>
                  </pic:spPr>
                </pic:pic>
              </a:graphicData>
            </a:graphic>
          </wp:inline>
        </w:drawing>
      </w:r>
      <w:r>
        <w:rPr>
          <w:rFonts w:hint="eastAsia" w:ascii="仿宋_GB2312" w:hAnsi="Arial Narrow" w:eastAsia="仿宋_GB2312" w:cs="Arial"/>
          <w:sz w:val="24"/>
        </w:rPr>
        <w:t xml:space="preserve">       B.</w:t>
      </w:r>
      <w:r>
        <w:rPr>
          <w:rFonts w:ascii="仿宋_GB2312" w:hAnsi="Arial Narrow" w:eastAsia="仿宋_GB2312" w:cs="Arial"/>
          <w:sz w:val="24"/>
        </w:rPr>
        <w:drawing>
          <wp:inline distT="0" distB="0" distL="114300" distR="114300">
            <wp:extent cx="723900" cy="723900"/>
            <wp:effectExtent l="0" t="0" r="0" b="0"/>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pic:cNvPicPr>
                  </pic:nvPicPr>
                  <pic:blipFill>
                    <a:blip r:embed="rId10"/>
                    <a:stretch>
                      <a:fillRect/>
                    </a:stretch>
                  </pic:blipFill>
                  <pic:spPr>
                    <a:xfrm>
                      <a:off x="0" y="0"/>
                      <a:ext cx="723900" cy="723900"/>
                    </a:xfrm>
                    <a:prstGeom prst="rect">
                      <a:avLst/>
                    </a:prstGeom>
                    <a:noFill/>
                    <a:ln w="9525">
                      <a:noFill/>
                    </a:ln>
                  </pic:spPr>
                </pic:pic>
              </a:graphicData>
            </a:graphic>
          </wp:inline>
        </w:drawing>
      </w:r>
      <w:r>
        <w:rPr>
          <w:rFonts w:hint="eastAsia" w:ascii="仿宋_GB2312" w:hAnsi="Arial Narrow" w:eastAsia="仿宋_GB2312" w:cs="Arial"/>
          <w:sz w:val="24"/>
        </w:rPr>
        <w:t xml:space="preserve">       C.</w:t>
      </w:r>
      <w:r>
        <w:rPr>
          <w:rFonts w:ascii="仿宋_GB2312" w:hAnsi="Arial Narrow" w:eastAsia="仿宋_GB2312" w:cs="Arial"/>
          <w:sz w:val="24"/>
        </w:rPr>
        <w:drawing>
          <wp:inline distT="0" distB="0" distL="114300" distR="114300">
            <wp:extent cx="723900" cy="723900"/>
            <wp:effectExtent l="0" t="0" r="0" b="0"/>
            <wp:docPr id="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icPr>
                  <pic:blipFill>
                    <a:blip r:embed="rId11"/>
                    <a:stretch>
                      <a:fillRect/>
                    </a:stretch>
                  </pic:blipFill>
                  <pic:spPr>
                    <a:xfrm>
                      <a:off x="0" y="0"/>
                      <a:ext cx="723900" cy="723900"/>
                    </a:xfrm>
                    <a:prstGeom prst="rect">
                      <a:avLst/>
                    </a:prstGeom>
                    <a:noFill/>
                    <a:ln w="9525">
                      <a:noFill/>
                    </a:ln>
                  </pic:spPr>
                </pic:pic>
              </a:graphicData>
            </a:graphic>
          </wp:inline>
        </w:drawing>
      </w:r>
    </w:p>
    <w:p>
      <w:pPr>
        <w:spacing w:line="360" w:lineRule="auto"/>
        <w:ind w:firstLine="480" w:firstLineChars="200"/>
        <w:rPr>
          <w:rFonts w:ascii="仿宋_GB2312" w:hAnsi="Arial Narrow" w:eastAsia="仿宋_GB2312" w:cs="Arial"/>
          <w:sz w:val="24"/>
        </w:rPr>
      </w:pPr>
      <w:r>
        <w:rPr>
          <w:rFonts w:hint="eastAsia" w:ascii="仿宋_GB2312" w:hAnsi="Arial Narrow" w:eastAsia="仿宋_GB2312" w:cs="Arial"/>
          <w:sz w:val="24"/>
        </w:rPr>
        <w:t>2.（</w:t>
      </w:r>
      <w:r>
        <w:rPr>
          <w:rFonts w:ascii="仿宋_GB2312" w:hAnsi="Arial Narrow" w:eastAsia="仿宋_GB2312" w:cs="Arial"/>
          <w:sz w:val="24"/>
        </w:rPr>
        <w:t>判断</w:t>
      </w:r>
      <w:r>
        <w:rPr>
          <w:rFonts w:hint="eastAsia" w:ascii="仿宋_GB2312" w:hAnsi="Arial Narrow" w:eastAsia="仿宋_GB2312" w:cs="Arial"/>
          <w:sz w:val="24"/>
        </w:rPr>
        <w:t>）第五套人民币各面额纸币正面行名下方胶印底纹处，在特定波长的紫外光下可以看到该券别面额数字，该图案采用了无色荧光油墨印刷，可供机读。</w:t>
      </w:r>
      <w:r>
        <w:rPr>
          <w:rFonts w:ascii="仿宋_GB2312" w:hAnsi="Arial Narrow" w:eastAsia="仿宋_GB2312" w:cs="Arial"/>
          <w:sz w:val="24"/>
        </w:rPr>
        <w:t>（    ）</w:t>
      </w:r>
    </w:p>
    <w:p>
      <w:pPr>
        <w:spacing w:line="360" w:lineRule="auto"/>
        <w:ind w:firstLine="480" w:firstLineChars="200"/>
        <w:rPr>
          <w:rFonts w:ascii="仿宋_GB2312" w:hAnsi="Arial Narrow" w:eastAsia="仿宋_GB2312" w:cs="Arial"/>
          <w:sz w:val="24"/>
        </w:rPr>
      </w:pPr>
      <w:r>
        <w:rPr>
          <w:rFonts w:ascii="仿宋_GB2312" w:hAnsi="Arial Narrow" w:eastAsia="仿宋_GB2312" w:cs="Arial"/>
          <w:sz w:val="24"/>
        </w:rPr>
        <w:t>A.</w:t>
      </w:r>
      <w:r>
        <w:rPr>
          <w:rFonts w:hint="eastAsia" w:ascii="仿宋_GB2312" w:hAnsi="Arial Narrow" w:eastAsia="仿宋_GB2312" w:cs="Arial"/>
          <w:sz w:val="24"/>
        </w:rPr>
        <w:t>正确</w:t>
      </w:r>
    </w:p>
    <w:p>
      <w:pPr>
        <w:spacing w:line="360" w:lineRule="auto"/>
        <w:ind w:firstLine="480" w:firstLineChars="200"/>
        <w:rPr>
          <w:rFonts w:ascii="仿宋_GB2312" w:hAnsi="Arial Narrow" w:eastAsia="仿宋_GB2312" w:cs="Arial"/>
          <w:sz w:val="24"/>
        </w:rPr>
      </w:pPr>
      <w:r>
        <w:rPr>
          <w:rFonts w:ascii="仿宋_GB2312" w:hAnsi="Arial Narrow" w:eastAsia="仿宋_GB2312" w:cs="Arial"/>
          <w:sz w:val="24"/>
        </w:rPr>
        <w:t>B.</w:t>
      </w:r>
      <w:r>
        <w:rPr>
          <w:rFonts w:hint="eastAsia" w:ascii="仿宋_GB2312" w:hAnsi="Arial Narrow" w:eastAsia="仿宋_GB2312" w:cs="Arial"/>
          <w:sz w:val="24"/>
        </w:rPr>
        <w:t>错误</w:t>
      </w:r>
    </w:p>
    <w:p>
      <w:pPr>
        <w:spacing w:line="360" w:lineRule="auto"/>
        <w:ind w:firstLine="480" w:firstLineChars="200"/>
        <w:rPr>
          <w:rFonts w:ascii="仿宋_GB2312" w:hAnsi="Arial Narrow" w:eastAsia="仿宋_GB2312" w:cs="Arial"/>
          <w:sz w:val="24"/>
        </w:rPr>
      </w:pPr>
      <w:r>
        <w:rPr>
          <w:rFonts w:hint="eastAsia" w:ascii="仿宋_GB2312" w:hAnsi="Arial Narrow" w:eastAsia="仿宋_GB2312" w:cs="Arial"/>
          <w:sz w:val="24"/>
        </w:rPr>
        <w:t>3.（</w:t>
      </w:r>
      <w:r>
        <w:rPr>
          <w:rFonts w:ascii="仿宋_GB2312" w:hAnsi="Arial Narrow" w:eastAsia="仿宋_GB2312" w:cs="Arial"/>
          <w:sz w:val="24"/>
        </w:rPr>
        <w:t>多选</w:t>
      </w:r>
      <w:r>
        <w:rPr>
          <w:rFonts w:hint="eastAsia" w:ascii="仿宋_GB2312" w:hAnsi="Arial Narrow" w:eastAsia="仿宋_GB2312" w:cs="Arial"/>
          <w:sz w:val="24"/>
        </w:rPr>
        <w:t>）第五套人民币的水印图案有</w:t>
      </w:r>
      <w:r>
        <w:rPr>
          <w:rFonts w:ascii="仿宋_GB2312" w:hAnsi="Arial Narrow" w:eastAsia="仿宋_GB2312" w:cs="Arial"/>
          <w:sz w:val="24"/>
        </w:rPr>
        <w:t>（    ）</w:t>
      </w:r>
      <w:r>
        <w:rPr>
          <w:rFonts w:hint="eastAsia" w:ascii="仿宋_GB2312" w:hAnsi="Arial Narrow" w:eastAsia="仿宋_GB2312" w:cs="Arial"/>
          <w:sz w:val="24"/>
        </w:rPr>
        <w:t>。</w:t>
      </w:r>
    </w:p>
    <w:p>
      <w:pPr>
        <w:spacing w:line="360" w:lineRule="auto"/>
        <w:ind w:firstLine="480" w:firstLineChars="200"/>
        <w:rPr>
          <w:rFonts w:ascii="仿宋_GB2312" w:hAnsi="Arial Narrow" w:eastAsia="仿宋_GB2312" w:cs="Arial"/>
          <w:sz w:val="24"/>
        </w:rPr>
      </w:pPr>
      <w:r>
        <w:rPr>
          <w:rFonts w:ascii="仿宋_GB2312" w:hAnsi="Arial Narrow" w:eastAsia="仿宋_GB2312" w:cs="Arial"/>
          <w:sz w:val="24"/>
        </w:rPr>
        <w:t>A.</w:t>
      </w:r>
      <w:r>
        <w:rPr>
          <w:rFonts w:hint="eastAsia" w:ascii="仿宋_GB2312" w:hAnsi="Arial Narrow" w:eastAsia="仿宋_GB2312" w:cs="Arial"/>
          <w:sz w:val="24"/>
        </w:rPr>
        <w:t>毛泽东头像</w:t>
      </w:r>
    </w:p>
    <w:p>
      <w:pPr>
        <w:spacing w:line="360" w:lineRule="auto"/>
        <w:ind w:firstLine="480" w:firstLineChars="200"/>
        <w:rPr>
          <w:rFonts w:ascii="仿宋_GB2312" w:hAnsi="Arial Narrow" w:eastAsia="仿宋_GB2312" w:cs="Arial"/>
          <w:sz w:val="24"/>
        </w:rPr>
      </w:pPr>
      <w:r>
        <w:rPr>
          <w:rFonts w:ascii="仿宋_GB2312" w:hAnsi="Arial Narrow" w:eastAsia="仿宋_GB2312" w:cs="Arial"/>
          <w:sz w:val="24"/>
        </w:rPr>
        <w:t>B.</w:t>
      </w:r>
      <w:r>
        <w:rPr>
          <w:rFonts w:hint="eastAsia" w:ascii="仿宋_GB2312" w:hAnsi="Arial Narrow" w:eastAsia="仿宋_GB2312" w:cs="Arial"/>
          <w:sz w:val="24"/>
        </w:rPr>
        <w:t>工人头像</w:t>
      </w:r>
    </w:p>
    <w:p>
      <w:pPr>
        <w:spacing w:line="360" w:lineRule="auto"/>
        <w:ind w:firstLine="480" w:firstLineChars="200"/>
        <w:rPr>
          <w:rFonts w:ascii="仿宋_GB2312" w:hAnsi="Arial Narrow" w:eastAsia="仿宋_GB2312" w:cs="Arial"/>
          <w:sz w:val="24"/>
        </w:rPr>
      </w:pPr>
      <w:r>
        <w:rPr>
          <w:rFonts w:ascii="仿宋_GB2312" w:hAnsi="Arial Narrow" w:eastAsia="仿宋_GB2312" w:cs="Arial"/>
          <w:sz w:val="24"/>
        </w:rPr>
        <w:t>C.</w:t>
      </w:r>
      <w:r>
        <w:rPr>
          <w:rFonts w:hint="eastAsia" w:ascii="仿宋_GB2312" w:hAnsi="Arial Narrow" w:eastAsia="仿宋_GB2312" w:cs="Arial"/>
          <w:sz w:val="24"/>
        </w:rPr>
        <w:t>天安门</w:t>
      </w:r>
    </w:p>
    <w:p>
      <w:pPr>
        <w:spacing w:line="360" w:lineRule="auto"/>
        <w:ind w:firstLine="480" w:firstLineChars="200"/>
        <w:rPr>
          <w:rFonts w:ascii="仿宋_GB2312" w:hAnsi="Arial Narrow" w:eastAsia="仿宋_GB2312" w:cs="Arial"/>
          <w:sz w:val="24"/>
        </w:rPr>
      </w:pPr>
      <w:r>
        <w:rPr>
          <w:rFonts w:ascii="仿宋_GB2312" w:hAnsi="Arial Narrow" w:eastAsia="仿宋_GB2312" w:cs="Arial"/>
          <w:sz w:val="24"/>
        </w:rPr>
        <w:t>D.</w:t>
      </w:r>
      <w:r>
        <w:rPr>
          <w:rFonts w:hint="eastAsia" w:ascii="仿宋_GB2312" w:hAnsi="Arial Narrow" w:eastAsia="仿宋_GB2312" w:cs="Arial"/>
          <w:sz w:val="24"/>
        </w:rPr>
        <w:t>水仙花</w:t>
      </w:r>
    </w:p>
    <w:p>
      <w:pPr>
        <w:spacing w:line="360" w:lineRule="auto"/>
        <w:ind w:firstLine="480" w:firstLineChars="200"/>
        <w:rPr>
          <w:rFonts w:ascii="仿宋_GB2312" w:hAnsi="Arial Narrow" w:eastAsia="仿宋_GB2312" w:cs="Arial"/>
          <w:sz w:val="24"/>
        </w:rPr>
      </w:pPr>
      <w:r>
        <w:rPr>
          <w:rFonts w:hint="eastAsia" w:ascii="仿宋_GB2312" w:hAnsi="Arial Narrow" w:eastAsia="仿宋_GB2312" w:cs="Arial"/>
          <w:sz w:val="24"/>
        </w:rPr>
        <w:t>（</w:t>
      </w:r>
      <w:r>
        <w:rPr>
          <w:rFonts w:ascii="仿宋_GB2312" w:hAnsi="Arial Narrow" w:eastAsia="仿宋_GB2312" w:cs="Arial"/>
          <w:sz w:val="24"/>
        </w:rPr>
        <w:t>实务题</w:t>
      </w:r>
      <w:r>
        <w:rPr>
          <w:rFonts w:hint="eastAsia" w:ascii="仿宋_GB2312" w:hAnsi="Arial Narrow" w:eastAsia="仿宋_GB2312" w:cs="Arial"/>
          <w:sz w:val="24"/>
        </w:rPr>
        <w:t>）下图为2015年版第五套人民币100元纸币，共有7个防伪特征，分别是：①雕刻凹凸 ②横竖双号码 ③光变镂空开窗安全线 ④人像水印 ⑤胶印对印图案 ⑥光彩光变数字 ⑦白水印。根据图片标识的数字，选择与之对应的防伪特征排列顺序（ ）。</w:t>
      </w:r>
    </w:p>
    <w:p>
      <w:pPr>
        <w:spacing w:line="360" w:lineRule="auto"/>
        <w:jc w:val="center"/>
        <w:rPr>
          <w:rFonts w:ascii="仿宋" w:hAnsi="仿宋" w:eastAsia="仿宋" w:cs="仿宋"/>
          <w:sz w:val="28"/>
          <w:szCs w:val="28"/>
        </w:rPr>
      </w:pPr>
      <w:r>
        <w:rPr>
          <w:rFonts w:ascii="仿宋" w:hAnsi="仿宋" w:eastAsia="仿宋" w:cs="仿宋"/>
          <w:sz w:val="28"/>
          <w:szCs w:val="28"/>
        </w:rPr>
        <w:drawing>
          <wp:inline distT="0" distB="0" distL="0" distR="0">
            <wp:extent cx="4733925" cy="2215515"/>
            <wp:effectExtent l="0" t="0" r="9525" b="13335"/>
            <wp:docPr id="56" name="图片 56" descr="http://192.168.5.141:8001/../TempImageFiles/txtTitle/201705291657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http://192.168.5.141:8001/../TempImageFiles/txtTitle/20170529165733.png"/>
                    <pic:cNvPicPr>
                      <a:picLocks noChangeAspect="1" noChangeArrowheads="1"/>
                    </pic:cNvPicPr>
                  </pic:nvPicPr>
                  <pic:blipFill>
                    <a:blip r:embed="rId12"/>
                    <a:srcRect/>
                    <a:stretch>
                      <a:fillRect/>
                    </a:stretch>
                  </pic:blipFill>
                  <pic:spPr>
                    <a:xfrm>
                      <a:off x="0" y="0"/>
                      <a:ext cx="4736914" cy="2216852"/>
                    </a:xfrm>
                    <a:prstGeom prst="rect">
                      <a:avLst/>
                    </a:prstGeom>
                    <a:noFill/>
                    <a:ln w="9525">
                      <a:noFill/>
                      <a:miter lim="800000"/>
                      <a:headEnd/>
                      <a:tailEnd/>
                    </a:ln>
                  </pic:spPr>
                </pic:pic>
              </a:graphicData>
            </a:graphic>
          </wp:inline>
        </w:drawing>
      </w:r>
    </w:p>
    <w:p>
      <w:pPr>
        <w:spacing w:line="360" w:lineRule="auto"/>
        <w:jc w:val="center"/>
        <w:rPr>
          <w:rFonts w:ascii="仿宋" w:hAnsi="仿宋" w:eastAsia="仿宋" w:cs="仿宋"/>
          <w:sz w:val="28"/>
          <w:szCs w:val="28"/>
        </w:rPr>
      </w:pPr>
      <w:r>
        <w:rPr>
          <w:rFonts w:ascii="仿宋" w:hAnsi="仿宋" w:eastAsia="仿宋" w:cs="仿宋"/>
          <w:sz w:val="28"/>
          <w:szCs w:val="28"/>
        </w:rPr>
        <w:drawing>
          <wp:inline distT="0" distB="0" distL="0" distR="0">
            <wp:extent cx="4657090" cy="2179320"/>
            <wp:effectExtent l="0" t="0" r="10160" b="11430"/>
            <wp:docPr id="57" name="图片 57" descr="http://192.168.5.141:8001/../TempImageFiles/txtTitle/201705291657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http://192.168.5.141:8001/../TempImageFiles/txtTitle/20170529165740.png"/>
                    <pic:cNvPicPr>
                      <a:picLocks noChangeAspect="1" noChangeArrowheads="1"/>
                    </pic:cNvPicPr>
                  </pic:nvPicPr>
                  <pic:blipFill>
                    <a:blip r:embed="rId13"/>
                    <a:srcRect/>
                    <a:stretch>
                      <a:fillRect/>
                    </a:stretch>
                  </pic:blipFill>
                  <pic:spPr>
                    <a:xfrm>
                      <a:off x="0" y="0"/>
                      <a:ext cx="4664425" cy="2182927"/>
                    </a:xfrm>
                    <a:prstGeom prst="rect">
                      <a:avLst/>
                    </a:prstGeom>
                    <a:noFill/>
                    <a:ln w="9525">
                      <a:noFill/>
                      <a:miter lim="800000"/>
                      <a:headEnd/>
                      <a:tailEnd/>
                    </a:ln>
                  </pic:spPr>
                </pic:pic>
              </a:graphicData>
            </a:graphic>
          </wp:inline>
        </w:drawing>
      </w:r>
    </w:p>
    <w:p>
      <w:pPr>
        <w:spacing w:line="360" w:lineRule="auto"/>
        <w:rPr>
          <w:rFonts w:ascii="仿宋" w:hAnsi="仿宋" w:eastAsia="仿宋" w:cs="仿宋"/>
          <w:sz w:val="24"/>
        </w:rPr>
      </w:pPr>
      <w:r>
        <w:rPr>
          <w:rFonts w:hint="eastAsia" w:ascii="仿宋" w:hAnsi="仿宋" w:eastAsia="仿宋" w:cs="仿宋"/>
          <w:sz w:val="24"/>
        </w:rPr>
        <w:t>A</w:t>
      </w:r>
      <w:r>
        <w:rPr>
          <w:rFonts w:hint="eastAsia" w:ascii="仿宋" w:hAnsi="仿宋" w:eastAsia="仿宋" w:cs="仿宋"/>
          <w:sz w:val="24"/>
          <w:lang w:val="en-US" w:eastAsia="zh-CN"/>
        </w:rPr>
        <w:t>.</w:t>
      </w:r>
      <w:r>
        <w:rPr>
          <w:rFonts w:hint="eastAsia" w:ascii="仿宋" w:hAnsi="仿宋" w:eastAsia="仿宋" w:cs="仿宋"/>
          <w:sz w:val="24"/>
        </w:rPr>
        <w:t xml:space="preserve">⑦⑤④①③②⑥ </w:t>
      </w:r>
    </w:p>
    <w:p>
      <w:pPr>
        <w:spacing w:line="360" w:lineRule="auto"/>
        <w:rPr>
          <w:rFonts w:ascii="仿宋" w:hAnsi="仿宋" w:eastAsia="仿宋" w:cs="仿宋"/>
          <w:sz w:val="24"/>
        </w:rPr>
      </w:pPr>
      <w:r>
        <w:rPr>
          <w:rFonts w:hint="eastAsia" w:ascii="仿宋" w:hAnsi="仿宋" w:eastAsia="仿宋" w:cs="仿宋"/>
          <w:sz w:val="24"/>
        </w:rPr>
        <w:t>B</w:t>
      </w:r>
      <w:r>
        <w:rPr>
          <w:rFonts w:hint="eastAsia" w:ascii="仿宋" w:hAnsi="仿宋" w:eastAsia="仿宋" w:cs="仿宋"/>
          <w:sz w:val="24"/>
          <w:lang w:val="en-US" w:eastAsia="zh-CN"/>
        </w:rPr>
        <w:t>.</w:t>
      </w:r>
      <w:r>
        <w:rPr>
          <w:rFonts w:hint="eastAsia" w:ascii="仿宋" w:hAnsi="仿宋" w:eastAsia="仿宋" w:cs="仿宋"/>
          <w:sz w:val="24"/>
        </w:rPr>
        <w:t xml:space="preserve">⑦③①④⑥⑤② </w:t>
      </w:r>
    </w:p>
    <w:p>
      <w:pPr>
        <w:spacing w:line="360" w:lineRule="auto"/>
        <w:rPr>
          <w:rFonts w:ascii="仿宋" w:hAnsi="仿宋" w:eastAsia="仿宋" w:cs="仿宋"/>
          <w:sz w:val="24"/>
        </w:rPr>
      </w:pPr>
      <w:r>
        <w:rPr>
          <w:rFonts w:hint="eastAsia" w:ascii="仿宋" w:hAnsi="仿宋" w:eastAsia="仿宋" w:cs="仿宋"/>
          <w:sz w:val="24"/>
        </w:rPr>
        <w:t>C</w:t>
      </w:r>
      <w:r>
        <w:rPr>
          <w:rFonts w:hint="eastAsia" w:ascii="仿宋" w:hAnsi="仿宋" w:eastAsia="仿宋" w:cs="仿宋"/>
          <w:sz w:val="24"/>
          <w:lang w:val="en-US" w:eastAsia="zh-CN"/>
        </w:rPr>
        <w:t>.</w:t>
      </w:r>
      <w:r>
        <w:rPr>
          <w:rFonts w:hint="eastAsia" w:ascii="仿宋" w:hAnsi="仿宋" w:eastAsia="仿宋" w:cs="仿宋"/>
          <w:sz w:val="24"/>
        </w:rPr>
        <w:t xml:space="preserve">⑦⑤①③④②⑥ </w:t>
      </w:r>
    </w:p>
    <w:p>
      <w:pPr>
        <w:spacing w:line="360" w:lineRule="auto"/>
        <w:rPr>
          <w:rFonts w:ascii="仿宋_GB2312" w:hAnsi="Arial Narrow" w:eastAsia="仿宋_GB2312" w:cs="Arial"/>
          <w:sz w:val="24"/>
        </w:rPr>
      </w:pPr>
      <w:r>
        <w:rPr>
          <w:rFonts w:hint="eastAsia" w:ascii="仿宋" w:hAnsi="仿宋" w:eastAsia="仿宋" w:cs="仿宋"/>
          <w:sz w:val="24"/>
        </w:rPr>
        <w:t>D</w:t>
      </w:r>
      <w:r>
        <w:rPr>
          <w:rFonts w:hint="eastAsia" w:ascii="仿宋" w:hAnsi="仿宋" w:eastAsia="仿宋" w:cs="仿宋"/>
          <w:sz w:val="24"/>
          <w:lang w:val="en-US" w:eastAsia="zh-CN"/>
        </w:rPr>
        <w:t>.</w:t>
      </w:r>
      <w:r>
        <w:rPr>
          <w:rFonts w:hint="eastAsia" w:ascii="仿宋" w:hAnsi="仿宋" w:eastAsia="仿宋" w:cs="仿宋"/>
          <w:sz w:val="24"/>
        </w:rPr>
        <w:t xml:space="preserve">⑦⑤①⑥④②③ </w:t>
      </w:r>
    </w:p>
    <w:p>
      <w:pPr>
        <w:snapToGrid w:val="0"/>
        <w:spacing w:line="360" w:lineRule="auto"/>
        <w:ind w:left="420"/>
        <w:outlineLvl w:val="0"/>
        <w:rPr>
          <w:rFonts w:ascii="Arial Narrow" w:hAnsi="Arial Narrow" w:eastAsia="仿宋_GB2312" w:cs="Arial"/>
          <w:b/>
          <w:sz w:val="28"/>
          <w:szCs w:val="28"/>
        </w:rPr>
      </w:pPr>
    </w:p>
    <w:p>
      <w:pPr>
        <w:snapToGrid w:val="0"/>
        <w:spacing w:line="360" w:lineRule="auto"/>
        <w:ind w:left="420"/>
        <w:outlineLvl w:val="0"/>
        <w:rPr>
          <w:rFonts w:ascii="Arial Narrow" w:hAnsi="Arial Narrow" w:eastAsia="仿宋_GB2312" w:cs="Arial"/>
          <w:b/>
          <w:sz w:val="24"/>
        </w:rPr>
      </w:pPr>
      <w:r>
        <w:rPr>
          <w:rFonts w:hint="eastAsia" w:ascii="Arial Narrow" w:hAnsi="Arial Narrow" w:eastAsia="仿宋_GB2312" w:cs="Arial"/>
          <w:b/>
          <w:sz w:val="24"/>
        </w:rPr>
        <w:t>（三）“银行业务能力”竞赛</w:t>
      </w:r>
    </w:p>
    <w:p>
      <w:pPr>
        <w:pStyle w:val="2"/>
        <w:numPr>
          <w:ilvl w:val="0"/>
          <w:numId w:val="5"/>
        </w:numPr>
        <w:spacing w:line="360" w:lineRule="auto"/>
        <w:ind w:firstLine="560"/>
        <w:rPr>
          <w:rFonts w:ascii="仿宋_GB2312" w:hAnsi="仿宋_GB2312" w:eastAsia="仿宋_GB2312" w:cs="仿宋_GB2312"/>
          <w:sz w:val="24"/>
          <w:szCs w:val="24"/>
        </w:rPr>
      </w:pPr>
      <w:r>
        <w:rPr>
          <w:rFonts w:hint="eastAsia" w:ascii="仿宋_GB2312" w:hAnsi="仿宋_GB2312" w:eastAsia="仿宋_GB2312" w:cs="仿宋_GB2312"/>
          <w:sz w:val="24"/>
          <w:szCs w:val="24"/>
        </w:rPr>
        <w:t>银行综合业务</w:t>
      </w:r>
    </w:p>
    <w:p>
      <w:pPr>
        <w:snapToGrid w:val="0"/>
        <w:spacing w:line="360" w:lineRule="auto"/>
        <w:jc w:val="left"/>
        <w:rPr>
          <w:rFonts w:ascii="仿宋_GB2312" w:hAnsi="微软雅黑" w:eastAsia="仿宋_GB2312" w:cs="Arial"/>
          <w:sz w:val="24"/>
        </w:rPr>
      </w:pPr>
      <w:r>
        <w:rPr>
          <w:rFonts w:hint="eastAsia" w:ascii="仿宋_GB2312" w:hAnsi="微软雅黑" w:eastAsia="仿宋_GB2312" w:cs="Arial"/>
          <w:b/>
          <w:bCs/>
          <w:sz w:val="24"/>
        </w:rPr>
        <w:t>任务1</w:t>
      </w:r>
      <w:r>
        <w:rPr>
          <w:rFonts w:hint="eastAsia" w:ascii="仿宋_GB2312" w:hAnsi="微软雅黑" w:eastAsia="仿宋_GB2312" w:cs="Arial"/>
          <w:sz w:val="24"/>
        </w:rPr>
        <w:t>：柜员岗前准备</w:t>
      </w:r>
    </w:p>
    <w:p>
      <w:pPr>
        <w:snapToGrid w:val="0"/>
        <w:spacing w:line="360" w:lineRule="auto"/>
        <w:jc w:val="left"/>
        <w:rPr>
          <w:rFonts w:ascii="仿宋_GB2312" w:hAnsi="微软雅黑" w:eastAsia="仿宋_GB2312" w:cs="Arial"/>
          <w:sz w:val="24"/>
        </w:rPr>
      </w:pPr>
      <w:r>
        <w:rPr>
          <w:rFonts w:hint="eastAsia" w:ascii="仿宋_GB2312" w:hAnsi="微软雅黑" w:eastAsia="仿宋_GB2312" w:cs="Arial"/>
          <w:b/>
          <w:bCs/>
          <w:sz w:val="24"/>
        </w:rPr>
        <w:t>任务说明</w:t>
      </w:r>
      <w:r>
        <w:rPr>
          <w:rFonts w:hint="eastAsia" w:ascii="仿宋_GB2312" w:hAnsi="微软雅黑" w:eastAsia="仿宋_GB2312" w:cs="Arial"/>
          <w:sz w:val="24"/>
        </w:rPr>
        <w:t>：</w:t>
      </w:r>
    </w:p>
    <w:p>
      <w:pPr>
        <w:snapToGrid w:val="0"/>
        <w:spacing w:line="360" w:lineRule="auto"/>
        <w:jc w:val="left"/>
        <w:rPr>
          <w:rFonts w:ascii="仿宋_GB2312" w:hAnsi="微软雅黑" w:eastAsia="仿宋_GB2312" w:cs="Arial"/>
          <w:sz w:val="24"/>
        </w:rPr>
      </w:pPr>
      <w:r>
        <w:rPr>
          <w:rFonts w:hint="eastAsia" w:ascii="仿宋_GB2312" w:hAnsi="微软雅黑" w:eastAsia="仿宋_GB2312" w:cs="Arial"/>
          <w:sz w:val="24"/>
        </w:rPr>
        <w:t xml:space="preserve">    银行柜员在每日营业开始前需进行岗前准备操作，完成现金及重要凭证出库。现将“借记卡”、“普通存折”、“双整存单”、“定活存单”、“银行承兑汇票”、“单位定期存款开户证实书”等凭证各20张出库，“现金支票”“转账支票”各两本及人民币现金10万元出库到柜员个人钱箱。</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任务2</w:t>
      </w:r>
      <w:r>
        <w:rPr>
          <w:rFonts w:hint="eastAsia" w:ascii="仿宋_GB2312" w:hAnsi="微软雅黑" w:eastAsia="仿宋_GB2312" w:cs="Arial"/>
          <w:sz w:val="24"/>
        </w:rPr>
        <w:t>：个人客户储蓄开户业务</w:t>
      </w:r>
    </w:p>
    <w:p>
      <w:pPr>
        <w:snapToGrid w:val="0"/>
        <w:spacing w:line="360" w:lineRule="auto"/>
        <w:jc w:val="left"/>
        <w:rPr>
          <w:rFonts w:ascii="仿宋_GB2312" w:hAnsi="微软雅黑" w:eastAsia="仿宋_GB2312" w:cs="Arial"/>
          <w:sz w:val="24"/>
        </w:rPr>
      </w:pPr>
      <w:r>
        <w:rPr>
          <w:rFonts w:hint="eastAsia" w:ascii="仿宋_GB2312" w:hAnsi="微软雅黑" w:eastAsia="仿宋_GB2312" w:cs="Arial"/>
          <w:b/>
          <w:bCs/>
          <w:sz w:val="24"/>
        </w:rPr>
        <w:t>任务说明</w:t>
      </w:r>
      <w:r>
        <w:rPr>
          <w:rFonts w:hint="eastAsia" w:ascii="仿宋_GB2312" w:hAnsi="微软雅黑" w:eastAsia="仿宋_GB2312" w:cs="Arial"/>
          <w:sz w:val="24"/>
        </w:rPr>
        <w:t>：</w:t>
      </w:r>
    </w:p>
    <w:p>
      <w:pPr>
        <w:snapToGrid w:val="0"/>
        <w:spacing w:line="360" w:lineRule="auto"/>
        <w:jc w:val="left"/>
        <w:rPr>
          <w:rFonts w:ascii="仿宋_GB2312" w:hAnsi="微软雅黑" w:eastAsia="仿宋_GB2312" w:cs="Arial"/>
          <w:sz w:val="24"/>
        </w:rPr>
      </w:pPr>
      <w:r>
        <w:rPr>
          <w:rFonts w:hint="eastAsia" w:ascii="仿宋_GB2312" w:hAnsi="微软雅黑" w:eastAsia="仿宋_GB2312" w:cs="Arial"/>
          <w:sz w:val="24"/>
        </w:rPr>
        <w:t xml:space="preserve">    张大伟先生携带身份证（身份证号码：615179198511015932；家庭地址：北京东城区桃源小区16栋801室；电话：010-86845321）和30000元现金来我行办理储蓄开户业务，该客户要求分别办理借记卡</w:t>
      </w:r>
      <w:r>
        <w:rPr>
          <w:rFonts w:hint="eastAsia" w:ascii="仿宋" w:hAnsi="仿宋" w:eastAsia="仿宋" w:cs="仿宋"/>
          <w:sz w:val="24"/>
        </w:rPr>
        <w:t>Ⅰ</w:t>
      </w:r>
      <w:r>
        <w:rPr>
          <w:rFonts w:hint="eastAsia" w:ascii="仿宋_GB2312" w:hAnsi="微软雅黑" w:eastAsia="仿宋_GB2312" w:cs="Arial"/>
          <w:sz w:val="24"/>
        </w:rPr>
        <w:t>类账户、</w:t>
      </w:r>
      <w:r>
        <w:rPr>
          <w:rFonts w:hint="eastAsia" w:ascii="仿宋" w:hAnsi="仿宋" w:eastAsia="仿宋" w:cs="仿宋"/>
          <w:sz w:val="24"/>
        </w:rPr>
        <w:t>Ⅱ类账户、Ⅲ类账户各</w:t>
      </w:r>
      <w:r>
        <w:rPr>
          <w:rFonts w:hint="eastAsia" w:ascii="仿宋_GB2312" w:hAnsi="微软雅黑" w:eastAsia="仿宋_GB2312" w:cs="Arial"/>
          <w:sz w:val="24"/>
        </w:rPr>
        <w:t>一个。同时为其开通的</w:t>
      </w:r>
      <w:r>
        <w:rPr>
          <w:rFonts w:hint="eastAsia" w:ascii="仿宋" w:hAnsi="仿宋" w:eastAsia="仿宋" w:cs="仿宋"/>
          <w:sz w:val="24"/>
        </w:rPr>
        <w:t>Ⅰ</w:t>
      </w:r>
      <w:r>
        <w:rPr>
          <w:rFonts w:hint="eastAsia" w:ascii="仿宋_GB2312" w:hAnsi="微软雅黑" w:eastAsia="仿宋_GB2312" w:cs="Arial"/>
          <w:sz w:val="24"/>
        </w:rPr>
        <w:t>类账户办理相关业务：通知期为七天的通知存款账户、定活两便账户、普通活期存款账户、存期为一年的整存整取账户、存期为三年的零存整取账户，共计五个子账户，分别存入人民币40000元、20000、123900元、50000元、30000元。</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任务3</w:t>
      </w:r>
      <w:r>
        <w:rPr>
          <w:rFonts w:hint="eastAsia" w:ascii="仿宋_GB2312" w:hAnsi="微软雅黑" w:eastAsia="仿宋_GB2312" w:cs="Arial"/>
          <w:sz w:val="24"/>
        </w:rPr>
        <w:t>：个人特殊业务</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任务说明</w:t>
      </w:r>
      <w:r>
        <w:rPr>
          <w:rFonts w:hint="eastAsia" w:ascii="仿宋_GB2312" w:hAnsi="微软雅黑" w:eastAsia="仿宋_GB2312" w:cs="Arial"/>
          <w:sz w:val="24"/>
        </w:rPr>
        <w:t>：</w:t>
      </w:r>
    </w:p>
    <w:p>
      <w:pPr>
        <w:snapToGrid w:val="0"/>
        <w:spacing w:line="360" w:lineRule="auto"/>
        <w:ind w:firstLine="480" w:firstLineChars="200"/>
        <w:rPr>
          <w:rFonts w:ascii="仿宋_GB2312" w:hAnsi="微软雅黑" w:eastAsia="仿宋_GB2312" w:cs="Arial"/>
          <w:sz w:val="24"/>
        </w:rPr>
      </w:pPr>
      <w:r>
        <w:rPr>
          <w:rFonts w:hint="eastAsia" w:ascii="仿宋_GB2312" w:hAnsi="微软雅黑" w:eastAsia="仿宋_GB2312" w:cs="Arial"/>
          <w:sz w:val="24"/>
        </w:rPr>
        <w:t>（1）客户张大伟来我行办理</w:t>
      </w:r>
      <w:r>
        <w:rPr>
          <w:rFonts w:hint="eastAsia" w:ascii="仿宋" w:hAnsi="仿宋" w:eastAsia="仿宋" w:cs="仿宋"/>
          <w:sz w:val="24"/>
        </w:rPr>
        <w:t>Ⅲ类账户</w:t>
      </w:r>
      <w:r>
        <w:rPr>
          <w:rFonts w:hint="eastAsia" w:ascii="仿宋_GB2312" w:hAnsi="微软雅黑" w:eastAsia="仿宋_GB2312" w:cs="Arial"/>
          <w:sz w:val="24"/>
        </w:rPr>
        <w:t>借记卡口头挂失业务；</w:t>
      </w:r>
    </w:p>
    <w:p>
      <w:pPr>
        <w:snapToGrid w:val="0"/>
        <w:spacing w:line="360" w:lineRule="auto"/>
        <w:ind w:firstLine="480" w:firstLineChars="200"/>
        <w:rPr>
          <w:rFonts w:ascii="仿宋_GB2312" w:hAnsi="微软雅黑" w:eastAsia="仿宋_GB2312" w:cs="Arial"/>
          <w:sz w:val="24"/>
        </w:rPr>
      </w:pPr>
      <w:r>
        <w:rPr>
          <w:rFonts w:hint="eastAsia" w:ascii="仿宋_GB2312" w:hAnsi="微软雅黑" w:eastAsia="仿宋_GB2312" w:cs="Arial"/>
          <w:sz w:val="24"/>
        </w:rPr>
        <w:t>（2）客户张大伟找到了</w:t>
      </w:r>
      <w:r>
        <w:rPr>
          <w:rFonts w:hint="eastAsia" w:ascii="仿宋" w:hAnsi="仿宋" w:eastAsia="仿宋" w:cs="仿宋"/>
          <w:sz w:val="24"/>
        </w:rPr>
        <w:t>Ⅲ类账户</w:t>
      </w:r>
      <w:r>
        <w:rPr>
          <w:rFonts w:hint="eastAsia" w:ascii="仿宋_GB2312" w:hAnsi="微软雅黑" w:eastAsia="仿宋_GB2312" w:cs="Arial"/>
          <w:sz w:val="24"/>
        </w:rPr>
        <w:t>借记卡，前来银行要求对已挂失的借记卡解挂；</w:t>
      </w:r>
    </w:p>
    <w:p>
      <w:pPr>
        <w:snapToGrid w:val="0"/>
        <w:spacing w:line="360" w:lineRule="auto"/>
        <w:ind w:firstLine="480" w:firstLineChars="200"/>
        <w:rPr>
          <w:rFonts w:ascii="仿宋_GB2312" w:hAnsi="微软雅黑" w:eastAsia="仿宋_GB2312" w:cs="Arial"/>
          <w:sz w:val="24"/>
        </w:rPr>
      </w:pPr>
      <w:r>
        <w:rPr>
          <w:rFonts w:hint="eastAsia" w:ascii="仿宋_GB2312" w:hAnsi="微软雅黑" w:eastAsia="仿宋_GB2312" w:cs="Arial"/>
          <w:sz w:val="24"/>
        </w:rPr>
        <w:t>（3）客户张大伟忘记</w:t>
      </w:r>
      <w:r>
        <w:rPr>
          <w:rFonts w:hint="eastAsia" w:ascii="仿宋" w:hAnsi="仿宋" w:eastAsia="仿宋" w:cs="仿宋"/>
          <w:sz w:val="24"/>
        </w:rPr>
        <w:t>Ⅰ</w:t>
      </w:r>
      <w:r>
        <w:rPr>
          <w:rFonts w:hint="eastAsia" w:ascii="仿宋_GB2312" w:hAnsi="微软雅黑" w:eastAsia="仿宋_GB2312" w:cs="Arial"/>
          <w:sz w:val="24"/>
        </w:rPr>
        <w:t>类账户借记卡密码，前来我行办理密码重置业务；</w:t>
      </w:r>
    </w:p>
    <w:p>
      <w:pPr>
        <w:snapToGrid w:val="0"/>
        <w:spacing w:line="360" w:lineRule="auto"/>
        <w:ind w:firstLine="480" w:firstLineChars="200"/>
        <w:rPr>
          <w:rFonts w:ascii="仿宋_GB2312" w:hAnsi="微软雅黑" w:eastAsia="仿宋_GB2312" w:cs="Arial"/>
          <w:sz w:val="24"/>
        </w:rPr>
      </w:pPr>
      <w:r>
        <w:rPr>
          <w:rFonts w:hint="eastAsia" w:ascii="仿宋_GB2312" w:hAnsi="微软雅黑" w:eastAsia="仿宋_GB2312" w:cs="Arial"/>
          <w:sz w:val="24"/>
        </w:rPr>
        <w:t>（4）客户张大伟Ⅱ类账户借记卡遗失，前来我行办理补卡业务。</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任务4</w:t>
      </w:r>
      <w:r>
        <w:rPr>
          <w:rFonts w:hint="eastAsia" w:ascii="仿宋_GB2312" w:hAnsi="微软雅黑" w:eastAsia="仿宋_GB2312" w:cs="Arial"/>
          <w:sz w:val="24"/>
        </w:rPr>
        <w:t>：个人网银业务</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任务说明</w:t>
      </w:r>
      <w:r>
        <w:rPr>
          <w:rFonts w:hint="eastAsia" w:ascii="仿宋_GB2312" w:hAnsi="微软雅黑" w:eastAsia="仿宋_GB2312" w:cs="Arial"/>
          <w:sz w:val="24"/>
        </w:rPr>
        <w:t>：</w:t>
      </w:r>
    </w:p>
    <w:p>
      <w:pPr>
        <w:snapToGrid w:val="0"/>
        <w:spacing w:line="360" w:lineRule="auto"/>
        <w:ind w:firstLine="480" w:firstLineChars="200"/>
        <w:rPr>
          <w:rFonts w:ascii="仿宋_GB2312" w:hAnsi="微软雅黑" w:eastAsia="仿宋_GB2312" w:cs="Arial"/>
          <w:sz w:val="24"/>
        </w:rPr>
      </w:pPr>
      <w:r>
        <w:rPr>
          <w:rFonts w:hint="eastAsia" w:ascii="仿宋_GB2312" w:hAnsi="微软雅黑" w:eastAsia="仿宋_GB2312" w:cs="Arial"/>
          <w:sz w:val="24"/>
        </w:rPr>
        <w:t>客户张大伟前来我行办理</w:t>
      </w:r>
      <w:r>
        <w:rPr>
          <w:rFonts w:hint="eastAsia" w:ascii="仿宋" w:hAnsi="仿宋" w:eastAsia="仿宋" w:cs="仿宋"/>
          <w:sz w:val="24"/>
        </w:rPr>
        <w:t>Ⅰ</w:t>
      </w:r>
      <w:r>
        <w:rPr>
          <w:rFonts w:hint="eastAsia" w:ascii="仿宋_GB2312" w:hAnsi="微软雅黑" w:eastAsia="仿宋_GB2312" w:cs="Arial"/>
          <w:sz w:val="24"/>
        </w:rPr>
        <w:t>类账户借记卡网银开通业务，我行柜员为其办理了个人网银签约业务。</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任务5</w:t>
      </w:r>
      <w:r>
        <w:rPr>
          <w:rFonts w:hint="eastAsia" w:ascii="仿宋_GB2312" w:hAnsi="微软雅黑" w:eastAsia="仿宋_GB2312" w:cs="Arial"/>
          <w:sz w:val="24"/>
        </w:rPr>
        <w:t>：存款证明业务</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任务说明</w:t>
      </w:r>
      <w:r>
        <w:rPr>
          <w:rFonts w:hint="eastAsia" w:ascii="仿宋_GB2312" w:hAnsi="微软雅黑" w:eastAsia="仿宋_GB2312" w:cs="Arial"/>
          <w:sz w:val="24"/>
        </w:rPr>
        <w:t>：</w:t>
      </w:r>
    </w:p>
    <w:p>
      <w:pPr>
        <w:snapToGrid w:val="0"/>
        <w:spacing w:line="360" w:lineRule="auto"/>
        <w:rPr>
          <w:rFonts w:ascii="仿宋_GB2312" w:hAnsi="微软雅黑" w:eastAsia="仿宋_GB2312" w:cs="Arial"/>
          <w:sz w:val="24"/>
        </w:rPr>
      </w:pPr>
      <w:r>
        <w:rPr>
          <w:rFonts w:hint="eastAsia" w:ascii="仿宋_GB2312" w:hAnsi="微软雅黑" w:eastAsia="仿宋_GB2312" w:cs="Arial"/>
          <w:sz w:val="24"/>
        </w:rPr>
        <w:t xml:space="preserve">    客户张大伟因购买商品住房办理银行按揭贷款手续，需我行为其出具存款证明，我行柜员按规定为其办理存款证明。</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任务6</w:t>
      </w:r>
      <w:r>
        <w:rPr>
          <w:rFonts w:hint="eastAsia" w:ascii="仿宋_GB2312" w:hAnsi="微软雅黑" w:eastAsia="仿宋_GB2312" w:cs="Arial"/>
          <w:sz w:val="24"/>
        </w:rPr>
        <w:t>：公司账户开户业务</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任务说明</w:t>
      </w:r>
      <w:r>
        <w:rPr>
          <w:rFonts w:hint="eastAsia" w:ascii="仿宋_GB2312" w:hAnsi="微软雅黑" w:eastAsia="仿宋_GB2312" w:cs="Arial"/>
          <w:sz w:val="24"/>
        </w:rPr>
        <w:t>：</w:t>
      </w:r>
    </w:p>
    <w:p>
      <w:pPr>
        <w:snapToGrid w:val="0"/>
        <w:spacing w:line="360" w:lineRule="auto"/>
        <w:jc w:val="left"/>
        <w:rPr>
          <w:rFonts w:ascii="仿宋_GB2312" w:hAnsi="微软雅黑" w:eastAsia="仿宋_GB2312" w:cs="Arial"/>
          <w:sz w:val="24"/>
        </w:rPr>
      </w:pPr>
      <w:r>
        <w:rPr>
          <w:rFonts w:hint="eastAsia" w:ascii="仿宋_GB2312" w:hAnsi="微软雅黑" w:eastAsia="仿宋_GB2312" w:cs="Arial"/>
          <w:sz w:val="24"/>
        </w:rPr>
        <w:t xml:space="preserve">    深圳创建科技股份有限责任公司（公司成立于2011年12月，注册资金960万人民币，统一社会信用代码：910035259100771123K,行业类别:商业客户），主要从事数码产品业务，公司法定代表人兼董事长:李建军，法人身份证号码：360727198211091128，公司地址：深圳深南时代大厦31楼015号，联系人：魏明芳，联系电话：0755-82649016。</w:t>
      </w:r>
    </w:p>
    <w:p>
      <w:pPr>
        <w:snapToGrid w:val="0"/>
        <w:spacing w:line="360" w:lineRule="auto"/>
        <w:ind w:firstLine="480" w:firstLineChars="200"/>
        <w:rPr>
          <w:rFonts w:ascii="仿宋_GB2312" w:hAnsi="微软雅黑" w:eastAsia="仿宋_GB2312" w:cs="Arial"/>
          <w:sz w:val="24"/>
        </w:rPr>
      </w:pPr>
      <w:r>
        <w:rPr>
          <w:rFonts w:hint="eastAsia" w:ascii="仿宋_GB2312" w:hAnsi="微软雅黑" w:eastAsia="仿宋_GB2312" w:cs="Arial"/>
          <w:sz w:val="24"/>
        </w:rPr>
        <w:t>该公司出纳刘娟女士携公司营业执照，法人身份证等资料前来我行开立公司商业活期存款基本账户，开户存入现金人民币68500元。</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任务7</w:t>
      </w:r>
      <w:r>
        <w:rPr>
          <w:rFonts w:hint="eastAsia" w:ascii="仿宋_GB2312" w:hAnsi="微软雅黑" w:eastAsia="仿宋_GB2312" w:cs="Arial"/>
          <w:sz w:val="24"/>
        </w:rPr>
        <w:t>：代理业务</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任务说明</w:t>
      </w:r>
      <w:r>
        <w:rPr>
          <w:rFonts w:hint="eastAsia" w:ascii="仿宋_GB2312" w:hAnsi="微软雅黑" w:eastAsia="仿宋_GB2312" w:cs="Arial"/>
          <w:sz w:val="24"/>
        </w:rPr>
        <w:t>：</w:t>
      </w:r>
    </w:p>
    <w:p>
      <w:pPr>
        <w:snapToGrid w:val="0"/>
        <w:spacing w:line="360" w:lineRule="auto"/>
        <w:rPr>
          <w:rFonts w:ascii="仿宋_GB2312" w:hAnsi="微软雅黑" w:eastAsia="仿宋_GB2312" w:cs="Arial"/>
          <w:sz w:val="24"/>
        </w:rPr>
      </w:pPr>
      <w:r>
        <w:rPr>
          <w:rFonts w:hint="eastAsia" w:ascii="仿宋_GB2312" w:hAnsi="仿宋_GB2312" w:eastAsia="仿宋_GB2312" w:cs="仿宋_GB2312"/>
          <w:sz w:val="24"/>
        </w:rPr>
        <w:t xml:space="preserve">    万年青旅游公司的出纳前来银行柜台签订代发工资托收合同，委托本银行代理万年青旅游公司（账号：5888810201998）每月12日代发员工李文的工资业务；本日代发万年青有限公司员工李文每月工资人民币3000元。柜员根据客户代发合同完成代理业务处理。</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任务8</w:t>
      </w:r>
      <w:r>
        <w:rPr>
          <w:rFonts w:hint="eastAsia" w:ascii="仿宋_GB2312" w:hAnsi="微软雅黑" w:eastAsia="仿宋_GB2312" w:cs="Arial"/>
          <w:sz w:val="24"/>
        </w:rPr>
        <w:t>：个人贷款业务</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任务说明</w:t>
      </w:r>
      <w:r>
        <w:rPr>
          <w:rFonts w:hint="eastAsia" w:ascii="仿宋_GB2312" w:hAnsi="微软雅黑" w:eastAsia="仿宋_GB2312" w:cs="Arial"/>
          <w:sz w:val="24"/>
        </w:rPr>
        <w:t>：</w:t>
      </w:r>
    </w:p>
    <w:p>
      <w:pPr>
        <w:widowControl/>
        <w:shd w:val="clear" w:color="auto" w:fill="FFFFFF"/>
        <w:spacing w:line="360" w:lineRule="auto"/>
        <w:ind w:firstLine="600"/>
        <w:rPr>
          <w:rFonts w:ascii="仿宋_GB2312" w:hAnsi="仿宋_GB2312" w:eastAsia="仿宋_GB2312" w:cs="仿宋_GB2312"/>
          <w:color w:val="000000"/>
          <w:kern w:val="0"/>
          <w:sz w:val="24"/>
          <w:shd w:val="clear" w:color="auto" w:fill="FFFFFF"/>
        </w:rPr>
      </w:pPr>
      <w:r>
        <w:rPr>
          <w:rFonts w:hint="eastAsia" w:ascii="仿宋_GB2312" w:hAnsi="仿宋_GB2312" w:eastAsia="仿宋_GB2312" w:cs="仿宋_GB2312"/>
          <w:color w:val="000000"/>
          <w:kern w:val="0"/>
          <w:sz w:val="24"/>
          <w:shd w:val="clear" w:color="auto" w:fill="FFFFFF"/>
        </w:rPr>
        <w:t>客户吕云女士（身份证号码：362426198202233512）为购买小轿车，到本行办理“短期汽车消费贷款”业务。贷款需关联的个人存款账号为吕云在本行开设的个人借记卡</w:t>
      </w:r>
      <w:r>
        <w:rPr>
          <w:rFonts w:hint="eastAsia" w:ascii="仿宋" w:hAnsi="仿宋" w:eastAsia="仿宋" w:cs="仿宋"/>
          <w:sz w:val="24"/>
        </w:rPr>
        <w:t>Ⅰ</w:t>
      </w:r>
      <w:r>
        <w:rPr>
          <w:rFonts w:hint="eastAsia" w:ascii="仿宋_GB2312" w:hAnsi="微软雅黑" w:eastAsia="仿宋_GB2312" w:cs="Arial"/>
          <w:sz w:val="24"/>
        </w:rPr>
        <w:t>类</w:t>
      </w:r>
      <w:r>
        <w:rPr>
          <w:rFonts w:hint="eastAsia" w:ascii="仿宋_GB2312" w:hAnsi="仿宋_GB2312" w:eastAsia="仿宋_GB2312" w:cs="仿宋_GB2312"/>
          <w:color w:val="000000"/>
          <w:kern w:val="0"/>
          <w:sz w:val="24"/>
          <w:shd w:val="clear" w:color="auto" w:fill="FFFFFF"/>
        </w:rPr>
        <w:t>账户，贷款金额为30000元，贷款月利率为6.00‰，贷款期限为三年，贷款用途为汽车，收息账号为深圳市恒丰汽车有限公司在本行开立的商业存款基本账户，担保方式为抵押，还款方式为等额偿还，利息偿还方式为借贷人偿还。</w:t>
      </w:r>
    </w:p>
    <w:p>
      <w:pPr>
        <w:widowControl/>
        <w:shd w:val="clear" w:color="auto" w:fill="FFFFFF"/>
        <w:spacing w:line="360" w:lineRule="auto"/>
        <w:ind w:firstLine="600"/>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shd w:val="clear" w:color="auto" w:fill="FFFFFF"/>
        </w:rPr>
        <w:t>经本行各级信贷部门审批并通过了个人客户吕云的贷款申请，综合柜员办理吕云的贷款全额发放业务。</w:t>
      </w:r>
    </w:p>
    <w:p>
      <w:pPr>
        <w:widowControl/>
        <w:shd w:val="clear" w:color="auto" w:fill="FFFFFF"/>
        <w:spacing w:line="360" w:lineRule="auto"/>
        <w:ind w:firstLine="600"/>
        <w:rPr>
          <w:rFonts w:ascii="仿宋_GB2312" w:hAnsi="仿宋_GB2312" w:eastAsia="仿宋_GB2312" w:cs="仿宋_GB2312"/>
          <w:color w:val="000000"/>
          <w:kern w:val="0"/>
          <w:sz w:val="24"/>
          <w:shd w:val="clear" w:color="auto" w:fill="FFFFFF"/>
        </w:rPr>
      </w:pPr>
      <w:r>
        <w:rPr>
          <w:rFonts w:hint="eastAsia" w:ascii="仿宋_GB2312" w:hAnsi="仿宋_GB2312" w:eastAsia="仿宋_GB2312" w:cs="仿宋_GB2312"/>
          <w:color w:val="000000"/>
          <w:kern w:val="0"/>
          <w:sz w:val="24"/>
          <w:shd w:val="clear" w:color="auto" w:fill="FFFFFF"/>
        </w:rPr>
        <w:t>现因央行调息，我行决定将贷款利率上调10%，客户吕云因此申请提前还贷，综合柜员为其办理“短期汽车消费贷款”现金提前全部还贷业务。</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任务9</w:t>
      </w:r>
      <w:r>
        <w:rPr>
          <w:rFonts w:hint="eastAsia" w:ascii="仿宋_GB2312" w:hAnsi="微软雅黑" w:eastAsia="仿宋_GB2312" w:cs="Arial"/>
          <w:sz w:val="24"/>
        </w:rPr>
        <w:t>：公司贷款业务</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任务说明</w:t>
      </w:r>
      <w:r>
        <w:rPr>
          <w:rFonts w:hint="eastAsia" w:ascii="仿宋_GB2312" w:hAnsi="微软雅黑" w:eastAsia="仿宋_GB2312" w:cs="Arial"/>
          <w:sz w:val="24"/>
        </w:rPr>
        <w:t>：</w:t>
      </w:r>
    </w:p>
    <w:p>
      <w:pPr>
        <w:snapToGrid w:val="0"/>
        <w:spacing w:line="360" w:lineRule="auto"/>
        <w:rPr>
          <w:rFonts w:ascii="仿宋_GB2312" w:hAnsi="微软雅黑" w:eastAsia="仿宋_GB2312" w:cs="Arial"/>
          <w:sz w:val="24"/>
        </w:rPr>
      </w:pPr>
      <w:r>
        <w:rPr>
          <w:rFonts w:hint="eastAsia" w:ascii="仿宋_GB2312" w:hAnsi="仿宋_GB2312" w:eastAsia="仿宋_GB2312" w:cs="仿宋_GB2312"/>
          <w:kern w:val="0"/>
          <w:sz w:val="24"/>
        </w:rPr>
        <w:t xml:space="preserve">    深圳智达房地产有限公司因资金周转出现问题，打算在本行申请“中期流动资金抵押质押贷款”，绑定的存款账户为深圳智达房地产公司</w:t>
      </w:r>
      <w:r>
        <w:rPr>
          <w:rFonts w:hint="eastAsia" w:ascii="仿宋_GB2312" w:hAnsi="仿宋_GB2312" w:eastAsia="仿宋_GB2312" w:cs="仿宋_GB2312"/>
          <w:sz w:val="24"/>
        </w:rPr>
        <w:t>商业存款的基本账户，</w:t>
      </w:r>
      <w:r>
        <w:rPr>
          <w:rFonts w:hint="eastAsia" w:ascii="仿宋_GB2312" w:hAnsi="仿宋_GB2312" w:eastAsia="仿宋_GB2312" w:cs="仿宋_GB2312"/>
          <w:kern w:val="0"/>
          <w:sz w:val="24"/>
        </w:rPr>
        <w:t>贷款金额为500000元，贷款利率为月息6.75‰，担保方式为抵押，公司出纳凭贷款合同前来办理借款手续。柜员根据贷款业务处理流程及规范完成该客户贷款合同、贷款审批、贷款发放及还贷业务处理。</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任务10</w:t>
      </w:r>
      <w:r>
        <w:rPr>
          <w:rFonts w:hint="eastAsia" w:ascii="仿宋_GB2312" w:hAnsi="微软雅黑" w:eastAsia="仿宋_GB2312" w:cs="Arial"/>
          <w:sz w:val="24"/>
        </w:rPr>
        <w:t>：票据贴现业务</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任务说明</w:t>
      </w:r>
      <w:r>
        <w:rPr>
          <w:rFonts w:hint="eastAsia" w:ascii="仿宋_GB2312" w:hAnsi="微软雅黑" w:eastAsia="仿宋_GB2312" w:cs="Arial"/>
          <w:sz w:val="24"/>
        </w:rPr>
        <w:t>：</w:t>
      </w:r>
    </w:p>
    <w:p>
      <w:pPr>
        <w:snapToGrid w:val="0"/>
        <w:spacing w:line="360" w:lineRule="auto"/>
        <w:rPr>
          <w:rFonts w:ascii="仿宋_GB2312" w:hAnsi="微软雅黑" w:eastAsia="仿宋_GB2312" w:cs="Arial"/>
          <w:sz w:val="24"/>
        </w:rPr>
      </w:pPr>
      <w:r>
        <w:rPr>
          <w:rFonts w:hint="eastAsia" w:ascii="仿宋_GB2312" w:hAnsi="仿宋_GB2312" w:eastAsia="仿宋_GB2312" w:cs="仿宋_GB2312"/>
          <w:kern w:val="0"/>
          <w:sz w:val="24"/>
        </w:rPr>
        <w:t>深圳智达房地产有限公司持有一张票面金额为8000000元的银承汇票，汇票期限为6个月，现因公司急需流动资金，需将该汇票贴现，我行根据当前贴现利率为该公司办理相关票据贴现业务。</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任务11</w:t>
      </w:r>
      <w:r>
        <w:rPr>
          <w:rFonts w:hint="eastAsia" w:ascii="仿宋_GB2312" w:hAnsi="微软雅黑" w:eastAsia="仿宋_GB2312" w:cs="Arial"/>
          <w:sz w:val="24"/>
        </w:rPr>
        <w:t>：银行承兑汇票业务</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任务说明</w:t>
      </w:r>
      <w:r>
        <w:rPr>
          <w:rFonts w:hint="eastAsia" w:ascii="仿宋_GB2312" w:hAnsi="微软雅黑" w:eastAsia="仿宋_GB2312" w:cs="Arial"/>
          <w:sz w:val="24"/>
        </w:rPr>
        <w:t>：</w:t>
      </w:r>
    </w:p>
    <w:p>
      <w:pPr>
        <w:snapToGrid w:val="0"/>
        <w:spacing w:line="360" w:lineRule="auto"/>
        <w:ind w:firstLine="600"/>
        <w:rPr>
          <w:rFonts w:ascii="仿宋_GB2312" w:hAnsi="仿宋_GB2312" w:eastAsia="仿宋_GB2312" w:cs="仿宋_GB2312"/>
          <w:kern w:val="0"/>
          <w:sz w:val="24"/>
        </w:rPr>
      </w:pPr>
      <w:r>
        <w:rPr>
          <w:rFonts w:hint="eastAsia" w:ascii="仿宋_GB2312" w:hAnsi="仿宋_GB2312" w:eastAsia="仿宋_GB2312" w:cs="仿宋_GB2312"/>
          <w:kern w:val="0"/>
          <w:sz w:val="24"/>
        </w:rPr>
        <w:t>深圳智达房地产有限公司为我行授信客户，授信额度为8000万元。现深圳智达房地产有限公司申请开立银行承兑汇票一张，票面金额为1000万元，期限为6个月。</w:t>
      </w:r>
    </w:p>
    <w:p>
      <w:pPr>
        <w:snapToGrid w:val="0"/>
        <w:spacing w:line="360" w:lineRule="auto"/>
        <w:ind w:firstLine="600"/>
        <w:rPr>
          <w:rFonts w:ascii="仿宋_GB2312" w:hAnsi="微软雅黑" w:eastAsia="仿宋_GB2312" w:cs="Arial"/>
          <w:sz w:val="24"/>
        </w:rPr>
      </w:pPr>
      <w:r>
        <w:rPr>
          <w:rFonts w:hint="eastAsia" w:ascii="仿宋_GB2312" w:hAnsi="仿宋_GB2312" w:eastAsia="仿宋_GB2312" w:cs="仿宋_GB2312"/>
          <w:kern w:val="0"/>
          <w:sz w:val="24"/>
        </w:rPr>
        <w:t>在与深圳智达房地产有限公司业务往来过程中，分别办理过承兑汇票作废、汇票到期未用及承兑汇票垫款业务。</w:t>
      </w:r>
    </w:p>
    <w:p>
      <w:pPr>
        <w:spacing w:line="360" w:lineRule="auto"/>
        <w:rPr>
          <w:rFonts w:ascii="仿宋_GB2312" w:hAnsi="仿宋_GB2312" w:eastAsia="仿宋_GB2312" w:cs="仿宋_GB2312"/>
          <w:sz w:val="24"/>
        </w:rPr>
      </w:pPr>
      <w:r>
        <w:rPr>
          <w:rFonts w:hint="eastAsia" w:ascii="仿宋_GB2312" w:hAnsi="仿宋_GB2312" w:eastAsia="仿宋_GB2312" w:cs="仿宋_GB2312"/>
          <w:b/>
          <w:bCs/>
          <w:sz w:val="24"/>
        </w:rPr>
        <w:t>任务12：</w:t>
      </w:r>
      <w:r>
        <w:rPr>
          <w:rFonts w:hint="eastAsia" w:ascii="仿宋_GB2312" w:hAnsi="仿宋_GB2312" w:eastAsia="仿宋_GB2312" w:cs="仿宋_GB2312"/>
          <w:sz w:val="24"/>
        </w:rPr>
        <w:t>电子商业汇票业务</w:t>
      </w:r>
    </w:p>
    <w:p>
      <w:pPr>
        <w:spacing w:line="360" w:lineRule="auto"/>
        <w:jc w:val="left"/>
        <w:rPr>
          <w:rFonts w:ascii="仿宋_GB2312" w:hAnsi="仿宋_GB2312" w:eastAsia="仿宋_GB2312" w:cs="仿宋_GB2312"/>
          <w:b/>
          <w:bCs/>
          <w:sz w:val="24"/>
        </w:rPr>
      </w:pPr>
      <w:r>
        <w:rPr>
          <w:rFonts w:hint="eastAsia" w:ascii="仿宋_GB2312" w:hAnsi="仿宋_GB2312" w:eastAsia="仿宋_GB2312" w:cs="仿宋_GB2312"/>
          <w:b/>
          <w:bCs/>
          <w:sz w:val="24"/>
        </w:rPr>
        <w:t>任务说明：</w:t>
      </w:r>
    </w:p>
    <w:p>
      <w:pPr>
        <w:spacing w:line="360" w:lineRule="auto"/>
        <w:jc w:val="left"/>
        <w:rPr>
          <w:rFonts w:ascii="仿宋_GB2312" w:hAnsi="仿宋_GB2312" w:eastAsia="仿宋_GB2312" w:cs="仿宋_GB2312"/>
          <w:color w:val="000000"/>
          <w:sz w:val="24"/>
          <w:shd w:val="clear" w:color="auto" w:fill="FFFFFF"/>
        </w:rPr>
      </w:pPr>
      <w:r>
        <w:rPr>
          <w:rFonts w:hint="eastAsia" w:ascii="仿宋_GB2312" w:hAnsi="仿宋_GB2312" w:eastAsia="仿宋_GB2312" w:cs="仿宋_GB2312"/>
          <w:color w:val="000000"/>
          <w:sz w:val="24"/>
          <w:shd w:val="clear" w:color="auto" w:fill="FFFFFF"/>
        </w:rPr>
        <w:t xml:space="preserve">    深圳南庆钢铁贸易有限公司（营业执照统一社会信用代码为916023599852014568，注册资金800万，注册日期2009年2月2号，企业性质为合伙企业，行业类别为工业客户，地址深圳市南山区工业技术大厦A栋302，法定代表人赵国庆，身份证440128198506141834，法人手机号15326981546；联系人李泰博，联系人手机13258746987。）在我行开立了基本账户，账户类别为工业存款基本户，开户时存入人民币30万。</w:t>
      </w:r>
    </w:p>
    <w:p>
      <w:pPr>
        <w:spacing w:line="360" w:lineRule="auto"/>
        <w:jc w:val="left"/>
        <w:rPr>
          <w:rFonts w:ascii="仿宋_GB2312" w:hAnsi="仿宋_GB2312" w:eastAsia="仿宋_GB2312" w:cs="仿宋_GB2312"/>
          <w:b/>
          <w:bCs/>
          <w:sz w:val="24"/>
        </w:rPr>
      </w:pPr>
      <w:r>
        <w:rPr>
          <w:rFonts w:hint="eastAsia" w:ascii="仿宋_GB2312" w:hAnsi="仿宋_GB2312" w:eastAsia="仿宋_GB2312" w:cs="仿宋_GB2312"/>
          <w:color w:val="000000"/>
          <w:sz w:val="24"/>
          <w:shd w:val="clear" w:color="auto" w:fill="FFFFFF"/>
        </w:rPr>
        <w:t xml:space="preserve">    2017年4月15日，南庆公司与我行签约电子商业汇票业务。签约完成后，我行陆续为该司完成了电子商业汇票出票、提示承兑申请、提示收票申请、转让背书申请、提示付款申请、追索通知等相关业务。</w:t>
      </w:r>
    </w:p>
    <w:p>
      <w:pPr>
        <w:spacing w:line="360" w:lineRule="auto"/>
        <w:rPr>
          <w:rFonts w:ascii="仿宋_GB2312" w:hAnsi="仿宋_GB2312" w:eastAsia="仿宋_GB2312" w:cs="仿宋_GB2312"/>
          <w:b/>
          <w:bCs/>
          <w:sz w:val="24"/>
        </w:rPr>
      </w:pPr>
      <w:r>
        <w:rPr>
          <w:rFonts w:hint="eastAsia" w:ascii="仿宋_GB2312" w:hAnsi="仿宋_GB2312" w:eastAsia="仿宋_GB2312" w:cs="仿宋_GB2312"/>
          <w:b/>
          <w:bCs/>
          <w:sz w:val="24"/>
        </w:rPr>
        <w:t>任务13：</w:t>
      </w:r>
      <w:r>
        <w:rPr>
          <w:rFonts w:hint="eastAsia" w:ascii="仿宋_GB2312" w:hAnsi="仿宋_GB2312" w:eastAsia="仿宋_GB2312" w:cs="仿宋_GB2312"/>
          <w:sz w:val="24"/>
        </w:rPr>
        <w:t>纸质商业汇票业务</w:t>
      </w:r>
    </w:p>
    <w:p>
      <w:pPr>
        <w:spacing w:line="360" w:lineRule="auto"/>
        <w:rPr>
          <w:rFonts w:ascii="仿宋_GB2312" w:hAnsi="仿宋_GB2312" w:eastAsia="仿宋_GB2312" w:cs="仿宋_GB2312"/>
          <w:b/>
          <w:bCs/>
          <w:sz w:val="24"/>
        </w:rPr>
      </w:pPr>
      <w:r>
        <w:rPr>
          <w:rFonts w:hint="eastAsia" w:ascii="仿宋_GB2312" w:hAnsi="仿宋_GB2312" w:eastAsia="仿宋_GB2312" w:cs="仿宋_GB2312"/>
          <w:b/>
          <w:bCs/>
          <w:sz w:val="24"/>
        </w:rPr>
        <w:t>任务说明：</w:t>
      </w:r>
    </w:p>
    <w:p>
      <w:pPr>
        <w:numPr>
          <w:ilvl w:val="0"/>
          <w:numId w:val="6"/>
        </w:numPr>
        <w:spacing w:line="360" w:lineRule="auto"/>
        <w:rPr>
          <w:rFonts w:ascii="仿宋_GB2312" w:hAnsi="仿宋_GB2312" w:eastAsia="仿宋_GB2312" w:cs="仿宋_GB2312"/>
          <w:color w:val="000000"/>
          <w:sz w:val="24"/>
          <w:shd w:val="clear" w:color="auto" w:fill="FFFFFF"/>
        </w:rPr>
      </w:pPr>
      <w:r>
        <w:rPr>
          <w:rFonts w:hint="eastAsia" w:ascii="仿宋_GB2312" w:hAnsi="仿宋_GB2312" w:eastAsia="仿宋_GB2312" w:cs="仿宋_GB2312"/>
          <w:color w:val="000000"/>
          <w:sz w:val="24"/>
          <w:shd w:val="clear" w:color="auto" w:fill="FFFFFF"/>
        </w:rPr>
        <w:t>完成一张商业承兑汇票纸票需要进行承兑登记业务，出票人为深圳仲岳股份有限公司，收款人为深圳南庆钢铁贸易有限公司，承兑人为深圳光耀投资有限公司。票据金额30000,3个月后票据到期，到期日进行承兑；</w:t>
      </w:r>
      <w:r>
        <w:rPr>
          <w:rFonts w:hint="eastAsia" w:ascii="仿宋_GB2312" w:hAnsi="仿宋_GB2312" w:eastAsia="仿宋_GB2312" w:cs="仿宋_GB2312"/>
          <w:color w:val="000000"/>
          <w:sz w:val="24"/>
          <w:shd w:val="clear" w:color="auto" w:fill="FFFFFF"/>
        </w:rPr>
        <w:br w:type="textWrapping"/>
      </w:r>
      <w:r>
        <w:rPr>
          <w:rFonts w:hint="eastAsia" w:ascii="仿宋_GB2312" w:hAnsi="仿宋_GB2312" w:eastAsia="仿宋_GB2312" w:cs="仿宋_GB2312"/>
          <w:color w:val="000000"/>
          <w:sz w:val="24"/>
          <w:shd w:val="clear" w:color="auto" w:fill="FFFFFF"/>
        </w:rPr>
        <w:t>（2）完成票据贴现业务，首先进行贴现登记，贴现利率为6‰，贴现日期为到期日当天，且登记之后，票据已经放款，放款日期为到期日当天，放款金额等于贴现余额；</w:t>
      </w:r>
      <w:r>
        <w:rPr>
          <w:rFonts w:hint="eastAsia" w:ascii="仿宋_GB2312" w:hAnsi="仿宋_GB2312" w:eastAsia="仿宋_GB2312" w:cs="仿宋_GB2312"/>
          <w:color w:val="000000"/>
          <w:sz w:val="24"/>
          <w:shd w:val="clear" w:color="auto" w:fill="FFFFFF"/>
        </w:rPr>
        <w:br w:type="textWrapping"/>
      </w:r>
      <w:r>
        <w:rPr>
          <w:rFonts w:hint="eastAsia" w:ascii="仿宋_GB2312" w:hAnsi="仿宋_GB2312" w:eastAsia="仿宋_GB2312" w:cs="仿宋_GB2312"/>
          <w:color w:val="000000"/>
          <w:sz w:val="24"/>
          <w:shd w:val="clear" w:color="auto" w:fill="FFFFFF"/>
        </w:rPr>
        <w:t>（3）完成票据转贴现业务，进行转贴现登记，转贴现利率为8‰，转贴现日期为到期日当天，贴入行行号为 103584000324，中国农业银行股份有限公司深圳科技园支行；</w:t>
      </w:r>
      <w:r>
        <w:rPr>
          <w:rFonts w:hint="eastAsia" w:ascii="仿宋_GB2312" w:hAnsi="仿宋_GB2312" w:eastAsia="仿宋_GB2312" w:cs="仿宋_GB2312"/>
          <w:color w:val="000000"/>
          <w:sz w:val="24"/>
          <w:shd w:val="clear" w:color="auto" w:fill="FFFFFF"/>
        </w:rPr>
        <w:br w:type="textWrapping"/>
      </w:r>
      <w:r>
        <w:rPr>
          <w:rFonts w:hint="eastAsia" w:ascii="仿宋_GB2312" w:hAnsi="仿宋_GB2312" w:eastAsia="仿宋_GB2312" w:cs="仿宋_GB2312"/>
          <w:color w:val="000000"/>
          <w:sz w:val="24"/>
          <w:shd w:val="clear" w:color="auto" w:fill="FFFFFF"/>
        </w:rPr>
        <w:t>（4）票据进行了贴现类型为卖断转贴的交易，我行为其办理贴现转出业务，卖断转贴日期为到期日当天，转回日期为到期日当天；</w:t>
      </w:r>
      <w:r>
        <w:rPr>
          <w:rFonts w:hint="eastAsia" w:ascii="仿宋_GB2312" w:hAnsi="仿宋_GB2312" w:eastAsia="仿宋_GB2312" w:cs="仿宋_GB2312"/>
          <w:color w:val="000000"/>
          <w:sz w:val="24"/>
          <w:shd w:val="clear" w:color="auto" w:fill="FFFFFF"/>
        </w:rPr>
        <w:br w:type="textWrapping"/>
      </w:r>
      <w:r>
        <w:rPr>
          <w:rFonts w:hint="eastAsia" w:ascii="仿宋_GB2312" w:hAnsi="仿宋_GB2312" w:eastAsia="仿宋_GB2312" w:cs="仿宋_GB2312"/>
          <w:color w:val="000000"/>
          <w:sz w:val="24"/>
          <w:shd w:val="clear" w:color="auto" w:fill="FFFFFF"/>
        </w:rPr>
        <w:t>（5）将转出贴现进行转回操作，我行为办理已转出贴现转回业务，转回类型为核销；</w:t>
      </w:r>
      <w:r>
        <w:rPr>
          <w:rFonts w:hint="eastAsia" w:ascii="仿宋_GB2312" w:hAnsi="仿宋_GB2312" w:eastAsia="仿宋_GB2312" w:cs="仿宋_GB2312"/>
          <w:color w:val="000000"/>
          <w:sz w:val="24"/>
          <w:shd w:val="clear" w:color="auto" w:fill="FFFFFF"/>
        </w:rPr>
        <w:br w:type="textWrapping"/>
      </w:r>
      <w:r>
        <w:rPr>
          <w:rFonts w:hint="eastAsia" w:ascii="仿宋_GB2312" w:hAnsi="仿宋_GB2312" w:eastAsia="仿宋_GB2312" w:cs="仿宋_GB2312"/>
          <w:color w:val="000000"/>
          <w:sz w:val="24"/>
          <w:shd w:val="clear" w:color="auto" w:fill="FFFFFF"/>
        </w:rPr>
        <w:t>（6）中国农业银行股份有限公司深圳科技园支行因资金周转，再次将此张票据贴现给中国人民银行深圳支行，再贴现利率为5‰，再贴现日期为到期日当天；</w:t>
      </w:r>
      <w:r>
        <w:rPr>
          <w:rFonts w:hint="eastAsia" w:ascii="仿宋_GB2312" w:hAnsi="仿宋_GB2312" w:eastAsia="仿宋_GB2312" w:cs="仿宋_GB2312"/>
          <w:color w:val="000000"/>
          <w:sz w:val="24"/>
          <w:shd w:val="clear" w:color="auto" w:fill="FFFFFF"/>
        </w:rPr>
        <w:br w:type="textWrapping"/>
      </w:r>
      <w:r>
        <w:rPr>
          <w:rFonts w:hint="eastAsia" w:ascii="仿宋_GB2312" w:hAnsi="仿宋_GB2312" w:eastAsia="仿宋_GB2312" w:cs="仿宋_GB2312"/>
          <w:color w:val="000000"/>
          <w:sz w:val="24"/>
          <w:shd w:val="clear" w:color="auto" w:fill="FFFFFF"/>
        </w:rPr>
        <w:t>（7）再贴现登记之后的票据进行回购再贴，以及回购再贴之后的票据进行转回交易，我行首先为其办理贴现转出业务，其次办理已转出贴现转回业务，转回类型为回购，且两次业务发生日期都为到期日当天；</w:t>
      </w:r>
      <w:r>
        <w:rPr>
          <w:rFonts w:hint="eastAsia" w:ascii="仿宋_GB2312" w:hAnsi="仿宋_GB2312" w:eastAsia="仿宋_GB2312" w:cs="仿宋_GB2312"/>
          <w:color w:val="000000"/>
          <w:sz w:val="24"/>
          <w:shd w:val="clear" w:color="auto" w:fill="FFFFFF"/>
        </w:rPr>
        <w:br w:type="textWrapping"/>
      </w:r>
      <w:r>
        <w:rPr>
          <w:rFonts w:hint="eastAsia" w:ascii="仿宋_GB2312" w:hAnsi="仿宋_GB2312" w:eastAsia="仿宋_GB2312" w:cs="仿宋_GB2312"/>
          <w:color w:val="000000"/>
          <w:sz w:val="24"/>
          <w:shd w:val="clear" w:color="auto" w:fill="FFFFFF"/>
        </w:rPr>
        <w:t>（8）票据进行委托收款之后，我行进行委托收款登记，委托收款日期为到期日当天；</w:t>
      </w:r>
    </w:p>
    <w:p>
      <w:pPr>
        <w:spacing w:line="360" w:lineRule="auto"/>
        <w:rPr>
          <w:rFonts w:ascii="仿宋_GB2312" w:hAnsi="仿宋_GB2312" w:eastAsia="仿宋_GB2312" w:cs="仿宋_GB2312"/>
          <w:b/>
          <w:bCs/>
          <w:sz w:val="24"/>
        </w:rPr>
      </w:pPr>
      <w:r>
        <w:rPr>
          <w:rFonts w:hint="eastAsia" w:ascii="仿宋_GB2312" w:hAnsi="仿宋_GB2312" w:eastAsia="仿宋_GB2312" w:cs="仿宋_GB2312"/>
          <w:color w:val="000000"/>
          <w:sz w:val="24"/>
          <w:shd w:val="clear" w:color="auto" w:fill="FFFFFF"/>
        </w:rPr>
        <w:t>（9）因承兑人拒绝付款，票据进行拒付登记，拒付日期为委托收款当天。</w:t>
      </w:r>
    </w:p>
    <w:p>
      <w:pPr>
        <w:spacing w:line="360" w:lineRule="auto"/>
        <w:rPr>
          <w:rFonts w:ascii="仿宋_GB2312" w:hAnsi="仿宋_GB2312" w:eastAsia="仿宋_GB2312" w:cs="仿宋_GB2312"/>
          <w:sz w:val="24"/>
        </w:rPr>
      </w:pPr>
      <w:r>
        <w:rPr>
          <w:rFonts w:hint="eastAsia" w:ascii="仿宋_GB2312" w:hAnsi="仿宋_GB2312" w:eastAsia="仿宋_GB2312" w:cs="仿宋_GB2312"/>
          <w:b/>
          <w:bCs/>
          <w:sz w:val="24"/>
        </w:rPr>
        <w:t>任务14：</w:t>
      </w:r>
      <w:r>
        <w:rPr>
          <w:rFonts w:hint="eastAsia" w:ascii="仿宋_GB2312" w:hAnsi="仿宋_GB2312" w:eastAsia="仿宋_GB2312" w:cs="仿宋_GB2312"/>
          <w:sz w:val="24"/>
        </w:rPr>
        <w:t>大小额支付业务</w:t>
      </w:r>
    </w:p>
    <w:p>
      <w:pPr>
        <w:spacing w:line="360" w:lineRule="auto"/>
        <w:rPr>
          <w:rFonts w:ascii="仿宋_GB2312" w:hAnsi="仿宋_GB2312" w:eastAsia="仿宋_GB2312" w:cs="仿宋_GB2312"/>
          <w:b/>
          <w:bCs/>
          <w:sz w:val="24"/>
        </w:rPr>
      </w:pPr>
      <w:r>
        <w:rPr>
          <w:rFonts w:hint="eastAsia" w:ascii="仿宋_GB2312" w:hAnsi="仿宋_GB2312" w:eastAsia="仿宋_GB2312" w:cs="仿宋_GB2312"/>
          <w:b/>
          <w:bCs/>
          <w:sz w:val="24"/>
        </w:rPr>
        <w:t>任务说明：</w:t>
      </w:r>
    </w:p>
    <w:p>
      <w:pPr>
        <w:numPr>
          <w:ilvl w:val="0"/>
          <w:numId w:val="7"/>
        </w:numPr>
        <w:spacing w:line="360" w:lineRule="auto"/>
        <w:rPr>
          <w:rFonts w:ascii="仿宋_GB2312" w:hAnsi="仿宋_GB2312" w:eastAsia="仿宋_GB2312" w:cs="仿宋_GB2312"/>
          <w:color w:val="000000"/>
          <w:kern w:val="0"/>
          <w:sz w:val="24"/>
          <w:shd w:val="clear" w:color="auto" w:fill="FFFFFF"/>
        </w:rPr>
      </w:pPr>
      <w:r>
        <w:rPr>
          <w:rFonts w:hint="eastAsia" w:ascii="仿宋_GB2312" w:hAnsi="仿宋_GB2312" w:eastAsia="仿宋_GB2312" w:cs="仿宋_GB2312"/>
          <w:color w:val="000000"/>
          <w:kern w:val="0"/>
          <w:sz w:val="24"/>
          <w:shd w:val="clear" w:color="auto" w:fill="FFFFFF"/>
        </w:rPr>
        <w:t>客户深圳光耀投资有限公司来我行办理小额普通借记业务，业务类型为普通借记，业务种类为支票截留业务，支付给深圳仲岳股份有限公司一笔3万元往来款，付款人深圳光耀投资有限公司，账户类型为有卡支付，接收行号101684000604；</w:t>
      </w:r>
    </w:p>
    <w:p>
      <w:pPr>
        <w:numPr>
          <w:ilvl w:val="0"/>
          <w:numId w:val="7"/>
        </w:numPr>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shd w:val="clear" w:color="auto" w:fill="FFFFFF"/>
        </w:rPr>
        <w:t>客户深圳仲岳股份有限公司来我行办理小额定期贷记业务，业务类型定期贷记，支付两笔劳务费给深圳光耀投资有限公司和深圳南庆钢铁贸易有限公司，总金额3万元，付款人账户类型为有卡支付，通过转账的方式支付手续费。其中深圳光耀投资有限公司涉及金额2.5万元，深圳南庆钢铁贸易有限公司金额为5000元，且两家公司的接收行号均为101684000604；</w:t>
      </w:r>
    </w:p>
    <w:p>
      <w:pPr>
        <w:numPr>
          <w:ilvl w:val="0"/>
          <w:numId w:val="7"/>
        </w:numPr>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shd w:val="clear" w:color="auto" w:fill="FFFFFF"/>
        </w:rPr>
        <w:t>客户深圳南庆钢铁贸易有限公司来我行办理小额定期借记业务，业务类型为定期借记，收入水费1笔，金额500元，收款人账户类型为无卡支付，付款单位为深圳光耀投资有限公司，接收行号为101684000604。</w:t>
      </w:r>
    </w:p>
    <w:p>
      <w:pPr>
        <w:spacing w:line="360" w:lineRule="auto"/>
        <w:rPr>
          <w:rFonts w:ascii="仿宋_GB2312" w:hAnsi="仿宋_GB2312" w:eastAsia="仿宋_GB2312" w:cs="仿宋_GB2312"/>
          <w:b/>
          <w:bCs/>
          <w:sz w:val="24"/>
        </w:rPr>
      </w:pPr>
      <w:r>
        <w:rPr>
          <w:rFonts w:hint="eastAsia" w:ascii="仿宋_GB2312" w:hAnsi="仿宋_GB2312" w:eastAsia="仿宋_GB2312" w:cs="仿宋_GB2312"/>
          <w:b/>
          <w:bCs/>
          <w:sz w:val="24"/>
        </w:rPr>
        <w:t>任务15：</w:t>
      </w:r>
      <w:r>
        <w:rPr>
          <w:rFonts w:hint="eastAsia" w:ascii="仿宋_GB2312" w:hAnsi="仿宋_GB2312" w:eastAsia="仿宋_GB2312" w:cs="仿宋_GB2312"/>
          <w:sz w:val="24"/>
        </w:rPr>
        <w:t>本票/汇票业务</w:t>
      </w:r>
    </w:p>
    <w:p>
      <w:pPr>
        <w:spacing w:line="360" w:lineRule="auto"/>
        <w:rPr>
          <w:rFonts w:ascii="仿宋_GB2312" w:hAnsi="仿宋_GB2312" w:eastAsia="仿宋_GB2312" w:cs="仿宋_GB2312"/>
          <w:sz w:val="24"/>
        </w:rPr>
      </w:pPr>
      <w:r>
        <w:rPr>
          <w:rFonts w:hint="eastAsia" w:ascii="仿宋_GB2312" w:hAnsi="仿宋_GB2312" w:eastAsia="仿宋_GB2312" w:cs="仿宋_GB2312"/>
          <w:b/>
          <w:bCs/>
          <w:sz w:val="24"/>
        </w:rPr>
        <w:t>任务说明：</w:t>
      </w:r>
    </w:p>
    <w:p>
      <w:pPr>
        <w:numPr>
          <w:ilvl w:val="0"/>
          <w:numId w:val="8"/>
        </w:numPr>
        <w:spacing w:line="360" w:lineRule="auto"/>
        <w:rPr>
          <w:rFonts w:ascii="仿宋_GB2312" w:hAnsi="仿宋_GB2312" w:eastAsia="仿宋_GB2312" w:cs="仿宋_GB2312"/>
          <w:color w:val="000000"/>
          <w:sz w:val="24"/>
          <w:shd w:val="clear" w:color="auto" w:fill="FFFFFF"/>
        </w:rPr>
      </w:pPr>
      <w:r>
        <w:rPr>
          <w:rFonts w:hint="eastAsia" w:ascii="仿宋_GB2312" w:hAnsi="仿宋_GB2312" w:eastAsia="仿宋_GB2312" w:cs="仿宋_GB2312"/>
          <w:color w:val="000000"/>
          <w:sz w:val="24"/>
          <w:shd w:val="clear" w:color="auto" w:fill="FFFFFF"/>
        </w:rPr>
        <w:t>深圳蓝旗投资有限公司签发了一张可转让本票，付款账号为深圳蓝旗投资有限公司，付款类型为有卡折支付，收款人为深圳新银贸易有限公司，出票金额为5000元，手续费收费方式为现金；</w:t>
      </w:r>
      <w:r>
        <w:rPr>
          <w:rFonts w:hint="eastAsia" w:ascii="仿宋_GB2312" w:hAnsi="仿宋_GB2312" w:eastAsia="仿宋_GB2312" w:cs="仿宋_GB2312"/>
          <w:color w:val="000000"/>
          <w:sz w:val="24"/>
          <w:shd w:val="clear" w:color="auto" w:fill="FFFFFF"/>
        </w:rPr>
        <w:br w:type="textWrapping"/>
      </w:r>
      <w:r>
        <w:rPr>
          <w:rFonts w:hint="eastAsia" w:ascii="仿宋_GB2312" w:hAnsi="仿宋_GB2312" w:eastAsia="仿宋_GB2312" w:cs="仿宋_GB2312"/>
          <w:color w:val="000000"/>
          <w:sz w:val="24"/>
          <w:shd w:val="clear" w:color="auto" w:fill="FFFFFF"/>
        </w:rPr>
        <w:t>（2）深圳新银贸易有限公司财务来我行兑付本票，持票人账号为深圳新银贸易有限公司基本户账号，提示付款日期为出票日之后的第15天，兑付类型为正常兑付；</w:t>
      </w:r>
    </w:p>
    <w:p>
      <w:pPr>
        <w:numPr>
          <w:ilvl w:val="0"/>
          <w:numId w:val="9"/>
        </w:numPr>
        <w:spacing w:line="360" w:lineRule="auto"/>
        <w:rPr>
          <w:rFonts w:ascii="仿宋_GB2312" w:hAnsi="仿宋_GB2312" w:eastAsia="仿宋_GB2312" w:cs="仿宋_GB2312"/>
          <w:color w:val="000000"/>
          <w:sz w:val="24"/>
          <w:shd w:val="clear" w:color="auto" w:fill="FFFFFF"/>
        </w:rPr>
      </w:pPr>
      <w:r>
        <w:rPr>
          <w:rFonts w:hint="eastAsia" w:ascii="仿宋_GB2312" w:hAnsi="仿宋_GB2312" w:eastAsia="仿宋_GB2312" w:cs="仿宋_GB2312"/>
          <w:color w:val="000000"/>
          <w:sz w:val="24"/>
          <w:shd w:val="clear" w:color="auto" w:fill="FFFFFF"/>
        </w:rPr>
        <w:t>深圳蓝旗投资有限公司</w:t>
      </w:r>
      <w:r>
        <w:rPr>
          <w:rFonts w:hint="eastAsia" w:ascii="仿宋_GB2312" w:hAnsi="仿宋_GB2312" w:eastAsia="仿宋_GB2312" w:cs="仿宋_GB2312"/>
          <w:color w:val="000000"/>
          <w:kern w:val="0"/>
          <w:sz w:val="24"/>
          <w:shd w:val="clear" w:color="auto" w:fill="FFFFFF"/>
        </w:rPr>
        <w:t>签发了一张现金汇票，转让标志为不可再转让，付款账号为</w:t>
      </w:r>
      <w:r>
        <w:rPr>
          <w:rFonts w:hint="eastAsia" w:ascii="仿宋_GB2312" w:hAnsi="仿宋_GB2312" w:eastAsia="仿宋_GB2312" w:cs="仿宋_GB2312"/>
          <w:color w:val="000000"/>
          <w:sz w:val="24"/>
          <w:shd w:val="clear" w:color="auto" w:fill="FFFFFF"/>
        </w:rPr>
        <w:t>深圳蓝旗投资有限公司基本账户</w:t>
      </w:r>
      <w:r>
        <w:rPr>
          <w:rFonts w:hint="eastAsia" w:ascii="仿宋_GB2312" w:hAnsi="仿宋_GB2312" w:eastAsia="仿宋_GB2312" w:cs="仿宋_GB2312"/>
          <w:color w:val="000000"/>
          <w:kern w:val="0"/>
          <w:sz w:val="24"/>
          <w:shd w:val="clear" w:color="auto" w:fill="FFFFFF"/>
        </w:rPr>
        <w:t>，付款类型为无卡折支付,收款账号为刘震的借记卡账号。出票金额10000元，手续费收费方式为转账；</w:t>
      </w:r>
    </w:p>
    <w:p>
      <w:pPr>
        <w:numPr>
          <w:ilvl w:val="0"/>
          <w:numId w:val="9"/>
        </w:numPr>
        <w:spacing w:line="360" w:lineRule="auto"/>
        <w:rPr>
          <w:rFonts w:ascii="仿宋_GB2312" w:hAnsi="仿宋_GB2312" w:eastAsia="仿宋_GB2312" w:cs="仿宋_GB2312"/>
          <w:b/>
          <w:bCs/>
          <w:sz w:val="24"/>
        </w:rPr>
      </w:pPr>
      <w:r>
        <w:rPr>
          <w:rFonts w:hint="eastAsia" w:ascii="仿宋_GB2312" w:hAnsi="仿宋_GB2312" w:eastAsia="仿宋_GB2312" w:cs="仿宋_GB2312"/>
          <w:color w:val="000000"/>
          <w:sz w:val="24"/>
          <w:shd w:val="clear" w:color="auto" w:fill="FFFFFF"/>
        </w:rPr>
        <w:t>刘震来我行兑付现金汇票，持票人</w:t>
      </w:r>
      <w:r>
        <w:rPr>
          <w:rFonts w:hint="eastAsia" w:ascii="仿宋_GB2312" w:hAnsi="仿宋_GB2312" w:eastAsia="仿宋_GB2312" w:cs="仿宋_GB2312"/>
          <w:color w:val="000000"/>
          <w:kern w:val="0"/>
          <w:sz w:val="24"/>
          <w:shd w:val="clear" w:color="auto" w:fill="FFFFFF"/>
        </w:rPr>
        <w:t>账号为刘震的借记卡账号，提示付款日期为出票日之后第30天，兑付类型为挂失兑付，挂失止付编码0001。</w:t>
      </w:r>
    </w:p>
    <w:p>
      <w:pPr>
        <w:spacing w:line="360" w:lineRule="auto"/>
        <w:rPr>
          <w:rFonts w:ascii="仿宋_GB2312" w:hAnsi="仿宋_GB2312" w:eastAsia="仿宋_GB2312" w:cs="仿宋_GB2312"/>
          <w:sz w:val="24"/>
        </w:rPr>
      </w:pPr>
      <w:r>
        <w:rPr>
          <w:rFonts w:hint="eastAsia" w:ascii="仿宋_GB2312" w:hAnsi="仿宋_GB2312" w:eastAsia="仿宋_GB2312" w:cs="仿宋_GB2312"/>
          <w:b/>
          <w:bCs/>
          <w:sz w:val="24"/>
        </w:rPr>
        <w:t>任务16：</w:t>
      </w:r>
      <w:r>
        <w:rPr>
          <w:rFonts w:hint="eastAsia" w:ascii="仿宋_GB2312" w:hAnsi="仿宋_GB2312" w:eastAsia="仿宋_GB2312" w:cs="仿宋_GB2312"/>
          <w:sz w:val="24"/>
        </w:rPr>
        <w:t>委托收款业务</w:t>
      </w:r>
    </w:p>
    <w:p>
      <w:pPr>
        <w:spacing w:line="360" w:lineRule="auto"/>
        <w:rPr>
          <w:rFonts w:ascii="仿宋_GB2312" w:hAnsi="仿宋_GB2312" w:eastAsia="仿宋_GB2312" w:cs="仿宋_GB2312"/>
          <w:sz w:val="24"/>
        </w:rPr>
      </w:pPr>
      <w:r>
        <w:rPr>
          <w:rFonts w:hint="eastAsia" w:ascii="仿宋_GB2312" w:hAnsi="仿宋_GB2312" w:eastAsia="仿宋_GB2312" w:cs="仿宋_GB2312"/>
          <w:b/>
          <w:bCs/>
          <w:sz w:val="24"/>
        </w:rPr>
        <w:t>任务说明：</w:t>
      </w:r>
    </w:p>
    <w:p>
      <w:pPr>
        <w:spacing w:line="360" w:lineRule="auto"/>
        <w:rPr>
          <w:rFonts w:ascii="仿宋_GB2312" w:hAnsi="仿宋_GB2312" w:eastAsia="仿宋_GB2312" w:cs="仿宋_GB2312"/>
          <w:b/>
          <w:bCs/>
          <w:sz w:val="24"/>
        </w:rPr>
      </w:pPr>
      <w:r>
        <w:rPr>
          <w:rFonts w:hint="eastAsia" w:ascii="仿宋_GB2312" w:hAnsi="仿宋_GB2312" w:eastAsia="仿宋_GB2312" w:cs="仿宋_GB2312"/>
          <w:color w:val="000000"/>
          <w:sz w:val="24"/>
          <w:shd w:val="clear" w:color="auto" w:fill="FFFFFF"/>
        </w:rPr>
        <w:t>（1）深圳南庆钢铁贸易有限公司作为收款人发出银行承兑汇票委托收款登记，到期日为1个月后，深圳光耀投资有限公司为付款人，委托收款金额为6万元，现金收取手续费，附寄张数1张，到期日当天进行托收；</w:t>
      </w:r>
      <w:r>
        <w:rPr>
          <w:rFonts w:hint="eastAsia" w:ascii="仿宋_GB2312" w:hAnsi="仿宋_GB2312" w:eastAsia="仿宋_GB2312" w:cs="仿宋_GB2312"/>
          <w:color w:val="000000"/>
          <w:sz w:val="24"/>
          <w:shd w:val="clear" w:color="auto" w:fill="FFFFFF"/>
        </w:rPr>
        <w:br w:type="textWrapping"/>
      </w:r>
      <w:r>
        <w:rPr>
          <w:rFonts w:hint="eastAsia" w:ascii="仿宋_GB2312" w:hAnsi="仿宋_GB2312" w:eastAsia="仿宋_GB2312" w:cs="仿宋_GB2312"/>
          <w:color w:val="000000"/>
          <w:sz w:val="24"/>
          <w:shd w:val="clear" w:color="auto" w:fill="FFFFFF"/>
        </w:rPr>
        <w:t>（2）深圳光耀投资有限公司全额支付了这笔款项，接收行号为104584001436；</w:t>
      </w:r>
      <w:r>
        <w:rPr>
          <w:rFonts w:hint="eastAsia" w:ascii="仿宋_GB2312" w:hAnsi="仿宋_GB2312" w:eastAsia="仿宋_GB2312" w:cs="仿宋_GB2312"/>
          <w:color w:val="000000"/>
          <w:sz w:val="24"/>
          <w:shd w:val="clear" w:color="auto" w:fill="FFFFFF"/>
        </w:rPr>
        <w:br w:type="textWrapping"/>
      </w:r>
      <w:r>
        <w:rPr>
          <w:rFonts w:hint="eastAsia" w:ascii="仿宋_GB2312" w:hAnsi="仿宋_GB2312" w:eastAsia="仿宋_GB2312" w:cs="仿宋_GB2312"/>
          <w:color w:val="000000"/>
          <w:sz w:val="24"/>
          <w:shd w:val="clear" w:color="auto" w:fill="FFFFFF"/>
        </w:rPr>
        <w:t>（3）银行对此笔大额委托收款进行复核；</w:t>
      </w:r>
      <w:r>
        <w:rPr>
          <w:rFonts w:hint="eastAsia" w:ascii="仿宋_GB2312" w:hAnsi="仿宋_GB2312" w:eastAsia="仿宋_GB2312" w:cs="仿宋_GB2312"/>
          <w:color w:val="000000"/>
          <w:sz w:val="24"/>
          <w:shd w:val="clear" w:color="auto" w:fill="FFFFFF"/>
        </w:rPr>
        <w:br w:type="textWrapping"/>
      </w:r>
      <w:r>
        <w:rPr>
          <w:rFonts w:hint="eastAsia" w:ascii="仿宋_GB2312" w:hAnsi="仿宋_GB2312" w:eastAsia="仿宋_GB2312" w:cs="仿宋_GB2312"/>
          <w:color w:val="000000"/>
          <w:sz w:val="24"/>
          <w:shd w:val="clear" w:color="auto" w:fill="FFFFFF"/>
        </w:rPr>
        <w:t>（4）银行根据此笔委托收款操作划回业务。</w:t>
      </w:r>
    </w:p>
    <w:p>
      <w:pPr>
        <w:spacing w:line="360" w:lineRule="auto"/>
        <w:rPr>
          <w:rFonts w:ascii="仿宋_GB2312" w:hAnsi="仿宋_GB2312" w:eastAsia="仿宋_GB2312" w:cs="仿宋_GB2312"/>
          <w:sz w:val="24"/>
        </w:rPr>
      </w:pPr>
      <w:r>
        <w:rPr>
          <w:rFonts w:hint="eastAsia" w:ascii="仿宋_GB2312" w:hAnsi="仿宋_GB2312" w:eastAsia="仿宋_GB2312" w:cs="仿宋_GB2312"/>
          <w:b/>
          <w:bCs/>
          <w:sz w:val="24"/>
        </w:rPr>
        <w:t>任务17：</w:t>
      </w:r>
      <w:r>
        <w:rPr>
          <w:rFonts w:hint="eastAsia" w:ascii="仿宋_GB2312" w:hAnsi="仿宋_GB2312" w:eastAsia="仿宋_GB2312" w:cs="仿宋_GB2312"/>
          <w:sz w:val="24"/>
        </w:rPr>
        <w:t>同城票据纸质交换业务</w:t>
      </w:r>
    </w:p>
    <w:p>
      <w:pPr>
        <w:spacing w:line="360" w:lineRule="auto"/>
        <w:rPr>
          <w:rFonts w:ascii="仿宋_GB2312" w:hAnsi="仿宋_GB2312" w:eastAsia="仿宋_GB2312" w:cs="仿宋_GB2312"/>
          <w:b/>
          <w:bCs/>
          <w:sz w:val="24"/>
        </w:rPr>
      </w:pPr>
      <w:r>
        <w:rPr>
          <w:rFonts w:hint="eastAsia" w:ascii="仿宋_GB2312" w:hAnsi="仿宋_GB2312" w:eastAsia="仿宋_GB2312" w:cs="仿宋_GB2312"/>
          <w:b/>
          <w:bCs/>
          <w:sz w:val="24"/>
        </w:rPr>
        <w:t>任务说明：</w:t>
      </w:r>
    </w:p>
    <w:p>
      <w:pPr>
        <w:numPr>
          <w:ilvl w:val="0"/>
          <w:numId w:val="10"/>
        </w:numPr>
        <w:spacing w:line="360" w:lineRule="auto"/>
        <w:rPr>
          <w:rFonts w:ascii="仿宋_GB2312" w:hAnsi="仿宋_GB2312" w:eastAsia="仿宋_GB2312" w:cs="仿宋_GB2312"/>
          <w:color w:val="000000"/>
          <w:sz w:val="24"/>
          <w:shd w:val="clear" w:color="auto" w:fill="FFFFFF"/>
        </w:rPr>
      </w:pPr>
      <w:r>
        <w:rPr>
          <w:rFonts w:hint="eastAsia" w:ascii="仿宋_GB2312" w:hAnsi="仿宋_GB2312" w:eastAsia="仿宋_GB2312" w:cs="仿宋_GB2312"/>
          <w:color w:val="000000"/>
          <w:sz w:val="24"/>
          <w:shd w:val="clear" w:color="auto" w:fill="FFFFFF"/>
        </w:rPr>
        <w:t>深圳南庆钢铁贸易有限公司持有一张付款人为深圳仲岳股份有限公司开出的票面金额为8000元的转账支票，我行通过“同城提出借方交易”为持票人深圳南庆钢铁贸易有限公司办理支票进账手续，对方交换号103584000324，录入之后进行复核；</w:t>
      </w:r>
      <w:r>
        <w:rPr>
          <w:rFonts w:hint="eastAsia" w:ascii="仿宋_GB2312" w:hAnsi="仿宋_GB2312" w:eastAsia="仿宋_GB2312" w:cs="仿宋_GB2312"/>
          <w:color w:val="000000"/>
          <w:sz w:val="24"/>
          <w:shd w:val="clear" w:color="auto" w:fill="FFFFFF"/>
        </w:rPr>
        <w:br w:type="textWrapping"/>
      </w:r>
      <w:r>
        <w:rPr>
          <w:rFonts w:hint="eastAsia" w:ascii="仿宋_GB2312" w:hAnsi="仿宋_GB2312" w:eastAsia="仿宋_GB2312" w:cs="仿宋_GB2312"/>
          <w:color w:val="000000"/>
          <w:sz w:val="24"/>
          <w:shd w:val="clear" w:color="auto" w:fill="FFFFFF"/>
        </w:rPr>
        <w:t>（2）深圳光耀投资有限公司开出一张票面金额为6000元的转账支票给深圳南庆钢铁贸易有限公司，深圳南庆钢铁贸易有限公司出纳持该支票到本行办理进帐手续。经票据交换中心交换后再传递到本支行网点，本行通过“同城提出贷方交易”按票面金额从深圳光耀投资有限公司账户中扣除对应金额，对方交换号为102584009198，录入之后进行复核。</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任务18</w:t>
      </w:r>
      <w:r>
        <w:rPr>
          <w:rFonts w:hint="eastAsia" w:ascii="仿宋_GB2312" w:hAnsi="微软雅黑" w:eastAsia="仿宋_GB2312" w:cs="Arial"/>
          <w:sz w:val="24"/>
        </w:rPr>
        <w:t>：日终处理</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任务说明</w:t>
      </w:r>
      <w:r>
        <w:rPr>
          <w:rFonts w:hint="eastAsia" w:ascii="仿宋_GB2312" w:hAnsi="微软雅黑" w:eastAsia="仿宋_GB2312" w:cs="Arial"/>
          <w:sz w:val="24"/>
        </w:rPr>
        <w:t>：</w:t>
      </w:r>
    </w:p>
    <w:p>
      <w:pPr>
        <w:snapToGrid w:val="0"/>
        <w:spacing w:line="360" w:lineRule="auto"/>
        <w:rPr>
          <w:rFonts w:ascii="仿宋_GB2312" w:hAnsi="仿宋_GB2312" w:eastAsia="仿宋_GB2312" w:cs="仿宋_GB2312"/>
          <w:color w:val="000000"/>
          <w:sz w:val="24"/>
          <w:shd w:val="clear" w:color="auto" w:fill="FFFFFF"/>
        </w:rPr>
      </w:pPr>
      <w:r>
        <w:rPr>
          <w:rFonts w:hint="eastAsia" w:ascii="仿宋_GB2312" w:hAnsi="微软雅黑" w:eastAsia="仿宋_GB2312" w:cs="Arial"/>
          <w:sz w:val="24"/>
        </w:rPr>
        <w:t xml:space="preserve">    银行网点营业结束后，柜员办理日终业务操作，进行现金及重要凭证入库。柜员将所有未使用的凭证均进行入库操作并将个人钱箱中的现金全部入库。</w:t>
      </w:r>
    </w:p>
    <w:p>
      <w:pPr>
        <w:pStyle w:val="2"/>
        <w:numPr>
          <w:ilvl w:val="0"/>
          <w:numId w:val="5"/>
        </w:numPr>
        <w:spacing w:line="360" w:lineRule="auto"/>
        <w:ind w:firstLine="560"/>
        <w:rPr>
          <w:rFonts w:ascii="仿宋_GB2312" w:hAnsi="仿宋_GB2312" w:eastAsia="仿宋_GB2312" w:cs="仿宋_GB2312"/>
          <w:sz w:val="24"/>
          <w:szCs w:val="24"/>
        </w:rPr>
      </w:pPr>
      <w:r>
        <w:rPr>
          <w:rFonts w:hint="eastAsia" w:ascii="仿宋_GB2312" w:hAnsi="仿宋_GB2312" w:eastAsia="仿宋_GB2312" w:cs="仿宋_GB2312"/>
          <w:sz w:val="24"/>
          <w:szCs w:val="24"/>
        </w:rPr>
        <w:t>金融营销技能</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任务1</w:t>
      </w:r>
      <w:r>
        <w:rPr>
          <w:rFonts w:hint="eastAsia" w:ascii="仿宋_GB2312" w:hAnsi="微软雅黑" w:eastAsia="仿宋_GB2312" w:cs="Arial"/>
          <w:sz w:val="24"/>
        </w:rPr>
        <w:t>：代理保险业务</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任务说明</w:t>
      </w:r>
      <w:r>
        <w:rPr>
          <w:rFonts w:hint="eastAsia" w:ascii="仿宋_GB2312" w:hAnsi="微软雅黑" w:eastAsia="仿宋_GB2312" w:cs="Arial"/>
          <w:sz w:val="24"/>
        </w:rPr>
        <w:t>：</w:t>
      </w:r>
    </w:p>
    <w:p>
      <w:pPr>
        <w:snapToGrid w:val="0"/>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李东先生，45岁，某外企市场部高级管理人员。（身份证：440303197108048010）李先生希望能购买一份寿险作为人寿保障，于是来银行咨询本行代理的相关保险产品。通过银行柜员的介绍，王先生决定购买一份投资型的分红人寿保险，一次性缴纳保费30万元，保险金额为200万元，保障终身，年金领取起始年龄为50岁，领取频率为年领，红利分派方式为现金领取。</w:t>
      </w:r>
    </w:p>
    <w:p>
      <w:pPr>
        <w:snapToGrid w:val="0"/>
        <w:spacing w:line="360" w:lineRule="auto"/>
        <w:ind w:firstLine="480" w:firstLineChars="200"/>
        <w:rPr>
          <w:rFonts w:ascii="仿宋_GB2312" w:hAnsi="微软雅黑" w:eastAsia="仿宋_GB2312" w:cs="Arial"/>
          <w:sz w:val="24"/>
        </w:rPr>
      </w:pPr>
      <w:r>
        <w:rPr>
          <w:rFonts w:hint="eastAsia" w:ascii="仿宋_GB2312" w:hAnsi="仿宋_GB2312" w:eastAsia="仿宋_GB2312" w:cs="仿宋_GB2312"/>
          <w:sz w:val="24"/>
        </w:rPr>
        <w:t>银行柜员为王先生办理了银行储蓄业务，开立一个普通存折活期账户，并指导王先生填写保险投保单。王先生约定受益人为其女儿李敏（身份证：440303199201254268），受益份额100%。</w:t>
      </w:r>
    </w:p>
    <w:p>
      <w:pPr>
        <w:snapToGrid w:val="0"/>
        <w:spacing w:line="360" w:lineRule="auto"/>
        <w:rPr>
          <w:rFonts w:ascii="仿宋_GB2312" w:hAnsi="微软雅黑" w:eastAsia="仿宋_GB2312" w:cs="Arial"/>
          <w:sz w:val="24"/>
        </w:rPr>
      </w:pPr>
      <w:r>
        <w:rPr>
          <w:rFonts w:hint="eastAsia" w:ascii="仿宋_GB2312" w:hAnsi="微软雅黑" w:eastAsia="仿宋_GB2312" w:cs="Arial"/>
          <w:b/>
          <w:bCs/>
          <w:sz w:val="24"/>
        </w:rPr>
        <w:t>任务2</w:t>
      </w:r>
      <w:r>
        <w:rPr>
          <w:rFonts w:hint="eastAsia" w:ascii="仿宋_GB2312" w:hAnsi="微软雅黑" w:eastAsia="仿宋_GB2312" w:cs="Arial"/>
          <w:sz w:val="24"/>
        </w:rPr>
        <w:t>：个人理财业务</w:t>
      </w:r>
    </w:p>
    <w:p>
      <w:pPr>
        <w:spacing w:line="360" w:lineRule="auto"/>
        <w:rPr>
          <w:rFonts w:ascii="仿宋_GB2312" w:hAnsi="微软雅黑" w:eastAsia="仿宋_GB2312" w:cs="Arial"/>
          <w:sz w:val="24"/>
        </w:rPr>
      </w:pPr>
      <w:r>
        <w:rPr>
          <w:rFonts w:hint="eastAsia" w:ascii="仿宋_GB2312" w:hAnsi="微软雅黑" w:eastAsia="仿宋_GB2312" w:cs="Arial"/>
          <w:b/>
          <w:bCs/>
          <w:sz w:val="24"/>
        </w:rPr>
        <w:t>任务说明</w:t>
      </w:r>
      <w:r>
        <w:rPr>
          <w:rFonts w:hint="eastAsia" w:ascii="仿宋_GB2312" w:hAnsi="微软雅黑" w:eastAsia="仿宋_GB2312" w:cs="Arial"/>
          <w:sz w:val="24"/>
        </w:rPr>
        <w:t>：</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客户信息：吴敏，30岁，大学毕业，国企高管。家庭成员：丈夫王思明，35岁，大学毕业，公务员；女儿王丽，6岁，在深圳外国语小学读书。家庭地址：深圳市南山区西丽花园5栋223号；电话号码：13808551261。</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吴小姐家庭的收入和资产状况：吴小姐当前每月税前工资为25000元，税前年终奖为200000元。王先生每月的税后工资为13000元，每年的税后稿酬收入约为5000元。现在居住的房子购买于2013年，现价2860000元；夫妻俩拥有一辆现价为450000元的轿车。吴小姐在2年前分别以300000元和250000购买了30000股某上市A股票和12000股B股票，现在股票账户中的A股票金额已经增加了14%，B股票的金额已经上涨了10%。现家庭中有现金20000元，活期存款85000元，2年前购买的3年期定期存款60000元。</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吴小姐家庭的支出情况如下：当前居住的房子购买于2013年1月，至今房子市值已上涨了20%。首付4成，其余采用商业贷款。贷款利率为7.5%，贷款期限为15年，还款方式为等额本息，从购买次月开始还款。全家平均每月的日常生活支出为12000元；每年的医疗费用和汽车费用分别为3000元和6000元；夫妻俩每年的旅行费用约为30000元；吴小姐在工作之余参加的培训班，每年的费用为8500元；王先生每年花在健身房的费用约为7000元。</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要求：1.判断吴小姐家庭所处生命周期</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2.编制家庭资产负债表</w:t>
      </w:r>
    </w:p>
    <w:p>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          3.分析吴小姐家庭财务比率</w:t>
      </w:r>
    </w:p>
    <w:p>
      <w:pPr>
        <w:spacing w:line="360" w:lineRule="auto"/>
        <w:rPr>
          <w:rFonts w:ascii="仿宋_GB2312" w:hAnsi="仿宋_GB2312" w:eastAsia="仿宋_GB2312" w:cs="仿宋_GB2312"/>
          <w:sz w:val="24"/>
        </w:rPr>
      </w:pPr>
      <w:r>
        <w:rPr>
          <w:rFonts w:hint="eastAsia" w:ascii="仿宋_GB2312" w:hAnsi="仿宋_GB2312" w:eastAsia="仿宋_GB2312" w:cs="仿宋_GB2312"/>
          <w:b/>
          <w:bCs/>
          <w:sz w:val="24"/>
        </w:rPr>
        <w:t>任务3</w:t>
      </w:r>
      <w:r>
        <w:rPr>
          <w:rFonts w:hint="eastAsia" w:ascii="仿宋_GB2312" w:hAnsi="仿宋_GB2312" w:eastAsia="仿宋_GB2312" w:cs="仿宋_GB2312"/>
          <w:sz w:val="24"/>
        </w:rPr>
        <w:t>：金融产品营销</w:t>
      </w:r>
    </w:p>
    <w:p>
      <w:pPr>
        <w:spacing w:line="360" w:lineRule="auto"/>
        <w:rPr>
          <w:rFonts w:ascii="仿宋_GB2312" w:hAnsi="仿宋_GB2312" w:eastAsia="仿宋_GB2312" w:cs="仿宋_GB2312"/>
          <w:sz w:val="24"/>
        </w:rPr>
      </w:pPr>
      <w:r>
        <w:rPr>
          <w:rFonts w:hint="eastAsia" w:ascii="仿宋_GB2312" w:hAnsi="仿宋_GB2312" w:eastAsia="仿宋_GB2312" w:cs="仿宋_GB2312"/>
          <w:b/>
          <w:bCs/>
          <w:sz w:val="24"/>
        </w:rPr>
        <w:t>任务说明</w:t>
      </w:r>
      <w:r>
        <w:rPr>
          <w:rFonts w:hint="eastAsia" w:ascii="仿宋_GB2312" w:hAnsi="仿宋_GB2312" w:eastAsia="仿宋_GB2312" w:cs="仿宋_GB2312"/>
          <w:sz w:val="24"/>
        </w:rPr>
        <w:t>：系统设定100种金融理财产品，产品类型包含债券、股票型基金、保险理财产品、期货理财产品等，并提供每种产品的详细说明及多个不同风险类型的目标客户资料。</w:t>
      </w:r>
    </w:p>
    <w:p>
      <w:pPr>
        <w:spacing w:line="360" w:lineRule="auto"/>
        <w:rPr>
          <w:rFonts w:ascii="仿宋_GB2312" w:hAnsi="仿宋_GB2312" w:eastAsia="仿宋_GB2312" w:cs="仿宋_GB2312"/>
          <w:sz w:val="24"/>
        </w:rPr>
      </w:pPr>
      <w:r>
        <w:rPr>
          <w:rFonts w:hint="eastAsia" w:ascii="仿宋_GB2312" w:hAnsi="仿宋_GB2312" w:eastAsia="仿宋_GB2312" w:cs="仿宋_GB2312"/>
          <w:b/>
          <w:bCs/>
          <w:sz w:val="24"/>
        </w:rPr>
        <w:t>任务要求</w:t>
      </w:r>
      <w:r>
        <w:rPr>
          <w:rFonts w:hint="eastAsia" w:ascii="仿宋_GB2312" w:hAnsi="仿宋_GB2312" w:eastAsia="仿宋_GB2312" w:cs="仿宋_GB2312"/>
          <w:sz w:val="24"/>
        </w:rPr>
        <w:t>：考核参赛选手对金融产品风险情况的分析与判断及金融产品营销推广能力，要求其根据金融理财产品的风险特性，将所有金融产品按风险类型进行分类，并根据目标客户的风险偏好推荐相关的理财产品，设计投资组合。</w:t>
      </w:r>
    </w:p>
    <w:p>
      <w:pPr>
        <w:pStyle w:val="2"/>
        <w:numPr>
          <w:ilvl w:val="0"/>
          <w:numId w:val="5"/>
        </w:numPr>
        <w:spacing w:line="360" w:lineRule="auto"/>
        <w:ind w:firstLine="560"/>
        <w:rPr>
          <w:rFonts w:ascii="仿宋_GB2312" w:hAnsi="仿宋_GB2312" w:eastAsia="仿宋_GB2312" w:cs="仿宋_GB2312"/>
          <w:sz w:val="24"/>
          <w:szCs w:val="24"/>
        </w:rPr>
      </w:pPr>
      <w:r>
        <w:rPr>
          <w:rFonts w:hint="eastAsia" w:ascii="仿宋_GB2312" w:hAnsi="仿宋_GB2312" w:eastAsia="仿宋_GB2312" w:cs="仿宋_GB2312"/>
          <w:sz w:val="24"/>
          <w:szCs w:val="24"/>
        </w:rPr>
        <w:t>票据业务处理</w:t>
      </w:r>
    </w:p>
    <w:p>
      <w:pPr>
        <w:spacing w:line="360" w:lineRule="auto"/>
        <w:rPr>
          <w:rFonts w:ascii="仿宋_GB2312" w:hAnsi="仿宋_GB2312" w:eastAsia="仿宋_GB2312" w:cs="仿宋_GB2312"/>
          <w:sz w:val="24"/>
        </w:rPr>
      </w:pPr>
      <w:r>
        <w:rPr>
          <w:rFonts w:hint="eastAsia" w:ascii="仿宋_GB2312" w:hAnsi="仿宋_GB2312" w:eastAsia="仿宋_GB2312" w:cs="仿宋_GB2312"/>
          <w:b/>
          <w:bCs/>
          <w:sz w:val="24"/>
        </w:rPr>
        <w:t>任务1：</w:t>
      </w:r>
      <w:r>
        <w:rPr>
          <w:rFonts w:hint="eastAsia" w:ascii="仿宋_GB2312" w:hAnsi="仿宋_GB2312" w:eastAsia="仿宋_GB2312" w:cs="仿宋_GB2312"/>
          <w:sz w:val="24"/>
        </w:rPr>
        <w:t>支票审核业务</w:t>
      </w:r>
    </w:p>
    <w:p>
      <w:pPr>
        <w:spacing w:line="360" w:lineRule="auto"/>
        <w:rPr>
          <w:rFonts w:ascii="仿宋_GB2312" w:hAnsi="仿宋_GB2312" w:eastAsia="仿宋_GB2312" w:cs="仿宋_GB2312"/>
          <w:b/>
          <w:bCs/>
          <w:sz w:val="24"/>
        </w:rPr>
      </w:pPr>
      <w:r>
        <w:rPr>
          <w:rFonts w:hint="eastAsia" w:ascii="仿宋_GB2312" w:hAnsi="仿宋_GB2312" w:eastAsia="仿宋_GB2312" w:cs="仿宋_GB2312"/>
          <w:b/>
          <w:bCs/>
          <w:sz w:val="24"/>
        </w:rPr>
        <w:t>任务说明：</w:t>
      </w:r>
    </w:p>
    <w:p>
      <w:pPr>
        <w:spacing w:line="360" w:lineRule="auto"/>
        <w:ind w:firstLine="600"/>
        <w:rPr>
          <w:rFonts w:ascii="仿宋_GB2312" w:hAnsi="仿宋_GB2312" w:eastAsia="仿宋_GB2312" w:cs="仿宋_GB2312"/>
          <w:sz w:val="24"/>
        </w:rPr>
      </w:pPr>
      <w:r>
        <w:rPr>
          <w:rFonts w:hint="eastAsia" w:ascii="仿宋_GB2312" w:hAnsi="仿宋_GB2312" w:eastAsia="仿宋_GB2312" w:cs="仿宋_GB2312"/>
          <w:sz w:val="24"/>
        </w:rPr>
        <w:t>2012年11月01日，深圳正天信息技术有限公司出纳开出一张现金支票，支取备用金15000元。</w:t>
      </w:r>
    </w:p>
    <w:p>
      <w:pPr>
        <w:spacing w:line="360" w:lineRule="auto"/>
        <w:rPr>
          <w:rFonts w:ascii="仿宋_GB2312" w:hAnsi="仿宋_GB2312" w:eastAsia="仿宋_GB2312" w:cs="仿宋_GB2312"/>
          <w:b/>
          <w:bCs/>
          <w:sz w:val="24"/>
        </w:rPr>
      </w:pPr>
      <w:r>
        <w:drawing>
          <wp:inline distT="0" distB="0" distL="114300" distR="114300">
            <wp:extent cx="5269230" cy="2255520"/>
            <wp:effectExtent l="0" t="0" r="7620" b="1143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4"/>
                    <a:stretch>
                      <a:fillRect/>
                    </a:stretch>
                  </pic:blipFill>
                  <pic:spPr>
                    <a:xfrm>
                      <a:off x="0" y="0"/>
                      <a:ext cx="5269230" cy="2255520"/>
                    </a:xfrm>
                    <a:prstGeom prst="rect">
                      <a:avLst/>
                    </a:prstGeom>
                    <a:noFill/>
                    <a:ln w="9525">
                      <a:noFill/>
                    </a:ln>
                  </pic:spPr>
                </pic:pic>
              </a:graphicData>
            </a:graphic>
          </wp:inline>
        </w:drawing>
      </w:r>
      <w:r>
        <w:rPr>
          <w:rFonts w:hint="eastAsia" w:ascii="仿宋_GB2312" w:hAnsi="仿宋_GB2312" w:eastAsia="仿宋_GB2312" w:cs="仿宋_GB2312"/>
          <w:sz w:val="28"/>
          <w:szCs w:val="28"/>
        </w:rPr>
        <w:br w:type="textWrapping"/>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4"/>
        </w:rPr>
        <w:t>根据上述背景情况，审核票据填写是否正确</w:t>
      </w:r>
      <w:r>
        <w:rPr>
          <w:rFonts w:hint="eastAsia" w:ascii="仿宋_GB2312" w:hAnsi="仿宋_GB2312" w:eastAsia="仿宋_GB2312" w:cs="仿宋_GB2312"/>
          <w:color w:val="000000"/>
          <w:sz w:val="24"/>
        </w:rPr>
        <w:t>并选择不符点</w:t>
      </w:r>
      <w:r>
        <w:rPr>
          <w:rFonts w:hint="eastAsia" w:ascii="仿宋_GB2312" w:hAnsi="仿宋_GB2312" w:eastAsia="仿宋_GB2312" w:cs="仿宋_GB2312"/>
          <w:sz w:val="24"/>
        </w:rPr>
        <w:t>。</w:t>
      </w:r>
    </w:p>
    <w:p>
      <w:pPr>
        <w:spacing w:line="360" w:lineRule="auto"/>
        <w:rPr>
          <w:rFonts w:ascii="仿宋_GB2312" w:hAnsi="仿宋_GB2312" w:eastAsia="仿宋_GB2312" w:cs="仿宋_GB2312"/>
          <w:sz w:val="24"/>
        </w:rPr>
      </w:pPr>
      <w:r>
        <w:rPr>
          <w:rFonts w:hint="eastAsia" w:ascii="仿宋_GB2312" w:hAnsi="仿宋_GB2312" w:eastAsia="仿宋_GB2312" w:cs="仿宋_GB2312"/>
          <w:b/>
          <w:bCs/>
          <w:sz w:val="24"/>
        </w:rPr>
        <w:t>任务2：</w:t>
      </w:r>
      <w:r>
        <w:rPr>
          <w:rFonts w:hint="eastAsia" w:ascii="仿宋_GB2312" w:hAnsi="仿宋_GB2312" w:eastAsia="仿宋_GB2312" w:cs="仿宋_GB2312"/>
          <w:sz w:val="24"/>
        </w:rPr>
        <w:t>银承汇票审核业务</w:t>
      </w:r>
    </w:p>
    <w:p>
      <w:pPr>
        <w:spacing w:line="360" w:lineRule="auto"/>
        <w:rPr>
          <w:rFonts w:ascii="仿宋_GB2312" w:hAnsi="仿宋_GB2312" w:eastAsia="仿宋_GB2312" w:cs="仿宋_GB2312"/>
          <w:sz w:val="24"/>
        </w:rPr>
      </w:pPr>
      <w:r>
        <w:rPr>
          <w:rFonts w:hint="eastAsia" w:ascii="仿宋_GB2312" w:hAnsi="仿宋_GB2312" w:eastAsia="仿宋_GB2312" w:cs="仿宋_GB2312"/>
          <w:b/>
          <w:bCs/>
          <w:sz w:val="24"/>
        </w:rPr>
        <w:t>任务说明：</w:t>
      </w:r>
    </w:p>
    <w:p>
      <w:pPr>
        <w:spacing w:line="360" w:lineRule="auto"/>
        <w:ind w:firstLine="6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深圳正天信息技术有限公司（需方）和广州环宇天地贸易有限公司（供方）达成设备供需合同，合同总成交金额为185000万元，双方约定采用6个月期限银行承兑汇票结算货款。2013年3月8日，需方按要求开具了银行承兑汇票并交付给供方，供方按合同要求向需方供应设备，交易顺利完成。</w:t>
      </w:r>
    </w:p>
    <w:p>
      <w:pPr>
        <w:spacing w:line="360" w:lineRule="auto"/>
        <w:rPr>
          <w:rFonts w:ascii="仿宋_GB2312" w:hAnsi="仿宋_GB2312" w:eastAsia="仿宋_GB2312" w:cs="仿宋_GB2312"/>
          <w:b/>
          <w:bCs/>
          <w:sz w:val="24"/>
        </w:rPr>
      </w:pPr>
      <w:r>
        <w:drawing>
          <wp:inline distT="0" distB="0" distL="114300" distR="114300">
            <wp:extent cx="5272405" cy="3012440"/>
            <wp:effectExtent l="0" t="0" r="4445" b="1651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15"/>
                    <a:stretch>
                      <a:fillRect/>
                    </a:stretch>
                  </pic:blipFill>
                  <pic:spPr>
                    <a:xfrm>
                      <a:off x="0" y="0"/>
                      <a:ext cx="5272405" cy="3012440"/>
                    </a:xfrm>
                    <a:prstGeom prst="rect">
                      <a:avLst/>
                    </a:prstGeom>
                    <a:noFill/>
                    <a:ln w="9525">
                      <a:noFill/>
                    </a:ln>
                  </pic:spPr>
                </pic:pic>
              </a:graphicData>
            </a:graphic>
          </wp:inline>
        </w:drawing>
      </w:r>
      <w:r>
        <w:rPr>
          <w:rFonts w:hint="eastAsia" w:ascii="仿宋_GB2312" w:hAnsi="仿宋_GB2312" w:eastAsia="仿宋_GB2312" w:cs="仿宋_GB2312"/>
          <w:color w:val="000000"/>
          <w:sz w:val="30"/>
          <w:szCs w:val="30"/>
        </w:rPr>
        <w:br w:type="textWrapping"/>
      </w:r>
      <w:r>
        <w:rPr>
          <w:rFonts w:hint="eastAsia" w:ascii="仿宋_GB2312" w:hAnsi="仿宋_GB2312" w:eastAsia="仿宋_GB2312" w:cs="仿宋_GB2312"/>
          <w:color w:val="000000"/>
          <w:sz w:val="30"/>
          <w:szCs w:val="30"/>
        </w:rPr>
        <w:t>  </w:t>
      </w:r>
      <w:r>
        <w:rPr>
          <w:rFonts w:hint="eastAsia" w:ascii="仿宋_GB2312" w:hAnsi="仿宋_GB2312" w:eastAsia="仿宋_GB2312" w:cs="仿宋_GB2312"/>
          <w:color w:val="000000"/>
          <w:sz w:val="24"/>
        </w:rPr>
        <w:t>根据上述背景情况，审核出票是否正确并选择不符点。</w:t>
      </w:r>
    </w:p>
    <w:p>
      <w:pPr>
        <w:spacing w:line="360" w:lineRule="auto"/>
        <w:rPr>
          <w:rFonts w:ascii="仿宋_GB2312" w:hAnsi="仿宋_GB2312" w:eastAsia="仿宋_GB2312" w:cs="仿宋_GB2312"/>
          <w:sz w:val="24"/>
        </w:rPr>
      </w:pPr>
      <w:r>
        <w:rPr>
          <w:rFonts w:hint="eastAsia" w:ascii="仿宋_GB2312" w:hAnsi="仿宋_GB2312" w:eastAsia="仿宋_GB2312" w:cs="仿宋_GB2312"/>
          <w:b/>
          <w:bCs/>
          <w:sz w:val="24"/>
        </w:rPr>
        <w:t>任务3：</w:t>
      </w:r>
      <w:r>
        <w:rPr>
          <w:rFonts w:hint="eastAsia" w:ascii="仿宋_GB2312" w:hAnsi="仿宋_GB2312" w:eastAsia="仿宋_GB2312" w:cs="仿宋_GB2312"/>
          <w:sz w:val="24"/>
        </w:rPr>
        <w:t>现金支票提取备用金业务</w:t>
      </w:r>
    </w:p>
    <w:p>
      <w:pPr>
        <w:spacing w:line="360" w:lineRule="auto"/>
        <w:rPr>
          <w:rFonts w:ascii="仿宋_GB2312" w:hAnsi="仿宋_GB2312" w:eastAsia="仿宋_GB2312" w:cs="仿宋_GB2312"/>
          <w:color w:val="000000"/>
          <w:sz w:val="24"/>
          <w:shd w:val="clear" w:color="auto" w:fill="FFFFFF"/>
        </w:rPr>
      </w:pPr>
      <w:r>
        <w:rPr>
          <w:rFonts w:hint="eastAsia" w:ascii="仿宋_GB2312" w:hAnsi="仿宋_GB2312" w:eastAsia="仿宋_GB2312" w:cs="仿宋_GB2312"/>
          <w:b/>
          <w:bCs/>
          <w:color w:val="000000"/>
          <w:sz w:val="24"/>
          <w:shd w:val="clear" w:color="auto" w:fill="FFFFFF"/>
        </w:rPr>
        <w:t>任务流程</w:t>
      </w:r>
      <w:r>
        <w:rPr>
          <w:rFonts w:hint="eastAsia" w:ascii="仿宋_GB2312" w:hAnsi="仿宋_GB2312" w:eastAsia="仿宋_GB2312" w:cs="仿宋_GB2312"/>
          <w:color w:val="000000"/>
          <w:sz w:val="24"/>
          <w:shd w:val="clear" w:color="auto" w:fill="FFFFFF"/>
        </w:rPr>
        <w:t>：</w:t>
      </w:r>
    </w:p>
    <w:p>
      <w:pPr>
        <w:spacing w:line="360" w:lineRule="auto"/>
        <w:rPr>
          <w:rFonts w:ascii="仿宋_GB2312" w:hAnsi="仿宋_GB2312" w:eastAsia="仿宋_GB2312" w:cs="仿宋_GB2312"/>
          <w:b/>
          <w:bCs/>
          <w:sz w:val="30"/>
          <w:szCs w:val="30"/>
        </w:rPr>
      </w:pPr>
      <w:r>
        <w:drawing>
          <wp:inline distT="0" distB="0" distL="114300" distR="114300">
            <wp:extent cx="5269865" cy="2816860"/>
            <wp:effectExtent l="0" t="0" r="6985" b="254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16"/>
                    <a:stretch>
                      <a:fillRect/>
                    </a:stretch>
                  </pic:blipFill>
                  <pic:spPr>
                    <a:xfrm>
                      <a:off x="0" y="0"/>
                      <a:ext cx="5269865" cy="2816860"/>
                    </a:xfrm>
                    <a:prstGeom prst="rect">
                      <a:avLst/>
                    </a:prstGeom>
                    <a:noFill/>
                    <a:ln w="9525">
                      <a:noFill/>
                    </a:ln>
                  </pic:spPr>
                </pic:pic>
              </a:graphicData>
            </a:graphic>
          </wp:inline>
        </w:drawing>
      </w:r>
    </w:p>
    <w:p>
      <w:pPr>
        <w:spacing w:line="360" w:lineRule="auto"/>
        <w:rPr>
          <w:rFonts w:ascii="仿宋_GB2312" w:hAnsi="仿宋_GB2312" w:eastAsia="仿宋_GB2312" w:cs="仿宋_GB2312"/>
          <w:color w:val="000000"/>
          <w:sz w:val="24"/>
        </w:rPr>
      </w:pPr>
      <w:r>
        <w:rPr>
          <w:rFonts w:hint="eastAsia" w:ascii="仿宋_GB2312" w:hAnsi="仿宋_GB2312" w:eastAsia="仿宋_GB2312" w:cs="仿宋_GB2312"/>
          <w:b/>
          <w:bCs/>
          <w:sz w:val="24"/>
        </w:rPr>
        <w:t>任务说明：</w:t>
      </w:r>
    </w:p>
    <w:p>
      <w:pPr>
        <w:spacing w:line="360" w:lineRule="auto"/>
        <w:rPr>
          <w:rFonts w:ascii="仿宋_GB2312" w:hAnsi="仿宋_GB2312" w:eastAsia="仿宋_GB2312" w:cs="仿宋_GB2312"/>
          <w:sz w:val="24"/>
          <w:shd w:val="clear" w:color="auto" w:fill="FFFFFF"/>
        </w:rPr>
      </w:pPr>
      <w:r>
        <w:rPr>
          <w:rFonts w:hint="eastAsia" w:ascii="仿宋_GB2312" w:hAnsi="仿宋_GB2312" w:eastAsia="仿宋_GB2312" w:cs="仿宋_GB2312"/>
          <w:sz w:val="24"/>
          <w:shd w:val="clear" w:color="auto" w:fill="FFFFFF"/>
        </w:rPr>
        <w:t xml:space="preserve">    2013年3月20日，临淄市图博智能工程有限公司（中国农业银行临淄支行）向其开户银行购买一本现金支票，当日 ，临淄市图博智能工程有限公司签发了一张金额为50000.00元的现金支票并从其开户银行提取备用金。切换不同业务角色，完成以下业务操作：</w:t>
      </w:r>
    </w:p>
    <w:p>
      <w:pPr>
        <w:spacing w:line="360" w:lineRule="auto"/>
        <w:rPr>
          <w:rFonts w:ascii="仿宋_GB2312" w:hAnsi="仿宋_GB2312" w:eastAsia="仿宋_GB2312" w:cs="仿宋_GB2312"/>
          <w:color w:val="000000"/>
          <w:sz w:val="24"/>
          <w:shd w:val="clear" w:color="auto" w:fill="FFFFFF"/>
        </w:rPr>
      </w:pPr>
      <w:r>
        <w:rPr>
          <w:rFonts w:hint="eastAsia" w:ascii="仿宋_GB2312" w:hAnsi="仿宋_GB2312" w:eastAsia="仿宋_GB2312" w:cs="仿宋_GB2312"/>
          <w:color w:val="000000"/>
          <w:sz w:val="24"/>
          <w:shd w:val="clear" w:color="auto" w:fill="FFFFFF"/>
        </w:rPr>
        <w:t>（1）企业出票人填写支票领购单（企业出票人-领购-填写支票领购单)；</w:t>
      </w:r>
      <w:r>
        <w:rPr>
          <w:rFonts w:hint="eastAsia" w:ascii="仿宋_GB2312" w:hAnsi="仿宋_GB2312" w:eastAsia="仿宋_GB2312" w:cs="仿宋_GB2312"/>
          <w:color w:val="000000"/>
          <w:sz w:val="24"/>
          <w:shd w:val="clear" w:color="auto" w:fill="FFFFFF"/>
        </w:rPr>
        <w:br w:type="textWrapping"/>
      </w:r>
      <w:r>
        <w:rPr>
          <w:rFonts w:hint="eastAsia" w:ascii="仿宋_GB2312" w:hAnsi="仿宋_GB2312" w:eastAsia="仿宋_GB2312" w:cs="仿宋_GB2312"/>
          <w:color w:val="000000"/>
          <w:sz w:val="24"/>
          <w:shd w:val="clear" w:color="auto" w:fill="FFFFFF"/>
        </w:rPr>
        <w:t>（2）银行付款人审核支票领购单（银行付款人-领购-选择数据-审核-填写支票号码）；</w:t>
      </w:r>
      <w:r>
        <w:rPr>
          <w:rFonts w:hint="eastAsia" w:ascii="仿宋_GB2312" w:hAnsi="仿宋_GB2312" w:eastAsia="仿宋_GB2312" w:cs="仿宋_GB2312"/>
          <w:color w:val="000000"/>
          <w:sz w:val="24"/>
          <w:shd w:val="clear" w:color="auto" w:fill="FFFFFF"/>
        </w:rPr>
        <w:br w:type="textWrapping"/>
      </w:r>
      <w:r>
        <w:rPr>
          <w:rFonts w:hint="eastAsia" w:ascii="仿宋_GB2312" w:hAnsi="仿宋_GB2312" w:eastAsia="仿宋_GB2312" w:cs="仿宋_GB2312"/>
          <w:color w:val="000000"/>
          <w:sz w:val="24"/>
          <w:shd w:val="clear" w:color="auto" w:fill="FFFFFF"/>
        </w:rPr>
        <w:t>（3）企业出票人选择对应未用支票进行出票，填写支票信息；</w:t>
      </w:r>
      <w:r>
        <w:rPr>
          <w:rFonts w:hint="eastAsia" w:ascii="仿宋_GB2312" w:hAnsi="仿宋_GB2312" w:eastAsia="仿宋_GB2312" w:cs="仿宋_GB2312"/>
          <w:color w:val="000000"/>
          <w:sz w:val="24"/>
          <w:shd w:val="clear" w:color="auto" w:fill="FFFFFF"/>
        </w:rPr>
        <w:br w:type="textWrapping"/>
      </w:r>
      <w:r>
        <w:rPr>
          <w:rFonts w:hint="eastAsia" w:ascii="仿宋_GB2312" w:hAnsi="仿宋_GB2312" w:eastAsia="仿宋_GB2312" w:cs="仿宋_GB2312"/>
          <w:color w:val="000000"/>
          <w:sz w:val="24"/>
          <w:shd w:val="clear" w:color="auto" w:fill="FFFFFF"/>
        </w:rPr>
        <w:t>（4）企业收款人进行兑付（由企业和银行双方完成）：</w:t>
      </w:r>
      <w:r>
        <w:rPr>
          <w:rFonts w:hint="eastAsia" w:ascii="仿宋_GB2312" w:hAnsi="仿宋_GB2312" w:eastAsia="仿宋_GB2312" w:cs="仿宋_GB2312"/>
          <w:color w:val="000000"/>
          <w:sz w:val="24"/>
          <w:shd w:val="clear" w:color="auto" w:fill="FFFFFF"/>
        </w:rPr>
        <w:br w:type="textWrapping"/>
      </w:r>
      <w:r>
        <w:rPr>
          <w:rFonts w:hint="eastAsia" w:ascii="仿宋_GB2312" w:hAnsi="仿宋_GB2312" w:eastAsia="仿宋_GB2312" w:cs="仿宋_GB2312"/>
          <w:color w:val="000000"/>
          <w:sz w:val="24"/>
          <w:shd w:val="clear" w:color="auto" w:fill="FFFFFF"/>
        </w:rPr>
        <w:t xml:space="preserve">     </w:t>
      </w:r>
      <w:r>
        <w:rPr>
          <w:rFonts w:hint="eastAsia" w:ascii="仿宋_GB2312" w:hAnsi="仿宋_GB2312" w:eastAsia="仿宋_GB2312" w:cs="仿宋_GB2312"/>
          <w:color w:val="000000"/>
          <w:sz w:val="24"/>
          <w:shd w:val="clear" w:color="auto" w:fill="FFFFFF"/>
        </w:rPr>
        <w:sym w:font="Wingdings" w:char="F081"/>
      </w:r>
      <w:r>
        <w:rPr>
          <w:rFonts w:hint="eastAsia" w:ascii="仿宋_GB2312" w:hAnsi="仿宋_GB2312" w:eastAsia="仿宋_GB2312" w:cs="仿宋_GB2312"/>
          <w:color w:val="000000"/>
          <w:sz w:val="24"/>
          <w:shd w:val="clear" w:color="auto" w:fill="FFFFFF"/>
        </w:rPr>
        <w:t>企业收款人填写进账单并在票据背面做背书给银行的处理后，提交到银行付款人处理；</w:t>
      </w:r>
      <w:r>
        <w:rPr>
          <w:rFonts w:hint="eastAsia" w:ascii="仿宋_GB2312" w:hAnsi="仿宋_GB2312" w:eastAsia="仿宋_GB2312" w:cs="仿宋_GB2312"/>
          <w:color w:val="000000"/>
          <w:sz w:val="24"/>
          <w:shd w:val="clear" w:color="auto" w:fill="FFFFFF"/>
        </w:rPr>
        <w:br w:type="textWrapping"/>
      </w:r>
      <w:r>
        <w:rPr>
          <w:rFonts w:hint="eastAsia" w:ascii="仿宋_GB2312" w:hAnsi="仿宋_GB2312" w:eastAsia="仿宋_GB2312" w:cs="仿宋_GB2312"/>
          <w:color w:val="000000"/>
          <w:sz w:val="24"/>
          <w:shd w:val="clear" w:color="auto" w:fill="FFFFFF"/>
        </w:rPr>
        <w:t xml:space="preserve">     </w:t>
      </w:r>
      <w:r>
        <w:rPr>
          <w:rFonts w:hint="eastAsia" w:ascii="仿宋_GB2312" w:hAnsi="仿宋_GB2312" w:eastAsia="仿宋_GB2312" w:cs="仿宋_GB2312"/>
          <w:color w:val="000000"/>
          <w:sz w:val="24"/>
          <w:shd w:val="clear" w:color="auto" w:fill="FFFFFF"/>
        </w:rPr>
        <w:sym w:font="Wingdings" w:char="F082"/>
      </w:r>
      <w:r>
        <w:rPr>
          <w:rFonts w:hint="eastAsia" w:ascii="仿宋_GB2312" w:hAnsi="仿宋_GB2312" w:eastAsia="仿宋_GB2312" w:cs="仿宋_GB2312"/>
          <w:color w:val="000000"/>
          <w:sz w:val="24"/>
          <w:shd w:val="clear" w:color="auto" w:fill="FFFFFF"/>
        </w:rPr>
        <w:t>切换角色：银行付款人找到对应的数据进行兑付审核。</w:t>
      </w:r>
    </w:p>
    <w:p>
      <w:pPr>
        <w:spacing w:line="360" w:lineRule="auto"/>
        <w:rPr>
          <w:sz w:val="24"/>
        </w:rPr>
      </w:pPr>
    </w:p>
    <w:p>
      <w:pPr>
        <w:spacing w:line="360" w:lineRule="auto"/>
        <w:rPr>
          <w:rFonts w:ascii="仿宋_GB2312" w:hAnsi="仿宋_GB2312" w:eastAsia="仿宋_GB2312" w:cs="仿宋_GB2312"/>
          <w:sz w:val="24"/>
        </w:rPr>
      </w:pPr>
      <w:r>
        <w:rPr>
          <w:rFonts w:hint="eastAsia" w:ascii="仿宋_GB2312" w:hAnsi="仿宋_GB2312" w:eastAsia="仿宋_GB2312" w:cs="仿宋_GB2312"/>
          <w:b/>
          <w:bCs/>
          <w:sz w:val="24"/>
        </w:rPr>
        <w:t>任务4：</w:t>
      </w:r>
      <w:r>
        <w:rPr>
          <w:rFonts w:hint="eastAsia" w:ascii="仿宋_GB2312" w:hAnsi="仿宋_GB2312" w:eastAsia="仿宋_GB2312" w:cs="仿宋_GB2312"/>
          <w:sz w:val="24"/>
        </w:rPr>
        <w:t>银行承兑汇票支付往来款业务</w:t>
      </w:r>
    </w:p>
    <w:p>
      <w:pPr>
        <w:spacing w:line="360" w:lineRule="auto"/>
        <w:rPr>
          <w:rFonts w:ascii="仿宋_GB2312" w:hAnsi="仿宋_GB2312" w:eastAsia="仿宋_GB2312" w:cs="仿宋_GB2312"/>
          <w:b/>
          <w:bCs/>
          <w:sz w:val="24"/>
        </w:rPr>
      </w:pPr>
      <w:r>
        <w:rPr>
          <w:rFonts w:hint="eastAsia" w:ascii="仿宋_GB2312" w:hAnsi="仿宋_GB2312" w:eastAsia="仿宋_GB2312" w:cs="仿宋_GB2312"/>
          <w:b/>
          <w:bCs/>
          <w:sz w:val="24"/>
        </w:rPr>
        <w:t>任务流程：</w:t>
      </w:r>
    </w:p>
    <w:p>
      <w:pPr>
        <w:spacing w:line="360" w:lineRule="auto"/>
        <w:rPr>
          <w:rFonts w:ascii="仿宋_GB2312" w:hAnsi="仿宋_GB2312" w:eastAsia="仿宋_GB2312" w:cs="仿宋_GB2312"/>
          <w:b/>
          <w:bCs/>
          <w:sz w:val="30"/>
          <w:szCs w:val="30"/>
        </w:rPr>
      </w:pPr>
      <w:r>
        <w:drawing>
          <wp:inline distT="0" distB="0" distL="114300" distR="114300">
            <wp:extent cx="5269865" cy="2768600"/>
            <wp:effectExtent l="0" t="0" r="6985" b="12700"/>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17"/>
                    <a:stretch>
                      <a:fillRect/>
                    </a:stretch>
                  </pic:blipFill>
                  <pic:spPr>
                    <a:xfrm>
                      <a:off x="0" y="0"/>
                      <a:ext cx="5269865" cy="2768600"/>
                    </a:xfrm>
                    <a:prstGeom prst="rect">
                      <a:avLst/>
                    </a:prstGeom>
                    <a:noFill/>
                    <a:ln w="9525">
                      <a:noFill/>
                    </a:ln>
                  </pic:spPr>
                </pic:pic>
              </a:graphicData>
            </a:graphic>
          </wp:inline>
        </w:drawing>
      </w:r>
    </w:p>
    <w:p>
      <w:pPr>
        <w:spacing w:line="360" w:lineRule="auto"/>
        <w:rPr>
          <w:rFonts w:ascii="仿宋_GB2312" w:hAnsi="仿宋_GB2312" w:eastAsia="仿宋_GB2312" w:cs="仿宋_GB2312"/>
          <w:b/>
          <w:bCs/>
          <w:sz w:val="24"/>
        </w:rPr>
      </w:pPr>
      <w:r>
        <w:rPr>
          <w:rFonts w:hint="eastAsia" w:ascii="仿宋_GB2312" w:hAnsi="仿宋_GB2312" w:eastAsia="仿宋_GB2312" w:cs="仿宋_GB2312"/>
          <w:b/>
          <w:bCs/>
          <w:sz w:val="24"/>
        </w:rPr>
        <w:t>任务说明：</w:t>
      </w:r>
    </w:p>
    <w:p>
      <w:pPr>
        <w:spacing w:line="360" w:lineRule="auto"/>
        <w:rPr>
          <w:rFonts w:ascii="仿宋_GB2312" w:hAnsi="仿宋_GB2312" w:eastAsia="仿宋_GB2312" w:cs="仿宋_GB2312"/>
          <w:sz w:val="24"/>
          <w:shd w:val="clear" w:color="auto" w:fill="FFFFFF"/>
        </w:rPr>
      </w:pPr>
      <w:r>
        <w:rPr>
          <w:rFonts w:hint="eastAsia" w:ascii="仿宋_GB2312" w:hAnsi="仿宋_GB2312" w:eastAsia="仿宋_GB2312" w:cs="仿宋_GB2312"/>
          <w:sz w:val="24"/>
          <w:shd w:val="clear" w:color="auto" w:fill="FFFFFF"/>
        </w:rPr>
        <w:t xml:space="preserve">    九江市生态产业建设开发有限公司购买了广州市中恒建设有限公司货物，货款为1400000.00元，广州市中恒建设有限公司与九江市生态产业建设开发有限公司商定以银行承兑汇票结算方式支付货款。2013年3月20日，九江市生态产业建设开发有限公司按照要求到其开户行签发期限为3个月的银行承兑汇票，九江市生态产业建设开发有限公司将经过银行承兑的银行承兑汇票交予广州市中恒建设有限公司，广州市中恒建设有限公司在汇票到期后委托自己的开户行收取款项。切换不同业务角色，完成以下业务操作：</w:t>
      </w:r>
    </w:p>
    <w:p>
      <w:pPr>
        <w:numPr>
          <w:ilvl w:val="0"/>
          <w:numId w:val="11"/>
        </w:numPr>
        <w:spacing w:line="360" w:lineRule="auto"/>
        <w:rPr>
          <w:rFonts w:ascii="仿宋_GB2312" w:hAnsi="仿宋_GB2312" w:eastAsia="仿宋_GB2312" w:cs="仿宋_GB2312"/>
          <w:sz w:val="24"/>
          <w:shd w:val="clear" w:color="auto" w:fill="FFFFFF"/>
        </w:rPr>
      </w:pPr>
      <w:r>
        <w:rPr>
          <w:rFonts w:hint="eastAsia" w:ascii="仿宋_GB2312" w:hAnsi="仿宋_GB2312" w:eastAsia="仿宋_GB2312" w:cs="仿宋_GB2312"/>
          <w:sz w:val="24"/>
          <w:shd w:val="clear" w:color="auto" w:fill="FFFFFF"/>
        </w:rPr>
        <w:t>企业申请人填写出票申请书（企业申请人-出票申请-登记）</w:t>
      </w:r>
      <w:r>
        <w:rPr>
          <w:rFonts w:hint="eastAsia" w:ascii="仿宋_GB2312" w:hAnsi="仿宋_GB2312" w:eastAsia="仿宋_GB2312" w:cs="仿宋_GB2312"/>
          <w:sz w:val="24"/>
          <w:shd w:val="clear" w:color="auto" w:fill="FFFFFF"/>
        </w:rPr>
        <w:br w:type="textWrapping"/>
      </w:r>
      <w:r>
        <w:rPr>
          <w:rFonts w:hint="eastAsia" w:ascii="仿宋_GB2312" w:hAnsi="仿宋_GB2312" w:eastAsia="仿宋_GB2312" w:cs="仿宋_GB2312"/>
          <w:sz w:val="24"/>
          <w:shd w:val="clear" w:color="auto" w:fill="FFFFFF"/>
        </w:rPr>
        <w:t>（2）银行出票人出票填写票面信息（银行出票人-选择数据-出票）</w:t>
      </w:r>
      <w:r>
        <w:rPr>
          <w:rFonts w:hint="eastAsia" w:ascii="仿宋_GB2312" w:hAnsi="仿宋_GB2312" w:eastAsia="仿宋_GB2312" w:cs="仿宋_GB2312"/>
          <w:sz w:val="24"/>
          <w:shd w:val="clear" w:color="auto" w:fill="FFFFFF"/>
        </w:rPr>
        <w:br w:type="textWrapping"/>
      </w:r>
      <w:r>
        <w:rPr>
          <w:rFonts w:hint="eastAsia" w:ascii="仿宋_GB2312" w:hAnsi="仿宋_GB2312" w:eastAsia="仿宋_GB2312" w:cs="仿宋_GB2312"/>
          <w:sz w:val="24"/>
          <w:shd w:val="clear" w:color="auto" w:fill="FFFFFF"/>
        </w:rPr>
        <w:t>（3）企业申请人签立承兑协议（企业申请人-承兑-选择数据-填写承兑协议、出票人盖章，并在票面第二联签章）</w:t>
      </w:r>
      <w:r>
        <w:rPr>
          <w:rFonts w:hint="eastAsia" w:ascii="仿宋_GB2312" w:hAnsi="仿宋_GB2312" w:eastAsia="仿宋_GB2312" w:cs="仿宋_GB2312"/>
          <w:sz w:val="24"/>
          <w:shd w:val="clear" w:color="auto" w:fill="FFFFFF"/>
        </w:rPr>
        <w:br w:type="textWrapping"/>
      </w:r>
      <w:r>
        <w:rPr>
          <w:rFonts w:hint="eastAsia" w:ascii="仿宋_GB2312" w:hAnsi="仿宋_GB2312" w:eastAsia="仿宋_GB2312" w:cs="仿宋_GB2312"/>
          <w:sz w:val="24"/>
          <w:shd w:val="clear" w:color="auto" w:fill="FFFFFF"/>
        </w:rPr>
        <w:t>   签订承兑协议需勾选资料有：贷款卡、承兑协议、公司营业执照、法人身份证、资产负债表、损益表、交易合同；</w:t>
      </w:r>
      <w:r>
        <w:rPr>
          <w:rFonts w:hint="eastAsia" w:ascii="仿宋_GB2312" w:hAnsi="仿宋_GB2312" w:eastAsia="仿宋_GB2312" w:cs="仿宋_GB2312"/>
          <w:sz w:val="24"/>
          <w:shd w:val="clear" w:color="auto" w:fill="FFFFFF"/>
        </w:rPr>
        <w:br w:type="textWrapping"/>
      </w:r>
      <w:r>
        <w:rPr>
          <w:rFonts w:hint="eastAsia" w:ascii="仿宋_GB2312" w:hAnsi="仿宋_GB2312" w:eastAsia="仿宋_GB2312" w:cs="仿宋_GB2312"/>
          <w:sz w:val="24"/>
          <w:shd w:val="clear" w:color="auto" w:fill="FFFFFF"/>
        </w:rPr>
        <w:t>（4）银行承兑人盖承兑章（企业承兑人-承兑-选择数据-承兑协议承兑行章和票样第二联盖章）</w:t>
      </w:r>
      <w:r>
        <w:rPr>
          <w:rFonts w:hint="eastAsia" w:ascii="仿宋_GB2312" w:hAnsi="仿宋_GB2312" w:eastAsia="仿宋_GB2312" w:cs="仿宋_GB2312"/>
          <w:sz w:val="24"/>
          <w:shd w:val="clear" w:color="auto" w:fill="FFFFFF"/>
        </w:rPr>
        <w:br w:type="textWrapping"/>
      </w:r>
      <w:r>
        <w:rPr>
          <w:rFonts w:hint="eastAsia" w:ascii="仿宋_GB2312" w:hAnsi="仿宋_GB2312" w:eastAsia="仿宋_GB2312" w:cs="仿宋_GB2312"/>
          <w:sz w:val="24"/>
          <w:shd w:val="clear" w:color="auto" w:fill="FFFFFF"/>
        </w:rPr>
        <w:t>（5）企业收款人进行到期托收：</w:t>
      </w:r>
      <w:r>
        <w:rPr>
          <w:rFonts w:hint="eastAsia" w:ascii="仿宋_GB2312" w:hAnsi="仿宋_GB2312" w:eastAsia="仿宋_GB2312" w:cs="仿宋_GB2312"/>
          <w:sz w:val="24"/>
          <w:shd w:val="clear" w:color="auto" w:fill="FFFFFF"/>
        </w:rPr>
        <w:br w:type="textWrapping"/>
      </w:r>
      <w:r>
        <w:rPr>
          <w:rFonts w:hint="eastAsia" w:ascii="仿宋_GB2312" w:hAnsi="仿宋_GB2312" w:eastAsia="仿宋_GB2312" w:cs="仿宋_GB2312"/>
          <w:sz w:val="24"/>
          <w:shd w:val="clear" w:color="auto" w:fill="FFFFFF"/>
        </w:rPr>
        <w:sym w:font="Wingdings" w:char="F081"/>
      </w:r>
      <w:r>
        <w:rPr>
          <w:rFonts w:hint="eastAsia" w:ascii="仿宋_GB2312" w:hAnsi="仿宋_GB2312" w:eastAsia="仿宋_GB2312" w:cs="仿宋_GB2312"/>
          <w:sz w:val="24"/>
          <w:shd w:val="clear" w:color="auto" w:fill="FFFFFF"/>
        </w:rPr>
        <w:t>企业收款人选择数据-到期托收（填托收凭证、第一联签章）；</w:t>
      </w:r>
    </w:p>
    <w:p>
      <w:pPr>
        <w:spacing w:line="360" w:lineRule="auto"/>
        <w:rPr>
          <w:rFonts w:ascii="仿宋_GB2312" w:hAnsi="仿宋_GB2312" w:eastAsia="仿宋_GB2312" w:cs="仿宋_GB2312"/>
          <w:sz w:val="24"/>
          <w:shd w:val="clear" w:color="auto" w:fill="FFFFFF"/>
        </w:rPr>
      </w:pPr>
      <w:r>
        <w:rPr>
          <w:rFonts w:hint="eastAsia" w:ascii="仿宋_GB2312" w:hAnsi="仿宋_GB2312" w:eastAsia="仿宋_GB2312" w:cs="仿宋_GB2312"/>
          <w:sz w:val="24"/>
          <w:shd w:val="clear" w:color="auto" w:fill="FFFFFF"/>
        </w:rPr>
        <w:sym w:font="Wingdings" w:char="F082"/>
      </w:r>
      <w:r>
        <w:rPr>
          <w:rFonts w:hint="eastAsia" w:ascii="仿宋_GB2312" w:hAnsi="仿宋_GB2312" w:eastAsia="仿宋_GB2312" w:cs="仿宋_GB2312"/>
          <w:sz w:val="24"/>
          <w:shd w:val="clear" w:color="auto" w:fill="FFFFFF"/>
        </w:rPr>
        <w:t>切换角色：银行付款人进行托收凭证填写（第一联、第三联签章）；</w:t>
      </w:r>
      <w:r>
        <w:rPr>
          <w:rFonts w:hint="eastAsia" w:ascii="仿宋_GB2312" w:hAnsi="仿宋_GB2312" w:eastAsia="仿宋_GB2312" w:cs="仿宋_GB2312"/>
          <w:sz w:val="24"/>
          <w:shd w:val="clear" w:color="auto" w:fill="FFFFFF"/>
        </w:rPr>
        <w:br w:type="textWrapping"/>
      </w:r>
      <w:r>
        <w:rPr>
          <w:rFonts w:hint="eastAsia" w:ascii="仿宋_GB2312" w:hAnsi="仿宋_GB2312" w:eastAsia="仿宋_GB2312" w:cs="仿宋_GB2312"/>
          <w:sz w:val="24"/>
          <w:shd w:val="clear" w:color="auto" w:fill="FFFFFF"/>
        </w:rPr>
        <w:sym w:font="Wingdings" w:char="F083"/>
      </w:r>
      <w:r>
        <w:rPr>
          <w:rFonts w:hint="eastAsia" w:ascii="仿宋_GB2312" w:hAnsi="仿宋_GB2312" w:eastAsia="仿宋_GB2312" w:cs="仿宋_GB2312"/>
          <w:sz w:val="24"/>
          <w:shd w:val="clear" w:color="auto" w:fill="FFFFFF"/>
        </w:rPr>
        <w:t>切换角色：企业收款人做背书操作，把票据背书给银行。</w:t>
      </w:r>
    </w:p>
    <w:p>
      <w:pPr>
        <w:snapToGrid w:val="0"/>
        <w:spacing w:line="360" w:lineRule="auto"/>
        <w:ind w:left="420"/>
        <w:outlineLvl w:val="0"/>
        <w:rPr>
          <w:rFonts w:ascii="Arial Narrow" w:hAnsi="Arial Narrow" w:eastAsia="仿宋_GB2312" w:cs="Arial"/>
          <w:b/>
          <w:sz w:val="24"/>
        </w:rPr>
      </w:pPr>
      <w:r>
        <w:rPr>
          <w:rFonts w:hint="eastAsia" w:ascii="Arial Narrow" w:hAnsi="Arial Narrow" w:eastAsia="仿宋_GB2312" w:cs="Arial"/>
          <w:b/>
          <w:sz w:val="24"/>
        </w:rPr>
        <w:t>（四）评分细节</w:t>
      </w:r>
    </w:p>
    <w:p>
      <w:pPr>
        <w:snapToGrid w:val="0"/>
        <w:spacing w:line="360" w:lineRule="auto"/>
        <w:ind w:firstLine="480" w:firstLineChars="200"/>
        <w:rPr>
          <w:rFonts w:ascii="仿宋_GB2312" w:hAnsi="微软雅黑" w:eastAsia="仿宋_GB2312" w:cs="Arial"/>
          <w:sz w:val="24"/>
        </w:rPr>
      </w:pPr>
      <w:r>
        <w:rPr>
          <w:rFonts w:hint="eastAsia" w:ascii="仿宋_GB2312" w:hAnsi="微软雅黑" w:eastAsia="仿宋_GB2312" w:cs="Arial"/>
          <w:sz w:val="24"/>
        </w:rPr>
        <w:t>1.“银行从业知识”竞赛</w:t>
      </w:r>
    </w:p>
    <w:tbl>
      <w:tblPr>
        <w:tblStyle w:val="9"/>
        <w:tblW w:w="8946"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87"/>
        <w:gridCol w:w="1118"/>
        <w:gridCol w:w="1264"/>
        <w:gridCol w:w="2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887" w:type="dxa"/>
          </w:tcPr>
          <w:p>
            <w:pPr>
              <w:spacing w:line="360" w:lineRule="auto"/>
              <w:jc w:val="center"/>
              <w:rPr>
                <w:rFonts w:asciiTheme="majorEastAsia" w:hAnsiTheme="majorEastAsia" w:eastAsiaTheme="majorEastAsia" w:cstheme="majorEastAsia"/>
                <w:b/>
                <w:bCs/>
                <w:kern w:val="0"/>
                <w:szCs w:val="21"/>
              </w:rPr>
            </w:pPr>
            <w:r>
              <w:rPr>
                <w:rFonts w:hint="eastAsia" w:asciiTheme="majorEastAsia" w:hAnsiTheme="majorEastAsia" w:eastAsiaTheme="majorEastAsia" w:cstheme="majorEastAsia"/>
                <w:b/>
                <w:bCs/>
                <w:kern w:val="0"/>
                <w:szCs w:val="21"/>
              </w:rPr>
              <w:t>评分细节</w:t>
            </w:r>
          </w:p>
        </w:tc>
        <w:tc>
          <w:tcPr>
            <w:tcW w:w="1118" w:type="dxa"/>
          </w:tcPr>
          <w:p>
            <w:pPr>
              <w:spacing w:line="360" w:lineRule="auto"/>
              <w:jc w:val="center"/>
              <w:rPr>
                <w:rFonts w:asciiTheme="majorEastAsia" w:hAnsiTheme="majorEastAsia" w:eastAsiaTheme="majorEastAsia" w:cstheme="majorEastAsia"/>
                <w:b/>
                <w:bCs/>
                <w:kern w:val="0"/>
                <w:szCs w:val="21"/>
              </w:rPr>
            </w:pPr>
            <w:r>
              <w:rPr>
                <w:rFonts w:hint="eastAsia" w:asciiTheme="majorEastAsia" w:hAnsiTheme="majorEastAsia" w:eastAsiaTheme="majorEastAsia" w:cstheme="majorEastAsia"/>
                <w:b/>
                <w:bCs/>
                <w:kern w:val="0"/>
                <w:szCs w:val="21"/>
              </w:rPr>
              <w:t>分值</w:t>
            </w:r>
          </w:p>
        </w:tc>
        <w:tc>
          <w:tcPr>
            <w:tcW w:w="1264" w:type="dxa"/>
          </w:tcPr>
          <w:p>
            <w:pPr>
              <w:spacing w:line="360" w:lineRule="auto"/>
              <w:jc w:val="center"/>
              <w:rPr>
                <w:rFonts w:asciiTheme="majorEastAsia" w:hAnsiTheme="majorEastAsia" w:eastAsiaTheme="majorEastAsia" w:cstheme="majorEastAsia"/>
                <w:b/>
                <w:bCs/>
                <w:kern w:val="0"/>
                <w:szCs w:val="21"/>
              </w:rPr>
            </w:pPr>
            <w:r>
              <w:rPr>
                <w:rFonts w:hint="eastAsia" w:asciiTheme="majorEastAsia" w:hAnsiTheme="majorEastAsia" w:eastAsiaTheme="majorEastAsia" w:cstheme="majorEastAsia"/>
                <w:b/>
                <w:bCs/>
                <w:kern w:val="0"/>
                <w:szCs w:val="21"/>
              </w:rPr>
              <w:t>总分值</w:t>
            </w:r>
          </w:p>
        </w:tc>
        <w:tc>
          <w:tcPr>
            <w:tcW w:w="2677" w:type="dxa"/>
          </w:tcPr>
          <w:p>
            <w:pPr>
              <w:spacing w:line="360" w:lineRule="auto"/>
              <w:jc w:val="center"/>
              <w:rPr>
                <w:rFonts w:asciiTheme="majorEastAsia" w:hAnsiTheme="majorEastAsia" w:eastAsiaTheme="majorEastAsia" w:cstheme="majorEastAsia"/>
                <w:b/>
                <w:bCs/>
                <w:kern w:val="0"/>
                <w:szCs w:val="21"/>
              </w:rPr>
            </w:pPr>
            <w:r>
              <w:rPr>
                <w:rFonts w:hint="eastAsia" w:asciiTheme="majorEastAsia" w:hAnsiTheme="majorEastAsia" w:eastAsiaTheme="majorEastAsia" w:cstheme="majorEastAsia"/>
                <w:b/>
                <w:bCs/>
                <w:kern w:val="0"/>
                <w:szCs w:val="21"/>
              </w:rPr>
              <w:t>评分方式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887" w:type="dxa"/>
          </w:tcPr>
          <w:p>
            <w:pPr>
              <w:spacing w:line="360" w:lineRule="auto"/>
              <w:jc w:val="center"/>
              <w:rPr>
                <w:rFonts w:asciiTheme="majorEastAsia" w:hAnsiTheme="majorEastAsia" w:eastAsiaTheme="majorEastAsia" w:cstheme="majorEastAsia"/>
                <w:kern w:val="0"/>
                <w:szCs w:val="21"/>
              </w:rPr>
            </w:pPr>
            <w:r>
              <w:rPr>
                <w:rFonts w:hint="eastAsia" w:asciiTheme="majorEastAsia" w:hAnsiTheme="majorEastAsia" w:eastAsiaTheme="majorEastAsia" w:cstheme="majorEastAsia"/>
                <w:kern w:val="0"/>
                <w:szCs w:val="21"/>
              </w:rPr>
              <w:t>银行业法律法规与综合能力</w:t>
            </w:r>
          </w:p>
        </w:tc>
        <w:tc>
          <w:tcPr>
            <w:tcW w:w="1118" w:type="dxa"/>
          </w:tcPr>
          <w:p>
            <w:pPr>
              <w:spacing w:line="360" w:lineRule="auto"/>
              <w:jc w:val="center"/>
              <w:rPr>
                <w:rFonts w:asciiTheme="majorEastAsia" w:hAnsiTheme="majorEastAsia" w:eastAsiaTheme="majorEastAsia" w:cstheme="majorEastAsia"/>
                <w:kern w:val="0"/>
                <w:szCs w:val="21"/>
              </w:rPr>
            </w:pPr>
            <w:r>
              <w:rPr>
                <w:rFonts w:hint="eastAsia" w:asciiTheme="majorEastAsia" w:hAnsiTheme="majorEastAsia" w:eastAsiaTheme="majorEastAsia" w:cstheme="majorEastAsia"/>
                <w:kern w:val="0"/>
                <w:szCs w:val="21"/>
              </w:rPr>
              <w:t>70分</w:t>
            </w:r>
          </w:p>
        </w:tc>
        <w:tc>
          <w:tcPr>
            <w:tcW w:w="1264" w:type="dxa"/>
            <w:vMerge w:val="restart"/>
            <w:vAlign w:val="center"/>
          </w:tcPr>
          <w:p>
            <w:pPr>
              <w:spacing w:line="360" w:lineRule="auto"/>
              <w:rPr>
                <w:rFonts w:asciiTheme="majorEastAsia" w:hAnsiTheme="majorEastAsia" w:eastAsiaTheme="majorEastAsia" w:cstheme="majorEastAsia"/>
                <w:kern w:val="0"/>
                <w:szCs w:val="21"/>
              </w:rPr>
            </w:pPr>
            <w:r>
              <w:rPr>
                <w:rFonts w:hint="eastAsia" w:asciiTheme="majorEastAsia" w:hAnsiTheme="majorEastAsia" w:eastAsiaTheme="majorEastAsia" w:cstheme="majorEastAsia"/>
                <w:kern w:val="0"/>
                <w:szCs w:val="21"/>
              </w:rPr>
              <w:t xml:space="preserve">  100分</w:t>
            </w:r>
          </w:p>
        </w:tc>
        <w:tc>
          <w:tcPr>
            <w:tcW w:w="2677" w:type="dxa"/>
            <w:vMerge w:val="restart"/>
            <w:vAlign w:val="center"/>
          </w:tcPr>
          <w:p>
            <w:pPr>
              <w:spacing w:line="360" w:lineRule="auto"/>
              <w:jc w:val="center"/>
              <w:rPr>
                <w:rFonts w:asciiTheme="majorEastAsia" w:hAnsiTheme="majorEastAsia" w:eastAsiaTheme="majorEastAsia" w:cstheme="majorEastAsia"/>
                <w:kern w:val="0"/>
                <w:szCs w:val="21"/>
              </w:rPr>
            </w:pPr>
            <w:r>
              <w:rPr>
                <w:rFonts w:hint="eastAsia" w:asciiTheme="majorEastAsia" w:hAnsiTheme="majorEastAsia" w:eastAsiaTheme="majorEastAsia" w:cstheme="majorEastAsia"/>
                <w:kern w:val="0"/>
                <w:szCs w:val="21"/>
              </w:rPr>
              <w:t>系统评分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887" w:type="dxa"/>
          </w:tcPr>
          <w:p>
            <w:pPr>
              <w:spacing w:line="360" w:lineRule="auto"/>
              <w:jc w:val="center"/>
              <w:rPr>
                <w:rFonts w:asciiTheme="majorEastAsia" w:hAnsiTheme="majorEastAsia" w:eastAsiaTheme="majorEastAsia" w:cstheme="majorEastAsia"/>
                <w:kern w:val="0"/>
                <w:szCs w:val="21"/>
              </w:rPr>
            </w:pPr>
            <w:r>
              <w:rPr>
                <w:rFonts w:hint="eastAsia" w:asciiTheme="majorEastAsia" w:hAnsiTheme="majorEastAsia" w:eastAsiaTheme="majorEastAsia" w:cstheme="majorEastAsia"/>
                <w:kern w:val="0"/>
                <w:szCs w:val="21"/>
              </w:rPr>
              <w:t>个人理财</w:t>
            </w:r>
          </w:p>
        </w:tc>
        <w:tc>
          <w:tcPr>
            <w:tcW w:w="1118" w:type="dxa"/>
          </w:tcPr>
          <w:p>
            <w:pPr>
              <w:spacing w:line="360" w:lineRule="auto"/>
              <w:jc w:val="center"/>
              <w:rPr>
                <w:rFonts w:asciiTheme="majorEastAsia" w:hAnsiTheme="majorEastAsia" w:eastAsiaTheme="majorEastAsia" w:cstheme="majorEastAsia"/>
                <w:kern w:val="0"/>
                <w:szCs w:val="21"/>
              </w:rPr>
            </w:pPr>
            <w:r>
              <w:rPr>
                <w:rFonts w:hint="eastAsia" w:asciiTheme="majorEastAsia" w:hAnsiTheme="majorEastAsia" w:eastAsiaTheme="majorEastAsia" w:cstheme="majorEastAsia"/>
                <w:kern w:val="0"/>
                <w:szCs w:val="21"/>
              </w:rPr>
              <w:t>15分</w:t>
            </w:r>
          </w:p>
        </w:tc>
        <w:tc>
          <w:tcPr>
            <w:tcW w:w="1264" w:type="dxa"/>
            <w:vMerge w:val="continue"/>
          </w:tcPr>
          <w:p>
            <w:pPr>
              <w:spacing w:line="360" w:lineRule="auto"/>
              <w:jc w:val="center"/>
              <w:rPr>
                <w:rFonts w:asciiTheme="majorEastAsia" w:hAnsiTheme="majorEastAsia" w:eastAsiaTheme="majorEastAsia" w:cstheme="majorEastAsia"/>
                <w:kern w:val="0"/>
                <w:szCs w:val="21"/>
              </w:rPr>
            </w:pPr>
          </w:p>
        </w:tc>
        <w:tc>
          <w:tcPr>
            <w:tcW w:w="2677" w:type="dxa"/>
            <w:vMerge w:val="continue"/>
          </w:tcPr>
          <w:p>
            <w:pPr>
              <w:spacing w:line="360" w:lineRule="auto"/>
              <w:jc w:val="center"/>
              <w:rPr>
                <w:rFonts w:asciiTheme="majorEastAsia" w:hAnsiTheme="majorEastAsia" w:eastAsiaTheme="majorEastAsia" w:cstheme="maj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1" w:hRule="atLeast"/>
        </w:trPr>
        <w:tc>
          <w:tcPr>
            <w:tcW w:w="3887" w:type="dxa"/>
          </w:tcPr>
          <w:p>
            <w:pPr>
              <w:spacing w:line="360" w:lineRule="auto"/>
              <w:jc w:val="center"/>
              <w:rPr>
                <w:rFonts w:asciiTheme="majorEastAsia" w:hAnsiTheme="majorEastAsia" w:eastAsiaTheme="majorEastAsia" w:cstheme="majorEastAsia"/>
                <w:kern w:val="0"/>
                <w:szCs w:val="21"/>
              </w:rPr>
            </w:pPr>
            <w:r>
              <w:rPr>
                <w:rFonts w:hint="eastAsia" w:asciiTheme="majorEastAsia" w:hAnsiTheme="majorEastAsia" w:eastAsiaTheme="majorEastAsia" w:cstheme="majorEastAsia"/>
                <w:kern w:val="0"/>
                <w:szCs w:val="21"/>
              </w:rPr>
              <w:t>银行信贷（含公司信贷和个人贷款）</w:t>
            </w:r>
          </w:p>
        </w:tc>
        <w:tc>
          <w:tcPr>
            <w:tcW w:w="1118" w:type="dxa"/>
          </w:tcPr>
          <w:p>
            <w:pPr>
              <w:spacing w:line="360" w:lineRule="auto"/>
              <w:jc w:val="center"/>
              <w:rPr>
                <w:rFonts w:asciiTheme="majorEastAsia" w:hAnsiTheme="majorEastAsia" w:eastAsiaTheme="majorEastAsia" w:cstheme="majorEastAsia"/>
                <w:kern w:val="0"/>
                <w:szCs w:val="21"/>
              </w:rPr>
            </w:pPr>
            <w:r>
              <w:rPr>
                <w:rFonts w:hint="eastAsia" w:asciiTheme="majorEastAsia" w:hAnsiTheme="majorEastAsia" w:eastAsiaTheme="majorEastAsia" w:cstheme="majorEastAsia"/>
                <w:kern w:val="0"/>
                <w:szCs w:val="21"/>
              </w:rPr>
              <w:t>15分</w:t>
            </w:r>
          </w:p>
        </w:tc>
        <w:tc>
          <w:tcPr>
            <w:tcW w:w="1264" w:type="dxa"/>
            <w:vMerge w:val="continue"/>
          </w:tcPr>
          <w:p>
            <w:pPr>
              <w:spacing w:line="360" w:lineRule="auto"/>
              <w:jc w:val="center"/>
              <w:rPr>
                <w:rFonts w:asciiTheme="majorEastAsia" w:hAnsiTheme="majorEastAsia" w:eastAsiaTheme="majorEastAsia" w:cstheme="majorEastAsia"/>
                <w:kern w:val="0"/>
                <w:szCs w:val="21"/>
              </w:rPr>
            </w:pPr>
          </w:p>
        </w:tc>
        <w:tc>
          <w:tcPr>
            <w:tcW w:w="2677" w:type="dxa"/>
            <w:vMerge w:val="continue"/>
          </w:tcPr>
          <w:p>
            <w:pPr>
              <w:spacing w:line="360" w:lineRule="auto"/>
              <w:jc w:val="center"/>
              <w:rPr>
                <w:rFonts w:asciiTheme="majorEastAsia" w:hAnsiTheme="majorEastAsia" w:eastAsiaTheme="majorEastAsia" w:cstheme="majorEastAsia"/>
                <w:kern w:val="0"/>
                <w:szCs w:val="21"/>
              </w:rPr>
            </w:pPr>
          </w:p>
        </w:tc>
      </w:tr>
    </w:tbl>
    <w:p>
      <w:pPr>
        <w:snapToGrid w:val="0"/>
        <w:spacing w:line="360" w:lineRule="auto"/>
        <w:rPr>
          <w:rFonts w:ascii="仿宋_GB2312" w:hAnsi="微软雅黑" w:eastAsia="仿宋_GB2312" w:cs="Arial"/>
          <w:sz w:val="24"/>
        </w:rPr>
      </w:pPr>
    </w:p>
    <w:p>
      <w:pPr>
        <w:snapToGrid w:val="0"/>
        <w:spacing w:line="360" w:lineRule="auto"/>
        <w:ind w:left="600"/>
        <w:rPr>
          <w:rFonts w:ascii="仿宋_GB2312" w:hAnsi="微软雅黑" w:eastAsia="仿宋_GB2312" w:cs="Arial"/>
          <w:sz w:val="24"/>
        </w:rPr>
      </w:pPr>
      <w:r>
        <w:rPr>
          <w:rFonts w:hint="eastAsia" w:ascii="仿宋_GB2312" w:hAnsi="微软雅黑" w:eastAsia="仿宋_GB2312" w:cs="Arial"/>
          <w:sz w:val="24"/>
        </w:rPr>
        <w:t>2.“银行基本技能”竞赛</w:t>
      </w:r>
    </w:p>
    <w:tbl>
      <w:tblPr>
        <w:tblStyle w:val="9"/>
        <w:tblW w:w="91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2311"/>
        <w:gridCol w:w="2190"/>
        <w:gridCol w:w="1065"/>
        <w:gridCol w:w="1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b/>
                <w:kern w:val="0"/>
                <w:szCs w:val="21"/>
              </w:rPr>
              <w:t>竞赛任务</w:t>
            </w:r>
          </w:p>
        </w:tc>
        <w:tc>
          <w:tcPr>
            <w:tcW w:w="4501" w:type="dxa"/>
            <w:gridSpan w:val="2"/>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b/>
                <w:kern w:val="0"/>
                <w:szCs w:val="21"/>
              </w:rPr>
              <w:t>评分细节</w:t>
            </w:r>
          </w:p>
        </w:tc>
        <w:tc>
          <w:tcPr>
            <w:tcW w:w="1065" w:type="dxa"/>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b/>
                <w:kern w:val="0"/>
                <w:szCs w:val="21"/>
              </w:rPr>
              <w:t>分值</w:t>
            </w:r>
          </w:p>
        </w:tc>
        <w:tc>
          <w:tcPr>
            <w:tcW w:w="1425" w:type="dxa"/>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b/>
                <w:kern w:val="0"/>
                <w:szCs w:val="21"/>
              </w:rPr>
              <w:t>评分方式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kern w:val="0"/>
                <w:szCs w:val="21"/>
              </w:rPr>
              <w:t>传票算</w:t>
            </w:r>
          </w:p>
        </w:tc>
        <w:tc>
          <w:tcPr>
            <w:tcW w:w="4501" w:type="dxa"/>
            <w:gridSpan w:val="2"/>
          </w:tcPr>
          <w:p>
            <w:pPr>
              <w:spacing w:line="360" w:lineRule="auto"/>
              <w:rPr>
                <w:rFonts w:ascii="仿宋_GB2312" w:hAnsi="微软雅黑" w:eastAsia="仿宋_GB2312" w:cs="Arial"/>
                <w:kern w:val="0"/>
                <w:szCs w:val="21"/>
              </w:rPr>
            </w:pPr>
            <w:r>
              <w:rPr>
                <w:rFonts w:hint="eastAsia" w:asciiTheme="minorEastAsia" w:hAnsiTheme="minorEastAsia" w:cstheme="minorEastAsia"/>
                <w:kern w:val="0"/>
                <w:szCs w:val="21"/>
              </w:rPr>
              <w:t>本项目采用计算机系统自动评分办法，按正确答案数记分；按计算机事先设置的采分点，选手每提交一个正确数字可得5分，提交不正确的不得分。</w:t>
            </w:r>
          </w:p>
        </w:tc>
        <w:tc>
          <w:tcPr>
            <w:tcW w:w="1065" w:type="dxa"/>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kern w:val="0"/>
                <w:szCs w:val="21"/>
              </w:rPr>
              <w:t>100分</w:t>
            </w:r>
          </w:p>
        </w:tc>
        <w:tc>
          <w:tcPr>
            <w:tcW w:w="1425" w:type="dxa"/>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kern w:val="0"/>
                <w:szCs w:val="21"/>
              </w:rPr>
              <w:t>系统评分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kern w:val="0"/>
                <w:szCs w:val="21"/>
              </w:rPr>
              <w:t>字符输入</w:t>
            </w:r>
          </w:p>
        </w:tc>
        <w:tc>
          <w:tcPr>
            <w:tcW w:w="4501" w:type="dxa"/>
            <w:gridSpan w:val="2"/>
          </w:tcPr>
          <w:p>
            <w:pPr>
              <w:spacing w:line="360" w:lineRule="auto"/>
              <w:rPr>
                <w:rFonts w:ascii="仿宋_GB2312" w:hAnsi="微软雅黑" w:eastAsia="仿宋_GB2312" w:cs="Arial"/>
                <w:kern w:val="0"/>
                <w:szCs w:val="21"/>
              </w:rPr>
            </w:pPr>
            <w:r>
              <w:rPr>
                <w:rFonts w:hint="eastAsia" w:asciiTheme="minorEastAsia" w:hAnsiTheme="minorEastAsia" w:cstheme="minorEastAsia"/>
                <w:kern w:val="0"/>
                <w:szCs w:val="21"/>
              </w:rPr>
              <w:t>本项目采用计算机系统自动评分办法；选手提交后，按计算机事先设置的采分点，一个正确字符得0.0625分，一个错误字符按该字符分值的3倍扣分（本项目最低为零分，不出现负分）。</w:t>
            </w:r>
          </w:p>
        </w:tc>
        <w:tc>
          <w:tcPr>
            <w:tcW w:w="1065" w:type="dxa"/>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kern w:val="0"/>
                <w:szCs w:val="21"/>
              </w:rPr>
              <w:t>100分</w:t>
            </w:r>
          </w:p>
        </w:tc>
        <w:tc>
          <w:tcPr>
            <w:tcW w:w="1425" w:type="dxa"/>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kern w:val="0"/>
                <w:szCs w:val="21"/>
              </w:rPr>
              <w:t>系统评分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kern w:val="0"/>
                <w:szCs w:val="21"/>
              </w:rPr>
              <w:t>手工点钞</w:t>
            </w:r>
          </w:p>
        </w:tc>
        <w:tc>
          <w:tcPr>
            <w:tcW w:w="4501" w:type="dxa"/>
            <w:gridSpan w:val="2"/>
          </w:tcPr>
          <w:p>
            <w:pPr>
              <w:spacing w:line="360" w:lineRule="auto"/>
              <w:rPr>
                <w:rFonts w:asciiTheme="minorEastAsia" w:hAnsiTheme="minorEastAsia" w:cstheme="minorEastAsia"/>
                <w:kern w:val="0"/>
                <w:szCs w:val="21"/>
              </w:rPr>
            </w:pPr>
            <w:r>
              <w:rPr>
                <w:rFonts w:hint="eastAsia" w:asciiTheme="minorEastAsia" w:hAnsiTheme="minorEastAsia" w:cstheme="minorEastAsia"/>
                <w:kern w:val="0"/>
                <w:szCs w:val="21"/>
              </w:rPr>
              <w:t>1.采用计算机系统自动评分与现场裁判评分相结合的办法；</w:t>
            </w:r>
          </w:p>
          <w:p>
            <w:pPr>
              <w:spacing w:line="360" w:lineRule="auto"/>
              <w:rPr>
                <w:rFonts w:asciiTheme="minorEastAsia" w:hAnsiTheme="minorEastAsia" w:cstheme="minorEastAsia"/>
                <w:kern w:val="0"/>
                <w:szCs w:val="21"/>
              </w:rPr>
            </w:pPr>
            <w:r>
              <w:rPr>
                <w:rFonts w:hint="eastAsia" w:asciiTheme="minorEastAsia" w:hAnsiTheme="minorEastAsia" w:cstheme="minorEastAsia"/>
                <w:kern w:val="0"/>
                <w:szCs w:val="21"/>
              </w:rPr>
              <w:t>2.按计算机事先设置的采分点评分，总共8种面额钞票，选手清点完每一种面额钞票后将钞票数量和金额录入到竞赛平台系统中。每种钞票录入数量正确得10分，金额正确得2.5分。</w:t>
            </w:r>
          </w:p>
          <w:p>
            <w:pPr>
              <w:spacing w:line="360" w:lineRule="auto"/>
              <w:rPr>
                <w:rFonts w:asciiTheme="minorEastAsia" w:hAnsiTheme="minorEastAsia" w:cstheme="minorEastAsia"/>
                <w:kern w:val="0"/>
                <w:szCs w:val="21"/>
              </w:rPr>
            </w:pPr>
            <w:r>
              <w:rPr>
                <w:rFonts w:hint="eastAsia" w:asciiTheme="minorEastAsia" w:hAnsiTheme="minorEastAsia" w:cstheme="minorEastAsia"/>
                <w:kern w:val="0"/>
                <w:szCs w:val="21"/>
              </w:rPr>
              <w:t>3.现场裁判评分标准：</w:t>
            </w:r>
          </w:p>
          <w:p>
            <w:pPr>
              <w:spacing w:line="360" w:lineRule="auto"/>
              <w:rPr>
                <w:rFonts w:asciiTheme="minorEastAsia" w:hAnsiTheme="minorEastAsia" w:cstheme="minorEastAsia"/>
                <w:kern w:val="0"/>
                <w:szCs w:val="21"/>
              </w:rPr>
            </w:pPr>
            <w:r>
              <w:rPr>
                <w:rFonts w:hint="eastAsia" w:asciiTheme="minorEastAsia" w:hAnsiTheme="minorEastAsia" w:cstheme="minorEastAsia"/>
                <w:kern w:val="0"/>
                <w:szCs w:val="21"/>
              </w:rPr>
              <w:t>①未正确捆扎、未捆扎每把（每把100张）扣2分；</w:t>
            </w:r>
          </w:p>
          <w:p>
            <w:pPr>
              <w:spacing w:line="360" w:lineRule="auto"/>
              <w:rPr>
                <w:rFonts w:asciiTheme="minorEastAsia" w:hAnsiTheme="minorEastAsia" w:cstheme="minorEastAsia"/>
                <w:kern w:val="0"/>
                <w:szCs w:val="21"/>
              </w:rPr>
            </w:pPr>
            <w:r>
              <w:rPr>
                <w:rFonts w:hint="eastAsia" w:asciiTheme="minorEastAsia" w:hAnsiTheme="minorEastAsia" w:cstheme="minorEastAsia"/>
                <w:kern w:val="0"/>
                <w:szCs w:val="21"/>
              </w:rPr>
              <w:t>②未正确盖章、未盖章每把扣1分；</w:t>
            </w:r>
          </w:p>
          <w:p>
            <w:pPr>
              <w:spacing w:line="360" w:lineRule="auto"/>
              <w:rPr>
                <w:rFonts w:asciiTheme="minorEastAsia" w:hAnsiTheme="minorEastAsia" w:cstheme="minorEastAsia"/>
                <w:kern w:val="0"/>
                <w:szCs w:val="21"/>
              </w:rPr>
            </w:pPr>
            <w:r>
              <w:rPr>
                <w:rFonts w:hint="eastAsia" w:asciiTheme="minorEastAsia" w:hAnsiTheme="minorEastAsia" w:cstheme="minorEastAsia"/>
                <w:kern w:val="0"/>
                <w:szCs w:val="21"/>
              </w:rPr>
              <w:t>③将练功券放置框内方可计分，未放置该面值不得分。</w:t>
            </w:r>
          </w:p>
          <w:p>
            <w:pPr>
              <w:spacing w:line="360" w:lineRule="auto"/>
              <w:rPr>
                <w:rFonts w:asciiTheme="minorEastAsia" w:hAnsiTheme="minorEastAsia" w:cstheme="minorEastAsia"/>
                <w:kern w:val="0"/>
                <w:szCs w:val="21"/>
              </w:rPr>
            </w:pPr>
            <w:r>
              <w:rPr>
                <w:rFonts w:hint="eastAsia" w:asciiTheme="minorEastAsia" w:hAnsiTheme="minorEastAsia" w:cstheme="minorEastAsia"/>
                <w:kern w:val="0"/>
                <w:szCs w:val="21"/>
              </w:rPr>
              <w:t>④由现场裁判当场评定并填写“点钞扣分记录表”交裁判组汇总并录入到竞赛 平台系统。</w:t>
            </w:r>
          </w:p>
        </w:tc>
        <w:tc>
          <w:tcPr>
            <w:tcW w:w="1065" w:type="dxa"/>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kern w:val="0"/>
                <w:szCs w:val="21"/>
              </w:rPr>
              <w:t>100分</w:t>
            </w:r>
          </w:p>
        </w:tc>
        <w:tc>
          <w:tcPr>
            <w:tcW w:w="1425" w:type="dxa"/>
            <w:vAlign w:val="center"/>
          </w:tcPr>
          <w:p>
            <w:pPr>
              <w:spacing w:line="360" w:lineRule="auto"/>
              <w:jc w:val="left"/>
              <w:rPr>
                <w:rFonts w:asciiTheme="minorEastAsia" w:hAnsiTheme="minorEastAsia" w:cstheme="minorEastAsia"/>
                <w:kern w:val="0"/>
                <w:szCs w:val="21"/>
              </w:rPr>
            </w:pPr>
          </w:p>
          <w:p>
            <w:pPr>
              <w:spacing w:line="360" w:lineRule="auto"/>
              <w:jc w:val="left"/>
              <w:rPr>
                <w:rFonts w:asciiTheme="minorEastAsia" w:hAnsiTheme="minorEastAsia" w:cstheme="minorEastAsia"/>
                <w:kern w:val="0"/>
                <w:szCs w:val="21"/>
              </w:rPr>
            </w:pPr>
          </w:p>
          <w:p>
            <w:pPr>
              <w:spacing w:line="360" w:lineRule="auto"/>
              <w:jc w:val="left"/>
              <w:rPr>
                <w:rFonts w:asciiTheme="minorEastAsia" w:hAnsiTheme="minorEastAsia" w:cstheme="minorEastAsia"/>
                <w:kern w:val="0"/>
                <w:szCs w:val="21"/>
              </w:rPr>
            </w:pPr>
          </w:p>
          <w:p>
            <w:pPr>
              <w:spacing w:line="360" w:lineRule="auto"/>
              <w:jc w:val="left"/>
              <w:rPr>
                <w:rFonts w:ascii="仿宋_GB2312" w:hAnsi="微软雅黑" w:eastAsia="仿宋_GB2312" w:cs="Arial"/>
                <w:kern w:val="0"/>
                <w:szCs w:val="21"/>
              </w:rPr>
            </w:pPr>
            <w:r>
              <w:rPr>
                <w:rFonts w:hint="eastAsia" w:asciiTheme="minorEastAsia" w:hAnsiTheme="minorEastAsia" w:cstheme="minorEastAsia"/>
                <w:kern w:val="0"/>
                <w:szCs w:val="21"/>
              </w:rPr>
              <w:t>系统自动评分与现场裁判评分相结合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4" w:hRule="atLeast"/>
        </w:trPr>
        <w:tc>
          <w:tcPr>
            <w:tcW w:w="2130" w:type="dxa"/>
            <w:vMerge w:val="restart"/>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kern w:val="0"/>
                <w:szCs w:val="21"/>
              </w:rPr>
              <w:t>货币防伪与鉴别</w:t>
            </w:r>
          </w:p>
        </w:tc>
        <w:tc>
          <w:tcPr>
            <w:tcW w:w="2311" w:type="dxa"/>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kern w:val="0"/>
                <w:szCs w:val="21"/>
              </w:rPr>
              <w:t>单选题</w:t>
            </w:r>
          </w:p>
        </w:tc>
        <w:tc>
          <w:tcPr>
            <w:tcW w:w="2190" w:type="dxa"/>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kern w:val="0"/>
                <w:szCs w:val="21"/>
              </w:rPr>
              <w:t>30分</w:t>
            </w:r>
          </w:p>
        </w:tc>
        <w:tc>
          <w:tcPr>
            <w:tcW w:w="1065" w:type="dxa"/>
            <w:vMerge w:val="restart"/>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kern w:val="0"/>
                <w:szCs w:val="21"/>
              </w:rPr>
              <w:t>100分</w:t>
            </w:r>
          </w:p>
        </w:tc>
        <w:tc>
          <w:tcPr>
            <w:tcW w:w="1425" w:type="dxa"/>
            <w:vMerge w:val="restart"/>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kern w:val="0"/>
                <w:szCs w:val="21"/>
              </w:rPr>
              <w:t>系统评分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trPr>
        <w:tc>
          <w:tcPr>
            <w:tcW w:w="2130" w:type="dxa"/>
            <w:vMerge w:val="continue"/>
            <w:vAlign w:val="center"/>
          </w:tcPr>
          <w:p>
            <w:pPr>
              <w:spacing w:line="360" w:lineRule="auto"/>
              <w:rPr>
                <w:rFonts w:ascii="仿宋_GB2312" w:hAnsi="微软雅黑" w:eastAsia="仿宋_GB2312" w:cs="Arial"/>
                <w:kern w:val="0"/>
                <w:szCs w:val="21"/>
              </w:rPr>
            </w:pPr>
          </w:p>
        </w:tc>
        <w:tc>
          <w:tcPr>
            <w:tcW w:w="2311" w:type="dxa"/>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kern w:val="0"/>
                <w:szCs w:val="21"/>
              </w:rPr>
              <w:t>判断题</w:t>
            </w:r>
          </w:p>
        </w:tc>
        <w:tc>
          <w:tcPr>
            <w:tcW w:w="2190" w:type="dxa"/>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kern w:val="0"/>
                <w:szCs w:val="21"/>
              </w:rPr>
              <w:t>20分</w:t>
            </w:r>
          </w:p>
        </w:tc>
        <w:tc>
          <w:tcPr>
            <w:tcW w:w="1065" w:type="dxa"/>
            <w:vMerge w:val="continue"/>
          </w:tcPr>
          <w:p>
            <w:pPr>
              <w:snapToGrid w:val="0"/>
              <w:spacing w:line="360" w:lineRule="auto"/>
              <w:rPr>
                <w:rFonts w:ascii="仿宋_GB2312" w:hAnsi="微软雅黑" w:eastAsia="仿宋_GB2312" w:cs="Arial"/>
                <w:kern w:val="0"/>
                <w:szCs w:val="21"/>
              </w:rPr>
            </w:pPr>
          </w:p>
        </w:tc>
        <w:tc>
          <w:tcPr>
            <w:tcW w:w="1425" w:type="dxa"/>
            <w:vMerge w:val="continue"/>
          </w:tcPr>
          <w:p>
            <w:pPr>
              <w:snapToGrid w:val="0"/>
              <w:spacing w:line="360" w:lineRule="auto"/>
              <w:rPr>
                <w:rFonts w:ascii="仿宋_GB2312" w:hAnsi="微软雅黑" w:eastAsia="仿宋_GB2312" w:cs="Arial"/>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8" w:hRule="atLeast"/>
        </w:trPr>
        <w:tc>
          <w:tcPr>
            <w:tcW w:w="2130" w:type="dxa"/>
            <w:vMerge w:val="continue"/>
            <w:vAlign w:val="center"/>
          </w:tcPr>
          <w:p>
            <w:pPr>
              <w:spacing w:line="360" w:lineRule="auto"/>
              <w:rPr>
                <w:rFonts w:ascii="仿宋_GB2312" w:hAnsi="微软雅黑" w:eastAsia="仿宋_GB2312" w:cs="Arial"/>
                <w:kern w:val="0"/>
                <w:szCs w:val="21"/>
              </w:rPr>
            </w:pPr>
          </w:p>
        </w:tc>
        <w:tc>
          <w:tcPr>
            <w:tcW w:w="2311" w:type="dxa"/>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kern w:val="0"/>
                <w:szCs w:val="21"/>
              </w:rPr>
              <w:t>多选题</w:t>
            </w:r>
          </w:p>
        </w:tc>
        <w:tc>
          <w:tcPr>
            <w:tcW w:w="2190" w:type="dxa"/>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kern w:val="0"/>
                <w:szCs w:val="21"/>
              </w:rPr>
              <w:t>30分</w:t>
            </w:r>
          </w:p>
        </w:tc>
        <w:tc>
          <w:tcPr>
            <w:tcW w:w="1065" w:type="dxa"/>
            <w:vMerge w:val="continue"/>
          </w:tcPr>
          <w:p>
            <w:pPr>
              <w:snapToGrid w:val="0"/>
              <w:spacing w:line="360" w:lineRule="auto"/>
              <w:rPr>
                <w:rFonts w:ascii="仿宋_GB2312" w:hAnsi="微软雅黑" w:eastAsia="仿宋_GB2312" w:cs="Arial"/>
                <w:kern w:val="0"/>
                <w:szCs w:val="21"/>
              </w:rPr>
            </w:pPr>
          </w:p>
        </w:tc>
        <w:tc>
          <w:tcPr>
            <w:tcW w:w="1425" w:type="dxa"/>
            <w:vMerge w:val="continue"/>
          </w:tcPr>
          <w:p>
            <w:pPr>
              <w:snapToGrid w:val="0"/>
              <w:spacing w:line="360" w:lineRule="auto"/>
              <w:rPr>
                <w:rFonts w:ascii="仿宋_GB2312" w:hAnsi="微软雅黑" w:eastAsia="仿宋_GB2312" w:cs="Arial"/>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3" w:hRule="atLeast"/>
        </w:trPr>
        <w:tc>
          <w:tcPr>
            <w:tcW w:w="2130" w:type="dxa"/>
            <w:vMerge w:val="continue"/>
            <w:vAlign w:val="center"/>
          </w:tcPr>
          <w:p>
            <w:pPr>
              <w:spacing w:line="360" w:lineRule="auto"/>
              <w:rPr>
                <w:rFonts w:ascii="仿宋_GB2312" w:hAnsi="微软雅黑" w:eastAsia="仿宋_GB2312" w:cs="Arial"/>
                <w:kern w:val="0"/>
                <w:szCs w:val="21"/>
              </w:rPr>
            </w:pPr>
          </w:p>
        </w:tc>
        <w:tc>
          <w:tcPr>
            <w:tcW w:w="2311" w:type="dxa"/>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kern w:val="0"/>
                <w:szCs w:val="21"/>
              </w:rPr>
              <w:t>实务题</w:t>
            </w:r>
          </w:p>
        </w:tc>
        <w:tc>
          <w:tcPr>
            <w:tcW w:w="2190" w:type="dxa"/>
            <w:vAlign w:val="center"/>
          </w:tcPr>
          <w:p>
            <w:pPr>
              <w:spacing w:line="360" w:lineRule="auto"/>
              <w:jc w:val="center"/>
              <w:rPr>
                <w:rFonts w:ascii="仿宋_GB2312" w:hAnsi="微软雅黑" w:eastAsia="仿宋_GB2312" w:cs="Arial"/>
                <w:kern w:val="0"/>
                <w:szCs w:val="21"/>
              </w:rPr>
            </w:pPr>
            <w:r>
              <w:rPr>
                <w:rFonts w:hint="eastAsia" w:asciiTheme="minorEastAsia" w:hAnsiTheme="minorEastAsia" w:cstheme="minorEastAsia"/>
                <w:kern w:val="0"/>
                <w:szCs w:val="21"/>
              </w:rPr>
              <w:t>20分</w:t>
            </w:r>
          </w:p>
        </w:tc>
        <w:tc>
          <w:tcPr>
            <w:tcW w:w="1065" w:type="dxa"/>
            <w:vMerge w:val="continue"/>
          </w:tcPr>
          <w:p>
            <w:pPr>
              <w:snapToGrid w:val="0"/>
              <w:spacing w:line="360" w:lineRule="auto"/>
              <w:rPr>
                <w:rFonts w:ascii="仿宋_GB2312" w:hAnsi="微软雅黑" w:eastAsia="仿宋_GB2312" w:cs="Arial"/>
                <w:kern w:val="0"/>
                <w:szCs w:val="21"/>
              </w:rPr>
            </w:pPr>
          </w:p>
        </w:tc>
        <w:tc>
          <w:tcPr>
            <w:tcW w:w="1425" w:type="dxa"/>
            <w:vMerge w:val="continue"/>
          </w:tcPr>
          <w:p>
            <w:pPr>
              <w:snapToGrid w:val="0"/>
              <w:spacing w:line="360" w:lineRule="auto"/>
              <w:rPr>
                <w:rFonts w:ascii="仿宋_GB2312" w:hAnsi="微软雅黑" w:eastAsia="仿宋_GB2312" w:cs="Arial"/>
                <w:kern w:val="0"/>
                <w:szCs w:val="21"/>
              </w:rPr>
            </w:pPr>
          </w:p>
        </w:tc>
      </w:tr>
    </w:tbl>
    <w:p>
      <w:pPr>
        <w:snapToGrid w:val="0"/>
        <w:spacing w:line="360" w:lineRule="auto"/>
        <w:rPr>
          <w:rFonts w:hint="eastAsia" w:ascii="仿宋_GB2312" w:hAnsi="微软雅黑" w:eastAsia="仿宋_GB2312" w:cs="Arial"/>
          <w:sz w:val="24"/>
        </w:rPr>
      </w:pPr>
    </w:p>
    <w:p>
      <w:pPr>
        <w:snapToGrid w:val="0"/>
        <w:spacing w:line="360" w:lineRule="auto"/>
        <w:ind w:left="600"/>
        <w:rPr>
          <w:rFonts w:ascii="仿宋_GB2312" w:hAnsi="微软雅黑" w:eastAsia="仿宋_GB2312" w:cs="Arial"/>
          <w:sz w:val="24"/>
        </w:rPr>
      </w:pPr>
      <w:r>
        <w:rPr>
          <w:rFonts w:hint="eastAsia" w:ascii="仿宋_GB2312" w:hAnsi="微软雅黑" w:eastAsia="仿宋_GB2312" w:cs="Arial"/>
          <w:sz w:val="24"/>
        </w:rPr>
        <w:t>3.“银行业务能力”竞赛</w:t>
      </w:r>
    </w:p>
    <w:tbl>
      <w:tblPr>
        <w:tblStyle w:val="8"/>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48"/>
        <w:gridCol w:w="3360"/>
        <w:gridCol w:w="741"/>
        <w:gridCol w:w="1275"/>
        <w:gridCol w:w="14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 w:hRule="atLeast"/>
        </w:trPr>
        <w:tc>
          <w:tcPr>
            <w:tcW w:w="2248" w:type="dxa"/>
            <w:vAlign w:val="center"/>
          </w:tcPr>
          <w:p>
            <w:pPr>
              <w:spacing w:line="360" w:lineRule="auto"/>
              <w:jc w:val="center"/>
              <w:rPr>
                <w:rFonts w:asciiTheme="minorEastAsia" w:hAnsiTheme="minorEastAsia" w:cstheme="minorEastAsia"/>
                <w:b/>
                <w:szCs w:val="21"/>
              </w:rPr>
            </w:pPr>
            <w:r>
              <w:rPr>
                <w:rFonts w:hint="eastAsia" w:asciiTheme="minorEastAsia" w:hAnsiTheme="minorEastAsia" w:cstheme="minorEastAsia"/>
                <w:b/>
                <w:szCs w:val="21"/>
              </w:rPr>
              <w:t>业务类型</w:t>
            </w:r>
          </w:p>
        </w:tc>
        <w:tc>
          <w:tcPr>
            <w:tcW w:w="3360" w:type="dxa"/>
            <w:vAlign w:val="center"/>
          </w:tcPr>
          <w:p>
            <w:pPr>
              <w:spacing w:line="360" w:lineRule="auto"/>
              <w:jc w:val="center"/>
              <w:rPr>
                <w:rFonts w:asciiTheme="minorEastAsia" w:hAnsiTheme="minorEastAsia" w:cstheme="minorEastAsia"/>
                <w:b/>
                <w:szCs w:val="21"/>
              </w:rPr>
            </w:pPr>
            <w:r>
              <w:rPr>
                <w:rFonts w:hint="eastAsia" w:asciiTheme="minorEastAsia" w:hAnsiTheme="minorEastAsia" w:cstheme="minorEastAsia"/>
                <w:b/>
                <w:szCs w:val="21"/>
              </w:rPr>
              <w:t>评分细节</w:t>
            </w:r>
          </w:p>
        </w:tc>
        <w:tc>
          <w:tcPr>
            <w:tcW w:w="741" w:type="dxa"/>
            <w:vAlign w:val="center"/>
          </w:tcPr>
          <w:p>
            <w:pPr>
              <w:spacing w:line="360" w:lineRule="auto"/>
              <w:jc w:val="center"/>
              <w:rPr>
                <w:rFonts w:asciiTheme="minorEastAsia" w:hAnsiTheme="minorEastAsia" w:cstheme="minorEastAsia"/>
                <w:b/>
                <w:szCs w:val="21"/>
              </w:rPr>
            </w:pPr>
            <w:r>
              <w:rPr>
                <w:rFonts w:hint="eastAsia" w:asciiTheme="minorEastAsia" w:hAnsiTheme="minorEastAsia" w:cstheme="minorEastAsia"/>
                <w:b/>
                <w:szCs w:val="21"/>
              </w:rPr>
              <w:t>分值</w:t>
            </w:r>
          </w:p>
        </w:tc>
        <w:tc>
          <w:tcPr>
            <w:tcW w:w="1275" w:type="dxa"/>
            <w:vAlign w:val="center"/>
          </w:tcPr>
          <w:p>
            <w:pPr>
              <w:spacing w:line="360" w:lineRule="auto"/>
              <w:jc w:val="center"/>
              <w:rPr>
                <w:rFonts w:asciiTheme="minorEastAsia" w:hAnsiTheme="minorEastAsia" w:cstheme="minorEastAsia"/>
                <w:b/>
                <w:szCs w:val="21"/>
              </w:rPr>
            </w:pPr>
            <w:r>
              <w:rPr>
                <w:rFonts w:hint="eastAsia" w:asciiTheme="minorEastAsia" w:hAnsiTheme="minorEastAsia" w:cstheme="minorEastAsia"/>
                <w:b/>
                <w:szCs w:val="21"/>
              </w:rPr>
              <w:t>合计</w:t>
            </w:r>
          </w:p>
        </w:tc>
        <w:tc>
          <w:tcPr>
            <w:tcW w:w="1415" w:type="dxa"/>
            <w:vAlign w:val="center"/>
          </w:tcPr>
          <w:p>
            <w:pPr>
              <w:spacing w:line="360" w:lineRule="auto"/>
              <w:jc w:val="center"/>
              <w:rPr>
                <w:rFonts w:asciiTheme="minorEastAsia" w:hAnsiTheme="minorEastAsia" w:cstheme="minorEastAsia"/>
                <w:b/>
                <w:szCs w:val="21"/>
              </w:rPr>
            </w:pPr>
            <w:r>
              <w:rPr>
                <w:rFonts w:hint="eastAsia" w:asciiTheme="minorEastAsia" w:hAnsiTheme="minorEastAsia" w:cstheme="minorEastAsia"/>
                <w:b/>
                <w:szCs w:val="21"/>
              </w:rPr>
              <w:t>评分方式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99" w:hRule="atLeast"/>
        </w:trPr>
        <w:tc>
          <w:tcPr>
            <w:tcW w:w="2248" w:type="dxa"/>
            <w:vMerge w:val="restart"/>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银行综合业务</w:t>
            </w:r>
          </w:p>
        </w:tc>
        <w:tc>
          <w:tcPr>
            <w:tcW w:w="3360" w:type="dxa"/>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个人银行基本业务</w:t>
            </w:r>
          </w:p>
        </w:tc>
        <w:tc>
          <w:tcPr>
            <w:tcW w:w="741" w:type="dxa"/>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20</w:t>
            </w:r>
          </w:p>
        </w:tc>
        <w:tc>
          <w:tcPr>
            <w:tcW w:w="1275" w:type="dxa"/>
            <w:vMerge w:val="restart"/>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200</w:t>
            </w:r>
          </w:p>
        </w:tc>
        <w:tc>
          <w:tcPr>
            <w:tcW w:w="1415" w:type="dxa"/>
            <w:vMerge w:val="restart"/>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5" w:hRule="atLeast"/>
        </w:trPr>
        <w:tc>
          <w:tcPr>
            <w:tcW w:w="2248" w:type="dxa"/>
            <w:vMerge w:val="continue"/>
            <w:vAlign w:val="center"/>
          </w:tcPr>
          <w:p>
            <w:pPr>
              <w:spacing w:line="360" w:lineRule="auto"/>
              <w:rPr>
                <w:rFonts w:asciiTheme="minorEastAsia" w:hAnsiTheme="minorEastAsia" w:cstheme="minorEastAsia"/>
                <w:szCs w:val="21"/>
              </w:rPr>
            </w:pPr>
          </w:p>
        </w:tc>
        <w:tc>
          <w:tcPr>
            <w:tcW w:w="3360" w:type="dxa"/>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个人银行特殊业务</w:t>
            </w:r>
          </w:p>
        </w:tc>
        <w:tc>
          <w:tcPr>
            <w:tcW w:w="741" w:type="dxa"/>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10</w:t>
            </w:r>
          </w:p>
        </w:tc>
        <w:tc>
          <w:tcPr>
            <w:tcW w:w="1275" w:type="dxa"/>
            <w:vMerge w:val="continue"/>
            <w:vAlign w:val="center"/>
          </w:tcPr>
          <w:p>
            <w:pPr>
              <w:spacing w:line="360" w:lineRule="auto"/>
              <w:jc w:val="center"/>
              <w:rPr>
                <w:rFonts w:asciiTheme="minorEastAsia" w:hAnsiTheme="minorEastAsia" w:cstheme="minorEastAsia"/>
                <w:szCs w:val="21"/>
              </w:rPr>
            </w:pPr>
          </w:p>
        </w:tc>
        <w:tc>
          <w:tcPr>
            <w:tcW w:w="1415" w:type="dxa"/>
            <w:vMerge w:val="continue"/>
            <w:vAlign w:val="center"/>
          </w:tcPr>
          <w:p>
            <w:pPr>
              <w:spacing w:line="360" w:lineRule="auto"/>
              <w:jc w:val="center"/>
              <w:rPr>
                <w:rFonts w:asciiTheme="minorEastAsia" w:hAnsiTheme="minorEastAsia" w:cstheme="minorEastAsia"/>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 w:hRule="atLeast"/>
        </w:trPr>
        <w:tc>
          <w:tcPr>
            <w:tcW w:w="2248" w:type="dxa"/>
            <w:vMerge w:val="continue"/>
            <w:vAlign w:val="center"/>
          </w:tcPr>
          <w:p>
            <w:pPr>
              <w:spacing w:line="360" w:lineRule="auto"/>
              <w:rPr>
                <w:rFonts w:asciiTheme="minorEastAsia" w:hAnsiTheme="minorEastAsia" w:cstheme="minorEastAsia"/>
                <w:szCs w:val="21"/>
              </w:rPr>
            </w:pPr>
          </w:p>
        </w:tc>
        <w:tc>
          <w:tcPr>
            <w:tcW w:w="3360" w:type="dxa"/>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公司银行业务</w:t>
            </w:r>
          </w:p>
        </w:tc>
        <w:tc>
          <w:tcPr>
            <w:tcW w:w="741" w:type="dxa"/>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20</w:t>
            </w:r>
          </w:p>
        </w:tc>
        <w:tc>
          <w:tcPr>
            <w:tcW w:w="1275" w:type="dxa"/>
            <w:vMerge w:val="continue"/>
            <w:vAlign w:val="center"/>
          </w:tcPr>
          <w:p>
            <w:pPr>
              <w:spacing w:line="360" w:lineRule="auto"/>
              <w:jc w:val="center"/>
              <w:rPr>
                <w:rFonts w:asciiTheme="minorEastAsia" w:hAnsiTheme="minorEastAsia" w:cstheme="minorEastAsia"/>
                <w:szCs w:val="21"/>
              </w:rPr>
            </w:pPr>
          </w:p>
        </w:tc>
        <w:tc>
          <w:tcPr>
            <w:tcW w:w="1415" w:type="dxa"/>
            <w:vMerge w:val="continue"/>
            <w:vAlign w:val="center"/>
          </w:tcPr>
          <w:p>
            <w:pPr>
              <w:spacing w:line="360" w:lineRule="auto"/>
              <w:jc w:val="center"/>
              <w:rPr>
                <w:rFonts w:asciiTheme="minorEastAsia" w:hAnsiTheme="minorEastAsia" w:cstheme="minorEastAsia"/>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 w:hRule="atLeast"/>
        </w:trPr>
        <w:tc>
          <w:tcPr>
            <w:tcW w:w="2248" w:type="dxa"/>
            <w:vMerge w:val="continue"/>
            <w:vAlign w:val="center"/>
          </w:tcPr>
          <w:p>
            <w:pPr>
              <w:spacing w:line="360" w:lineRule="auto"/>
              <w:rPr>
                <w:rFonts w:asciiTheme="minorEastAsia" w:hAnsiTheme="minorEastAsia" w:cstheme="minorEastAsia"/>
                <w:szCs w:val="21"/>
              </w:rPr>
            </w:pPr>
          </w:p>
        </w:tc>
        <w:tc>
          <w:tcPr>
            <w:tcW w:w="3360" w:type="dxa"/>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代理业务</w:t>
            </w:r>
          </w:p>
        </w:tc>
        <w:tc>
          <w:tcPr>
            <w:tcW w:w="741" w:type="dxa"/>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10</w:t>
            </w:r>
          </w:p>
        </w:tc>
        <w:tc>
          <w:tcPr>
            <w:tcW w:w="1275" w:type="dxa"/>
            <w:vMerge w:val="continue"/>
            <w:vAlign w:val="center"/>
          </w:tcPr>
          <w:p>
            <w:pPr>
              <w:spacing w:line="360" w:lineRule="auto"/>
              <w:jc w:val="center"/>
              <w:rPr>
                <w:rFonts w:asciiTheme="minorEastAsia" w:hAnsiTheme="minorEastAsia" w:cstheme="minorEastAsia"/>
                <w:szCs w:val="21"/>
              </w:rPr>
            </w:pPr>
          </w:p>
        </w:tc>
        <w:tc>
          <w:tcPr>
            <w:tcW w:w="1415" w:type="dxa"/>
            <w:vMerge w:val="continue"/>
            <w:vAlign w:val="center"/>
          </w:tcPr>
          <w:p>
            <w:pPr>
              <w:spacing w:line="360" w:lineRule="auto"/>
              <w:jc w:val="center"/>
              <w:rPr>
                <w:rFonts w:asciiTheme="minorEastAsia" w:hAnsiTheme="minorEastAsia" w:cstheme="minorEastAsia"/>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00" w:hRule="atLeast"/>
        </w:trPr>
        <w:tc>
          <w:tcPr>
            <w:tcW w:w="2248" w:type="dxa"/>
            <w:vMerge w:val="continue"/>
            <w:vAlign w:val="center"/>
          </w:tcPr>
          <w:p>
            <w:pPr>
              <w:spacing w:line="360" w:lineRule="auto"/>
              <w:rPr>
                <w:rFonts w:asciiTheme="minorEastAsia" w:hAnsiTheme="minorEastAsia" w:cstheme="minorEastAsia"/>
                <w:szCs w:val="21"/>
              </w:rPr>
            </w:pPr>
          </w:p>
        </w:tc>
        <w:tc>
          <w:tcPr>
            <w:tcW w:w="3360" w:type="dxa"/>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资信业务</w:t>
            </w:r>
          </w:p>
        </w:tc>
        <w:tc>
          <w:tcPr>
            <w:tcW w:w="741" w:type="dxa"/>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5</w:t>
            </w:r>
          </w:p>
        </w:tc>
        <w:tc>
          <w:tcPr>
            <w:tcW w:w="1275" w:type="dxa"/>
            <w:vMerge w:val="continue"/>
            <w:vAlign w:val="center"/>
          </w:tcPr>
          <w:p>
            <w:pPr>
              <w:spacing w:line="360" w:lineRule="auto"/>
              <w:jc w:val="center"/>
              <w:rPr>
                <w:rFonts w:asciiTheme="minorEastAsia" w:hAnsiTheme="minorEastAsia" w:cstheme="minorEastAsia"/>
                <w:szCs w:val="21"/>
              </w:rPr>
            </w:pPr>
          </w:p>
        </w:tc>
        <w:tc>
          <w:tcPr>
            <w:tcW w:w="1415" w:type="dxa"/>
            <w:vMerge w:val="continue"/>
            <w:vAlign w:val="center"/>
          </w:tcPr>
          <w:p>
            <w:pPr>
              <w:spacing w:line="360" w:lineRule="auto"/>
              <w:jc w:val="center"/>
              <w:rPr>
                <w:rFonts w:asciiTheme="minorEastAsia" w:hAnsiTheme="minorEastAsia" w:cstheme="minorEastAsia"/>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 w:hRule="atLeast"/>
        </w:trPr>
        <w:tc>
          <w:tcPr>
            <w:tcW w:w="2248" w:type="dxa"/>
            <w:vMerge w:val="continue"/>
            <w:vAlign w:val="center"/>
          </w:tcPr>
          <w:p>
            <w:pPr>
              <w:spacing w:line="360" w:lineRule="auto"/>
              <w:rPr>
                <w:rFonts w:asciiTheme="minorEastAsia" w:hAnsiTheme="minorEastAsia" w:cstheme="minorEastAsia"/>
                <w:szCs w:val="21"/>
              </w:rPr>
            </w:pPr>
          </w:p>
        </w:tc>
        <w:tc>
          <w:tcPr>
            <w:tcW w:w="3360" w:type="dxa"/>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电子商业汇票业务</w:t>
            </w:r>
          </w:p>
        </w:tc>
        <w:tc>
          <w:tcPr>
            <w:tcW w:w="741" w:type="dxa"/>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20</w:t>
            </w:r>
          </w:p>
        </w:tc>
        <w:tc>
          <w:tcPr>
            <w:tcW w:w="1275" w:type="dxa"/>
            <w:vMerge w:val="continue"/>
            <w:vAlign w:val="center"/>
          </w:tcPr>
          <w:p>
            <w:pPr>
              <w:spacing w:line="360" w:lineRule="auto"/>
              <w:jc w:val="center"/>
              <w:rPr>
                <w:rFonts w:asciiTheme="minorEastAsia" w:hAnsiTheme="minorEastAsia" w:cstheme="minorEastAsia"/>
                <w:szCs w:val="21"/>
              </w:rPr>
            </w:pPr>
          </w:p>
        </w:tc>
        <w:tc>
          <w:tcPr>
            <w:tcW w:w="1415" w:type="dxa"/>
            <w:vMerge w:val="continue"/>
            <w:vAlign w:val="center"/>
          </w:tcPr>
          <w:p>
            <w:pPr>
              <w:spacing w:line="360" w:lineRule="auto"/>
              <w:jc w:val="center"/>
              <w:rPr>
                <w:rFonts w:asciiTheme="minorEastAsia" w:hAnsiTheme="minorEastAsia" w:cstheme="minorEastAsia"/>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 w:hRule="atLeast"/>
        </w:trPr>
        <w:tc>
          <w:tcPr>
            <w:tcW w:w="2248" w:type="dxa"/>
            <w:vMerge w:val="continue"/>
            <w:vAlign w:val="center"/>
          </w:tcPr>
          <w:p>
            <w:pPr>
              <w:spacing w:line="360" w:lineRule="auto"/>
              <w:rPr>
                <w:rFonts w:asciiTheme="minorEastAsia" w:hAnsiTheme="minorEastAsia" w:cstheme="minorEastAsia"/>
                <w:szCs w:val="21"/>
              </w:rPr>
            </w:pPr>
          </w:p>
        </w:tc>
        <w:tc>
          <w:tcPr>
            <w:tcW w:w="3360" w:type="dxa"/>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纸质商业汇票业务</w:t>
            </w:r>
          </w:p>
        </w:tc>
        <w:tc>
          <w:tcPr>
            <w:tcW w:w="741" w:type="dxa"/>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20</w:t>
            </w:r>
          </w:p>
        </w:tc>
        <w:tc>
          <w:tcPr>
            <w:tcW w:w="1275" w:type="dxa"/>
            <w:vMerge w:val="continue"/>
            <w:vAlign w:val="center"/>
          </w:tcPr>
          <w:p>
            <w:pPr>
              <w:spacing w:line="360" w:lineRule="auto"/>
              <w:jc w:val="center"/>
              <w:rPr>
                <w:rFonts w:asciiTheme="minorEastAsia" w:hAnsiTheme="minorEastAsia" w:cstheme="minorEastAsia"/>
                <w:szCs w:val="21"/>
              </w:rPr>
            </w:pPr>
          </w:p>
        </w:tc>
        <w:tc>
          <w:tcPr>
            <w:tcW w:w="1415" w:type="dxa"/>
            <w:vMerge w:val="continue"/>
            <w:vAlign w:val="center"/>
          </w:tcPr>
          <w:p>
            <w:pPr>
              <w:spacing w:line="360" w:lineRule="auto"/>
              <w:jc w:val="center"/>
              <w:rPr>
                <w:rFonts w:asciiTheme="minorEastAsia" w:hAnsiTheme="minorEastAsia" w:cstheme="minorEastAsia"/>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 w:hRule="atLeast"/>
        </w:trPr>
        <w:tc>
          <w:tcPr>
            <w:tcW w:w="2248" w:type="dxa"/>
            <w:vMerge w:val="continue"/>
            <w:vAlign w:val="center"/>
          </w:tcPr>
          <w:p>
            <w:pPr>
              <w:spacing w:line="360" w:lineRule="auto"/>
              <w:rPr>
                <w:rFonts w:asciiTheme="minorEastAsia" w:hAnsiTheme="minorEastAsia" w:cstheme="minorEastAsia"/>
                <w:szCs w:val="21"/>
              </w:rPr>
            </w:pPr>
          </w:p>
        </w:tc>
        <w:tc>
          <w:tcPr>
            <w:tcW w:w="3360" w:type="dxa"/>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大小额支付业务</w:t>
            </w:r>
          </w:p>
        </w:tc>
        <w:tc>
          <w:tcPr>
            <w:tcW w:w="741" w:type="dxa"/>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20</w:t>
            </w:r>
          </w:p>
        </w:tc>
        <w:tc>
          <w:tcPr>
            <w:tcW w:w="1275" w:type="dxa"/>
            <w:vMerge w:val="continue"/>
            <w:vAlign w:val="center"/>
          </w:tcPr>
          <w:p>
            <w:pPr>
              <w:spacing w:line="360" w:lineRule="auto"/>
              <w:jc w:val="center"/>
              <w:rPr>
                <w:rFonts w:asciiTheme="minorEastAsia" w:hAnsiTheme="minorEastAsia" w:cstheme="minorEastAsia"/>
                <w:szCs w:val="21"/>
              </w:rPr>
            </w:pPr>
          </w:p>
        </w:tc>
        <w:tc>
          <w:tcPr>
            <w:tcW w:w="1415" w:type="dxa"/>
            <w:vMerge w:val="continue"/>
            <w:vAlign w:val="center"/>
          </w:tcPr>
          <w:p>
            <w:pPr>
              <w:spacing w:line="360" w:lineRule="auto"/>
              <w:jc w:val="center"/>
              <w:rPr>
                <w:rFonts w:asciiTheme="minorEastAsia" w:hAnsiTheme="minorEastAsia" w:cstheme="minorEastAsia"/>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 w:hRule="atLeast"/>
        </w:trPr>
        <w:tc>
          <w:tcPr>
            <w:tcW w:w="2248" w:type="dxa"/>
            <w:vMerge w:val="continue"/>
            <w:vAlign w:val="center"/>
          </w:tcPr>
          <w:p>
            <w:pPr>
              <w:spacing w:line="360" w:lineRule="auto"/>
              <w:rPr>
                <w:rFonts w:asciiTheme="minorEastAsia" w:hAnsiTheme="minorEastAsia" w:cstheme="minorEastAsia"/>
                <w:szCs w:val="21"/>
              </w:rPr>
            </w:pPr>
          </w:p>
        </w:tc>
        <w:tc>
          <w:tcPr>
            <w:tcW w:w="3360" w:type="dxa"/>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本票/汇票业务</w:t>
            </w:r>
          </w:p>
        </w:tc>
        <w:tc>
          <w:tcPr>
            <w:tcW w:w="741" w:type="dxa"/>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20</w:t>
            </w:r>
          </w:p>
        </w:tc>
        <w:tc>
          <w:tcPr>
            <w:tcW w:w="1275" w:type="dxa"/>
            <w:vMerge w:val="continue"/>
            <w:vAlign w:val="center"/>
          </w:tcPr>
          <w:p>
            <w:pPr>
              <w:spacing w:line="360" w:lineRule="auto"/>
              <w:jc w:val="center"/>
              <w:rPr>
                <w:rFonts w:asciiTheme="minorEastAsia" w:hAnsiTheme="minorEastAsia" w:cstheme="minorEastAsia"/>
                <w:szCs w:val="21"/>
              </w:rPr>
            </w:pPr>
          </w:p>
        </w:tc>
        <w:tc>
          <w:tcPr>
            <w:tcW w:w="1415" w:type="dxa"/>
            <w:vMerge w:val="continue"/>
            <w:vAlign w:val="center"/>
          </w:tcPr>
          <w:p>
            <w:pPr>
              <w:spacing w:line="360" w:lineRule="auto"/>
              <w:jc w:val="center"/>
              <w:rPr>
                <w:rFonts w:asciiTheme="minorEastAsia" w:hAnsiTheme="minorEastAsia" w:cstheme="minorEastAsia"/>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4" w:hRule="atLeast"/>
        </w:trPr>
        <w:tc>
          <w:tcPr>
            <w:tcW w:w="2248" w:type="dxa"/>
            <w:vMerge w:val="continue"/>
            <w:vAlign w:val="center"/>
          </w:tcPr>
          <w:p>
            <w:pPr>
              <w:spacing w:line="360" w:lineRule="auto"/>
              <w:rPr>
                <w:rFonts w:asciiTheme="minorEastAsia" w:hAnsiTheme="minorEastAsia" w:cstheme="minorEastAsia"/>
                <w:szCs w:val="21"/>
              </w:rPr>
            </w:pPr>
          </w:p>
        </w:tc>
        <w:tc>
          <w:tcPr>
            <w:tcW w:w="3360" w:type="dxa"/>
            <w:tcBorders>
              <w:bottom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委托收款业务</w:t>
            </w:r>
          </w:p>
        </w:tc>
        <w:tc>
          <w:tcPr>
            <w:tcW w:w="741" w:type="dxa"/>
            <w:tcBorders>
              <w:bottom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10</w:t>
            </w:r>
          </w:p>
        </w:tc>
        <w:tc>
          <w:tcPr>
            <w:tcW w:w="1275" w:type="dxa"/>
            <w:vMerge w:val="continue"/>
            <w:vAlign w:val="center"/>
          </w:tcPr>
          <w:p>
            <w:pPr>
              <w:spacing w:line="360" w:lineRule="auto"/>
              <w:jc w:val="center"/>
              <w:rPr>
                <w:rFonts w:asciiTheme="minorEastAsia" w:hAnsiTheme="minorEastAsia" w:cstheme="minorEastAsia"/>
                <w:szCs w:val="21"/>
              </w:rPr>
            </w:pPr>
          </w:p>
        </w:tc>
        <w:tc>
          <w:tcPr>
            <w:tcW w:w="1415" w:type="dxa"/>
            <w:vMerge w:val="continue"/>
            <w:vAlign w:val="center"/>
          </w:tcPr>
          <w:p>
            <w:pPr>
              <w:spacing w:line="360" w:lineRule="auto"/>
              <w:jc w:val="center"/>
              <w:rPr>
                <w:rFonts w:asciiTheme="minorEastAsia" w:hAnsiTheme="minorEastAsia" w:cstheme="minorEastAsia"/>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6" w:hRule="atLeast"/>
        </w:trPr>
        <w:tc>
          <w:tcPr>
            <w:tcW w:w="2248" w:type="dxa"/>
            <w:vMerge w:val="continue"/>
            <w:vAlign w:val="center"/>
          </w:tcPr>
          <w:p>
            <w:pPr>
              <w:spacing w:line="360" w:lineRule="auto"/>
              <w:rPr>
                <w:rFonts w:asciiTheme="minorEastAsia" w:hAnsiTheme="minorEastAsia" w:cstheme="minorEastAsia"/>
                <w:szCs w:val="21"/>
              </w:rPr>
            </w:pPr>
          </w:p>
        </w:tc>
        <w:tc>
          <w:tcPr>
            <w:tcW w:w="3360" w:type="dxa"/>
            <w:tcBorders>
              <w:top w:val="single" w:color="auto" w:sz="4" w:space="0"/>
              <w:bottom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同城票据纸质交换业务</w:t>
            </w:r>
          </w:p>
        </w:tc>
        <w:tc>
          <w:tcPr>
            <w:tcW w:w="741" w:type="dxa"/>
            <w:tcBorders>
              <w:top w:val="single" w:color="auto" w:sz="4" w:space="0"/>
              <w:bottom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20</w:t>
            </w:r>
          </w:p>
        </w:tc>
        <w:tc>
          <w:tcPr>
            <w:tcW w:w="1275" w:type="dxa"/>
            <w:vMerge w:val="continue"/>
            <w:vAlign w:val="center"/>
          </w:tcPr>
          <w:p>
            <w:pPr>
              <w:spacing w:line="360" w:lineRule="auto"/>
              <w:jc w:val="center"/>
              <w:rPr>
                <w:rFonts w:asciiTheme="minorEastAsia" w:hAnsiTheme="minorEastAsia" w:cstheme="minorEastAsia"/>
                <w:szCs w:val="21"/>
              </w:rPr>
            </w:pPr>
          </w:p>
        </w:tc>
        <w:tc>
          <w:tcPr>
            <w:tcW w:w="1415" w:type="dxa"/>
            <w:vMerge w:val="continue"/>
            <w:vAlign w:val="center"/>
          </w:tcPr>
          <w:p>
            <w:pPr>
              <w:spacing w:line="360" w:lineRule="auto"/>
              <w:jc w:val="center"/>
              <w:rPr>
                <w:rFonts w:asciiTheme="minorEastAsia" w:hAnsiTheme="minorEastAsia" w:cstheme="minorEastAsia"/>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7" w:hRule="atLeast"/>
        </w:trPr>
        <w:tc>
          <w:tcPr>
            <w:tcW w:w="2248" w:type="dxa"/>
            <w:vMerge w:val="continue"/>
            <w:vAlign w:val="center"/>
          </w:tcPr>
          <w:p>
            <w:pPr>
              <w:spacing w:line="360" w:lineRule="auto"/>
              <w:rPr>
                <w:rFonts w:asciiTheme="minorEastAsia" w:hAnsiTheme="minorEastAsia" w:cstheme="minorEastAsia"/>
                <w:szCs w:val="21"/>
              </w:rPr>
            </w:pPr>
          </w:p>
        </w:tc>
        <w:tc>
          <w:tcPr>
            <w:tcW w:w="3360" w:type="dxa"/>
            <w:tcBorders>
              <w:top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银行其它业务</w:t>
            </w:r>
          </w:p>
        </w:tc>
        <w:tc>
          <w:tcPr>
            <w:tcW w:w="741" w:type="dxa"/>
            <w:tcBorders>
              <w:top w:val="single" w:color="auto" w:sz="4" w:space="0"/>
              <w:bottom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25</w:t>
            </w:r>
          </w:p>
        </w:tc>
        <w:tc>
          <w:tcPr>
            <w:tcW w:w="1275" w:type="dxa"/>
            <w:vMerge w:val="continue"/>
            <w:tcBorders>
              <w:bottom w:val="single" w:color="auto" w:sz="4" w:space="0"/>
            </w:tcBorders>
            <w:vAlign w:val="center"/>
          </w:tcPr>
          <w:p>
            <w:pPr>
              <w:spacing w:line="360" w:lineRule="auto"/>
              <w:jc w:val="center"/>
              <w:rPr>
                <w:rFonts w:asciiTheme="minorEastAsia" w:hAnsiTheme="minorEastAsia" w:cstheme="minorEastAsia"/>
                <w:szCs w:val="21"/>
              </w:rPr>
            </w:pPr>
          </w:p>
        </w:tc>
        <w:tc>
          <w:tcPr>
            <w:tcW w:w="1415" w:type="dxa"/>
            <w:vMerge w:val="continue"/>
            <w:vAlign w:val="center"/>
          </w:tcPr>
          <w:p>
            <w:pPr>
              <w:spacing w:line="360" w:lineRule="auto"/>
              <w:jc w:val="center"/>
              <w:rPr>
                <w:rFonts w:asciiTheme="minorEastAsia" w:hAnsiTheme="minorEastAsia" w:cstheme="minorEastAsia"/>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64" w:hRule="atLeast"/>
        </w:trPr>
        <w:tc>
          <w:tcPr>
            <w:tcW w:w="2248" w:type="dxa"/>
            <w:vMerge w:val="restart"/>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金融营销技能</w:t>
            </w:r>
          </w:p>
        </w:tc>
        <w:tc>
          <w:tcPr>
            <w:tcW w:w="3360" w:type="dxa"/>
            <w:tcBorders>
              <w:bottom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代理保险业务</w:t>
            </w:r>
          </w:p>
        </w:tc>
        <w:tc>
          <w:tcPr>
            <w:tcW w:w="741" w:type="dxa"/>
            <w:tcBorders>
              <w:top w:val="single" w:color="auto" w:sz="4" w:space="0"/>
              <w:bottom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10</w:t>
            </w:r>
          </w:p>
        </w:tc>
        <w:tc>
          <w:tcPr>
            <w:tcW w:w="1275" w:type="dxa"/>
            <w:vMerge w:val="restart"/>
            <w:tcBorders>
              <w:top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40</w:t>
            </w:r>
          </w:p>
        </w:tc>
        <w:tc>
          <w:tcPr>
            <w:tcW w:w="1415" w:type="dxa"/>
            <w:vMerge w:val="restart"/>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47" w:hRule="atLeast"/>
        </w:trPr>
        <w:tc>
          <w:tcPr>
            <w:tcW w:w="2248" w:type="dxa"/>
            <w:vMerge w:val="continue"/>
            <w:vAlign w:val="center"/>
          </w:tcPr>
          <w:p>
            <w:pPr>
              <w:spacing w:line="360" w:lineRule="auto"/>
              <w:jc w:val="center"/>
              <w:rPr>
                <w:rFonts w:asciiTheme="minorEastAsia" w:hAnsiTheme="minorEastAsia" w:cstheme="minorEastAsia"/>
                <w:szCs w:val="21"/>
              </w:rPr>
            </w:pPr>
          </w:p>
        </w:tc>
        <w:tc>
          <w:tcPr>
            <w:tcW w:w="3360" w:type="dxa"/>
            <w:tcBorders>
              <w:top w:val="single" w:color="auto" w:sz="4" w:space="0"/>
              <w:bottom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个人理财业务</w:t>
            </w:r>
          </w:p>
        </w:tc>
        <w:tc>
          <w:tcPr>
            <w:tcW w:w="741" w:type="dxa"/>
            <w:tcBorders>
              <w:top w:val="single" w:color="auto" w:sz="4" w:space="0"/>
              <w:bottom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10</w:t>
            </w:r>
          </w:p>
        </w:tc>
        <w:tc>
          <w:tcPr>
            <w:tcW w:w="1275" w:type="dxa"/>
            <w:vMerge w:val="continue"/>
            <w:vAlign w:val="center"/>
          </w:tcPr>
          <w:p>
            <w:pPr>
              <w:spacing w:line="360" w:lineRule="auto"/>
              <w:jc w:val="center"/>
              <w:rPr>
                <w:rFonts w:asciiTheme="minorEastAsia" w:hAnsiTheme="minorEastAsia" w:cstheme="minorEastAsia"/>
                <w:szCs w:val="21"/>
              </w:rPr>
            </w:pPr>
          </w:p>
        </w:tc>
        <w:tc>
          <w:tcPr>
            <w:tcW w:w="1415" w:type="dxa"/>
            <w:vMerge w:val="continue"/>
            <w:vAlign w:val="center"/>
          </w:tcPr>
          <w:p>
            <w:pPr>
              <w:spacing w:line="360" w:lineRule="auto"/>
              <w:jc w:val="center"/>
              <w:rPr>
                <w:rFonts w:asciiTheme="minorEastAsia" w:hAnsiTheme="minorEastAsia" w:cstheme="minorEastAsia"/>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47" w:hRule="atLeast"/>
        </w:trPr>
        <w:tc>
          <w:tcPr>
            <w:tcW w:w="2248" w:type="dxa"/>
            <w:vMerge w:val="continue"/>
            <w:vAlign w:val="center"/>
          </w:tcPr>
          <w:p>
            <w:pPr>
              <w:spacing w:line="360" w:lineRule="auto"/>
              <w:jc w:val="center"/>
              <w:rPr>
                <w:rFonts w:asciiTheme="minorEastAsia" w:hAnsiTheme="minorEastAsia" w:cstheme="minorEastAsia"/>
                <w:szCs w:val="21"/>
              </w:rPr>
            </w:pPr>
          </w:p>
        </w:tc>
        <w:tc>
          <w:tcPr>
            <w:tcW w:w="3360" w:type="dxa"/>
            <w:tcBorders>
              <w:top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金融产品营销</w:t>
            </w:r>
          </w:p>
        </w:tc>
        <w:tc>
          <w:tcPr>
            <w:tcW w:w="741" w:type="dxa"/>
            <w:tcBorders>
              <w:top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20</w:t>
            </w:r>
          </w:p>
        </w:tc>
        <w:tc>
          <w:tcPr>
            <w:tcW w:w="1275" w:type="dxa"/>
            <w:vMerge w:val="continue"/>
            <w:vAlign w:val="center"/>
          </w:tcPr>
          <w:p>
            <w:pPr>
              <w:spacing w:line="360" w:lineRule="auto"/>
              <w:jc w:val="center"/>
              <w:rPr>
                <w:rFonts w:asciiTheme="minorEastAsia" w:hAnsiTheme="minorEastAsia" w:cstheme="minorEastAsia"/>
                <w:szCs w:val="21"/>
              </w:rPr>
            </w:pPr>
          </w:p>
        </w:tc>
        <w:tc>
          <w:tcPr>
            <w:tcW w:w="1415" w:type="dxa"/>
            <w:vMerge w:val="continue"/>
            <w:vAlign w:val="center"/>
          </w:tcPr>
          <w:p>
            <w:pPr>
              <w:spacing w:line="360" w:lineRule="auto"/>
              <w:jc w:val="center"/>
              <w:rPr>
                <w:rFonts w:asciiTheme="minorEastAsia" w:hAnsiTheme="minorEastAsia" w:cstheme="minorEastAsia"/>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1" w:hRule="atLeast"/>
        </w:trPr>
        <w:tc>
          <w:tcPr>
            <w:tcW w:w="2248" w:type="dxa"/>
            <w:vMerge w:val="restart"/>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票据业务处理</w:t>
            </w:r>
          </w:p>
        </w:tc>
        <w:tc>
          <w:tcPr>
            <w:tcW w:w="3360" w:type="dxa"/>
            <w:tcBorders>
              <w:bottom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支票审核业务</w:t>
            </w:r>
          </w:p>
        </w:tc>
        <w:tc>
          <w:tcPr>
            <w:tcW w:w="741" w:type="dxa"/>
            <w:tcBorders>
              <w:top w:val="single" w:color="auto" w:sz="4" w:space="0"/>
              <w:bottom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10</w:t>
            </w:r>
          </w:p>
        </w:tc>
        <w:tc>
          <w:tcPr>
            <w:tcW w:w="1275" w:type="dxa"/>
            <w:vMerge w:val="restart"/>
            <w:tcBorders>
              <w:top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60</w:t>
            </w:r>
          </w:p>
        </w:tc>
        <w:tc>
          <w:tcPr>
            <w:tcW w:w="1415" w:type="dxa"/>
            <w:vMerge w:val="restart"/>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03" w:hRule="atLeast"/>
        </w:trPr>
        <w:tc>
          <w:tcPr>
            <w:tcW w:w="2248" w:type="dxa"/>
            <w:vMerge w:val="continue"/>
            <w:vAlign w:val="center"/>
          </w:tcPr>
          <w:p>
            <w:pPr>
              <w:spacing w:line="360" w:lineRule="auto"/>
              <w:jc w:val="center"/>
              <w:rPr>
                <w:rFonts w:asciiTheme="minorEastAsia" w:hAnsiTheme="minorEastAsia" w:cstheme="minorEastAsia"/>
                <w:szCs w:val="21"/>
              </w:rPr>
            </w:pPr>
          </w:p>
        </w:tc>
        <w:tc>
          <w:tcPr>
            <w:tcW w:w="3360" w:type="dxa"/>
            <w:tcBorders>
              <w:top w:val="single" w:color="auto" w:sz="4" w:space="0"/>
              <w:bottom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银行承兑汇票审核业务</w:t>
            </w:r>
          </w:p>
        </w:tc>
        <w:tc>
          <w:tcPr>
            <w:tcW w:w="741" w:type="dxa"/>
            <w:tcBorders>
              <w:top w:val="single" w:color="auto" w:sz="4" w:space="0"/>
              <w:bottom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10</w:t>
            </w:r>
          </w:p>
        </w:tc>
        <w:tc>
          <w:tcPr>
            <w:tcW w:w="1275" w:type="dxa"/>
            <w:vMerge w:val="continue"/>
            <w:vAlign w:val="center"/>
          </w:tcPr>
          <w:p>
            <w:pPr>
              <w:spacing w:line="360" w:lineRule="auto"/>
              <w:jc w:val="center"/>
              <w:rPr>
                <w:rFonts w:asciiTheme="minorEastAsia" w:hAnsiTheme="minorEastAsia" w:cstheme="minorEastAsia"/>
                <w:szCs w:val="21"/>
              </w:rPr>
            </w:pPr>
          </w:p>
        </w:tc>
        <w:tc>
          <w:tcPr>
            <w:tcW w:w="1415" w:type="dxa"/>
            <w:vMerge w:val="continue"/>
            <w:vAlign w:val="center"/>
          </w:tcPr>
          <w:p>
            <w:pPr>
              <w:spacing w:line="360" w:lineRule="auto"/>
              <w:jc w:val="center"/>
              <w:rPr>
                <w:rFonts w:asciiTheme="minorEastAsia" w:hAnsiTheme="minorEastAsia" w:cstheme="minorEastAsia"/>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8" w:hRule="atLeast"/>
        </w:trPr>
        <w:tc>
          <w:tcPr>
            <w:tcW w:w="2248" w:type="dxa"/>
            <w:vMerge w:val="continue"/>
            <w:vAlign w:val="center"/>
          </w:tcPr>
          <w:p>
            <w:pPr>
              <w:spacing w:line="360" w:lineRule="auto"/>
              <w:jc w:val="center"/>
              <w:rPr>
                <w:rFonts w:asciiTheme="minorEastAsia" w:hAnsiTheme="minorEastAsia" w:cstheme="minorEastAsia"/>
                <w:szCs w:val="21"/>
              </w:rPr>
            </w:pPr>
          </w:p>
        </w:tc>
        <w:tc>
          <w:tcPr>
            <w:tcW w:w="3360" w:type="dxa"/>
            <w:tcBorders>
              <w:top w:val="single" w:color="auto" w:sz="4" w:space="0"/>
              <w:bottom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支票业务处理</w:t>
            </w:r>
          </w:p>
        </w:tc>
        <w:tc>
          <w:tcPr>
            <w:tcW w:w="741" w:type="dxa"/>
            <w:tcBorders>
              <w:top w:val="single" w:color="auto" w:sz="4" w:space="0"/>
              <w:bottom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20</w:t>
            </w:r>
          </w:p>
        </w:tc>
        <w:tc>
          <w:tcPr>
            <w:tcW w:w="1275" w:type="dxa"/>
            <w:vMerge w:val="continue"/>
            <w:vAlign w:val="center"/>
          </w:tcPr>
          <w:p>
            <w:pPr>
              <w:spacing w:line="360" w:lineRule="auto"/>
              <w:jc w:val="center"/>
              <w:rPr>
                <w:rFonts w:asciiTheme="minorEastAsia" w:hAnsiTheme="minorEastAsia" w:cstheme="minorEastAsia"/>
                <w:szCs w:val="21"/>
              </w:rPr>
            </w:pPr>
          </w:p>
        </w:tc>
        <w:tc>
          <w:tcPr>
            <w:tcW w:w="1415" w:type="dxa"/>
            <w:vMerge w:val="continue"/>
            <w:vAlign w:val="center"/>
          </w:tcPr>
          <w:p>
            <w:pPr>
              <w:spacing w:line="360" w:lineRule="auto"/>
              <w:jc w:val="center"/>
              <w:rPr>
                <w:rFonts w:asciiTheme="minorEastAsia" w:hAnsiTheme="minorEastAsia" w:cstheme="minorEastAsia"/>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68" w:hRule="atLeast"/>
        </w:trPr>
        <w:tc>
          <w:tcPr>
            <w:tcW w:w="2248" w:type="dxa"/>
            <w:vMerge w:val="continue"/>
            <w:vAlign w:val="center"/>
          </w:tcPr>
          <w:p>
            <w:pPr>
              <w:spacing w:line="360" w:lineRule="auto"/>
              <w:jc w:val="center"/>
              <w:rPr>
                <w:rFonts w:asciiTheme="minorEastAsia" w:hAnsiTheme="minorEastAsia" w:cstheme="minorEastAsia"/>
                <w:szCs w:val="21"/>
              </w:rPr>
            </w:pPr>
          </w:p>
        </w:tc>
        <w:tc>
          <w:tcPr>
            <w:tcW w:w="3360" w:type="dxa"/>
            <w:tcBorders>
              <w:top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银行承兑汇票业务处理</w:t>
            </w:r>
          </w:p>
        </w:tc>
        <w:tc>
          <w:tcPr>
            <w:tcW w:w="741" w:type="dxa"/>
            <w:tcBorders>
              <w:top w:val="single" w:color="auto" w:sz="4" w:space="0"/>
            </w:tcBorders>
            <w:vAlign w:val="center"/>
          </w:tcPr>
          <w:p>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20</w:t>
            </w:r>
          </w:p>
        </w:tc>
        <w:tc>
          <w:tcPr>
            <w:tcW w:w="1275" w:type="dxa"/>
            <w:vMerge w:val="continue"/>
            <w:vAlign w:val="center"/>
          </w:tcPr>
          <w:p>
            <w:pPr>
              <w:spacing w:line="360" w:lineRule="auto"/>
              <w:jc w:val="center"/>
              <w:rPr>
                <w:rFonts w:asciiTheme="minorEastAsia" w:hAnsiTheme="minorEastAsia" w:cstheme="minorEastAsia"/>
                <w:szCs w:val="21"/>
              </w:rPr>
            </w:pPr>
          </w:p>
        </w:tc>
        <w:tc>
          <w:tcPr>
            <w:tcW w:w="1415" w:type="dxa"/>
            <w:vMerge w:val="continue"/>
            <w:vAlign w:val="center"/>
          </w:tcPr>
          <w:p>
            <w:pPr>
              <w:spacing w:line="360" w:lineRule="auto"/>
              <w:jc w:val="center"/>
              <w:rPr>
                <w:rFonts w:asciiTheme="minorEastAsia" w:hAnsiTheme="minorEastAsia" w:cstheme="minorEastAsia"/>
                <w:szCs w:val="21"/>
              </w:rPr>
            </w:pPr>
          </w:p>
        </w:tc>
      </w:tr>
    </w:tbl>
    <w:p>
      <w:pPr>
        <w:spacing w:line="360" w:lineRule="auto"/>
        <w:ind w:firstLine="600"/>
        <w:rPr>
          <w:rFonts w:ascii="仿宋_GB2312" w:hAnsi="仿宋_GB2312" w:eastAsia="仿宋_GB2312" w:cs="仿宋_GB2312"/>
          <w:sz w:val="24"/>
        </w:rPr>
      </w:pPr>
    </w:p>
    <w:p>
      <w:pPr>
        <w:spacing w:line="360" w:lineRule="auto"/>
        <w:ind w:firstLine="600"/>
        <w:rPr>
          <w:rFonts w:ascii="仿宋_GB2312" w:hAnsi="仿宋_GB2312" w:eastAsia="仿宋_GB2312" w:cs="仿宋_GB2312"/>
          <w:sz w:val="24"/>
        </w:rPr>
      </w:pPr>
      <w:r>
        <w:rPr>
          <w:rFonts w:hint="eastAsia" w:ascii="仿宋_GB2312" w:hAnsi="仿宋_GB2312" w:eastAsia="仿宋_GB2312" w:cs="仿宋_GB2312"/>
          <w:sz w:val="24"/>
        </w:rPr>
        <w:t>4.分值统计</w:t>
      </w:r>
    </w:p>
    <w:p>
      <w:pPr>
        <w:spacing w:line="360" w:lineRule="auto"/>
        <w:ind w:firstLine="600"/>
        <w:rPr>
          <w:rFonts w:ascii="仿宋_GB2312" w:hAnsi="仿宋_GB2312" w:eastAsia="仿宋_GB2312" w:cs="仿宋_GB2312"/>
          <w:sz w:val="24"/>
        </w:rPr>
      </w:pPr>
      <w:r>
        <w:rPr>
          <w:rFonts w:ascii="仿宋_GB2312" w:hAnsi="仿宋_GB2312" w:eastAsia="仿宋_GB2312" w:cs="仿宋_GB2312"/>
          <w:sz w:val="24"/>
        </w:rPr>
        <w:t>“</w:t>
      </w:r>
      <w:r>
        <w:rPr>
          <w:rFonts w:hint="eastAsia" w:ascii="仿宋_GB2312" w:hAnsi="仿宋_GB2312" w:eastAsia="仿宋_GB2312" w:cs="仿宋_GB2312"/>
          <w:sz w:val="24"/>
        </w:rPr>
        <w:t>银行从业知识</w:t>
      </w:r>
      <w:r>
        <w:rPr>
          <w:rFonts w:ascii="仿宋_GB2312" w:hAnsi="仿宋_GB2312" w:eastAsia="仿宋_GB2312" w:cs="仿宋_GB2312"/>
          <w:sz w:val="24"/>
        </w:rPr>
        <w:t>”</w:t>
      </w:r>
      <w:r>
        <w:rPr>
          <w:rFonts w:hint="eastAsia" w:ascii="仿宋_GB2312" w:hAnsi="仿宋_GB2312" w:eastAsia="仿宋_GB2312" w:cs="仿宋_GB2312"/>
          <w:sz w:val="24"/>
        </w:rPr>
        <w:t>竞赛团队总分400分、</w:t>
      </w:r>
      <w:r>
        <w:rPr>
          <w:rFonts w:ascii="仿宋_GB2312" w:hAnsi="仿宋_GB2312" w:eastAsia="仿宋_GB2312" w:cs="仿宋_GB2312"/>
          <w:sz w:val="24"/>
        </w:rPr>
        <w:t>“</w:t>
      </w:r>
      <w:r>
        <w:rPr>
          <w:rFonts w:hint="eastAsia" w:ascii="仿宋_GB2312" w:hAnsi="仿宋_GB2312" w:eastAsia="仿宋_GB2312" w:cs="仿宋_GB2312"/>
          <w:sz w:val="24"/>
        </w:rPr>
        <w:t>银行基本技能</w:t>
      </w:r>
      <w:r>
        <w:rPr>
          <w:rFonts w:ascii="仿宋_GB2312" w:hAnsi="仿宋_GB2312" w:eastAsia="仿宋_GB2312" w:cs="仿宋_GB2312"/>
          <w:sz w:val="24"/>
        </w:rPr>
        <w:t>”</w:t>
      </w:r>
      <w:r>
        <w:rPr>
          <w:rFonts w:hint="eastAsia" w:ascii="仿宋_GB2312" w:hAnsi="仿宋_GB2312" w:eastAsia="仿宋_GB2312" w:cs="仿宋_GB2312"/>
          <w:sz w:val="24"/>
        </w:rPr>
        <w:t>竞赛团队总分400分、</w:t>
      </w:r>
      <w:r>
        <w:rPr>
          <w:rFonts w:ascii="仿宋_GB2312" w:hAnsi="仿宋_GB2312" w:eastAsia="仿宋_GB2312" w:cs="仿宋_GB2312"/>
          <w:sz w:val="24"/>
        </w:rPr>
        <w:t>“</w:t>
      </w:r>
      <w:r>
        <w:rPr>
          <w:rFonts w:hint="eastAsia" w:ascii="仿宋_GB2312" w:hAnsi="仿宋_GB2312" w:eastAsia="仿宋_GB2312" w:cs="仿宋_GB2312"/>
          <w:sz w:val="24"/>
        </w:rPr>
        <w:t>银行业务能力</w:t>
      </w:r>
      <w:r>
        <w:rPr>
          <w:rFonts w:ascii="仿宋_GB2312" w:hAnsi="仿宋_GB2312" w:eastAsia="仿宋_GB2312" w:cs="仿宋_GB2312"/>
          <w:sz w:val="24"/>
        </w:rPr>
        <w:t>”</w:t>
      </w:r>
      <w:r>
        <w:rPr>
          <w:rFonts w:hint="eastAsia" w:ascii="仿宋_GB2312" w:hAnsi="仿宋_GB2312" w:eastAsia="仿宋_GB2312" w:cs="仿宋_GB2312"/>
          <w:sz w:val="24"/>
        </w:rPr>
        <w:t>竞赛团队总分1200分。团队满分合计2000分。</w:t>
      </w:r>
    </w:p>
    <w:p>
      <w:pPr>
        <w:spacing w:line="360" w:lineRule="auto"/>
        <w:jc w:val="center"/>
        <w:rPr>
          <w:rFonts w:ascii="仿宋_GB2312" w:hAnsi="仿宋_GB2312" w:eastAsia="仿宋_GB2312" w:cs="仿宋_GB2312"/>
          <w:sz w:val="30"/>
          <w:szCs w:val="30"/>
        </w:rPr>
      </w:pPr>
      <w:r>
        <w:drawing>
          <wp:inline distT="0" distB="0" distL="0" distR="0">
            <wp:extent cx="5204460" cy="2674620"/>
            <wp:effectExtent l="19050" t="0" r="14826" b="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pPr>
        <w:spacing w:line="360" w:lineRule="auto"/>
      </w:pPr>
    </w:p>
    <w:p>
      <w:pPr>
        <w:rPr>
          <w:rFonts w:ascii="宋体" w:hAnsi="宋体" w:eastAsia="宋体" w:cs="宋体"/>
          <w:sz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创艺简黑体">
    <w:altName w:val="Times New Roman"/>
    <w:panose1 w:val="00000000000000000000"/>
    <w:charset w:val="00"/>
    <w:family w:val="auto"/>
    <w:pitch w:val="default"/>
    <w:sig w:usb0="00000000" w:usb1="00000000" w:usb2="00000000" w:usb3="00000000" w:csb0="00040001" w:csb1="00000000"/>
  </w:font>
  <w:font w:name="汉仪大黑简 regular">
    <w:altName w:val="黑体"/>
    <w:panose1 w:val="00000000000000000000"/>
    <w:charset w:val="86"/>
    <w:family w:val="auto"/>
    <w:pitch w:val="default"/>
    <w:sig w:usb0="00000000" w:usb1="00000000" w:usb2="00000010" w:usb3="00000000" w:csb0="00040000" w:csb1="00000000"/>
  </w:font>
  <w:font w:name="方正中等线简体 Regular">
    <w:altName w:val="黑体"/>
    <w:panose1 w:val="00000000000000000000"/>
    <w:charset w:val="86"/>
    <w:family w:val="auto"/>
    <w:pitch w:val="default"/>
    <w:sig w:usb0="00000000" w:usb1="00000000" w:usb2="00000010" w:usb3="00000000" w:csb0="00040000" w:csb1="00000000"/>
  </w:font>
  <w:font w:name="隶书">
    <w:altName w:val="微软雅黑"/>
    <w:panose1 w:val="0201050906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Arial Narrow">
    <w:altName w:val="Arial"/>
    <w:panose1 w:val="020B0606020202030204"/>
    <w:charset w:val="00"/>
    <w:family w:val="swiss"/>
    <w:pitch w:val="default"/>
    <w:sig w:usb0="00000000" w:usb1="00000000" w:usb2="00000000" w:usb3="00000000" w:csb0="2000009F" w:csb1="DFD70000"/>
  </w:font>
  <w:font w:name="Calibri Light">
    <w:panose1 w:val="020F0302020204030204"/>
    <w:charset w:val="00"/>
    <w:family w:val="swiss"/>
    <w:pitch w:val="default"/>
    <w:sig w:usb0="A00002EF" w:usb1="4000207B" w:usb2="00000000" w:usb3="00000000" w:csb0="2000019F" w:csb1="00000000"/>
  </w:font>
  <w:font w:name="方正小标宋简体">
    <w:altName w:val="宋体"/>
    <w:panose1 w:val="02010601030101010101"/>
    <w:charset w:val="86"/>
    <w:family w:val="auto"/>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w:pict>
        <v:shape id="_x0000_s3073" o:spid="_x0000_s3073" o:spt="202" type="#_x0000_t202" style="position:absolute;left:0pt;margin-top:0pt;height:144pt;width:144pt;mso-position-horizontal:center;mso-position-horizontal-relative:margin;mso-wrap-style:none;z-index:251658240;mso-width-relative:page;mso-height-relative:page;" filled="f" stroked="f" coordsize="21600,21600">
          <v:path/>
          <v:fill on="f" focussize="0,0"/>
          <v:stroke on="f"/>
          <v:imagedata o:title=""/>
          <o:lock v:ext="edit" aspectratio="f"/>
          <v:textbox inset="0mm,0mm,0mm,0mm" style="mso-fit-shape-to-text:t;">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3D3DEE"/>
    <w:multiLevelType w:val="singleLevel"/>
    <w:tmpl w:val="583D3DEE"/>
    <w:lvl w:ilvl="0" w:tentative="0">
      <w:start w:val="3"/>
      <w:numFmt w:val="decimal"/>
      <w:suff w:val="nothing"/>
      <w:lvlText w:val="%1."/>
      <w:lvlJc w:val="left"/>
    </w:lvl>
  </w:abstractNum>
  <w:abstractNum w:abstractNumId="1">
    <w:nsid w:val="583D3E32"/>
    <w:multiLevelType w:val="singleLevel"/>
    <w:tmpl w:val="583D3E32"/>
    <w:lvl w:ilvl="0" w:tentative="0">
      <w:start w:val="1"/>
      <w:numFmt w:val="upperLetter"/>
      <w:suff w:val="nothing"/>
      <w:lvlText w:val="%1."/>
      <w:lvlJc w:val="left"/>
    </w:lvl>
  </w:abstractNum>
  <w:abstractNum w:abstractNumId="2">
    <w:nsid w:val="58FEFAE2"/>
    <w:multiLevelType w:val="singleLevel"/>
    <w:tmpl w:val="58FEFAE2"/>
    <w:lvl w:ilvl="0" w:tentative="0">
      <w:start w:val="1"/>
      <w:numFmt w:val="decimal"/>
      <w:suff w:val="nothing"/>
      <w:lvlText w:val="%1、"/>
      <w:lvlJc w:val="left"/>
    </w:lvl>
  </w:abstractNum>
  <w:abstractNum w:abstractNumId="3">
    <w:nsid w:val="59018F7E"/>
    <w:multiLevelType w:val="singleLevel"/>
    <w:tmpl w:val="59018F7E"/>
    <w:lvl w:ilvl="0" w:tentative="0">
      <w:start w:val="1"/>
      <w:numFmt w:val="decimal"/>
      <w:suff w:val="nothing"/>
      <w:lvlText w:val="（%1）"/>
      <w:lvlJc w:val="left"/>
    </w:lvl>
  </w:abstractNum>
  <w:abstractNum w:abstractNumId="4">
    <w:nsid w:val="59019A99"/>
    <w:multiLevelType w:val="singleLevel"/>
    <w:tmpl w:val="59019A99"/>
    <w:lvl w:ilvl="0" w:tentative="0">
      <w:start w:val="1"/>
      <w:numFmt w:val="decimal"/>
      <w:suff w:val="nothing"/>
      <w:lvlText w:val="（%1）"/>
      <w:lvlJc w:val="left"/>
    </w:lvl>
  </w:abstractNum>
  <w:abstractNum w:abstractNumId="5">
    <w:nsid w:val="59019F84"/>
    <w:multiLevelType w:val="singleLevel"/>
    <w:tmpl w:val="59019F84"/>
    <w:lvl w:ilvl="0" w:tentative="0">
      <w:start w:val="1"/>
      <w:numFmt w:val="decimal"/>
      <w:suff w:val="nothing"/>
      <w:lvlText w:val="（%1）"/>
      <w:lvlJc w:val="left"/>
    </w:lvl>
  </w:abstractNum>
  <w:abstractNum w:abstractNumId="6">
    <w:nsid w:val="59019FE6"/>
    <w:multiLevelType w:val="singleLevel"/>
    <w:tmpl w:val="59019FE6"/>
    <w:lvl w:ilvl="0" w:tentative="0">
      <w:start w:val="3"/>
      <w:numFmt w:val="decimal"/>
      <w:suff w:val="nothing"/>
      <w:lvlText w:val="（%1）"/>
      <w:lvlJc w:val="left"/>
    </w:lvl>
  </w:abstractNum>
  <w:abstractNum w:abstractNumId="7">
    <w:nsid w:val="5901C97B"/>
    <w:multiLevelType w:val="singleLevel"/>
    <w:tmpl w:val="5901C97B"/>
    <w:lvl w:ilvl="0" w:tentative="0">
      <w:start w:val="1"/>
      <w:numFmt w:val="decimal"/>
      <w:suff w:val="nothing"/>
      <w:lvlText w:val="（%1）"/>
      <w:lvlJc w:val="left"/>
    </w:lvl>
  </w:abstractNum>
  <w:abstractNum w:abstractNumId="8">
    <w:nsid w:val="59755991"/>
    <w:multiLevelType w:val="singleLevel"/>
    <w:tmpl w:val="59755991"/>
    <w:lvl w:ilvl="0" w:tentative="0">
      <w:start w:val="1"/>
      <w:numFmt w:val="decimal"/>
      <w:suff w:val="nothing"/>
      <w:lvlText w:val="（%1）"/>
      <w:lvlJc w:val="left"/>
    </w:lvl>
  </w:abstractNum>
  <w:abstractNum w:abstractNumId="9">
    <w:nsid w:val="5A3736F8"/>
    <w:multiLevelType w:val="singleLevel"/>
    <w:tmpl w:val="5A3736F8"/>
    <w:lvl w:ilvl="0" w:tentative="0">
      <w:start w:val="1"/>
      <w:numFmt w:val="chineseCounting"/>
      <w:suff w:val="nothing"/>
      <w:lvlText w:val="（%1）"/>
      <w:lvlJc w:val="left"/>
    </w:lvl>
  </w:abstractNum>
  <w:abstractNum w:abstractNumId="10">
    <w:nsid w:val="5A377E18"/>
    <w:multiLevelType w:val="singleLevel"/>
    <w:tmpl w:val="5A377E18"/>
    <w:lvl w:ilvl="0" w:tentative="0">
      <w:start w:val="2"/>
      <w:numFmt w:val="decimal"/>
      <w:lvlText w:val="%1."/>
      <w:lvlJc w:val="left"/>
      <w:pPr>
        <w:tabs>
          <w:tab w:val="left" w:pos="312"/>
        </w:tabs>
      </w:pPr>
    </w:lvl>
  </w:abstractNum>
  <w:num w:numId="1">
    <w:abstractNumId w:val="9"/>
  </w:num>
  <w:num w:numId="2">
    <w:abstractNumId w:val="10"/>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6F7451"/>
    <w:rsid w:val="000148BE"/>
    <w:rsid w:val="000850BB"/>
    <w:rsid w:val="00147BDD"/>
    <w:rsid w:val="001D5FCB"/>
    <w:rsid w:val="001E7D24"/>
    <w:rsid w:val="00301C65"/>
    <w:rsid w:val="003C6B49"/>
    <w:rsid w:val="00507C46"/>
    <w:rsid w:val="00580C0C"/>
    <w:rsid w:val="006F7451"/>
    <w:rsid w:val="007B795A"/>
    <w:rsid w:val="0089047B"/>
    <w:rsid w:val="00B157AF"/>
    <w:rsid w:val="00EC56AE"/>
    <w:rsid w:val="011F520F"/>
    <w:rsid w:val="020E7745"/>
    <w:rsid w:val="04C3153D"/>
    <w:rsid w:val="04C73A90"/>
    <w:rsid w:val="055E7896"/>
    <w:rsid w:val="059C5191"/>
    <w:rsid w:val="0A3D54F8"/>
    <w:rsid w:val="0AA56A73"/>
    <w:rsid w:val="0AEE536F"/>
    <w:rsid w:val="0E6A17BD"/>
    <w:rsid w:val="0E812B38"/>
    <w:rsid w:val="0FF10D8A"/>
    <w:rsid w:val="1005677B"/>
    <w:rsid w:val="114553D5"/>
    <w:rsid w:val="116D2A85"/>
    <w:rsid w:val="11C33D66"/>
    <w:rsid w:val="13120DF8"/>
    <w:rsid w:val="13EA49CF"/>
    <w:rsid w:val="14EE52E4"/>
    <w:rsid w:val="176E3A5C"/>
    <w:rsid w:val="18A335F1"/>
    <w:rsid w:val="19D35A2E"/>
    <w:rsid w:val="1A175791"/>
    <w:rsid w:val="1A8F3A9D"/>
    <w:rsid w:val="1C4B6F8E"/>
    <w:rsid w:val="1E4935F1"/>
    <w:rsid w:val="1FA909D9"/>
    <w:rsid w:val="1FEB2E75"/>
    <w:rsid w:val="20C950A7"/>
    <w:rsid w:val="21CB4CCA"/>
    <w:rsid w:val="23060FC1"/>
    <w:rsid w:val="241B0897"/>
    <w:rsid w:val="26F85E7C"/>
    <w:rsid w:val="278D6A9D"/>
    <w:rsid w:val="28DA190B"/>
    <w:rsid w:val="2CFC490A"/>
    <w:rsid w:val="2D3B1A1F"/>
    <w:rsid w:val="2DAA0326"/>
    <w:rsid w:val="2EC31EFE"/>
    <w:rsid w:val="2F5A61F9"/>
    <w:rsid w:val="301F12C6"/>
    <w:rsid w:val="31FC204D"/>
    <w:rsid w:val="332C27B8"/>
    <w:rsid w:val="34D85C5E"/>
    <w:rsid w:val="35F27039"/>
    <w:rsid w:val="369E161E"/>
    <w:rsid w:val="391E4A30"/>
    <w:rsid w:val="39492D43"/>
    <w:rsid w:val="39B22539"/>
    <w:rsid w:val="39BF6E41"/>
    <w:rsid w:val="39CD6E5E"/>
    <w:rsid w:val="3A2F1F3C"/>
    <w:rsid w:val="3B4412EC"/>
    <w:rsid w:val="3B5077E4"/>
    <w:rsid w:val="3BA836C8"/>
    <w:rsid w:val="3CBE5E4E"/>
    <w:rsid w:val="3D0A6003"/>
    <w:rsid w:val="3D7A4E7F"/>
    <w:rsid w:val="3DBE6BD0"/>
    <w:rsid w:val="3F204DC7"/>
    <w:rsid w:val="42674959"/>
    <w:rsid w:val="42EA75EE"/>
    <w:rsid w:val="44D77F6E"/>
    <w:rsid w:val="458472DE"/>
    <w:rsid w:val="45E04ACE"/>
    <w:rsid w:val="46164440"/>
    <w:rsid w:val="47693521"/>
    <w:rsid w:val="48C046AA"/>
    <w:rsid w:val="49A569F3"/>
    <w:rsid w:val="4A5F7CCE"/>
    <w:rsid w:val="4ADF7AA6"/>
    <w:rsid w:val="4B966529"/>
    <w:rsid w:val="4C9667D6"/>
    <w:rsid w:val="53CF2244"/>
    <w:rsid w:val="553D120A"/>
    <w:rsid w:val="57E26C79"/>
    <w:rsid w:val="5A461410"/>
    <w:rsid w:val="5A836245"/>
    <w:rsid w:val="5B843983"/>
    <w:rsid w:val="5D647E7C"/>
    <w:rsid w:val="5DB04865"/>
    <w:rsid w:val="5E9A1762"/>
    <w:rsid w:val="5EE358AA"/>
    <w:rsid w:val="5F7252A8"/>
    <w:rsid w:val="60B8096B"/>
    <w:rsid w:val="60F53D2B"/>
    <w:rsid w:val="63094A0D"/>
    <w:rsid w:val="644059B1"/>
    <w:rsid w:val="66934043"/>
    <w:rsid w:val="66DB174C"/>
    <w:rsid w:val="682315CE"/>
    <w:rsid w:val="68CE48AA"/>
    <w:rsid w:val="69F13E59"/>
    <w:rsid w:val="6CD114A2"/>
    <w:rsid w:val="6D7B2E19"/>
    <w:rsid w:val="6DC62987"/>
    <w:rsid w:val="6EA81CCB"/>
    <w:rsid w:val="6FB11F84"/>
    <w:rsid w:val="71CA0CDF"/>
    <w:rsid w:val="725A7B03"/>
    <w:rsid w:val="72C65404"/>
    <w:rsid w:val="745B51F3"/>
    <w:rsid w:val="74DF06FC"/>
    <w:rsid w:val="753D6C84"/>
    <w:rsid w:val="75EA28B1"/>
    <w:rsid w:val="782909C6"/>
    <w:rsid w:val="79A81608"/>
    <w:rsid w:val="79F71800"/>
    <w:rsid w:val="7A3754BE"/>
    <w:rsid w:val="7BFE2B9D"/>
    <w:rsid w:val="7D043AAA"/>
    <w:rsid w:val="7D977CF4"/>
    <w:rsid w:val="7E0230FE"/>
    <w:rsid w:val="7FC011F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link w:val="15"/>
    <w:unhideWhenUsed/>
    <w:qFormat/>
    <w:uiPriority w:val="9"/>
    <w:pPr>
      <w:keepNext/>
      <w:keepLines/>
      <w:spacing w:before="260" w:after="260" w:line="413" w:lineRule="auto"/>
      <w:outlineLvl w:val="2"/>
    </w:pPr>
    <w:rPr>
      <w:rFonts w:eastAsia="仿宋"/>
      <w:b/>
      <w:sz w:val="28"/>
      <w:szCs w:val="22"/>
    </w:rPr>
  </w:style>
  <w:style w:type="character" w:default="1" w:styleId="7">
    <w:name w:val="Default Paragraph Font"/>
    <w:unhideWhenUsed/>
    <w:qFormat/>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3">
    <w:name w:val="Body Text"/>
    <w:basedOn w:val="1"/>
    <w:qFormat/>
    <w:uiPriority w:val="0"/>
    <w:pPr>
      <w:spacing w:after="120"/>
    </w:pPr>
  </w:style>
  <w:style w:type="paragraph" w:styleId="4">
    <w:name w:val="Balloon Text"/>
    <w:basedOn w:val="1"/>
    <w:link w:val="17"/>
    <w:qFormat/>
    <w:uiPriority w:val="0"/>
    <w:rPr>
      <w:sz w:val="18"/>
      <w:szCs w:val="18"/>
    </w:rPr>
  </w:style>
  <w:style w:type="paragraph" w:styleId="5">
    <w:name w:val="footer"/>
    <w:basedOn w:val="1"/>
    <w:link w:val="13"/>
    <w:qFormat/>
    <w:uiPriority w:val="0"/>
    <w:pPr>
      <w:tabs>
        <w:tab w:val="center" w:pos="4153"/>
        <w:tab w:val="right" w:pos="8306"/>
      </w:tabs>
      <w:snapToGrid w:val="0"/>
      <w:jc w:val="left"/>
    </w:pPr>
    <w:rPr>
      <w:sz w:val="18"/>
      <w:szCs w:val="18"/>
    </w:rPr>
  </w:style>
  <w:style w:type="paragraph" w:styleId="6">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10">
    <w:name w:val="Char"/>
    <w:basedOn w:val="1"/>
    <w:qFormat/>
    <w:uiPriority w:val="0"/>
    <w:pPr>
      <w:widowControl/>
      <w:spacing w:after="160" w:line="240" w:lineRule="exact"/>
      <w:jc w:val="left"/>
    </w:pPr>
    <w:rPr>
      <w:rFonts w:ascii="Arial" w:hAnsi="Arial" w:eastAsia="Times New Roman" w:cs="Verdana"/>
      <w:b/>
      <w:kern w:val="0"/>
      <w:sz w:val="24"/>
      <w:lang w:eastAsia="en-US"/>
    </w:rPr>
  </w:style>
  <w:style w:type="character" w:customStyle="1" w:styleId="11">
    <w:name w:val="content"/>
    <w:basedOn w:val="7"/>
    <w:qFormat/>
    <w:uiPriority w:val="0"/>
    <w:rPr>
      <w:rFonts w:cs="Times New Roman"/>
    </w:rPr>
  </w:style>
  <w:style w:type="character" w:customStyle="1" w:styleId="12">
    <w:name w:val="页眉 Char"/>
    <w:basedOn w:val="7"/>
    <w:link w:val="6"/>
    <w:qFormat/>
    <w:uiPriority w:val="0"/>
    <w:rPr>
      <w:kern w:val="2"/>
      <w:sz w:val="18"/>
      <w:szCs w:val="18"/>
    </w:rPr>
  </w:style>
  <w:style w:type="character" w:customStyle="1" w:styleId="13">
    <w:name w:val="页脚 Char"/>
    <w:basedOn w:val="7"/>
    <w:link w:val="5"/>
    <w:qFormat/>
    <w:uiPriority w:val="0"/>
    <w:rPr>
      <w:kern w:val="2"/>
      <w:sz w:val="18"/>
      <w:szCs w:val="18"/>
    </w:rPr>
  </w:style>
  <w:style w:type="paragraph" w:customStyle="1" w:styleId="14">
    <w:name w:val="List Paragraph"/>
    <w:basedOn w:val="1"/>
    <w:unhideWhenUsed/>
    <w:qFormat/>
    <w:uiPriority w:val="99"/>
    <w:pPr>
      <w:ind w:firstLine="420" w:firstLineChars="200"/>
    </w:pPr>
  </w:style>
  <w:style w:type="character" w:customStyle="1" w:styleId="15">
    <w:name w:val="标题 3 Char"/>
    <w:basedOn w:val="7"/>
    <w:link w:val="2"/>
    <w:qFormat/>
    <w:uiPriority w:val="9"/>
    <w:rPr>
      <w:rFonts w:eastAsia="仿宋"/>
      <w:b/>
      <w:kern w:val="2"/>
      <w:sz w:val="28"/>
      <w:szCs w:val="22"/>
    </w:rPr>
  </w:style>
  <w:style w:type="paragraph" w:customStyle="1" w:styleId="16">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7">
    <w:name w:val="批注框文本 Char"/>
    <w:basedOn w:val="7"/>
    <w:link w:val="4"/>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chart" Target="charts/chart1.xml"/><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roundedCorners val="0"/>
  <mc:AlternateContent xmlns:mc="http://schemas.openxmlformats.org/markup-compatibility/2006">
    <mc:Choice xmlns:c14="http://schemas.microsoft.com/office/drawing/2007/8/2/chart" Requires="c14">
      <c14:style val="126"/>
    </mc:Choice>
    <mc:Fallback>
      <c:style val="26"/>
    </mc:Fallback>
  </mc:AlternateContent>
  <c:chart>
    <c:title>
      <c:layout/>
      <c:overlay val="0"/>
      <c:txPr>
        <a:bodyPr rot="0" spcFirstLastPara="0" vertOverflow="ellipsis" vert="horz" wrap="square" anchor="ctr" anchorCtr="1"/>
        <a:lstStyle/>
        <a:p>
          <a:pPr>
            <a:defRPr lang="zh-CN" sz="1800" b="1" i="0" u="none" strike="noStrike" kern="1200" baseline="0">
              <a:solidFill>
                <a:schemeClr val="tx1"/>
              </a:solidFill>
              <a:latin typeface="+mn-lt"/>
              <a:ea typeface="+mn-ea"/>
              <a:cs typeface="+mn-cs"/>
            </a:defRPr>
          </a:pPr>
        </a:p>
      </c:txPr>
    </c:title>
    <c:autoTitleDeleted val="0"/>
    <c:plotArea>
      <c:layout/>
      <c:doughnutChart>
        <c:varyColors val="1"/>
        <c:ser>
          <c:idx val="0"/>
          <c:order val="0"/>
          <c:tx>
            <c:strRef>
              <c:f>Sheet1!$B$1</c:f>
              <c:strCache>
                <c:ptCount val="1"/>
                <c:pt idx="0">
                  <c:v>分值分布图</c:v>
                </c:pt>
              </c:strCache>
            </c:strRef>
          </c:tx>
          <c:explosion val="0"/>
          <c:dPt>
            <c:idx val="0"/>
            <c:bubble3D val="0"/>
          </c:dPt>
          <c:dPt>
            <c:idx val="1"/>
            <c:bubble3D val="0"/>
          </c:dPt>
          <c:dPt>
            <c:idx val="2"/>
            <c:bubble3D val="0"/>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Sheet1!$A$2:$A$4</c:f>
              <c:strCache>
                <c:ptCount val="3"/>
                <c:pt idx="0">
                  <c:v>“银行从业知识”竞赛团队总分400分</c:v>
                </c:pt>
                <c:pt idx="1">
                  <c:v>“银行基本技能”竞赛团队总分400分</c:v>
                </c:pt>
                <c:pt idx="2">
                  <c:v>“银行业务能力”竞赛团队总分1200分</c:v>
                </c:pt>
              </c:strCache>
            </c:strRef>
          </c:cat>
          <c:val>
            <c:numRef>
              <c:f>Sheet1!$B$2:$B$4</c:f>
              <c:numCache>
                <c:formatCode>0%</c:formatCode>
                <c:ptCount val="3"/>
                <c:pt idx="0">
                  <c:v>0.2</c:v>
                </c:pt>
                <c:pt idx="1">
                  <c:v>0.2</c:v>
                </c:pt>
                <c:pt idx="2">
                  <c:v>0.600000000000001</c:v>
                </c:pt>
              </c:numCache>
            </c:numRef>
          </c:val>
        </c:ser>
        <c:dLbls>
          <c:showLegendKey val="0"/>
          <c:showVal val="0"/>
          <c:showCatName val="0"/>
          <c:showSerName val="0"/>
          <c:showPercent val="1"/>
          <c:showBubbleSize val="0"/>
          <c:showLeaderLines val="1"/>
        </c:dLbls>
        <c:firstSliceAng val="0"/>
        <c:holeSize val="50"/>
      </c:doughnutChart>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zero"/>
    <c:showDLblsOverMax val="0"/>
  </c:chart>
  <c:txPr>
    <a:bodyPr/>
    <a:lstStyle/>
    <a:p>
      <a:pPr>
        <a:defRPr lang="zh-CN"/>
      </a:pPr>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3073"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41</Pages>
  <Words>3188</Words>
  <Characters>18176</Characters>
  <Lines>151</Lines>
  <Paragraphs>42</Paragraphs>
  <ScaleCrop>false</ScaleCrop>
  <LinksUpToDate>false</LinksUpToDate>
  <CharactersWithSpaces>21322</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litty</cp:lastModifiedBy>
  <cp:lastPrinted>2017-10-17T06:39:00Z</cp:lastPrinted>
  <dcterms:modified xsi:type="dcterms:W3CDTF">2017-12-19T05:59:20Z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