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方正小标宋简体" w:hAnsi="方正小标宋简体" w:eastAsia="方正小标宋简体" w:cs="方正小标宋简体"/>
          <w:sz w:val="72"/>
          <w:szCs w:val="72"/>
        </w:rPr>
      </w:pPr>
    </w:p>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3</w:t>
      </w:r>
      <w:r>
        <w:rPr>
          <w:rFonts w:hint="eastAsia" w:ascii="方正小标宋_GBK" w:hAnsi="方正小标宋_GBK" w:eastAsia="方正小标宋_GBK" w:cs="方正小标宋_GBK"/>
          <w:b w:val="0"/>
          <w:bCs/>
          <w:sz w:val="44"/>
          <w:szCs w:val="44"/>
        </w:rPr>
        <w:t>年海南省职业院校技能大赛（高职组）</w:t>
      </w:r>
    </w:p>
    <w:p>
      <w:pPr>
        <w:widowControl/>
        <w:jc w:val="center"/>
        <w:rPr>
          <w:rFonts w:ascii="方正小标宋简体" w:hAnsi="方正小标宋简体" w:eastAsia="方正小标宋简体" w:cs="方正小标宋简体"/>
          <w:sz w:val="52"/>
          <w:szCs w:val="52"/>
        </w:rPr>
      </w:pPr>
      <w:r>
        <w:rPr>
          <w:rFonts w:hint="eastAsia" w:ascii="方正小标宋_GBK" w:hAnsi="方正小标宋_GBK" w:eastAsia="方正小标宋_GBK" w:cs="方正小标宋_GBK"/>
          <w:b w:val="0"/>
          <w:bCs/>
          <w:sz w:val="44"/>
          <w:szCs w:val="44"/>
          <w:lang w:val="en-US" w:eastAsia="zh-CN"/>
        </w:rPr>
        <w:t>数字艺术设计</w:t>
      </w:r>
      <w:r>
        <w:rPr>
          <w:rFonts w:hint="eastAsia" w:ascii="方正小标宋_GBK" w:hAnsi="方正小标宋_GBK" w:eastAsia="方正小标宋_GBK" w:cs="方正小标宋_GBK"/>
          <w:b w:val="0"/>
          <w:bCs/>
          <w:sz w:val="44"/>
          <w:szCs w:val="44"/>
        </w:rPr>
        <w:t>赛项规程</w:t>
      </w:r>
    </w:p>
    <w:p>
      <w:pPr>
        <w:pStyle w:val="4"/>
        <w:numPr>
          <w:ilvl w:val="0"/>
          <w:numId w:val="1"/>
        </w:numPr>
        <w:spacing w:before="156" w:beforeLines="50" w:beforeAutospacing="0" w:after="156" w:afterLines="50" w:afterAutospacing="0" w:line="600" w:lineRule="exact"/>
        <w:rPr>
          <w:rFonts w:ascii="仿宋_GB2312" w:hAnsi="仿宋" w:eastAsia="仿宋_GB2312"/>
          <w:b/>
          <w:kern w:val="0"/>
          <w:sz w:val="28"/>
          <w:szCs w:val="28"/>
        </w:rPr>
      </w:pPr>
      <w:r>
        <w:rPr>
          <w:rFonts w:hint="eastAsia" w:ascii="黑体" w:hAnsi="黑体" w:eastAsia="黑体" w:cs="黑体"/>
          <w:b w:val="0"/>
          <w:bCs w:val="0"/>
          <w:sz w:val="32"/>
          <w:szCs w:val="32"/>
        </w:rPr>
        <w:t>赛项名称</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赛项名称：数字艺术设计</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 xml:space="preserve">英文名称：Digital Art &amp; Design     </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赛项组别：高职组</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pPr>
      <w:r>
        <w:rPr>
          <w:rFonts w:hint="eastAsia" w:ascii="楷体" w:hAnsi="楷体" w:eastAsia="楷体" w:cs="楷体"/>
          <w:sz w:val="32"/>
          <w:szCs w:val="32"/>
        </w:rPr>
        <w:t>赛项归属产业：信息技术</w:t>
      </w:r>
    </w:p>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0" w:name="_Toc131804146"/>
      <w:r>
        <w:rPr>
          <w:rFonts w:hint="eastAsia" w:ascii="黑体" w:hAnsi="黑体" w:eastAsia="黑体" w:cs="黑体"/>
          <w:b w:val="0"/>
          <w:bCs w:val="0"/>
          <w:sz w:val="32"/>
          <w:szCs w:val="32"/>
        </w:rPr>
        <w:t>二、竞赛目标</w:t>
      </w:r>
      <w:bookmarkEnd w:id="0"/>
    </w:p>
    <w:p>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数字艺术设计是利用数字化技术手段进行创作或呈现的一种艺术形式，它通过数字技术的运用，将传统的视觉、听觉和其他艺术</w:t>
      </w:r>
      <w:r>
        <w:rPr>
          <w:rFonts w:hint="eastAsia" w:ascii="仿宋_GB2312" w:hAnsi="仿宋_GB2312" w:eastAsia="仿宋_GB2312" w:cs="仿宋_GB2312"/>
          <w:sz w:val="28"/>
          <w:szCs w:val="28"/>
          <w:lang w:eastAsia="zh-Hans"/>
        </w:rPr>
        <w:t>表现形式</w:t>
      </w:r>
      <w:r>
        <w:rPr>
          <w:rFonts w:hint="eastAsia" w:ascii="仿宋_GB2312" w:hAnsi="仿宋_GB2312" w:eastAsia="仿宋_GB2312" w:cs="仿宋_GB2312"/>
          <w:sz w:val="28"/>
          <w:szCs w:val="28"/>
        </w:rPr>
        <w:t>进行</w:t>
      </w:r>
      <w:r>
        <w:rPr>
          <w:rFonts w:hint="eastAsia" w:ascii="仿宋_GB2312" w:hAnsi="仿宋_GB2312" w:eastAsia="仿宋_GB2312" w:cs="仿宋_GB2312"/>
          <w:sz w:val="28"/>
          <w:szCs w:val="28"/>
          <w:lang w:eastAsia="zh-Hans"/>
        </w:rPr>
        <w:t>融合</w:t>
      </w:r>
      <w:r>
        <w:rPr>
          <w:rFonts w:hint="eastAsia" w:ascii="仿宋_GB2312" w:hAnsi="仿宋_GB2312" w:eastAsia="仿宋_GB2312" w:cs="仿宋_GB2312"/>
          <w:sz w:val="28"/>
          <w:szCs w:val="28"/>
        </w:rPr>
        <w:t>，实现艺术作品的数字化、网络化和交互化。</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随着人工智能算法、算力的逐步成熟，AIGC人工智能生成内容技术在数字艺术设计领域中迅速崛起，AIGC前沿技术对于数字艺术设计人才培养的影响也变得越来越重要。</w:t>
      </w:r>
    </w:p>
    <w:p>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目前，数字艺术设计相关产业中既懂AIGC技术，又具备艺术设计创作能力的</w:t>
      </w:r>
      <w:r>
        <w:rPr>
          <w:rFonts w:hint="eastAsia" w:ascii="仿宋_GB2312" w:hAnsi="仿宋_GB2312" w:eastAsia="仿宋_GB2312" w:cs="仿宋_GB2312"/>
          <w:sz w:val="28"/>
          <w:szCs w:val="28"/>
          <w:lang w:eastAsia="zh-Hans"/>
        </w:rPr>
        <w:t>复合型</w:t>
      </w:r>
      <w:r>
        <w:rPr>
          <w:rFonts w:hint="eastAsia" w:ascii="仿宋_GB2312" w:hAnsi="仿宋_GB2312" w:eastAsia="仿宋_GB2312" w:cs="仿宋_GB2312"/>
          <w:sz w:val="28"/>
          <w:szCs w:val="28"/>
        </w:rPr>
        <w:t>人才极度缺乏。通过开展数字艺术设计大赛，能够促进高职院校数字艺术设计相关专业的改革，培养适应产业发展的数字艺术人才，引领专业建设和教学改革，促进产教融合和校企合作</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适应数字艺术产业与AIGC行业相结合的转型升级</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打造适应产业升级复合型技术技能人才培养的标准。</w:t>
      </w:r>
      <w:r>
        <w:rPr>
          <w:rFonts w:hint="eastAsia" w:ascii="仿宋_GB2312" w:hAnsi="仿宋_GB2312" w:eastAsia="仿宋_GB2312" w:cs="仿宋_GB2312"/>
          <w:sz w:val="28"/>
          <w:szCs w:val="28"/>
        </w:rPr>
        <w:cr/>
      </w:r>
      <w:r>
        <w:rPr>
          <w:rFonts w:hint="eastAsia" w:ascii="仿宋_GB2312" w:hAnsi="仿宋_GB2312" w:eastAsia="仿宋_GB2312" w:cs="仿宋_GB2312"/>
          <w:sz w:val="28"/>
          <w:szCs w:val="28"/>
        </w:rPr>
        <w:t xml:space="preserve">    本赛项旨在检验选手</w:t>
      </w:r>
      <w:r>
        <w:rPr>
          <w:rFonts w:hint="eastAsia" w:ascii="仿宋_GB2312" w:hAnsi="仿宋_GB2312" w:eastAsia="仿宋_GB2312" w:cs="仿宋_GB2312"/>
          <w:sz w:val="28"/>
          <w:szCs w:val="28"/>
          <w:lang w:eastAsia="zh-Hans"/>
        </w:rPr>
        <w:t>的艺术</w:t>
      </w:r>
      <w:r>
        <w:rPr>
          <w:rFonts w:hint="eastAsia" w:ascii="仿宋_GB2312" w:hAnsi="仿宋_GB2312" w:eastAsia="仿宋_GB2312" w:cs="仿宋_GB2312"/>
          <w:sz w:val="28"/>
          <w:szCs w:val="28"/>
        </w:rPr>
        <w:t>创造能力</w:t>
      </w:r>
      <w:r>
        <w:rPr>
          <w:rFonts w:hint="eastAsia" w:ascii="仿宋_GB2312" w:hAnsi="仿宋_GB2312" w:eastAsia="仿宋_GB2312" w:cs="仿宋_GB2312"/>
          <w:sz w:val="28"/>
          <w:szCs w:val="28"/>
          <w:lang w:eastAsia="zh-Hans"/>
        </w:rPr>
        <w:t>和技术表达能力</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契合</w:t>
      </w:r>
      <w:r>
        <w:rPr>
          <w:rFonts w:hint="eastAsia" w:ascii="仿宋_GB2312" w:hAnsi="仿宋_GB2312" w:eastAsia="仿宋_GB2312" w:cs="仿宋_GB2312"/>
          <w:sz w:val="28"/>
          <w:szCs w:val="28"/>
        </w:rPr>
        <w:t>产业</w:t>
      </w:r>
      <w:r>
        <w:rPr>
          <w:rFonts w:hint="eastAsia" w:ascii="仿宋_GB2312" w:hAnsi="仿宋_GB2312" w:eastAsia="仿宋_GB2312" w:cs="仿宋_GB2312"/>
          <w:sz w:val="28"/>
          <w:szCs w:val="28"/>
          <w:lang w:eastAsia="zh-Hans"/>
        </w:rPr>
        <w:t>行业</w:t>
      </w:r>
      <w:r>
        <w:rPr>
          <w:rFonts w:hint="eastAsia" w:ascii="仿宋_GB2312" w:hAnsi="仿宋_GB2312" w:eastAsia="仿宋_GB2312" w:cs="仿宋_GB2312"/>
          <w:sz w:val="28"/>
          <w:szCs w:val="28"/>
        </w:rPr>
        <w:t>发展</w:t>
      </w:r>
      <w:r>
        <w:rPr>
          <w:rFonts w:hint="eastAsia" w:ascii="仿宋_GB2312" w:hAnsi="仿宋_GB2312" w:eastAsia="仿宋_GB2312" w:cs="仿宋_GB2312"/>
          <w:sz w:val="28"/>
          <w:szCs w:val="28"/>
          <w:lang w:eastAsia="zh-Hans"/>
        </w:rPr>
        <w:t>需求</w:t>
      </w:r>
      <w:r>
        <w:rPr>
          <w:rFonts w:hint="eastAsia" w:ascii="仿宋_GB2312" w:hAnsi="仿宋_GB2312" w:eastAsia="仿宋_GB2312" w:cs="仿宋_GB2312"/>
          <w:sz w:val="28"/>
          <w:szCs w:val="28"/>
        </w:rPr>
        <w:t>，提高</w:t>
      </w:r>
      <w:r>
        <w:rPr>
          <w:rFonts w:hint="eastAsia" w:ascii="仿宋_GB2312" w:hAnsi="仿宋_GB2312" w:eastAsia="仿宋_GB2312" w:cs="仿宋_GB2312"/>
          <w:sz w:val="28"/>
          <w:szCs w:val="28"/>
          <w:lang w:eastAsia="zh-Hans"/>
        </w:rPr>
        <w:t>使用</w:t>
      </w:r>
      <w:r>
        <w:rPr>
          <w:rFonts w:hint="eastAsia" w:ascii="仿宋_GB2312" w:hAnsi="仿宋_GB2312" w:eastAsia="仿宋_GB2312" w:cs="仿宋_GB2312"/>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sz w:val="28"/>
          <w:szCs w:val="28"/>
          <w:lang w:eastAsia="zh-Hans"/>
        </w:rPr>
        <w:t>模型制作</w:t>
      </w:r>
      <w:r>
        <w:rPr>
          <w:rFonts w:ascii="仿宋_GB2312" w:hAnsi="仿宋_GB2312" w:eastAsia="仿宋_GB2312" w:cs="仿宋_GB2312"/>
          <w:sz w:val="28"/>
          <w:szCs w:val="28"/>
          <w:lang w:eastAsia="zh-Hans"/>
        </w:rPr>
        <w:t>、</w:t>
      </w:r>
      <w:r>
        <w:rPr>
          <w:rFonts w:hint="eastAsia" w:ascii="仿宋_GB2312" w:hAnsi="仿宋_GB2312" w:eastAsia="仿宋_GB2312" w:cs="仿宋_GB2312"/>
          <w:sz w:val="28"/>
          <w:szCs w:val="28"/>
          <w:lang w:eastAsia="zh-Hans"/>
        </w:rPr>
        <w:t>动画</w:t>
      </w:r>
      <w:r>
        <w:rPr>
          <w:rFonts w:hint="eastAsia" w:ascii="仿宋_GB2312" w:hAnsi="仿宋_GB2312" w:eastAsia="仿宋_GB2312" w:cs="仿宋_GB2312"/>
          <w:sz w:val="28"/>
          <w:szCs w:val="28"/>
        </w:rPr>
        <w:t>制作、</w:t>
      </w:r>
      <w:r>
        <w:rPr>
          <w:rFonts w:hint="eastAsia" w:ascii="仿宋_GB2312" w:hAnsi="仿宋_GB2312" w:eastAsia="仿宋_GB2312" w:cs="仿宋_GB2312"/>
          <w:sz w:val="28"/>
          <w:szCs w:val="28"/>
          <w:lang w:eastAsia="zh-Hans"/>
        </w:rPr>
        <w:t>引擎效果渲染和影视后期制作等</w:t>
      </w:r>
      <w:r>
        <w:rPr>
          <w:rFonts w:hint="eastAsia" w:ascii="仿宋_GB2312" w:hAnsi="仿宋_GB2312" w:eastAsia="仿宋_GB2312" w:cs="仿宋_GB2312"/>
          <w:sz w:val="28"/>
          <w:szCs w:val="28"/>
        </w:rPr>
        <w:t>核心技术技能；同时考查选手的技术操作规范和团队沟通协作等岗位素养。</w:t>
      </w:r>
      <w:r>
        <w:rPr>
          <w:rFonts w:hint="eastAsia" w:ascii="仿宋_GB2312" w:hAnsi="仿宋_GB2312" w:eastAsia="仿宋_GB2312" w:cs="仿宋_GB2312"/>
          <w:sz w:val="28"/>
          <w:szCs w:val="28"/>
          <w:lang w:eastAsia="zh-Hans"/>
        </w:rPr>
        <w:t>赛项匹配数字艺术设计相关</w:t>
      </w:r>
      <w:r>
        <w:rPr>
          <w:rFonts w:ascii="仿宋_GB2312" w:hAnsi="仿宋_GB2312" w:eastAsia="仿宋_GB2312" w:cs="仿宋_GB2312"/>
          <w:sz w:val="28"/>
          <w:szCs w:val="28"/>
          <w:lang w:eastAsia="zh-Hans"/>
        </w:rPr>
        <w:t>X</w:t>
      </w:r>
      <w:r>
        <w:rPr>
          <w:rFonts w:hint="eastAsia" w:ascii="仿宋_GB2312" w:hAnsi="仿宋_GB2312" w:eastAsia="仿宋_GB2312" w:cs="仿宋_GB2312"/>
          <w:sz w:val="28"/>
          <w:szCs w:val="28"/>
          <w:lang w:eastAsia="zh-Hans"/>
        </w:rPr>
        <w:t>证书</w:t>
      </w:r>
      <w:r>
        <w:rPr>
          <w:rFonts w:ascii="仿宋_GB2312" w:hAnsi="仿宋_GB2312" w:eastAsia="仿宋_GB2312" w:cs="仿宋_GB2312"/>
          <w:sz w:val="28"/>
          <w:szCs w:val="28"/>
          <w:lang w:eastAsia="zh-Hans"/>
        </w:rPr>
        <w:t>，</w:t>
      </w:r>
      <w:r>
        <w:rPr>
          <w:rFonts w:hint="eastAsia" w:ascii="仿宋_GB2312" w:hAnsi="仿宋_GB2312" w:eastAsia="仿宋_GB2312" w:cs="仿宋_GB2312"/>
          <w:sz w:val="28"/>
          <w:szCs w:val="28"/>
        </w:rPr>
        <w:t>接轨世界技能大赛3D数字游戏艺术项目。</w:t>
      </w:r>
      <w:bookmarkStart w:id="1" w:name="_Toc131804147"/>
    </w:p>
    <w:p>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三、竞赛内容</w:t>
      </w:r>
      <w:bookmarkEnd w:id="1"/>
    </w:p>
    <w:p>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竞赛</w:t>
      </w:r>
      <w:r>
        <w:rPr>
          <w:rFonts w:hint="eastAsia" w:ascii="仿宋_GB2312" w:hAnsi="仿宋_GB2312" w:eastAsia="仿宋_GB2312" w:cs="仿宋_GB2312"/>
          <w:sz w:val="28"/>
          <w:szCs w:val="28"/>
          <w:lang w:eastAsia="zh-Hans"/>
        </w:rPr>
        <w:t>以新一代</w:t>
      </w:r>
      <w:r>
        <w:rPr>
          <w:rFonts w:hint="eastAsia" w:ascii="仿宋_GB2312" w:hAnsi="仿宋_GB2312" w:eastAsia="仿宋_GB2312" w:cs="仿宋_GB2312"/>
          <w:sz w:val="28"/>
          <w:szCs w:val="28"/>
        </w:rPr>
        <w:t>数字</w:t>
      </w:r>
      <w:r>
        <w:rPr>
          <w:rFonts w:hint="eastAsia" w:ascii="仿宋_GB2312" w:hAnsi="仿宋_GB2312" w:eastAsia="仿宋_GB2312" w:cs="仿宋_GB2312"/>
          <w:sz w:val="28"/>
          <w:szCs w:val="28"/>
          <w:lang w:eastAsia="zh-Hans"/>
        </w:rPr>
        <w:t>信息技术为背景</w:t>
      </w:r>
      <w:r>
        <w:rPr>
          <w:rFonts w:hint="eastAsia" w:ascii="仿宋_GB2312" w:hAnsi="仿宋_GB2312" w:eastAsia="仿宋_GB2312" w:cs="仿宋_GB2312"/>
          <w:sz w:val="28"/>
          <w:szCs w:val="28"/>
        </w:rPr>
        <w:t>，结合AIGC技术进行数字艺术创作。使用赛场提供的软硬件环境，按照赛题相关要求完成三个模块的设计制作内容：1.</w:t>
      </w:r>
      <w:r>
        <w:rPr>
          <w:rFonts w:hint="eastAsia" w:ascii="仿宋_GB2312" w:hAnsi="仿宋_GB2312" w:eastAsia="仿宋_GB2312" w:cs="仿宋_GB2312"/>
          <w:sz w:val="28"/>
          <w:szCs w:val="28"/>
          <w:lang w:val="en-US" w:eastAsia="zh-CN"/>
        </w:rPr>
        <w:t>道具</w:t>
      </w:r>
      <w:r>
        <w:rPr>
          <w:rFonts w:hint="eastAsia" w:ascii="仿宋_GB2312" w:hAnsi="仿宋_GB2312" w:eastAsia="仿宋_GB2312" w:cs="仿宋_GB2312"/>
          <w:sz w:val="28"/>
          <w:szCs w:val="28"/>
        </w:rPr>
        <w:t>、场景设计与模型制作;2.动画制作与剪辑；3.引擎效果渲染。三个模块在工作流程上保持整体统一、资源共享，因果关联，在具体操作上又相对独立，互不干扰。</w:t>
      </w:r>
    </w:p>
    <w:tbl>
      <w:tblPr>
        <w:tblStyle w:val="22"/>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685"/>
        <w:gridCol w:w="5232"/>
        <w:gridCol w:w="1113"/>
        <w:gridCol w:w="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410" w:type="dxa"/>
            <w:gridSpan w:val="2"/>
            <w:vAlign w:val="center"/>
          </w:tcPr>
          <w:p>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模块</w:t>
            </w:r>
          </w:p>
        </w:tc>
        <w:tc>
          <w:tcPr>
            <w:tcW w:w="5232" w:type="dxa"/>
            <w:vAlign w:val="center"/>
          </w:tcPr>
          <w:p>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主要内容</w:t>
            </w:r>
          </w:p>
        </w:tc>
        <w:tc>
          <w:tcPr>
            <w:tcW w:w="1113" w:type="dxa"/>
            <w:vAlign w:val="center"/>
          </w:tcPr>
          <w:p>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比赛时长</w:t>
            </w:r>
          </w:p>
        </w:tc>
        <w:tc>
          <w:tcPr>
            <w:tcW w:w="749" w:type="dxa"/>
            <w:vAlign w:val="center"/>
          </w:tcPr>
          <w:p>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trPr>
        <w:tc>
          <w:tcPr>
            <w:tcW w:w="1410" w:type="dxa"/>
            <w:gridSpan w:val="2"/>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职业素养</w:t>
            </w:r>
          </w:p>
        </w:tc>
        <w:tc>
          <w:tcPr>
            <w:tcW w:w="5232" w:type="dxa"/>
            <w:vAlign w:val="center"/>
          </w:tcPr>
          <w:p>
            <w:pPr>
              <w:adjustRightInd w:val="0"/>
              <w:snapToGrid w:val="0"/>
              <w:ind w:firstLine="480" w:firstLineChars="2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遵守赛场纪律，按裁判的要求进行竞赛，赛后工位环境干净整洁，使用物品归位。</w:t>
            </w:r>
          </w:p>
        </w:tc>
        <w:tc>
          <w:tcPr>
            <w:tcW w:w="1113"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4" w:hRule="atLeast"/>
        </w:trPr>
        <w:tc>
          <w:tcPr>
            <w:tcW w:w="725"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模块一</w:t>
            </w:r>
          </w:p>
        </w:tc>
        <w:tc>
          <w:tcPr>
            <w:tcW w:w="684"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、场景设计与模型制作</w:t>
            </w:r>
          </w:p>
        </w:tc>
        <w:tc>
          <w:tcPr>
            <w:tcW w:w="5232" w:type="dxa"/>
          </w:tcPr>
          <w:p>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根据提供的故事梗概，综合使用图像绘制软件或AI绘画工具进行设计，完成</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和场景三视图。再根据绘制的场景三视图，综合使用3D建模软件和材质贴图软件，按照</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和场景设计进行建模和贴图制作，完成该模块要求的场景模型表现形式和效果。此模块察选手审美、数字绘画、三维造型、团队协作、时间管理等能力；须保存完整的三维模型工程文件，提交原画设计稿（含场景和</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三视图各3张JPG图像，1920dpi*1080dpi,分辨率300dpi）、EV录屏视频</w:t>
            </w:r>
          </w:p>
        </w:tc>
        <w:tc>
          <w:tcPr>
            <w:tcW w:w="1113"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9" w:hRule="atLeast"/>
        </w:trPr>
        <w:tc>
          <w:tcPr>
            <w:tcW w:w="725"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模块二</w:t>
            </w:r>
          </w:p>
        </w:tc>
        <w:tc>
          <w:tcPr>
            <w:tcW w:w="684"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动画制作与剪辑</w:t>
            </w:r>
          </w:p>
        </w:tc>
        <w:tc>
          <w:tcPr>
            <w:tcW w:w="5232" w:type="dxa"/>
          </w:tcPr>
          <w:p>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根据提供的模型素材完成模型绑定、权重</w:t>
            </w:r>
            <w:r>
              <w:rPr>
                <w:rFonts w:hint="eastAsia" w:ascii="仿宋_GB2312" w:hAnsi="仿宋_GB2312" w:eastAsia="仿宋_GB2312" w:cs="仿宋_GB2312"/>
                <w:sz w:val="24"/>
                <w:szCs w:val="24"/>
                <w:lang w:eastAsia="zh-Hans"/>
              </w:rPr>
              <w:t>设置</w:t>
            </w:r>
            <w:r>
              <w:rPr>
                <w:rFonts w:hint="eastAsia" w:ascii="仿宋_GB2312" w:hAnsi="仿宋_GB2312" w:eastAsia="仿宋_GB2312" w:cs="仿宋_GB2312"/>
                <w:sz w:val="24"/>
                <w:szCs w:val="24"/>
              </w:rPr>
              <w:t>、动作设计等。按照提供的故事梗概，形成相对完整的故事</w:t>
            </w:r>
            <w:r>
              <w:rPr>
                <w:rFonts w:hint="eastAsia" w:ascii="仿宋_GB2312" w:hAnsi="仿宋_GB2312" w:eastAsia="仿宋_GB2312" w:cs="仿宋_GB2312"/>
                <w:sz w:val="24"/>
                <w:szCs w:val="24"/>
                <w:lang w:eastAsia="zh-Hans"/>
              </w:rPr>
              <w:t>情节</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Hans"/>
              </w:rPr>
              <w:t>使用</w:t>
            </w:r>
            <w:r>
              <w:rPr>
                <w:rFonts w:hint="eastAsia" w:ascii="仿宋_GB2312" w:hAnsi="仿宋_GB2312" w:eastAsia="仿宋_GB2312" w:cs="仿宋_GB2312"/>
                <w:sz w:val="24"/>
                <w:szCs w:val="24"/>
              </w:rPr>
              <w:t>模块一制作的场景，制作时长为25-30秒的3D动画，渲染输出序列帧</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color w:val="auto"/>
                <w:sz w:val="24"/>
                <w:szCs w:val="24"/>
                <w:lang w:val="en-US" w:eastAsia="zh-CN"/>
              </w:rPr>
              <w:t>可适当降低渲染质量避免渲染时长过久</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进行后期剪辑合成并添加音频音效输出成片（需为短片命名，并据此添加简短片头，片头中严禁出现姓名、学校或者其他体现个人信息的文字，片头不包含在动画总长时间内）。此模块，考察选手动画剧本创作、三维角色绑定、三维动画制作、后期剪辑合成、团队协作、时间管理等能力；须保存完整的工程文件、提交最终视频文件（视频格式H264,帧速率25帧/秒，1920dpi*1080dpi)</w:t>
            </w:r>
          </w:p>
        </w:tc>
        <w:tc>
          <w:tcPr>
            <w:tcW w:w="1113" w:type="dxa"/>
            <w:vAlign w:val="center"/>
          </w:tcPr>
          <w:p>
            <w:pPr>
              <w:tabs>
                <w:tab w:val="left" w:pos="420"/>
              </w:tabs>
              <w:adjustRightInd w:val="0"/>
              <w:snapToGrid w:val="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5" w:hRule="atLeast"/>
        </w:trPr>
        <w:tc>
          <w:tcPr>
            <w:tcW w:w="725"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模块三</w:t>
            </w:r>
          </w:p>
        </w:tc>
        <w:tc>
          <w:tcPr>
            <w:tcW w:w="684"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引擎效果渲染</w:t>
            </w:r>
          </w:p>
        </w:tc>
        <w:tc>
          <w:tcPr>
            <w:tcW w:w="5232" w:type="dxa"/>
          </w:tcPr>
          <w:p>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根据提供的故事梗概，使用模块一制作的场景模型，结合提供的素材资产在引擎中进行地形编辑、环境场景搭建、灯光设置、特效制作、镜头设置等，渲染</w:t>
            </w:r>
            <w:r>
              <w:rPr>
                <w:rFonts w:hint="eastAsia" w:ascii="仿宋_GB2312" w:hAnsi="仿宋_GB2312" w:eastAsia="仿宋_GB2312" w:cs="仿宋_GB2312"/>
                <w:sz w:val="24"/>
                <w:szCs w:val="24"/>
                <w:lang w:eastAsia="zh-Hans"/>
              </w:rPr>
              <w:t>输</w:t>
            </w:r>
            <w:r>
              <w:rPr>
                <w:rFonts w:hint="eastAsia" w:ascii="仿宋_GB2312" w:hAnsi="仿宋_GB2312" w:eastAsia="仿宋_GB2312" w:cs="仿宋_GB2312"/>
                <w:sz w:val="24"/>
                <w:szCs w:val="24"/>
              </w:rPr>
              <w:t>出20-30秒</w:t>
            </w:r>
            <w:r>
              <w:rPr>
                <w:rFonts w:hint="eastAsia" w:ascii="仿宋_GB2312" w:hAnsi="仿宋_GB2312" w:eastAsia="仿宋_GB2312" w:cs="仿宋_GB2312"/>
                <w:sz w:val="24"/>
                <w:szCs w:val="24"/>
                <w:lang w:eastAsia="zh-Hans"/>
              </w:rPr>
              <w:t>的</w:t>
            </w:r>
            <w:r>
              <w:rPr>
                <w:rFonts w:hint="eastAsia" w:ascii="仿宋_GB2312" w:hAnsi="仿宋_GB2312" w:eastAsia="仿宋_GB2312" w:cs="仿宋_GB2312"/>
                <w:sz w:val="24"/>
                <w:szCs w:val="24"/>
                <w:lang w:val="en-US" w:eastAsia="zh-CN"/>
              </w:rPr>
              <w:t>场景漫游</w:t>
            </w:r>
            <w:r>
              <w:rPr>
                <w:rFonts w:hint="eastAsia" w:ascii="仿宋_GB2312" w:hAnsi="仿宋_GB2312" w:eastAsia="仿宋_GB2312" w:cs="仿宋_GB2312"/>
                <w:sz w:val="24"/>
                <w:szCs w:val="24"/>
              </w:rPr>
              <w:t>视频</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进行后期剪辑合成并添加音频音效输出成片。。此模块，考察选手3D场景地编、后期剪辑合成、团队协作、时间管理等能力；须保存完整的工程文件、提交最终视频文件（视频格式H264,帧速率25帧/秒，1920dpi*1080dpi)</w:t>
            </w:r>
          </w:p>
        </w:tc>
        <w:tc>
          <w:tcPr>
            <w:tcW w:w="1113"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30</w:t>
            </w:r>
          </w:p>
        </w:tc>
      </w:tr>
    </w:tbl>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2" w:name="_Toc131804148"/>
      <w:r>
        <w:rPr>
          <w:rFonts w:hint="eastAsia" w:ascii="黑体" w:hAnsi="黑体" w:eastAsia="黑体" w:cs="黑体"/>
          <w:b w:val="0"/>
          <w:bCs w:val="0"/>
          <w:sz w:val="32"/>
          <w:szCs w:val="32"/>
        </w:rPr>
        <w:t>四、竞赛方式</w:t>
      </w:r>
      <w:bookmarkEnd w:id="2"/>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（一）竞赛形式为1天</w:t>
      </w:r>
      <w:r>
        <w:rPr>
          <w:rFonts w:hint="eastAsia" w:ascii="仿宋_GB2312" w:hAnsi="仿宋_GB2312" w:eastAsia="仿宋_GB2312" w:cs="仿宋_GB2312"/>
          <w:sz w:val="28"/>
          <w:szCs w:val="28"/>
          <w:lang w:val="en-US" w:eastAsia="zh-CN"/>
        </w:rPr>
        <w:t>(8个小时)</w:t>
      </w:r>
      <w:r>
        <w:rPr>
          <w:rFonts w:hint="eastAsia" w:ascii="仿宋_GB2312" w:hAnsi="仿宋_GB2312" w:eastAsia="仿宋_GB2312" w:cs="仿宋_GB2312"/>
          <w:sz w:val="28"/>
          <w:szCs w:val="28"/>
        </w:rPr>
        <w:t>线下团体赛。</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二</w:t>
      </w:r>
      <w:r>
        <w:rPr>
          <w:rFonts w:hint="eastAsia" w:ascii="仿宋_GB2312" w:hAnsi="仿宋_GB2312" w:eastAsia="仿宋_GB2312" w:cs="仿宋_GB2312"/>
          <w:sz w:val="28"/>
          <w:szCs w:val="28"/>
        </w:rPr>
        <w:t>）竞赛组队方式以团队方式进行，不计选手个人成绩，按照参赛队的总成绩进行排序。</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三</w:t>
      </w:r>
      <w:r>
        <w:rPr>
          <w:rFonts w:hint="eastAsia" w:ascii="仿宋_GB2312" w:hAnsi="仿宋_GB2312" w:eastAsia="仿宋_GB2312" w:cs="仿宋_GB2312"/>
          <w:sz w:val="28"/>
          <w:szCs w:val="28"/>
        </w:rPr>
        <w:t>）参赛选手组成：选手须为高等</w:t>
      </w:r>
      <w:r>
        <w:rPr>
          <w:rFonts w:hint="eastAsia" w:ascii="仿宋_GB2312" w:hAnsi="仿宋_GB2312" w:eastAsia="仿宋_GB2312" w:cs="仿宋_GB2312"/>
          <w:sz w:val="28"/>
          <w:szCs w:val="28"/>
          <w:lang w:eastAsia="zh-Hans"/>
        </w:rPr>
        <w:t>职业学校</w:t>
      </w:r>
      <w:r>
        <w:rPr>
          <w:rFonts w:hint="eastAsia" w:ascii="仿宋_GB2312" w:hAnsi="仿宋_GB2312" w:eastAsia="仿宋_GB2312" w:cs="仿宋_GB2312"/>
          <w:sz w:val="28"/>
          <w:szCs w:val="28"/>
        </w:rPr>
        <w:t>全日制在籍学生（含职业本科学生）。五年制高职四、五年级学生可报名参加比赛。</w:t>
      </w:r>
      <w:bookmarkStart w:id="3" w:name="五、竞赛流程"/>
      <w:bookmarkEnd w:id="3"/>
      <w:bookmarkStart w:id="4" w:name="（二）竞赛流程图"/>
      <w:bookmarkEnd w:id="4"/>
    </w:p>
    <w:p>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四</w:t>
      </w:r>
      <w:r>
        <w:rPr>
          <w:rFonts w:hint="eastAsia" w:ascii="仿宋_GB2312" w:hAnsi="仿宋_GB2312" w:eastAsia="仿宋_GB2312" w:cs="仿宋_GB2312"/>
          <w:sz w:val="28"/>
          <w:szCs w:val="28"/>
        </w:rPr>
        <w:t>）以校为单位组队，每</w:t>
      </w:r>
      <w:r>
        <w:rPr>
          <w:rFonts w:hint="eastAsia" w:ascii="仿宋_GB2312" w:hAnsi="仿宋_GB2312" w:eastAsia="仿宋_GB2312" w:cs="仿宋_GB2312"/>
          <w:sz w:val="28"/>
          <w:szCs w:val="28"/>
          <w:lang w:eastAsia="zh-CN"/>
        </w:rPr>
        <w:t>校可以组</w:t>
      </w:r>
      <w:r>
        <w:rPr>
          <w:rFonts w:hint="eastAsia" w:ascii="仿宋_GB2312" w:hAnsi="仿宋_GB2312" w:eastAsia="仿宋_GB2312" w:cs="仿宋_GB2312"/>
          <w:sz w:val="28"/>
          <w:szCs w:val="28"/>
          <w:lang w:val="en-US" w:eastAsia="zh-CN"/>
        </w:rPr>
        <w:t>3个队参加。</w:t>
      </w:r>
      <w:r>
        <w:rPr>
          <w:rFonts w:hint="eastAsia" w:ascii="仿宋_GB2312" w:hAnsi="仿宋_GB2312" w:eastAsia="仿宋_GB2312" w:cs="仿宋_GB2312"/>
          <w:sz w:val="28"/>
          <w:szCs w:val="28"/>
        </w:rPr>
        <w:t>参赛选手比赛当年年龄需在25周岁以下。每队</w:t>
      </w:r>
      <w:r>
        <w:rPr>
          <w:rFonts w:hint="eastAsia" w:ascii="仿宋_GB2312" w:hAnsi="仿宋_GB2312" w:eastAsia="仿宋_GB2312" w:cs="仿宋_GB2312"/>
          <w:sz w:val="28"/>
          <w:szCs w:val="28"/>
          <w:lang w:val="en-US" w:eastAsia="zh-CN"/>
        </w:rPr>
        <w:t>3名队员组成，</w:t>
      </w:r>
      <w:r>
        <w:rPr>
          <w:rFonts w:hint="eastAsia" w:ascii="仿宋_GB2312" w:hAnsi="仿宋_GB2312" w:eastAsia="仿宋_GB2312" w:cs="仿宋_GB2312"/>
          <w:sz w:val="28"/>
          <w:szCs w:val="28"/>
        </w:rPr>
        <w:t>每队指定队长一名，可配2名指导教师。</w:t>
      </w:r>
    </w:p>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5" w:name="_Toc131804149"/>
      <w:r>
        <w:rPr>
          <w:rFonts w:hint="eastAsia" w:ascii="黑体" w:hAnsi="黑体" w:eastAsia="黑体" w:cs="黑体"/>
          <w:b w:val="0"/>
          <w:bCs w:val="0"/>
          <w:sz w:val="32"/>
          <w:szCs w:val="32"/>
        </w:rPr>
        <w:t>五、竞赛流程</w:t>
      </w:r>
      <w:bookmarkEnd w:id="5"/>
    </w:p>
    <w:p>
      <w:pPr>
        <w:snapToGrid w:val="0"/>
        <w:spacing w:line="600" w:lineRule="exact"/>
        <w:ind w:firstLine="560" w:firstLineChars="200"/>
        <w:rPr>
          <w:rFonts w:hint="eastAsia" w:ascii="方正楷体_GBK" w:hAnsi="楷体" w:eastAsia="方正楷体_GBK" w:cs="楷体"/>
          <w:b/>
          <w:sz w:val="28"/>
          <w:szCs w:val="28"/>
        </w:rPr>
      </w:pPr>
      <w:r>
        <w:rPr>
          <w:rFonts w:hint="eastAsia" w:ascii="方正楷体_GBK" w:hAnsi="楷体" w:eastAsia="方正楷体_GBK" w:cs="楷体"/>
          <w:b/>
          <w:sz w:val="28"/>
          <w:szCs w:val="28"/>
        </w:rPr>
        <w:t>（一）竞赛时间安排</w:t>
      </w:r>
    </w:p>
    <w:p>
      <w:pPr>
        <w:snapToGrid w:val="0"/>
        <w:spacing w:line="600" w:lineRule="exact"/>
        <w:ind w:firstLine="560" w:firstLineChars="200"/>
        <w:rPr>
          <w:rFonts w:ascii="仿宋_GB2312" w:hAnsi="仿宋_GB2312" w:eastAsia="仿宋_GB2312" w:cs="仿宋_GB2312"/>
          <w:b/>
          <w:sz w:val="28"/>
          <w:szCs w:val="28"/>
        </w:rPr>
      </w:pPr>
      <w:r>
        <w:rPr>
          <w:rFonts w:hint="eastAsia" w:ascii="仿宋_GB2312" w:hAnsi="仿宋_GB2312" w:eastAsia="仿宋_GB2312" w:cs="仿宋_GB2312"/>
          <w:sz w:val="28"/>
          <w:szCs w:val="28"/>
        </w:rPr>
        <w:t>具体竞赛日期由</w:t>
      </w:r>
      <w:r>
        <w:rPr>
          <w:rFonts w:hint="eastAsia" w:ascii="仿宋_GB2312" w:hAnsi="仿宋_GB2312" w:eastAsia="仿宋_GB2312" w:cs="仿宋_GB2312"/>
          <w:sz w:val="28"/>
          <w:szCs w:val="28"/>
          <w:lang w:eastAsia="zh-CN"/>
        </w:rPr>
        <w:t>海南省</w:t>
      </w:r>
      <w:r>
        <w:rPr>
          <w:rFonts w:hint="eastAsia" w:ascii="仿宋_GB2312" w:hAnsi="仿宋_GB2312" w:eastAsia="仿宋_GB2312" w:cs="仿宋_GB2312"/>
          <w:sz w:val="28"/>
          <w:szCs w:val="28"/>
        </w:rPr>
        <w:t>职业院校技能</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及</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统一规定，以下所列为竞赛期间的日程安排，根据实际情况调整。</w:t>
      </w:r>
    </w:p>
    <w:p>
      <w:pPr>
        <w:ind w:firstLine="2160" w:firstLineChars="900"/>
        <w:rPr>
          <w:color w:val="000000" w:themeColor="text1"/>
          <w:spacing w:val="-8"/>
          <w14:textFill>
            <w14:solidFill>
              <w14:schemeClr w14:val="tx1"/>
            </w14:solidFill>
          </w14:textFill>
        </w:rPr>
      </w:pPr>
      <w:r>
        <w:rPr>
          <w:rFonts w:hint="eastAsia" w:ascii="宋体" w:hAnsi="宋体" w:eastAsia="宋体" w:cs="宋体"/>
          <w:caps w:val="0"/>
          <w:color w:val="333333"/>
          <w:spacing w:val="0"/>
          <w:kern w:val="0"/>
          <w:sz w:val="24"/>
          <w:szCs w:val="24"/>
          <w:lang w:val="en-US" w:eastAsia="zh-CN" w:bidi="ar"/>
        </w:rPr>
        <w:t>“数字艺术设计”</w:t>
      </w:r>
      <w:r>
        <w:rPr>
          <w:rFonts w:ascii="仿宋_GB2312" w:hAnsi="仿宋" w:eastAsia="仿宋_GB2312"/>
          <w:color w:val="000000" w:themeColor="text1"/>
          <w:sz w:val="28"/>
          <w:szCs w:val="28"/>
          <w14:textFill>
            <w14:solidFill>
              <w14:schemeClr w14:val="tx1"/>
            </w14:solidFill>
          </w14:textFill>
        </w:rPr>
        <w:t>竞赛日程安排表</w:t>
      </w:r>
    </w:p>
    <w:tbl>
      <w:tblPr>
        <w:tblStyle w:val="37"/>
        <w:tblW w:w="47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85"/>
        <w:gridCol w:w="1783"/>
        <w:gridCol w:w="44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Align w:val="center"/>
          </w:tcPr>
          <w:p>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日期</w:t>
            </w:r>
          </w:p>
        </w:tc>
        <w:tc>
          <w:tcPr>
            <w:tcW w:w="1136" w:type="pct"/>
            <w:vAlign w:val="center"/>
          </w:tcPr>
          <w:p>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时间</w:t>
            </w:r>
          </w:p>
        </w:tc>
        <w:tc>
          <w:tcPr>
            <w:tcW w:w="2852" w:type="pct"/>
            <w:vAlign w:val="center"/>
          </w:tcPr>
          <w:p>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restart"/>
            <w:tcBorders>
              <w:top w:val="nil"/>
            </w:tcBorders>
          </w:tcPr>
          <w:p>
            <w:pPr>
              <w:autoSpaceDE w:val="0"/>
              <w:autoSpaceDN w:val="0"/>
              <w:spacing w:line="240" w:lineRule="auto"/>
              <w:ind w:firstLine="0" w:firstLineChars="0"/>
              <w:rPr>
                <w:rFonts w:hint="default" w:eastAsia="仿宋_GB2312"/>
                <w:color w:val="000000" w:themeColor="text1"/>
                <w:sz w:val="2"/>
                <w:szCs w:val="2"/>
                <w:lang w:val="en-US" w:eastAsia="zh-CN"/>
                <w14:textFill>
                  <w14:solidFill>
                    <w14:schemeClr w14:val="tx1"/>
                  </w14:solidFill>
                </w14:textFill>
              </w:rPr>
            </w:pPr>
            <w:r>
              <w:rPr>
                <w:rFonts w:hint="eastAsia" w:ascii="仿宋_GB2312" w:hAnsi="仿宋_GB2312" w:eastAsia="仿宋_GB2312" w:cs="仿宋_GB2312"/>
                <w:sz w:val="24"/>
                <w:szCs w:val="24"/>
              </w:rPr>
              <w:t>赛前一天</w:t>
            </w:r>
          </w:p>
        </w:tc>
        <w:tc>
          <w:tcPr>
            <w:tcW w:w="1136"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15:30-16:00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各参赛队报到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16:00-16:30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参赛队熟悉比赛场地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17:00-18:00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现场裁判赛前检查，封闭赛场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restart"/>
            <w:vAlign w:val="center"/>
          </w:tcPr>
          <w:p>
            <w:pPr>
              <w:pStyle w:val="51"/>
              <w:autoSpaceDE w:val="0"/>
              <w:autoSpaceDN w:val="0"/>
              <w:spacing w:line="240" w:lineRule="auto"/>
              <w:ind w:firstLine="0" w:firstLineChars="0"/>
              <w:jc w:val="center"/>
              <w:rPr>
                <w:rFonts w:hint="default" w:eastAsia="仿宋_GB2312"/>
                <w:color w:val="000000" w:themeColor="text1"/>
                <w:sz w:val="24"/>
                <w:lang w:val="en-US" w:eastAsia="zh-CN"/>
                <w14:textFill>
                  <w14:solidFill>
                    <w14:schemeClr w14:val="tx1"/>
                  </w14:solidFill>
                </w14:textFill>
              </w:rPr>
            </w:pPr>
            <w:r>
              <w:rPr>
                <w:rFonts w:hint="eastAsia" w:ascii="仿宋_GB2312" w:hAnsi="仿宋_GB2312" w:eastAsia="仿宋_GB2312" w:cs="仿宋_GB2312"/>
                <w:sz w:val="24"/>
                <w:szCs w:val="24"/>
              </w:rPr>
              <w:t>比赛当天</w:t>
            </w:r>
          </w:p>
        </w:tc>
        <w:tc>
          <w:tcPr>
            <w:tcW w:w="1136"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06:00-07:00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参赛队早餐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07:00-07:30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参赛队集合前往比赛现场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07:30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启封赛场:在裁判的监督下工作人员启封赛场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jc w:val="both"/>
              <w:rPr>
                <w:rFonts w:hint="default" w:eastAsia="仿宋_GB2312"/>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07:</w:t>
            </w:r>
            <w:r>
              <w:rPr>
                <w:rFonts w:hint="eastAsia"/>
                <w:color w:val="000000" w:themeColor="text1"/>
                <w:sz w:val="24"/>
                <w:lang w:val="en-US" w:eastAsia="zh-CN"/>
                <w14:textFill>
                  <w14:solidFill>
                    <w14:schemeClr w14:val="tx1"/>
                  </w14:solidFill>
                </w14:textFill>
              </w:rPr>
              <w:t>30</w:t>
            </w: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00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加密:参赛选手持参赛证、身份证和学生证接受工作人员检录并进行抽签加密确定参赛</w:t>
            </w:r>
            <w:r>
              <w:rPr>
                <w:rFonts w:hint="eastAsia"/>
                <w:color w:val="000000" w:themeColor="text1"/>
                <w:sz w:val="24"/>
                <w:lang w:eastAsia="zh-CN"/>
                <w14:textFill>
                  <w14:solidFill>
                    <w14:schemeClr w14:val="tx1"/>
                  </w14:solidFill>
                </w14:textFill>
              </w:rPr>
              <w:t>队</w:t>
            </w:r>
            <w:r>
              <w:rPr>
                <w:color w:val="000000" w:themeColor="text1"/>
                <w:sz w:val="24"/>
                <w14:textFill>
                  <w14:solidFill>
                    <w14:schemeClr w14:val="tx1"/>
                  </w14:solidFill>
                </w14:textFill>
              </w:rPr>
              <w:t>号</w:t>
            </w:r>
            <w:r>
              <w:rPr>
                <w:rFonts w:hint="eastAsia"/>
                <w:color w:val="000000" w:themeColor="text1"/>
                <w:sz w:val="24"/>
                <w:lang w:eastAsia="zh-CN"/>
                <w14:textFill>
                  <w14:solidFill>
                    <w14:schemeClr w14:val="tx1"/>
                  </w14:solidFill>
                </w14:textFill>
              </w:rPr>
              <w:t>及</w:t>
            </w:r>
            <w:r>
              <w:rPr>
                <w:color w:val="000000" w:themeColor="text1"/>
                <w:sz w:val="24"/>
                <w14:textFill>
                  <w14:solidFill>
                    <w14:schemeClr w14:val="tx1"/>
                  </w14:solidFill>
                </w14:textFill>
              </w:rPr>
              <w:t>竞赛工位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16</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29</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参赛选手由工作人员引导进入竞赛工位、裁判宣读竞赛规则及赛场规则，发布竞赛任务并作必要说明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rPr>
                <w:rFonts w:hint="eastAsia"/>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-12:30</w:t>
            </w:r>
          </w:p>
        </w:tc>
        <w:tc>
          <w:tcPr>
            <w:tcW w:w="2852" w:type="pct"/>
            <w:vAlign w:val="center"/>
          </w:tcPr>
          <w:p>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上午竞赛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rPr>
                <w:rFonts w:hint="default"/>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12:</w:t>
            </w:r>
            <w:r>
              <w:rPr>
                <w:color w:val="000000" w:themeColor="text1"/>
                <w:sz w:val="24"/>
                <w14:textFill>
                  <w14:solidFill>
                    <w14:schemeClr w14:val="tx1"/>
                  </w14:solidFill>
                </w14:textFill>
              </w:rPr>
              <w:t>30</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p>
        </w:tc>
        <w:tc>
          <w:tcPr>
            <w:tcW w:w="2852" w:type="pct"/>
            <w:vAlign w:val="center"/>
          </w:tcPr>
          <w:p>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lang w:eastAsia="zh-Hans"/>
                <w14:textFill>
                  <w14:solidFill>
                    <w14:schemeClr w14:val="tx1"/>
                  </w14:solidFill>
                </w14:textFill>
              </w:rPr>
              <w:t>午餐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r>
              <w:rPr>
                <w:color w:val="000000" w:themeColor="text1"/>
                <w:sz w:val="24"/>
                <w14:textFill>
                  <w14:solidFill>
                    <w14:schemeClr w14:val="tx1"/>
                  </w14:solidFill>
                </w14:textFill>
              </w:rPr>
              <w:t>-17</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p>
        </w:tc>
        <w:tc>
          <w:tcPr>
            <w:tcW w:w="2852" w:type="pct"/>
            <w:vAlign w:val="center"/>
          </w:tcPr>
          <w:p>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下午竞赛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jc w:val="both"/>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30-20:30</w:t>
            </w:r>
          </w:p>
        </w:tc>
        <w:tc>
          <w:tcPr>
            <w:tcW w:w="2852" w:type="pct"/>
            <w:vAlign w:val="top"/>
          </w:tcPr>
          <w:p>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评分：裁判组对竞赛的各参赛队进行成绩评定与复核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Pr>
          <w:p>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pPr>
              <w:pStyle w:val="51"/>
              <w:autoSpaceDE w:val="0"/>
              <w:autoSpaceDN w:val="0"/>
              <w:spacing w:line="240" w:lineRule="auto"/>
              <w:ind w:firstLine="0" w:firstLineChars="0"/>
              <w:jc w:val="both"/>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20</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22</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p>
        </w:tc>
        <w:tc>
          <w:tcPr>
            <w:tcW w:w="2852" w:type="pct"/>
          </w:tcPr>
          <w:p>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申诉期</w:t>
            </w:r>
          </w:p>
        </w:tc>
      </w:tr>
    </w:tbl>
    <w:p>
      <w:pPr>
        <w:pStyle w:val="4"/>
        <w:spacing w:before="0" w:beforeAutospacing="0" w:after="0" w:afterAutospacing="0" w:line="600" w:lineRule="exact"/>
        <w:rPr>
          <w:rFonts w:ascii="黑体" w:hAnsi="黑体" w:eastAsia="黑体" w:cs="黑体"/>
          <w:b w:val="0"/>
          <w:bCs w:val="0"/>
          <w:sz w:val="32"/>
          <w:szCs w:val="32"/>
        </w:rPr>
      </w:pPr>
      <w:bookmarkStart w:id="6" w:name="_Toc131804150"/>
      <w:r>
        <w:rPr>
          <w:rFonts w:hint="eastAsia" w:ascii="黑体" w:hAnsi="黑体" w:eastAsia="黑体" w:cs="黑体"/>
          <w:b w:val="0"/>
          <w:bCs w:val="0"/>
          <w:sz w:val="32"/>
          <w:szCs w:val="32"/>
        </w:rPr>
        <w:t>六、竞赛规则</w:t>
      </w:r>
      <w:bookmarkEnd w:id="6"/>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（一）选手报名</w:t>
      </w:r>
    </w:p>
    <w:p>
      <w:pPr>
        <w:spacing w:line="600" w:lineRule="exact"/>
        <w:ind w:firstLine="560" w:firstLineChars="200"/>
        <w:rPr>
          <w:rFonts w:ascii="仿宋" w:hAnsi="仿宋" w:eastAsia="仿宋" w:cs="仿宋"/>
          <w:sz w:val="28"/>
          <w:szCs w:val="28"/>
        </w:rPr>
      </w:pPr>
      <w:r>
        <w:rPr>
          <w:rFonts w:hint="eastAsia" w:ascii="仿宋" w:hAnsi="仿宋" w:eastAsia="仿宋"/>
          <w:sz w:val="28"/>
          <w:szCs w:val="28"/>
        </w:rPr>
        <w:t>本赛项采用团队赛形式，</w:t>
      </w:r>
      <w:r>
        <w:rPr>
          <w:rFonts w:hint="eastAsia" w:ascii="仿宋_GB2312" w:hAnsi="仿宋_GB2312" w:eastAsia="仿宋_GB2312" w:cs="仿宋_GB2312"/>
          <w:sz w:val="28"/>
          <w:szCs w:val="28"/>
        </w:rPr>
        <w:t>每</w:t>
      </w:r>
      <w:r>
        <w:rPr>
          <w:rFonts w:hint="eastAsia" w:ascii="仿宋_GB2312" w:hAnsi="仿宋_GB2312" w:eastAsia="仿宋_GB2312" w:cs="仿宋_GB2312"/>
          <w:sz w:val="28"/>
          <w:szCs w:val="28"/>
          <w:lang w:eastAsia="zh-CN"/>
        </w:rPr>
        <w:t>校可以组</w:t>
      </w:r>
      <w:r>
        <w:rPr>
          <w:rFonts w:hint="eastAsia" w:ascii="仿宋_GB2312" w:hAnsi="仿宋_GB2312" w:eastAsia="仿宋_GB2312" w:cs="仿宋_GB2312"/>
          <w:sz w:val="28"/>
          <w:szCs w:val="28"/>
          <w:lang w:val="en-US" w:eastAsia="zh-CN"/>
        </w:rPr>
        <w:t>3个队参加，</w:t>
      </w:r>
      <w:r>
        <w:rPr>
          <w:rFonts w:hint="eastAsia" w:ascii="仿宋" w:hAnsi="仿宋" w:eastAsia="仿宋"/>
          <w:sz w:val="28"/>
          <w:szCs w:val="28"/>
        </w:rPr>
        <w:t>每支参赛队由</w:t>
      </w:r>
      <w:r>
        <w:rPr>
          <w:rFonts w:ascii="仿宋" w:hAnsi="仿宋" w:eastAsia="仿宋"/>
          <w:sz w:val="28"/>
          <w:szCs w:val="28"/>
        </w:rPr>
        <w:t>3名</w:t>
      </w:r>
      <w:r>
        <w:rPr>
          <w:rFonts w:hint="eastAsia" w:ascii="仿宋" w:hAnsi="仿宋" w:eastAsia="仿宋"/>
          <w:sz w:val="28"/>
          <w:szCs w:val="28"/>
          <w:lang w:eastAsia="zh-Hans"/>
        </w:rPr>
        <w:t>在籍学生</w:t>
      </w:r>
      <w:r>
        <w:rPr>
          <w:rFonts w:hint="eastAsia" w:ascii="仿宋" w:hAnsi="仿宋" w:eastAsia="仿宋"/>
          <w:sz w:val="28"/>
          <w:szCs w:val="28"/>
        </w:rPr>
        <w:t>组成(性别不限)</w:t>
      </w:r>
      <w:r>
        <w:rPr>
          <w:rFonts w:ascii="仿宋" w:hAnsi="仿宋" w:eastAsia="仿宋"/>
          <w:sz w:val="28"/>
          <w:szCs w:val="28"/>
        </w:rPr>
        <w:t>，</w:t>
      </w:r>
      <w:r>
        <w:rPr>
          <w:rFonts w:hint="eastAsia" w:ascii="仿宋" w:hAnsi="仿宋" w:eastAsia="仿宋"/>
          <w:sz w:val="28"/>
          <w:szCs w:val="28"/>
        </w:rPr>
        <w:t>其中队长1名。每支参赛队可配2名指导教师，指导教师须为本校专、兼职教师，参赛选手和指导教师报名获得确认后</w:t>
      </w:r>
      <w:r>
        <w:rPr>
          <w:rFonts w:hint="eastAsia" w:ascii="仿宋" w:hAnsi="仿宋" w:eastAsia="仿宋"/>
          <w:sz w:val="28"/>
          <w:szCs w:val="28"/>
          <w:lang w:eastAsia="zh-Hans"/>
        </w:rPr>
        <w:t>原则上</w:t>
      </w:r>
      <w:r>
        <w:rPr>
          <w:rFonts w:hint="eastAsia" w:ascii="仿宋" w:hAnsi="仿宋" w:eastAsia="仿宋"/>
          <w:sz w:val="28"/>
          <w:szCs w:val="28"/>
        </w:rPr>
        <w:t>不得更换。报名团队以院校为单位组队参赛，不得跨校组队。</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（二）熟悉场地</w:t>
      </w:r>
    </w:p>
    <w:p>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参赛队报到当天，熟悉竞赛场地，参加赛前说明会；裁判长宣布竞赛纪律和有关规定程序。</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（三）入场规则</w:t>
      </w:r>
    </w:p>
    <w:p>
      <w:pPr>
        <w:spacing w:line="600" w:lineRule="exact"/>
        <w:ind w:firstLine="560" w:firstLineChars="200"/>
        <w:rPr>
          <w:rFonts w:ascii="仿宋" w:hAnsi="仿宋" w:eastAsia="仿宋"/>
          <w:sz w:val="28"/>
          <w:szCs w:val="28"/>
        </w:rPr>
      </w:pPr>
      <w:r>
        <w:rPr>
          <w:rFonts w:hint="eastAsia" w:ascii="仿宋" w:hAnsi="仿宋" w:eastAsia="仿宋"/>
          <w:sz w:val="28"/>
          <w:szCs w:val="28"/>
        </w:rPr>
        <w:t>参赛选手完成检录，进行加密工位号的抽取，入场时通过抽取工位号进行赛场位置的查询并就位。选手在正式比赛开始15分钟后不得入场，比赛结束前不得提前离场；</w:t>
      </w:r>
    </w:p>
    <w:p>
      <w:pPr>
        <w:spacing w:line="600" w:lineRule="exact"/>
        <w:ind w:firstLine="560" w:firstLineChars="200"/>
        <w:rPr>
          <w:rFonts w:ascii="仿宋" w:hAnsi="仿宋" w:eastAsia="仿宋"/>
          <w:sz w:val="28"/>
          <w:szCs w:val="28"/>
        </w:rPr>
      </w:pPr>
      <w:r>
        <w:rPr>
          <w:rFonts w:hint="eastAsia" w:ascii="仿宋" w:hAnsi="仿宋" w:eastAsia="仿宋"/>
          <w:sz w:val="28"/>
          <w:szCs w:val="28"/>
        </w:rPr>
        <w:t>赛场内提供比赛必备用品。参赛选手不允许携带任何通讯及存储设备、纸质材料等物品进入赛场；</w:t>
      </w:r>
    </w:p>
    <w:p>
      <w:pPr>
        <w:spacing w:line="600" w:lineRule="exact"/>
        <w:ind w:firstLine="560" w:firstLineChars="200"/>
        <w:rPr>
          <w:sz w:val="28"/>
          <w:szCs w:val="28"/>
        </w:rPr>
      </w:pPr>
      <w:r>
        <w:rPr>
          <w:rFonts w:hint="eastAsia" w:ascii="仿宋" w:hAnsi="仿宋" w:eastAsia="仿宋"/>
          <w:sz w:val="28"/>
          <w:szCs w:val="28"/>
        </w:rPr>
        <w:t>参赛选手进入赛场后必须听从裁判长和现场裁判的统一布置和指挥,对比赛设备、运行环境等进行检查和测试。环境确认无误后，参赛选手在赛场记录单上填写竞赛工位号并签字确认。如有问题须及时向裁判报告。</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（四）赛场规则</w:t>
      </w:r>
    </w:p>
    <w:p>
      <w:pPr>
        <w:spacing w:line="600" w:lineRule="exact"/>
        <w:ind w:firstLine="560" w:firstLineChars="200"/>
        <w:rPr>
          <w:rFonts w:ascii="仿宋" w:hAnsi="仿宋" w:eastAsia="仿宋"/>
          <w:sz w:val="28"/>
          <w:szCs w:val="28"/>
        </w:rPr>
      </w:pPr>
      <w:r>
        <w:rPr>
          <w:rFonts w:hint="eastAsia" w:ascii="仿宋" w:hAnsi="仿宋" w:eastAsia="仿宋"/>
          <w:sz w:val="28"/>
          <w:szCs w:val="28"/>
        </w:rPr>
        <w:t>参赛选手必须在裁判长宣布比赛开始后方可开始比赛操作；</w:t>
      </w:r>
    </w:p>
    <w:p>
      <w:pPr>
        <w:spacing w:line="600" w:lineRule="exact"/>
        <w:ind w:firstLine="560" w:firstLineChars="200"/>
        <w:rPr>
          <w:rFonts w:ascii="仿宋" w:hAnsi="仿宋" w:eastAsia="仿宋"/>
          <w:sz w:val="28"/>
          <w:szCs w:val="28"/>
        </w:rPr>
      </w:pPr>
      <w:r>
        <w:rPr>
          <w:rFonts w:hint="eastAsia" w:ascii="仿宋" w:hAnsi="仿宋" w:eastAsia="仿宋"/>
          <w:sz w:val="28"/>
          <w:szCs w:val="28"/>
        </w:rPr>
        <w:t>模块一工位提供开赛后第一小时的网络，仅限用于AI图形图像处理，不得用于其他任何操作，一小时后断开网络。使用网络期间必须全程录屏，比赛结束后同时提交录屏视频文件；</w:t>
      </w:r>
    </w:p>
    <w:p>
      <w:pPr>
        <w:spacing w:line="600" w:lineRule="exact"/>
        <w:ind w:firstLine="560" w:firstLineChars="200"/>
        <w:rPr>
          <w:rFonts w:ascii="仿宋" w:hAnsi="仿宋" w:eastAsia="仿宋"/>
          <w:sz w:val="28"/>
          <w:szCs w:val="28"/>
        </w:rPr>
      </w:pPr>
      <w:r>
        <w:rPr>
          <w:rFonts w:hint="eastAsia" w:ascii="仿宋" w:hAnsi="仿宋" w:eastAsia="仿宋"/>
          <w:sz w:val="28"/>
          <w:szCs w:val="28"/>
        </w:rPr>
        <w:t>参赛团队应按照任务书的要求，完成</w:t>
      </w:r>
      <w:r>
        <w:rPr>
          <w:rFonts w:hint="eastAsia" w:ascii="仿宋" w:hAnsi="仿宋" w:eastAsia="仿宋"/>
          <w:sz w:val="28"/>
          <w:szCs w:val="28"/>
          <w:lang w:eastAsia="zh-Hans"/>
        </w:rPr>
        <w:t>三</w:t>
      </w:r>
      <w:r>
        <w:rPr>
          <w:rFonts w:hint="eastAsia" w:ascii="仿宋" w:hAnsi="仿宋" w:eastAsia="仿宋"/>
          <w:sz w:val="28"/>
          <w:szCs w:val="28"/>
        </w:rPr>
        <w:t>个模块的竞赛内容，提交竞赛结果，总时长为</w:t>
      </w:r>
      <w:r>
        <w:rPr>
          <w:rFonts w:ascii="仿宋" w:hAnsi="仿宋" w:eastAsia="仿宋"/>
          <w:sz w:val="28"/>
          <w:szCs w:val="28"/>
        </w:rPr>
        <w:t>8</w:t>
      </w:r>
      <w:r>
        <w:rPr>
          <w:rFonts w:hint="eastAsia" w:ascii="仿宋" w:hAnsi="仿宋" w:eastAsia="仿宋"/>
          <w:sz w:val="28"/>
          <w:szCs w:val="28"/>
        </w:rPr>
        <w:t>小时；</w:t>
      </w:r>
      <w:r>
        <w:rPr>
          <w:rFonts w:ascii="仿宋" w:hAnsi="仿宋" w:eastAsia="仿宋"/>
          <w:sz w:val="28"/>
          <w:szCs w:val="28"/>
        </w:rPr>
        <w:t xml:space="preserve"> </w:t>
      </w:r>
    </w:p>
    <w:p>
      <w:pPr>
        <w:spacing w:line="600" w:lineRule="exact"/>
        <w:ind w:firstLine="560" w:firstLineChars="200"/>
        <w:rPr>
          <w:rFonts w:ascii="仿宋" w:hAnsi="仿宋" w:eastAsia="仿宋"/>
          <w:sz w:val="28"/>
          <w:szCs w:val="28"/>
        </w:rPr>
      </w:pPr>
      <w:r>
        <w:rPr>
          <w:rFonts w:hint="eastAsia" w:ascii="仿宋" w:hAnsi="仿宋" w:eastAsia="仿宋"/>
          <w:sz w:val="28"/>
          <w:szCs w:val="28"/>
        </w:rPr>
        <w:t>比赛时长为</w:t>
      </w:r>
      <w:r>
        <w:rPr>
          <w:rFonts w:ascii="仿宋" w:hAnsi="仿宋" w:eastAsia="仿宋"/>
          <w:sz w:val="28"/>
          <w:szCs w:val="28"/>
        </w:rPr>
        <w:t>8</w:t>
      </w:r>
      <w:r>
        <w:rPr>
          <w:rFonts w:hint="eastAsia" w:ascii="仿宋" w:hAnsi="仿宋" w:eastAsia="仿宋"/>
          <w:sz w:val="28"/>
          <w:szCs w:val="28"/>
        </w:rPr>
        <w:t>小时，参赛选手在完成比赛任务后，须确认工作人员把作品拷贝到指定位置，签名后方可立场。</w:t>
      </w:r>
    </w:p>
    <w:p>
      <w:pPr>
        <w:spacing w:line="600" w:lineRule="exact"/>
        <w:ind w:firstLine="560" w:firstLineChars="200"/>
        <w:rPr>
          <w:rFonts w:ascii="仿宋" w:hAnsi="仿宋" w:eastAsia="仿宋"/>
          <w:sz w:val="28"/>
          <w:szCs w:val="28"/>
        </w:rPr>
      </w:pPr>
      <w:r>
        <w:rPr>
          <w:rFonts w:hint="eastAsia" w:ascii="仿宋" w:hAnsi="仿宋" w:eastAsia="仿宋"/>
          <w:sz w:val="28"/>
          <w:szCs w:val="28"/>
        </w:rPr>
        <w:t>比赛过程中选手不得随意离开工位范围，不得与其它参赛队的选手交流或擅自离开赛场。如遇问题须举手向裁判员示意询问后处理，否则按作弊行为处理；</w:t>
      </w:r>
    </w:p>
    <w:p>
      <w:pPr>
        <w:spacing w:line="600" w:lineRule="exact"/>
        <w:ind w:firstLine="560" w:firstLineChars="200"/>
        <w:rPr>
          <w:sz w:val="28"/>
          <w:szCs w:val="28"/>
        </w:rPr>
      </w:pPr>
      <w:r>
        <w:rPr>
          <w:rFonts w:hint="eastAsia" w:ascii="仿宋" w:hAnsi="仿宋" w:eastAsia="仿宋"/>
          <w:sz w:val="28"/>
          <w:szCs w:val="28"/>
        </w:rPr>
        <w:t>比赛过程中，除选手外，只允许</w:t>
      </w:r>
      <w:r>
        <w:rPr>
          <w:rFonts w:hint="eastAsia" w:ascii="仿宋" w:hAnsi="仿宋" w:eastAsia="仿宋"/>
          <w:sz w:val="28"/>
          <w:szCs w:val="28"/>
          <w:lang w:eastAsia="zh-Hans"/>
        </w:rPr>
        <w:t>现场</w:t>
      </w:r>
      <w:r>
        <w:rPr>
          <w:rFonts w:hint="eastAsia" w:ascii="仿宋" w:hAnsi="仿宋" w:eastAsia="仿宋"/>
          <w:sz w:val="28"/>
          <w:szCs w:val="28"/>
        </w:rPr>
        <w:t>裁判</w:t>
      </w:r>
      <w:r>
        <w:rPr>
          <w:rFonts w:hint="eastAsia" w:ascii="仿宋" w:hAnsi="仿宋" w:eastAsia="仿宋"/>
          <w:sz w:val="28"/>
          <w:szCs w:val="28"/>
          <w:lang w:eastAsia="zh-Hans"/>
        </w:rPr>
        <w:t>员和</w:t>
      </w:r>
      <w:r>
        <w:rPr>
          <w:rFonts w:hint="eastAsia" w:ascii="仿宋" w:hAnsi="仿宋" w:eastAsia="仿宋"/>
          <w:sz w:val="28"/>
          <w:szCs w:val="28"/>
        </w:rPr>
        <w:t>工作人员进入比赛现场。</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（五）离场规则</w:t>
      </w:r>
    </w:p>
    <w:p>
      <w:pPr>
        <w:pStyle w:val="34"/>
        <w:tabs>
          <w:tab w:val="left" w:pos="1418"/>
        </w:tabs>
        <w:spacing w:line="600" w:lineRule="exact"/>
        <w:ind w:firstLine="529" w:firstLineChars="189"/>
        <w:rPr>
          <w:sz w:val="28"/>
          <w:szCs w:val="28"/>
        </w:rPr>
      </w:pPr>
      <w:r>
        <w:rPr>
          <w:rFonts w:hint="eastAsia" w:ascii="仿宋" w:hAnsi="仿宋" w:eastAsia="仿宋" w:cs="仿宋"/>
          <w:sz w:val="28"/>
          <w:szCs w:val="28"/>
        </w:rPr>
        <w:t>竞赛规定时间到达后，裁判长宣布竞赛结束，参赛选手需立即停止所有操作，并起立等候裁判组命令，有序离开竞赛场地。</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（六）成绩评定与结果公布</w:t>
      </w:r>
    </w:p>
    <w:p>
      <w:pPr>
        <w:spacing w:line="600" w:lineRule="exact"/>
        <w:ind w:firstLine="560" w:firstLineChars="200"/>
        <w:rPr>
          <w:rFonts w:ascii="仿宋" w:hAnsi="仿宋" w:eastAsia="仿宋" w:cs="仿宋"/>
          <w:sz w:val="28"/>
          <w:szCs w:val="28"/>
        </w:rPr>
      </w:pPr>
      <w:r>
        <w:rPr>
          <w:rFonts w:hint="eastAsia" w:ascii="仿宋" w:hAnsi="仿宋" w:eastAsia="仿宋" w:cs="仿宋"/>
          <w:sz w:val="28"/>
          <w:szCs w:val="28"/>
        </w:rPr>
        <w:t>裁判根据相关流程进行成绩评定并在规定时间公布竞赛成绩，确保比赛公平公正。</w:t>
      </w:r>
    </w:p>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7" w:name="_Toc131804151"/>
      <w:r>
        <w:rPr>
          <w:rFonts w:hint="eastAsia" w:ascii="黑体" w:hAnsi="黑体" w:eastAsia="黑体" w:cs="黑体"/>
          <w:b w:val="0"/>
          <w:bCs w:val="0"/>
          <w:sz w:val="32"/>
          <w:szCs w:val="32"/>
        </w:rPr>
        <w:t>七、技术规范</w:t>
      </w:r>
      <w:bookmarkEnd w:id="7"/>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（一）行业标准</w:t>
      </w:r>
    </w:p>
    <w:p>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 xml:space="preserve">WorldSkills Occupational Standard: WSC2022 WSOS50 3D Digital Game_Art </w:t>
      </w:r>
    </w:p>
    <w:p>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O*NET OnLine</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 xml:space="preserve"> Special Effects Artists and Animators 27-1014.00</w:t>
      </w:r>
    </w:p>
    <w:p>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 xml:space="preserve">ESCO: </w:t>
      </w:r>
      <w:r>
        <w:rPr>
          <w:rFonts w:hint="eastAsia" w:ascii="仿宋_GB2312" w:hAnsi="仿宋_GB2312" w:eastAsia="仿宋_GB2312" w:cs="仿宋_GB2312"/>
          <w:sz w:val="28"/>
          <w:szCs w:val="28"/>
        </w:rPr>
        <w:t>D</w:t>
      </w:r>
      <w:r>
        <w:rPr>
          <w:rFonts w:ascii="仿宋_GB2312" w:hAnsi="仿宋_GB2312" w:eastAsia="仿宋_GB2312" w:cs="仿宋_GB2312"/>
          <w:sz w:val="28"/>
          <w:szCs w:val="28"/>
        </w:rPr>
        <w:t xml:space="preserve">igital </w:t>
      </w:r>
      <w:r>
        <w:rPr>
          <w:rFonts w:hint="eastAsia" w:ascii="仿宋_GB2312" w:hAnsi="仿宋_GB2312" w:eastAsia="仿宋_GB2312" w:cs="仿宋_GB2312"/>
          <w:sz w:val="28"/>
          <w:szCs w:val="28"/>
        </w:rPr>
        <w:t>A</w:t>
      </w:r>
      <w:r>
        <w:rPr>
          <w:rFonts w:ascii="仿宋_GB2312" w:hAnsi="仿宋_GB2312" w:eastAsia="仿宋_GB2312" w:cs="仿宋_GB2312"/>
          <w:sz w:val="28"/>
          <w:szCs w:val="28"/>
        </w:rPr>
        <w:t>rtist Occupation Code 2166.5</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（二）职业资格标准</w:t>
      </w:r>
    </w:p>
    <w:p>
      <w:pPr>
        <w:spacing w:line="600" w:lineRule="exact"/>
        <w:ind w:left="634" w:leftChars="302"/>
        <w:jc w:val="left"/>
        <w:rPr>
          <w:rFonts w:ascii="仿宋" w:hAnsi="仿宋" w:eastAsia="仿宋" w:cs="仿宋"/>
          <w:sz w:val="28"/>
          <w:szCs w:val="28"/>
        </w:rPr>
      </w:pPr>
      <w:r>
        <w:rPr>
          <w:rFonts w:hint="eastAsia" w:ascii="仿宋" w:hAnsi="仿宋" w:eastAsia="仿宋" w:cs="仿宋"/>
          <w:sz w:val="28"/>
          <w:szCs w:val="28"/>
        </w:rPr>
        <w:t>游戏美术设计职业技能等级证书</w:t>
      </w:r>
      <w:r>
        <w:rPr>
          <w:rFonts w:hint="eastAsia" w:ascii="仿宋" w:hAnsi="仿宋" w:eastAsia="仿宋" w:cs="仿宋"/>
          <w:sz w:val="28"/>
          <w:szCs w:val="28"/>
        </w:rPr>
        <w:br w:type="textWrapping"/>
      </w:r>
      <w:r>
        <w:rPr>
          <w:rFonts w:hint="eastAsia" w:ascii="仿宋" w:hAnsi="仿宋" w:eastAsia="仿宋" w:cs="仿宋"/>
          <w:sz w:val="28"/>
          <w:szCs w:val="28"/>
        </w:rPr>
        <w:t>数字艺术创作职业技能等级证书</w:t>
      </w:r>
      <w:r>
        <w:rPr>
          <w:rFonts w:hint="eastAsia" w:ascii="仿宋" w:hAnsi="仿宋" w:eastAsia="仿宋" w:cs="仿宋"/>
          <w:sz w:val="28"/>
          <w:szCs w:val="28"/>
        </w:rPr>
        <w:br w:type="textWrapping"/>
      </w:r>
      <w:r>
        <w:rPr>
          <w:rFonts w:hint="eastAsia" w:ascii="仿宋" w:hAnsi="仿宋" w:eastAsia="仿宋" w:cs="仿宋"/>
          <w:sz w:val="28"/>
          <w:szCs w:val="28"/>
        </w:rPr>
        <w:t>数字创意建模职业技能等级证书</w:t>
      </w:r>
      <w:r>
        <w:rPr>
          <w:rFonts w:hint="eastAsia" w:ascii="仿宋" w:hAnsi="仿宋" w:eastAsia="仿宋" w:cs="仿宋"/>
          <w:sz w:val="28"/>
          <w:szCs w:val="28"/>
        </w:rPr>
        <w:br w:type="textWrapping"/>
      </w:r>
      <w:r>
        <w:rPr>
          <w:rFonts w:hint="eastAsia" w:ascii="仿宋" w:hAnsi="仿宋" w:eastAsia="仿宋" w:cs="仿宋"/>
          <w:sz w:val="28"/>
          <w:szCs w:val="28"/>
        </w:rPr>
        <w:t>3D引擎技术应用职业技能等级证书</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（三）技能要求</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从业者</w:t>
      </w:r>
      <w:r>
        <w:rPr>
          <w:rFonts w:ascii="仿宋_GB2312" w:hAnsi="仿宋_GB2312" w:eastAsia="仿宋_GB2312" w:cs="仿宋_GB2312"/>
          <w:sz w:val="28"/>
          <w:szCs w:val="28"/>
        </w:rPr>
        <w:t>需</w:t>
      </w:r>
      <w:r>
        <w:rPr>
          <w:rFonts w:hint="eastAsia" w:ascii="仿宋_GB2312" w:hAnsi="仿宋_GB2312" w:eastAsia="仿宋_GB2312" w:cs="仿宋_GB2312"/>
          <w:sz w:val="28"/>
          <w:szCs w:val="28"/>
        </w:rPr>
        <w:t xml:space="preserve">具备如下能力要求： </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审视和选择概念草图，了解未来成品3D模型的造型和材质</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利用多边形知识进行3D建模</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利用镜像壳技巧来制作纹理与纹理密度</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按模型的结构权重分配贴图比例</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使用纹理避免壳之间的颜色外溢</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用颜色分组以避免颜色的外溢</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选择合适的 3D 建模软件制作模型。例如 3ds Max 或 MAYA，或雕刻工具比如 ZBrush 或 </w:t>
      </w:r>
      <w:r>
        <w:rPr>
          <w:rFonts w:ascii="仿宋_GB2312" w:hAnsi="仿宋_GB2312" w:eastAsia="仿宋_GB2312" w:cs="仿宋_GB2312"/>
          <w:sz w:val="28"/>
          <w:szCs w:val="28"/>
        </w:rPr>
        <w:t>Marvelous Designer</w:t>
      </w:r>
      <w:r>
        <w:rPr>
          <w:rFonts w:hint="eastAsia" w:ascii="仿宋_GB2312" w:hAnsi="仿宋_GB2312" w:eastAsia="仿宋_GB2312" w:cs="仿宋_GB2312"/>
          <w:sz w:val="28"/>
          <w:szCs w:val="28"/>
        </w:rPr>
        <w:t xml:space="preserve"> 等</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运用雕刻技巧、建模造型技巧，从无到有进行建模</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制作各种物理材质，如木材，塑料，金属，织物等</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颜色贴图反映出材质的基本纹理色彩及图案</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高光贴图产生逼真的金属，塑料，或潮湿和油性表面材质效果</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透明贴图使用 alpha 贴图通道来生成复杂物体，例如草、头发、树枝、电线</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Normal maps 生产高分辨率细节化的模型，将细节烘培至低分辨率模型</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OCC贴图利用多边形的3D信息将阴影渲染到平面纹理上以创造细节</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使用 UV 展开工具将贴图投影到3D模型的所有表面</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将表面分离成适当的贴图外壳，使其在 UV 空间变平</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制作纹理和贴图。使用PS和 Substance</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Painter等软件，制作PBR材质</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通过各种物理材质素材来创造符合设计草图的贴图效果</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生成高光贴图从而表现物体的高光或光泽镜面效果</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绘制透明贴图创造复杂物体</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选择软件导出 Normal maps</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渲染 OCC 贴图强化阴影效果</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创建骨骼系统</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创建FK 、IK系统 </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添加蒙皮、绘制权重</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制作关键帧动画</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场景环境的搭建</w:t>
      </w:r>
    </w:p>
    <w:p>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地形结构制作、地形匹配的环境组件</w:t>
      </w:r>
    </w:p>
    <w:p>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引擎灯光材质的渲染及输出</w:t>
      </w:r>
    </w:p>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8" w:name="_Toc131804152"/>
      <w:r>
        <w:rPr>
          <w:rFonts w:hint="eastAsia" w:ascii="黑体" w:hAnsi="黑体" w:eastAsia="黑体" w:cs="黑体"/>
          <w:b w:val="0"/>
          <w:bCs w:val="0"/>
          <w:sz w:val="32"/>
          <w:szCs w:val="32"/>
        </w:rPr>
        <w:t>八、技术环境</w:t>
      </w:r>
      <w:bookmarkEnd w:id="8"/>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（一）竞赛环境要求</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按照分组布置竞赛工位。竞赛工位标有醒目的队伍编号，每个组别面积在</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㎡左右，确保参赛队伍之间互不干扰。保障电源的稳定，并提供备用电源。每个赛场提供不少于参赛工位总数5%以上的备用工位。</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（二）竞赛场地设备工具</w:t>
      </w:r>
    </w:p>
    <w:tbl>
      <w:tblPr>
        <w:tblStyle w:val="21"/>
        <w:tblW w:w="5000" w:type="pct"/>
        <w:jc w:val="center"/>
        <w:tblLayout w:type="autofit"/>
        <w:tblCellMar>
          <w:top w:w="0" w:type="dxa"/>
          <w:left w:w="108" w:type="dxa"/>
          <w:bottom w:w="0" w:type="dxa"/>
          <w:right w:w="108" w:type="dxa"/>
        </w:tblCellMar>
      </w:tblPr>
      <w:tblGrid>
        <w:gridCol w:w="571"/>
        <w:gridCol w:w="1321"/>
        <w:gridCol w:w="5205"/>
        <w:gridCol w:w="772"/>
        <w:gridCol w:w="653"/>
      </w:tblGrid>
      <w:tr>
        <w:tblPrEx>
          <w:tblCellMar>
            <w:top w:w="0" w:type="dxa"/>
            <w:left w:w="108" w:type="dxa"/>
            <w:bottom w:w="0" w:type="dxa"/>
            <w:right w:w="108" w:type="dxa"/>
          </w:tblCellMar>
        </w:tblPrEx>
        <w:trPr>
          <w:trHeight w:val="300"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b/>
                <w:sz w:val="24"/>
                <w:szCs w:val="24"/>
              </w:rPr>
            </w:pPr>
            <w:r>
              <w:rPr>
                <w:rFonts w:hint="eastAsia" w:ascii="仿宋_GB2312" w:hAnsi="仿宋" w:eastAsia="仿宋_GB2312" w:cs="仿宋"/>
                <w:b/>
                <w:sz w:val="24"/>
                <w:szCs w:val="24"/>
              </w:rPr>
              <w:t>比赛专用系统设备配置如下</w:t>
            </w:r>
          </w:p>
        </w:tc>
      </w:tr>
      <w:tr>
        <w:tblPrEx>
          <w:tblCellMar>
            <w:top w:w="0" w:type="dxa"/>
            <w:left w:w="108" w:type="dxa"/>
            <w:bottom w:w="0" w:type="dxa"/>
            <w:right w:w="108" w:type="dxa"/>
          </w:tblCellMar>
        </w:tblPrEx>
        <w:trPr>
          <w:trHeight w:val="315"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b/>
                <w:sz w:val="24"/>
                <w:szCs w:val="24"/>
              </w:rPr>
            </w:pPr>
            <w:r>
              <w:rPr>
                <w:rFonts w:hint="eastAsia" w:ascii="仿宋_GB2312" w:hAnsi="仿宋" w:eastAsia="仿宋_GB2312" w:cs="仿宋"/>
                <w:b/>
                <w:sz w:val="24"/>
                <w:szCs w:val="24"/>
              </w:rPr>
              <w:t>预装 Windows10 及比赛管理系统软件</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序号</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主题设备</w:t>
            </w:r>
          </w:p>
          <w:p>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名称</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型号</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单位</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数量</w:t>
            </w:r>
          </w:p>
        </w:tc>
      </w:tr>
      <w:tr>
        <w:tblPrEx>
          <w:tblCellMar>
            <w:top w:w="0" w:type="dxa"/>
            <w:left w:w="108" w:type="dxa"/>
            <w:bottom w:w="0" w:type="dxa"/>
            <w:right w:w="108" w:type="dxa"/>
          </w:tblCellMar>
        </w:tblPrEx>
        <w:trPr>
          <w:trHeight w:val="90" w:hRule="atLeast"/>
          <w:jc w:val="center"/>
        </w:trPr>
        <w:tc>
          <w:tcPr>
            <w:tcW w:w="335" w:type="pct"/>
            <w:vMerge w:val="restart"/>
            <w:tcBorders>
              <w:top w:val="single" w:color="000000" w:sz="8" w:space="0"/>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c>
          <w:tcPr>
            <w:tcW w:w="775" w:type="pct"/>
            <w:vMerge w:val="restart"/>
            <w:tcBorders>
              <w:top w:val="single" w:color="000000" w:sz="8" w:space="0"/>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内置比赛操作软件</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宋体" w:eastAsia="仿宋_GB2312" w:cs="宋体"/>
                <w:sz w:val="24"/>
                <w:szCs w:val="24"/>
              </w:rPr>
              <w:t>Maya 2020</w:t>
            </w:r>
          </w:p>
        </w:tc>
        <w:tc>
          <w:tcPr>
            <w:tcW w:w="453" w:type="pct"/>
            <w:vMerge w:val="restart"/>
            <w:tcBorders>
              <w:top w:val="single" w:color="000000" w:sz="8" w:space="0"/>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3" w:type="pct"/>
            <w:vMerge w:val="restart"/>
            <w:tcBorders>
              <w:top w:val="single" w:color="000000" w:sz="8" w:space="0"/>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宋体" w:eastAsia="仿宋_GB2312" w:cs="宋体"/>
                <w:sz w:val="24"/>
                <w:szCs w:val="24"/>
              </w:rPr>
              <w:t>3D</w:t>
            </w:r>
            <w:r>
              <w:rPr>
                <w:rFonts w:hint="eastAsia" w:ascii="仿宋_GB2312" w:hAnsi="宋体" w:eastAsia="仿宋_GB2312" w:cs="宋体"/>
                <w:sz w:val="24"/>
                <w:szCs w:val="24"/>
                <w:lang w:eastAsia="zh-Hans"/>
              </w:rPr>
              <w:t xml:space="preserve">s </w:t>
            </w:r>
            <w:r>
              <w:rPr>
                <w:rFonts w:hint="eastAsia" w:ascii="仿宋_GB2312" w:hAnsi="宋体" w:eastAsia="仿宋_GB2312" w:cs="宋体"/>
                <w:sz w:val="24"/>
                <w:szCs w:val="24"/>
              </w:rPr>
              <w:t>Max2020</w:t>
            </w:r>
          </w:p>
        </w:tc>
        <w:tc>
          <w:tcPr>
            <w:tcW w:w="45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宋体" w:eastAsia="仿宋_GB2312" w:cs="宋体"/>
                <w:color w:val="000000"/>
                <w:kern w:val="0"/>
                <w:sz w:val="24"/>
                <w:szCs w:val="24"/>
                <w:shd w:val="clear" w:color="auto" w:fill="FFFFFF"/>
                <w:lang w:bidi="ar"/>
              </w:rPr>
              <w:t>Cinema 4D 2020</w:t>
            </w:r>
          </w:p>
        </w:tc>
        <w:tc>
          <w:tcPr>
            <w:tcW w:w="45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宋体" w:eastAsia="仿宋_GB2312" w:cs="宋体"/>
                <w:sz w:val="24"/>
                <w:szCs w:val="24"/>
              </w:rPr>
              <w:t>ZBrush</w:t>
            </w:r>
          </w:p>
        </w:tc>
        <w:tc>
          <w:tcPr>
            <w:tcW w:w="45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宋体" w:eastAsia="仿宋_GB2312" w:cs="宋体"/>
                <w:sz w:val="24"/>
                <w:szCs w:val="24"/>
              </w:rPr>
            </w:pPr>
            <w:r>
              <w:rPr>
                <w:rFonts w:hint="eastAsia" w:ascii="仿宋_GB2312" w:hAnsi="宋体" w:eastAsia="仿宋_GB2312" w:cs="宋体"/>
                <w:sz w:val="24"/>
                <w:szCs w:val="24"/>
              </w:rPr>
              <w:t>Marvelous Designer</w:t>
            </w:r>
          </w:p>
        </w:tc>
        <w:tc>
          <w:tcPr>
            <w:tcW w:w="45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宋体" w:eastAsia="仿宋_GB2312" w:cs="宋体"/>
                <w:sz w:val="24"/>
                <w:szCs w:val="24"/>
              </w:rPr>
            </w:pPr>
            <w:r>
              <w:rPr>
                <w:rFonts w:hint="eastAsia" w:ascii="仿宋_GB2312" w:hAnsi="宋体" w:eastAsia="仿宋_GB2312" w:cs="宋体"/>
                <w:sz w:val="24"/>
                <w:szCs w:val="24"/>
              </w:rPr>
              <w:t>Substance Painter</w:t>
            </w:r>
          </w:p>
        </w:tc>
        <w:tc>
          <w:tcPr>
            <w:tcW w:w="45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宋体" w:eastAsia="仿宋_GB2312" w:cs="宋体"/>
                <w:sz w:val="24"/>
                <w:szCs w:val="24"/>
              </w:rPr>
              <w:t>AIxPainting绘画工具</w:t>
            </w:r>
          </w:p>
        </w:tc>
        <w:tc>
          <w:tcPr>
            <w:tcW w:w="45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宋体" w:eastAsia="仿宋_GB2312" w:cs="宋体"/>
                <w:sz w:val="24"/>
                <w:szCs w:val="24"/>
              </w:rPr>
            </w:pPr>
            <w:r>
              <w:rPr>
                <w:rFonts w:hint="eastAsia" w:ascii="仿宋_GB2312" w:eastAsia="仿宋_GB2312" w:hAnsiTheme="minorEastAsia" w:cstheme="minorEastAsia"/>
                <w:sz w:val="24"/>
                <w:szCs w:val="24"/>
              </w:rPr>
              <w:t>A</w:t>
            </w:r>
            <w:r>
              <w:rPr>
                <w:rFonts w:hint="eastAsia" w:ascii="仿宋_GB2312" w:eastAsia="仿宋_GB2312" w:hAnsiTheme="minorEastAsia" w:cstheme="minorEastAsia"/>
                <w:sz w:val="24"/>
                <w:szCs w:val="24"/>
                <w:lang w:eastAsia="zh-Hans"/>
              </w:rPr>
              <w:t xml:space="preserve">dobe </w:t>
            </w:r>
            <w:r>
              <w:rPr>
                <w:rFonts w:hint="eastAsia" w:ascii="仿宋_GB2312" w:hAnsi="宋体" w:eastAsia="仿宋_GB2312" w:cs="宋体"/>
                <w:sz w:val="24"/>
                <w:szCs w:val="24"/>
              </w:rPr>
              <w:t>Photoshop 2020</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eastAsia="仿宋_GB2312" w:hAnsiTheme="minorEastAsia" w:cstheme="minorEastAsia"/>
                <w:sz w:val="24"/>
                <w:szCs w:val="24"/>
              </w:rPr>
            </w:pPr>
            <w:r>
              <w:rPr>
                <w:rFonts w:hint="eastAsia" w:ascii="仿宋_GB2312" w:eastAsia="仿宋_GB2312" w:hAnsiTheme="minorEastAsia" w:cstheme="minorEastAsia"/>
                <w:sz w:val="24"/>
                <w:szCs w:val="24"/>
              </w:rPr>
              <w:t>SAI</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_GB2312" w:hAnsi="宋体" w:eastAsia="仿宋_GB2312" w:cs="宋体"/>
                <w:sz w:val="24"/>
                <w:szCs w:val="24"/>
              </w:rPr>
            </w:pPr>
            <w:r>
              <w:rPr>
                <w:rFonts w:hint="eastAsia" w:ascii="仿宋_GB2312" w:eastAsia="仿宋_GB2312" w:hAnsiTheme="minorEastAsia" w:cstheme="minorEastAsia"/>
                <w:sz w:val="24"/>
                <w:szCs w:val="24"/>
              </w:rPr>
              <w:t>A</w:t>
            </w:r>
            <w:r>
              <w:rPr>
                <w:rFonts w:hint="eastAsia" w:ascii="仿宋_GB2312" w:eastAsia="仿宋_GB2312" w:hAnsiTheme="minorEastAsia" w:cstheme="minorEastAsia"/>
                <w:sz w:val="24"/>
                <w:szCs w:val="24"/>
                <w:lang w:eastAsia="zh-Hans"/>
              </w:rPr>
              <w:t xml:space="preserve">dobe </w:t>
            </w:r>
            <w:r>
              <w:rPr>
                <w:rFonts w:hint="eastAsia" w:ascii="仿宋_GB2312" w:eastAsia="仿宋_GB2312" w:hAnsiTheme="minorEastAsia" w:cstheme="minorEastAsia"/>
                <w:sz w:val="24"/>
                <w:szCs w:val="24"/>
              </w:rPr>
              <w:t>Premiere 2020</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eastAsia="仿宋_GB2312" w:hAnsiTheme="minorEastAsia" w:cstheme="minorEastAsia"/>
                <w:sz w:val="24"/>
                <w:szCs w:val="24"/>
                <w:lang w:eastAsia="zh-Hans"/>
              </w:rPr>
            </w:pPr>
            <w:r>
              <w:rPr>
                <w:rFonts w:hint="eastAsia" w:ascii="仿宋_GB2312" w:eastAsia="仿宋_GB2312" w:hAnsiTheme="minorEastAsia" w:cstheme="minorEastAsia"/>
                <w:sz w:val="24"/>
                <w:szCs w:val="24"/>
                <w:lang w:eastAsia="zh-Hans"/>
              </w:rPr>
              <w:t>Adobe After Effects 2020</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eastAsia="仿宋_GB2312" w:hAnsiTheme="minorEastAsia" w:cstheme="minorEastAsia"/>
                <w:sz w:val="24"/>
                <w:szCs w:val="24"/>
                <w:lang w:eastAsia="zh-Hans"/>
              </w:rPr>
            </w:pPr>
            <w:r>
              <w:rPr>
                <w:rFonts w:hint="eastAsia" w:ascii="仿宋_GB2312" w:hAnsi="宋体" w:eastAsia="仿宋_GB2312" w:cs="宋体"/>
                <w:sz w:val="24"/>
                <w:szCs w:val="24"/>
              </w:rPr>
              <w:t>虚幻引擎Unreal Engine 4.27.2</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宋体" w:eastAsia="仿宋_GB2312" w:cs="宋体"/>
                <w:sz w:val="24"/>
                <w:szCs w:val="24"/>
              </w:rPr>
            </w:pPr>
            <w:r>
              <w:rPr>
                <w:rFonts w:hint="eastAsia" w:ascii="仿宋_GB2312" w:hAnsi="宋体" w:eastAsia="仿宋_GB2312" w:cs="宋体"/>
                <w:sz w:val="24"/>
                <w:szCs w:val="24"/>
              </w:rPr>
              <w:t>Microsoft office 2016</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宋体" w:eastAsia="仿宋_GB2312" w:cs="宋体"/>
                <w:sz w:val="24"/>
                <w:szCs w:val="24"/>
              </w:rPr>
            </w:pPr>
            <w:r>
              <w:rPr>
                <w:rFonts w:hint="eastAsia" w:ascii="仿宋_GB2312" w:eastAsia="仿宋_GB2312" w:hAnsiTheme="minorEastAsia" w:cstheme="minorEastAsia"/>
                <w:sz w:val="24"/>
                <w:szCs w:val="24"/>
              </w:rPr>
              <w:t>EV</w:t>
            </w:r>
            <w:r>
              <w:rPr>
                <w:rFonts w:hint="eastAsia" w:ascii="仿宋_GB2312" w:eastAsia="仿宋_GB2312" w:hAnsiTheme="minorEastAsia" w:cstheme="minorEastAsia"/>
                <w:sz w:val="24"/>
                <w:szCs w:val="24"/>
                <w:lang w:eastAsia="zh-Hans"/>
              </w:rPr>
              <w:t>录屏</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p>
        </w:tc>
      </w:tr>
      <w:tr>
        <w:tblPrEx>
          <w:tblCellMar>
            <w:top w:w="0" w:type="dxa"/>
            <w:left w:w="108" w:type="dxa"/>
            <w:bottom w:w="0" w:type="dxa"/>
            <w:right w:w="108" w:type="dxa"/>
          </w:tblCellMar>
        </w:tblPrEx>
        <w:trPr>
          <w:trHeight w:val="324"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CPU</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Intel i7 7700 或 E5 系列以上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片</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3</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显卡</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NVIDIA RTX-2080 或 Quadro P4000 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4</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内存</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32GB 或以上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条</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5</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硬盘</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240G 固态硬盘或以上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6</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显示器</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1920x1080 分辨率或以上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台</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2"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7</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USB 接口</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USB 3.0</w:t>
            </w:r>
          </w:p>
        </w:tc>
        <w:tc>
          <w:tcPr>
            <w:tcW w:w="836" w:type="pct"/>
            <w:gridSpan w:val="2"/>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主板内置</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8</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U 盘</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32G USB 3.0</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94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9</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有线键盘、鼠标、</w:t>
            </w:r>
          </w:p>
          <w:p>
            <w:pPr>
              <w:jc w:val="center"/>
              <w:rPr>
                <w:rFonts w:hint="eastAsia" w:ascii="仿宋_GB2312" w:hAnsi="仿宋" w:eastAsia="仿宋_GB2312" w:cs="仿宋"/>
                <w:sz w:val="24"/>
                <w:szCs w:val="24"/>
              </w:rPr>
            </w:pPr>
            <w:r>
              <w:rPr>
                <w:rFonts w:hint="eastAsia" w:ascii="仿宋_GB2312" w:hAnsi="仿宋" w:eastAsia="仿宋_GB2312" w:cs="仿宋"/>
                <w:sz w:val="24"/>
                <w:szCs w:val="24"/>
              </w:rPr>
              <w:t>鼠标垫</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鼠标：200-6000dpi、光学追踪、2 米 USB 线缆； 键盘：机械键盘、RGB 背光、USB 线缆；鼠标垫：表面材质布垫，底部橡胶、36x 28x 0.3 厘米以上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10</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摄像头</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内置或外接USB 2.0，型号不限</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11</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数位板</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lang w:eastAsia="zh-Hans"/>
              </w:rPr>
            </w:pPr>
            <w:r>
              <w:rPr>
                <w:rFonts w:hint="eastAsia" w:ascii="仿宋_GB2312" w:hAnsi="仿宋" w:eastAsia="仿宋_GB2312" w:cs="仿宋"/>
                <w:sz w:val="24"/>
                <w:szCs w:val="24"/>
                <w:lang w:eastAsia="zh-Hans"/>
              </w:rPr>
              <w:t>通用</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耳机</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lang w:eastAsia="zh-Hans"/>
              </w:rPr>
            </w:pPr>
            <w:r>
              <w:rPr>
                <w:rFonts w:hint="eastAsia" w:ascii="仿宋_GB2312" w:hAnsi="仿宋" w:eastAsia="仿宋_GB2312" w:cs="仿宋"/>
                <w:sz w:val="24"/>
                <w:szCs w:val="24"/>
                <w:lang w:eastAsia="zh-Hans"/>
              </w:rPr>
              <w:t>通用</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bl>
    <w:p>
      <w:pPr>
        <w:adjustRightInd w:val="0"/>
        <w:snapToGrid w:val="0"/>
        <w:spacing w:line="600" w:lineRule="exact"/>
        <w:ind w:left="420" w:right="210" w:rightChars="100"/>
        <w:jc w:val="left"/>
        <w:rPr>
          <w:rFonts w:ascii="仿宋_GB2312" w:hAnsi="仿宋_GB2312" w:eastAsia="仿宋_GB2312" w:cs="仿宋_GB2312"/>
          <w:b/>
          <w:bCs/>
          <w:sz w:val="28"/>
          <w:szCs w:val="28"/>
        </w:rPr>
      </w:pPr>
      <w:bookmarkStart w:id="9" w:name="_bookmark24"/>
      <w:bookmarkEnd w:id="9"/>
      <w:bookmarkStart w:id="10" w:name="6.2材料："/>
      <w:bookmarkEnd w:id="10"/>
    </w:p>
    <w:p>
      <w:pPr>
        <w:adjustRightInd w:val="0"/>
        <w:snapToGrid w:val="0"/>
        <w:spacing w:line="600" w:lineRule="exact"/>
        <w:ind w:left="420" w:right="210" w:rightChars="100"/>
        <w:jc w:val="left"/>
        <w:rPr>
          <w:rFonts w:ascii="仿宋_GB2312" w:hAnsi="仿宋_GB2312" w:eastAsia="仿宋_GB2312" w:cs="仿宋_GB2312"/>
          <w:b/>
          <w:bCs/>
          <w:sz w:val="28"/>
          <w:szCs w:val="28"/>
        </w:rPr>
      </w:pPr>
    </w:p>
    <w:p>
      <w:pPr>
        <w:wordWrap w:val="0"/>
        <w:adjustRightInd w:val="0"/>
        <w:snapToGrid w:val="0"/>
        <w:spacing w:line="600" w:lineRule="exact"/>
        <w:ind w:left="420" w:right="210" w:rightChars="100" w:firstLine="562" w:firstLineChars="200"/>
        <w:jc w:val="left"/>
        <w:rPr>
          <w:rFonts w:hint="eastAsia" w:ascii="仿宋_GB2312" w:hAnsi="仿宋" w:eastAsia="仿宋_GB2312" w:cs="仿宋"/>
          <w:sz w:val="28"/>
          <w:szCs w:val="28"/>
        </w:rPr>
      </w:pPr>
      <w:r>
        <w:rPr>
          <w:rFonts w:hint="eastAsia" w:ascii="仿宋_GB2312" w:hAnsi="仿宋_GB2312" w:eastAsia="仿宋_GB2312" w:cs="仿宋_GB2312"/>
          <w:b/>
          <w:bCs/>
          <w:sz w:val="28"/>
          <w:szCs w:val="28"/>
        </w:rPr>
        <w:t>备注：</w:t>
      </w:r>
      <w:r>
        <w:rPr>
          <w:rFonts w:hint="eastAsia" w:ascii="仿宋_GB2312" w:hAnsi="仿宋_GB2312" w:eastAsia="仿宋_GB2312" w:cs="仿宋_GB2312"/>
          <w:sz w:val="28"/>
          <w:szCs w:val="28"/>
        </w:rPr>
        <w:t>（AIxPainting绘画工具需联网使用，网络链接：</w:t>
      </w:r>
      <w:r>
        <w:rPr>
          <w:rFonts w:hint="eastAsia" w:ascii="仿宋_GB2312" w:hAnsi="宋体" w:eastAsia="仿宋_GB2312" w:cs="宋体"/>
          <w:sz w:val="28"/>
          <w:szCs w:val="28"/>
        </w:rPr>
        <w:t>https://aip.school.youdao.com，亦可在搜索引擎中搜</w:t>
      </w:r>
      <w:r>
        <w:rPr>
          <w:rFonts w:hint="eastAsia" w:ascii="仿宋_GB2312" w:hAnsi="仿宋_GB2312" w:eastAsia="仿宋_GB2312" w:cs="仿宋_GB2312"/>
          <w:sz w:val="28"/>
          <w:szCs w:val="28"/>
        </w:rPr>
        <w:t>索AIxPainting）</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（三）辅助工具与材料</w:t>
      </w:r>
    </w:p>
    <w:tbl>
      <w:tblPr>
        <w:tblStyle w:val="37"/>
        <w:tblpPr w:leftFromText="180" w:rightFromText="180" w:vertAnchor="text" w:horzAnchor="page" w:tblpXSpec="center" w:tblpY="309"/>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0"/>
        <w:gridCol w:w="43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4200" w:type="dxa"/>
            <w:shd w:val="clear" w:color="auto" w:fill="auto"/>
          </w:tcPr>
          <w:p>
            <w:pPr>
              <w:autoSpaceDE w:val="0"/>
              <w:autoSpaceDN w:val="0"/>
              <w:jc w:val="center"/>
              <w:rPr>
                <w:rFonts w:hint="eastAsia" w:ascii="仿宋_GB2312" w:hAnsi="仿宋" w:eastAsia="仿宋_GB2312" w:cs="仿宋"/>
                <w:b/>
                <w:bCs/>
                <w:sz w:val="24"/>
                <w:szCs w:val="24"/>
                <w:lang w:eastAsia="en-US"/>
              </w:rPr>
            </w:pPr>
            <w:r>
              <w:rPr>
                <w:rFonts w:hint="eastAsia" w:ascii="仿宋_GB2312" w:hAnsi="仿宋" w:eastAsia="仿宋_GB2312" w:cs="仿宋"/>
                <w:b/>
                <w:bCs/>
                <w:sz w:val="24"/>
                <w:szCs w:val="24"/>
                <w:lang w:eastAsia="en-US"/>
              </w:rPr>
              <w:t>辅助工具与材料</w:t>
            </w:r>
          </w:p>
        </w:tc>
        <w:tc>
          <w:tcPr>
            <w:tcW w:w="4359" w:type="dxa"/>
            <w:shd w:val="clear" w:color="auto" w:fill="auto"/>
          </w:tcPr>
          <w:p>
            <w:pPr>
              <w:autoSpaceDE w:val="0"/>
              <w:autoSpaceDN w:val="0"/>
              <w:jc w:val="center"/>
              <w:rPr>
                <w:rFonts w:hint="eastAsia" w:ascii="仿宋_GB2312" w:hAnsi="仿宋" w:eastAsia="仿宋_GB2312" w:cs="仿宋"/>
                <w:b/>
                <w:bCs/>
                <w:sz w:val="24"/>
                <w:szCs w:val="24"/>
                <w:lang w:eastAsia="en-US"/>
              </w:rPr>
            </w:pPr>
            <w:r>
              <w:rPr>
                <w:rFonts w:hint="eastAsia" w:ascii="仿宋_GB2312" w:hAnsi="仿宋" w:eastAsia="仿宋_GB2312" w:cs="仿宋"/>
                <w:b/>
                <w:bCs/>
                <w:sz w:val="24"/>
                <w:szCs w:val="24"/>
                <w:lang w:eastAsia="en-US"/>
              </w:rPr>
              <w:t>数量和要求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4200" w:type="dxa"/>
          </w:tcPr>
          <w:p>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签字笔</w:t>
            </w:r>
          </w:p>
        </w:tc>
        <w:tc>
          <w:tcPr>
            <w:tcW w:w="4359" w:type="dxa"/>
          </w:tcPr>
          <w:p>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1 支/人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4200" w:type="dxa"/>
          </w:tcPr>
          <w:p>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A4 复印纸</w:t>
            </w:r>
          </w:p>
        </w:tc>
        <w:tc>
          <w:tcPr>
            <w:tcW w:w="4359" w:type="dxa"/>
          </w:tcPr>
          <w:p>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5 张/组</w:t>
            </w:r>
          </w:p>
        </w:tc>
      </w:tr>
    </w:tbl>
    <w:p>
      <w:pPr>
        <w:snapToGrid w:val="0"/>
        <w:spacing w:line="600" w:lineRule="exact"/>
        <w:ind w:firstLine="560" w:firstLineChars="200"/>
        <w:rPr>
          <w:rFonts w:ascii="方正楷体_GBK" w:hAnsi="楷体" w:eastAsia="方正楷体_GBK" w:cs="楷体"/>
          <w:b/>
          <w:sz w:val="28"/>
          <w:szCs w:val="28"/>
        </w:rPr>
      </w:pPr>
      <w:bookmarkStart w:id="11" w:name="6.3决赛选手须自备的设备和工具："/>
      <w:bookmarkEnd w:id="11"/>
      <w:bookmarkStart w:id="12" w:name="_bookmark25"/>
      <w:bookmarkEnd w:id="12"/>
      <w:bookmarkStart w:id="13" w:name="6.5技术支持区要求"/>
      <w:bookmarkEnd w:id="13"/>
      <w:bookmarkStart w:id="14" w:name="_bookmark27"/>
      <w:bookmarkEnd w:id="14"/>
      <w:bookmarkStart w:id="15" w:name="_Toc131770026"/>
      <w:r>
        <w:rPr>
          <w:rFonts w:hint="eastAsia" w:ascii="方正楷体_GBK" w:hAnsi="楷体" w:eastAsia="方正楷体_GBK" w:cs="楷体"/>
          <w:b/>
          <w:sz w:val="28"/>
          <w:szCs w:val="28"/>
        </w:rPr>
        <w:t>（四）技术支持区要求</w:t>
      </w:r>
      <w:bookmarkEnd w:id="15"/>
    </w:p>
    <w:tbl>
      <w:tblPr>
        <w:tblStyle w:val="21"/>
        <w:tblW w:w="4707" w:type="pct"/>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475"/>
        <w:gridCol w:w="1317"/>
        <w:gridCol w:w="1119"/>
        <w:gridCol w:w="1114"/>
        <w:gridCol w:w="1120"/>
        <w:gridCol w:w="1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trPr>
        <w:tc>
          <w:tcPr>
            <w:tcW w:w="512" w:type="pct"/>
            <w:shd w:val="clear" w:color="auto" w:fill="auto"/>
          </w:tcPr>
          <w:p>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序号</w:t>
            </w:r>
          </w:p>
        </w:tc>
        <w:tc>
          <w:tcPr>
            <w:tcW w:w="919" w:type="pct"/>
            <w:shd w:val="clear" w:color="auto" w:fill="auto"/>
          </w:tcPr>
          <w:p>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物资名称</w:t>
            </w:r>
          </w:p>
        </w:tc>
        <w:tc>
          <w:tcPr>
            <w:tcW w:w="820" w:type="pct"/>
            <w:shd w:val="clear" w:color="auto" w:fill="auto"/>
          </w:tcPr>
          <w:p>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型号</w:t>
            </w:r>
          </w:p>
        </w:tc>
        <w:tc>
          <w:tcPr>
            <w:tcW w:w="697" w:type="pct"/>
            <w:shd w:val="clear" w:color="auto" w:fill="auto"/>
          </w:tcPr>
          <w:p>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规格</w:t>
            </w:r>
          </w:p>
        </w:tc>
        <w:tc>
          <w:tcPr>
            <w:tcW w:w="694" w:type="pct"/>
            <w:shd w:val="clear" w:color="auto" w:fill="auto"/>
          </w:tcPr>
          <w:p>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单位</w:t>
            </w:r>
          </w:p>
        </w:tc>
        <w:tc>
          <w:tcPr>
            <w:tcW w:w="697" w:type="pct"/>
            <w:shd w:val="clear" w:color="auto" w:fill="auto"/>
          </w:tcPr>
          <w:p>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数量</w:t>
            </w:r>
          </w:p>
        </w:tc>
        <w:tc>
          <w:tcPr>
            <w:tcW w:w="658" w:type="pct"/>
            <w:shd w:val="clear" w:color="auto" w:fill="auto"/>
          </w:tcPr>
          <w:p>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512"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919"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电脑桌</w:t>
            </w:r>
          </w:p>
        </w:tc>
        <w:tc>
          <w:tcPr>
            <w:tcW w:w="820"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张</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pPr>
              <w:spacing w:line="600" w:lineRule="exact"/>
              <w:jc w:val="center"/>
              <w:rPr>
                <w:rFonts w:hint="eastAsia" w:ascii="仿宋_GB2312" w:hAnsi="仿宋" w:eastAsia="仿宋_GB2312" w:cs="华文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512"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2</w:t>
            </w:r>
          </w:p>
        </w:tc>
        <w:tc>
          <w:tcPr>
            <w:tcW w:w="919"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电脑椅</w:t>
            </w:r>
          </w:p>
        </w:tc>
        <w:tc>
          <w:tcPr>
            <w:tcW w:w="820"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张</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pPr>
              <w:spacing w:line="600" w:lineRule="exact"/>
              <w:jc w:val="center"/>
              <w:rPr>
                <w:rFonts w:hint="eastAsia" w:ascii="仿宋_GB2312" w:hAnsi="仿宋" w:eastAsia="仿宋_GB2312" w:cs="华文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512"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3</w:t>
            </w:r>
          </w:p>
        </w:tc>
        <w:tc>
          <w:tcPr>
            <w:tcW w:w="919"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电脑设备橱柜</w:t>
            </w:r>
          </w:p>
        </w:tc>
        <w:tc>
          <w:tcPr>
            <w:tcW w:w="820"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个</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pPr>
              <w:spacing w:line="600" w:lineRule="exact"/>
              <w:jc w:val="center"/>
              <w:rPr>
                <w:rFonts w:hint="eastAsia" w:ascii="仿宋_GB2312" w:hAnsi="仿宋" w:eastAsia="仿宋_GB2312" w:cs="华文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5" w:hRule="atLeast"/>
        </w:trPr>
        <w:tc>
          <w:tcPr>
            <w:tcW w:w="512"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4</w:t>
            </w:r>
          </w:p>
        </w:tc>
        <w:tc>
          <w:tcPr>
            <w:tcW w:w="919"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服务器专用柜</w:t>
            </w:r>
          </w:p>
        </w:tc>
        <w:tc>
          <w:tcPr>
            <w:tcW w:w="820"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个</w:t>
            </w: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658" w:type="pct"/>
            <w:shd w:val="clear" w:color="auto" w:fill="auto"/>
            <w:vAlign w:val="center"/>
          </w:tcPr>
          <w:p>
            <w:pPr>
              <w:spacing w:line="600" w:lineRule="exact"/>
              <w:jc w:val="center"/>
              <w:rPr>
                <w:rFonts w:hint="eastAsia" w:ascii="仿宋_GB2312" w:hAnsi="仿宋" w:eastAsia="仿宋_GB2312" w:cs="华文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1" w:hRule="atLeast"/>
        </w:trPr>
        <w:tc>
          <w:tcPr>
            <w:tcW w:w="512"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5</w:t>
            </w:r>
          </w:p>
        </w:tc>
        <w:tc>
          <w:tcPr>
            <w:tcW w:w="919"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比赛区局域网</w:t>
            </w:r>
          </w:p>
        </w:tc>
        <w:tc>
          <w:tcPr>
            <w:tcW w:w="820" w:type="pct"/>
            <w:shd w:val="clear" w:color="auto" w:fill="auto"/>
            <w:vAlign w:val="center"/>
          </w:tcPr>
          <w:p>
            <w:pPr>
              <w:spacing w:line="600" w:lineRule="exact"/>
              <w:jc w:val="center"/>
              <w:rPr>
                <w:rFonts w:hint="eastAsia" w:ascii="仿宋_GB2312" w:hAnsi="仿宋" w:eastAsia="仿宋_GB2312" w:cs="华文仿宋"/>
                <w:sz w:val="24"/>
                <w:szCs w:val="24"/>
              </w:rPr>
            </w:pPr>
          </w:p>
        </w:tc>
        <w:tc>
          <w:tcPr>
            <w:tcW w:w="697" w:type="pct"/>
            <w:shd w:val="clear" w:color="auto" w:fill="auto"/>
            <w:vAlign w:val="center"/>
          </w:tcPr>
          <w:p>
            <w:pPr>
              <w:spacing w:line="600" w:lineRule="exact"/>
              <w:jc w:val="center"/>
              <w:rPr>
                <w:rFonts w:hint="eastAsia" w:ascii="仿宋_GB2312" w:hAnsi="仿宋" w:eastAsia="仿宋_GB2312" w:cs="华文仿宋"/>
                <w:sz w:val="24"/>
                <w:szCs w:val="24"/>
              </w:rPr>
            </w:pPr>
          </w:p>
        </w:tc>
        <w:tc>
          <w:tcPr>
            <w:tcW w:w="694" w:type="pct"/>
            <w:shd w:val="clear" w:color="auto" w:fill="auto"/>
            <w:vAlign w:val="center"/>
          </w:tcPr>
          <w:p>
            <w:pPr>
              <w:spacing w:line="600" w:lineRule="exact"/>
              <w:jc w:val="center"/>
              <w:rPr>
                <w:rFonts w:hint="eastAsia" w:ascii="仿宋_GB2312" w:hAnsi="仿宋" w:eastAsia="仿宋_GB2312" w:cs="华文仿宋"/>
                <w:sz w:val="24"/>
                <w:szCs w:val="24"/>
              </w:rPr>
            </w:pPr>
          </w:p>
        </w:tc>
        <w:tc>
          <w:tcPr>
            <w:tcW w:w="697"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658"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5" w:hRule="atLeast"/>
        </w:trPr>
        <w:tc>
          <w:tcPr>
            <w:tcW w:w="512"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6</w:t>
            </w:r>
          </w:p>
        </w:tc>
        <w:tc>
          <w:tcPr>
            <w:tcW w:w="919"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比赛区联网</w:t>
            </w:r>
          </w:p>
        </w:tc>
        <w:tc>
          <w:tcPr>
            <w:tcW w:w="2909" w:type="pct"/>
            <w:gridSpan w:val="4"/>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比赛设备需连接互联网</w:t>
            </w:r>
          </w:p>
        </w:tc>
        <w:tc>
          <w:tcPr>
            <w:tcW w:w="658" w:type="pct"/>
            <w:shd w:val="clear" w:color="auto" w:fill="auto"/>
            <w:vAlign w:val="center"/>
          </w:tcPr>
          <w:p>
            <w:pPr>
              <w:widowControl/>
              <w:spacing w:line="600" w:lineRule="exact"/>
              <w:jc w:val="center"/>
              <w:textAlignment w:val="top"/>
              <w:rPr>
                <w:rFonts w:hint="eastAsia" w:ascii="仿宋_GB2312" w:hAnsi="仿宋" w:eastAsia="仿宋_GB2312" w:cs="华文仿宋"/>
                <w:sz w:val="24"/>
                <w:szCs w:val="24"/>
              </w:rPr>
            </w:pPr>
          </w:p>
        </w:tc>
      </w:tr>
    </w:tbl>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16" w:name="_Toc131804153"/>
    </w:p>
    <w:p>
      <w:pPr>
        <w:pStyle w:val="4"/>
        <w:spacing w:before="156" w:beforeLines="50" w:beforeAutospacing="0" w:after="156" w:afterLines="50" w:afterAutospacing="0" w:line="600" w:lineRule="exact"/>
        <w:rPr>
          <w:rFonts w:ascii="黑体" w:hAnsi="黑体" w:eastAsia="黑体" w:cs="黑体"/>
          <w:b w:val="0"/>
          <w:bCs w:val="0"/>
          <w:sz w:val="32"/>
          <w:szCs w:val="32"/>
        </w:rPr>
      </w:pPr>
    </w:p>
    <w:p>
      <w:pPr>
        <w:pStyle w:val="4"/>
        <w:spacing w:before="156" w:beforeLines="50" w:beforeAutospacing="0" w:after="156" w:afterLines="50" w:afterAutospacing="0" w:line="600" w:lineRule="exact"/>
        <w:rPr>
          <w:rFonts w:ascii="黑体" w:hAnsi="黑体" w:eastAsia="黑体" w:cs="黑体"/>
          <w:b w:val="0"/>
          <w:bCs w:val="0"/>
          <w:sz w:val="32"/>
          <w:szCs w:val="32"/>
        </w:rPr>
      </w:pPr>
    </w:p>
    <w:p>
      <w:pPr>
        <w:pStyle w:val="4"/>
        <w:spacing w:before="156" w:beforeLines="50" w:beforeAutospacing="0" w:after="156" w:afterLines="50" w:afterAutospacing="0" w:line="600" w:lineRule="exact"/>
        <w:rPr>
          <w:rFonts w:ascii="黑体" w:hAnsi="黑体" w:eastAsia="黑体" w:cs="黑体"/>
          <w:b w:val="0"/>
          <w:bCs w:val="0"/>
          <w:sz w:val="32"/>
          <w:szCs w:val="32"/>
        </w:rPr>
      </w:pPr>
    </w:p>
    <w:p>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九、竞赛样题</w:t>
      </w:r>
      <w:bookmarkEnd w:id="16"/>
    </w:p>
    <w:p>
      <w:pPr>
        <w:snapToGrid w:val="0"/>
        <w:spacing w:line="560" w:lineRule="exact"/>
        <w:jc w:val="center"/>
        <w:rPr>
          <w:rFonts w:hint="eastAsia" w:ascii="黑体" w:hAnsi="黑体" w:eastAsia="黑体" w:cs="黑体"/>
          <w:b w:val="0"/>
          <w:bCs w:val="0"/>
          <w:kern w:val="36"/>
          <w:sz w:val="32"/>
          <w:szCs w:val="32"/>
          <w:lang w:val="en-US" w:eastAsia="zh-CN" w:bidi="ar-SA"/>
        </w:rPr>
      </w:pPr>
      <w:r>
        <w:rPr>
          <w:rFonts w:hint="eastAsia" w:ascii="黑体" w:hAnsi="黑体" w:eastAsia="黑体" w:cs="黑体"/>
          <w:b w:val="0"/>
          <w:bCs w:val="0"/>
          <w:kern w:val="36"/>
          <w:sz w:val="32"/>
          <w:szCs w:val="32"/>
          <w:lang w:val="en-US" w:eastAsia="zh-CN" w:bidi="ar-SA"/>
        </w:rPr>
        <w:t>2023年海南省职业院校技能大赛（高职组）</w:t>
      </w:r>
    </w:p>
    <w:p>
      <w:pPr>
        <w:pStyle w:val="4"/>
        <w:spacing w:before="0" w:beforeAutospacing="0" w:after="0" w:afterAutospacing="0" w:line="600" w:lineRule="exact"/>
        <w:jc w:val="center"/>
        <w:rPr>
          <w:rFonts w:hint="eastAsia" w:ascii="黑体" w:hAnsi="黑体" w:eastAsia="黑体" w:cs="黑体"/>
          <w:b w:val="0"/>
          <w:bCs w:val="0"/>
          <w:kern w:val="36"/>
          <w:sz w:val="32"/>
          <w:szCs w:val="32"/>
          <w:lang w:val="en-US" w:eastAsia="zh-CN" w:bidi="ar-SA"/>
        </w:rPr>
      </w:pPr>
      <w:r>
        <w:rPr>
          <w:rFonts w:hint="eastAsia" w:ascii="黑体" w:hAnsi="黑体" w:eastAsia="黑体" w:cs="黑体"/>
          <w:b w:val="0"/>
          <w:bCs w:val="0"/>
          <w:kern w:val="36"/>
          <w:sz w:val="32"/>
          <w:szCs w:val="32"/>
          <w:lang w:val="en-US" w:eastAsia="zh-CN" w:bidi="ar-SA"/>
        </w:rPr>
        <w:t>“数字艺术设计”赛项赛题</w:t>
      </w:r>
    </w:p>
    <w:p>
      <w:pPr>
        <w:pStyle w:val="19"/>
        <w:spacing w:line="600" w:lineRule="exact"/>
        <w:ind w:firstLine="480"/>
      </w:pPr>
    </w:p>
    <w:p>
      <w:pPr>
        <w:snapToGrid w:val="0"/>
        <w:spacing w:line="600" w:lineRule="exact"/>
        <w:ind w:firstLine="560" w:firstLineChars="200"/>
        <w:rPr>
          <w:rFonts w:ascii="方正楷体_GBK" w:hAnsi="楷体" w:eastAsia="方正楷体_GBK" w:cs="楷体"/>
          <w:b/>
          <w:sz w:val="28"/>
          <w:szCs w:val="28"/>
        </w:rPr>
      </w:pPr>
      <w:bookmarkStart w:id="17" w:name="_Toc131771603"/>
      <w:bookmarkStart w:id="18" w:name="_Toc131769831"/>
      <w:bookmarkStart w:id="19" w:name="_Toc131790174"/>
      <w:bookmarkStart w:id="20" w:name="_Toc131771241"/>
      <w:bookmarkStart w:id="21" w:name="_Toc131788856"/>
      <w:r>
        <w:rPr>
          <w:rFonts w:hint="eastAsia" w:ascii="方正楷体_GBK" w:hAnsi="楷体" w:eastAsia="方正楷体_GBK" w:cs="楷体"/>
          <w:b/>
          <w:sz w:val="28"/>
          <w:szCs w:val="28"/>
        </w:rPr>
        <w:t>（一）竞赛</w:t>
      </w:r>
      <w:bookmarkEnd w:id="17"/>
      <w:bookmarkEnd w:id="18"/>
      <w:bookmarkEnd w:id="19"/>
      <w:bookmarkEnd w:id="20"/>
      <w:bookmarkEnd w:id="21"/>
      <w:r>
        <w:rPr>
          <w:rFonts w:hint="eastAsia" w:ascii="方正楷体_GBK" w:hAnsi="楷体" w:eastAsia="方正楷体_GBK" w:cs="楷体"/>
          <w:b/>
          <w:sz w:val="28"/>
          <w:szCs w:val="28"/>
        </w:rPr>
        <w:t>目标</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检验选手</w:t>
      </w:r>
      <w:r>
        <w:rPr>
          <w:rFonts w:hint="eastAsia" w:ascii="仿宋_GB2312" w:hAnsi="仿宋_GB2312" w:eastAsia="仿宋_GB2312" w:cs="仿宋_GB2312"/>
          <w:sz w:val="28"/>
          <w:szCs w:val="28"/>
          <w:lang w:eastAsia="zh-Hans"/>
        </w:rPr>
        <w:t>的艺术</w:t>
      </w:r>
      <w:r>
        <w:rPr>
          <w:rFonts w:hint="eastAsia" w:ascii="仿宋_GB2312" w:hAnsi="仿宋_GB2312" w:eastAsia="仿宋_GB2312" w:cs="仿宋_GB2312"/>
          <w:sz w:val="28"/>
          <w:szCs w:val="28"/>
        </w:rPr>
        <w:t>创造能力</w:t>
      </w:r>
      <w:r>
        <w:rPr>
          <w:rFonts w:hint="eastAsia" w:ascii="仿宋_GB2312" w:hAnsi="仿宋_GB2312" w:eastAsia="仿宋_GB2312" w:cs="仿宋_GB2312"/>
          <w:sz w:val="28"/>
          <w:szCs w:val="28"/>
          <w:lang w:eastAsia="zh-Hans"/>
        </w:rPr>
        <w:t>和技术表达能力</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契合</w:t>
      </w:r>
      <w:r>
        <w:rPr>
          <w:rFonts w:hint="eastAsia" w:ascii="仿宋_GB2312" w:hAnsi="仿宋_GB2312" w:eastAsia="仿宋_GB2312" w:cs="仿宋_GB2312"/>
          <w:sz w:val="28"/>
          <w:szCs w:val="28"/>
        </w:rPr>
        <w:t>产业</w:t>
      </w:r>
      <w:r>
        <w:rPr>
          <w:rFonts w:hint="eastAsia" w:ascii="仿宋_GB2312" w:hAnsi="仿宋_GB2312" w:eastAsia="仿宋_GB2312" w:cs="仿宋_GB2312"/>
          <w:sz w:val="28"/>
          <w:szCs w:val="28"/>
          <w:lang w:eastAsia="zh-Hans"/>
        </w:rPr>
        <w:t>行业</w:t>
      </w:r>
      <w:r>
        <w:rPr>
          <w:rFonts w:hint="eastAsia" w:ascii="仿宋_GB2312" w:hAnsi="仿宋_GB2312" w:eastAsia="仿宋_GB2312" w:cs="仿宋_GB2312"/>
          <w:sz w:val="28"/>
          <w:szCs w:val="28"/>
        </w:rPr>
        <w:t>发展</w:t>
      </w:r>
      <w:r>
        <w:rPr>
          <w:rFonts w:hint="eastAsia" w:ascii="仿宋_GB2312" w:hAnsi="仿宋_GB2312" w:eastAsia="仿宋_GB2312" w:cs="仿宋_GB2312"/>
          <w:sz w:val="28"/>
          <w:szCs w:val="28"/>
          <w:lang w:eastAsia="zh-Hans"/>
        </w:rPr>
        <w:t>需求</w:t>
      </w:r>
      <w:r>
        <w:rPr>
          <w:rFonts w:hint="eastAsia" w:ascii="仿宋_GB2312" w:hAnsi="仿宋_GB2312" w:eastAsia="仿宋_GB2312" w:cs="仿宋_GB2312"/>
          <w:sz w:val="28"/>
          <w:szCs w:val="28"/>
        </w:rPr>
        <w:t>，考查</w:t>
      </w:r>
      <w:r>
        <w:rPr>
          <w:rFonts w:hint="eastAsia" w:ascii="仿宋_GB2312" w:hAnsi="仿宋_GB2312" w:eastAsia="仿宋_GB2312" w:cs="仿宋_GB2312"/>
          <w:sz w:val="28"/>
          <w:szCs w:val="28"/>
          <w:lang w:eastAsia="zh-Hans"/>
        </w:rPr>
        <w:t>使用</w:t>
      </w:r>
      <w:r>
        <w:rPr>
          <w:rFonts w:hint="eastAsia" w:ascii="仿宋_GB2312" w:hAnsi="仿宋_GB2312" w:eastAsia="仿宋_GB2312" w:cs="仿宋_GB2312"/>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sz w:val="28"/>
          <w:szCs w:val="28"/>
          <w:lang w:eastAsia="zh-Hans"/>
        </w:rPr>
        <w:t>模型制作、动画</w:t>
      </w:r>
      <w:r>
        <w:rPr>
          <w:rFonts w:hint="eastAsia" w:ascii="仿宋_GB2312" w:hAnsi="仿宋_GB2312" w:eastAsia="仿宋_GB2312" w:cs="仿宋_GB2312"/>
          <w:sz w:val="28"/>
          <w:szCs w:val="28"/>
        </w:rPr>
        <w:t>制作、</w:t>
      </w:r>
      <w:r>
        <w:rPr>
          <w:rFonts w:hint="eastAsia" w:ascii="仿宋_GB2312" w:hAnsi="仿宋_GB2312" w:eastAsia="仿宋_GB2312" w:cs="仿宋_GB2312"/>
          <w:sz w:val="28"/>
          <w:szCs w:val="28"/>
          <w:lang w:eastAsia="zh-Hans"/>
        </w:rPr>
        <w:t>引擎效果渲染和影视后期制作等</w:t>
      </w:r>
      <w:r>
        <w:rPr>
          <w:rFonts w:hint="eastAsia" w:ascii="仿宋_GB2312" w:hAnsi="仿宋_GB2312" w:eastAsia="仿宋_GB2312" w:cs="仿宋_GB2312"/>
          <w:sz w:val="28"/>
          <w:szCs w:val="28"/>
        </w:rPr>
        <w:t>核心技术技能；同时考查选手的技术操作规范和团队沟通协作等岗位素养。</w:t>
      </w:r>
    </w:p>
    <w:p>
      <w:pPr>
        <w:snapToGrid w:val="0"/>
        <w:spacing w:line="600" w:lineRule="exact"/>
        <w:ind w:firstLine="560" w:firstLineChars="200"/>
        <w:rPr>
          <w:rFonts w:ascii="方正楷体_GBK" w:hAnsi="楷体" w:eastAsia="方正楷体_GBK" w:cs="楷体"/>
          <w:b/>
          <w:sz w:val="28"/>
          <w:szCs w:val="28"/>
        </w:rPr>
      </w:pPr>
      <w:bookmarkStart w:id="22" w:name="_Toc131771604"/>
      <w:bookmarkStart w:id="23" w:name="_Toc131788857"/>
      <w:bookmarkStart w:id="24" w:name="_Toc131771242"/>
      <w:bookmarkStart w:id="25" w:name="_Toc131769832"/>
      <w:bookmarkStart w:id="26" w:name="_Toc131790175"/>
      <w:r>
        <w:rPr>
          <w:rFonts w:hint="eastAsia" w:ascii="方正楷体_GBK" w:hAnsi="楷体" w:eastAsia="方正楷体_GBK" w:cs="楷体"/>
          <w:b/>
          <w:sz w:val="28"/>
          <w:szCs w:val="28"/>
        </w:rPr>
        <w:t>（二）竞赛内容</w:t>
      </w:r>
      <w:bookmarkEnd w:id="22"/>
      <w:bookmarkEnd w:id="23"/>
      <w:bookmarkEnd w:id="24"/>
      <w:bookmarkEnd w:id="25"/>
      <w:bookmarkEnd w:id="26"/>
    </w:p>
    <w:p>
      <w:pPr>
        <w:spacing w:line="600" w:lineRule="exact"/>
        <w:ind w:firstLine="560" w:firstLineChars="200"/>
        <w:rPr>
          <w:rFonts w:ascii="仿宋_GB2312" w:hAnsi="仿宋_GB2312" w:eastAsia="仿宋_GB2312" w:cs="仿宋_GB2312"/>
          <w:sz w:val="28"/>
          <w:szCs w:val="28"/>
        </w:rPr>
      </w:pPr>
      <w:bookmarkStart w:id="27" w:name="_Toc131771243"/>
      <w:r>
        <w:rPr>
          <w:rFonts w:hint="eastAsia" w:ascii="仿宋_GB2312" w:hAnsi="仿宋_GB2312" w:eastAsia="仿宋_GB2312" w:cs="仿宋_GB2312"/>
          <w:sz w:val="28"/>
          <w:szCs w:val="28"/>
        </w:rPr>
        <w:t>创作主题：《狮韵华年》</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故事背景：项目设计与制作表现小女孩寻找舞狮的冒险之旅，坚持自己的梦想，用智慧和勇气去创造一个更加美好的未来。</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故事梗概：在一个寒冷的冬夜，中国农历新年到来，小女孩用红色的灯笼和鞭炮来驱赶邪恶的神灵，欢庆新年的到来，</w:t>
      </w:r>
      <w:r>
        <w:rPr>
          <w:rFonts w:hint="eastAsia" w:ascii="仿宋_GB2312" w:hAnsi="仿宋_GB2312" w:eastAsia="仿宋_GB2312" w:cs="仿宋_GB2312"/>
          <w:sz w:val="28"/>
          <w:szCs w:val="28"/>
          <w:lang w:val="en-US" w:eastAsia="zh-CN"/>
        </w:rPr>
        <w:t>同时</w:t>
      </w:r>
      <w:r>
        <w:rPr>
          <w:rFonts w:hint="eastAsia" w:ascii="仿宋_GB2312" w:hAnsi="仿宋_GB2312" w:eastAsia="仿宋_GB2312" w:cs="仿宋_GB2312"/>
          <w:sz w:val="28"/>
          <w:szCs w:val="28"/>
        </w:rPr>
        <w:t>小女孩也在为即将到来的舞狮表演和比赛做准备。</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模块一：</w:t>
      </w:r>
      <w:r>
        <w:rPr>
          <w:rFonts w:hint="eastAsia" w:ascii="楷体" w:hAnsi="楷体" w:eastAsia="楷体" w:cs="楷体"/>
          <w:b/>
          <w:sz w:val="28"/>
          <w:szCs w:val="28"/>
          <w:lang w:eastAsia="zh-CN"/>
        </w:rPr>
        <w:t>道具、场景设计</w:t>
      </w:r>
      <w:r>
        <w:rPr>
          <w:rFonts w:hint="eastAsia" w:ascii="楷体" w:hAnsi="楷体" w:eastAsia="楷体" w:cs="楷体"/>
          <w:b/>
          <w:sz w:val="28"/>
          <w:szCs w:val="28"/>
        </w:rPr>
        <w:t>与模型制作</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综合使用图像绘制或AI绘画工具进行设计和绘制，完成</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和喜庆的村庄场景三视图。根据绘制的</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和场景三视图综合使用三维建模软件和材质贴图软件，按照</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和场景设计进行建模和贴图制作，完成该模块要求的</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和场景模型表现形式和效果。</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模块二：动画制作与剪辑</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根据提供的小女孩模型素材完成模型绑定、权重设置，按照提供的故事梗概形成完整情节，使用模块一制作的场景</w:t>
      </w:r>
      <w:r>
        <w:rPr>
          <w:rFonts w:hint="eastAsia" w:ascii="仿宋_GB2312" w:hAnsi="仿宋_GB2312" w:eastAsia="仿宋_GB2312" w:cs="仿宋_GB2312"/>
          <w:sz w:val="28"/>
          <w:szCs w:val="28"/>
          <w:lang w:val="en-US" w:eastAsia="zh-CN"/>
        </w:rPr>
        <w:t>和道具</w:t>
      </w:r>
      <w:r>
        <w:rPr>
          <w:rFonts w:hint="eastAsia" w:ascii="仿宋_GB2312" w:hAnsi="仿宋_GB2312" w:eastAsia="仿宋_GB2312" w:cs="仿宋_GB2312"/>
          <w:sz w:val="28"/>
          <w:szCs w:val="28"/>
        </w:rPr>
        <w:t>，制作时长为25-30秒的三维动画，渲染输出序列帧，进行后期剪辑合成并添加音频音效输出成片（需为短片命名，并据此添加简短片头，片头中严禁出现姓名、学校或者其他体现个人信息的文字，片头不包含在动画总长时间内）。</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模块三：引擎效果渲染与后期处理</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使用提供的素材资产在引擎中进行地形编辑、环境场景搭建、灯光设置、特效制作、镜头设置等，渲染输出20-30秒的视频，进行后期剪辑合成并添加音频音效输出成片。</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（三）竞赛要求</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模块一：</w:t>
      </w:r>
      <w:bookmarkEnd w:id="27"/>
      <w:r>
        <w:rPr>
          <w:rFonts w:hint="eastAsia" w:ascii="楷体" w:hAnsi="楷体" w:eastAsia="楷体" w:cs="楷体"/>
          <w:b/>
          <w:sz w:val="28"/>
          <w:szCs w:val="28"/>
          <w:lang w:val="en-US" w:eastAsia="zh-CN"/>
        </w:rPr>
        <w:t>道具</w:t>
      </w:r>
      <w:r>
        <w:rPr>
          <w:rFonts w:hint="eastAsia" w:ascii="楷体" w:hAnsi="楷体" w:eastAsia="楷体" w:cs="楷体"/>
          <w:b/>
          <w:sz w:val="28"/>
          <w:szCs w:val="28"/>
        </w:rPr>
        <w:t>、场景设计与模型制作</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w:t>
      </w:r>
      <w:r>
        <w:rPr>
          <w:rFonts w:hint="eastAsia" w:ascii="楷体" w:hAnsi="楷体" w:eastAsia="楷体" w:cs="楷体"/>
          <w:b/>
          <w:sz w:val="28"/>
          <w:szCs w:val="28"/>
          <w:lang w:val="en-US" w:eastAsia="zh-CN"/>
        </w:rPr>
        <w:t>道具</w:t>
      </w:r>
      <w:r>
        <w:rPr>
          <w:rFonts w:hint="eastAsia" w:ascii="楷体" w:hAnsi="楷体" w:eastAsia="楷体" w:cs="楷体"/>
          <w:b/>
          <w:sz w:val="28"/>
          <w:szCs w:val="28"/>
        </w:rPr>
        <w:t>和场景原画设计</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完成</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设计图（不能有</w:t>
      </w:r>
      <w:r>
        <w:rPr>
          <w:rFonts w:hint="eastAsia" w:ascii="仿宋_GB2312" w:hAnsi="仿宋_GB2312" w:eastAsia="仿宋_GB2312" w:cs="仿宋_GB2312"/>
          <w:sz w:val="28"/>
          <w:szCs w:val="28"/>
          <w:lang w:val="en-US" w:eastAsia="zh-CN"/>
        </w:rPr>
        <w:t>涉及违规</w:t>
      </w:r>
      <w:r>
        <w:rPr>
          <w:rFonts w:hint="eastAsia" w:ascii="仿宋_GB2312" w:hAnsi="仿宋_GB2312" w:eastAsia="仿宋_GB2312" w:cs="仿宋_GB2312"/>
          <w:sz w:val="28"/>
          <w:szCs w:val="28"/>
        </w:rPr>
        <w:t>部分出现）和喜庆的村庄场景环境效果的设计图。</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1.硬件环境：计算机电脑，数码手绘板</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2.软件环境：Photoshop、SAI或AIxPainting绘画工具（AIxPainting绘画工具链接：</w:t>
      </w:r>
      <w:r>
        <w:rPr>
          <w:rFonts w:ascii="宋体" w:hAnsi="宋体" w:cs="宋体"/>
          <w:sz w:val="24"/>
          <w:szCs w:val="24"/>
        </w:rPr>
        <w:t>https://aip.school.youdao.com</w:t>
      </w:r>
      <w:r>
        <w:rPr>
          <w:rFonts w:hint="eastAsia" w:ascii="宋体" w:hAnsi="宋体" w:cs="宋体"/>
          <w:sz w:val="24"/>
          <w:szCs w:val="24"/>
        </w:rPr>
        <w:t>，亦可在搜索引擎中搜</w:t>
      </w:r>
      <w:r>
        <w:rPr>
          <w:rFonts w:hint="eastAsia" w:ascii="仿宋_GB2312" w:hAnsi="仿宋_GB2312" w:eastAsia="仿宋_GB2312" w:cs="仿宋_GB2312"/>
          <w:sz w:val="28"/>
          <w:szCs w:val="28"/>
        </w:rPr>
        <w:t>索AIxPainting）</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1.提交格式：</w:t>
      </w:r>
      <w:r>
        <w:rPr>
          <w:rFonts w:hint="eastAsia" w:ascii="仿宋_GB2312" w:hAnsi="仿宋_GB2312" w:eastAsia="仿宋_GB2312" w:cs="仿宋_GB2312"/>
          <w:sz w:val="28"/>
          <w:szCs w:val="28"/>
          <w:lang w:val="en-US" w:eastAsia="zh-CN"/>
        </w:rPr>
        <w:t>道具</w:t>
      </w:r>
      <w:r>
        <w:rPr>
          <w:rFonts w:hint="eastAsia" w:ascii="仿宋_GB2312" w:hAnsi="仿宋_GB2312" w:eastAsia="仿宋_GB2312" w:cs="仿宋_GB2312"/>
          <w:sz w:val="28"/>
          <w:szCs w:val="28"/>
        </w:rPr>
        <w:t>和场景三视图JPG图片文件；</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2.图片尺寸1920*1080，分辨率300dpi；</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3.文件保存到“FSF_Concept_Final_YY”（其中YY要替换成实际工位号）文件夹，如果提交多个同类型文件的可在文件名后加上“_数字”，如_01，_02以此类推。</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p>
      <w:pPr>
        <w:snapToGrid w:val="0"/>
        <w:spacing w:line="600" w:lineRule="exact"/>
        <w:ind w:firstLine="562" w:firstLineChars="200"/>
        <w:rPr>
          <w:rFonts w:ascii="楷体" w:hAnsi="楷体" w:eastAsia="楷体" w:cs="楷体"/>
          <w:b/>
          <w:sz w:val="28"/>
          <w:szCs w:val="28"/>
        </w:rPr>
      </w:pPr>
      <w:bookmarkStart w:id="28" w:name="_Toc131771244"/>
      <w:r>
        <w:rPr>
          <w:rFonts w:hint="eastAsia" w:ascii="楷体" w:hAnsi="楷体" w:eastAsia="楷体" w:cs="楷体"/>
          <w:b/>
          <w:sz w:val="28"/>
          <w:szCs w:val="28"/>
        </w:rPr>
        <w:t>任务2：</w:t>
      </w:r>
      <w:r>
        <w:rPr>
          <w:rFonts w:hint="eastAsia" w:ascii="楷体" w:hAnsi="楷体" w:eastAsia="楷体" w:cs="楷体"/>
          <w:b/>
          <w:sz w:val="28"/>
          <w:szCs w:val="28"/>
          <w:lang w:val="en-US" w:eastAsia="zh-CN"/>
        </w:rPr>
        <w:t>道具和</w:t>
      </w:r>
      <w:r>
        <w:rPr>
          <w:rFonts w:hint="eastAsia" w:ascii="楷体" w:hAnsi="楷体" w:eastAsia="楷体" w:cs="楷体"/>
          <w:b/>
          <w:sz w:val="28"/>
          <w:szCs w:val="28"/>
        </w:rPr>
        <w:t>场景模型制作</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根据模块一任务1的设计图定稿方案，高质量完成三维</w:t>
      </w:r>
      <w:r>
        <w:rPr>
          <w:rFonts w:hint="eastAsia" w:ascii="仿宋_GB2312" w:hAnsi="仿宋_GB2312" w:eastAsia="仿宋_GB2312" w:cs="仿宋_GB2312"/>
          <w:sz w:val="28"/>
          <w:szCs w:val="28"/>
          <w:lang w:val="en-US" w:eastAsia="zh-CN"/>
        </w:rPr>
        <w:t>道具和</w:t>
      </w:r>
      <w:r>
        <w:rPr>
          <w:rFonts w:hint="eastAsia" w:ascii="仿宋_GB2312" w:hAnsi="仿宋_GB2312" w:eastAsia="仿宋_GB2312" w:cs="仿宋_GB2312"/>
          <w:sz w:val="28"/>
          <w:szCs w:val="28"/>
        </w:rPr>
        <w:t>场景模型。</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2.软件环境：Maya、 3Ds Max、 Cinema 4D 、ZBrush、Marvelous Designer、Substance Painter</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1.模型提交3张不同角度的最终效果展示JPG图片；</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2.完成场景模型.MA源文件或.Max源文件、FBX模型文件、材质贴图文件</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3.将此阶段完成的</w:t>
      </w:r>
      <w:r>
        <w:rPr>
          <w:rFonts w:hint="eastAsia" w:ascii="仿宋_GB2312" w:hAnsi="仿宋_GB2312" w:eastAsia="仿宋_GB2312" w:cs="仿宋_GB2312"/>
          <w:sz w:val="28"/>
          <w:szCs w:val="28"/>
          <w:lang w:eastAsia="zh-CN"/>
        </w:rPr>
        <w:t>道具</w:t>
      </w:r>
      <w:r>
        <w:rPr>
          <w:rFonts w:hint="eastAsia" w:ascii="仿宋_GB2312" w:hAnsi="仿宋_GB2312" w:eastAsia="仿宋_GB2312" w:cs="仿宋_GB2312"/>
          <w:sz w:val="28"/>
          <w:szCs w:val="28"/>
        </w:rPr>
        <w:t>文件保存到“FSF_</w:t>
      </w:r>
      <w:r>
        <w:rPr>
          <w:rFonts w:hint="eastAsia" w:ascii="仿宋_GB2312" w:hAnsi="仿宋_GB2312" w:eastAsia="仿宋_GB2312" w:cs="仿宋_GB2312"/>
          <w:sz w:val="28"/>
          <w:szCs w:val="28"/>
          <w:lang w:eastAsia="zh-CN"/>
        </w:rPr>
        <w:t>Props</w:t>
      </w:r>
      <w:r>
        <w:rPr>
          <w:rFonts w:hint="eastAsia" w:ascii="仿宋_GB2312" w:hAnsi="仿宋_GB2312" w:eastAsia="仿宋_GB2312" w:cs="仿宋_GB2312"/>
          <w:sz w:val="28"/>
          <w:szCs w:val="28"/>
        </w:rPr>
        <w:t>_Final_YY”（其中YY要替换成实际工位号）文件夹,场景文件保存到“FSF_Scenes_Final_YY”（其中YY要替换成实际工位号）文件夹,如果提交多个同类型文件的可在文件名后加上“_数字”，如_01，_02以此类推。</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bookmarkEnd w:id="28"/>
    <w:p>
      <w:pPr>
        <w:snapToGrid w:val="0"/>
        <w:spacing w:line="600" w:lineRule="exact"/>
        <w:ind w:firstLine="562" w:firstLineChars="200"/>
        <w:rPr>
          <w:rFonts w:ascii="楷体" w:hAnsi="楷体" w:eastAsia="楷体" w:cs="楷体"/>
          <w:b/>
          <w:sz w:val="28"/>
          <w:szCs w:val="28"/>
        </w:rPr>
      </w:pPr>
      <w:bookmarkStart w:id="29" w:name="_Toc131771245"/>
      <w:r>
        <w:rPr>
          <w:rFonts w:hint="eastAsia" w:ascii="楷体" w:hAnsi="楷体" w:eastAsia="楷体" w:cs="楷体"/>
          <w:b/>
          <w:sz w:val="28"/>
          <w:szCs w:val="28"/>
        </w:rPr>
        <w:t>模块二：3D动画制作</w:t>
      </w:r>
      <w:bookmarkEnd w:id="29"/>
      <w:r>
        <w:rPr>
          <w:rFonts w:hint="eastAsia" w:ascii="楷体" w:hAnsi="楷体" w:eastAsia="楷体" w:cs="楷体"/>
          <w:b/>
          <w:sz w:val="28"/>
          <w:szCs w:val="28"/>
        </w:rPr>
        <w:t>与剪辑</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任务1：3D动画制作</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参赛选手根据提供小女孩角色模型素材</w:t>
      </w:r>
      <w:r>
        <w:rPr>
          <w:rFonts w:hint="eastAsia" w:ascii="仿宋_GB2312" w:hAnsi="仿宋_GB2312" w:eastAsia="仿宋_GB2312" w:cs="仿宋_GB2312"/>
          <w:sz w:val="28"/>
          <w:szCs w:val="28"/>
          <w:lang w:val="en-US" w:eastAsia="zh-CN"/>
        </w:rPr>
        <w:t>和模块一中的道具</w:t>
      </w:r>
      <w:r>
        <w:rPr>
          <w:rFonts w:hint="eastAsia" w:ascii="仿宋_GB2312" w:hAnsi="仿宋_GB2312" w:eastAsia="仿宋_GB2312" w:cs="仿宋_GB2312"/>
          <w:sz w:val="28"/>
          <w:szCs w:val="28"/>
        </w:rPr>
        <w:t>按要求完成绑定、蒙皮权重设置，按照提供的故事剧本，表达完整的故事情节，使用模块一制作的场景模型搭建环境，制作时长为25-30秒的三维动画，渲染输出序列帧动画。</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2.软件环境：Maya 、3DMAX、Cinema 4D</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1.1份包含.MA或 .MAX或 .C4D源文件的工程文件夹；</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2.动画剧情完整、清晰流畅、符合动画规律及体现角色情绪表达；</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3.将此阶段设计完成的文件保存到“FSF_Animation1_Final_YY”（其中YY要替换成实际工位号）文件夹，如果提交多个同类型文件的可在文件名后加上“_数字”，如_01，_02以此类推。</w:t>
      </w:r>
      <w:bookmarkStart w:id="44" w:name="_GoBack"/>
      <w:bookmarkEnd w:id="44"/>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任务2：动画视频剪辑</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参赛选手根据模块二任务1制作的序列帧动画作为视频剪辑素材，完成该任务要求的动画视频剪辑。</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pPr>
        <w:spacing w:line="6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2.软件环境：Adobe After Effects、Premiere </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1.后期剪辑合成并添加音频音效输出成片，H.264格式，</w:t>
      </w:r>
      <w:r>
        <w:rPr>
          <w:rFonts w:hint="eastAsia" w:ascii="仿宋_GB2312" w:hAnsi="仿宋_GB2312" w:eastAsia="仿宋_GB2312" w:cs="仿宋_GB2312"/>
          <w:color w:val="000000" w:themeColor="text1"/>
          <w:sz w:val="28"/>
          <w:szCs w:val="28"/>
          <w:shd w:val="clear" w:color="FFFFFF" w:fill="auto"/>
          <w14:textFill>
            <w14:solidFill>
              <w14:schemeClr w14:val="tx1"/>
            </w14:solidFill>
          </w14:textFill>
        </w:rPr>
        <w:t>帧速率25帧/秒，</w:t>
      </w:r>
      <w:r>
        <w:rPr>
          <w:rFonts w:hint="eastAsia" w:ascii="仿宋_GB2312" w:hAnsi="仿宋_GB2312" w:eastAsia="仿宋_GB2312" w:cs="仿宋_GB2312"/>
          <w:sz w:val="28"/>
          <w:szCs w:val="28"/>
        </w:rPr>
        <w:t>分辨率 1920*1080（需为短片命名，并据此添加简短片头，片头中严禁出现姓名、学校或者其他体现个人信息的文字，片头不包含在动画总长时间内）。</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2.将此阶段完成的文件保存到“FSF_Animation2_Final_YY”（其中YY要替换成实际工位号）文件，如果提交多个同类型文件的可在文件名后加上“_数字”，如_01，_02以此类推。</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3.比赛结束前请把需要提交的文件复制到发放的U盘中，监考人员将在比赛结束时回收U盘，评分将以U盘中文件为准。</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模块三：引擎效果渲染与后期处理</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任务1：引擎效果渲染</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参赛选手使用提供的素材资产在引擎中进行地形编辑、环境场景搭建、灯光设置、特效制作、镜头设置等，渲染输出</w:t>
      </w:r>
      <w:r>
        <w:rPr>
          <w:rFonts w:hint="eastAsia" w:ascii="仿宋_GB2312" w:hAnsi="仿宋_GB2312" w:eastAsia="仿宋_GB2312" w:cs="仿宋_GB2312"/>
          <w:sz w:val="28"/>
          <w:szCs w:val="28"/>
          <w:lang w:val="en-US" w:eastAsia="zh-CN"/>
        </w:rPr>
        <w:t>场景漫游</w:t>
      </w:r>
      <w:r>
        <w:rPr>
          <w:rFonts w:hint="eastAsia" w:ascii="仿宋_GB2312" w:hAnsi="仿宋_GB2312" w:eastAsia="仿宋_GB2312" w:cs="仿宋_GB2312"/>
          <w:sz w:val="28"/>
          <w:szCs w:val="28"/>
        </w:rPr>
        <w:t>动画视频。</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2.软件环境：Unreal Engine</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3张不同角度的最终效果展示JPG图片；</w:t>
      </w:r>
    </w:p>
    <w:p>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整体效果表达清晰、符合整体方案设计；</w:t>
      </w:r>
    </w:p>
    <w:p>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将此阶段完成的文件保存到“FSF_Scenes_Final_YY”（其中YY要替换成实际工位号）文件夹,如果提交多个同类型文件的可在文件名后加上“_数字”，如_01，_02以此类推。</w:t>
      </w:r>
    </w:p>
    <w:p>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比赛结束前请把需要提交的文件复制到发放的U盘中，监考人员将在比赛结束时回收U盘，评分将以U盘中文件为准。</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任务2：视频后期处理</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参赛选手根据模块三任务1制作的引擎效果渲染的动画视频作为视频剪辑素材，进行后期剪辑合成，并添加音频音效输出成片。视频格式为H.264格式，帧速率25帧/秒，分辨率 1920*1080。</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2.软件环境：Adobe After Effects 、Premiere Pro</w:t>
      </w:r>
    </w:p>
    <w:p>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1.后期剪辑合成并添加音频音效输出成片，H.264格式，分辨率 1920*1080（需为短片命名，并据此添加简短片头，片头中严禁出现姓名、学校或者其他体现个人信息的文字，片头不包含在动画总长时间内）。</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2.将文件保存到“FSF_Scenes_Animation_Final_YY”（其中YY要替换成实际工位号）文件夹，如果提交多个同类型文件的可在文件名后加上“_数字”，如_01，_02以此类推。</w:t>
      </w:r>
    </w:p>
    <w:p>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3.比赛结束前请把需要提交的文件复制到发放的U盘中，监考人员将在比赛结束时回收U盘，评分将以U盘中文件为准。</w:t>
      </w:r>
    </w:p>
    <w:p>
      <w:pPr>
        <w:pStyle w:val="19"/>
        <w:spacing w:line="600" w:lineRule="exact"/>
        <w:ind w:firstLine="560"/>
        <w:rPr>
          <w:rFonts w:eastAsia="仿宋_GB2312" w:cs="仿宋_GB2312"/>
          <w:sz w:val="28"/>
          <w:szCs w:val="28"/>
        </w:rPr>
      </w:pPr>
      <w:bookmarkStart w:id="30" w:name="_Toc131771605"/>
      <w:bookmarkStart w:id="31" w:name="_Toc131769833"/>
      <w:bookmarkStart w:id="32" w:name="_Toc131788858"/>
      <w:bookmarkStart w:id="33" w:name="_Toc131771246"/>
      <w:bookmarkStart w:id="34" w:name="_Toc131790176"/>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（四）竞赛素材</w:t>
      </w:r>
      <w:bookmarkEnd w:id="30"/>
      <w:bookmarkEnd w:id="31"/>
      <w:bookmarkEnd w:id="32"/>
      <w:bookmarkEnd w:id="33"/>
      <w:bookmarkEnd w:id="34"/>
    </w:p>
    <w:p>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原画设计参考图：</w:t>
      </w:r>
    </w:p>
    <w:p>
      <w:pPr>
        <w:spacing w:line="600" w:lineRule="exact"/>
        <w:jc w:val="center"/>
        <w:rPr>
          <w:rFonts w:hint="eastAsia" w:eastAsia="华文仿宋"/>
          <w:lang w:eastAsia="zh-CN"/>
        </w:rPr>
      </w:pPr>
      <w:r>
        <w:rPr>
          <w:rFonts w:hint="eastAsia" w:eastAsia="华文仿宋"/>
          <w:lang w:eastAsia="zh-CN"/>
        </w:rPr>
        <w:drawing>
          <wp:anchor distT="0" distB="0" distL="114300" distR="114300" simplePos="0" relativeHeight="251662336" behindDoc="0" locked="0" layoutInCell="1" allowOverlap="1">
            <wp:simplePos x="0" y="0"/>
            <wp:positionH relativeFrom="column">
              <wp:posOffset>1480185</wp:posOffset>
            </wp:positionH>
            <wp:positionV relativeFrom="paragraph">
              <wp:posOffset>-9184640</wp:posOffset>
            </wp:positionV>
            <wp:extent cx="2343150" cy="2352675"/>
            <wp:effectExtent l="0" t="0" r="0" b="9525"/>
            <wp:wrapSquare wrapText="bothSides"/>
            <wp:docPr id="4" name="图片 4" descr="cfd1bfc1b0692802036236827e546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fd1bfc1b0692802036236827e546bb"/>
                    <pic:cNvPicPr>
                      <a:picLocks noChangeAspect="1"/>
                    </pic:cNvPicPr>
                  </pic:nvPicPr>
                  <pic:blipFill>
                    <a:blip r:embed="rId5"/>
                    <a:stretch>
                      <a:fillRect/>
                    </a:stretch>
                  </pic:blipFill>
                  <pic:spPr>
                    <a:xfrm>
                      <a:off x="0" y="0"/>
                      <a:ext cx="2343150" cy="2352675"/>
                    </a:xfrm>
                    <a:prstGeom prst="rect">
                      <a:avLst/>
                    </a:prstGeom>
                  </pic:spPr>
                </pic:pic>
              </a:graphicData>
            </a:graphic>
          </wp:anchor>
        </w:drawing>
      </w:r>
    </w:p>
    <w:p>
      <w:pPr>
        <w:pStyle w:val="2"/>
        <w:rPr>
          <w:rFonts w:eastAsia="华文仿宋"/>
        </w:rPr>
      </w:pPr>
    </w:p>
    <w:p>
      <w:pPr>
        <w:pStyle w:val="3"/>
      </w:pPr>
    </w:p>
    <w:p>
      <w:pPr>
        <w:spacing w:line="600" w:lineRule="exact"/>
      </w:pPr>
    </w:p>
    <w:p>
      <w:pPr>
        <w:spacing w:line="600" w:lineRule="exact"/>
        <w:rPr>
          <w:rFonts w:hint="eastAsia" w:ascii="仿宋_GB2312" w:hAnsi="仿宋_GB2312" w:eastAsia="仿宋_GB2312" w:cs="仿宋_GB2312"/>
          <w:sz w:val="28"/>
          <w:szCs w:val="28"/>
        </w:rPr>
      </w:pPr>
    </w:p>
    <w:p>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场景设计参考图：</w:t>
      </w:r>
    </w:p>
    <w:p>
      <w:pPr>
        <w:spacing w:line="600" w:lineRule="exact"/>
        <w:jc w:val="center"/>
        <w:rPr>
          <w:rFonts w:eastAsia="华文仿宋"/>
        </w:rPr>
      </w:pPr>
      <w:r>
        <w:rPr>
          <w:rFonts w:hint="eastAsia" w:eastAsia="华文仿宋"/>
        </w:rPr>
        <w:drawing>
          <wp:anchor distT="0" distB="0" distL="114300" distR="114300" simplePos="0" relativeHeight="251661312" behindDoc="0" locked="0" layoutInCell="1" allowOverlap="1">
            <wp:simplePos x="0" y="0"/>
            <wp:positionH relativeFrom="margin">
              <wp:align>center</wp:align>
            </wp:positionH>
            <wp:positionV relativeFrom="paragraph">
              <wp:posOffset>469900</wp:posOffset>
            </wp:positionV>
            <wp:extent cx="4956810" cy="2476500"/>
            <wp:effectExtent l="0" t="0" r="0" b="0"/>
            <wp:wrapTopAndBottom/>
            <wp:docPr id="5" name="图片 5" descr="grid-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rid-003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956810" cy="2476500"/>
                    </a:xfrm>
                    <a:prstGeom prst="rect">
                      <a:avLst/>
                    </a:prstGeom>
                  </pic:spPr>
                </pic:pic>
              </a:graphicData>
            </a:graphic>
          </wp:anchor>
        </w:drawing>
      </w:r>
    </w:p>
    <w:p>
      <w:pPr>
        <w:pStyle w:val="19"/>
        <w:spacing w:line="600" w:lineRule="exact"/>
        <w:ind w:firstLine="480"/>
      </w:pPr>
    </w:p>
    <w:p>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模型文件：</w:t>
      </w:r>
    </w:p>
    <w:p>
      <w:pPr>
        <w:pStyle w:val="19"/>
        <w:spacing w:line="600" w:lineRule="exact"/>
        <w:ind w:firstLine="0" w:firstLineChars="0"/>
        <w:jc w:val="center"/>
        <w:rPr>
          <w:rFonts w:eastAsia="华文仿宋"/>
        </w:rPr>
      </w:pPr>
      <w:r>
        <w:rPr>
          <w:rFonts w:hint="eastAsia" w:eastAsia="华文仿宋"/>
        </w:rPr>
        <w:drawing>
          <wp:anchor distT="0" distB="0" distL="114300" distR="114300" simplePos="0" relativeHeight="251660288" behindDoc="0" locked="0" layoutInCell="1" allowOverlap="1">
            <wp:simplePos x="0" y="0"/>
            <wp:positionH relativeFrom="column">
              <wp:posOffset>396240</wp:posOffset>
            </wp:positionH>
            <wp:positionV relativeFrom="paragraph">
              <wp:posOffset>119380</wp:posOffset>
            </wp:positionV>
            <wp:extent cx="2122170" cy="2609215"/>
            <wp:effectExtent l="0" t="0" r="11430" b="635"/>
            <wp:wrapSquare wrapText="bothSides"/>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7"/>
                    <a:stretch>
                      <a:fillRect/>
                    </a:stretch>
                  </pic:blipFill>
                  <pic:spPr>
                    <a:xfrm>
                      <a:off x="0" y="0"/>
                      <a:ext cx="2122170" cy="2609215"/>
                    </a:xfrm>
                    <a:prstGeom prst="rect">
                      <a:avLst/>
                    </a:prstGeom>
                  </pic:spPr>
                </pic:pic>
              </a:graphicData>
            </a:graphic>
          </wp:anchor>
        </w:drawing>
      </w:r>
    </w:p>
    <w:p>
      <w:pPr>
        <w:pStyle w:val="19"/>
        <w:spacing w:line="600" w:lineRule="exact"/>
        <w:ind w:firstLine="0" w:firstLineChars="0"/>
        <w:jc w:val="center"/>
        <w:rPr>
          <w:rFonts w:eastAsia="华文仿宋"/>
        </w:rPr>
      </w:pPr>
    </w:p>
    <w:p>
      <w:pPr>
        <w:pStyle w:val="19"/>
        <w:spacing w:line="600" w:lineRule="exact"/>
        <w:ind w:firstLine="0" w:firstLineChars="0"/>
        <w:jc w:val="center"/>
        <w:rPr>
          <w:rFonts w:eastAsia="华文仿宋"/>
        </w:rPr>
      </w:pPr>
    </w:p>
    <w:p>
      <w:pPr>
        <w:pStyle w:val="19"/>
        <w:spacing w:line="600" w:lineRule="exact"/>
        <w:ind w:firstLine="0" w:firstLineChars="0"/>
        <w:jc w:val="center"/>
        <w:rPr>
          <w:rFonts w:eastAsia="华文仿宋"/>
        </w:rPr>
      </w:pPr>
    </w:p>
    <w:p>
      <w:pPr>
        <w:pStyle w:val="19"/>
        <w:spacing w:line="600" w:lineRule="exact"/>
        <w:ind w:firstLine="0" w:firstLineChars="0"/>
        <w:jc w:val="center"/>
        <w:rPr>
          <w:rFonts w:eastAsia="华文仿宋"/>
        </w:rPr>
      </w:pPr>
    </w:p>
    <w:p>
      <w:pPr>
        <w:pStyle w:val="19"/>
        <w:spacing w:line="600" w:lineRule="exact"/>
        <w:ind w:firstLine="0" w:firstLineChars="0"/>
        <w:jc w:val="center"/>
        <w:rPr>
          <w:rFonts w:eastAsia="华文仿宋"/>
        </w:rPr>
      </w:pPr>
    </w:p>
    <w:p>
      <w:pPr>
        <w:pStyle w:val="19"/>
        <w:spacing w:line="600" w:lineRule="exact"/>
        <w:ind w:firstLine="0" w:firstLineChars="0"/>
        <w:jc w:val="center"/>
        <w:rPr>
          <w:rFonts w:eastAsia="华文仿宋"/>
        </w:rPr>
      </w:pPr>
    </w:p>
    <w:p>
      <w:pPr>
        <w:pStyle w:val="19"/>
        <w:spacing w:line="600" w:lineRule="exact"/>
        <w:ind w:firstLine="0" w:firstLineChars="0"/>
        <w:jc w:val="center"/>
        <w:rPr>
          <w:rFonts w:eastAsia="华文仿宋"/>
        </w:rPr>
      </w:pPr>
    </w:p>
    <w:p>
      <w:pPr>
        <w:pStyle w:val="19"/>
        <w:spacing w:line="600" w:lineRule="exact"/>
        <w:ind w:firstLine="0" w:firstLineChars="0"/>
        <w:jc w:val="center"/>
        <w:rPr>
          <w:rFonts w:eastAsia="华文仿宋"/>
        </w:rPr>
      </w:pPr>
    </w:p>
    <w:p>
      <w:pPr>
        <w:pStyle w:val="4"/>
        <w:spacing w:before="0" w:beforeAutospacing="0" w:after="0" w:afterAutospacing="0" w:line="600" w:lineRule="exact"/>
        <w:rPr>
          <w:rFonts w:ascii="黑体" w:hAnsi="黑体" w:eastAsia="黑体" w:cs="黑体"/>
          <w:b w:val="0"/>
          <w:bCs w:val="0"/>
          <w:sz w:val="32"/>
          <w:szCs w:val="32"/>
        </w:rPr>
      </w:pPr>
      <w:bookmarkStart w:id="35" w:name="_Toc131804180"/>
      <w:r>
        <w:rPr>
          <w:rFonts w:hint="eastAsia" w:ascii="黑体" w:hAnsi="黑体" w:eastAsia="黑体" w:cs="黑体"/>
          <w:b w:val="0"/>
          <w:bCs w:val="0"/>
          <w:sz w:val="32"/>
          <w:szCs w:val="32"/>
        </w:rPr>
        <w:t>十、赛项安全</w:t>
      </w:r>
      <w:bookmarkEnd w:id="35"/>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 比赛环境</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1.</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须在赛前组织专人对比赛现场、住宿场所和交通保障进行考察，并对安全工作提出明确要求。</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2.赛场周围设立警戒线，要求所有参赛人员凭</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印发的有效证件进入场地，禁止无关人员进入赛场。</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3.承办院校应提供保证比赛正常进行的应急预案。</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4.严格控制与参赛无关的易燃易爆以及各类危险品进入比赛场地。</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5.大赛现场需对赛场进行网络安全管控，防止场内外信息交互，干扰正常比赛秩序。</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6.大赛制定开放赛场和体验区人员的疏导方案。赛场环境中存在人员密集、车流人流交错的区域设置齐全指示标志，增加引导人员并开辟备用通道。</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7.大赛期间，承办院校须在赛场管理的关键岗位增加力量，配备 安防安保人员，预案并建立安全管理日志。</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 组队责任</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1.各学校组织代表队时，须安排为参赛选手购买大赛期间的人身意外伤害保险。</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2.各学校代表队组成后，须制定相关管理制度，并对所有选手、指导教师进行安全教育。</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3.各参赛队伍须加强对参与比赛人员的安全管理，实现与赛场安全管理的对接。</w:t>
      </w:r>
    </w:p>
    <w:p>
      <w:pPr>
        <w:snapToGrid w:val="0"/>
        <w:spacing w:line="600" w:lineRule="exact"/>
        <w:ind w:firstLine="562" w:firstLineChars="200"/>
        <w:rPr>
          <w:rFonts w:hint="eastAsia" w:ascii="楷体_GB2312" w:hAnsi="楷体" w:eastAsia="楷体_GB2312" w:cs="楷体"/>
          <w:b/>
          <w:sz w:val="28"/>
          <w:szCs w:val="28"/>
        </w:rPr>
      </w:pPr>
      <w:r>
        <w:rPr>
          <w:rFonts w:hint="eastAsia" w:ascii="楷体_GB2312" w:hAnsi="楷体" w:eastAsia="楷体_GB2312" w:cs="楷体"/>
          <w:b/>
          <w:sz w:val="28"/>
          <w:szCs w:val="28"/>
        </w:rPr>
        <w:t>(三) 应急处理</w:t>
      </w:r>
    </w:p>
    <w:p>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比赛期间发生意外事故时，须在第一时间报告</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，同时采取有效措施避免事态扩大。</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应立即启动预案予以解决并向</w:t>
      </w:r>
      <w:r>
        <w:rPr>
          <w:rFonts w:hint="eastAsia" w:ascii="仿宋_GB2312" w:hAnsi="华文仿宋" w:eastAsia="仿宋_GB2312" w:cs="华文仿宋"/>
          <w:sz w:val="28"/>
          <w:szCs w:val="28"/>
          <w:lang w:eastAsia="zh-CN"/>
        </w:rPr>
        <w:t>省教育厅</w:t>
      </w:r>
      <w:r>
        <w:rPr>
          <w:rFonts w:hint="eastAsia" w:ascii="仿宋_GB2312" w:hAnsi="华文仿宋" w:eastAsia="仿宋_GB2312" w:cs="华文仿宋"/>
          <w:sz w:val="28"/>
          <w:szCs w:val="28"/>
        </w:rPr>
        <w:t>报告。</w:t>
      </w:r>
    </w:p>
    <w:p>
      <w:pPr>
        <w:pStyle w:val="4"/>
        <w:spacing w:before="0" w:beforeAutospacing="0" w:after="0" w:afterAutospacing="0" w:line="600" w:lineRule="exact"/>
        <w:rPr>
          <w:rFonts w:ascii="黑体" w:hAnsi="黑体" w:eastAsia="黑体" w:cs="黑体"/>
          <w:b w:val="0"/>
          <w:bCs w:val="0"/>
          <w:sz w:val="32"/>
          <w:szCs w:val="32"/>
        </w:rPr>
      </w:pPr>
      <w:bookmarkStart w:id="36" w:name="_Toc131804181"/>
      <w:r>
        <w:rPr>
          <w:rFonts w:hint="eastAsia" w:ascii="黑体" w:hAnsi="黑体" w:eastAsia="黑体" w:cs="黑体"/>
          <w:b w:val="0"/>
          <w:bCs w:val="0"/>
          <w:sz w:val="32"/>
          <w:szCs w:val="32"/>
        </w:rPr>
        <w:t>十一、成绩评定</w:t>
      </w:r>
      <w:bookmarkEnd w:id="36"/>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（一）评分标准</w:t>
      </w:r>
    </w:p>
    <w:p>
      <w:pPr>
        <w:pStyle w:val="38"/>
        <w:adjustRightInd w:val="0"/>
        <w:snapToGrid w:val="0"/>
        <w:spacing w:line="600" w:lineRule="exact"/>
        <w:ind w:right="210" w:rightChars="100" w:firstLine="56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本次大赛的评定原则由专家组制定，以技能考核为主，兼顾团队协作精神综合评定。充分体现“公正、公平、科学”的执裁原则。</w:t>
      </w:r>
    </w:p>
    <w:p>
      <w:pPr>
        <w:spacing w:line="6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模块配分如下表：</w:t>
      </w:r>
    </w:p>
    <w:tbl>
      <w:tblPr>
        <w:tblStyle w:val="22"/>
        <w:tblW w:w="5000"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54"/>
        <w:gridCol w:w="2344"/>
        <w:gridCol w:w="1162"/>
        <w:gridCol w:w="1016"/>
        <w:gridCol w:w="1016"/>
        <w:gridCol w:w="83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6" w:hRule="atLeast"/>
        </w:trPr>
        <w:tc>
          <w:tcPr>
            <w:tcW w:w="1264" w:type="pct"/>
            <w:vMerge w:val="restart"/>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模块编号</w:t>
            </w:r>
          </w:p>
        </w:tc>
        <w:tc>
          <w:tcPr>
            <w:tcW w:w="1375" w:type="pct"/>
            <w:vMerge w:val="restart"/>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任务名称</w:t>
            </w:r>
          </w:p>
        </w:tc>
        <w:tc>
          <w:tcPr>
            <w:tcW w:w="682" w:type="pct"/>
            <w:vMerge w:val="restart"/>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竞赛时间</w:t>
            </w:r>
          </w:p>
        </w:tc>
        <w:tc>
          <w:tcPr>
            <w:tcW w:w="1679" w:type="pct"/>
            <w:gridSpan w:val="3"/>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分数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1264" w:type="pct"/>
            <w:vMerge w:val="continue"/>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375" w:type="pct"/>
            <w:vMerge w:val="continue"/>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682" w:type="pct"/>
            <w:vMerge w:val="continue"/>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裁决分</w:t>
            </w:r>
          </w:p>
        </w:tc>
        <w:tc>
          <w:tcPr>
            <w:tcW w:w="596"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测量分</w:t>
            </w:r>
          </w:p>
        </w:tc>
        <w:tc>
          <w:tcPr>
            <w:tcW w:w="487"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合计</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7" w:hRule="atLeast"/>
        </w:trPr>
        <w:tc>
          <w:tcPr>
            <w:tcW w:w="2639" w:type="pct"/>
            <w:gridSpan w:val="2"/>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职业素养</w:t>
            </w:r>
          </w:p>
        </w:tc>
        <w:tc>
          <w:tcPr>
            <w:tcW w:w="682" w:type="pct"/>
            <w:vMerge w:val="restart"/>
            <w:vAlign w:val="center"/>
          </w:tcPr>
          <w:p>
            <w:pPr>
              <w:jc w:val="center"/>
              <w:textAlignment w:val="center"/>
              <w:rPr>
                <w:rFonts w:hint="eastAsia" w:ascii="仿宋_GB2312" w:hAnsi="仿宋" w:eastAsia="仿宋_GB2312" w:cs="华文仿宋"/>
                <w:color w:val="000000" w:themeColor="text1"/>
                <w:kern w:val="0"/>
                <w:sz w:val="24"/>
                <w:szCs w:val="24"/>
                <w:lang w:eastAsia="en-US" w:bidi="ar"/>
                <w14:textFill>
                  <w14:solidFill>
                    <w14:schemeClr w14:val="tx1"/>
                  </w14:solidFill>
                </w14:textFill>
              </w:rPr>
            </w:pPr>
            <w:r>
              <w:rPr>
                <w:rFonts w:hint="eastAsia" w:ascii="仿宋_GB2312" w:hAnsi="仿宋" w:eastAsia="仿宋_GB2312" w:cs="华文仿宋"/>
                <w:color w:val="000000" w:themeColor="text1"/>
                <w:kern w:val="0"/>
                <w:sz w:val="24"/>
                <w:szCs w:val="24"/>
                <w:lang w:eastAsia="en-US" w:bidi="ar"/>
                <w14:textFill>
                  <w14:solidFill>
                    <w14:schemeClr w14:val="tx1"/>
                  </w14:solidFill>
                </w14:textFill>
              </w:rPr>
              <w:t>480</w:t>
            </w:r>
            <w:r>
              <w:rPr>
                <w:rFonts w:hint="eastAsia" w:ascii="仿宋_GB2312" w:hAnsi="仿宋" w:eastAsia="仿宋_GB2312" w:cs="华文仿宋"/>
                <w:color w:val="000000" w:themeColor="text1"/>
                <w:kern w:val="0"/>
                <w:sz w:val="24"/>
                <w:szCs w:val="24"/>
                <w:lang w:bidi="ar"/>
                <w14:textFill>
                  <w14:solidFill>
                    <w14:schemeClr w14:val="tx1"/>
                  </w14:solidFill>
                </w14:textFill>
              </w:rPr>
              <w:t>分钟</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3</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2</w:t>
            </w:r>
          </w:p>
        </w:tc>
        <w:tc>
          <w:tcPr>
            <w:tcW w:w="487"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9" w:hRule="atLeast"/>
        </w:trPr>
        <w:tc>
          <w:tcPr>
            <w:tcW w:w="1264" w:type="pct"/>
            <w:vMerge w:val="restart"/>
            <w:vAlign w:val="center"/>
          </w:tcPr>
          <w:p>
            <w:pPr>
              <w:widowControl/>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模块一：</w:t>
            </w:r>
          </w:p>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lang w:eastAsia="zh-CN"/>
                <w14:textFill>
                  <w14:solidFill>
                    <w14:schemeClr w14:val="tx1"/>
                  </w14:solidFill>
                </w14:textFill>
              </w:rPr>
              <w:t>道具、场景设计</w:t>
            </w:r>
            <w:r>
              <w:rPr>
                <w:rFonts w:hint="eastAsia" w:ascii="仿宋_GB2312" w:hAnsi="仿宋_GB2312" w:eastAsia="仿宋_GB2312" w:cs="仿宋_GB2312"/>
                <w:b/>
                <w:color w:val="000000" w:themeColor="text1"/>
                <w:sz w:val="24"/>
                <w:szCs w:val="24"/>
                <w14:textFill>
                  <w14:solidFill>
                    <w14:schemeClr w14:val="tx1"/>
                  </w14:solidFill>
                </w14:textFill>
              </w:rPr>
              <w:t>与模型制作</w:t>
            </w:r>
          </w:p>
        </w:tc>
        <w:tc>
          <w:tcPr>
            <w:tcW w:w="1375" w:type="pct"/>
            <w:vAlign w:val="center"/>
          </w:tcPr>
          <w:p>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682" w:type="pct"/>
            <w:vMerge w:val="continue"/>
            <w:vAlign w:val="center"/>
          </w:tcPr>
          <w:p>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4</w:t>
            </w:r>
          </w:p>
        </w:tc>
        <w:tc>
          <w:tcPr>
            <w:tcW w:w="487"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5" w:hRule="atLeast"/>
        </w:trPr>
        <w:tc>
          <w:tcPr>
            <w:tcW w:w="1264" w:type="pct"/>
            <w:vMerge w:val="continue"/>
            <w:vAlign w:val="center"/>
          </w:tcPr>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375" w:type="pct"/>
            <w:vAlign w:val="center"/>
          </w:tcPr>
          <w:p>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道具和</w:t>
            </w:r>
            <w:r>
              <w:rPr>
                <w:rFonts w:hint="eastAsia" w:ascii="仿宋_GB2312" w:hAnsi="仿宋" w:eastAsia="仿宋_GB2312" w:cs="宋体"/>
                <w:bCs/>
                <w:color w:val="000000" w:themeColor="text1"/>
                <w:kern w:val="0"/>
                <w:sz w:val="24"/>
                <w:szCs w:val="24"/>
                <w14:textFill>
                  <w14:solidFill>
                    <w14:schemeClr w14:val="tx1"/>
                  </w14:solidFill>
                </w14:textFill>
              </w:rPr>
              <w:t>场景模型制作</w:t>
            </w:r>
          </w:p>
        </w:tc>
        <w:tc>
          <w:tcPr>
            <w:tcW w:w="682" w:type="pct"/>
            <w:vMerge w:val="continue"/>
            <w:vAlign w:val="center"/>
          </w:tcPr>
          <w:p>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14</w:t>
            </w:r>
          </w:p>
        </w:tc>
        <w:tc>
          <w:tcPr>
            <w:tcW w:w="487"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20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4" w:type="pct"/>
            <w:vMerge w:val="restart"/>
            <w:vAlign w:val="center"/>
          </w:tcPr>
          <w:p>
            <w:pPr>
              <w:widowControl/>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模块二：</w:t>
            </w:r>
          </w:p>
          <w:p>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3D动画制作与剪辑</w:t>
            </w:r>
          </w:p>
        </w:tc>
        <w:tc>
          <w:tcPr>
            <w:tcW w:w="1375" w:type="pct"/>
            <w:vAlign w:val="center"/>
          </w:tcPr>
          <w:p>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682" w:type="pct"/>
            <w:vMerge w:val="continue"/>
            <w:vAlign w:val="center"/>
          </w:tcPr>
          <w:p>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487"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4" w:type="pct"/>
            <w:vMerge w:val="continue"/>
            <w:vAlign w:val="center"/>
          </w:tcPr>
          <w:p>
            <w:pPr>
              <w:widowControl/>
              <w:textAlignment w:val="center"/>
              <w:rPr>
                <w:rFonts w:hint="eastAsia" w:ascii="仿宋_GB2312" w:hAnsi="仿宋" w:eastAsia="仿宋_GB2312" w:cs="华文仿宋"/>
                <w:b/>
                <w:color w:val="000000" w:themeColor="text1"/>
                <w:kern w:val="0"/>
                <w:sz w:val="24"/>
                <w:szCs w:val="24"/>
                <w:lang w:eastAsia="en-US" w:bidi="ar"/>
                <w14:textFill>
                  <w14:solidFill>
                    <w14:schemeClr w14:val="tx1"/>
                  </w14:solidFill>
                </w14:textFill>
              </w:rPr>
            </w:pPr>
          </w:p>
        </w:tc>
        <w:tc>
          <w:tcPr>
            <w:tcW w:w="1375" w:type="pct"/>
            <w:vAlign w:val="center"/>
          </w:tcPr>
          <w:p>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682" w:type="pct"/>
            <w:vMerge w:val="continue"/>
            <w:vAlign w:val="center"/>
          </w:tcPr>
          <w:p>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11</w:t>
            </w:r>
          </w:p>
        </w:tc>
        <w:tc>
          <w:tcPr>
            <w:tcW w:w="487"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5" w:hRule="atLeast"/>
        </w:trPr>
        <w:tc>
          <w:tcPr>
            <w:tcW w:w="1264" w:type="pct"/>
            <w:vMerge w:val="restart"/>
            <w:vAlign w:val="center"/>
          </w:tcPr>
          <w:p>
            <w:pPr>
              <w:widowControl/>
              <w:jc w:val="left"/>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模块三：</w:t>
            </w:r>
          </w:p>
          <w:p>
            <w:pPr>
              <w:widowControl/>
              <w:jc w:val="left"/>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引擎效果渲染与后期处理</w:t>
            </w:r>
          </w:p>
        </w:tc>
        <w:tc>
          <w:tcPr>
            <w:tcW w:w="1375" w:type="pct"/>
            <w:vAlign w:val="center"/>
          </w:tcPr>
          <w:p>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682" w:type="pct"/>
            <w:vMerge w:val="continue"/>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487"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6" w:hRule="atLeast"/>
        </w:trPr>
        <w:tc>
          <w:tcPr>
            <w:tcW w:w="1264" w:type="pct"/>
            <w:vMerge w:val="continue"/>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375" w:type="pct"/>
            <w:vAlign w:val="center"/>
          </w:tcPr>
          <w:p>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任务2：动画后期剪辑</w:t>
            </w:r>
          </w:p>
        </w:tc>
        <w:tc>
          <w:tcPr>
            <w:tcW w:w="682" w:type="pct"/>
            <w:vMerge w:val="continue"/>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3</w:t>
            </w:r>
          </w:p>
        </w:tc>
        <w:tc>
          <w:tcPr>
            <w:tcW w:w="596"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487" w:type="pct"/>
            <w:vAlign w:val="center"/>
          </w:tcPr>
          <w:p>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1" w:hRule="atLeast"/>
        </w:trPr>
        <w:tc>
          <w:tcPr>
            <w:tcW w:w="1264"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总计</w:t>
            </w:r>
          </w:p>
        </w:tc>
        <w:tc>
          <w:tcPr>
            <w:tcW w:w="1375" w:type="pct"/>
            <w:vAlign w:val="center"/>
          </w:tcPr>
          <w:p>
            <w:pPr>
              <w:widowControl/>
              <w:jc w:val="left"/>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682"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596"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42</w:t>
            </w:r>
          </w:p>
        </w:tc>
        <w:tc>
          <w:tcPr>
            <w:tcW w:w="596"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58</w:t>
            </w:r>
          </w:p>
        </w:tc>
        <w:tc>
          <w:tcPr>
            <w:tcW w:w="487" w:type="pct"/>
            <w:vAlign w:val="center"/>
          </w:tcPr>
          <w:p>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100</w:t>
            </w:r>
          </w:p>
        </w:tc>
      </w:tr>
    </w:tbl>
    <w:p>
      <w:pPr>
        <w:pStyle w:val="19"/>
        <w:spacing w:line="600" w:lineRule="exact"/>
        <w:ind w:firstLine="0" w:firstLineChars="0"/>
        <w:rPr>
          <w:rFonts w:hAnsi="仿宋" w:eastAsia="仿宋_GB2312"/>
          <w:b/>
          <w:color w:val="000000" w:themeColor="text1"/>
          <w:szCs w:val="21"/>
          <w14:textFill>
            <w14:solidFill>
              <w14:schemeClr w14:val="tx1"/>
            </w14:solidFill>
          </w14:textFill>
        </w:rPr>
      </w:pPr>
      <w:r>
        <w:rPr>
          <w:rFonts w:hint="eastAsia" w:hAnsi="仿宋" w:eastAsia="仿宋_GB2312"/>
          <w:b/>
          <w:color w:val="000000" w:themeColor="text1"/>
          <w:szCs w:val="21"/>
          <w14:textFill>
            <w14:solidFill>
              <w14:schemeClr w14:val="tx1"/>
            </w14:solidFill>
          </w14:textFill>
        </w:rPr>
        <w:t>评分细则如下：</w:t>
      </w:r>
    </w:p>
    <w:tbl>
      <w:tblPr>
        <w:tblStyle w:val="21"/>
        <w:tblW w:w="8369" w:type="dxa"/>
        <w:tblInd w:w="274" w:type="dxa"/>
        <w:tblLayout w:type="fixed"/>
        <w:tblCellMar>
          <w:top w:w="0" w:type="dxa"/>
          <w:left w:w="108" w:type="dxa"/>
          <w:bottom w:w="0" w:type="dxa"/>
          <w:right w:w="108" w:type="dxa"/>
        </w:tblCellMar>
      </w:tblPr>
      <w:tblGrid>
        <w:gridCol w:w="1135"/>
        <w:gridCol w:w="1414"/>
        <w:gridCol w:w="5119"/>
        <w:gridCol w:w="701"/>
      </w:tblGrid>
      <w:tr>
        <w:tblPrEx>
          <w:tblCellMar>
            <w:top w:w="0" w:type="dxa"/>
            <w:left w:w="108" w:type="dxa"/>
            <w:bottom w:w="0" w:type="dxa"/>
            <w:right w:w="108" w:type="dxa"/>
          </w:tblCellMar>
        </w:tblPrEx>
        <w:trPr>
          <w:trHeight w:val="489" w:hRule="atLeast"/>
        </w:trPr>
        <w:tc>
          <w:tcPr>
            <w:tcW w:w="8369"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模块一：</w:t>
            </w:r>
            <w:r>
              <w:rPr>
                <w:rFonts w:hint="eastAsia" w:ascii="仿宋_GB2312" w:hAnsi="仿宋_GB2312" w:eastAsia="仿宋_GB2312" w:cs="仿宋_GB2312"/>
                <w:b/>
                <w:color w:val="000000" w:themeColor="text1"/>
                <w:sz w:val="24"/>
                <w:szCs w:val="24"/>
                <w:lang w:eastAsia="zh-CN"/>
                <w14:textFill>
                  <w14:solidFill>
                    <w14:schemeClr w14:val="tx1"/>
                  </w14:solidFill>
                </w14:textFill>
              </w:rPr>
              <w:t>道具、场景设计</w:t>
            </w:r>
            <w:r>
              <w:rPr>
                <w:rFonts w:hint="eastAsia" w:ascii="仿宋_GB2312" w:hAnsi="仿宋_GB2312" w:eastAsia="仿宋_GB2312" w:cs="仿宋_GB2312"/>
                <w:b/>
                <w:color w:val="000000" w:themeColor="text1"/>
                <w:sz w:val="24"/>
                <w:szCs w:val="24"/>
                <w14:textFill>
                  <w14:solidFill>
                    <w14:schemeClr w14:val="tx1"/>
                  </w14:solidFill>
                </w14:textFill>
              </w:rPr>
              <w:t>与模型制作</w:t>
            </w:r>
          </w:p>
        </w:tc>
      </w:tr>
      <w:tr>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5119"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nil"/>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原画设计的色彩、比例结构、丰富程度和绘制细节刻画质量</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场景原画设计的丰富程度和绘制细节刻画质量</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和场景模型制作</w:t>
            </w: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模型制作对</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设计美术展示效果还原程度及细节质量</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场景模型制作对场景设计的还原程度及细节质量</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按要求完成</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三视图以及立绘及效果图表现</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设计</w:t>
            </w:r>
            <w:r>
              <w:rPr>
                <w:rFonts w:hint="eastAsia" w:ascii="仿宋_GB2312" w:hAnsi="仿宋" w:eastAsia="仿宋_GB2312" w:cs="宋体"/>
                <w:bCs/>
                <w:color w:val="000000" w:themeColor="text1"/>
                <w:kern w:val="0"/>
                <w:sz w:val="24"/>
                <w:szCs w:val="24"/>
                <w14:textFill>
                  <w14:solidFill>
                    <w14:schemeClr w14:val="tx1"/>
                  </w14:solidFill>
                </w14:textFill>
              </w:rPr>
              <w:t>线稿、颜色搭配、细节刻画，并且需表现一定的质感</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按要求完成场景设计效果图及场景组件设计细节</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场景设计的透视准确，整体布局合理，明暗光影关系及细节的表现</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和场景模型制作</w:t>
            </w: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模型布线均匀</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UV无明显扭曲变形，分割排列合理整齐，镜像处理</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贴图材质效果质量</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模型布线满足动画制作需求，保证</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模型左右对称</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按要求制作</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按要求使用软件完成UV文件及贴图文件，遵循PBR流程</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整体效果图渲染，</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材质渲染设置</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模型的制作对设计的还原度</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90"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场景模型制作大小比例正确</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场景地形材质，场景组件完整，模型结构正确</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地形结构、组件的制作，满足展示需求</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场景地形结构变化符合整体方案设计</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场景模型进行拆分组件，不能有拼接漏缝出现</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场景地形材质，场景建筑及组件材质</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766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701" w:type="dxa"/>
            <w:tcBorders>
              <w:top w:val="nil"/>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30</w:t>
            </w:r>
          </w:p>
        </w:tc>
      </w:tr>
      <w:tr>
        <w:trPr>
          <w:trHeight w:val="288" w:hRule="atLeast"/>
        </w:trPr>
        <w:tc>
          <w:tcPr>
            <w:tcW w:w="1135" w:type="dxa"/>
            <w:tcBorders>
              <w:top w:val="nil"/>
              <w:left w:val="nil"/>
              <w:bottom w:val="nil"/>
              <w:right w:val="nil"/>
            </w:tcBorders>
            <w:shd w:val="clear" w:color="auto" w:fill="auto"/>
            <w:noWrap/>
            <w:vAlign w:val="center"/>
          </w:tcPr>
          <w:p>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1414" w:type="dxa"/>
            <w:tcBorders>
              <w:top w:val="nil"/>
              <w:left w:val="nil"/>
              <w:bottom w:val="nil"/>
              <w:right w:val="nil"/>
            </w:tcBorders>
            <w:shd w:val="clear" w:color="auto" w:fill="auto"/>
            <w:noWrap/>
            <w:vAlign w:val="center"/>
          </w:tcPr>
          <w:p>
            <w:pPr>
              <w:widowControl/>
              <w:spacing w:line="600" w:lineRule="exact"/>
              <w:jc w:val="left"/>
              <w:rPr>
                <w:rFonts w:ascii="仿宋" w:hAnsi="仿宋" w:eastAsia="仿宋"/>
                <w:color w:val="000000" w:themeColor="text1"/>
                <w:kern w:val="0"/>
                <w:szCs w:val="21"/>
                <w14:textFill>
                  <w14:solidFill>
                    <w14:schemeClr w14:val="tx1"/>
                  </w14:solidFill>
                </w14:textFill>
              </w:rPr>
            </w:pPr>
          </w:p>
        </w:tc>
        <w:tc>
          <w:tcPr>
            <w:tcW w:w="5119" w:type="dxa"/>
            <w:tcBorders>
              <w:top w:val="nil"/>
              <w:left w:val="nil"/>
              <w:bottom w:val="nil"/>
              <w:right w:val="nil"/>
            </w:tcBorders>
            <w:shd w:val="clear" w:color="auto" w:fill="auto"/>
            <w:noWrap/>
            <w:vAlign w:val="center"/>
          </w:tcPr>
          <w:p>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701" w:type="dxa"/>
            <w:tcBorders>
              <w:top w:val="nil"/>
              <w:left w:val="nil"/>
              <w:bottom w:val="nil"/>
              <w:right w:val="nil"/>
            </w:tcBorders>
            <w:shd w:val="clear" w:color="auto" w:fill="auto"/>
            <w:noWrap/>
            <w:vAlign w:val="center"/>
          </w:tcPr>
          <w:p>
            <w:pPr>
              <w:widowControl/>
              <w:spacing w:line="600" w:lineRule="exact"/>
              <w:jc w:val="left"/>
              <w:rPr>
                <w:rFonts w:ascii="仿宋" w:hAnsi="仿宋" w:eastAsia="仿宋"/>
                <w:color w:val="000000" w:themeColor="text1"/>
                <w:kern w:val="0"/>
                <w:szCs w:val="21"/>
                <w14:textFill>
                  <w14:solidFill>
                    <w14:schemeClr w14:val="tx1"/>
                  </w14:solidFill>
                </w14:textFill>
              </w:rPr>
            </w:pPr>
          </w:p>
        </w:tc>
      </w:tr>
      <w:tr>
        <w:trPr>
          <w:trHeight w:val="413" w:hRule="atLeast"/>
        </w:trPr>
        <w:tc>
          <w:tcPr>
            <w:tcW w:w="8369"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模块二：</w:t>
            </w:r>
            <w:r>
              <w:rPr>
                <w:rFonts w:hint="eastAsia" w:ascii="仿宋_GB2312" w:hAnsi="仿宋_GB2312" w:eastAsia="仿宋_GB2312" w:cs="仿宋_GB2312"/>
                <w:b/>
                <w:color w:val="000000" w:themeColor="text1"/>
                <w:sz w:val="24"/>
                <w:szCs w:val="24"/>
                <w14:textFill>
                  <w14:solidFill>
                    <w14:schemeClr w14:val="tx1"/>
                  </w14:solidFill>
                </w14:textFill>
              </w:rPr>
              <w:t>3D动画制作与剪辑</w:t>
            </w:r>
          </w:p>
        </w:tc>
      </w:tr>
      <w:tr>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5119"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5119" w:type="dxa"/>
            <w:tcBorders>
              <w:top w:val="nil"/>
              <w:left w:val="nil"/>
              <w:bottom w:val="single" w:color="auto" w:sz="4" w:space="0"/>
              <w:right w:val="single" w:color="auto" w:sz="4" w:space="0"/>
            </w:tcBorders>
            <w:shd w:val="clear" w:color="auto" w:fill="auto"/>
            <w:noWrap/>
          </w:tcPr>
          <w:p>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骨骼位置合理，完成控制系统制作</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动画制作符合剧情要求，角色情感、场景氛围的表达</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动画场景氛围的表达到位</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视频效果展示的美感及内容的创新度</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后期剪辑及音效合成的效果，镜头的运用</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90"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按剧情要求输出序列帧动画文件及视频文件</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时间轴设置正确并进行烘焙动画</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符合剧本剧情设计需求，制作角色表演动画</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合理设置动作、镜头角度等展示动画效果</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角色的表情及动作能表达角色的情绪</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动画剧情完整，清晰流畅</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场景模型的搭建布局合理</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场景环境搭建符合故事背景</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视频内容符合剧情故事内容</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视频时长符合要求，清晰流畅，镜头稳定</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后期剪辑及音频音效的效果</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合理运用镜头切换展示动画效果</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完整剧情体现，内容完整，分镜合理</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视频剪切合理，转场效果自然</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合理展现故事剧情氛围的特效</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视频的片头设计有创意</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766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35</w:t>
            </w:r>
          </w:p>
        </w:tc>
      </w:tr>
      <w:tr>
        <w:trPr>
          <w:trHeight w:val="288" w:hRule="atLeast"/>
        </w:trPr>
        <w:tc>
          <w:tcPr>
            <w:tcW w:w="1135" w:type="dxa"/>
            <w:tcBorders>
              <w:top w:val="nil"/>
              <w:left w:val="nil"/>
              <w:bottom w:val="nil"/>
              <w:right w:val="nil"/>
            </w:tcBorders>
            <w:shd w:val="clear" w:color="auto" w:fill="auto"/>
            <w:noWrap/>
            <w:vAlign w:val="center"/>
          </w:tcPr>
          <w:p>
            <w:pPr>
              <w:widowControl/>
              <w:spacing w:line="600" w:lineRule="exact"/>
              <w:jc w:val="center"/>
              <w:rPr>
                <w:rFonts w:ascii="仿宋" w:hAnsi="仿宋" w:eastAsia="仿宋" w:cs="宋体"/>
                <w:b/>
                <w:bCs/>
                <w:color w:val="000000" w:themeColor="text1"/>
                <w:kern w:val="0"/>
                <w:szCs w:val="21"/>
                <w14:textFill>
                  <w14:solidFill>
                    <w14:schemeClr w14:val="tx1"/>
                  </w14:solidFill>
                </w14:textFill>
              </w:rPr>
            </w:pPr>
          </w:p>
        </w:tc>
        <w:tc>
          <w:tcPr>
            <w:tcW w:w="1414" w:type="dxa"/>
            <w:tcBorders>
              <w:top w:val="nil"/>
              <w:left w:val="nil"/>
              <w:bottom w:val="nil"/>
              <w:right w:val="nil"/>
            </w:tcBorders>
            <w:shd w:val="clear" w:color="auto" w:fill="auto"/>
            <w:noWrap/>
            <w:vAlign w:val="center"/>
          </w:tcPr>
          <w:p>
            <w:pPr>
              <w:widowControl/>
              <w:spacing w:line="600" w:lineRule="exact"/>
              <w:jc w:val="left"/>
              <w:rPr>
                <w:rFonts w:ascii="仿宋" w:hAnsi="仿宋" w:eastAsia="仿宋"/>
                <w:color w:val="000000" w:themeColor="text1"/>
                <w:kern w:val="0"/>
                <w:szCs w:val="21"/>
                <w14:textFill>
                  <w14:solidFill>
                    <w14:schemeClr w14:val="tx1"/>
                  </w14:solidFill>
                </w14:textFill>
              </w:rPr>
            </w:pPr>
          </w:p>
        </w:tc>
        <w:tc>
          <w:tcPr>
            <w:tcW w:w="5119" w:type="dxa"/>
            <w:tcBorders>
              <w:top w:val="nil"/>
              <w:left w:val="nil"/>
              <w:bottom w:val="nil"/>
              <w:right w:val="nil"/>
            </w:tcBorders>
            <w:shd w:val="clear" w:color="auto" w:fill="auto"/>
            <w:noWrap/>
            <w:vAlign w:val="center"/>
          </w:tcPr>
          <w:p>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701" w:type="dxa"/>
            <w:tcBorders>
              <w:top w:val="nil"/>
              <w:left w:val="nil"/>
              <w:bottom w:val="nil"/>
              <w:right w:val="nil"/>
            </w:tcBorders>
            <w:shd w:val="clear" w:color="auto" w:fill="auto"/>
            <w:noWrap/>
            <w:vAlign w:val="center"/>
          </w:tcPr>
          <w:p>
            <w:pPr>
              <w:widowControl/>
              <w:spacing w:line="600" w:lineRule="exact"/>
              <w:jc w:val="left"/>
              <w:rPr>
                <w:rFonts w:ascii="仿宋" w:hAnsi="仿宋" w:eastAsia="仿宋"/>
                <w:color w:val="000000" w:themeColor="text1"/>
                <w:kern w:val="0"/>
                <w:szCs w:val="21"/>
                <w14:textFill>
                  <w14:solidFill>
                    <w14:schemeClr w14:val="tx1"/>
                  </w14:solidFill>
                </w14:textFill>
              </w:rPr>
            </w:pPr>
          </w:p>
        </w:tc>
      </w:tr>
      <w:tr>
        <w:trPr>
          <w:trHeight w:val="614" w:hRule="atLeast"/>
        </w:trPr>
        <w:tc>
          <w:tcPr>
            <w:tcW w:w="8369" w:type="dxa"/>
            <w:gridSpan w:val="4"/>
            <w:tcBorders>
              <w:top w:val="single" w:color="auto" w:sz="4" w:space="0"/>
              <w:left w:val="single" w:color="auto" w:sz="4" w:space="0"/>
              <w:bottom w:val="single" w:color="auto" w:sz="4" w:space="0"/>
              <w:right w:val="single" w:color="auto" w:sz="4" w:space="0"/>
            </w:tcBorders>
            <w:shd w:val="clear" w:color="000000" w:fill="auto"/>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模块三：</w:t>
            </w:r>
            <w:r>
              <w:rPr>
                <w:rFonts w:hint="eastAsia" w:ascii="仿宋_GB2312" w:hAnsi="仿宋_GB2312" w:eastAsia="仿宋_GB2312" w:cs="仿宋_GB2312"/>
                <w:b/>
                <w:color w:val="000000" w:themeColor="text1"/>
                <w:sz w:val="24"/>
                <w:szCs w:val="24"/>
                <w14:textFill>
                  <w14:solidFill>
                    <w14:schemeClr w14:val="tx1"/>
                  </w14:solidFill>
                </w14:textFill>
              </w:rPr>
              <w:t>引擎效果渲染与后期处理</w:t>
            </w:r>
          </w:p>
        </w:tc>
      </w:tr>
      <w:tr>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5119"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贴图材质，场景环境，灯光布局，摄像机创建符合展示效果</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引擎最终渲染效果呈现符合角色和场景的原画设计</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引擎渲染效果的光影效果及故事场景氛围体现</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任务2：后期剪辑</w:t>
            </w: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视频效果的创新度和整体表达</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按照要求规范渲染完成引擎渲染的视频文件</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灯光环境的布局合理，满足故事剧情的需求</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合理的运用摄像机机位及后处理效果</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视频完整的表达整个剧本内容</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引擎渲染效果展示图符合原画设计</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渲染材质、灯光、摄像机参数设置合理</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任务2：后期剪辑</w:t>
            </w: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视频剪辑合理，转场效果自然</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视频内容符合剧情故事内容，内容完整，分镜合理</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后期剪辑及音频音效的效果处理</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镜头运镜节奏切换符合剧情效果</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合理运用模块一制作的场景模型</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合理运用模块二制作的角色动画</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trPr>
          <w:trHeight w:val="288" w:hRule="atLeast"/>
        </w:trPr>
        <w:tc>
          <w:tcPr>
            <w:tcW w:w="766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7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30</w:t>
            </w:r>
          </w:p>
        </w:tc>
      </w:tr>
    </w:tbl>
    <w:p>
      <w:pPr>
        <w:adjustRightInd w:val="0"/>
        <w:snapToGrid w:val="0"/>
        <w:spacing w:line="600" w:lineRule="exact"/>
        <w:ind w:right="210" w:rightChars="100" w:firstLine="420" w:firstLineChars="200"/>
        <w:jc w:val="left"/>
        <w:rPr>
          <w:rFonts w:ascii="仿宋_GB2312" w:hAnsi="仿宋_GB2312" w:eastAsia="仿宋_GB2312" w:cs="仿宋_GB2312"/>
          <w:color w:val="000000" w:themeColor="text1"/>
          <w14:textFill>
            <w14:solidFill>
              <w14:schemeClr w14:val="tx1"/>
            </w14:solidFill>
          </w14:textFill>
        </w:rPr>
      </w:pPr>
    </w:p>
    <w:tbl>
      <w:tblPr>
        <w:tblStyle w:val="21"/>
        <w:tblW w:w="8369" w:type="dxa"/>
        <w:tblInd w:w="274" w:type="dxa"/>
        <w:tblLayout w:type="fixed"/>
        <w:tblCellMar>
          <w:top w:w="0" w:type="dxa"/>
          <w:left w:w="108" w:type="dxa"/>
          <w:bottom w:w="0" w:type="dxa"/>
          <w:right w:w="108" w:type="dxa"/>
        </w:tblCellMar>
      </w:tblPr>
      <w:tblGrid>
        <w:gridCol w:w="1135"/>
        <w:gridCol w:w="6533"/>
        <w:gridCol w:w="701"/>
      </w:tblGrid>
      <w:tr>
        <w:trPr>
          <w:trHeight w:val="288" w:hRule="atLeast"/>
        </w:trPr>
        <w:tc>
          <w:tcPr>
            <w:tcW w:w="8369" w:type="dxa"/>
            <w:gridSpan w:val="3"/>
            <w:tcBorders>
              <w:top w:val="single" w:color="auto" w:sz="4" w:space="0"/>
              <w:left w:val="single" w:color="auto" w:sz="4" w:space="0"/>
              <w:bottom w:val="single" w:color="auto" w:sz="4" w:space="0"/>
              <w:right w:val="single" w:color="auto" w:sz="4" w:space="0"/>
            </w:tcBorders>
            <w:shd w:val="clear" w:color="000000" w:fill="auto"/>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职业素养</w:t>
            </w:r>
          </w:p>
        </w:tc>
      </w:tr>
      <w:tr>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6533" w:type="dxa"/>
            <w:tcBorders>
              <w:top w:val="nil"/>
              <w:left w:val="nil"/>
              <w:bottom w:val="single" w:color="auto" w:sz="4" w:space="0"/>
              <w:right w:val="single" w:color="auto" w:sz="4" w:space="0"/>
            </w:tcBorders>
            <w:shd w:val="clear" w:color="000000" w:fill="auto"/>
            <w:noWrap/>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653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美术表现、审美判断、质量意识、创意实践和文化理解</w:t>
            </w:r>
          </w:p>
        </w:tc>
        <w:tc>
          <w:tcPr>
            <w:tcW w:w="701" w:type="dxa"/>
            <w:tcBorders>
              <w:top w:val="single" w:color="auto" w:sz="4" w:space="0"/>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tblPrEx>
          <w:tblCellMar>
            <w:top w:w="0" w:type="dxa"/>
            <w:left w:w="108" w:type="dxa"/>
            <w:bottom w:w="0" w:type="dxa"/>
            <w:right w:w="108" w:type="dxa"/>
          </w:tblCellMar>
        </w:tblPrEx>
        <w:trPr>
          <w:trHeight w:val="288" w:hRule="atLeast"/>
        </w:trPr>
        <w:tc>
          <w:tcPr>
            <w:tcW w:w="1135" w:type="dxa"/>
            <w:vMerge w:val="restart"/>
            <w:tcBorders>
              <w:top w:val="single" w:color="auto" w:sz="4" w:space="0"/>
              <w:left w:val="single" w:color="auto" w:sz="4" w:space="0"/>
              <w:right w:val="single" w:color="auto" w:sz="4" w:space="0"/>
            </w:tcBorders>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653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团队分工与协作</w:t>
            </w:r>
          </w:p>
        </w:tc>
        <w:tc>
          <w:tcPr>
            <w:tcW w:w="701" w:type="dxa"/>
            <w:tcBorders>
              <w:top w:val="single" w:color="auto" w:sz="4" w:space="0"/>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trPr>
          <w:trHeight w:val="297" w:hRule="atLeast"/>
        </w:trPr>
        <w:tc>
          <w:tcPr>
            <w:tcW w:w="1135" w:type="dxa"/>
            <w:vMerge w:val="continue"/>
            <w:tcBorders>
              <w:left w:val="single" w:color="auto" w:sz="4" w:space="0"/>
              <w:bottom w:val="single" w:color="auto" w:sz="4" w:space="0"/>
              <w:right w:val="single" w:color="auto" w:sz="4" w:space="0"/>
            </w:tcBorders>
            <w:vAlign w:val="center"/>
          </w:tcPr>
          <w:p>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653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熟练运用各类专业软件，进行数字艺术创作</w:t>
            </w:r>
          </w:p>
        </w:tc>
        <w:tc>
          <w:tcPr>
            <w:tcW w:w="701" w:type="dxa"/>
            <w:tcBorders>
              <w:top w:val="single" w:color="auto" w:sz="4" w:space="0"/>
              <w:left w:val="nil"/>
              <w:bottom w:val="single" w:color="auto" w:sz="4" w:space="0"/>
              <w:right w:val="single" w:color="auto" w:sz="4" w:space="0"/>
            </w:tcBorders>
            <w:shd w:val="clear" w:color="auto" w:fill="auto"/>
            <w:noWrap/>
            <w:vAlign w:val="center"/>
          </w:tcPr>
          <w:p>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bl>
    <w:p>
      <w:pPr>
        <w:adjustRightInd w:val="0"/>
        <w:snapToGrid w:val="0"/>
        <w:spacing w:line="600" w:lineRule="exact"/>
        <w:ind w:right="210" w:rightChars="10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（二）评分方式</w:t>
      </w:r>
    </w:p>
    <w:p>
      <w:pPr>
        <w:pStyle w:val="38"/>
        <w:adjustRightInd w:val="0"/>
        <w:snapToGrid w:val="0"/>
        <w:spacing w:line="600" w:lineRule="exact"/>
        <w:ind w:right="210" w:rightChars="100" w:firstLine="562"/>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t>1.裁判员组成</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本次竞赛共设</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名裁判，其中裁判长1名。</w:t>
      </w:r>
    </w:p>
    <w:p>
      <w:pPr>
        <w:adjustRightInd w:val="0"/>
        <w:snapToGrid w:val="0"/>
        <w:spacing w:line="600" w:lineRule="exact"/>
        <w:ind w:right="210" w:rightChars="100" w:firstLine="562" w:firstLineChars="200"/>
        <w:jc w:val="left"/>
        <w:rPr>
          <w:rFonts w:ascii="仿宋_GB2312" w:hAnsi="仿宋_GB2312" w:eastAsia="仿宋_GB2312" w:cs="仿宋_GB2312"/>
          <w:sz w:val="28"/>
          <w:szCs w:val="28"/>
        </w:rPr>
      </w:pPr>
      <w:r>
        <w:rPr>
          <w:rFonts w:ascii="仿宋_GB2312" w:hAnsi="仿宋_GB2312" w:eastAsia="仿宋_GB2312" w:cs="仿宋_GB2312"/>
          <w:b/>
          <w:sz w:val="28"/>
          <w:szCs w:val="28"/>
        </w:rPr>
        <w:t>2.</w:t>
      </w:r>
      <w:r>
        <w:rPr>
          <w:rFonts w:hint="eastAsia" w:ascii="仿宋_GB2312" w:hAnsi="仿宋_GB2312" w:eastAsia="仿宋_GB2312" w:cs="仿宋_GB2312"/>
          <w:b/>
          <w:sz w:val="28"/>
          <w:szCs w:val="28"/>
        </w:rPr>
        <w:t>评分方法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检录工作人员负责对参赛队（选手）进行点名登记、身份核对等工作；组织参赛队（选手）抽签，对参赛队信息、参赛编号、工位号等进行加密、解密工作；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bookmarkStart w:id="37" w:name="_Toc131804182"/>
      <w:r>
        <w:rPr>
          <w:rFonts w:hint="eastAsia" w:ascii="仿宋_GB2312" w:hAnsi="仿宋_GB2312" w:eastAsia="仿宋_GB2312" w:cs="仿宋_GB2312"/>
          <w:sz w:val="28"/>
          <w:szCs w:val="28"/>
        </w:rPr>
        <w:t>成绩评定是根据竞赛考核目标、内容对参赛队（选手）在竞赛过程中的表现和最终成果做出评价。本赛项的评分方法为过程评分+结果评分，其中职业素养为过程评分，其他为结果评分，依据赛项评价标准和细则进行评分。每个任务采用</w:t>
      </w:r>
      <w:r>
        <w:rPr>
          <w:rFonts w:hint="eastAsia" w:ascii="仿宋_GB2312" w:hAnsi="仿宋_GB2312" w:eastAsia="仿宋_GB2312" w:cs="仿宋_GB2312"/>
          <w:sz w:val="28"/>
          <w:szCs w:val="28"/>
          <w:lang w:val="en-US" w:eastAsia="zh-CN"/>
        </w:rPr>
        <w:t>3位</w:t>
      </w:r>
      <w:r>
        <w:rPr>
          <w:rFonts w:hint="eastAsia" w:ascii="仿宋_GB2312" w:hAnsi="仿宋_GB2312" w:eastAsia="仿宋_GB2312" w:cs="仿宋_GB2312"/>
          <w:sz w:val="28"/>
          <w:szCs w:val="28"/>
        </w:rPr>
        <w:t>裁判同时评分，采取分步得分、累计总分的计分方式，分别计算各任务得分。按规定比例计入总分</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竞赛总分均按照百分制积分。</w:t>
      </w:r>
      <w:r>
        <w:rPr>
          <w:rFonts w:hint="eastAsia" w:ascii="仿宋_GB2312" w:hAnsi="仿宋_GB2312" w:eastAsia="仿宋_GB2312" w:cs="仿宋_GB2312"/>
          <w:sz w:val="28"/>
          <w:szCs w:val="28"/>
          <w:lang w:eastAsia="zh-CN"/>
        </w:rPr>
        <w:t>最后得分取</w:t>
      </w:r>
      <w:r>
        <w:rPr>
          <w:rFonts w:hint="eastAsia" w:ascii="仿宋_GB2312" w:hAnsi="仿宋_GB2312" w:eastAsia="仿宋_GB2312" w:cs="仿宋_GB2312"/>
          <w:sz w:val="28"/>
          <w:szCs w:val="28"/>
          <w:lang w:val="en-US" w:eastAsia="zh-CN"/>
        </w:rPr>
        <w:t>3位</w:t>
      </w:r>
      <w:r>
        <w:rPr>
          <w:rFonts w:hint="eastAsia" w:ascii="仿宋_GB2312" w:hAnsi="仿宋_GB2312" w:eastAsia="仿宋_GB2312" w:cs="仿宋_GB2312"/>
          <w:sz w:val="28"/>
          <w:szCs w:val="28"/>
        </w:rPr>
        <w:t>裁判</w:t>
      </w:r>
      <w:r>
        <w:rPr>
          <w:rFonts w:hint="eastAsia" w:ascii="仿宋_GB2312" w:hAnsi="仿宋_GB2312" w:eastAsia="仿宋_GB2312" w:cs="仿宋_GB2312"/>
          <w:sz w:val="28"/>
          <w:szCs w:val="28"/>
          <w:lang w:eastAsia="zh-CN"/>
        </w:rPr>
        <w:t>平均分</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所有的评分表、成绩汇总表备案以供核查，最终的成绩由裁判长进行审核确认并上报</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3</w:t>
      </w:r>
      <w:r>
        <w:rPr>
          <w:rFonts w:hint="eastAsia" w:ascii="仿宋_GB2312" w:hAnsi="仿宋_GB2312" w:eastAsia="仿宋_GB2312" w:cs="仿宋_GB2312"/>
          <w:b/>
          <w:bCs/>
          <w:sz w:val="28"/>
          <w:szCs w:val="28"/>
        </w:rPr>
        <w:t>.成绩汇总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裁判长正式提交赛位（竞赛作品）评分结果并复核无误后，裁判在监督人员监督下对比赛结果进行逐层评审。</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4</w:t>
      </w:r>
      <w:r>
        <w:rPr>
          <w:rFonts w:hint="eastAsia" w:ascii="仿宋_GB2312" w:hAnsi="仿宋_GB2312" w:eastAsia="仿宋_GB2312" w:cs="仿宋_GB2312"/>
          <w:b/>
          <w:bCs/>
          <w:sz w:val="28"/>
          <w:szCs w:val="28"/>
        </w:rPr>
        <w:t>.成绩报送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（1）录入，由承办单位信息员将赛项总成绩的最终结果录入相关赛事系统。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（2）审核，承办单位信息员对成绩数据审核后，将赛务成绩导出打印，经赛项裁判长审核无误后签字。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（3）报送，由承办单位信息员将裁判长签字的纸质打印成绩单报送</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办公室。</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.成绩使用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大赛最终成绩由</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公布，任何组织和个人，不得擅自对大赛成绩进行涂改、伪造或用于欺诈等违法犯罪活动。</w:t>
      </w:r>
    </w:p>
    <w:p>
      <w:pPr>
        <w:pStyle w:val="4"/>
        <w:spacing w:before="156" w:beforeLines="50" w:beforeAutospacing="0" w:after="156" w:afterLines="50" w:afterAutospacing="0" w:line="600" w:lineRule="exact"/>
        <w:rPr>
          <w:rFonts w:hint="eastAsia" w:ascii="黑体" w:hAnsi="黑体" w:eastAsia="黑体" w:cs="黑体"/>
          <w:b w:val="0"/>
          <w:bCs w:val="0"/>
          <w:sz w:val="32"/>
          <w:szCs w:val="32"/>
        </w:rPr>
      </w:pPr>
      <w:r>
        <w:rPr>
          <w:rFonts w:hint="eastAsia" w:ascii="黑体" w:hAnsi="黑体" w:eastAsia="黑体" w:cs="黑体"/>
          <w:b w:val="0"/>
          <w:bCs w:val="0"/>
          <w:sz w:val="32"/>
          <w:szCs w:val="32"/>
        </w:rPr>
        <w:t>十二、奖项设置</w:t>
      </w:r>
      <w:bookmarkEnd w:id="37"/>
    </w:p>
    <w:p>
      <w:pPr>
        <w:pStyle w:val="4"/>
        <w:spacing w:before="156" w:beforeLines="50" w:beforeAutospacing="0" w:after="156" w:afterLines="50" w:afterAutospacing="0" w:line="600" w:lineRule="exact"/>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奖项设置参照省教育厅技能大赛文件执行。</w:t>
      </w:r>
    </w:p>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38" w:name="_Toc131804183"/>
      <w:r>
        <w:rPr>
          <w:rFonts w:hint="eastAsia" w:ascii="黑体" w:hAnsi="黑体" w:eastAsia="黑体" w:cs="黑体"/>
          <w:b w:val="0"/>
          <w:bCs w:val="0"/>
          <w:sz w:val="32"/>
          <w:szCs w:val="32"/>
        </w:rPr>
        <w:t>十三、赛项预案</w:t>
      </w:r>
      <w:bookmarkEnd w:id="38"/>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（一）应急处理预案</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比赛期间发生意外事故时，发现者应第一时间报告</w:t>
      </w:r>
      <w:r>
        <w:rPr>
          <w:rFonts w:hint="eastAsia" w:ascii="仿宋_GB2312" w:hAnsi="仿宋_GB2312" w:eastAsia="仿宋_GB2312" w:cs="仿宋_GB2312"/>
          <w:sz w:val="28"/>
          <w:szCs w:val="28"/>
          <w:lang w:val="en-US" w:eastAsia="zh-CN"/>
        </w:rPr>
        <w:t>承办院校</w:t>
      </w:r>
      <w:r>
        <w:rPr>
          <w:rFonts w:hint="eastAsia" w:ascii="仿宋_GB2312" w:hAnsi="仿宋_GB2312" w:eastAsia="仿宋_GB2312" w:cs="仿宋_GB2312"/>
          <w:sz w:val="28"/>
          <w:szCs w:val="28"/>
        </w:rPr>
        <w:t>，同时采取措施，避免事态扩大。</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应立即启动预案予以解决并向</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报告。出现重大安全问题的赛项由</w:t>
      </w:r>
      <w:r>
        <w:rPr>
          <w:rFonts w:hint="eastAsia" w:ascii="仿宋_GB2312" w:hAnsi="仿宋_GB2312" w:eastAsia="仿宋_GB2312" w:cs="仿宋_GB2312"/>
          <w:sz w:val="28"/>
          <w:szCs w:val="28"/>
          <w:lang w:val="en-US" w:eastAsia="zh-CN"/>
        </w:rPr>
        <w:t>承办院校</w:t>
      </w:r>
      <w:r>
        <w:rPr>
          <w:rFonts w:hint="eastAsia" w:ascii="仿宋_GB2312" w:hAnsi="仿宋_GB2312" w:eastAsia="仿宋_GB2312" w:cs="仿宋_GB2312"/>
          <w:sz w:val="28"/>
          <w:szCs w:val="28"/>
        </w:rPr>
        <w:t>决定是否停赛等。事后，</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应向</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报告详细情况。</w:t>
      </w:r>
    </w:p>
    <w:p>
      <w:pPr>
        <w:snapToGrid w:val="0"/>
        <w:spacing w:line="600" w:lineRule="exact"/>
        <w:ind w:firstLine="560" w:firstLineChars="200"/>
        <w:rPr>
          <w:rFonts w:ascii="方正楷体_GBK" w:hAnsi="楷体" w:eastAsia="方正楷体_GBK" w:cs="楷体"/>
          <w:b/>
          <w:sz w:val="28"/>
          <w:szCs w:val="28"/>
        </w:rPr>
      </w:pPr>
      <w:bookmarkStart w:id="39" w:name="_Toc131804184"/>
      <w:r>
        <w:rPr>
          <w:rFonts w:hint="eastAsia" w:ascii="方正楷体_GBK" w:hAnsi="楷体" w:eastAsia="方正楷体_GBK" w:cs="楷体"/>
          <w:b/>
          <w:sz w:val="28"/>
          <w:szCs w:val="28"/>
        </w:rPr>
        <w:t>（二）处罚措施</w:t>
      </w:r>
      <w:bookmarkEnd w:id="39"/>
    </w:p>
    <w:p>
      <w:pPr>
        <w:adjustRightInd w:val="0"/>
        <w:snapToGrid w:val="0"/>
        <w:spacing w:line="600" w:lineRule="exact"/>
        <w:ind w:right="210" w:rightChars="100" w:firstLine="560" w:firstLineChars="200"/>
        <w:rPr>
          <w:rFonts w:ascii="仿宋_GB2312" w:hAnsi="仿宋_GB2312" w:eastAsia="仿宋_GB2312" w:cs="仿宋_GB2312"/>
          <w:sz w:val="28"/>
          <w:szCs w:val="28"/>
        </w:rPr>
      </w:pPr>
      <w:bookmarkStart w:id="40" w:name="_Toc131804185"/>
      <w:r>
        <w:rPr>
          <w:rFonts w:hint="eastAsia" w:ascii="仿宋_GB2312" w:hAnsi="仿宋_GB2312" w:eastAsia="仿宋_GB2312" w:cs="仿宋_GB2312"/>
          <w:sz w:val="28"/>
          <w:szCs w:val="28"/>
        </w:rPr>
        <w:t>1.因参赛队伍原因造成重大安全事故的，取消其获奖资格。</w:t>
      </w:r>
      <w:bookmarkEnd w:id="40"/>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2.参赛队伍有发生重大安全事故隐患，经赛场工作人员提示、警告无效的，可取消其继续比赛的资格。</w:t>
      </w:r>
    </w:p>
    <w:p>
      <w:pPr>
        <w:adjustRightInd w:val="0"/>
        <w:snapToGrid w:val="0"/>
        <w:spacing w:line="600" w:lineRule="exact"/>
        <w:ind w:right="210" w:rightChars="100" w:firstLine="560" w:firstLineChars="200"/>
      </w:pPr>
      <w:r>
        <w:rPr>
          <w:rFonts w:hint="eastAsia" w:ascii="仿宋_GB2312" w:hAnsi="仿宋_GB2312" w:eastAsia="仿宋_GB2312" w:cs="仿宋_GB2312"/>
          <w:sz w:val="28"/>
          <w:szCs w:val="28"/>
        </w:rPr>
        <w:t>3.赛事工作人员违规的，按照相应的制度追究责任。情节恶劣并造成重大安全事故的，由司法机关追究相应法律责任。</w:t>
      </w:r>
    </w:p>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41" w:name="_Toc131804186"/>
      <w:r>
        <w:rPr>
          <w:rFonts w:hint="eastAsia" w:ascii="黑体" w:hAnsi="黑体" w:eastAsia="黑体" w:cs="黑体"/>
          <w:b w:val="0"/>
          <w:bCs w:val="0"/>
          <w:sz w:val="32"/>
          <w:szCs w:val="32"/>
        </w:rPr>
        <w:t>十四、竞赛须知</w:t>
      </w:r>
      <w:bookmarkEnd w:id="41"/>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（一）参赛队须知</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1.参赛队应该参加赛项承办单位组织的各项赛事活动。          </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2.在赛事期间，领队及参赛队其他成员不得私自接触裁判，凡发现有弄虚作假者，取消其参赛资格，成绩无效。                           </w:t>
      </w:r>
    </w:p>
    <w:p>
      <w:pPr>
        <w:adjustRightInd w:val="0"/>
        <w:snapToGrid w:val="0"/>
        <w:spacing w:line="600" w:lineRule="exact"/>
        <w:ind w:right="210" w:rightChars="10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.对于有碍比赛公正和比赛正常进行的参赛队，视其情节轻重，给予警告、取消比赛成绩、通报批评等处理。</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.参赛队在竞赛现场不得出现学校名称、LOGO 等包含学校信息的内容；不得出现学校、老师、学生的照片；参赛选手及相关人员服装不得出现所在学校信息的元素。</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（二）指导教师须知</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1.各参赛代表队要发扬良好道德风尚，听从指挥，服从裁判，不弄虚作假。如发现弄虚作假者，取消参赛资格，名次无效。</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2.各代表队领队要坚决执行竞赛的各项规定，加强对参赛人员的管理，做好赛前准备工作，督促选手带好证件等竞赛相关材料。</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3.竞赛过程中，除参加当场次竞赛的选手、执行裁判员、现场工作人员和经批准的人员外，领队、指导教师及其他人员一律不得进入竞赛现场。</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4.参赛代表队若对竞赛过程有异议，在规定的时间内由领队向赛项仲裁工作组提出书面报告。</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5.对申诉的仲裁结果，领队要带头服从和执行，并做好选手工作。参赛选手不得因申诉或对处理意见不服而停止竞赛，否则以弃权处理。</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6.指导老师应及时查看大赛专用网页有关赛项的通知和内容，认真研究和掌握本赛项竞赛的规程、技术规范和赛场要求，指导选手做好赛前的一切技术准备和竞赛准备。</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（三）参赛选手须知</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1.参赛选手应按有关要求如实填报个人信息，认真学习领会竞赛相关文件，明确竞赛规程，自觉遵守大赛纪律，服从指挥，听从安排，文明参赛。</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2.参赛选手进入竞赛场地后，不得离开场地。若有特殊原因必须离开时，须征得工作人员同意，并由工作人员陪同，方可离开。</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3.参赛选手应严格遵守赛场纪律，服从指挥，依据竞赛执委会指定路线进入和离开赛场。</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4.参赛选手不得携带任何书刊、报纸、通讯工具和用品进入赛场。</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5.选手应在接到竞赛开始信号后，才能操作。选手必须遵守操作要求，规范操作，确保安全。竞赛中途不得离开赛场。</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6.竞赛过程中如遇问题，选手需举手报告，由裁判记录并现场处理。</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7.参赛选手要服从工作人员的管理，接受工作人员的监督和检查。赛场作弊或违反赛场纪律者，取消其参赛资格。</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8.参赛选手结束竞赛，经裁判同意方可离开赛场，并不得再次进入赛场。选手不得将竞赛用品带离场外。</w:t>
      </w:r>
    </w:p>
    <w:p>
      <w:pPr>
        <w:snapToGrid w:val="0"/>
        <w:spacing w:line="600" w:lineRule="exact"/>
        <w:ind w:firstLine="560"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（四）工作人员须知</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1.赛场工作人员由</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统一聘用并进行工作分工，进入竞赛现场须佩戴组委会统一提供的吊牌。</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2.赛场工作人员需服从</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的管理，严格执行</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制订的各项比赛规则，执行</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的工作安排，积极维护好赛场秩序， 坚守岗位，为赛场提供有序的服务。</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3.赛场工作人员进入现场，不得携带任何通讯工具或与竞赛无关的物品。</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4.参赛队进入赛场，现场裁判及赛场工作人员应按规定审查参赛选手带入赛场的物品，如发现不允许带入赛场的物品，交由参赛队随行人员保管，赛场不提供保管服务。</w:t>
      </w:r>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5.赛场工作人员在竞赛过程中不回答选手提出的任何有关比赛技术问题，如遇争议问题，应及时报告裁判长。</w:t>
      </w:r>
      <w:bookmarkStart w:id="42" w:name="_Toc131804187"/>
    </w:p>
    <w:p>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十五、申诉与仲裁</w:t>
      </w:r>
      <w:bookmarkEnd w:id="42"/>
    </w:p>
    <w:p>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各参赛队对不符合大赛和赛项规程规定的仪器、设备、工装、材料、物件、计算机软硬件、竞赛使用工具、用品，竞赛执裁、赛场管理，以及工作人员的不规范行为等，可向赛项监督仲裁组提出申诉。申诉主体为参赛队领队。参赛队领队可在比赛结束后 (选手赛场比赛内容全部完成) 2小时之内向监督仲裁组提出书面申诉。</w:t>
      </w:r>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（二）书面申诉应对申诉事件的现象、发生时间、涉及人员、申诉依据等进行充分、实事求是的叙述，并由领队亲笔签名。非书面申诉不予受理。</w:t>
      </w:r>
    </w:p>
    <w:p>
      <w:pPr>
        <w:pStyle w:val="4"/>
        <w:spacing w:before="156" w:beforeLines="50" w:beforeAutospacing="0" w:after="156" w:afterLines="50" w:afterAutospacing="0" w:line="600" w:lineRule="exact"/>
        <w:rPr>
          <w:rFonts w:ascii="黑体" w:hAnsi="黑体" w:eastAsia="黑体" w:cs="黑体"/>
          <w:b w:val="0"/>
          <w:bCs w:val="0"/>
          <w:sz w:val="32"/>
          <w:szCs w:val="32"/>
        </w:rPr>
      </w:pPr>
      <w:bookmarkStart w:id="43" w:name="_Toc131804188"/>
      <w:r>
        <w:rPr>
          <w:rFonts w:hint="eastAsia" w:ascii="黑体" w:hAnsi="黑体" w:eastAsia="黑体" w:cs="黑体"/>
          <w:b w:val="0"/>
          <w:bCs w:val="0"/>
          <w:sz w:val="32"/>
          <w:szCs w:val="32"/>
        </w:rPr>
        <w:t>十六、竞赛观摩</w:t>
      </w:r>
      <w:bookmarkEnd w:id="43"/>
    </w:p>
    <w:p>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媒体、行业专家等人员可以在赛事执委会批准，且竞赛不被干扰的前提下，沿现场指定观摩通道有组织地参观竞赛现场，了解数字艺术设计及职业教育教学成果。观摩人员不得干扰竞赛过程，不得同参赛选手、裁判交流，不得传递信息，不得采录竞赛现场数据资料，不得影响比赛的正常进行。</w:t>
      </w:r>
    </w:p>
    <w:p>
      <w:pPr>
        <w:rPr>
          <w:sz w:val="28"/>
          <w:szCs w:val="28"/>
        </w:rPr>
      </w:pPr>
    </w:p>
    <w:sectPr>
      <w:footerReference r:id="rId3" w:type="default"/>
      <w:pgSz w:w="11906" w:h="16838"/>
      <w:pgMar w:top="1240" w:right="1800" w:bottom="1318"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script"/>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2E8574"/>
    <w:multiLevelType w:val="singleLevel"/>
    <w:tmpl w:val="A22E8574"/>
    <w:lvl w:ilvl="0" w:tentative="0">
      <w:start w:val="1"/>
      <w:numFmt w:val="decimal"/>
      <w:suff w:val="space"/>
      <w:lvlText w:val="%1."/>
      <w:lvlJc w:val="left"/>
    </w:lvl>
  </w:abstractNum>
  <w:abstractNum w:abstractNumId="1">
    <w:nsid w:val="6ABE3213"/>
    <w:multiLevelType w:val="singleLevel"/>
    <w:tmpl w:val="6ABE321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jYTJjZTEwMjIzYjM3ZjA0MmM1ZDkxNzNhMzNiMmIifQ=="/>
  </w:docVars>
  <w:rsids>
    <w:rsidRoot w:val="00172A27"/>
    <w:rsid w:val="00006B7F"/>
    <w:rsid w:val="0001019D"/>
    <w:rsid w:val="00014E75"/>
    <w:rsid w:val="000162C2"/>
    <w:rsid w:val="0002151A"/>
    <w:rsid w:val="00024AEC"/>
    <w:rsid w:val="000255C6"/>
    <w:rsid w:val="00025950"/>
    <w:rsid w:val="000379A5"/>
    <w:rsid w:val="00042262"/>
    <w:rsid w:val="00043501"/>
    <w:rsid w:val="00051C85"/>
    <w:rsid w:val="00051FB7"/>
    <w:rsid w:val="000532C4"/>
    <w:rsid w:val="00053991"/>
    <w:rsid w:val="00053C5A"/>
    <w:rsid w:val="00061D1D"/>
    <w:rsid w:val="00071083"/>
    <w:rsid w:val="00073278"/>
    <w:rsid w:val="00077CF4"/>
    <w:rsid w:val="00083BFB"/>
    <w:rsid w:val="00090FCC"/>
    <w:rsid w:val="000959C3"/>
    <w:rsid w:val="00095A77"/>
    <w:rsid w:val="00095E74"/>
    <w:rsid w:val="0009732D"/>
    <w:rsid w:val="0009797C"/>
    <w:rsid w:val="00097D48"/>
    <w:rsid w:val="000A1333"/>
    <w:rsid w:val="000B34D9"/>
    <w:rsid w:val="000B639E"/>
    <w:rsid w:val="000C021E"/>
    <w:rsid w:val="000C294C"/>
    <w:rsid w:val="000C48DA"/>
    <w:rsid w:val="000C4C7A"/>
    <w:rsid w:val="000C7E39"/>
    <w:rsid w:val="000D19B5"/>
    <w:rsid w:val="000E1276"/>
    <w:rsid w:val="000E2FC2"/>
    <w:rsid w:val="000F1308"/>
    <w:rsid w:val="000F170E"/>
    <w:rsid w:val="000F4655"/>
    <w:rsid w:val="000F738E"/>
    <w:rsid w:val="001007D8"/>
    <w:rsid w:val="00104FFA"/>
    <w:rsid w:val="001120F3"/>
    <w:rsid w:val="0011373A"/>
    <w:rsid w:val="00116654"/>
    <w:rsid w:val="00120524"/>
    <w:rsid w:val="001221CE"/>
    <w:rsid w:val="0012456D"/>
    <w:rsid w:val="0013300C"/>
    <w:rsid w:val="001364DD"/>
    <w:rsid w:val="00137E3D"/>
    <w:rsid w:val="0014102C"/>
    <w:rsid w:val="00141EFA"/>
    <w:rsid w:val="001424C7"/>
    <w:rsid w:val="00151656"/>
    <w:rsid w:val="00164749"/>
    <w:rsid w:val="001658AB"/>
    <w:rsid w:val="00174010"/>
    <w:rsid w:val="001762E2"/>
    <w:rsid w:val="001907EC"/>
    <w:rsid w:val="00192442"/>
    <w:rsid w:val="001A3A76"/>
    <w:rsid w:val="001B797C"/>
    <w:rsid w:val="001C3E3C"/>
    <w:rsid w:val="001D7496"/>
    <w:rsid w:val="001E2321"/>
    <w:rsid w:val="001F09FA"/>
    <w:rsid w:val="001F5E73"/>
    <w:rsid w:val="00201C10"/>
    <w:rsid w:val="002071C0"/>
    <w:rsid w:val="00211378"/>
    <w:rsid w:val="00215F65"/>
    <w:rsid w:val="002222FC"/>
    <w:rsid w:val="00226C67"/>
    <w:rsid w:val="00227BA1"/>
    <w:rsid w:val="002302D1"/>
    <w:rsid w:val="00232A06"/>
    <w:rsid w:val="00233986"/>
    <w:rsid w:val="00233EA0"/>
    <w:rsid w:val="00244470"/>
    <w:rsid w:val="00245102"/>
    <w:rsid w:val="00262013"/>
    <w:rsid w:val="00274DAC"/>
    <w:rsid w:val="002768E9"/>
    <w:rsid w:val="00277239"/>
    <w:rsid w:val="002856EB"/>
    <w:rsid w:val="00286948"/>
    <w:rsid w:val="00287C3E"/>
    <w:rsid w:val="002951D6"/>
    <w:rsid w:val="0029728F"/>
    <w:rsid w:val="002A1AC8"/>
    <w:rsid w:val="002A3F97"/>
    <w:rsid w:val="002A4C7C"/>
    <w:rsid w:val="002A7B40"/>
    <w:rsid w:val="002B0131"/>
    <w:rsid w:val="002B5945"/>
    <w:rsid w:val="002B5F8B"/>
    <w:rsid w:val="002C196A"/>
    <w:rsid w:val="002C38BE"/>
    <w:rsid w:val="002C5172"/>
    <w:rsid w:val="002C72A9"/>
    <w:rsid w:val="002D07C7"/>
    <w:rsid w:val="002D3231"/>
    <w:rsid w:val="002D79D6"/>
    <w:rsid w:val="002E48C7"/>
    <w:rsid w:val="002F3298"/>
    <w:rsid w:val="002F5A29"/>
    <w:rsid w:val="003039CF"/>
    <w:rsid w:val="003150E9"/>
    <w:rsid w:val="00317CB5"/>
    <w:rsid w:val="003229A5"/>
    <w:rsid w:val="003246CF"/>
    <w:rsid w:val="00327F4F"/>
    <w:rsid w:val="00332D73"/>
    <w:rsid w:val="00345B10"/>
    <w:rsid w:val="00351B3A"/>
    <w:rsid w:val="0035370A"/>
    <w:rsid w:val="0035573E"/>
    <w:rsid w:val="00360E79"/>
    <w:rsid w:val="0036256A"/>
    <w:rsid w:val="0036743D"/>
    <w:rsid w:val="003717F3"/>
    <w:rsid w:val="003722CA"/>
    <w:rsid w:val="003728CA"/>
    <w:rsid w:val="003743A0"/>
    <w:rsid w:val="00382842"/>
    <w:rsid w:val="00383A83"/>
    <w:rsid w:val="00393C55"/>
    <w:rsid w:val="003A32CE"/>
    <w:rsid w:val="003A489F"/>
    <w:rsid w:val="003A5E2E"/>
    <w:rsid w:val="003C3515"/>
    <w:rsid w:val="003C7ADD"/>
    <w:rsid w:val="003D05D4"/>
    <w:rsid w:val="003D1594"/>
    <w:rsid w:val="003D3D13"/>
    <w:rsid w:val="003D46FB"/>
    <w:rsid w:val="003E2E52"/>
    <w:rsid w:val="003E4E63"/>
    <w:rsid w:val="003E57A8"/>
    <w:rsid w:val="003E6474"/>
    <w:rsid w:val="00404242"/>
    <w:rsid w:val="00412A47"/>
    <w:rsid w:val="0041383C"/>
    <w:rsid w:val="00415B35"/>
    <w:rsid w:val="00424921"/>
    <w:rsid w:val="004277A5"/>
    <w:rsid w:val="004325BF"/>
    <w:rsid w:val="00437300"/>
    <w:rsid w:val="004427BB"/>
    <w:rsid w:val="00442B6B"/>
    <w:rsid w:val="004476B2"/>
    <w:rsid w:val="00447ABE"/>
    <w:rsid w:val="0045089B"/>
    <w:rsid w:val="00461EB2"/>
    <w:rsid w:val="00463011"/>
    <w:rsid w:val="00465269"/>
    <w:rsid w:val="004653F0"/>
    <w:rsid w:val="004818FF"/>
    <w:rsid w:val="00484E53"/>
    <w:rsid w:val="00490934"/>
    <w:rsid w:val="004A3F94"/>
    <w:rsid w:val="004A6ADE"/>
    <w:rsid w:val="004A73FA"/>
    <w:rsid w:val="004B01D8"/>
    <w:rsid w:val="004B0F44"/>
    <w:rsid w:val="004B1847"/>
    <w:rsid w:val="004B5F0E"/>
    <w:rsid w:val="004B6630"/>
    <w:rsid w:val="004C538E"/>
    <w:rsid w:val="004C6FAF"/>
    <w:rsid w:val="004D3526"/>
    <w:rsid w:val="004D4823"/>
    <w:rsid w:val="004D5DE2"/>
    <w:rsid w:val="004D606F"/>
    <w:rsid w:val="004D609A"/>
    <w:rsid w:val="004E25E4"/>
    <w:rsid w:val="004E26F0"/>
    <w:rsid w:val="004F0CF6"/>
    <w:rsid w:val="004F1C50"/>
    <w:rsid w:val="004F493A"/>
    <w:rsid w:val="004F65BA"/>
    <w:rsid w:val="004F67AF"/>
    <w:rsid w:val="005041D7"/>
    <w:rsid w:val="00504D03"/>
    <w:rsid w:val="00510FD0"/>
    <w:rsid w:val="00515B94"/>
    <w:rsid w:val="005164D7"/>
    <w:rsid w:val="0051689F"/>
    <w:rsid w:val="00523F67"/>
    <w:rsid w:val="00532CF0"/>
    <w:rsid w:val="005340C3"/>
    <w:rsid w:val="00542E52"/>
    <w:rsid w:val="0054410F"/>
    <w:rsid w:val="0055059E"/>
    <w:rsid w:val="0055463C"/>
    <w:rsid w:val="00556C8B"/>
    <w:rsid w:val="00570890"/>
    <w:rsid w:val="00577410"/>
    <w:rsid w:val="00580A89"/>
    <w:rsid w:val="00580CDD"/>
    <w:rsid w:val="005816DE"/>
    <w:rsid w:val="00584163"/>
    <w:rsid w:val="00587882"/>
    <w:rsid w:val="005905E9"/>
    <w:rsid w:val="00591114"/>
    <w:rsid w:val="005A6F8E"/>
    <w:rsid w:val="005B4B80"/>
    <w:rsid w:val="005B5E05"/>
    <w:rsid w:val="005B65DB"/>
    <w:rsid w:val="005C0197"/>
    <w:rsid w:val="005D0E41"/>
    <w:rsid w:val="005D7D42"/>
    <w:rsid w:val="005E1245"/>
    <w:rsid w:val="005E4C28"/>
    <w:rsid w:val="005E5D6A"/>
    <w:rsid w:val="005F6D86"/>
    <w:rsid w:val="00605FF1"/>
    <w:rsid w:val="00611E26"/>
    <w:rsid w:val="006143CA"/>
    <w:rsid w:val="00623AE6"/>
    <w:rsid w:val="00626660"/>
    <w:rsid w:val="00633B4A"/>
    <w:rsid w:val="006343EC"/>
    <w:rsid w:val="0063630D"/>
    <w:rsid w:val="00636A4A"/>
    <w:rsid w:val="00640BE7"/>
    <w:rsid w:val="006423F1"/>
    <w:rsid w:val="00643BDE"/>
    <w:rsid w:val="00656C40"/>
    <w:rsid w:val="006572CF"/>
    <w:rsid w:val="00657FA8"/>
    <w:rsid w:val="00661576"/>
    <w:rsid w:val="00663CD3"/>
    <w:rsid w:val="006665A7"/>
    <w:rsid w:val="00667401"/>
    <w:rsid w:val="006712B8"/>
    <w:rsid w:val="0067346F"/>
    <w:rsid w:val="00680D5D"/>
    <w:rsid w:val="00680E87"/>
    <w:rsid w:val="00693BE1"/>
    <w:rsid w:val="00694026"/>
    <w:rsid w:val="00694774"/>
    <w:rsid w:val="00695A17"/>
    <w:rsid w:val="00696D93"/>
    <w:rsid w:val="006A6F59"/>
    <w:rsid w:val="006B129C"/>
    <w:rsid w:val="006B191E"/>
    <w:rsid w:val="006B258B"/>
    <w:rsid w:val="006B4F17"/>
    <w:rsid w:val="006D2999"/>
    <w:rsid w:val="006D2FE7"/>
    <w:rsid w:val="006D3C2D"/>
    <w:rsid w:val="006D5E08"/>
    <w:rsid w:val="006E2BD3"/>
    <w:rsid w:val="006E3E83"/>
    <w:rsid w:val="006E4740"/>
    <w:rsid w:val="006F1907"/>
    <w:rsid w:val="006F1A9B"/>
    <w:rsid w:val="006F6574"/>
    <w:rsid w:val="0070403D"/>
    <w:rsid w:val="0070494D"/>
    <w:rsid w:val="00705705"/>
    <w:rsid w:val="00717CEC"/>
    <w:rsid w:val="00724C7E"/>
    <w:rsid w:val="00726418"/>
    <w:rsid w:val="00735D9B"/>
    <w:rsid w:val="00736DA9"/>
    <w:rsid w:val="00737822"/>
    <w:rsid w:val="00744722"/>
    <w:rsid w:val="00744CFC"/>
    <w:rsid w:val="007534B2"/>
    <w:rsid w:val="00756415"/>
    <w:rsid w:val="0076034F"/>
    <w:rsid w:val="00776C75"/>
    <w:rsid w:val="0078082F"/>
    <w:rsid w:val="00786914"/>
    <w:rsid w:val="00786E05"/>
    <w:rsid w:val="007B0AF6"/>
    <w:rsid w:val="007B454A"/>
    <w:rsid w:val="007C31D4"/>
    <w:rsid w:val="007C3F86"/>
    <w:rsid w:val="007C693A"/>
    <w:rsid w:val="007C7AA7"/>
    <w:rsid w:val="007D27D4"/>
    <w:rsid w:val="007D74F9"/>
    <w:rsid w:val="007E05F2"/>
    <w:rsid w:val="007E2A4A"/>
    <w:rsid w:val="007E2E47"/>
    <w:rsid w:val="007E4770"/>
    <w:rsid w:val="007E507B"/>
    <w:rsid w:val="007F1C45"/>
    <w:rsid w:val="007F4920"/>
    <w:rsid w:val="007F56B4"/>
    <w:rsid w:val="008016C3"/>
    <w:rsid w:val="00806300"/>
    <w:rsid w:val="00806C0A"/>
    <w:rsid w:val="00810138"/>
    <w:rsid w:val="00811320"/>
    <w:rsid w:val="008146F6"/>
    <w:rsid w:val="00826BD2"/>
    <w:rsid w:val="00827349"/>
    <w:rsid w:val="00827451"/>
    <w:rsid w:val="008279E6"/>
    <w:rsid w:val="00830247"/>
    <w:rsid w:val="00834028"/>
    <w:rsid w:val="0084163D"/>
    <w:rsid w:val="0084296C"/>
    <w:rsid w:val="008472A5"/>
    <w:rsid w:val="0085216D"/>
    <w:rsid w:val="0086578F"/>
    <w:rsid w:val="00870DFE"/>
    <w:rsid w:val="00871BF3"/>
    <w:rsid w:val="0087205D"/>
    <w:rsid w:val="008726EE"/>
    <w:rsid w:val="008746F8"/>
    <w:rsid w:val="00877AA8"/>
    <w:rsid w:val="00877AAE"/>
    <w:rsid w:val="0088143F"/>
    <w:rsid w:val="00884384"/>
    <w:rsid w:val="0088492C"/>
    <w:rsid w:val="00887AA4"/>
    <w:rsid w:val="008A622F"/>
    <w:rsid w:val="008A78F9"/>
    <w:rsid w:val="008B6BEA"/>
    <w:rsid w:val="008B774E"/>
    <w:rsid w:val="008C0597"/>
    <w:rsid w:val="008C0687"/>
    <w:rsid w:val="008C3FB2"/>
    <w:rsid w:val="008D5073"/>
    <w:rsid w:val="008D7950"/>
    <w:rsid w:val="008E64F8"/>
    <w:rsid w:val="008E6D71"/>
    <w:rsid w:val="008F2E15"/>
    <w:rsid w:val="008F5F07"/>
    <w:rsid w:val="008F77E1"/>
    <w:rsid w:val="00903B4A"/>
    <w:rsid w:val="009149E1"/>
    <w:rsid w:val="00920293"/>
    <w:rsid w:val="00920AC0"/>
    <w:rsid w:val="00924C30"/>
    <w:rsid w:val="00926BE3"/>
    <w:rsid w:val="00942133"/>
    <w:rsid w:val="0094572C"/>
    <w:rsid w:val="0095211F"/>
    <w:rsid w:val="00953EDA"/>
    <w:rsid w:val="00973BC0"/>
    <w:rsid w:val="009774F6"/>
    <w:rsid w:val="009815AA"/>
    <w:rsid w:val="00990D38"/>
    <w:rsid w:val="00994B04"/>
    <w:rsid w:val="009966D3"/>
    <w:rsid w:val="009A1E86"/>
    <w:rsid w:val="009A2743"/>
    <w:rsid w:val="009A6475"/>
    <w:rsid w:val="009B2F01"/>
    <w:rsid w:val="009B6689"/>
    <w:rsid w:val="009B7BBF"/>
    <w:rsid w:val="009C0837"/>
    <w:rsid w:val="009C154C"/>
    <w:rsid w:val="009C693E"/>
    <w:rsid w:val="009D01D6"/>
    <w:rsid w:val="009D072E"/>
    <w:rsid w:val="009D445C"/>
    <w:rsid w:val="009E3652"/>
    <w:rsid w:val="009E5AAA"/>
    <w:rsid w:val="009F7287"/>
    <w:rsid w:val="00A21DF7"/>
    <w:rsid w:val="00A22224"/>
    <w:rsid w:val="00A2295B"/>
    <w:rsid w:val="00A24781"/>
    <w:rsid w:val="00A25CFD"/>
    <w:rsid w:val="00A333A8"/>
    <w:rsid w:val="00A3470F"/>
    <w:rsid w:val="00A34D26"/>
    <w:rsid w:val="00A44A63"/>
    <w:rsid w:val="00A4654E"/>
    <w:rsid w:val="00A47E29"/>
    <w:rsid w:val="00A5290D"/>
    <w:rsid w:val="00A62318"/>
    <w:rsid w:val="00A62FC9"/>
    <w:rsid w:val="00A67F32"/>
    <w:rsid w:val="00A728F9"/>
    <w:rsid w:val="00A730ED"/>
    <w:rsid w:val="00A76550"/>
    <w:rsid w:val="00A76D7D"/>
    <w:rsid w:val="00A76EB3"/>
    <w:rsid w:val="00A81928"/>
    <w:rsid w:val="00A83B78"/>
    <w:rsid w:val="00A84FCA"/>
    <w:rsid w:val="00A85ED9"/>
    <w:rsid w:val="00AA2C54"/>
    <w:rsid w:val="00AA7CFE"/>
    <w:rsid w:val="00AB05D4"/>
    <w:rsid w:val="00AB28BA"/>
    <w:rsid w:val="00AB319A"/>
    <w:rsid w:val="00AB47FA"/>
    <w:rsid w:val="00AB4AF4"/>
    <w:rsid w:val="00AC2C65"/>
    <w:rsid w:val="00AC5C72"/>
    <w:rsid w:val="00AC72B8"/>
    <w:rsid w:val="00AC798D"/>
    <w:rsid w:val="00AD20D7"/>
    <w:rsid w:val="00AE0976"/>
    <w:rsid w:val="00AE5A37"/>
    <w:rsid w:val="00AF2C6A"/>
    <w:rsid w:val="00AF5E41"/>
    <w:rsid w:val="00AF742F"/>
    <w:rsid w:val="00B01BCE"/>
    <w:rsid w:val="00B156FC"/>
    <w:rsid w:val="00B17261"/>
    <w:rsid w:val="00B2537D"/>
    <w:rsid w:val="00B26783"/>
    <w:rsid w:val="00B26D4F"/>
    <w:rsid w:val="00B34F4E"/>
    <w:rsid w:val="00B352CE"/>
    <w:rsid w:val="00B35A05"/>
    <w:rsid w:val="00B368F6"/>
    <w:rsid w:val="00B42076"/>
    <w:rsid w:val="00B432ED"/>
    <w:rsid w:val="00B46A27"/>
    <w:rsid w:val="00B555A2"/>
    <w:rsid w:val="00B571E2"/>
    <w:rsid w:val="00B579F4"/>
    <w:rsid w:val="00B62D4A"/>
    <w:rsid w:val="00B63699"/>
    <w:rsid w:val="00B65164"/>
    <w:rsid w:val="00B667BE"/>
    <w:rsid w:val="00B74118"/>
    <w:rsid w:val="00B857FD"/>
    <w:rsid w:val="00B868AF"/>
    <w:rsid w:val="00B90997"/>
    <w:rsid w:val="00B931B4"/>
    <w:rsid w:val="00B9405F"/>
    <w:rsid w:val="00B965D8"/>
    <w:rsid w:val="00BA095C"/>
    <w:rsid w:val="00BA68EF"/>
    <w:rsid w:val="00BA7DEA"/>
    <w:rsid w:val="00BB27F0"/>
    <w:rsid w:val="00BB3824"/>
    <w:rsid w:val="00BB4A59"/>
    <w:rsid w:val="00BB64D6"/>
    <w:rsid w:val="00BB71B1"/>
    <w:rsid w:val="00BC5ACB"/>
    <w:rsid w:val="00BC5C7A"/>
    <w:rsid w:val="00BD06CE"/>
    <w:rsid w:val="00BD137C"/>
    <w:rsid w:val="00BD19DF"/>
    <w:rsid w:val="00BD6F8F"/>
    <w:rsid w:val="00BF74B2"/>
    <w:rsid w:val="00C01FBB"/>
    <w:rsid w:val="00C04439"/>
    <w:rsid w:val="00C11C60"/>
    <w:rsid w:val="00C167FD"/>
    <w:rsid w:val="00C323CE"/>
    <w:rsid w:val="00C34C4B"/>
    <w:rsid w:val="00C369FA"/>
    <w:rsid w:val="00C51C9F"/>
    <w:rsid w:val="00C57968"/>
    <w:rsid w:val="00C769EB"/>
    <w:rsid w:val="00C77814"/>
    <w:rsid w:val="00C80274"/>
    <w:rsid w:val="00C81643"/>
    <w:rsid w:val="00C849D2"/>
    <w:rsid w:val="00C91704"/>
    <w:rsid w:val="00C92220"/>
    <w:rsid w:val="00C93200"/>
    <w:rsid w:val="00C966CA"/>
    <w:rsid w:val="00CA45C6"/>
    <w:rsid w:val="00CA5978"/>
    <w:rsid w:val="00CA62DB"/>
    <w:rsid w:val="00CB3DB7"/>
    <w:rsid w:val="00CB75A2"/>
    <w:rsid w:val="00CD26D5"/>
    <w:rsid w:val="00CD3ED6"/>
    <w:rsid w:val="00CE2A2E"/>
    <w:rsid w:val="00CF21B1"/>
    <w:rsid w:val="00CF7F74"/>
    <w:rsid w:val="00D03BFF"/>
    <w:rsid w:val="00D06E2C"/>
    <w:rsid w:val="00D07B24"/>
    <w:rsid w:val="00D12751"/>
    <w:rsid w:val="00D1630A"/>
    <w:rsid w:val="00D16EE2"/>
    <w:rsid w:val="00D17EB2"/>
    <w:rsid w:val="00D212BB"/>
    <w:rsid w:val="00D2169D"/>
    <w:rsid w:val="00D27B6F"/>
    <w:rsid w:val="00D36109"/>
    <w:rsid w:val="00D36EB0"/>
    <w:rsid w:val="00D41977"/>
    <w:rsid w:val="00D44527"/>
    <w:rsid w:val="00D44853"/>
    <w:rsid w:val="00D4491A"/>
    <w:rsid w:val="00D45C12"/>
    <w:rsid w:val="00D5139E"/>
    <w:rsid w:val="00D5570A"/>
    <w:rsid w:val="00D56DBD"/>
    <w:rsid w:val="00D57ABB"/>
    <w:rsid w:val="00D65763"/>
    <w:rsid w:val="00D8287E"/>
    <w:rsid w:val="00D8752D"/>
    <w:rsid w:val="00D87D40"/>
    <w:rsid w:val="00D91C71"/>
    <w:rsid w:val="00DA0162"/>
    <w:rsid w:val="00DA2753"/>
    <w:rsid w:val="00DA6D57"/>
    <w:rsid w:val="00DA7B49"/>
    <w:rsid w:val="00DB0C8A"/>
    <w:rsid w:val="00DB332A"/>
    <w:rsid w:val="00DB5108"/>
    <w:rsid w:val="00DB719A"/>
    <w:rsid w:val="00DC0A62"/>
    <w:rsid w:val="00DC2AB3"/>
    <w:rsid w:val="00DC5FFA"/>
    <w:rsid w:val="00DC64C0"/>
    <w:rsid w:val="00DC7096"/>
    <w:rsid w:val="00DD46D9"/>
    <w:rsid w:val="00DD671D"/>
    <w:rsid w:val="00DD6FEC"/>
    <w:rsid w:val="00DE08FD"/>
    <w:rsid w:val="00DE5FBE"/>
    <w:rsid w:val="00DF17A6"/>
    <w:rsid w:val="00E014A5"/>
    <w:rsid w:val="00E02784"/>
    <w:rsid w:val="00E054A3"/>
    <w:rsid w:val="00E0635F"/>
    <w:rsid w:val="00E17AD1"/>
    <w:rsid w:val="00E20050"/>
    <w:rsid w:val="00E20C82"/>
    <w:rsid w:val="00E2141B"/>
    <w:rsid w:val="00E26BC0"/>
    <w:rsid w:val="00E301C8"/>
    <w:rsid w:val="00E323FA"/>
    <w:rsid w:val="00E3259B"/>
    <w:rsid w:val="00E33879"/>
    <w:rsid w:val="00E33E58"/>
    <w:rsid w:val="00E403EF"/>
    <w:rsid w:val="00E40EA8"/>
    <w:rsid w:val="00E4163A"/>
    <w:rsid w:val="00E50757"/>
    <w:rsid w:val="00E51545"/>
    <w:rsid w:val="00E5480D"/>
    <w:rsid w:val="00E55BF4"/>
    <w:rsid w:val="00E55D11"/>
    <w:rsid w:val="00E605E6"/>
    <w:rsid w:val="00E62E33"/>
    <w:rsid w:val="00E62F61"/>
    <w:rsid w:val="00E826F5"/>
    <w:rsid w:val="00E831DB"/>
    <w:rsid w:val="00E83967"/>
    <w:rsid w:val="00E840F5"/>
    <w:rsid w:val="00E86712"/>
    <w:rsid w:val="00E916B2"/>
    <w:rsid w:val="00E92F02"/>
    <w:rsid w:val="00E94CD2"/>
    <w:rsid w:val="00EA0957"/>
    <w:rsid w:val="00EA32F8"/>
    <w:rsid w:val="00EA3526"/>
    <w:rsid w:val="00EB0E66"/>
    <w:rsid w:val="00EB22F5"/>
    <w:rsid w:val="00EB3AB8"/>
    <w:rsid w:val="00EB4A9A"/>
    <w:rsid w:val="00EB547B"/>
    <w:rsid w:val="00ED3DE4"/>
    <w:rsid w:val="00EE0C4B"/>
    <w:rsid w:val="00EE7601"/>
    <w:rsid w:val="00EF001C"/>
    <w:rsid w:val="00EF0412"/>
    <w:rsid w:val="00EF0593"/>
    <w:rsid w:val="00EF557D"/>
    <w:rsid w:val="00F01E8E"/>
    <w:rsid w:val="00F161CA"/>
    <w:rsid w:val="00F21551"/>
    <w:rsid w:val="00F21B74"/>
    <w:rsid w:val="00F24B9D"/>
    <w:rsid w:val="00F266A2"/>
    <w:rsid w:val="00F33B7E"/>
    <w:rsid w:val="00F60B2B"/>
    <w:rsid w:val="00F61527"/>
    <w:rsid w:val="00F65A09"/>
    <w:rsid w:val="00F67519"/>
    <w:rsid w:val="00F713D5"/>
    <w:rsid w:val="00F75FE0"/>
    <w:rsid w:val="00F766B4"/>
    <w:rsid w:val="00F84D9A"/>
    <w:rsid w:val="00F85DD3"/>
    <w:rsid w:val="00F92CBD"/>
    <w:rsid w:val="00F934F5"/>
    <w:rsid w:val="00F96754"/>
    <w:rsid w:val="00F970B0"/>
    <w:rsid w:val="00FA3751"/>
    <w:rsid w:val="00FA397C"/>
    <w:rsid w:val="00FA59D9"/>
    <w:rsid w:val="00FA7242"/>
    <w:rsid w:val="00FB4964"/>
    <w:rsid w:val="00FC53FD"/>
    <w:rsid w:val="00FC6DCA"/>
    <w:rsid w:val="00FC7FAF"/>
    <w:rsid w:val="00FD0558"/>
    <w:rsid w:val="00FD439B"/>
    <w:rsid w:val="00FD58A9"/>
    <w:rsid w:val="00FE22AB"/>
    <w:rsid w:val="00FE605E"/>
    <w:rsid w:val="00FE7207"/>
    <w:rsid w:val="00FE7FFD"/>
    <w:rsid w:val="00FF0257"/>
    <w:rsid w:val="00FF6B27"/>
    <w:rsid w:val="026E1D17"/>
    <w:rsid w:val="0282168D"/>
    <w:rsid w:val="02C62933"/>
    <w:rsid w:val="035B12CD"/>
    <w:rsid w:val="03B64EBD"/>
    <w:rsid w:val="03F73D27"/>
    <w:rsid w:val="04231234"/>
    <w:rsid w:val="042C2539"/>
    <w:rsid w:val="04EA5381"/>
    <w:rsid w:val="05285DED"/>
    <w:rsid w:val="06A95A73"/>
    <w:rsid w:val="06BB51FC"/>
    <w:rsid w:val="06F43B0B"/>
    <w:rsid w:val="080C0223"/>
    <w:rsid w:val="09957FA5"/>
    <w:rsid w:val="0AD32091"/>
    <w:rsid w:val="0C230210"/>
    <w:rsid w:val="0DB06C84"/>
    <w:rsid w:val="104F2851"/>
    <w:rsid w:val="115D0CBD"/>
    <w:rsid w:val="11A02087"/>
    <w:rsid w:val="12903058"/>
    <w:rsid w:val="12AA338A"/>
    <w:rsid w:val="136E12C6"/>
    <w:rsid w:val="13736033"/>
    <w:rsid w:val="137C0231"/>
    <w:rsid w:val="139474AE"/>
    <w:rsid w:val="13A94328"/>
    <w:rsid w:val="14625938"/>
    <w:rsid w:val="149240AB"/>
    <w:rsid w:val="1499306D"/>
    <w:rsid w:val="154219E8"/>
    <w:rsid w:val="16933A93"/>
    <w:rsid w:val="16C36A0F"/>
    <w:rsid w:val="16E741E3"/>
    <w:rsid w:val="17DFF8B8"/>
    <w:rsid w:val="19683F5B"/>
    <w:rsid w:val="19DE010A"/>
    <w:rsid w:val="1AB449F0"/>
    <w:rsid w:val="1D39539B"/>
    <w:rsid w:val="1D3F5455"/>
    <w:rsid w:val="1D5F77B4"/>
    <w:rsid w:val="1E715EA4"/>
    <w:rsid w:val="1F3D1022"/>
    <w:rsid w:val="2088476C"/>
    <w:rsid w:val="20B56F1B"/>
    <w:rsid w:val="20FB77F4"/>
    <w:rsid w:val="22053708"/>
    <w:rsid w:val="222B0335"/>
    <w:rsid w:val="226F6E4F"/>
    <w:rsid w:val="22E04744"/>
    <w:rsid w:val="23A16A37"/>
    <w:rsid w:val="247C0C4C"/>
    <w:rsid w:val="252235A1"/>
    <w:rsid w:val="25EA01A0"/>
    <w:rsid w:val="25F4470E"/>
    <w:rsid w:val="27391076"/>
    <w:rsid w:val="286409DB"/>
    <w:rsid w:val="29685365"/>
    <w:rsid w:val="2C03296F"/>
    <w:rsid w:val="2CA246E6"/>
    <w:rsid w:val="2D3A45AD"/>
    <w:rsid w:val="2D607348"/>
    <w:rsid w:val="2D9A5DFE"/>
    <w:rsid w:val="2DF33D2D"/>
    <w:rsid w:val="2DFECA63"/>
    <w:rsid w:val="2E1626D1"/>
    <w:rsid w:val="2EF65531"/>
    <w:rsid w:val="2FDB2EF6"/>
    <w:rsid w:val="30267AFA"/>
    <w:rsid w:val="308972B2"/>
    <w:rsid w:val="323A3923"/>
    <w:rsid w:val="32B51A64"/>
    <w:rsid w:val="32F74A26"/>
    <w:rsid w:val="33EA538E"/>
    <w:rsid w:val="344055F7"/>
    <w:rsid w:val="34A6680D"/>
    <w:rsid w:val="354A739E"/>
    <w:rsid w:val="36F7BA2A"/>
    <w:rsid w:val="36FFDC1E"/>
    <w:rsid w:val="37BC21C0"/>
    <w:rsid w:val="37E010CF"/>
    <w:rsid w:val="380D6333"/>
    <w:rsid w:val="3874749E"/>
    <w:rsid w:val="3891486E"/>
    <w:rsid w:val="39A131D7"/>
    <w:rsid w:val="3C58101D"/>
    <w:rsid w:val="3CE08178"/>
    <w:rsid w:val="3DF466D8"/>
    <w:rsid w:val="3E9E250F"/>
    <w:rsid w:val="3EDB7E0B"/>
    <w:rsid w:val="3EEF05D6"/>
    <w:rsid w:val="3F56CCE6"/>
    <w:rsid w:val="3F5C79A7"/>
    <w:rsid w:val="3F7F46C9"/>
    <w:rsid w:val="3FA38041"/>
    <w:rsid w:val="3FDF3A8A"/>
    <w:rsid w:val="3FE358C6"/>
    <w:rsid w:val="40D76AF9"/>
    <w:rsid w:val="41C7182C"/>
    <w:rsid w:val="41F44D05"/>
    <w:rsid w:val="421420E2"/>
    <w:rsid w:val="42641245"/>
    <w:rsid w:val="449F53B4"/>
    <w:rsid w:val="45A67FDB"/>
    <w:rsid w:val="45E264BC"/>
    <w:rsid w:val="45F047AA"/>
    <w:rsid w:val="46594377"/>
    <w:rsid w:val="466E0922"/>
    <w:rsid w:val="46A52C30"/>
    <w:rsid w:val="46D32EE8"/>
    <w:rsid w:val="48013DB1"/>
    <w:rsid w:val="482B0799"/>
    <w:rsid w:val="48CC18F2"/>
    <w:rsid w:val="48D21436"/>
    <w:rsid w:val="49178C94"/>
    <w:rsid w:val="49CD4282"/>
    <w:rsid w:val="49FF3A8D"/>
    <w:rsid w:val="4A1E574C"/>
    <w:rsid w:val="4B300AEB"/>
    <w:rsid w:val="4B8921F7"/>
    <w:rsid w:val="4CA87FCD"/>
    <w:rsid w:val="4CADF504"/>
    <w:rsid w:val="4E7B393A"/>
    <w:rsid w:val="4ED04F5B"/>
    <w:rsid w:val="4F5737B5"/>
    <w:rsid w:val="50BC2546"/>
    <w:rsid w:val="50F300AC"/>
    <w:rsid w:val="52735559"/>
    <w:rsid w:val="53257000"/>
    <w:rsid w:val="553C3A71"/>
    <w:rsid w:val="55A63DC1"/>
    <w:rsid w:val="55C96F7D"/>
    <w:rsid w:val="57193F55"/>
    <w:rsid w:val="57D61115"/>
    <w:rsid w:val="57F6457F"/>
    <w:rsid w:val="58751552"/>
    <w:rsid w:val="599C060A"/>
    <w:rsid w:val="5A807D9A"/>
    <w:rsid w:val="5B236B22"/>
    <w:rsid w:val="5BED0770"/>
    <w:rsid w:val="5CF73E90"/>
    <w:rsid w:val="5CFFBDFD"/>
    <w:rsid w:val="5D872719"/>
    <w:rsid w:val="5E2B2731"/>
    <w:rsid w:val="5E375E9E"/>
    <w:rsid w:val="5EFE6E52"/>
    <w:rsid w:val="5EFF49AA"/>
    <w:rsid w:val="5F00699E"/>
    <w:rsid w:val="5F5F406E"/>
    <w:rsid w:val="5FDBAA90"/>
    <w:rsid w:val="5FEF5F4B"/>
    <w:rsid w:val="5FFF4236"/>
    <w:rsid w:val="60337E82"/>
    <w:rsid w:val="60600B18"/>
    <w:rsid w:val="60714E01"/>
    <w:rsid w:val="616F5268"/>
    <w:rsid w:val="6202633D"/>
    <w:rsid w:val="6298132C"/>
    <w:rsid w:val="638F71D4"/>
    <w:rsid w:val="63BE7E14"/>
    <w:rsid w:val="63FA6AF2"/>
    <w:rsid w:val="66BE9A42"/>
    <w:rsid w:val="676E9837"/>
    <w:rsid w:val="67EC248C"/>
    <w:rsid w:val="6870407F"/>
    <w:rsid w:val="69BDA91A"/>
    <w:rsid w:val="69F829C1"/>
    <w:rsid w:val="6B920112"/>
    <w:rsid w:val="6B961323"/>
    <w:rsid w:val="6CC54C64"/>
    <w:rsid w:val="6CDE29F6"/>
    <w:rsid w:val="6CFF8B38"/>
    <w:rsid w:val="6DCE2082"/>
    <w:rsid w:val="6E5B49FB"/>
    <w:rsid w:val="6EDD0130"/>
    <w:rsid w:val="6F5E6D24"/>
    <w:rsid w:val="6F7F4719"/>
    <w:rsid w:val="6F7FE9C0"/>
    <w:rsid w:val="6FAA0DA2"/>
    <w:rsid w:val="6FBFAB7C"/>
    <w:rsid w:val="6FD44A65"/>
    <w:rsid w:val="6FF6A08C"/>
    <w:rsid w:val="6FF70401"/>
    <w:rsid w:val="6FFDB69E"/>
    <w:rsid w:val="701D1022"/>
    <w:rsid w:val="7028502E"/>
    <w:rsid w:val="70A1652C"/>
    <w:rsid w:val="71386B38"/>
    <w:rsid w:val="718B35CA"/>
    <w:rsid w:val="724A33F3"/>
    <w:rsid w:val="729D0723"/>
    <w:rsid w:val="72FF489C"/>
    <w:rsid w:val="736028BB"/>
    <w:rsid w:val="737F8BC9"/>
    <w:rsid w:val="73BD0A2D"/>
    <w:rsid w:val="73E26095"/>
    <w:rsid w:val="73F56FDB"/>
    <w:rsid w:val="74A56E92"/>
    <w:rsid w:val="74C07CAE"/>
    <w:rsid w:val="76EF5035"/>
    <w:rsid w:val="779B7265"/>
    <w:rsid w:val="77FF5FFD"/>
    <w:rsid w:val="7903718D"/>
    <w:rsid w:val="79DF39BA"/>
    <w:rsid w:val="7A248C9C"/>
    <w:rsid w:val="7B310FBD"/>
    <w:rsid w:val="7BDCDD00"/>
    <w:rsid w:val="7BFCFC27"/>
    <w:rsid w:val="7BFF640F"/>
    <w:rsid w:val="7C521C62"/>
    <w:rsid w:val="7CF63637"/>
    <w:rsid w:val="7D38066E"/>
    <w:rsid w:val="7D57506D"/>
    <w:rsid w:val="7DFB3E1E"/>
    <w:rsid w:val="7F5C536E"/>
    <w:rsid w:val="7F634A89"/>
    <w:rsid w:val="7F6E51B0"/>
    <w:rsid w:val="7F7BCE13"/>
    <w:rsid w:val="7F9E550B"/>
    <w:rsid w:val="7FB66DFD"/>
    <w:rsid w:val="7FDEDC7B"/>
    <w:rsid w:val="7FFF1E24"/>
    <w:rsid w:val="9E9F1F28"/>
    <w:rsid w:val="9F9F22EF"/>
    <w:rsid w:val="A13FD292"/>
    <w:rsid w:val="B359C7D9"/>
    <w:rsid w:val="B7ED4B54"/>
    <w:rsid w:val="BCDBEE4B"/>
    <w:rsid w:val="BEFFE325"/>
    <w:rsid w:val="BFB3E815"/>
    <w:rsid w:val="BFE61AA2"/>
    <w:rsid w:val="C5F9B96D"/>
    <w:rsid w:val="C77F6DA1"/>
    <w:rsid w:val="C79FC029"/>
    <w:rsid w:val="CD7F37C2"/>
    <w:rsid w:val="DBDBB904"/>
    <w:rsid w:val="DDB933B4"/>
    <w:rsid w:val="DDDBBB2E"/>
    <w:rsid w:val="DDDDC6E8"/>
    <w:rsid w:val="DE7DEC88"/>
    <w:rsid w:val="DF6FC6BC"/>
    <w:rsid w:val="DFEB5F60"/>
    <w:rsid w:val="DFFC3602"/>
    <w:rsid w:val="E24F3B32"/>
    <w:rsid w:val="E4FB5561"/>
    <w:rsid w:val="E7B7DC72"/>
    <w:rsid w:val="E7EB5B20"/>
    <w:rsid w:val="E9F53B6A"/>
    <w:rsid w:val="EEFF8483"/>
    <w:rsid w:val="F3EFAABE"/>
    <w:rsid w:val="F5FF55A9"/>
    <w:rsid w:val="F66F9B5F"/>
    <w:rsid w:val="F6FE49D2"/>
    <w:rsid w:val="F7BF7C2A"/>
    <w:rsid w:val="F7BF9D0C"/>
    <w:rsid w:val="F7EF1F05"/>
    <w:rsid w:val="F7FF5FAD"/>
    <w:rsid w:val="F9D3F149"/>
    <w:rsid w:val="FBDF0524"/>
    <w:rsid w:val="FDDF2509"/>
    <w:rsid w:val="FDEF7572"/>
    <w:rsid w:val="FDF5D620"/>
    <w:rsid w:val="FDFE5349"/>
    <w:rsid w:val="FDFED27C"/>
    <w:rsid w:val="FE9B54AB"/>
    <w:rsid w:val="FF7CD875"/>
    <w:rsid w:val="FFB7FCC1"/>
    <w:rsid w:val="FFBD4725"/>
    <w:rsid w:val="FFBE7BA6"/>
    <w:rsid w:val="FFBF11AE"/>
    <w:rsid w:val="FFC76013"/>
    <w:rsid w:val="FFF7956A"/>
    <w:rsid w:val="FFF9A3BD"/>
    <w:rsid w:val="FFF9BA39"/>
    <w:rsid w:val="FFFEE663"/>
    <w:rsid w:val="FFFF0F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39"/>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5">
    <w:name w:val="heading 2"/>
    <w:basedOn w:val="1"/>
    <w:next w:val="1"/>
    <w:link w:val="4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42"/>
    <w:semiHidden/>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4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45"/>
    <w:semiHidden/>
    <w:unhideWhenUsed/>
    <w:qFormat/>
    <w:uiPriority w:val="9"/>
    <w:pPr>
      <w:keepNext/>
      <w:keepLines/>
      <w:spacing w:before="280" w:after="290" w:line="376" w:lineRule="auto"/>
      <w:outlineLvl w:val="4"/>
    </w:pPr>
    <w:rPr>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35"/>
    <w:unhideWhenUsed/>
    <w:qFormat/>
    <w:uiPriority w:val="99"/>
    <w:pPr>
      <w:spacing w:after="120"/>
    </w:pPr>
  </w:style>
  <w:style w:type="paragraph" w:styleId="3">
    <w:name w:val="footer"/>
    <w:basedOn w:val="1"/>
    <w:link w:val="2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caption"/>
    <w:basedOn w:val="1"/>
    <w:next w:val="1"/>
    <w:unhideWhenUsed/>
    <w:qFormat/>
    <w:uiPriority w:val="0"/>
    <w:pPr>
      <w:spacing w:line="560" w:lineRule="exact"/>
      <w:jc w:val="center"/>
    </w:pPr>
    <w:rPr>
      <w:rFonts w:eastAsia="黑体" w:asciiTheme="majorHAnsi" w:hAnsiTheme="majorHAnsi" w:cstheme="majorBidi"/>
      <w:sz w:val="24"/>
      <w:szCs w:val="20"/>
    </w:rPr>
  </w:style>
  <w:style w:type="paragraph" w:styleId="10">
    <w:name w:val="annotation text"/>
    <w:basedOn w:val="1"/>
    <w:link w:val="31"/>
    <w:semiHidden/>
    <w:unhideWhenUsed/>
    <w:qFormat/>
    <w:uiPriority w:val="99"/>
    <w:pPr>
      <w:jc w:val="left"/>
    </w:pPr>
  </w:style>
  <w:style w:type="paragraph" w:styleId="11">
    <w:name w:val="Body Text Indent"/>
    <w:basedOn w:val="1"/>
    <w:link w:val="49"/>
    <w:semiHidden/>
    <w:unhideWhenUsed/>
    <w:qFormat/>
    <w:uiPriority w:val="99"/>
    <w:pPr>
      <w:spacing w:after="120"/>
      <w:ind w:left="420" w:leftChars="200"/>
    </w:pPr>
  </w:style>
  <w:style w:type="paragraph" w:styleId="12">
    <w:name w:val="toc 3"/>
    <w:basedOn w:val="1"/>
    <w:next w:val="1"/>
    <w:unhideWhenUsed/>
    <w:qFormat/>
    <w:uiPriority w:val="39"/>
    <w:pPr>
      <w:ind w:left="840" w:leftChars="400"/>
    </w:pPr>
  </w:style>
  <w:style w:type="paragraph" w:styleId="13">
    <w:name w:val="Balloon Text"/>
    <w:basedOn w:val="1"/>
    <w:link w:val="33"/>
    <w:semiHidden/>
    <w:unhideWhenUsed/>
    <w:qFormat/>
    <w:uiPriority w:val="99"/>
    <w:rPr>
      <w:sz w:val="18"/>
      <w:szCs w:val="18"/>
    </w:rPr>
  </w:style>
  <w:style w:type="paragraph" w:styleId="14">
    <w:name w:val="header"/>
    <w:basedOn w:val="1"/>
    <w:link w:val="2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5">
    <w:name w:val="toc 1"/>
    <w:basedOn w:val="1"/>
    <w:next w:val="1"/>
    <w:unhideWhenUsed/>
    <w:qFormat/>
    <w:uiPriority w:val="39"/>
  </w:style>
  <w:style w:type="paragraph" w:styleId="16">
    <w:name w:val="toc 2"/>
    <w:basedOn w:val="1"/>
    <w:next w:val="1"/>
    <w:unhideWhenUsed/>
    <w:qFormat/>
    <w:uiPriority w:val="39"/>
    <w:pPr>
      <w:ind w:left="420" w:leftChars="200"/>
    </w:pPr>
  </w:style>
  <w:style w:type="paragraph" w:styleId="17">
    <w:name w:val="Normal (Web)"/>
    <w:basedOn w:val="1"/>
    <w:semiHidden/>
    <w:unhideWhenUsed/>
    <w:qFormat/>
    <w:uiPriority w:val="99"/>
    <w:pPr>
      <w:spacing w:beforeAutospacing="1" w:afterAutospacing="1"/>
      <w:jc w:val="left"/>
    </w:pPr>
    <w:rPr>
      <w:kern w:val="0"/>
      <w:sz w:val="24"/>
    </w:rPr>
  </w:style>
  <w:style w:type="paragraph" w:styleId="18">
    <w:name w:val="annotation subject"/>
    <w:basedOn w:val="10"/>
    <w:next w:val="10"/>
    <w:link w:val="32"/>
    <w:semiHidden/>
    <w:unhideWhenUsed/>
    <w:qFormat/>
    <w:uiPriority w:val="99"/>
    <w:rPr>
      <w:b/>
      <w:bCs/>
    </w:rPr>
  </w:style>
  <w:style w:type="paragraph" w:styleId="19">
    <w:name w:val="Body Text First Indent"/>
    <w:basedOn w:val="2"/>
    <w:link w:val="36"/>
    <w:qFormat/>
    <w:uiPriority w:val="99"/>
    <w:pPr>
      <w:spacing w:after="0" w:line="560" w:lineRule="exact"/>
      <w:ind w:firstLine="721" w:firstLineChars="200"/>
    </w:pPr>
    <w:rPr>
      <w:rFonts w:ascii="仿宋_GB2312" w:hAnsi="仿宋_GB2312"/>
      <w:sz w:val="24"/>
    </w:rPr>
  </w:style>
  <w:style w:type="paragraph" w:styleId="20">
    <w:name w:val="Body Text First Indent 2"/>
    <w:basedOn w:val="11"/>
    <w:link w:val="50"/>
    <w:semiHidden/>
    <w:unhideWhenUsed/>
    <w:qFormat/>
    <w:uiPriority w:val="99"/>
    <w:pPr>
      <w:ind w:firstLine="420" w:firstLineChars="200"/>
    </w:pPr>
    <w:rPr>
      <w:rFonts w:eastAsia="华文仿宋"/>
    </w:rPr>
  </w:style>
  <w:style w:type="table" w:styleId="22">
    <w:name w:val="Table Grid"/>
    <w:basedOn w:val="2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basedOn w:val="23"/>
    <w:qFormat/>
    <w:uiPriority w:val="22"/>
    <w:rPr>
      <w:b/>
    </w:rPr>
  </w:style>
  <w:style w:type="character" w:styleId="25">
    <w:name w:val="Emphasis"/>
    <w:basedOn w:val="23"/>
    <w:qFormat/>
    <w:uiPriority w:val="20"/>
    <w:rPr>
      <w:i/>
      <w:iCs/>
    </w:rPr>
  </w:style>
  <w:style w:type="character" w:styleId="26">
    <w:name w:val="Hyperlink"/>
    <w:basedOn w:val="23"/>
    <w:unhideWhenUsed/>
    <w:qFormat/>
    <w:uiPriority w:val="99"/>
    <w:rPr>
      <w:color w:val="0000FF"/>
      <w:u w:val="single"/>
    </w:rPr>
  </w:style>
  <w:style w:type="character" w:styleId="27">
    <w:name w:val="annotation reference"/>
    <w:basedOn w:val="23"/>
    <w:semiHidden/>
    <w:unhideWhenUsed/>
    <w:qFormat/>
    <w:uiPriority w:val="99"/>
    <w:rPr>
      <w:sz w:val="21"/>
      <w:szCs w:val="21"/>
    </w:rPr>
  </w:style>
  <w:style w:type="character" w:customStyle="1" w:styleId="28">
    <w:name w:val="页眉 字符"/>
    <w:basedOn w:val="23"/>
    <w:link w:val="14"/>
    <w:qFormat/>
    <w:uiPriority w:val="99"/>
    <w:rPr>
      <w:sz w:val="18"/>
      <w:szCs w:val="18"/>
    </w:rPr>
  </w:style>
  <w:style w:type="character" w:customStyle="1" w:styleId="29">
    <w:name w:val="页脚 字符"/>
    <w:basedOn w:val="23"/>
    <w:link w:val="3"/>
    <w:qFormat/>
    <w:uiPriority w:val="99"/>
    <w:rPr>
      <w:sz w:val="18"/>
      <w:szCs w:val="18"/>
    </w:rPr>
  </w:style>
  <w:style w:type="paragraph" w:customStyle="1" w:styleId="30">
    <w:name w:val="小节标题"/>
    <w:basedOn w:val="1"/>
    <w:next w:val="1"/>
    <w:qFormat/>
    <w:uiPriority w:val="0"/>
    <w:pPr>
      <w:widowControl/>
      <w:spacing w:before="175" w:after="102" w:line="566" w:lineRule="atLeast"/>
      <w:textAlignment w:val="baseline"/>
    </w:pPr>
    <w:rPr>
      <w:rFonts w:ascii="Times New Roman" w:hAnsi="Times New Roman" w:eastAsia="黑体"/>
      <w:color w:val="000000"/>
      <w:kern w:val="0"/>
      <w:szCs w:val="20"/>
      <w:u w:color="000000"/>
    </w:rPr>
  </w:style>
  <w:style w:type="character" w:customStyle="1" w:styleId="31">
    <w:name w:val="批注文字 字符"/>
    <w:basedOn w:val="23"/>
    <w:link w:val="10"/>
    <w:semiHidden/>
    <w:qFormat/>
    <w:uiPriority w:val="99"/>
    <w:rPr>
      <w:rFonts w:ascii="Calibri" w:hAnsi="Calibri"/>
      <w:kern w:val="2"/>
      <w:sz w:val="21"/>
      <w:szCs w:val="22"/>
    </w:rPr>
  </w:style>
  <w:style w:type="character" w:customStyle="1" w:styleId="32">
    <w:name w:val="批注主题 字符"/>
    <w:basedOn w:val="31"/>
    <w:link w:val="18"/>
    <w:semiHidden/>
    <w:qFormat/>
    <w:uiPriority w:val="99"/>
    <w:rPr>
      <w:rFonts w:ascii="Calibri" w:hAnsi="Calibri"/>
      <w:b/>
      <w:bCs/>
      <w:kern w:val="2"/>
      <w:sz w:val="21"/>
      <w:szCs w:val="22"/>
    </w:rPr>
  </w:style>
  <w:style w:type="character" w:customStyle="1" w:styleId="33">
    <w:name w:val="批注框文本 字符"/>
    <w:basedOn w:val="23"/>
    <w:link w:val="13"/>
    <w:semiHidden/>
    <w:qFormat/>
    <w:uiPriority w:val="99"/>
    <w:rPr>
      <w:rFonts w:ascii="Calibri" w:hAnsi="Calibri"/>
      <w:kern w:val="2"/>
      <w:sz w:val="18"/>
      <w:szCs w:val="18"/>
    </w:rPr>
  </w:style>
  <w:style w:type="paragraph" w:customStyle="1" w:styleId="34">
    <w:name w:val="列出段落11"/>
    <w:basedOn w:val="1"/>
    <w:qFormat/>
    <w:uiPriority w:val="34"/>
    <w:pPr>
      <w:ind w:firstLine="420" w:firstLineChars="200"/>
    </w:pPr>
  </w:style>
  <w:style w:type="character" w:customStyle="1" w:styleId="35">
    <w:name w:val="正文文本 字符"/>
    <w:basedOn w:val="23"/>
    <w:link w:val="2"/>
    <w:qFormat/>
    <w:uiPriority w:val="99"/>
    <w:rPr>
      <w:rFonts w:ascii="Calibri" w:hAnsi="Calibri"/>
      <w:kern w:val="2"/>
      <w:sz w:val="21"/>
      <w:szCs w:val="22"/>
    </w:rPr>
  </w:style>
  <w:style w:type="character" w:customStyle="1" w:styleId="36">
    <w:name w:val="正文首行缩进 字符"/>
    <w:basedOn w:val="35"/>
    <w:link w:val="19"/>
    <w:qFormat/>
    <w:uiPriority w:val="99"/>
    <w:rPr>
      <w:rFonts w:ascii="仿宋_GB2312" w:hAnsi="仿宋_GB2312"/>
      <w:kern w:val="2"/>
      <w:sz w:val="24"/>
      <w:szCs w:val="22"/>
    </w:rPr>
  </w:style>
  <w:style w:type="table" w:customStyle="1" w:styleId="3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styleId="38">
    <w:name w:val="List Paragraph"/>
    <w:basedOn w:val="1"/>
    <w:qFormat/>
    <w:uiPriority w:val="99"/>
    <w:pPr>
      <w:ind w:firstLine="420" w:firstLineChars="200"/>
    </w:pPr>
  </w:style>
  <w:style w:type="character" w:customStyle="1" w:styleId="39">
    <w:name w:val="标题 1 字符"/>
    <w:basedOn w:val="23"/>
    <w:link w:val="4"/>
    <w:qFormat/>
    <w:uiPriority w:val="9"/>
    <w:rPr>
      <w:rFonts w:ascii="宋体" w:hAnsi="宋体" w:cs="宋体"/>
      <w:b/>
      <w:bCs/>
      <w:kern w:val="36"/>
      <w:sz w:val="48"/>
      <w:szCs w:val="48"/>
    </w:rPr>
  </w:style>
  <w:style w:type="character" w:customStyle="1" w:styleId="40">
    <w:name w:val="main"/>
    <w:basedOn w:val="23"/>
    <w:qFormat/>
    <w:uiPriority w:val="0"/>
  </w:style>
  <w:style w:type="character" w:customStyle="1" w:styleId="41">
    <w:name w:val="sub"/>
    <w:basedOn w:val="23"/>
    <w:qFormat/>
    <w:uiPriority w:val="0"/>
  </w:style>
  <w:style w:type="character" w:customStyle="1" w:styleId="42">
    <w:name w:val="标题 3 字符"/>
    <w:basedOn w:val="23"/>
    <w:link w:val="6"/>
    <w:semiHidden/>
    <w:qFormat/>
    <w:uiPriority w:val="9"/>
    <w:rPr>
      <w:rFonts w:ascii="Calibri" w:hAnsi="Calibri"/>
      <w:b/>
      <w:bCs/>
      <w:kern w:val="2"/>
      <w:sz w:val="32"/>
      <w:szCs w:val="32"/>
    </w:rPr>
  </w:style>
  <w:style w:type="paragraph" w:customStyle="1" w:styleId="43">
    <w:name w:val="table样式1"/>
    <w:basedOn w:val="1"/>
    <w:link w:val="44"/>
    <w:qFormat/>
    <w:uiPriority w:val="0"/>
    <w:pPr>
      <w:jc w:val="center"/>
    </w:pPr>
    <w:rPr>
      <w:rFonts w:ascii="宋体" w:hAnsi="宋体"/>
      <w:sz w:val="24"/>
      <w:szCs w:val="24"/>
    </w:rPr>
  </w:style>
  <w:style w:type="character" w:customStyle="1" w:styleId="44">
    <w:name w:val="table样式1 Char"/>
    <w:basedOn w:val="23"/>
    <w:link w:val="43"/>
    <w:qFormat/>
    <w:locked/>
    <w:uiPriority w:val="0"/>
    <w:rPr>
      <w:rFonts w:ascii="宋体" w:hAnsi="宋体"/>
      <w:kern w:val="2"/>
      <w:sz w:val="24"/>
      <w:szCs w:val="24"/>
    </w:rPr>
  </w:style>
  <w:style w:type="character" w:customStyle="1" w:styleId="45">
    <w:name w:val="标题 5 字符"/>
    <w:basedOn w:val="23"/>
    <w:link w:val="8"/>
    <w:semiHidden/>
    <w:qFormat/>
    <w:uiPriority w:val="9"/>
    <w:rPr>
      <w:rFonts w:ascii="Calibri" w:hAnsi="Calibri"/>
      <w:b/>
      <w:bCs/>
      <w:kern w:val="2"/>
      <w:sz w:val="28"/>
      <w:szCs w:val="28"/>
    </w:rPr>
  </w:style>
  <w:style w:type="character" w:customStyle="1" w:styleId="46">
    <w:name w:val="标题 2 字符"/>
    <w:basedOn w:val="23"/>
    <w:link w:val="5"/>
    <w:semiHidden/>
    <w:qFormat/>
    <w:uiPriority w:val="9"/>
    <w:rPr>
      <w:rFonts w:asciiTheme="majorHAnsi" w:hAnsiTheme="majorHAnsi" w:eastAsiaTheme="majorEastAsia" w:cstheme="majorBidi"/>
      <w:b/>
      <w:bCs/>
      <w:kern w:val="2"/>
      <w:sz w:val="32"/>
      <w:szCs w:val="32"/>
    </w:rPr>
  </w:style>
  <w:style w:type="paragraph" w:customStyle="1" w:styleId="47">
    <w:name w:val="TOC 标题1"/>
    <w:basedOn w:val="4"/>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48">
    <w:name w:val="标题 4 字符"/>
    <w:basedOn w:val="23"/>
    <w:link w:val="7"/>
    <w:semiHidden/>
    <w:qFormat/>
    <w:uiPriority w:val="9"/>
    <w:rPr>
      <w:rFonts w:asciiTheme="majorHAnsi" w:hAnsiTheme="majorHAnsi" w:eastAsiaTheme="majorEastAsia" w:cstheme="majorBidi"/>
      <w:b/>
      <w:bCs/>
      <w:kern w:val="2"/>
      <w:sz w:val="28"/>
      <w:szCs w:val="28"/>
    </w:rPr>
  </w:style>
  <w:style w:type="character" w:customStyle="1" w:styleId="49">
    <w:name w:val="正文文本缩进 字符"/>
    <w:basedOn w:val="23"/>
    <w:link w:val="11"/>
    <w:semiHidden/>
    <w:qFormat/>
    <w:uiPriority w:val="99"/>
    <w:rPr>
      <w:rFonts w:ascii="Calibri" w:hAnsi="Calibri"/>
      <w:kern w:val="2"/>
      <w:sz w:val="21"/>
      <w:szCs w:val="22"/>
    </w:rPr>
  </w:style>
  <w:style w:type="character" w:customStyle="1" w:styleId="50">
    <w:name w:val="正文首行缩进 2 字符"/>
    <w:basedOn w:val="49"/>
    <w:link w:val="20"/>
    <w:semiHidden/>
    <w:qFormat/>
    <w:uiPriority w:val="99"/>
    <w:rPr>
      <w:rFonts w:ascii="Calibri" w:hAnsi="Calibri" w:eastAsia="华文仿宋"/>
      <w:kern w:val="2"/>
      <w:sz w:val="21"/>
      <w:szCs w:val="22"/>
    </w:rPr>
  </w:style>
  <w:style w:type="paragraph" w:customStyle="1" w:styleId="5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10988</Words>
  <Characters>12289</Characters>
  <Lines>122</Lines>
  <Paragraphs>34</Paragraphs>
  <TotalTime>8</TotalTime>
  <ScaleCrop>false</ScaleCrop>
  <LinksUpToDate>false</LinksUpToDate>
  <CharactersWithSpaces>12468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2023-04-07T16:24:00Z</dcterms:created>
  <dc:creator>lenovo</dc:creator>
  <cp:lastModifiedBy>百合</cp:lastModifiedBy>
  <cp:lastPrinted>2023-04-13T18:28:00Z</cp:lastPrinted>
  <dcterms:modified xsi:type="dcterms:W3CDTF">2023-08-10T09:55:55Z</dcterms:modified>
  <cp:revision>147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70D356073B9D48E2BCF92EBAE7A6540E_13</vt:lpwstr>
  </property>
</Properties>
</file>