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700" w:lineRule="exact"/>
        <w:jc w:val="center"/>
        <w:rPr>
          <w:rFonts w:ascii="宋体"/>
          <w:b/>
          <w:bCs/>
          <w:sz w:val="44"/>
          <w:szCs w:val="44"/>
        </w:rPr>
      </w:pPr>
    </w:p>
    <w:p>
      <w:pPr>
        <w:adjustRightInd w:val="0"/>
        <w:snapToGrid w:val="0"/>
        <w:spacing w:line="700" w:lineRule="exact"/>
        <w:jc w:val="center"/>
        <w:rPr>
          <w:rFonts w:ascii="宋体"/>
          <w:b/>
          <w:bCs/>
          <w:sz w:val="44"/>
          <w:szCs w:val="44"/>
        </w:rPr>
      </w:pPr>
    </w:p>
    <w:p>
      <w:pPr>
        <w:adjustRightInd w:val="0"/>
        <w:snapToGrid w:val="0"/>
        <w:spacing w:line="700" w:lineRule="exact"/>
        <w:jc w:val="center"/>
        <w:rPr>
          <w:rFonts w:ascii="宋体"/>
          <w:b/>
          <w:bCs/>
          <w:sz w:val="44"/>
          <w:szCs w:val="44"/>
        </w:rPr>
      </w:pPr>
    </w:p>
    <w:p>
      <w:pPr>
        <w:adjustRightInd w:val="0"/>
        <w:snapToGrid w:val="0"/>
        <w:spacing w:line="700" w:lineRule="exact"/>
        <w:jc w:val="center"/>
        <w:rPr>
          <w:rFonts w:ascii="宋体"/>
          <w:b/>
          <w:bCs/>
          <w:sz w:val="44"/>
          <w:szCs w:val="44"/>
        </w:rPr>
      </w:pPr>
      <w:r>
        <w:rPr>
          <w:rFonts w:ascii="宋体" w:hAnsi="宋体" w:cs="宋体"/>
          <w:b/>
          <w:bCs/>
          <w:sz w:val="44"/>
          <w:szCs w:val="44"/>
        </w:rPr>
        <w:t>2017</w:t>
      </w:r>
      <w:r>
        <w:rPr>
          <w:rFonts w:hint="eastAsia" w:ascii="宋体" w:hAnsi="宋体" w:cs="宋体"/>
          <w:b/>
          <w:bCs/>
          <w:sz w:val="44"/>
          <w:szCs w:val="44"/>
        </w:rPr>
        <w:t>年海南省职业院校技能大赛</w:t>
      </w:r>
    </w:p>
    <w:p>
      <w:pPr>
        <w:widowControl/>
        <w:spacing w:before="156" w:beforeLines="50" w:after="156" w:afterLines="50" w:line="440" w:lineRule="exact"/>
        <w:ind w:firstLine="1524" w:firstLineChars="345"/>
        <w:rPr>
          <w:rFonts w:ascii="宋体"/>
          <w:b/>
          <w:bCs/>
          <w:sz w:val="44"/>
          <w:szCs w:val="44"/>
        </w:rPr>
      </w:pPr>
      <w:r>
        <w:rPr>
          <w:rFonts w:hint="eastAsia" w:ascii="宋体" w:hAnsi="宋体" w:cs="宋体"/>
          <w:b/>
          <w:bCs/>
          <w:color w:val="000000"/>
          <w:sz w:val="44"/>
          <w:szCs w:val="44"/>
        </w:rPr>
        <w:t>云计算技术与应用</w:t>
      </w:r>
      <w:r>
        <w:rPr>
          <w:rFonts w:hint="eastAsia" w:ascii="宋体" w:hAnsi="宋体" w:cs="宋体"/>
          <w:b/>
          <w:bCs/>
          <w:sz w:val="44"/>
          <w:szCs w:val="44"/>
        </w:rPr>
        <w:t>赛项规程</w:t>
      </w:r>
    </w:p>
    <w:p>
      <w:pPr>
        <w:widowControl/>
        <w:spacing w:before="156" w:beforeLines="50" w:after="156" w:afterLines="50" w:line="440" w:lineRule="exact"/>
        <w:ind w:firstLine="1524" w:firstLineChars="345"/>
        <w:rPr>
          <w:rFonts w:ascii="宋体"/>
          <w:b/>
          <w:bCs/>
          <w:sz w:val="44"/>
          <w:szCs w:val="44"/>
        </w:rPr>
      </w:pPr>
    </w:p>
    <w:p>
      <w:pPr>
        <w:widowControl/>
        <w:spacing w:before="156" w:beforeLines="50" w:after="156" w:afterLines="50" w:line="440" w:lineRule="exact"/>
        <w:ind w:firstLine="1524" w:firstLineChars="345"/>
        <w:rPr>
          <w:rFonts w:ascii="宋体"/>
          <w:b/>
          <w:bCs/>
          <w:sz w:val="44"/>
          <w:szCs w:val="44"/>
        </w:rPr>
      </w:pPr>
    </w:p>
    <w:p>
      <w:pPr>
        <w:tabs>
          <w:tab w:val="left" w:pos="8222"/>
        </w:tabs>
        <w:spacing w:before="156" w:beforeLines="50" w:line="480" w:lineRule="auto"/>
        <w:ind w:firstLine="640" w:firstLineChars="200"/>
        <w:rPr>
          <w:rFonts w:ascii="宋体"/>
          <w:kern w:val="0"/>
          <w:sz w:val="32"/>
          <w:szCs w:val="32"/>
        </w:rPr>
      </w:pPr>
    </w:p>
    <w:p>
      <w:pPr>
        <w:spacing w:before="156" w:beforeLines="50" w:line="480" w:lineRule="auto"/>
        <w:ind w:firstLine="640" w:firstLineChars="200"/>
        <w:rPr>
          <w:rFonts w:ascii="宋体"/>
          <w:kern w:val="0"/>
          <w:sz w:val="32"/>
          <w:szCs w:val="32"/>
          <w:u w:val="single"/>
        </w:rPr>
      </w:pPr>
      <w:r>
        <w:rPr>
          <w:rFonts w:hint="eastAsia" w:ascii="宋体" w:hAnsi="宋体" w:cs="宋体"/>
          <w:kern w:val="0"/>
          <w:sz w:val="32"/>
          <w:szCs w:val="32"/>
        </w:rPr>
        <w:t>赛</w:t>
      </w:r>
      <w:r>
        <w:rPr>
          <w:rFonts w:ascii="宋体" w:hAnsi="宋体" w:cs="宋体"/>
          <w:kern w:val="0"/>
          <w:sz w:val="32"/>
          <w:szCs w:val="32"/>
        </w:rPr>
        <w:t xml:space="preserve"> </w:t>
      </w:r>
      <w:r>
        <w:rPr>
          <w:rFonts w:hint="eastAsia" w:ascii="宋体" w:hAnsi="宋体" w:cs="宋体"/>
          <w:kern w:val="0"/>
          <w:sz w:val="32"/>
          <w:szCs w:val="32"/>
        </w:rPr>
        <w:t>项</w:t>
      </w:r>
      <w:r>
        <w:rPr>
          <w:rFonts w:ascii="宋体" w:hAnsi="宋体" w:cs="宋体"/>
          <w:kern w:val="0"/>
          <w:sz w:val="32"/>
          <w:szCs w:val="32"/>
        </w:rPr>
        <w:t xml:space="preserve"> </w:t>
      </w:r>
      <w:r>
        <w:rPr>
          <w:rFonts w:hint="eastAsia" w:ascii="宋体" w:hAnsi="宋体" w:cs="宋体"/>
          <w:kern w:val="0"/>
          <w:sz w:val="32"/>
          <w:szCs w:val="32"/>
        </w:rPr>
        <w:t>编</w:t>
      </w:r>
      <w:r>
        <w:rPr>
          <w:rFonts w:ascii="宋体" w:hAnsi="宋体" w:cs="宋体"/>
          <w:kern w:val="0"/>
          <w:sz w:val="32"/>
          <w:szCs w:val="32"/>
        </w:rPr>
        <w:t xml:space="preserve"> </w:t>
      </w:r>
      <w:r>
        <w:rPr>
          <w:rFonts w:hint="eastAsia" w:ascii="宋体" w:hAnsi="宋体" w:cs="宋体"/>
          <w:kern w:val="0"/>
          <w:sz w:val="32"/>
          <w:szCs w:val="32"/>
        </w:rPr>
        <w:t>号：</w:t>
      </w:r>
      <w:r>
        <w:rPr>
          <w:rFonts w:ascii="宋体" w:hAnsi="宋体" w:cs="宋体"/>
          <w:kern w:val="0"/>
          <w:sz w:val="32"/>
          <w:szCs w:val="32"/>
          <w:u w:val="single"/>
        </w:rPr>
        <w:t xml:space="preserve">          </w:t>
      </w:r>
      <w:r>
        <w:rPr>
          <w:rFonts w:hint="eastAsia" w:ascii="宋体" w:hAnsi="宋体" w:cs="宋体"/>
          <w:kern w:val="0"/>
          <w:sz w:val="32"/>
          <w:szCs w:val="32"/>
          <w:u w:val="single"/>
        </w:rPr>
        <w:t xml:space="preserve">     </w:t>
      </w:r>
      <w:r>
        <w:rPr>
          <w:rFonts w:ascii="宋体" w:hAnsi="宋体" w:cs="宋体"/>
          <w:kern w:val="0"/>
          <w:sz w:val="32"/>
          <w:szCs w:val="32"/>
          <w:u w:val="single"/>
        </w:rPr>
        <w:t xml:space="preserve">     </w:t>
      </w:r>
      <w:r>
        <w:rPr>
          <w:rFonts w:ascii="宋体" w:hAnsi="宋体" w:cs="宋体"/>
          <w:b/>
          <w:bCs/>
          <w:kern w:val="0"/>
          <w:sz w:val="32"/>
          <w:szCs w:val="32"/>
          <w:u w:val="single"/>
        </w:rPr>
        <w:t xml:space="preserve">    </w:t>
      </w:r>
      <w:r>
        <w:rPr>
          <w:rFonts w:ascii="宋体" w:hAnsi="宋体" w:cs="宋体"/>
          <w:kern w:val="0"/>
          <w:sz w:val="32"/>
          <w:szCs w:val="32"/>
          <w:u w:val="single"/>
        </w:rPr>
        <w:t xml:space="preserve">             </w:t>
      </w:r>
    </w:p>
    <w:p>
      <w:pPr>
        <w:spacing w:before="156" w:beforeLines="50" w:line="480" w:lineRule="auto"/>
        <w:ind w:firstLine="640" w:firstLineChars="200"/>
        <w:jc w:val="left"/>
        <w:rPr>
          <w:rFonts w:ascii="宋体"/>
          <w:b/>
          <w:bCs/>
          <w:sz w:val="32"/>
          <w:szCs w:val="32"/>
          <w:u w:val="single"/>
        </w:rPr>
      </w:pPr>
      <w:r>
        <w:rPr>
          <w:rFonts w:hint="eastAsia" w:ascii="宋体" w:hAnsi="宋体" w:cs="宋体"/>
          <w:kern w:val="0"/>
          <w:sz w:val="32"/>
          <w:szCs w:val="32"/>
        </w:rPr>
        <w:t>赛</w:t>
      </w:r>
      <w:r>
        <w:rPr>
          <w:rFonts w:ascii="宋体" w:hAnsi="宋体" w:cs="宋体"/>
          <w:kern w:val="0"/>
          <w:sz w:val="32"/>
          <w:szCs w:val="32"/>
        </w:rPr>
        <w:t xml:space="preserve"> </w:t>
      </w:r>
      <w:r>
        <w:rPr>
          <w:rFonts w:hint="eastAsia" w:ascii="宋体" w:hAnsi="宋体" w:cs="宋体"/>
          <w:kern w:val="0"/>
          <w:sz w:val="32"/>
          <w:szCs w:val="32"/>
        </w:rPr>
        <w:t>项</w:t>
      </w:r>
      <w:r>
        <w:rPr>
          <w:rFonts w:ascii="宋体" w:hAnsi="宋体" w:cs="宋体"/>
          <w:kern w:val="0"/>
          <w:sz w:val="32"/>
          <w:szCs w:val="32"/>
        </w:rPr>
        <w:t xml:space="preserve"> </w:t>
      </w:r>
      <w:r>
        <w:rPr>
          <w:rFonts w:hint="eastAsia" w:ascii="宋体" w:hAnsi="宋体" w:cs="宋体"/>
          <w:kern w:val="0"/>
          <w:sz w:val="32"/>
          <w:szCs w:val="32"/>
        </w:rPr>
        <w:t>名</w:t>
      </w:r>
      <w:r>
        <w:rPr>
          <w:rFonts w:ascii="宋体" w:hAnsi="宋体" w:cs="宋体"/>
          <w:kern w:val="0"/>
          <w:sz w:val="32"/>
          <w:szCs w:val="32"/>
        </w:rPr>
        <w:t xml:space="preserve"> </w:t>
      </w:r>
      <w:r>
        <w:rPr>
          <w:rFonts w:hint="eastAsia" w:ascii="宋体" w:hAnsi="宋体" w:cs="宋体"/>
          <w:kern w:val="0"/>
          <w:sz w:val="32"/>
          <w:szCs w:val="32"/>
        </w:rPr>
        <w:t>称：</w:t>
      </w:r>
      <w:r>
        <w:rPr>
          <w:rFonts w:ascii="宋体" w:hAnsi="宋体" w:cs="宋体"/>
          <w:kern w:val="0"/>
          <w:sz w:val="32"/>
          <w:szCs w:val="32"/>
          <w:u w:val="single"/>
        </w:rPr>
        <w:t xml:space="preserve">        </w:t>
      </w:r>
      <w:r>
        <w:rPr>
          <w:rFonts w:hint="eastAsia" w:ascii="宋体" w:hAnsi="宋体" w:cs="宋体"/>
          <w:color w:val="000000"/>
          <w:sz w:val="32"/>
          <w:szCs w:val="32"/>
          <w:u w:val="single"/>
        </w:rPr>
        <w:t>云计算技术与应用</w:t>
      </w:r>
      <w:r>
        <w:rPr>
          <w:rFonts w:ascii="宋体" w:hAnsi="宋体" w:cs="宋体"/>
          <w:color w:val="000000"/>
          <w:sz w:val="32"/>
          <w:szCs w:val="32"/>
          <w:u w:val="single"/>
        </w:rPr>
        <w:t xml:space="preserve">            </w:t>
      </w:r>
      <w:r>
        <w:rPr>
          <w:rFonts w:ascii="宋体" w:hAnsi="宋体" w:cs="宋体"/>
          <w:color w:val="000000"/>
          <w:sz w:val="32"/>
          <w:szCs w:val="32"/>
        </w:rPr>
        <w:t xml:space="preserve">                  </w:t>
      </w:r>
      <w:r>
        <w:rPr>
          <w:rFonts w:ascii="宋体" w:hAnsi="宋体" w:cs="宋体"/>
          <w:color w:val="000000"/>
          <w:sz w:val="32"/>
          <w:szCs w:val="32"/>
          <w:u w:val="single"/>
        </w:rPr>
        <w:t xml:space="preserve">      </w:t>
      </w:r>
    </w:p>
    <w:p>
      <w:pPr>
        <w:tabs>
          <w:tab w:val="left" w:pos="8222"/>
        </w:tabs>
        <w:spacing w:before="156" w:beforeLines="50" w:line="480" w:lineRule="auto"/>
        <w:ind w:firstLine="640" w:firstLineChars="200"/>
        <w:jc w:val="left"/>
        <w:rPr>
          <w:rFonts w:ascii="宋体"/>
          <w:kern w:val="0"/>
          <w:sz w:val="32"/>
          <w:szCs w:val="32"/>
          <w:u w:val="single"/>
        </w:rPr>
      </w:pPr>
      <w:r>
        <w:rPr>
          <w:rFonts w:hint="eastAsia" w:ascii="宋体" w:hAnsi="宋体" w:cs="宋体"/>
          <w:kern w:val="0"/>
          <w:sz w:val="32"/>
          <w:szCs w:val="32"/>
        </w:rPr>
        <w:t>赛</w:t>
      </w:r>
      <w:r>
        <w:rPr>
          <w:rFonts w:ascii="宋体" w:hAnsi="宋体" w:cs="宋体"/>
          <w:kern w:val="0"/>
          <w:sz w:val="32"/>
          <w:szCs w:val="32"/>
        </w:rPr>
        <w:t xml:space="preserve"> </w:t>
      </w:r>
      <w:r>
        <w:rPr>
          <w:rFonts w:hint="eastAsia" w:ascii="宋体" w:hAnsi="宋体" w:cs="宋体"/>
          <w:kern w:val="0"/>
          <w:sz w:val="32"/>
          <w:szCs w:val="32"/>
        </w:rPr>
        <w:t>项</w:t>
      </w:r>
      <w:r>
        <w:rPr>
          <w:rFonts w:ascii="宋体" w:hAnsi="宋体" w:cs="宋体"/>
          <w:kern w:val="0"/>
          <w:sz w:val="32"/>
          <w:szCs w:val="32"/>
        </w:rPr>
        <w:t xml:space="preserve"> </w:t>
      </w:r>
      <w:r>
        <w:rPr>
          <w:rFonts w:hint="eastAsia" w:ascii="宋体" w:hAnsi="宋体" w:cs="宋体"/>
          <w:kern w:val="0"/>
          <w:sz w:val="32"/>
          <w:szCs w:val="32"/>
        </w:rPr>
        <w:t>组</w:t>
      </w:r>
      <w:r>
        <w:rPr>
          <w:rFonts w:ascii="宋体" w:hAnsi="宋体" w:cs="宋体"/>
          <w:kern w:val="0"/>
          <w:sz w:val="32"/>
          <w:szCs w:val="32"/>
        </w:rPr>
        <w:t xml:space="preserve"> </w:t>
      </w:r>
      <w:r>
        <w:rPr>
          <w:rFonts w:hint="eastAsia" w:ascii="宋体" w:hAnsi="宋体" w:cs="宋体"/>
          <w:kern w:val="0"/>
          <w:sz w:val="32"/>
          <w:szCs w:val="32"/>
        </w:rPr>
        <w:t>别：</w:t>
      </w:r>
      <w:r>
        <w:rPr>
          <w:rFonts w:ascii="宋体" w:hAnsi="宋体" w:cs="宋体"/>
          <w:kern w:val="0"/>
          <w:sz w:val="32"/>
          <w:szCs w:val="32"/>
          <w:u w:val="single"/>
        </w:rPr>
        <w:t xml:space="preserve">            </w:t>
      </w:r>
      <w:r>
        <w:rPr>
          <w:rFonts w:hint="eastAsia" w:ascii="宋体" w:hAnsi="宋体" w:cs="宋体"/>
          <w:kern w:val="0"/>
          <w:sz w:val="32"/>
          <w:szCs w:val="32"/>
          <w:u w:val="single"/>
        </w:rPr>
        <w:t>高职组</w:t>
      </w:r>
      <w:r>
        <w:rPr>
          <w:rFonts w:ascii="宋体" w:hAnsi="宋体" w:cs="宋体"/>
          <w:b/>
          <w:bCs/>
          <w:kern w:val="0"/>
          <w:sz w:val="32"/>
          <w:szCs w:val="32"/>
          <w:u w:val="single"/>
        </w:rPr>
        <w:t xml:space="preserve">          </w:t>
      </w:r>
      <w:r>
        <w:rPr>
          <w:rFonts w:ascii="宋体" w:hAnsi="宋体" w:cs="宋体"/>
          <w:kern w:val="0"/>
          <w:sz w:val="32"/>
          <w:szCs w:val="32"/>
          <w:u w:val="single"/>
        </w:rPr>
        <w:t xml:space="preserve">       </w:t>
      </w:r>
    </w:p>
    <w:p>
      <w:pPr>
        <w:tabs>
          <w:tab w:val="left" w:pos="8222"/>
        </w:tabs>
        <w:spacing w:before="156" w:beforeLines="50" w:line="480" w:lineRule="auto"/>
        <w:ind w:firstLine="640" w:firstLineChars="200"/>
        <w:jc w:val="left"/>
        <w:rPr>
          <w:rFonts w:ascii="宋体"/>
          <w:kern w:val="0"/>
          <w:sz w:val="32"/>
          <w:szCs w:val="32"/>
          <w:u w:val="single"/>
        </w:rPr>
      </w:pPr>
      <w:r>
        <w:rPr>
          <w:rFonts w:hint="eastAsia" w:ascii="宋体" w:hAnsi="宋体" w:cs="宋体"/>
          <w:kern w:val="0"/>
          <w:sz w:val="32"/>
          <w:szCs w:val="32"/>
        </w:rPr>
        <w:t>赛项归属产业</w:t>
      </w:r>
      <w:r>
        <w:rPr>
          <w:rFonts w:ascii="宋体" w:hAnsi="宋体" w:cs="宋体"/>
          <w:kern w:val="0"/>
          <w:sz w:val="32"/>
          <w:szCs w:val="32"/>
        </w:rPr>
        <w:t>:</w:t>
      </w:r>
      <w:r>
        <w:rPr>
          <w:rFonts w:ascii="宋体" w:hAnsi="宋体" w:cs="宋体"/>
          <w:b/>
          <w:bCs/>
          <w:kern w:val="0"/>
          <w:sz w:val="32"/>
          <w:szCs w:val="32"/>
          <w:u w:val="single"/>
        </w:rPr>
        <w:t xml:space="preserve">           </w:t>
      </w:r>
      <w:r>
        <w:rPr>
          <w:rFonts w:hint="eastAsia" w:ascii="宋体" w:hAnsi="宋体" w:cs="宋体"/>
          <w:kern w:val="0"/>
          <w:sz w:val="32"/>
          <w:szCs w:val="32"/>
          <w:u w:val="single"/>
        </w:rPr>
        <w:t>电子信息</w:t>
      </w:r>
      <w:r>
        <w:rPr>
          <w:rFonts w:ascii="宋体" w:hAnsi="宋体" w:cs="宋体"/>
          <w:b/>
          <w:bCs/>
          <w:kern w:val="0"/>
          <w:sz w:val="32"/>
          <w:szCs w:val="32"/>
          <w:u w:val="single"/>
        </w:rPr>
        <w:t xml:space="preserve"> </w:t>
      </w:r>
      <w:r>
        <w:rPr>
          <w:rFonts w:ascii="宋体" w:hAnsi="宋体" w:cs="宋体"/>
          <w:kern w:val="0"/>
          <w:sz w:val="32"/>
          <w:szCs w:val="32"/>
          <w:u w:val="single"/>
        </w:rPr>
        <w:t xml:space="preserve">               </w:t>
      </w:r>
    </w:p>
    <w:p>
      <w:pPr>
        <w:spacing w:before="156" w:beforeLines="50" w:line="480" w:lineRule="auto"/>
        <w:rPr>
          <w:rFonts w:ascii="宋体"/>
          <w:b/>
          <w:bCs/>
          <w:sz w:val="32"/>
          <w:szCs w:val="32"/>
        </w:rPr>
      </w:pPr>
      <w:r>
        <w:rPr>
          <w:rFonts w:ascii="宋体" w:hAnsi="宋体" w:cs="宋体"/>
          <w:kern w:val="0"/>
          <w:sz w:val="32"/>
          <w:szCs w:val="32"/>
        </w:rPr>
        <w:t xml:space="preserve">    </w:t>
      </w:r>
      <w:r>
        <w:rPr>
          <w:rFonts w:hint="eastAsia" w:ascii="宋体" w:hAnsi="宋体" w:cs="宋体"/>
          <w:kern w:val="0"/>
          <w:sz w:val="32"/>
          <w:szCs w:val="32"/>
        </w:rPr>
        <w:t>承</w:t>
      </w:r>
      <w:r>
        <w:rPr>
          <w:rFonts w:ascii="宋体" w:hAnsi="宋体" w:cs="宋体"/>
          <w:kern w:val="0"/>
          <w:sz w:val="32"/>
          <w:szCs w:val="32"/>
        </w:rPr>
        <w:t xml:space="preserve"> </w:t>
      </w:r>
      <w:r>
        <w:rPr>
          <w:rFonts w:hint="eastAsia" w:ascii="宋体" w:hAnsi="宋体" w:cs="宋体"/>
          <w:kern w:val="0"/>
          <w:sz w:val="32"/>
          <w:szCs w:val="32"/>
        </w:rPr>
        <w:t>办</w:t>
      </w:r>
      <w:r>
        <w:rPr>
          <w:rFonts w:ascii="宋体" w:hAnsi="宋体" w:cs="宋体"/>
          <w:kern w:val="0"/>
          <w:sz w:val="32"/>
          <w:szCs w:val="32"/>
        </w:rPr>
        <w:t xml:space="preserve"> </w:t>
      </w:r>
      <w:r>
        <w:rPr>
          <w:rFonts w:hint="eastAsia" w:ascii="宋体" w:hAnsi="宋体" w:cs="宋体"/>
          <w:kern w:val="0"/>
          <w:sz w:val="32"/>
          <w:szCs w:val="32"/>
        </w:rPr>
        <w:t>院</w:t>
      </w:r>
      <w:r>
        <w:rPr>
          <w:rFonts w:ascii="宋体" w:hAnsi="宋体" w:cs="宋体"/>
          <w:kern w:val="0"/>
          <w:sz w:val="32"/>
          <w:szCs w:val="32"/>
        </w:rPr>
        <w:t xml:space="preserve"> </w:t>
      </w:r>
      <w:r>
        <w:rPr>
          <w:rFonts w:hint="eastAsia" w:ascii="宋体" w:hAnsi="宋体" w:cs="宋体"/>
          <w:kern w:val="0"/>
          <w:sz w:val="32"/>
          <w:szCs w:val="32"/>
        </w:rPr>
        <w:t>校：</w:t>
      </w:r>
      <w:r>
        <w:rPr>
          <w:rFonts w:ascii="宋体" w:hAnsi="宋体" w:cs="宋体"/>
          <w:kern w:val="0"/>
          <w:sz w:val="32"/>
          <w:szCs w:val="32"/>
          <w:u w:val="single"/>
        </w:rPr>
        <w:t xml:space="preserve">      </w:t>
      </w:r>
      <w:r>
        <w:rPr>
          <w:rFonts w:hint="eastAsia" w:ascii="宋体" w:hAnsi="宋体" w:cs="宋体"/>
          <w:kern w:val="0"/>
          <w:sz w:val="32"/>
          <w:szCs w:val="32"/>
          <w:u w:val="single"/>
        </w:rPr>
        <w:t>海南软件职业技术学院</w:t>
      </w:r>
      <w:r>
        <w:rPr>
          <w:rFonts w:ascii="宋体" w:hAnsi="宋体" w:cs="宋体"/>
          <w:kern w:val="0"/>
          <w:sz w:val="32"/>
          <w:szCs w:val="32"/>
          <w:u w:val="single"/>
        </w:rPr>
        <w:t xml:space="preserve">           </w:t>
      </w:r>
    </w:p>
    <w:p>
      <w:pPr>
        <w:ind w:left="475" w:leftChars="226"/>
        <w:rPr>
          <w:rFonts w:ascii="仿宋_GB2312" w:hAnsi="宋体" w:eastAsia="仿宋_GB2312"/>
          <w:color w:val="000000"/>
          <w:kern w:val="0"/>
          <w:sz w:val="32"/>
          <w:szCs w:val="32"/>
        </w:rPr>
      </w:pPr>
      <w:r>
        <w:rPr>
          <w:rFonts w:ascii="宋体" w:hAnsi="宋体" w:cs="宋体"/>
          <w:sz w:val="32"/>
          <w:szCs w:val="32"/>
        </w:rPr>
        <w:t xml:space="preserve"> </w:t>
      </w:r>
    </w:p>
    <w:p>
      <w:pPr>
        <w:pStyle w:val="24"/>
        <w:autoSpaceDN w:val="0"/>
        <w:spacing w:line="480" w:lineRule="auto"/>
        <w:ind w:firstLine="640"/>
        <w:rPr>
          <w:rFonts w:ascii="宋体"/>
          <w:sz w:val="32"/>
          <w:szCs w:val="32"/>
        </w:rPr>
      </w:pPr>
    </w:p>
    <w:p>
      <w:pPr>
        <w:pStyle w:val="24"/>
        <w:autoSpaceDN w:val="0"/>
        <w:spacing w:line="620" w:lineRule="atLeast"/>
        <w:ind w:firstLine="640"/>
        <w:rPr>
          <w:rFonts w:ascii="宋体"/>
          <w:sz w:val="32"/>
          <w:szCs w:val="32"/>
        </w:rPr>
      </w:pPr>
    </w:p>
    <w:p>
      <w:pPr>
        <w:pStyle w:val="24"/>
        <w:autoSpaceDN w:val="0"/>
        <w:spacing w:line="620" w:lineRule="atLeast"/>
        <w:jc w:val="center"/>
        <w:rPr>
          <w:rFonts w:ascii="宋体"/>
          <w:sz w:val="32"/>
          <w:szCs w:val="32"/>
        </w:rPr>
      </w:pPr>
    </w:p>
    <w:p>
      <w:pPr>
        <w:pStyle w:val="24"/>
        <w:autoSpaceDN w:val="0"/>
        <w:spacing w:line="620" w:lineRule="atLeast"/>
        <w:jc w:val="center"/>
        <w:rPr>
          <w:rFonts w:ascii="宋体"/>
          <w:sz w:val="32"/>
          <w:szCs w:val="32"/>
        </w:rPr>
      </w:pPr>
      <w:r>
        <w:rPr>
          <w:rFonts w:hint="eastAsia" w:ascii="宋体" w:hAnsi="宋体" w:cs="宋体"/>
          <w:sz w:val="32"/>
          <w:szCs w:val="32"/>
        </w:rPr>
        <w:t>海南省教育厅</w:t>
      </w:r>
    </w:p>
    <w:p>
      <w:pPr>
        <w:pStyle w:val="24"/>
        <w:autoSpaceDN w:val="0"/>
        <w:spacing w:line="620" w:lineRule="atLeast"/>
        <w:jc w:val="center"/>
        <w:rPr>
          <w:rFonts w:ascii="宋体"/>
          <w:sz w:val="32"/>
          <w:szCs w:val="32"/>
        </w:rPr>
      </w:pPr>
      <w:r>
        <w:rPr>
          <w:rFonts w:hint="eastAsia" w:ascii="宋体" w:hAnsi="宋体" w:cs="宋体"/>
          <w:sz w:val="32"/>
          <w:szCs w:val="32"/>
        </w:rPr>
        <w:t>二</w:t>
      </w:r>
      <w:r>
        <w:rPr>
          <w:rFonts w:ascii="宋体" w:hAnsi="宋体" w:cs="宋体"/>
          <w:sz w:val="32"/>
          <w:szCs w:val="32"/>
        </w:rPr>
        <w:t>O</w:t>
      </w:r>
      <w:r>
        <w:rPr>
          <w:rFonts w:hint="eastAsia" w:ascii="宋体" w:hAnsi="宋体" w:cs="宋体"/>
          <w:sz w:val="32"/>
          <w:szCs w:val="32"/>
        </w:rPr>
        <w:t>一七年三月</w:t>
      </w:r>
    </w:p>
    <w:p>
      <w:pPr>
        <w:widowControl/>
        <w:tabs>
          <w:tab w:val="left" w:pos="709"/>
          <w:tab w:val="left" w:pos="851"/>
        </w:tabs>
        <w:spacing w:before="156" w:beforeLines="50" w:after="156" w:afterLines="50" w:line="440" w:lineRule="exact"/>
        <w:ind w:firstLine="663" w:firstLineChars="150"/>
        <w:jc w:val="center"/>
        <w:rPr>
          <w:rFonts w:ascii="黑体" w:hAnsi="黑体" w:eastAsia="黑体"/>
          <w:b/>
          <w:bCs/>
          <w:color w:val="000000"/>
          <w:sz w:val="44"/>
          <w:szCs w:val="44"/>
        </w:rPr>
      </w:pPr>
    </w:p>
    <w:p>
      <w:pPr>
        <w:widowControl/>
        <w:tabs>
          <w:tab w:val="left" w:pos="709"/>
          <w:tab w:val="left" w:pos="851"/>
        </w:tabs>
        <w:spacing w:before="156" w:beforeLines="50" w:after="156" w:afterLines="50" w:line="440" w:lineRule="exact"/>
        <w:ind w:firstLine="663" w:firstLineChars="150"/>
        <w:jc w:val="center"/>
        <w:rPr>
          <w:rFonts w:ascii="黑体" w:hAnsi="黑体" w:eastAsia="黑体"/>
          <w:b/>
          <w:bCs/>
          <w:sz w:val="44"/>
          <w:szCs w:val="44"/>
        </w:rPr>
      </w:pPr>
      <w:r>
        <w:rPr>
          <w:rFonts w:hint="eastAsia" w:ascii="黑体" w:hAnsi="黑体" w:eastAsia="黑体" w:cs="黑体"/>
          <w:b/>
          <w:bCs/>
          <w:color w:val="000000"/>
          <w:sz w:val="44"/>
          <w:szCs w:val="44"/>
        </w:rPr>
        <w:t>云计算技术与应用</w:t>
      </w:r>
    </w:p>
    <w:p>
      <w:pPr>
        <w:widowControl/>
        <w:spacing w:before="156" w:beforeLines="50" w:after="156" w:afterLines="50" w:line="440" w:lineRule="exact"/>
        <w:ind w:firstLine="663" w:firstLineChars="150"/>
        <w:jc w:val="center"/>
        <w:rPr>
          <w:rFonts w:ascii="黑体" w:hAnsi="黑体" w:eastAsia="黑体"/>
          <w:b/>
          <w:bCs/>
          <w:sz w:val="44"/>
          <w:szCs w:val="44"/>
        </w:rPr>
      </w:pPr>
      <w:r>
        <w:rPr>
          <w:rFonts w:hint="eastAsia" w:ascii="黑体" w:hAnsi="黑体" w:eastAsia="黑体" w:cs="黑体"/>
          <w:b/>
          <w:bCs/>
          <w:sz w:val="44"/>
          <w:szCs w:val="44"/>
        </w:rPr>
        <w:t>赛项规程</w:t>
      </w:r>
    </w:p>
    <w:p>
      <w:pPr>
        <w:widowControl/>
        <w:spacing w:before="156" w:beforeLines="50" w:after="156" w:afterLines="50" w:line="440" w:lineRule="exact"/>
        <w:ind w:firstLine="663" w:firstLineChars="150"/>
        <w:jc w:val="center"/>
        <w:rPr>
          <w:rFonts w:ascii="黑体" w:hAnsi="黑体" w:eastAsia="黑体"/>
          <w:b/>
          <w:bCs/>
          <w:sz w:val="44"/>
          <w:szCs w:val="44"/>
        </w:rPr>
      </w:pPr>
    </w:p>
    <w:p>
      <w:pPr>
        <w:pStyle w:val="2"/>
        <w:keepNext w:val="0"/>
        <w:keepLines w:val="0"/>
        <w:tabs>
          <w:tab w:val="left" w:pos="567"/>
        </w:tabs>
        <w:adjustRightInd w:val="0"/>
        <w:snapToGrid w:val="0"/>
        <w:spacing w:before="0" w:after="0" w:line="360" w:lineRule="auto"/>
        <w:ind w:firstLine="630" w:firstLineChars="196"/>
        <w:jc w:val="left"/>
        <w:rPr>
          <w:rFonts w:ascii="黑体" w:hAnsi="黑体" w:eastAsia="黑体"/>
          <w:kern w:val="0"/>
        </w:rPr>
      </w:pPr>
      <w:r>
        <w:rPr>
          <w:rFonts w:hint="eastAsia" w:ascii="黑体" w:hAnsi="黑体" w:eastAsia="黑体" w:cs="黑体"/>
          <w:kern w:val="0"/>
        </w:rPr>
        <w:t>一、赛项名称</w:t>
      </w:r>
    </w:p>
    <w:p>
      <w:pPr>
        <w:pStyle w:val="2"/>
        <w:keepNext w:val="0"/>
        <w:keepLines w:val="0"/>
        <w:tabs>
          <w:tab w:val="left" w:pos="567"/>
        </w:tabs>
        <w:adjustRightInd w:val="0"/>
        <w:snapToGrid w:val="0"/>
        <w:spacing w:before="0" w:after="0" w:line="360" w:lineRule="auto"/>
        <w:ind w:left="643"/>
        <w:jc w:val="left"/>
        <w:rPr>
          <w:rFonts w:ascii="黑体" w:hAnsi="黑体" w:eastAsia="黑体"/>
          <w:b w:val="0"/>
          <w:bCs w:val="0"/>
          <w:kern w:val="0"/>
        </w:rPr>
      </w:pPr>
      <w:r>
        <w:rPr>
          <w:rFonts w:hint="eastAsia" w:ascii="仿宋" w:hAnsi="仿宋" w:eastAsia="仿宋" w:cs="仿宋"/>
          <w:b w:val="0"/>
          <w:bCs w:val="0"/>
          <w:kern w:val="0"/>
        </w:rPr>
        <w:t>赛项名称：</w:t>
      </w:r>
      <w:r>
        <w:rPr>
          <w:rFonts w:ascii="仿宋" w:hAnsi="仿宋" w:eastAsia="仿宋" w:cs="仿宋"/>
          <w:b w:val="0"/>
          <w:bCs w:val="0"/>
          <w:color w:val="000000"/>
        </w:rPr>
        <w:t xml:space="preserve"> </w:t>
      </w:r>
      <w:r>
        <w:rPr>
          <w:rFonts w:hint="eastAsia" w:ascii="仿宋" w:hAnsi="仿宋" w:eastAsia="仿宋" w:cs="仿宋"/>
          <w:b w:val="0"/>
          <w:bCs w:val="0"/>
          <w:color w:val="000000"/>
        </w:rPr>
        <w:t>云计算技术与应用</w:t>
      </w:r>
    </w:p>
    <w:p>
      <w:pPr>
        <w:spacing w:line="360" w:lineRule="auto"/>
        <w:ind w:firstLine="630" w:firstLineChars="196"/>
        <w:outlineLvl w:val="2"/>
        <w:rPr>
          <w:rFonts w:ascii="黑体" w:hAnsi="黑体" w:eastAsia="黑体"/>
          <w:b/>
          <w:bCs/>
          <w:sz w:val="32"/>
          <w:szCs w:val="32"/>
        </w:rPr>
      </w:pPr>
      <w:r>
        <w:rPr>
          <w:rFonts w:hint="eastAsia" w:ascii="黑体" w:hAnsi="黑体" w:eastAsia="黑体" w:cs="黑体"/>
          <w:b/>
          <w:bCs/>
          <w:sz w:val="32"/>
          <w:szCs w:val="32"/>
        </w:rPr>
        <w:t>二、竞赛目的</w:t>
      </w:r>
    </w:p>
    <w:p>
      <w:pPr>
        <w:widowControl/>
        <w:spacing w:line="360" w:lineRule="auto"/>
        <w:ind w:firstLine="640" w:firstLineChars="200"/>
        <w:outlineLvl w:val="2"/>
        <w:rPr>
          <w:rFonts w:ascii="仿宋" w:hAnsi="仿宋" w:eastAsia="仿宋" w:cs="仿宋"/>
          <w:sz w:val="32"/>
          <w:szCs w:val="32"/>
        </w:rPr>
      </w:pPr>
      <w:r>
        <w:rPr>
          <w:rFonts w:hint="eastAsia" w:ascii="仿宋" w:hAnsi="仿宋" w:eastAsia="仿宋" w:cs="仿宋"/>
          <w:sz w:val="32"/>
          <w:szCs w:val="32"/>
        </w:rPr>
        <w:t>为了进一步推进“云计算技术与应用”新专业建设，培养云计算相关人才，加强学校教育与产业发展的有效衔接，促进全国高职计算机相关专业面向行业应用，优化专业课程设置，创新工学结合人才培养模式、提供云计算发展的高水平智力支持，促进高职院校计算机类专业的教学改革及实践，展示高职院校产教合作成果。</w:t>
      </w:r>
    </w:p>
    <w:p>
      <w:pPr>
        <w:widowControl/>
        <w:spacing w:line="360" w:lineRule="auto"/>
        <w:ind w:firstLine="640" w:firstLineChars="200"/>
        <w:outlineLvl w:val="2"/>
        <w:rPr>
          <w:rFonts w:ascii="仿宋" w:hAnsi="仿宋" w:eastAsia="仿宋"/>
          <w:sz w:val="32"/>
          <w:szCs w:val="32"/>
        </w:rPr>
      </w:pPr>
      <w:r>
        <w:rPr>
          <w:rFonts w:hint="eastAsia" w:ascii="仿宋" w:hAnsi="仿宋" w:eastAsia="仿宋" w:cs="仿宋"/>
          <w:sz w:val="32"/>
          <w:szCs w:val="32"/>
        </w:rPr>
        <w:t>“云计算技术与应用”赛项紧密结合我国云计算产业发展战略规划和云计算技术发展方向，贯彻国务院《关于促进云计算创新发展培育信息产业新业态的意见》和《关于促进大数据发展的行动纲要》中人才措施要求，针对高职“云计算技术与应用”专业建设和发展的需求，通过引入云平台、云服务、大数据和云应用开发等实际应用场景，全面考察高职学生云计算技术基础、云平台规划设计和搭建，云存储、云网络、云安全、容器和大数据等云服务部署运维，云应用和大数据分析开发等前沿的知识、技术技能、职业素养和团队协作能力。促进职业院校信息类相关专业课程改革，推动院校、科研院所与企业联合培养云计算人才，加强学校教育与产业发展的有效衔接。</w:t>
      </w:r>
    </w:p>
    <w:p>
      <w:pPr>
        <w:tabs>
          <w:tab w:val="left" w:pos="709"/>
        </w:tabs>
        <w:spacing w:line="360" w:lineRule="auto"/>
        <w:ind w:firstLine="643" w:firstLineChars="200"/>
        <w:outlineLvl w:val="2"/>
        <w:rPr>
          <w:rFonts w:ascii="黑体" w:hAnsi="黑体" w:eastAsia="黑体"/>
          <w:b/>
          <w:bCs/>
          <w:sz w:val="32"/>
          <w:szCs w:val="32"/>
        </w:rPr>
      </w:pPr>
      <w:r>
        <w:rPr>
          <w:rFonts w:hint="eastAsia" w:ascii="黑体" w:hAnsi="黑体" w:eastAsia="黑体" w:cs="黑体"/>
          <w:b/>
          <w:bCs/>
          <w:sz w:val="32"/>
          <w:szCs w:val="32"/>
        </w:rPr>
        <w:t>三、竞赛内容与规则</w:t>
      </w:r>
    </w:p>
    <w:p>
      <w:pPr>
        <w:spacing w:line="360" w:lineRule="auto"/>
        <w:ind w:firstLine="473" w:firstLineChars="148"/>
        <w:outlineLvl w:val="2"/>
        <w:rPr>
          <w:rFonts w:ascii="仿宋" w:hAnsi="仿宋" w:eastAsia="仿宋"/>
          <w:kern w:val="0"/>
          <w:sz w:val="32"/>
          <w:szCs w:val="32"/>
        </w:rPr>
      </w:pPr>
      <w:r>
        <w:rPr>
          <w:rFonts w:hint="eastAsia" w:ascii="仿宋" w:hAnsi="仿宋" w:eastAsia="仿宋" w:cs="仿宋"/>
          <w:kern w:val="0"/>
          <w:sz w:val="32"/>
          <w:szCs w:val="32"/>
        </w:rPr>
        <w:t>（一）竞赛内容</w:t>
      </w:r>
    </w:p>
    <w:p>
      <w:pPr>
        <w:widowControl/>
        <w:spacing w:line="360" w:lineRule="auto"/>
        <w:ind w:firstLine="640" w:firstLineChars="200"/>
        <w:outlineLvl w:val="2"/>
        <w:rPr>
          <w:rFonts w:ascii="仿宋" w:hAnsi="仿宋" w:eastAsia="仿宋" w:cs="仿宋"/>
          <w:sz w:val="32"/>
          <w:szCs w:val="32"/>
        </w:rPr>
      </w:pPr>
      <w:r>
        <w:rPr>
          <w:rFonts w:hint="eastAsia" w:ascii="仿宋" w:hAnsi="仿宋" w:eastAsia="仿宋" w:cs="仿宋"/>
          <w:sz w:val="32"/>
          <w:szCs w:val="32"/>
        </w:rPr>
        <w:t>竞赛内容根据业务需求和实际的工程应用环境，实现云计算平台架构的规划设计，完成云计算平台网络基础设备、服务器、存储服务器的互联和配置，完成云计算基础架构平台、云计算开发服务平台等平台软件的部署、配置和管理，通过云平台实现大数据分析、云存储、软件定义网络等各类云应用部署、运维和开发能力，满足应用场景需求并提交标准化的工程工作总结报告。</w:t>
      </w:r>
    </w:p>
    <w:p>
      <w:pPr>
        <w:widowControl/>
        <w:spacing w:line="360" w:lineRule="auto"/>
        <w:ind w:firstLine="643" w:firstLineChars="200"/>
        <w:outlineLvl w:val="2"/>
        <w:rPr>
          <w:rFonts w:ascii="仿宋" w:hAnsi="仿宋" w:eastAsia="仿宋" w:cs="仿宋"/>
          <w:sz w:val="32"/>
          <w:szCs w:val="32"/>
        </w:rPr>
      </w:pPr>
      <w:r>
        <w:rPr>
          <w:rFonts w:hint="eastAsia" w:ascii="仿宋" w:hAnsi="仿宋" w:eastAsia="仿宋" w:cs="仿宋"/>
          <w:b/>
          <w:bCs/>
          <w:sz w:val="32"/>
          <w:szCs w:val="32"/>
        </w:rPr>
        <w:t>竞赛时间为:每个小组比赛周期为连续3.5个小时;</w:t>
      </w:r>
    </w:p>
    <w:p>
      <w:pPr>
        <w:widowControl/>
        <w:spacing w:line="360" w:lineRule="auto"/>
        <w:ind w:firstLine="640" w:firstLineChars="200"/>
        <w:outlineLvl w:val="2"/>
        <w:rPr>
          <w:rFonts w:ascii="仿宋_GB2312" w:eastAsia="仿宋_GB2312"/>
          <w:color w:val="000000" w:themeColor="text1"/>
          <w:sz w:val="28"/>
          <w:szCs w:val="28"/>
          <w14:textFill>
            <w14:solidFill>
              <w14:schemeClr w14:val="tx1"/>
            </w14:solidFill>
          </w14:textFill>
        </w:rPr>
      </w:pPr>
      <w:r>
        <w:rPr>
          <w:rFonts w:hint="eastAsia" w:ascii="仿宋" w:hAnsi="仿宋" w:eastAsia="仿宋" w:cs="仿宋"/>
          <w:sz w:val="32"/>
          <w:szCs w:val="32"/>
        </w:rPr>
        <w:t>竞赛具体内容如下：</w:t>
      </w:r>
    </w:p>
    <w:p>
      <w:pPr>
        <w:spacing w:line="560" w:lineRule="exact"/>
        <w:ind w:firstLine="562" w:firstLineChars="200"/>
        <w:rPr>
          <w:rFonts w:ascii="仿宋_GB2312" w:eastAsia="仿宋_GB2312"/>
          <w:b/>
          <w:sz w:val="28"/>
          <w:szCs w:val="28"/>
        </w:rPr>
      </w:pPr>
      <w:r>
        <w:rPr>
          <w:rFonts w:hint="eastAsia" w:ascii="仿宋_GB2312" w:eastAsia="仿宋_GB2312"/>
          <w:b/>
          <w:sz w:val="28"/>
          <w:szCs w:val="28"/>
        </w:rPr>
        <w:t>1、IaaS云计算基础架构平台</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理解和分析一个企业云计算应用的服务需求，进行设计、构建和维护一个安全、可靠的云计算服务平台。</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根据云平台设计方案，进行主机CentOS Linux操作系统的运维管理，包括网络、存储、虚拟化和安全等，确保操作系统正常。</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系统准备工作，包括安装和配置yum安装源、ftp、http、MQ、Mysql、MongoDB等服务。</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安装和配置认证、镜像、存储、网络、监控、编排和调度等云平台服务。</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安装和配置SDN软件定义网络管理系统OpenDaylight。</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使用、管理和监控各云服务，包括云主机、云存储、云网络、云数据库和负载均衡等。</w:t>
      </w:r>
    </w:p>
    <w:p>
      <w:pPr>
        <w:spacing w:line="560" w:lineRule="exact"/>
        <w:ind w:firstLine="562" w:firstLineChars="200"/>
        <w:rPr>
          <w:rFonts w:ascii="仿宋_GB2312" w:eastAsia="仿宋_GB2312"/>
          <w:b/>
          <w:sz w:val="28"/>
          <w:szCs w:val="28"/>
        </w:rPr>
      </w:pPr>
      <w:r>
        <w:rPr>
          <w:rFonts w:hint="eastAsia" w:ascii="仿宋_GB2312" w:eastAsia="仿宋_GB2312"/>
          <w:b/>
          <w:sz w:val="28"/>
          <w:szCs w:val="28"/>
        </w:rPr>
        <w:t>2、PaaS云计算开发服务平台</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构建PaaS平台，包括Docker、命名空间NameSpace、控制组CGroup、数据卷和容器网络等。</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构建包含Docker镜像(Image)、容器(Container)、镜像仓库(Repository)、和编排（Compose）等服务。</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通过PaaS平台构建容器服务CaaS，基于CaaS构建操作系统、数据库服务、大数据服务和企业应用系统的容器等。</w:t>
      </w:r>
    </w:p>
    <w:p>
      <w:pPr>
        <w:spacing w:line="560" w:lineRule="exact"/>
        <w:ind w:firstLine="562" w:firstLineChars="200"/>
        <w:rPr>
          <w:rFonts w:ascii="仿宋_GB2312" w:eastAsia="仿宋_GB2312"/>
          <w:b/>
          <w:sz w:val="28"/>
          <w:szCs w:val="28"/>
        </w:rPr>
      </w:pPr>
      <w:r>
        <w:rPr>
          <w:rFonts w:hint="eastAsia" w:ascii="仿宋_GB2312" w:eastAsia="仿宋_GB2312"/>
          <w:b/>
          <w:sz w:val="28"/>
          <w:szCs w:val="28"/>
        </w:rPr>
        <w:t>3、云计算平台运维</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构建IaaS平台的数据库管理服务，日志管理服务，LVM、OVS、网桥、KVM等底层服务，认证管理服务，网络管理服务，存储管理服务、监控管理服务、模板管理服务等，并提交系统运作状态，进行错误排查。</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完成对IaaS平台进行基本服务的云主机、云存储、云网络的系统错误的排查，完成对PaaS平台进行基本服务的镜像、容器、存储、网络的系统错误的排查。</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构建PaaS平台的软件服务：包括Web服务器（Nginx）、缓存（Redis）、数据库（MongoDB、Mysql）持续集成（Jenkins）、企业知识系统（EKM）、内容管理系统（CMS）、博客系统（BLOG）、监控系统（Grafana）、电子商务系统（e-Commerce）、聊天系统（rocket chat）等。通过配置文件或验证命令查看正确性。</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使用、管理和监控容器的安全、网络和存储；实践研发运维（DevOps）一体化。</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完成web系统上云综合案例、设计和构建持续集成DevOps案例。</w:t>
      </w:r>
    </w:p>
    <w:p>
      <w:pPr>
        <w:spacing w:line="560" w:lineRule="exact"/>
        <w:ind w:firstLine="562" w:firstLineChars="200"/>
        <w:rPr>
          <w:rFonts w:ascii="仿宋_GB2312" w:eastAsia="仿宋_GB2312"/>
          <w:b/>
          <w:color w:val="000000" w:themeColor="text1"/>
          <w:sz w:val="28"/>
          <w:szCs w:val="28"/>
          <w14:textFill>
            <w14:solidFill>
              <w14:schemeClr w14:val="tx1"/>
            </w14:solidFill>
          </w14:textFill>
        </w:rPr>
      </w:pPr>
      <w:r>
        <w:rPr>
          <w:rFonts w:hint="eastAsia" w:ascii="仿宋_GB2312" w:eastAsia="仿宋_GB2312"/>
          <w:b/>
          <w:color w:val="000000" w:themeColor="text1"/>
          <w:sz w:val="28"/>
          <w:szCs w:val="28"/>
          <w14:textFill>
            <w14:solidFill>
              <w14:schemeClr w14:val="tx1"/>
            </w14:solidFill>
          </w14:textFill>
        </w:rPr>
        <w:t>4、工程文档及职业素养</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提交符合规范的工程技术文档，如：运维脚本、系统架构图、系统设计文档、功能测试文档、调试报告及项目实施总结等。</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比赛现场做到企业“5S”（即整理、整顿、清扫、清洁和素养）。</w:t>
      </w:r>
    </w:p>
    <w:p>
      <w:pPr>
        <w:tabs>
          <w:tab w:val="left" w:pos="709"/>
        </w:tabs>
        <w:spacing w:line="360" w:lineRule="auto"/>
        <w:ind w:firstLine="560" w:firstLineChars="200"/>
        <w:outlineLvl w:val="2"/>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比赛团队分工明确合理、操作规范、文明竞赛。</w:t>
      </w:r>
    </w:p>
    <w:p>
      <w:pPr>
        <w:tabs>
          <w:tab w:val="left" w:pos="709"/>
        </w:tabs>
        <w:spacing w:line="360" w:lineRule="auto"/>
        <w:ind w:firstLine="480" w:firstLineChars="150"/>
        <w:outlineLvl w:val="2"/>
        <w:rPr>
          <w:rFonts w:ascii="仿宋" w:hAnsi="仿宋" w:eastAsia="仿宋"/>
          <w:sz w:val="32"/>
          <w:szCs w:val="32"/>
        </w:rPr>
      </w:pPr>
      <w:r>
        <w:rPr>
          <w:rFonts w:hint="eastAsia" w:ascii="仿宋" w:hAnsi="仿宋" w:eastAsia="仿宋" w:cs="仿宋"/>
          <w:sz w:val="32"/>
          <w:szCs w:val="32"/>
        </w:rPr>
        <w:t>（二）竞赛规则</w:t>
      </w:r>
    </w:p>
    <w:p>
      <w:pPr>
        <w:spacing w:line="560" w:lineRule="exact"/>
        <w:ind w:firstLine="560" w:firstLineChars="200"/>
        <w:rPr>
          <w:rFonts w:ascii="仿宋_GB2312" w:hAnsi="Arial Narrow" w:eastAsia="仿宋_GB2312" w:cs="Arial"/>
          <w:sz w:val="28"/>
          <w:szCs w:val="28"/>
        </w:rPr>
      </w:pPr>
      <w:r>
        <w:rPr>
          <w:rFonts w:hint="eastAsia" w:ascii="仿宋_GB2312" w:eastAsia="仿宋_GB2312"/>
          <w:color w:val="000000" w:themeColor="text1"/>
          <w:sz w:val="28"/>
          <w:szCs w:val="28"/>
          <w14:textFill>
            <w14:solidFill>
              <w14:schemeClr w14:val="tx1"/>
            </w14:solidFill>
          </w14:textFill>
        </w:rPr>
        <w:t>本赛项为团体赛，以院校为单位组队参赛，不得跨校组队。每支参赛队由3名选手（设队长1名）和不超过2名指导教师组成</w:t>
      </w:r>
      <w:r>
        <w:rPr>
          <w:rFonts w:hint="eastAsia" w:ascii="仿宋_GB2312" w:eastAsia="仿宋_GB2312"/>
          <w:color w:val="000000" w:themeColor="text1"/>
          <w:sz w:val="28"/>
          <w:szCs w:val="28"/>
          <w:lang w:eastAsia="zh-CN"/>
          <w14:textFill>
            <w14:solidFill>
              <w14:schemeClr w14:val="tx1"/>
            </w14:solidFill>
          </w14:textFill>
        </w:rPr>
        <w:t>，每校不超过</w:t>
      </w:r>
      <w:r>
        <w:rPr>
          <w:rFonts w:hint="eastAsia" w:ascii="仿宋_GB2312" w:eastAsia="仿宋_GB2312"/>
          <w:color w:val="000000" w:themeColor="text1"/>
          <w:sz w:val="28"/>
          <w:szCs w:val="28"/>
          <w:lang w:val="en-US" w:eastAsia="zh-CN"/>
          <w14:textFill>
            <w14:solidFill>
              <w14:schemeClr w14:val="tx1"/>
            </w14:solidFill>
          </w14:textFill>
        </w:rPr>
        <w:t>2支代表队</w:t>
      </w:r>
      <w:bookmarkStart w:id="0" w:name="_GoBack"/>
      <w:bookmarkEnd w:id="0"/>
      <w:r>
        <w:rPr>
          <w:rFonts w:hint="eastAsia" w:ascii="仿宋_GB2312" w:eastAsia="仿宋_GB2312"/>
          <w:color w:val="000000" w:themeColor="text1"/>
          <w:sz w:val="28"/>
          <w:szCs w:val="28"/>
          <w14:textFill>
            <w14:solidFill>
              <w14:schemeClr w14:val="tx1"/>
            </w14:solidFill>
          </w14:textFill>
        </w:rPr>
        <w:t>。</w:t>
      </w:r>
    </w:p>
    <w:p>
      <w:pPr>
        <w:spacing w:line="560" w:lineRule="exact"/>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竞赛所有参赛队3.5小时内完成比赛，比赛形式以实践操作为主，采用小组合作的形式完成赛项任务，以现场过程评价与完成任务结果评价为主要考核方式。</w:t>
      </w:r>
    </w:p>
    <w:p>
      <w:pPr>
        <w:spacing w:line="360" w:lineRule="auto"/>
        <w:ind w:firstLine="560" w:firstLineChars="200"/>
        <w:outlineLvl w:val="2"/>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参赛队选手凭赛位号进入赛场，不得携带其他显示个人身份信息和违规的物品。现场裁判负责引导参赛队伍至赛位前等待竞赛指令。 比赛开始前，在没有裁判允许的情况下， 严禁随意触碰竞赛设施和阅读试题内容。比赛中途不得离开赛场。</w:t>
      </w:r>
    </w:p>
    <w:p>
      <w:pPr>
        <w:spacing w:line="360" w:lineRule="auto"/>
        <w:ind w:firstLine="643" w:firstLineChars="200"/>
        <w:outlineLvl w:val="2"/>
        <w:rPr>
          <w:rFonts w:ascii="黑体" w:hAnsi="黑体" w:eastAsia="黑体"/>
          <w:b/>
          <w:bCs/>
          <w:sz w:val="32"/>
          <w:szCs w:val="32"/>
        </w:rPr>
      </w:pPr>
      <w:r>
        <w:rPr>
          <w:rFonts w:hint="eastAsia" w:ascii="黑体" w:hAnsi="黑体" w:eastAsia="黑体" w:cs="黑体"/>
          <w:b/>
          <w:bCs/>
          <w:sz w:val="32"/>
          <w:szCs w:val="32"/>
        </w:rPr>
        <w:t>四、竞赛项目时间安排与流程</w:t>
      </w:r>
    </w:p>
    <w:p>
      <w:pPr>
        <w:spacing w:line="360" w:lineRule="auto"/>
        <w:ind w:firstLine="560" w:firstLineChars="200"/>
        <w:rPr>
          <w:rFonts w:ascii="宋体"/>
          <w:kern w:val="0"/>
          <w:sz w:val="28"/>
          <w:szCs w:val="28"/>
        </w:rPr>
      </w:pPr>
      <w:r>
        <w:rPr>
          <w:rFonts w:hint="eastAsia" w:ascii="宋体" w:hAnsi="宋体" w:cs="宋体"/>
          <w:kern w:val="0"/>
          <w:sz w:val="28"/>
          <w:szCs w:val="28"/>
        </w:rPr>
        <w:t>比赛日期：</w:t>
      </w:r>
      <w:r>
        <w:rPr>
          <w:rFonts w:ascii="宋体" w:hAnsi="宋体" w:cs="宋体"/>
          <w:kern w:val="0"/>
          <w:sz w:val="28"/>
          <w:szCs w:val="28"/>
        </w:rPr>
        <w:t>201</w:t>
      </w:r>
      <w:r>
        <w:rPr>
          <w:rFonts w:hint="eastAsia" w:ascii="宋体" w:hAnsi="宋体" w:cs="宋体"/>
          <w:kern w:val="0"/>
          <w:sz w:val="28"/>
          <w:szCs w:val="28"/>
        </w:rPr>
        <w:t>8年</w:t>
      </w:r>
      <w:r>
        <w:rPr>
          <w:rFonts w:ascii="宋体" w:hAnsi="宋体" w:cs="宋体"/>
          <w:kern w:val="0"/>
          <w:sz w:val="28"/>
          <w:szCs w:val="28"/>
        </w:rPr>
        <w:t>3</w:t>
      </w:r>
      <w:r>
        <w:rPr>
          <w:rFonts w:hint="eastAsia" w:ascii="宋体" w:hAnsi="宋体" w:cs="宋体"/>
          <w:kern w:val="0"/>
          <w:sz w:val="28"/>
          <w:szCs w:val="28"/>
        </w:rPr>
        <w:t xml:space="preserve">月 </w:t>
      </w:r>
      <w:r>
        <w:rPr>
          <w:rFonts w:hint="eastAsia" w:ascii="宋体" w:hAnsi="宋体" w:cs="宋体"/>
          <w:kern w:val="0"/>
          <w:sz w:val="28"/>
          <w:szCs w:val="28"/>
          <w:lang w:val="en-US" w:eastAsia="zh-CN"/>
        </w:rPr>
        <w:t>24</w:t>
      </w:r>
      <w:r>
        <w:rPr>
          <w:rFonts w:hint="eastAsia" w:ascii="宋体" w:hAnsi="宋体" w:cs="宋体"/>
          <w:kern w:val="0"/>
          <w:sz w:val="28"/>
          <w:szCs w:val="28"/>
        </w:rPr>
        <w:t xml:space="preserve"> 日（周 </w:t>
      </w:r>
      <w:r>
        <w:rPr>
          <w:rFonts w:hint="eastAsia" w:ascii="宋体" w:hAnsi="宋体" w:cs="宋体"/>
          <w:kern w:val="0"/>
          <w:sz w:val="28"/>
          <w:szCs w:val="28"/>
          <w:lang w:eastAsia="zh-CN"/>
        </w:rPr>
        <w:t>六</w:t>
      </w:r>
      <w:r>
        <w:rPr>
          <w:rFonts w:hint="eastAsia" w:ascii="宋体" w:hAnsi="宋体" w:cs="宋体"/>
          <w:kern w:val="0"/>
          <w:sz w:val="28"/>
          <w:szCs w:val="28"/>
        </w:rPr>
        <w:t xml:space="preserve"> ）</w:t>
      </w:r>
    </w:p>
    <w:p>
      <w:pPr>
        <w:spacing w:line="360" w:lineRule="auto"/>
        <w:jc w:val="center"/>
        <w:outlineLvl w:val="2"/>
        <w:rPr>
          <w:rFonts w:ascii="仿宋" w:hAnsi="仿宋" w:eastAsia="仿宋"/>
          <w:sz w:val="30"/>
          <w:szCs w:val="30"/>
        </w:rPr>
      </w:pPr>
      <w:r>
        <w:rPr>
          <w:rFonts w:hint="eastAsia" w:ascii="仿宋" w:hAnsi="仿宋" w:eastAsia="仿宋" w:cs="仿宋"/>
          <w:sz w:val="30"/>
          <w:szCs w:val="30"/>
        </w:rPr>
        <w:t>表</w:t>
      </w:r>
      <w:r>
        <w:rPr>
          <w:rFonts w:ascii="仿宋" w:hAnsi="仿宋" w:eastAsia="仿宋" w:cs="仿宋"/>
          <w:sz w:val="30"/>
          <w:szCs w:val="30"/>
        </w:rPr>
        <w:t>1</w:t>
      </w:r>
      <w:r>
        <w:rPr>
          <w:rFonts w:hint="eastAsia" w:ascii="仿宋" w:hAnsi="仿宋" w:eastAsia="仿宋" w:cs="仿宋"/>
          <w:sz w:val="30"/>
          <w:szCs w:val="30"/>
        </w:rPr>
        <w:t>竞赛项目时间安排与流程</w:t>
      </w:r>
    </w:p>
    <w:tbl>
      <w:tblPr>
        <w:tblStyle w:val="10"/>
        <w:tblW w:w="8522" w:type="dxa"/>
        <w:jc w:val="center"/>
        <w:tblInd w:w="0" w:type="dxa"/>
        <w:tblLayout w:type="fixed"/>
        <w:tblCellMar>
          <w:top w:w="0" w:type="dxa"/>
          <w:left w:w="108" w:type="dxa"/>
          <w:bottom w:w="0" w:type="dxa"/>
          <w:right w:w="108" w:type="dxa"/>
        </w:tblCellMar>
      </w:tblPr>
      <w:tblGrid>
        <w:gridCol w:w="2130"/>
        <w:gridCol w:w="2130"/>
        <w:gridCol w:w="2131"/>
        <w:gridCol w:w="2131"/>
      </w:tblGrid>
      <w:tr>
        <w:tblPrEx>
          <w:tblLayout w:type="fixed"/>
          <w:tblCellMar>
            <w:top w:w="0" w:type="dxa"/>
            <w:left w:w="108" w:type="dxa"/>
            <w:bottom w:w="0" w:type="dxa"/>
            <w:right w:w="108" w:type="dxa"/>
          </w:tblCellMar>
        </w:tblPrEx>
        <w:trPr>
          <w:trHeight w:val="20" w:hRule="atLeast"/>
          <w:jc w:val="center"/>
        </w:trPr>
        <w:tc>
          <w:tcPr>
            <w:tcW w:w="2130" w:type="dxa"/>
            <w:tcBorders>
              <w:top w:val="single" w:color="auto" w:sz="8" w:space="0"/>
              <w:left w:val="single" w:color="auto" w:sz="8" w:space="0"/>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日期</w:t>
            </w:r>
          </w:p>
        </w:tc>
        <w:tc>
          <w:tcPr>
            <w:tcW w:w="2130" w:type="dxa"/>
            <w:tcBorders>
              <w:top w:val="single" w:color="auto" w:sz="8" w:space="0"/>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时间</w:t>
            </w:r>
          </w:p>
        </w:tc>
        <w:tc>
          <w:tcPr>
            <w:tcW w:w="4262" w:type="dxa"/>
            <w:gridSpan w:val="2"/>
            <w:tcBorders>
              <w:top w:val="single" w:color="auto" w:sz="8" w:space="0"/>
              <w:left w:val="nil"/>
              <w:bottom w:val="single" w:color="auto" w:sz="8" w:space="0"/>
              <w:right w:val="single" w:color="000000"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内容</w:t>
            </w:r>
          </w:p>
        </w:tc>
      </w:tr>
      <w:tr>
        <w:tblPrEx>
          <w:tblLayout w:type="fixed"/>
          <w:tblCellMar>
            <w:top w:w="0" w:type="dxa"/>
            <w:left w:w="108" w:type="dxa"/>
            <w:bottom w:w="0" w:type="dxa"/>
            <w:right w:w="108" w:type="dxa"/>
          </w:tblCellMar>
        </w:tblPrEx>
        <w:trPr>
          <w:trHeight w:val="20" w:hRule="atLeast"/>
          <w:jc w:val="center"/>
        </w:trPr>
        <w:tc>
          <w:tcPr>
            <w:tcW w:w="2130" w:type="dxa"/>
            <w:tcBorders>
              <w:top w:val="single" w:color="auto" w:sz="8" w:space="0"/>
              <w:left w:val="single" w:color="auto" w:sz="8" w:space="0"/>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比赛前三天</w:t>
            </w:r>
          </w:p>
        </w:tc>
        <w:tc>
          <w:tcPr>
            <w:tcW w:w="2130" w:type="dxa"/>
            <w:tcBorders>
              <w:top w:val="single" w:color="auto" w:sz="8" w:space="0"/>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c>
          <w:tcPr>
            <w:tcW w:w="4262" w:type="dxa"/>
            <w:gridSpan w:val="2"/>
            <w:tcBorders>
              <w:top w:val="single" w:color="auto" w:sz="8" w:space="0"/>
              <w:left w:val="nil"/>
              <w:bottom w:val="single" w:color="auto" w:sz="8" w:space="0"/>
              <w:right w:val="single" w:color="000000" w:sz="8" w:space="0"/>
            </w:tcBorders>
            <w:vAlign w:val="center"/>
          </w:tcPr>
          <w:p>
            <w:pPr>
              <w:widowControl/>
              <w:spacing w:line="360" w:lineRule="auto"/>
              <w:jc w:val="left"/>
              <w:outlineLvl w:val="2"/>
              <w:rPr>
                <w:rFonts w:ascii="仿宋" w:hAnsi="仿宋" w:eastAsia="仿宋"/>
                <w:kern w:val="0"/>
                <w:sz w:val="32"/>
                <w:szCs w:val="32"/>
              </w:rPr>
            </w:pPr>
            <w:r>
              <w:rPr>
                <w:rFonts w:hint="eastAsia" w:ascii="仿宋" w:hAnsi="仿宋" w:eastAsia="仿宋" w:cs="仿宋"/>
                <w:kern w:val="0"/>
                <w:sz w:val="32"/>
                <w:szCs w:val="32"/>
              </w:rPr>
              <w:t>最后确定参赛人员名单</w:t>
            </w:r>
          </w:p>
        </w:tc>
      </w:tr>
      <w:tr>
        <w:tblPrEx>
          <w:tblLayout w:type="fixed"/>
          <w:tblCellMar>
            <w:top w:w="0" w:type="dxa"/>
            <w:left w:w="108" w:type="dxa"/>
            <w:bottom w:w="0" w:type="dxa"/>
            <w:right w:w="108" w:type="dxa"/>
          </w:tblCellMar>
        </w:tblPrEx>
        <w:trPr>
          <w:trHeight w:val="20" w:hRule="atLeast"/>
          <w:jc w:val="center"/>
        </w:trPr>
        <w:tc>
          <w:tcPr>
            <w:tcW w:w="2130" w:type="dxa"/>
            <w:vMerge w:val="restart"/>
            <w:tcBorders>
              <w:top w:val="nil"/>
              <w:left w:val="single" w:color="auto" w:sz="8" w:space="0"/>
              <w:right w:val="single" w:color="auto" w:sz="8" w:space="0"/>
            </w:tcBorders>
            <w:vAlign w:val="center"/>
          </w:tcPr>
          <w:p>
            <w:pPr>
              <w:pStyle w:val="19"/>
              <w:spacing w:line="360" w:lineRule="auto"/>
              <w:jc w:val="both"/>
              <w:outlineLvl w:val="2"/>
              <w:rPr>
                <w:rFonts w:ascii="仿宋" w:hAnsi="仿宋" w:eastAsia="仿宋" w:cs="Times New Roman"/>
                <w:kern w:val="2"/>
                <w:sz w:val="32"/>
                <w:szCs w:val="32"/>
              </w:rPr>
            </w:pPr>
            <w:r>
              <w:rPr>
                <w:rFonts w:ascii="仿宋" w:hAnsi="仿宋" w:eastAsia="仿宋" w:cs="仿宋"/>
                <w:kern w:val="2"/>
                <w:sz w:val="32"/>
                <w:szCs w:val="32"/>
              </w:rPr>
              <w:t xml:space="preserve">   </w:t>
            </w:r>
            <w:r>
              <w:rPr>
                <w:rFonts w:hint="eastAsia" w:ascii="仿宋" w:hAnsi="仿宋" w:eastAsia="仿宋" w:cs="仿宋"/>
                <w:kern w:val="2"/>
                <w:sz w:val="32"/>
                <w:szCs w:val="32"/>
              </w:rPr>
              <w:t>报到日</w:t>
            </w:r>
          </w:p>
        </w:tc>
        <w:tc>
          <w:tcPr>
            <w:tcW w:w="2130"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全天</w:t>
            </w: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报到</w:t>
            </w: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报到</w:t>
            </w:r>
          </w:p>
        </w:tc>
      </w:tr>
      <w:tr>
        <w:tblPrEx>
          <w:tblLayout w:type="fixed"/>
          <w:tblCellMar>
            <w:top w:w="0" w:type="dxa"/>
            <w:left w:w="108" w:type="dxa"/>
            <w:bottom w:w="0" w:type="dxa"/>
            <w:right w:w="108" w:type="dxa"/>
          </w:tblCellMar>
        </w:tblPrEx>
        <w:trPr>
          <w:trHeight w:val="20" w:hRule="atLeast"/>
          <w:jc w:val="center"/>
        </w:trPr>
        <w:tc>
          <w:tcPr>
            <w:tcW w:w="2130" w:type="dxa"/>
            <w:vMerge w:val="continue"/>
            <w:tcBorders>
              <w:left w:val="single" w:color="auto" w:sz="8" w:space="0"/>
              <w:right w:val="single" w:color="auto" w:sz="8" w:space="0"/>
            </w:tcBorders>
            <w:vAlign w:val="center"/>
          </w:tcPr>
          <w:p>
            <w:pPr>
              <w:pStyle w:val="19"/>
              <w:spacing w:line="360" w:lineRule="auto"/>
              <w:ind w:firstLine="960" w:firstLineChars="300"/>
              <w:jc w:val="both"/>
              <w:outlineLvl w:val="2"/>
              <w:rPr>
                <w:rFonts w:ascii="仿宋" w:hAnsi="仿宋" w:eastAsia="仿宋" w:cs="Times New Roman"/>
                <w:kern w:val="2"/>
                <w:sz w:val="32"/>
                <w:szCs w:val="32"/>
              </w:rPr>
            </w:pPr>
          </w:p>
        </w:tc>
        <w:tc>
          <w:tcPr>
            <w:tcW w:w="2130"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仿宋"/>
                <w:kern w:val="2"/>
                <w:sz w:val="32"/>
                <w:szCs w:val="32"/>
              </w:rPr>
            </w:pPr>
            <w:r>
              <w:rPr>
                <w:rFonts w:ascii="仿宋" w:hAnsi="仿宋" w:eastAsia="仿宋" w:cs="仿宋"/>
                <w:kern w:val="2"/>
                <w:sz w:val="32"/>
                <w:szCs w:val="32"/>
              </w:rPr>
              <w:t>15:00</w:t>
            </w:r>
          </w:p>
        </w:tc>
        <w:tc>
          <w:tcPr>
            <w:tcW w:w="2131" w:type="dxa"/>
            <w:tcBorders>
              <w:top w:val="nil"/>
              <w:left w:val="nil"/>
              <w:bottom w:val="single" w:color="auto" w:sz="8" w:space="0"/>
              <w:right w:val="single" w:color="auto" w:sz="8" w:space="0"/>
            </w:tcBorders>
            <w:vAlign w:val="center"/>
          </w:tcPr>
          <w:p>
            <w:pPr>
              <w:pStyle w:val="19"/>
              <w:spacing w:line="360" w:lineRule="auto"/>
              <w:ind w:firstLine="480" w:firstLineChars="150"/>
              <w:jc w:val="both"/>
              <w:outlineLvl w:val="2"/>
              <w:rPr>
                <w:rFonts w:ascii="仿宋" w:hAnsi="仿宋" w:eastAsia="仿宋" w:cs="Times New Roman"/>
                <w:kern w:val="2"/>
                <w:sz w:val="32"/>
                <w:szCs w:val="32"/>
              </w:rPr>
            </w:pPr>
            <w:r>
              <w:rPr>
                <w:rFonts w:hint="eastAsia" w:ascii="仿宋" w:hAnsi="仿宋" w:eastAsia="仿宋" w:cs="仿宋"/>
                <w:kern w:val="2"/>
                <w:sz w:val="32"/>
                <w:szCs w:val="32"/>
              </w:rPr>
              <w:t>开幕式</w:t>
            </w: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r>
      <w:tr>
        <w:tblPrEx>
          <w:tblLayout w:type="fixed"/>
          <w:tblCellMar>
            <w:top w:w="0" w:type="dxa"/>
            <w:left w:w="108" w:type="dxa"/>
            <w:bottom w:w="0" w:type="dxa"/>
            <w:right w:w="108" w:type="dxa"/>
          </w:tblCellMar>
        </w:tblPrEx>
        <w:trPr>
          <w:trHeight w:val="20" w:hRule="atLeast"/>
          <w:jc w:val="center"/>
        </w:trPr>
        <w:tc>
          <w:tcPr>
            <w:tcW w:w="2130" w:type="dxa"/>
            <w:vMerge w:val="continue"/>
            <w:tcBorders>
              <w:left w:val="single" w:color="auto" w:sz="8" w:space="0"/>
              <w:bottom w:val="single" w:color="auto" w:sz="8" w:space="0"/>
              <w:right w:val="single" w:color="auto" w:sz="8" w:space="0"/>
            </w:tcBorders>
            <w:vAlign w:val="center"/>
          </w:tcPr>
          <w:p>
            <w:pPr>
              <w:pStyle w:val="19"/>
              <w:spacing w:line="360" w:lineRule="auto"/>
              <w:ind w:firstLine="960" w:firstLineChars="300"/>
              <w:jc w:val="both"/>
              <w:outlineLvl w:val="2"/>
              <w:rPr>
                <w:rFonts w:ascii="仿宋" w:hAnsi="仿宋" w:eastAsia="仿宋" w:cs="Times New Roman"/>
                <w:kern w:val="2"/>
                <w:sz w:val="32"/>
                <w:szCs w:val="32"/>
              </w:rPr>
            </w:pPr>
          </w:p>
        </w:tc>
        <w:tc>
          <w:tcPr>
            <w:tcW w:w="2130"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仿宋"/>
                <w:kern w:val="2"/>
                <w:sz w:val="32"/>
                <w:szCs w:val="32"/>
              </w:rPr>
            </w:pPr>
            <w:r>
              <w:rPr>
                <w:rFonts w:ascii="仿宋" w:hAnsi="仿宋" w:eastAsia="仿宋" w:cs="仿宋"/>
                <w:kern w:val="2"/>
                <w:sz w:val="32"/>
                <w:szCs w:val="32"/>
              </w:rPr>
              <w:t>16:00</w:t>
            </w: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领队会议</w:t>
            </w: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r>
      <w:tr>
        <w:tblPrEx>
          <w:tblLayout w:type="fixed"/>
          <w:tblCellMar>
            <w:top w:w="0" w:type="dxa"/>
            <w:left w:w="108" w:type="dxa"/>
            <w:bottom w:w="0" w:type="dxa"/>
            <w:right w:w="108" w:type="dxa"/>
          </w:tblCellMar>
        </w:tblPrEx>
        <w:trPr>
          <w:trHeight w:val="20" w:hRule="atLeast"/>
          <w:jc w:val="center"/>
        </w:trPr>
        <w:tc>
          <w:tcPr>
            <w:tcW w:w="2130" w:type="dxa"/>
            <w:vMerge w:val="restart"/>
            <w:tcBorders>
              <w:top w:val="nil"/>
              <w:left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比赛当天</w:t>
            </w:r>
          </w:p>
        </w:tc>
        <w:tc>
          <w:tcPr>
            <w:tcW w:w="2130"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仿宋"/>
                <w:kern w:val="2"/>
                <w:sz w:val="32"/>
                <w:szCs w:val="32"/>
              </w:rPr>
            </w:pPr>
            <w:r>
              <w:rPr>
                <w:rFonts w:ascii="仿宋" w:hAnsi="仿宋" w:eastAsia="仿宋" w:cs="仿宋"/>
                <w:kern w:val="2"/>
                <w:sz w:val="32"/>
                <w:szCs w:val="32"/>
              </w:rPr>
              <w:t>7:30-7:45</w:t>
            </w:r>
          </w:p>
        </w:tc>
        <w:tc>
          <w:tcPr>
            <w:tcW w:w="2131" w:type="dxa"/>
            <w:vMerge w:val="restart"/>
            <w:tcBorders>
              <w:top w:val="nil"/>
              <w:left w:val="single" w:color="auto" w:sz="8" w:space="0"/>
              <w:bottom w:val="single" w:color="000000"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比赛事项</w:t>
            </w: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检录、抽签</w:t>
            </w:r>
          </w:p>
        </w:tc>
      </w:tr>
      <w:tr>
        <w:tblPrEx>
          <w:tblLayout w:type="fixed"/>
          <w:tblCellMar>
            <w:top w:w="0" w:type="dxa"/>
            <w:left w:w="108" w:type="dxa"/>
            <w:bottom w:w="0" w:type="dxa"/>
            <w:right w:w="108" w:type="dxa"/>
          </w:tblCellMar>
        </w:tblPrEx>
        <w:trPr>
          <w:trHeight w:val="20" w:hRule="atLeast"/>
          <w:jc w:val="center"/>
        </w:trPr>
        <w:tc>
          <w:tcPr>
            <w:tcW w:w="2130" w:type="dxa"/>
            <w:vMerge w:val="continue"/>
            <w:tcBorders>
              <w:left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c>
          <w:tcPr>
            <w:tcW w:w="2130"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仿宋"/>
                <w:kern w:val="2"/>
                <w:sz w:val="32"/>
                <w:szCs w:val="32"/>
              </w:rPr>
            </w:pPr>
            <w:r>
              <w:rPr>
                <w:rFonts w:ascii="仿宋" w:hAnsi="仿宋" w:eastAsia="仿宋" w:cs="仿宋"/>
                <w:kern w:val="2"/>
                <w:sz w:val="32"/>
                <w:szCs w:val="32"/>
              </w:rPr>
              <w:t>7:45-7:55</w:t>
            </w:r>
          </w:p>
        </w:tc>
        <w:tc>
          <w:tcPr>
            <w:tcW w:w="2131" w:type="dxa"/>
            <w:vMerge w:val="continue"/>
            <w:tcBorders>
              <w:top w:val="nil"/>
              <w:left w:val="single" w:color="auto" w:sz="8" w:space="0"/>
              <w:bottom w:val="single" w:color="000000" w:sz="8" w:space="0"/>
              <w:right w:val="single" w:color="auto" w:sz="8" w:space="0"/>
            </w:tcBorders>
            <w:vAlign w:val="center"/>
          </w:tcPr>
          <w:p>
            <w:pPr>
              <w:pStyle w:val="19"/>
              <w:spacing w:line="360" w:lineRule="auto"/>
              <w:outlineLvl w:val="2"/>
              <w:rPr>
                <w:rFonts w:ascii="仿宋" w:hAnsi="仿宋" w:eastAsia="仿宋" w:cs="仿宋"/>
                <w:kern w:val="2"/>
                <w:sz w:val="32"/>
                <w:szCs w:val="32"/>
              </w:rPr>
            </w:pP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参赛队就位并领取比赛任务</w:t>
            </w:r>
          </w:p>
        </w:tc>
      </w:tr>
      <w:tr>
        <w:tblPrEx>
          <w:tblLayout w:type="fixed"/>
          <w:tblCellMar>
            <w:top w:w="0" w:type="dxa"/>
            <w:left w:w="108" w:type="dxa"/>
            <w:bottom w:w="0" w:type="dxa"/>
            <w:right w:w="108" w:type="dxa"/>
          </w:tblCellMar>
        </w:tblPrEx>
        <w:trPr>
          <w:trHeight w:val="20" w:hRule="atLeast"/>
          <w:jc w:val="center"/>
        </w:trPr>
        <w:tc>
          <w:tcPr>
            <w:tcW w:w="2130" w:type="dxa"/>
            <w:vMerge w:val="continue"/>
            <w:tcBorders>
              <w:left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c>
          <w:tcPr>
            <w:tcW w:w="2130"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ascii="仿宋" w:hAnsi="仿宋" w:eastAsia="仿宋" w:cs="仿宋"/>
                <w:sz w:val="32"/>
                <w:szCs w:val="32"/>
              </w:rPr>
              <w:t>8</w:t>
            </w:r>
            <w:r>
              <w:rPr>
                <w:rFonts w:ascii="仿宋" w:hAnsi="仿宋" w:eastAsia="仿宋" w:cs="仿宋"/>
                <w:kern w:val="2"/>
                <w:sz w:val="32"/>
                <w:szCs w:val="32"/>
              </w:rPr>
              <w:t>:</w:t>
            </w:r>
            <w:r>
              <w:rPr>
                <w:rFonts w:ascii="仿宋" w:hAnsi="仿宋" w:eastAsia="仿宋" w:cs="仿宋"/>
                <w:sz w:val="32"/>
                <w:szCs w:val="32"/>
              </w:rPr>
              <w:t>00-1</w:t>
            </w:r>
            <w:r>
              <w:rPr>
                <w:rFonts w:hint="eastAsia" w:ascii="仿宋" w:hAnsi="仿宋" w:eastAsia="仿宋" w:cs="仿宋"/>
                <w:sz w:val="32"/>
                <w:szCs w:val="32"/>
              </w:rPr>
              <w:t>1</w:t>
            </w:r>
            <w:r>
              <w:rPr>
                <w:rFonts w:ascii="仿宋" w:hAnsi="仿宋" w:eastAsia="仿宋" w:cs="仿宋"/>
                <w:sz w:val="32"/>
                <w:szCs w:val="32"/>
              </w:rPr>
              <w:t>:</w:t>
            </w:r>
            <w:r>
              <w:rPr>
                <w:rFonts w:hint="eastAsia" w:ascii="仿宋" w:hAnsi="仿宋" w:eastAsia="仿宋" w:cs="仿宋"/>
                <w:sz w:val="32"/>
                <w:szCs w:val="32"/>
                <w:lang w:val="en-US" w:eastAsia="zh-CN"/>
              </w:rPr>
              <w:t>3</w:t>
            </w:r>
            <w:r>
              <w:rPr>
                <w:rFonts w:ascii="仿宋" w:hAnsi="仿宋" w:eastAsia="仿宋" w:cs="仿宋"/>
                <w:sz w:val="32"/>
                <w:szCs w:val="32"/>
              </w:rPr>
              <w:t>0</w:t>
            </w:r>
          </w:p>
        </w:tc>
        <w:tc>
          <w:tcPr>
            <w:tcW w:w="2131" w:type="dxa"/>
            <w:vMerge w:val="continue"/>
            <w:tcBorders>
              <w:top w:val="nil"/>
              <w:left w:val="single" w:color="auto" w:sz="8" w:space="0"/>
              <w:bottom w:val="single" w:color="000000"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竞赛</w:t>
            </w:r>
            <w:r>
              <w:rPr>
                <w:rFonts w:hint="eastAsia" w:ascii="仿宋" w:hAnsi="仿宋" w:eastAsia="仿宋" w:cs="仿宋"/>
                <w:kern w:val="2"/>
                <w:sz w:val="32"/>
                <w:szCs w:val="32"/>
                <w:lang w:val="en-US" w:eastAsia="zh-CN"/>
              </w:rPr>
              <w:t>(一组)</w:t>
            </w:r>
          </w:p>
        </w:tc>
      </w:tr>
      <w:tr>
        <w:tblPrEx>
          <w:tblLayout w:type="fixed"/>
          <w:tblCellMar>
            <w:top w:w="0" w:type="dxa"/>
            <w:left w:w="108" w:type="dxa"/>
            <w:bottom w:w="0" w:type="dxa"/>
            <w:right w:w="108" w:type="dxa"/>
          </w:tblCellMar>
        </w:tblPrEx>
        <w:trPr>
          <w:trHeight w:val="20" w:hRule="atLeast"/>
          <w:jc w:val="center"/>
        </w:trPr>
        <w:tc>
          <w:tcPr>
            <w:tcW w:w="2130" w:type="dxa"/>
            <w:vMerge w:val="continue"/>
            <w:tcBorders>
              <w:left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c>
          <w:tcPr>
            <w:tcW w:w="2130" w:type="dxa"/>
            <w:tcBorders>
              <w:top w:val="nil"/>
              <w:left w:val="nil"/>
              <w:bottom w:val="single" w:color="auto" w:sz="8" w:space="0"/>
              <w:right w:val="single" w:color="auto" w:sz="8" w:space="0"/>
            </w:tcBorders>
            <w:vAlign w:val="center"/>
          </w:tcPr>
          <w:p>
            <w:pPr>
              <w:pStyle w:val="19"/>
              <w:spacing w:line="360" w:lineRule="auto"/>
              <w:outlineLvl w:val="2"/>
              <w:rPr>
                <w:rFonts w:hint="eastAsia" w:ascii="仿宋" w:hAnsi="仿宋" w:eastAsia="仿宋" w:cs="仿宋"/>
                <w:sz w:val="32"/>
                <w:szCs w:val="32"/>
                <w:lang w:eastAsia="zh-CN"/>
              </w:rPr>
            </w:pPr>
            <w:r>
              <w:rPr>
                <w:rFonts w:hint="eastAsia" w:ascii="仿宋" w:hAnsi="仿宋" w:eastAsia="仿宋" w:cs="仿宋"/>
                <w:sz w:val="32"/>
                <w:szCs w:val="32"/>
                <w:lang w:val="en-US" w:eastAsia="zh-CN"/>
              </w:rPr>
              <w:t>12:00-15:30</w:t>
            </w:r>
          </w:p>
        </w:tc>
        <w:tc>
          <w:tcPr>
            <w:tcW w:w="2131" w:type="dxa"/>
            <w:vMerge w:val="continue"/>
            <w:tcBorders>
              <w:top w:val="nil"/>
              <w:left w:val="single" w:color="auto" w:sz="8" w:space="0"/>
              <w:bottom w:val="single" w:color="000000"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竞赛</w:t>
            </w:r>
            <w:r>
              <w:rPr>
                <w:rFonts w:hint="eastAsia" w:ascii="仿宋" w:hAnsi="仿宋" w:eastAsia="仿宋" w:cs="仿宋"/>
                <w:kern w:val="2"/>
                <w:sz w:val="32"/>
                <w:szCs w:val="32"/>
                <w:lang w:eastAsia="zh-CN"/>
              </w:rPr>
              <w:t>（二组）</w:t>
            </w:r>
          </w:p>
        </w:tc>
      </w:tr>
      <w:tr>
        <w:tblPrEx>
          <w:tblLayout w:type="fixed"/>
          <w:tblCellMar>
            <w:top w:w="0" w:type="dxa"/>
            <w:left w:w="108" w:type="dxa"/>
            <w:bottom w:w="0" w:type="dxa"/>
            <w:right w:w="108" w:type="dxa"/>
          </w:tblCellMar>
        </w:tblPrEx>
        <w:trPr>
          <w:trHeight w:val="20" w:hRule="atLeast"/>
          <w:jc w:val="center"/>
        </w:trPr>
        <w:tc>
          <w:tcPr>
            <w:tcW w:w="2130" w:type="dxa"/>
            <w:vMerge w:val="continue"/>
            <w:tcBorders>
              <w:left w:val="single" w:color="auto" w:sz="8" w:space="0"/>
              <w:bottom w:val="single" w:color="000000"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c>
          <w:tcPr>
            <w:tcW w:w="2130"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仿宋"/>
                <w:sz w:val="32"/>
                <w:szCs w:val="32"/>
              </w:rPr>
            </w:pPr>
            <w:r>
              <w:rPr>
                <w:rFonts w:ascii="仿宋" w:hAnsi="仿宋" w:eastAsia="仿宋" w:cs="仿宋"/>
                <w:sz w:val="32"/>
                <w:szCs w:val="32"/>
              </w:rPr>
              <w:t>17:00</w:t>
            </w:r>
          </w:p>
        </w:tc>
        <w:tc>
          <w:tcPr>
            <w:tcW w:w="2131" w:type="dxa"/>
            <w:tcBorders>
              <w:top w:val="nil"/>
              <w:left w:val="single" w:color="auto" w:sz="8" w:space="0"/>
              <w:bottom w:val="single" w:color="000000"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p>
        </w:tc>
        <w:tc>
          <w:tcPr>
            <w:tcW w:w="2131" w:type="dxa"/>
            <w:tcBorders>
              <w:top w:val="nil"/>
              <w:left w:val="nil"/>
              <w:bottom w:val="single" w:color="auto" w:sz="8" w:space="0"/>
              <w:right w:val="single" w:color="auto" w:sz="8" w:space="0"/>
            </w:tcBorders>
            <w:vAlign w:val="center"/>
          </w:tcPr>
          <w:p>
            <w:pPr>
              <w:pStyle w:val="19"/>
              <w:spacing w:line="360" w:lineRule="auto"/>
              <w:outlineLvl w:val="2"/>
              <w:rPr>
                <w:rFonts w:ascii="仿宋" w:hAnsi="仿宋" w:eastAsia="仿宋" w:cs="Times New Roman"/>
                <w:kern w:val="2"/>
                <w:sz w:val="32"/>
                <w:szCs w:val="32"/>
              </w:rPr>
            </w:pPr>
            <w:r>
              <w:rPr>
                <w:rFonts w:hint="eastAsia" w:ascii="仿宋" w:hAnsi="仿宋" w:eastAsia="仿宋" w:cs="仿宋"/>
                <w:kern w:val="2"/>
                <w:sz w:val="32"/>
                <w:szCs w:val="32"/>
              </w:rPr>
              <w:t>宣布竞赛成绩</w:t>
            </w:r>
          </w:p>
        </w:tc>
      </w:tr>
    </w:tbl>
    <w:p>
      <w:pPr>
        <w:spacing w:line="360" w:lineRule="auto"/>
        <w:ind w:firstLine="560" w:firstLineChars="200"/>
        <w:outlineLvl w:val="2"/>
        <w:rPr>
          <w:rFonts w:hint="eastAsia" w:ascii="仿宋_GB2312" w:eastAsia="仿宋_GB2312"/>
          <w:color w:val="000000" w:themeColor="text1"/>
          <w:sz w:val="28"/>
          <w:szCs w:val="28"/>
          <w14:textFill>
            <w14:solidFill>
              <w14:schemeClr w14:val="tx1"/>
            </w14:solidFill>
          </w14:textFill>
        </w:rPr>
      </w:pPr>
    </w:p>
    <w:p>
      <w:pPr>
        <w:spacing w:line="360" w:lineRule="auto"/>
        <w:ind w:firstLine="643" w:firstLineChars="200"/>
        <w:outlineLvl w:val="2"/>
        <w:rPr>
          <w:rFonts w:ascii="黑体" w:hAnsi="黑体" w:eastAsia="黑体"/>
          <w:b/>
          <w:bCs/>
          <w:sz w:val="32"/>
          <w:szCs w:val="32"/>
        </w:rPr>
      </w:pPr>
      <w:r>
        <w:rPr>
          <w:rFonts w:hint="eastAsia" w:ascii="黑体" w:hAnsi="黑体" w:eastAsia="黑体" w:cs="黑体"/>
          <w:b/>
          <w:bCs/>
          <w:sz w:val="32"/>
          <w:szCs w:val="32"/>
          <w:lang w:eastAsia="zh-CN"/>
        </w:rPr>
        <w:t>五</w:t>
      </w:r>
      <w:r>
        <w:rPr>
          <w:rFonts w:hint="eastAsia" w:ascii="黑体" w:hAnsi="黑体" w:eastAsia="黑体" w:cs="黑体"/>
          <w:b/>
          <w:bCs/>
          <w:sz w:val="32"/>
          <w:szCs w:val="32"/>
        </w:rPr>
        <w:t>、竞赛环境</w:t>
      </w:r>
    </w:p>
    <w:p>
      <w:pPr>
        <w:spacing w:line="360" w:lineRule="auto"/>
        <w:ind w:firstLine="640" w:firstLineChars="200"/>
        <w:outlineLvl w:val="2"/>
        <w:rPr>
          <w:rFonts w:ascii="仿宋" w:hAnsi="仿宋" w:eastAsia="仿宋"/>
          <w:sz w:val="32"/>
          <w:szCs w:val="32"/>
        </w:rPr>
      </w:pPr>
      <w:r>
        <w:rPr>
          <w:rFonts w:hint="eastAsia" w:ascii="仿宋" w:hAnsi="仿宋" w:eastAsia="仿宋" w:cs="仿宋"/>
          <w:sz w:val="32"/>
          <w:szCs w:val="32"/>
        </w:rPr>
        <w:t>赛场每个工位内设有操作平台并配备220伏电源，工位内的电缆线应符合安全要求。每间竞赛工位面积9～10㎡，以确保参赛队之间互不干扰。竞赛工位标明工位号，并配备竞赛平台和技术工作要求的软、硬件。环境标准要求保证赛场采光(大于500lux)、照明和通风良好，每支参赛队提供一个垃圾箱。</w:t>
      </w:r>
    </w:p>
    <w:p>
      <w:pPr>
        <w:spacing w:line="360" w:lineRule="auto"/>
        <w:ind w:firstLine="643" w:firstLineChars="200"/>
        <w:outlineLvl w:val="2"/>
        <w:rPr>
          <w:rFonts w:ascii="黑体" w:hAnsi="黑体" w:eastAsia="黑体"/>
          <w:b/>
          <w:bCs/>
          <w:sz w:val="32"/>
          <w:szCs w:val="32"/>
        </w:rPr>
      </w:pPr>
      <w:r>
        <w:rPr>
          <w:rFonts w:hint="eastAsia" w:ascii="黑体" w:hAnsi="黑体" w:eastAsia="黑体" w:cs="黑体"/>
          <w:b/>
          <w:bCs/>
          <w:sz w:val="32"/>
          <w:szCs w:val="32"/>
          <w:lang w:eastAsia="zh-CN"/>
        </w:rPr>
        <w:t>六</w:t>
      </w:r>
      <w:r>
        <w:rPr>
          <w:rFonts w:hint="eastAsia" w:ascii="黑体" w:hAnsi="黑体" w:eastAsia="黑体" w:cs="黑体"/>
          <w:b/>
          <w:bCs/>
          <w:sz w:val="32"/>
          <w:szCs w:val="32"/>
        </w:rPr>
        <w:t>、技术规范</w:t>
      </w:r>
    </w:p>
    <w:p>
      <w:pPr>
        <w:spacing w:line="560" w:lineRule="exact"/>
        <w:ind w:firstLine="560" w:firstLineChars="200"/>
        <w:rPr>
          <w:rFonts w:ascii="仿宋_GB2312" w:eastAsia="仿宋_GB2312"/>
          <w:color w:val="000000" w:themeColor="text1"/>
          <w:sz w:val="28"/>
          <w:szCs w:val="30"/>
          <w14:textFill>
            <w14:solidFill>
              <w14:schemeClr w14:val="tx1"/>
            </w14:solidFill>
          </w14:textFill>
        </w:rPr>
      </w:pPr>
      <w:r>
        <w:rPr>
          <w:rFonts w:hint="eastAsia" w:ascii="仿宋_GB2312" w:eastAsia="仿宋_GB2312"/>
          <w:color w:val="000000" w:themeColor="text1"/>
          <w:sz w:val="28"/>
          <w:szCs w:val="30"/>
          <w14:textFill>
            <w14:solidFill>
              <w14:schemeClr w14:val="tx1"/>
            </w14:solidFill>
          </w14:textFill>
        </w:rPr>
        <w:t>参赛代表队在实施竞赛项目时要求遵循如下规范：</w:t>
      </w:r>
    </w:p>
    <w:tbl>
      <w:tblPr>
        <w:tblStyle w:val="10"/>
        <w:tblW w:w="8831" w:type="dxa"/>
        <w:tblInd w:w="9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07"/>
        <w:gridCol w:w="2891"/>
        <w:gridCol w:w="503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03" w:hRule="atLeast"/>
        </w:trPr>
        <w:tc>
          <w:tcPr>
            <w:tcW w:w="907" w:type="dxa"/>
            <w:vAlign w:val="center"/>
          </w:tcPr>
          <w:p>
            <w:pPr>
              <w:tabs>
                <w:tab w:val="left" w:pos="2160"/>
              </w:tabs>
              <w:ind w:firstLine="14" w:firstLineChars="6"/>
              <w:jc w:val="center"/>
              <w:rPr>
                <w:rFonts w:ascii="仿宋_GB2312" w:eastAsia="仿宋_GB2312"/>
                <w:b/>
                <w:bCs/>
                <w:color w:val="000000" w:themeColor="text1"/>
                <w:sz w:val="24"/>
                <w14:textFill>
                  <w14:solidFill>
                    <w14:schemeClr w14:val="tx1"/>
                  </w14:solidFill>
                </w14:textFill>
              </w:rPr>
            </w:pPr>
            <w:r>
              <w:rPr>
                <w:rFonts w:hint="eastAsia" w:ascii="仿宋_GB2312" w:eastAsia="仿宋_GB2312"/>
                <w:b/>
                <w:bCs/>
                <w:color w:val="000000" w:themeColor="text1"/>
                <w:sz w:val="24"/>
                <w14:textFill>
                  <w14:solidFill>
                    <w14:schemeClr w14:val="tx1"/>
                  </w14:solidFill>
                </w14:textFill>
              </w:rPr>
              <w:t>序号</w:t>
            </w:r>
          </w:p>
        </w:tc>
        <w:tc>
          <w:tcPr>
            <w:tcW w:w="2891" w:type="dxa"/>
            <w:vAlign w:val="center"/>
          </w:tcPr>
          <w:p>
            <w:pPr>
              <w:tabs>
                <w:tab w:val="left" w:pos="2160"/>
              </w:tabs>
              <w:ind w:firstLine="14" w:firstLineChars="6"/>
              <w:jc w:val="center"/>
              <w:rPr>
                <w:rFonts w:ascii="仿宋_GB2312" w:eastAsia="仿宋_GB2312"/>
                <w:b/>
                <w:bCs/>
                <w:color w:val="000000" w:themeColor="text1"/>
                <w:sz w:val="24"/>
                <w14:textFill>
                  <w14:solidFill>
                    <w14:schemeClr w14:val="tx1"/>
                  </w14:solidFill>
                </w14:textFill>
              </w:rPr>
            </w:pPr>
            <w:r>
              <w:rPr>
                <w:rFonts w:hint="eastAsia" w:ascii="仿宋_GB2312" w:eastAsia="仿宋_GB2312"/>
                <w:b/>
                <w:bCs/>
                <w:color w:val="000000" w:themeColor="text1"/>
                <w:sz w:val="24"/>
                <w14:textFill>
                  <w14:solidFill>
                    <w14:schemeClr w14:val="tx1"/>
                  </w14:solidFill>
                </w14:textFill>
              </w:rPr>
              <w:t>标准号/规范简称</w:t>
            </w:r>
          </w:p>
        </w:tc>
        <w:tc>
          <w:tcPr>
            <w:tcW w:w="5033" w:type="dxa"/>
            <w:vAlign w:val="center"/>
          </w:tcPr>
          <w:p>
            <w:pPr>
              <w:tabs>
                <w:tab w:val="left" w:pos="2160"/>
              </w:tabs>
              <w:ind w:firstLine="14" w:firstLineChars="6"/>
              <w:jc w:val="center"/>
              <w:rPr>
                <w:rFonts w:ascii="仿宋_GB2312" w:eastAsia="仿宋_GB2312"/>
                <w:b/>
                <w:bCs/>
                <w:color w:val="000000" w:themeColor="text1"/>
                <w:sz w:val="24"/>
                <w14:textFill>
                  <w14:solidFill>
                    <w14:schemeClr w14:val="tx1"/>
                  </w14:solidFill>
                </w14:textFill>
              </w:rPr>
            </w:pPr>
            <w:r>
              <w:rPr>
                <w:rFonts w:hint="eastAsia" w:ascii="仿宋_GB2312" w:eastAsia="仿宋_GB2312"/>
                <w:b/>
                <w:bCs/>
                <w:color w:val="000000" w:themeColor="text1"/>
                <w:sz w:val="24"/>
                <w14:textFill>
                  <w14:solidFill>
                    <w14:schemeClr w14:val="tx1"/>
                  </w14:solidFill>
                </w14:textFill>
              </w:rPr>
              <w:t>名称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70"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891" w:type="dxa"/>
            <w:vAlign w:val="center"/>
          </w:tcPr>
          <w:p>
            <w:pPr>
              <w:tabs>
                <w:tab w:val="left" w:pos="2160"/>
              </w:tabs>
              <w:ind w:firstLine="12" w:firstLineChars="6"/>
              <w:jc w:val="left"/>
              <w:rPr>
                <w:rFonts w:ascii="仿宋_GB2312" w:eastAsia="仿宋_GB2312"/>
                <w:color w:val="000000" w:themeColor="text1"/>
                <w:sz w:val="24"/>
                <w14:textFill>
                  <w14:solidFill>
                    <w14:schemeClr w14:val="tx1"/>
                  </w14:solidFill>
                </w14:textFill>
              </w:rPr>
            </w:pPr>
            <w:r>
              <w:fldChar w:fldCharType="begin"/>
            </w:r>
            <w:r>
              <w:instrText xml:space="preserve"> HYPERLINK "http://www.chinabyte.com/keyword/ISO/" \t "http://cio.chinabyte.com/277/_blank" </w:instrText>
            </w:r>
            <w:r>
              <w:fldChar w:fldCharType="separate"/>
            </w:r>
            <w:r>
              <w:rPr>
                <w:rFonts w:hint="eastAsia" w:ascii="仿宋_GB2312" w:eastAsia="仿宋_GB2312"/>
                <w:color w:val="000000" w:themeColor="text1"/>
                <w:sz w:val="24"/>
                <w14:textFill>
                  <w14:solidFill>
                    <w14:schemeClr w14:val="tx1"/>
                  </w14:solidFill>
                </w14:textFill>
              </w:rPr>
              <w:t>ISO</w:t>
            </w:r>
            <w:r>
              <w:rPr>
                <w:rFonts w:hint="eastAsia" w:ascii="仿宋_GB2312" w:eastAsia="仿宋_GB2312"/>
                <w:color w:val="000000" w:themeColor="text1"/>
                <w:sz w:val="24"/>
                <w14:textFill>
                  <w14:solidFill>
                    <w14:schemeClr w14:val="tx1"/>
                  </w14:solidFill>
                </w14:textFill>
              </w:rPr>
              <w:fldChar w:fldCharType="end"/>
            </w:r>
            <w:r>
              <w:rPr>
                <w:rFonts w:hint="eastAsia" w:ascii="仿宋_GB2312" w:eastAsia="仿宋_GB2312"/>
                <w:color w:val="000000" w:themeColor="text1"/>
                <w:sz w:val="24"/>
                <w14:textFill>
                  <w14:solidFill>
                    <w14:schemeClr w14:val="tx1"/>
                  </w14:solidFill>
                </w14:textFill>
              </w:rPr>
              <w:t>/IEC 17788:2014</w:t>
            </w:r>
          </w:p>
        </w:tc>
        <w:tc>
          <w:tcPr>
            <w:tcW w:w="5033" w:type="dxa"/>
            <w:vAlign w:val="center"/>
          </w:tcPr>
          <w:p>
            <w:pPr>
              <w:tabs>
                <w:tab w:val="left" w:pos="2160"/>
              </w:tabs>
              <w:ind w:left="2"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信息技术 云计算 概述和词汇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92"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2</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ISO/IEC 17789:2014</w:t>
            </w:r>
          </w:p>
        </w:tc>
        <w:tc>
          <w:tcPr>
            <w:tcW w:w="5033" w:type="dxa"/>
            <w:vAlign w:val="center"/>
          </w:tcPr>
          <w:p>
            <w:pPr>
              <w:tabs>
                <w:tab w:val="left" w:pos="2160"/>
              </w:tabs>
              <w:ind w:left="2"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信息技术 云计算 参考架构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94"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3</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GB/T 31167-2014</w:t>
            </w:r>
          </w:p>
        </w:tc>
        <w:tc>
          <w:tcPr>
            <w:tcW w:w="5033" w:type="dxa"/>
            <w:vAlign w:val="center"/>
          </w:tcPr>
          <w:p>
            <w:pPr>
              <w:tabs>
                <w:tab w:val="left" w:pos="2160"/>
              </w:tabs>
              <w:ind w:left="2"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云计算服务安全指南</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94"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4</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YD/T 2542-2013</w:t>
            </w:r>
          </w:p>
        </w:tc>
        <w:tc>
          <w:tcPr>
            <w:tcW w:w="5033" w:type="dxa"/>
            <w:vAlign w:val="center"/>
          </w:tcPr>
          <w:p>
            <w:pPr>
              <w:tabs>
                <w:tab w:val="left" w:pos="2160"/>
              </w:tabs>
              <w:ind w:left="2"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电信互联网数据中心（IDC）总体技术要求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792"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5</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YD/T 2441-2013</w:t>
            </w:r>
          </w:p>
        </w:tc>
        <w:tc>
          <w:tcPr>
            <w:tcW w:w="5033" w:type="dxa"/>
            <w:vAlign w:val="center"/>
          </w:tcPr>
          <w:p>
            <w:pPr>
              <w:tabs>
                <w:tab w:val="left" w:pos="2160"/>
              </w:tabs>
              <w:ind w:left="2"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互联网数据中心技术及分级分类标准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94"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6</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YD/T 2442-2013</w:t>
            </w:r>
          </w:p>
        </w:tc>
        <w:tc>
          <w:tcPr>
            <w:tcW w:w="5033" w:type="dxa"/>
            <w:vAlign w:val="center"/>
          </w:tcPr>
          <w:p>
            <w:pPr>
              <w:tabs>
                <w:tab w:val="left" w:pos="2160"/>
              </w:tabs>
              <w:ind w:left="2"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互联网数据中心资源占用、能效及排放技术要求和评测方法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94"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7</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YD/T 2543-2013</w:t>
            </w:r>
          </w:p>
        </w:tc>
        <w:tc>
          <w:tcPr>
            <w:tcW w:w="5033" w:type="dxa"/>
            <w:vAlign w:val="center"/>
          </w:tcPr>
          <w:p>
            <w:pPr>
              <w:tabs>
                <w:tab w:val="left" w:pos="2160"/>
              </w:tabs>
              <w:ind w:left="2"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电信互联网数据中心（IDC）的能耗测评方法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96"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8</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 xml:space="preserve">DMTF OVF </w:t>
            </w:r>
          </w:p>
        </w:tc>
        <w:tc>
          <w:tcPr>
            <w:tcW w:w="5033"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Open Virtualization Format 2.0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92"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9</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SNIA CDMI</w:t>
            </w:r>
          </w:p>
        </w:tc>
        <w:tc>
          <w:tcPr>
            <w:tcW w:w="5033"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Cloud Data Management Interface 1.0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94" w:hRule="atLeast"/>
        </w:trPr>
        <w:tc>
          <w:tcPr>
            <w:tcW w:w="907" w:type="dxa"/>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10</w:t>
            </w:r>
          </w:p>
        </w:tc>
        <w:tc>
          <w:tcPr>
            <w:tcW w:w="2891"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OGF OCCI</w:t>
            </w:r>
          </w:p>
        </w:tc>
        <w:tc>
          <w:tcPr>
            <w:tcW w:w="5033" w:type="dxa"/>
            <w:vAlign w:val="center"/>
          </w:tcPr>
          <w:p>
            <w:pPr>
              <w:tabs>
                <w:tab w:val="left" w:pos="2160"/>
              </w:tabs>
              <w:ind w:firstLine="14" w:firstLineChars="6"/>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Open Cloud Computing Interface</w:t>
            </w:r>
          </w:p>
        </w:tc>
      </w:tr>
    </w:tbl>
    <w:p>
      <w:pPr>
        <w:spacing w:line="360" w:lineRule="auto"/>
        <w:ind w:firstLine="640" w:firstLineChars="200"/>
        <w:outlineLvl w:val="2"/>
        <w:rPr>
          <w:rFonts w:ascii="仿宋" w:hAnsi="仿宋" w:eastAsia="仿宋"/>
          <w:sz w:val="32"/>
          <w:szCs w:val="32"/>
        </w:rPr>
      </w:pPr>
    </w:p>
    <w:p>
      <w:pPr>
        <w:spacing w:line="360" w:lineRule="auto"/>
        <w:ind w:firstLine="643" w:firstLineChars="200"/>
        <w:outlineLvl w:val="2"/>
        <w:rPr>
          <w:rFonts w:ascii="黑体" w:hAnsi="黑体" w:eastAsia="黑体" w:cs="黑体"/>
          <w:b/>
          <w:bCs/>
          <w:sz w:val="32"/>
          <w:szCs w:val="32"/>
        </w:rPr>
      </w:pPr>
      <w:r>
        <w:rPr>
          <w:rFonts w:hint="eastAsia" w:ascii="黑体" w:hAnsi="黑体" w:eastAsia="黑体" w:cs="黑体"/>
          <w:b/>
          <w:bCs/>
          <w:sz w:val="32"/>
          <w:szCs w:val="32"/>
          <w:lang w:eastAsia="zh-CN"/>
        </w:rPr>
        <w:t>七</w:t>
      </w:r>
      <w:r>
        <w:rPr>
          <w:rFonts w:hint="eastAsia" w:ascii="黑体" w:hAnsi="黑体" w:eastAsia="黑体" w:cs="黑体"/>
          <w:b/>
          <w:bCs/>
          <w:sz w:val="32"/>
          <w:szCs w:val="32"/>
        </w:rPr>
        <w:t>、</w:t>
      </w:r>
      <w:r>
        <w:rPr>
          <w:rFonts w:ascii="黑体" w:hAnsi="黑体" w:eastAsia="黑体" w:cs="黑体"/>
          <w:b/>
          <w:bCs/>
          <w:sz w:val="32"/>
          <w:szCs w:val="32"/>
        </w:rPr>
        <w:t xml:space="preserve"> </w:t>
      </w:r>
      <w:r>
        <w:rPr>
          <w:rFonts w:hint="eastAsia" w:ascii="黑体" w:hAnsi="黑体" w:eastAsia="黑体" w:cs="黑体"/>
          <w:b/>
          <w:bCs/>
          <w:sz w:val="32"/>
          <w:szCs w:val="32"/>
        </w:rPr>
        <w:t>技术平台</w:t>
      </w:r>
    </w:p>
    <w:tbl>
      <w:tblPr>
        <w:tblStyle w:val="10"/>
        <w:tblW w:w="8375" w:type="dxa"/>
        <w:jc w:val="center"/>
        <w:tblInd w:w="0" w:type="dxa"/>
        <w:tblLayout w:type="fixed"/>
        <w:tblCellMar>
          <w:top w:w="0" w:type="dxa"/>
          <w:left w:w="15" w:type="dxa"/>
          <w:bottom w:w="0" w:type="dxa"/>
          <w:right w:w="15" w:type="dxa"/>
        </w:tblCellMar>
      </w:tblPr>
      <w:tblGrid>
        <w:gridCol w:w="2142"/>
        <w:gridCol w:w="2409"/>
        <w:gridCol w:w="851"/>
        <w:gridCol w:w="2973"/>
      </w:tblGrid>
      <w:tr>
        <w:tblPrEx>
          <w:tblLayout w:type="fixed"/>
          <w:tblCellMar>
            <w:top w:w="0" w:type="dxa"/>
            <w:left w:w="15" w:type="dxa"/>
            <w:bottom w:w="0" w:type="dxa"/>
            <w:right w:w="15" w:type="dxa"/>
          </w:tblCellMar>
        </w:tblPrEx>
        <w:trPr>
          <w:trHeight w:val="432" w:hRule="atLeast"/>
          <w:jc w:val="center"/>
        </w:trPr>
        <w:tc>
          <w:tcPr>
            <w:tcW w:w="214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sz w:val="24"/>
                <w14:textFill>
                  <w14:solidFill>
                    <w14:schemeClr w14:val="tx1"/>
                  </w14:solidFill>
                </w14:textFill>
              </w:rPr>
              <w:t>序号</w:t>
            </w: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sz w:val="24"/>
                <w14:textFill>
                  <w14:solidFill>
                    <w14:schemeClr w14:val="tx1"/>
                  </w14:solidFill>
                </w14:textFill>
              </w:rPr>
              <w:t>设备名称</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sz w:val="24"/>
                <w14:textFill>
                  <w14:solidFill>
                    <w14:schemeClr w14:val="tx1"/>
                  </w14:solidFill>
                </w14:textFill>
              </w:rPr>
              <w:t>数量</w:t>
            </w:r>
          </w:p>
        </w:tc>
        <w:tc>
          <w:tcPr>
            <w:tcW w:w="297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sz w:val="24"/>
                <w14:textFill>
                  <w14:solidFill>
                    <w14:schemeClr w14:val="tx1"/>
                  </w14:solidFill>
                </w14:textFill>
              </w:rPr>
              <w:t>备注</w:t>
            </w:r>
          </w:p>
        </w:tc>
      </w:tr>
      <w:tr>
        <w:tblPrEx>
          <w:tblLayout w:type="fixed"/>
          <w:tblCellMar>
            <w:top w:w="0" w:type="dxa"/>
            <w:left w:w="15" w:type="dxa"/>
            <w:bottom w:w="0" w:type="dxa"/>
            <w:right w:w="15" w:type="dxa"/>
          </w:tblCellMar>
        </w:tblPrEx>
        <w:trPr>
          <w:trHeight w:val="361" w:hRule="atLeast"/>
          <w:jc w:val="center"/>
        </w:trPr>
        <w:tc>
          <w:tcPr>
            <w:tcW w:w="2142" w:type="dxa"/>
            <w:vMerge w:val="restart"/>
            <w:tcBorders>
              <w:top w:val="single" w:color="000000" w:sz="4" w:space="0"/>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云计算技术应用及服务平台（1组）</w:t>
            </w:r>
          </w:p>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（品牌：先电 型号： CLOUD-TR200）</w:t>
            </w: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路由交换模块</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tcBorders>
              <w:top w:val="single" w:color="000000" w:sz="4" w:space="0"/>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通用设备</w:t>
            </w:r>
          </w:p>
        </w:tc>
      </w:tr>
      <w:tr>
        <w:tblPrEx>
          <w:tblLayout w:type="fixed"/>
          <w:tblCellMar>
            <w:top w:w="0" w:type="dxa"/>
            <w:left w:w="15" w:type="dxa"/>
            <w:bottom w:w="0" w:type="dxa"/>
            <w:right w:w="15" w:type="dxa"/>
          </w:tblCellMar>
        </w:tblPrEx>
        <w:trPr>
          <w:trHeight w:val="410" w:hRule="atLeast"/>
          <w:jc w:val="center"/>
        </w:trPr>
        <w:tc>
          <w:tcPr>
            <w:tcW w:w="2142" w:type="dxa"/>
            <w:vMerge w:val="continue"/>
            <w:tcBorders>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计算节点服务器</w:t>
            </w:r>
          </w:p>
        </w:tc>
        <w:tc>
          <w:tcPr>
            <w:tcW w:w="851" w:type="dxa"/>
            <w:tcBorders>
              <w:top w:val="single" w:color="000000" w:sz="4" w:space="0"/>
              <w:left w:val="single" w:color="000000" w:sz="4" w:space="0"/>
              <w:bottom w:val="single" w:color="000000" w:sz="4" w:space="0"/>
              <w:right w:val="single" w:color="000000" w:sz="4" w:space="0"/>
            </w:tcBorders>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vMerge w:val="restart"/>
            <w:tcBorders>
              <w:top w:val="single" w:color="000000" w:sz="4" w:space="0"/>
              <w:left w:val="single" w:color="000000" w:sz="4" w:space="0"/>
              <w:right w:val="single" w:color="000000" w:sz="4" w:space="0"/>
            </w:tcBorders>
            <w:vAlign w:val="center"/>
          </w:tcPr>
          <w:p>
            <w:pPr>
              <w:autoSpaceDN w:val="0"/>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定制高密度云计算服务器（先电、55所）或其它主流品牌2U服务器</w:t>
            </w:r>
          </w:p>
        </w:tc>
      </w:tr>
      <w:tr>
        <w:tblPrEx>
          <w:tblLayout w:type="fixed"/>
          <w:tblCellMar>
            <w:top w:w="0" w:type="dxa"/>
            <w:left w:w="15" w:type="dxa"/>
            <w:bottom w:w="0" w:type="dxa"/>
            <w:right w:w="15" w:type="dxa"/>
          </w:tblCellMar>
        </w:tblPrEx>
        <w:trPr>
          <w:trHeight w:val="410" w:hRule="atLeast"/>
          <w:jc w:val="center"/>
        </w:trPr>
        <w:tc>
          <w:tcPr>
            <w:tcW w:w="2142" w:type="dxa"/>
            <w:vMerge w:val="continue"/>
            <w:tcBorders>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存储节点服务器</w:t>
            </w:r>
          </w:p>
        </w:tc>
        <w:tc>
          <w:tcPr>
            <w:tcW w:w="851" w:type="dxa"/>
            <w:tcBorders>
              <w:top w:val="single" w:color="000000" w:sz="4" w:space="0"/>
              <w:left w:val="single" w:color="000000" w:sz="4" w:space="0"/>
              <w:bottom w:val="single" w:color="000000" w:sz="4" w:space="0"/>
              <w:right w:val="single" w:color="000000" w:sz="4" w:space="0"/>
            </w:tcBorders>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vMerge w:val="continue"/>
            <w:tcBorders>
              <w:top w:val="single" w:color="000000" w:sz="4" w:space="0"/>
              <w:left w:val="single" w:color="000000" w:sz="4" w:space="0"/>
              <w:right w:val="single" w:color="000000" w:sz="4" w:space="0"/>
            </w:tcBorders>
            <w:vAlign w:val="center"/>
          </w:tcPr>
          <w:p>
            <w:pPr>
              <w:autoSpaceDN w:val="0"/>
              <w:textAlignment w:val="top"/>
              <w:rPr>
                <w:rFonts w:ascii="仿宋_GB2312" w:eastAsia="仿宋_GB2312"/>
                <w:color w:val="000000" w:themeColor="text1"/>
                <w:sz w:val="24"/>
                <w14:textFill>
                  <w14:solidFill>
                    <w14:schemeClr w14:val="tx1"/>
                  </w14:solidFill>
                </w14:textFill>
              </w:rPr>
            </w:pP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云基础架构平台</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整体架构分3层，最上层为应用程序和管理Portal（Horizon）、 API等接入层；</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核心层包括计算服务（Nova）、存储服务（包括对象存储服务Swift、块存储服务Cinder和网络服务（Neutron）；</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第3 层为共享服务，账户权限管理服务（keystone）、镜像服务（Glance）、监测服务（Ceilometer）和模板服务（Heat）。</w:t>
            </w: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云开发平台</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tcBorders>
              <w:top w:val="single" w:color="000000" w:sz="4" w:space="0"/>
              <w:left w:val="single" w:color="000000" w:sz="4" w:space="0"/>
              <w:bottom w:val="single" w:color="000000" w:sz="4" w:space="0"/>
              <w:right w:val="single" w:color="000000" w:sz="4" w:space="0"/>
            </w:tcBorders>
            <w:vAlign w:val="center"/>
          </w:tcPr>
          <w:p>
            <w:pPr>
              <w:autoSpaceDN w:val="0"/>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可构建、测试、部署和运行应用程序，支持Java, Ruby, Python, PHP, Perl 等众多语言环境和开发框架；</w:t>
            </w: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云计算安全框架</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tcBorders>
              <w:top w:val="single" w:color="000000" w:sz="4" w:space="0"/>
              <w:left w:val="single" w:color="000000" w:sz="4" w:space="0"/>
              <w:bottom w:val="single" w:color="000000" w:sz="4" w:space="0"/>
              <w:right w:val="single" w:color="000000" w:sz="4" w:space="0"/>
            </w:tcBorders>
            <w:vAlign w:val="center"/>
          </w:tcPr>
          <w:p>
            <w:pPr>
              <w:autoSpaceDN w:val="0"/>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云安全框架安全认证模块、数据加密模块</w:t>
            </w: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大数据平台</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包含分布式文件系统、并行运算、分布式数据库、数据挖掘和数据仓库</w:t>
            </w: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云网络平台</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tcBorders>
              <w:top w:val="single" w:color="000000" w:sz="4" w:space="0"/>
              <w:left w:val="single" w:color="000000" w:sz="4" w:space="0"/>
              <w:bottom w:val="single" w:color="000000" w:sz="4" w:space="0"/>
              <w:right w:val="single" w:color="000000" w:sz="4" w:space="0"/>
            </w:tcBorders>
            <w:vAlign w:val="center"/>
          </w:tcPr>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系统支持SDN软件定定义网络，支持可编程的平台，支持用户自定义管理网络。</w:t>
            </w:r>
          </w:p>
        </w:tc>
      </w:tr>
      <w:tr>
        <w:tblPrEx>
          <w:tblLayout w:type="fixed"/>
          <w:tblCellMar>
            <w:top w:w="0" w:type="dxa"/>
            <w:left w:w="15" w:type="dxa"/>
            <w:bottom w:w="0" w:type="dxa"/>
            <w:right w:w="15" w:type="dxa"/>
          </w:tblCellMar>
        </w:tblPrEx>
        <w:trPr>
          <w:trHeight w:val="480" w:hRule="atLeast"/>
          <w:jc w:val="center"/>
        </w:trPr>
        <w:tc>
          <w:tcPr>
            <w:tcW w:w="2142" w:type="dxa"/>
            <w:vMerge w:val="continue"/>
            <w:tcBorders>
              <w:left w:val="single" w:color="000000" w:sz="4" w:space="0"/>
              <w:bottom w:val="single" w:color="auto" w:sz="4" w:space="0"/>
              <w:right w:val="single" w:color="000000" w:sz="4" w:space="0"/>
            </w:tcBorders>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云应用开发框架</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973" w:type="dxa"/>
            <w:tcBorders>
              <w:top w:val="single" w:color="000000" w:sz="4" w:space="0"/>
              <w:left w:val="single" w:color="000000" w:sz="4" w:space="0"/>
              <w:bottom w:val="single" w:color="000000" w:sz="4" w:space="0"/>
              <w:right w:val="single" w:color="000000" w:sz="4" w:space="0"/>
            </w:tcBorders>
            <w:vAlign w:val="center"/>
          </w:tcPr>
          <w:p>
            <w:pPr>
              <w:ind w:left="-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提供采用Android移动云应用开发框架，基于框架扩展开发云存储客户端应用；</w:t>
            </w:r>
          </w:p>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Android移动云应用提供操作接口，包括:文件上传、下载、复制、删除等功能的APIs。</w:t>
            </w:r>
          </w:p>
        </w:tc>
      </w:tr>
      <w:tr>
        <w:tblPrEx>
          <w:tblLayout w:type="fixed"/>
          <w:tblCellMar>
            <w:top w:w="0" w:type="dxa"/>
            <w:left w:w="15" w:type="dxa"/>
            <w:bottom w:w="0" w:type="dxa"/>
            <w:right w:w="15" w:type="dxa"/>
          </w:tblCellMar>
        </w:tblPrEx>
        <w:trPr>
          <w:trHeight w:val="480" w:hRule="atLeast"/>
          <w:jc w:val="center"/>
        </w:trPr>
        <w:tc>
          <w:tcPr>
            <w:tcW w:w="2142" w:type="dxa"/>
            <w:tcBorders>
              <w:top w:val="single" w:color="auto" w:sz="4" w:space="0"/>
              <w:left w:val="single" w:color="000000" w:sz="4" w:space="0"/>
              <w:bottom w:val="single" w:color="000000" w:sz="4" w:space="0"/>
              <w:right w:val="single" w:color="000000" w:sz="4" w:space="0"/>
            </w:tcBorders>
          </w:tcPr>
          <w:p>
            <w:pPr>
              <w:autoSpaceDN w:val="0"/>
              <w:jc w:val="center"/>
              <w:textAlignment w:val="top"/>
              <w:rPr>
                <w:rFonts w:ascii="仿宋_GB2312" w:eastAsia="仿宋_GB2312"/>
                <w:color w:val="000000" w:themeColor="text1"/>
                <w:sz w:val="24"/>
                <w14:textFill>
                  <w14:solidFill>
                    <w14:schemeClr w14:val="tx1"/>
                  </w14:solidFill>
                </w14:textFill>
              </w:rPr>
            </w:pP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PC</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top"/>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3</w:t>
            </w:r>
          </w:p>
        </w:tc>
        <w:tc>
          <w:tcPr>
            <w:tcW w:w="2973" w:type="dxa"/>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赛场另外提供</w:t>
            </w:r>
          </w:p>
        </w:tc>
      </w:tr>
    </w:tbl>
    <w:p>
      <w:pPr>
        <w:spacing w:line="560" w:lineRule="exact"/>
        <w:ind w:firstLine="560" w:firstLineChars="200"/>
        <w:rPr>
          <w:rFonts w:ascii="仿宋_GB2312" w:eastAsia="仿宋_GB2312"/>
          <w:color w:val="000000" w:themeColor="text1"/>
          <w:sz w:val="28"/>
          <w:szCs w:val="30"/>
          <w14:textFill>
            <w14:solidFill>
              <w14:schemeClr w14:val="tx1"/>
            </w14:solidFill>
          </w14:textFill>
        </w:rPr>
      </w:pPr>
      <w:r>
        <w:rPr>
          <w:rFonts w:hint="eastAsia" w:ascii="仿宋_GB2312" w:eastAsia="仿宋_GB2312"/>
          <w:color w:val="000000" w:themeColor="text1"/>
          <w:sz w:val="28"/>
          <w:szCs w:val="30"/>
          <w14:textFill>
            <w14:solidFill>
              <w14:schemeClr w14:val="tx1"/>
            </w14:solidFill>
          </w14:textFill>
        </w:rPr>
        <w:t>本技术平台主要基于以Apache开放许可证授权开源云计算项目OpenStack，可管理主流的Hypervisor（VMware vSphere、微软Hyper-V、Citrix XenServer 、KVM、Xen、VirtualBSD）。目前已经成为国际主流的云平台，得到IBM、HP、微软、Dell、Intel、Redhat、思科、Oracle等大公司的支持和应用。</w:t>
      </w:r>
    </w:p>
    <w:p>
      <w:pPr>
        <w:spacing w:line="560" w:lineRule="exact"/>
        <w:ind w:firstLine="560" w:firstLineChars="200"/>
        <w:rPr>
          <w:rFonts w:ascii="仿宋_GB2312" w:eastAsia="仿宋_GB2312"/>
          <w:color w:val="000000" w:themeColor="text1"/>
          <w:sz w:val="28"/>
          <w:szCs w:val="30"/>
          <w14:textFill>
            <w14:solidFill>
              <w14:schemeClr w14:val="tx1"/>
            </w14:solidFill>
          </w14:textFill>
        </w:rPr>
      </w:pPr>
      <w:r>
        <w:rPr>
          <w:rFonts w:hint="eastAsia" w:ascii="仿宋_GB2312" w:eastAsia="仿宋_GB2312"/>
          <w:color w:val="000000" w:themeColor="text1"/>
          <w:sz w:val="28"/>
          <w:szCs w:val="30"/>
          <w14:textFill>
            <w14:solidFill>
              <w14:schemeClr w14:val="tx1"/>
            </w14:solidFill>
          </w14:textFill>
        </w:rPr>
        <w:t>国内已知的研发和应用单位有：华为、中科院计算所、中国电科28所、百度、新浪、京东、携程、爱奇艺、华胜天成等。</w:t>
      </w:r>
    </w:p>
    <w:p>
      <w:pPr>
        <w:spacing w:line="560" w:lineRule="exact"/>
        <w:ind w:firstLine="560" w:firstLineChars="200"/>
        <w:rPr>
          <w:rFonts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28"/>
          <w:szCs w:val="30"/>
          <w14:textFill>
            <w14:solidFill>
              <w14:schemeClr w14:val="tx1"/>
            </w14:solidFill>
          </w14:textFill>
        </w:rPr>
        <w:t>通用软件和工具清单：</w:t>
      </w:r>
    </w:p>
    <w:tbl>
      <w:tblPr>
        <w:tblStyle w:val="10"/>
        <w:tblW w:w="7484" w:type="dxa"/>
        <w:jc w:val="center"/>
        <w:tblInd w:w="0" w:type="dxa"/>
        <w:tblLayout w:type="fixed"/>
        <w:tblCellMar>
          <w:top w:w="0" w:type="dxa"/>
          <w:left w:w="108" w:type="dxa"/>
          <w:bottom w:w="0" w:type="dxa"/>
          <w:right w:w="108" w:type="dxa"/>
        </w:tblCellMar>
      </w:tblPr>
      <w:tblGrid>
        <w:gridCol w:w="826"/>
        <w:gridCol w:w="2719"/>
        <w:gridCol w:w="3939"/>
      </w:tblGrid>
      <w:tr>
        <w:tblPrEx>
          <w:tblLayout w:type="fixed"/>
          <w:tblCellMar>
            <w:top w:w="0" w:type="dxa"/>
            <w:left w:w="108" w:type="dxa"/>
            <w:bottom w:w="0" w:type="dxa"/>
            <w:right w:w="108" w:type="dxa"/>
          </w:tblCellMar>
        </w:tblPrEx>
        <w:trPr>
          <w:trHeight w:val="694" w:hRule="atLeast"/>
          <w:jc w:val="center"/>
        </w:trPr>
        <w:tc>
          <w:tcPr>
            <w:tcW w:w="826" w:type="dxa"/>
            <w:tcBorders>
              <w:top w:val="single" w:color="auto" w:sz="4" w:space="0"/>
              <w:left w:val="single" w:color="auto" w:sz="4" w:space="0"/>
              <w:bottom w:val="single" w:color="auto" w:sz="4" w:space="0"/>
              <w:right w:val="single" w:color="auto" w:sz="4" w:space="0"/>
            </w:tcBorders>
            <w:shd w:val="clear" w:color="000000" w:fill="auto"/>
            <w:vAlign w:val="center"/>
          </w:tcPr>
          <w:p>
            <w:pPr>
              <w:tabs>
                <w:tab w:val="left" w:pos="2160"/>
              </w:tabs>
              <w:ind w:firstLine="14" w:firstLineChars="6"/>
              <w:jc w:val="center"/>
              <w:rPr>
                <w:rFonts w:ascii="仿宋_GB2312" w:eastAsia="仿宋_GB2312"/>
                <w:b/>
                <w:bCs/>
                <w:color w:val="000000" w:themeColor="text1"/>
                <w:sz w:val="24"/>
                <w14:textFill>
                  <w14:solidFill>
                    <w14:schemeClr w14:val="tx1"/>
                  </w14:solidFill>
                </w14:textFill>
              </w:rPr>
            </w:pPr>
            <w:r>
              <w:rPr>
                <w:rFonts w:hint="eastAsia" w:ascii="仿宋_GB2312" w:eastAsia="仿宋_GB2312"/>
                <w:b/>
                <w:bCs/>
                <w:color w:val="000000" w:themeColor="text1"/>
                <w:sz w:val="24"/>
                <w14:textFill>
                  <w14:solidFill>
                    <w14:schemeClr w14:val="tx1"/>
                  </w14:solidFill>
                </w14:textFill>
              </w:rPr>
              <w:t>序号</w:t>
            </w:r>
          </w:p>
        </w:tc>
        <w:tc>
          <w:tcPr>
            <w:tcW w:w="2719" w:type="dxa"/>
            <w:tcBorders>
              <w:top w:val="single" w:color="auto" w:sz="4" w:space="0"/>
              <w:left w:val="nil"/>
              <w:bottom w:val="single" w:color="auto" w:sz="4" w:space="0"/>
              <w:right w:val="single" w:color="auto" w:sz="4" w:space="0"/>
            </w:tcBorders>
            <w:shd w:val="clear" w:color="000000" w:fill="auto"/>
            <w:vAlign w:val="center"/>
          </w:tcPr>
          <w:p>
            <w:pPr>
              <w:tabs>
                <w:tab w:val="left" w:pos="2160"/>
              </w:tabs>
              <w:ind w:firstLine="14" w:firstLineChars="6"/>
              <w:jc w:val="center"/>
              <w:rPr>
                <w:rFonts w:ascii="仿宋_GB2312" w:eastAsia="仿宋_GB2312"/>
                <w:b/>
                <w:bCs/>
                <w:color w:val="000000" w:themeColor="text1"/>
                <w:sz w:val="24"/>
                <w14:textFill>
                  <w14:solidFill>
                    <w14:schemeClr w14:val="tx1"/>
                  </w14:solidFill>
                </w14:textFill>
              </w:rPr>
            </w:pPr>
            <w:r>
              <w:rPr>
                <w:rFonts w:hint="eastAsia" w:ascii="仿宋_GB2312" w:eastAsia="仿宋_GB2312"/>
                <w:b/>
                <w:bCs/>
                <w:color w:val="000000" w:themeColor="text1"/>
                <w:sz w:val="24"/>
                <w14:textFill>
                  <w14:solidFill>
                    <w14:schemeClr w14:val="tx1"/>
                  </w14:solidFill>
                </w14:textFill>
              </w:rPr>
              <w:t>软件</w:t>
            </w:r>
          </w:p>
        </w:tc>
        <w:tc>
          <w:tcPr>
            <w:tcW w:w="3939" w:type="dxa"/>
            <w:tcBorders>
              <w:top w:val="single" w:color="auto" w:sz="4" w:space="0"/>
              <w:left w:val="nil"/>
              <w:bottom w:val="single" w:color="auto" w:sz="4" w:space="0"/>
              <w:right w:val="single" w:color="auto" w:sz="4" w:space="0"/>
            </w:tcBorders>
            <w:shd w:val="clear" w:color="000000" w:fill="auto"/>
            <w:vAlign w:val="center"/>
          </w:tcPr>
          <w:p>
            <w:pPr>
              <w:tabs>
                <w:tab w:val="left" w:pos="2160"/>
              </w:tabs>
              <w:ind w:firstLine="14" w:firstLineChars="6"/>
              <w:jc w:val="center"/>
              <w:rPr>
                <w:rFonts w:ascii="仿宋_GB2312" w:eastAsia="仿宋_GB2312"/>
                <w:b/>
                <w:bCs/>
                <w:color w:val="000000" w:themeColor="text1"/>
                <w:sz w:val="24"/>
                <w14:textFill>
                  <w14:solidFill>
                    <w14:schemeClr w14:val="tx1"/>
                  </w14:solidFill>
                </w14:textFill>
              </w:rPr>
            </w:pPr>
            <w:r>
              <w:rPr>
                <w:rFonts w:hint="eastAsia" w:ascii="仿宋_GB2312" w:eastAsia="仿宋_GB2312"/>
                <w:b/>
                <w:bCs/>
                <w:color w:val="000000" w:themeColor="text1"/>
                <w:sz w:val="24"/>
                <w14:textFill>
                  <w14:solidFill>
                    <w14:schemeClr w14:val="tx1"/>
                  </w14:solidFill>
                </w14:textFill>
              </w:rPr>
              <w:t>介绍</w:t>
            </w:r>
          </w:p>
        </w:tc>
      </w:tr>
      <w:tr>
        <w:tblPrEx>
          <w:tblLayout w:type="fixed"/>
          <w:tblCellMar>
            <w:top w:w="0" w:type="dxa"/>
            <w:left w:w="108" w:type="dxa"/>
            <w:bottom w:w="0" w:type="dxa"/>
            <w:right w:w="108" w:type="dxa"/>
          </w:tblCellMar>
        </w:tblPrEx>
        <w:trPr>
          <w:trHeight w:val="694" w:hRule="atLeast"/>
          <w:jc w:val="center"/>
        </w:trPr>
        <w:tc>
          <w:tcPr>
            <w:tcW w:w="826" w:type="dxa"/>
            <w:tcBorders>
              <w:top w:val="nil"/>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w:t>
            </w:r>
          </w:p>
        </w:tc>
        <w:tc>
          <w:tcPr>
            <w:tcW w:w="2719" w:type="dxa"/>
            <w:tcBorders>
              <w:top w:val="nil"/>
              <w:left w:val="nil"/>
              <w:bottom w:val="single" w:color="auto" w:sz="4" w:space="0"/>
              <w:right w:val="single" w:color="auto" w:sz="4" w:space="0"/>
            </w:tcBorders>
            <w:vAlign w:val="center"/>
          </w:tcPr>
          <w:p>
            <w:pPr>
              <w:tabs>
                <w:tab w:val="left" w:pos="2160"/>
              </w:tabs>
              <w:ind w:firstLine="14" w:firstLineChars="6"/>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Windows 7</w:t>
            </w:r>
          </w:p>
        </w:tc>
        <w:tc>
          <w:tcPr>
            <w:tcW w:w="3939" w:type="dxa"/>
            <w:tcBorders>
              <w:top w:val="nil"/>
              <w:left w:val="nil"/>
              <w:bottom w:val="single" w:color="auto" w:sz="4" w:space="0"/>
              <w:right w:val="single" w:color="auto" w:sz="4" w:space="0"/>
            </w:tcBorders>
            <w:vAlign w:val="center"/>
          </w:tcPr>
          <w:p>
            <w:pPr>
              <w:tabs>
                <w:tab w:val="left" w:pos="2160"/>
              </w:tabs>
              <w:ind w:leftChars="-1"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操作系统windows7或windows XP</w:t>
            </w:r>
          </w:p>
        </w:tc>
      </w:tr>
      <w:tr>
        <w:tblPrEx>
          <w:tblLayout w:type="fixed"/>
          <w:tblCellMar>
            <w:top w:w="0" w:type="dxa"/>
            <w:left w:w="108" w:type="dxa"/>
            <w:bottom w:w="0" w:type="dxa"/>
            <w:right w:w="108" w:type="dxa"/>
          </w:tblCellMar>
        </w:tblPrEx>
        <w:trPr>
          <w:trHeight w:val="694" w:hRule="atLeast"/>
          <w:jc w:val="center"/>
        </w:trPr>
        <w:tc>
          <w:tcPr>
            <w:tcW w:w="826" w:type="dxa"/>
            <w:tcBorders>
              <w:top w:val="nil"/>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2</w:t>
            </w:r>
          </w:p>
        </w:tc>
        <w:tc>
          <w:tcPr>
            <w:tcW w:w="2719" w:type="dxa"/>
            <w:tcBorders>
              <w:top w:val="nil"/>
              <w:left w:val="nil"/>
              <w:bottom w:val="single" w:color="auto" w:sz="4" w:space="0"/>
              <w:right w:val="single" w:color="auto" w:sz="4" w:space="0"/>
            </w:tcBorders>
            <w:vAlign w:val="center"/>
          </w:tcPr>
          <w:p>
            <w:pPr>
              <w:tabs>
                <w:tab w:val="left" w:pos="2160"/>
              </w:tabs>
              <w:ind w:firstLine="14" w:firstLineChars="6"/>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 xml:space="preserve">Microsoft Office2010 </w:t>
            </w:r>
          </w:p>
        </w:tc>
        <w:tc>
          <w:tcPr>
            <w:tcW w:w="3939" w:type="dxa"/>
            <w:tcBorders>
              <w:top w:val="nil"/>
              <w:left w:val="nil"/>
              <w:bottom w:val="single" w:color="auto" w:sz="4" w:space="0"/>
              <w:right w:val="single" w:color="auto" w:sz="4" w:space="0"/>
            </w:tcBorders>
            <w:vAlign w:val="center"/>
          </w:tcPr>
          <w:p>
            <w:pPr>
              <w:tabs>
                <w:tab w:val="left" w:pos="2160"/>
              </w:tabs>
              <w:ind w:leftChars="-1"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试用版包括：Word、PowerPoint、Excel、Visio。</w:t>
            </w:r>
          </w:p>
        </w:tc>
      </w:tr>
      <w:tr>
        <w:tblPrEx>
          <w:tblLayout w:type="fixed"/>
          <w:tblCellMar>
            <w:top w:w="0" w:type="dxa"/>
            <w:left w:w="108" w:type="dxa"/>
            <w:bottom w:w="0" w:type="dxa"/>
            <w:right w:w="108" w:type="dxa"/>
          </w:tblCellMar>
        </w:tblPrEx>
        <w:trPr>
          <w:trHeight w:val="694" w:hRule="atLeast"/>
          <w:jc w:val="center"/>
        </w:trPr>
        <w:tc>
          <w:tcPr>
            <w:tcW w:w="826" w:type="dxa"/>
            <w:tcBorders>
              <w:top w:val="single" w:color="auto" w:sz="4" w:space="0"/>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3</w:t>
            </w:r>
          </w:p>
        </w:tc>
        <w:tc>
          <w:tcPr>
            <w:tcW w:w="2719" w:type="dxa"/>
            <w:tcBorders>
              <w:top w:val="single" w:color="auto" w:sz="4" w:space="0"/>
              <w:left w:val="nil"/>
              <w:bottom w:val="single" w:color="auto" w:sz="4" w:space="0"/>
              <w:right w:val="single" w:color="auto" w:sz="4" w:space="0"/>
            </w:tcBorders>
            <w:vAlign w:val="center"/>
          </w:tcPr>
          <w:p>
            <w:pPr>
              <w:tabs>
                <w:tab w:val="left" w:pos="2160"/>
              </w:tabs>
              <w:ind w:firstLine="14" w:firstLineChars="6"/>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SecureCRT v7.0 试用版</w:t>
            </w:r>
          </w:p>
        </w:tc>
        <w:tc>
          <w:tcPr>
            <w:tcW w:w="3939" w:type="dxa"/>
            <w:tcBorders>
              <w:top w:val="single" w:color="auto" w:sz="4" w:space="0"/>
              <w:left w:val="nil"/>
              <w:bottom w:val="single" w:color="auto" w:sz="4" w:space="0"/>
              <w:right w:val="single" w:color="auto" w:sz="4" w:space="0"/>
            </w:tcBorders>
            <w:vAlign w:val="center"/>
          </w:tcPr>
          <w:p>
            <w:pPr>
              <w:tabs>
                <w:tab w:val="left" w:pos="2160"/>
              </w:tabs>
              <w:ind w:leftChars="-1" w:hanging="2" w:hangingChars="1"/>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SSH（SSH1和SSH2）的终端仿真程序</w:t>
            </w:r>
          </w:p>
        </w:tc>
      </w:tr>
      <w:tr>
        <w:tblPrEx>
          <w:tblLayout w:type="fixed"/>
          <w:tblCellMar>
            <w:top w:w="0" w:type="dxa"/>
            <w:left w:w="108" w:type="dxa"/>
            <w:bottom w:w="0" w:type="dxa"/>
            <w:right w:w="108" w:type="dxa"/>
          </w:tblCellMar>
        </w:tblPrEx>
        <w:trPr>
          <w:trHeight w:val="694" w:hRule="atLeast"/>
          <w:jc w:val="center"/>
        </w:trPr>
        <w:tc>
          <w:tcPr>
            <w:tcW w:w="826" w:type="dxa"/>
            <w:tcBorders>
              <w:top w:val="single" w:color="auto" w:sz="4" w:space="0"/>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4</w:t>
            </w:r>
          </w:p>
        </w:tc>
        <w:tc>
          <w:tcPr>
            <w:tcW w:w="271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Python 2.7</w:t>
            </w:r>
          </w:p>
        </w:tc>
        <w:tc>
          <w:tcPr>
            <w:tcW w:w="393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云平台开发编程环境</w:t>
            </w:r>
          </w:p>
        </w:tc>
      </w:tr>
      <w:tr>
        <w:tblPrEx>
          <w:tblLayout w:type="fixed"/>
          <w:tblCellMar>
            <w:top w:w="0" w:type="dxa"/>
            <w:left w:w="108" w:type="dxa"/>
            <w:bottom w:w="0" w:type="dxa"/>
            <w:right w:w="108" w:type="dxa"/>
          </w:tblCellMar>
        </w:tblPrEx>
        <w:trPr>
          <w:trHeight w:val="694" w:hRule="atLeast"/>
          <w:jc w:val="center"/>
        </w:trPr>
        <w:tc>
          <w:tcPr>
            <w:tcW w:w="826" w:type="dxa"/>
            <w:tcBorders>
              <w:top w:val="single" w:color="auto" w:sz="4" w:space="0"/>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5</w:t>
            </w:r>
          </w:p>
        </w:tc>
        <w:tc>
          <w:tcPr>
            <w:tcW w:w="271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Java SDK 1.7</w:t>
            </w:r>
          </w:p>
        </w:tc>
        <w:tc>
          <w:tcPr>
            <w:tcW w:w="393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服务端Java开发工具包</w:t>
            </w:r>
          </w:p>
        </w:tc>
      </w:tr>
      <w:tr>
        <w:tblPrEx>
          <w:tblLayout w:type="fixed"/>
          <w:tblCellMar>
            <w:top w:w="0" w:type="dxa"/>
            <w:left w:w="108" w:type="dxa"/>
            <w:bottom w:w="0" w:type="dxa"/>
            <w:right w:w="108" w:type="dxa"/>
          </w:tblCellMar>
        </w:tblPrEx>
        <w:trPr>
          <w:trHeight w:val="694" w:hRule="atLeast"/>
          <w:jc w:val="center"/>
        </w:trPr>
        <w:tc>
          <w:tcPr>
            <w:tcW w:w="826" w:type="dxa"/>
            <w:tcBorders>
              <w:top w:val="single" w:color="auto" w:sz="4" w:space="0"/>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6</w:t>
            </w:r>
          </w:p>
        </w:tc>
        <w:tc>
          <w:tcPr>
            <w:tcW w:w="271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Eclipse Kepler Service Release 2</w:t>
            </w:r>
          </w:p>
        </w:tc>
        <w:tc>
          <w:tcPr>
            <w:tcW w:w="393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Java集成开发环境</w:t>
            </w:r>
          </w:p>
        </w:tc>
      </w:tr>
      <w:tr>
        <w:tblPrEx>
          <w:tblLayout w:type="fixed"/>
          <w:tblCellMar>
            <w:top w:w="0" w:type="dxa"/>
            <w:left w:w="108" w:type="dxa"/>
            <w:bottom w:w="0" w:type="dxa"/>
            <w:right w:w="108" w:type="dxa"/>
          </w:tblCellMar>
        </w:tblPrEx>
        <w:trPr>
          <w:trHeight w:val="694" w:hRule="atLeast"/>
          <w:jc w:val="center"/>
        </w:trPr>
        <w:tc>
          <w:tcPr>
            <w:tcW w:w="826" w:type="dxa"/>
            <w:tcBorders>
              <w:top w:val="single" w:color="auto" w:sz="4" w:space="0"/>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7</w:t>
            </w:r>
          </w:p>
        </w:tc>
        <w:tc>
          <w:tcPr>
            <w:tcW w:w="271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MySql5.0</w:t>
            </w:r>
          </w:p>
        </w:tc>
        <w:tc>
          <w:tcPr>
            <w:tcW w:w="393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数据库</w:t>
            </w:r>
          </w:p>
        </w:tc>
      </w:tr>
      <w:tr>
        <w:tblPrEx>
          <w:tblLayout w:type="fixed"/>
          <w:tblCellMar>
            <w:top w:w="0" w:type="dxa"/>
            <w:left w:w="108" w:type="dxa"/>
            <w:bottom w:w="0" w:type="dxa"/>
            <w:right w:w="108" w:type="dxa"/>
          </w:tblCellMar>
        </w:tblPrEx>
        <w:trPr>
          <w:trHeight w:val="694" w:hRule="atLeast"/>
          <w:jc w:val="center"/>
        </w:trPr>
        <w:tc>
          <w:tcPr>
            <w:tcW w:w="826" w:type="dxa"/>
            <w:tcBorders>
              <w:top w:val="single" w:color="auto" w:sz="4" w:space="0"/>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8</w:t>
            </w:r>
          </w:p>
        </w:tc>
        <w:tc>
          <w:tcPr>
            <w:tcW w:w="271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Tomcat7.0</w:t>
            </w:r>
          </w:p>
        </w:tc>
        <w:tc>
          <w:tcPr>
            <w:tcW w:w="393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JavaEE Web服务器</w:t>
            </w:r>
          </w:p>
        </w:tc>
      </w:tr>
      <w:tr>
        <w:tblPrEx>
          <w:tblLayout w:type="fixed"/>
          <w:tblCellMar>
            <w:top w:w="0" w:type="dxa"/>
            <w:left w:w="108" w:type="dxa"/>
            <w:bottom w:w="0" w:type="dxa"/>
            <w:right w:w="108" w:type="dxa"/>
          </w:tblCellMar>
        </w:tblPrEx>
        <w:trPr>
          <w:trHeight w:val="694" w:hRule="atLeast"/>
          <w:jc w:val="center"/>
        </w:trPr>
        <w:tc>
          <w:tcPr>
            <w:tcW w:w="826" w:type="dxa"/>
            <w:tcBorders>
              <w:top w:val="single" w:color="auto" w:sz="4" w:space="0"/>
              <w:left w:val="single" w:color="auto" w:sz="4" w:space="0"/>
              <w:bottom w:val="single" w:color="auto" w:sz="4" w:space="0"/>
              <w:right w:val="single" w:color="auto" w:sz="4" w:space="0"/>
            </w:tcBorders>
            <w:vAlign w:val="center"/>
          </w:tcPr>
          <w:p>
            <w:pPr>
              <w:tabs>
                <w:tab w:val="left" w:pos="2160"/>
              </w:tabs>
              <w:ind w:firstLine="14" w:firstLineChars="6"/>
              <w:jc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9</w:t>
            </w:r>
          </w:p>
        </w:tc>
        <w:tc>
          <w:tcPr>
            <w:tcW w:w="271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Android Studio2.1.2</w:t>
            </w:r>
          </w:p>
        </w:tc>
        <w:tc>
          <w:tcPr>
            <w:tcW w:w="3939" w:type="dxa"/>
            <w:tcBorders>
              <w:top w:val="single" w:color="auto" w:sz="4" w:space="0"/>
              <w:left w:val="nil"/>
              <w:bottom w:val="single" w:color="auto" w:sz="4" w:space="0"/>
              <w:right w:val="single" w:color="auto" w:sz="4" w:space="0"/>
            </w:tcBorders>
            <w:vAlign w:val="center"/>
          </w:tcPr>
          <w:p>
            <w:pPr>
              <w:tabs>
                <w:tab w:val="left" w:pos="2160"/>
              </w:tabs>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Android开发环境</w:t>
            </w:r>
          </w:p>
        </w:tc>
      </w:tr>
    </w:tbl>
    <w:p>
      <w:pPr>
        <w:spacing w:line="560" w:lineRule="exact"/>
        <w:ind w:firstLine="560" w:firstLineChars="200"/>
        <w:rPr>
          <w:rFonts w:ascii="仿宋_GB2312" w:eastAsia="仿宋_GB2312"/>
          <w:color w:val="000000" w:themeColor="text1"/>
          <w:sz w:val="28"/>
          <w:szCs w:val="30"/>
          <w14:textFill>
            <w14:solidFill>
              <w14:schemeClr w14:val="tx1"/>
            </w14:solidFill>
          </w14:textFill>
        </w:rPr>
      </w:pPr>
      <w:r>
        <w:rPr>
          <w:rFonts w:hint="eastAsia" w:ascii="仿宋_GB2312" w:eastAsia="仿宋_GB2312"/>
          <w:color w:val="000000" w:themeColor="text1"/>
          <w:sz w:val="28"/>
          <w:szCs w:val="30"/>
          <w14:textFill>
            <w14:solidFill>
              <w14:schemeClr w14:val="tx1"/>
            </w14:solidFill>
          </w14:textFill>
        </w:rPr>
        <w:t>比赛器材、技术平台：云计算技术与应用平台 （厂商：南京五十五所 品牌：先电 型号： CLOUD-TR200）</w:t>
      </w:r>
    </w:p>
    <w:p>
      <w:pPr>
        <w:spacing w:line="560" w:lineRule="exact"/>
        <w:ind w:firstLine="560" w:firstLineChars="200"/>
        <w:rPr>
          <w:rFonts w:ascii="仿宋_GB2312" w:eastAsia="仿宋_GB2312"/>
          <w:color w:val="000000" w:themeColor="text1"/>
          <w:sz w:val="28"/>
          <w:szCs w:val="30"/>
          <w14:textFill>
            <w14:solidFill>
              <w14:schemeClr w14:val="tx1"/>
            </w14:solidFill>
          </w14:textFill>
        </w:rPr>
      </w:pPr>
      <w:r>
        <w:rPr>
          <w:rFonts w:hint="eastAsia" w:ascii="仿宋_GB2312" w:eastAsia="仿宋_GB2312"/>
          <w:color w:val="000000" w:themeColor="text1"/>
          <w:sz w:val="28"/>
          <w:szCs w:val="30"/>
          <w14:textFill>
            <w14:solidFill>
              <w14:schemeClr w14:val="tx1"/>
            </w14:solidFill>
          </w14:textFill>
        </w:rPr>
        <w:t>竞赛技术平台每组配置清单：</w:t>
      </w:r>
    </w:p>
    <w:p>
      <w:pPr>
        <w:spacing w:line="560" w:lineRule="exact"/>
        <w:ind w:firstLine="560" w:firstLineChars="200"/>
        <w:rPr>
          <w:rFonts w:ascii="仿宋_GB2312" w:eastAsia="仿宋_GB2312"/>
          <w:color w:val="000000" w:themeColor="text1"/>
          <w:sz w:val="28"/>
          <w:szCs w:val="30"/>
          <w14:textFill>
            <w14:solidFill>
              <w14:schemeClr w14:val="tx1"/>
            </w14:solidFill>
          </w14:textFill>
        </w:rPr>
      </w:pPr>
      <w:r>
        <w:rPr>
          <w:rFonts w:hint="eastAsia" w:ascii="仿宋_GB2312" w:eastAsia="仿宋_GB2312"/>
          <w:color w:val="000000" w:themeColor="text1"/>
          <w:sz w:val="28"/>
          <w:szCs w:val="30"/>
          <w14:textFill>
            <w14:solidFill>
              <w14:schemeClr w14:val="tx1"/>
            </w14:solidFill>
          </w14:textFill>
        </w:rPr>
        <w:t>设备参数说明：</w:t>
      </w:r>
    </w:p>
    <w:tbl>
      <w:tblPr>
        <w:tblStyle w:val="10"/>
        <w:tblW w:w="8470"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
      <w:tblGrid>
        <w:gridCol w:w="518"/>
        <w:gridCol w:w="936"/>
        <w:gridCol w:w="789"/>
        <w:gridCol w:w="5395"/>
        <w:gridCol w:w="832"/>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420" w:hRule="atLeast"/>
          <w:jc w:val="center"/>
        </w:trPr>
        <w:tc>
          <w:tcPr>
            <w:tcW w:w="518" w:type="dxa"/>
            <w:shd w:val="clear" w:color="auto" w:fill="FFFFFF"/>
            <w:vAlign w:val="center"/>
          </w:tcPr>
          <w:p>
            <w:pPr>
              <w:widowControl/>
              <w:jc w:val="center"/>
              <w:textAlignment w:val="center"/>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kern w:val="0"/>
                <w:sz w:val="24"/>
                <w14:textFill>
                  <w14:solidFill>
                    <w14:schemeClr w14:val="tx1"/>
                  </w14:solidFill>
                </w14:textFill>
              </w:rPr>
              <w:t>序号</w:t>
            </w:r>
          </w:p>
        </w:tc>
        <w:tc>
          <w:tcPr>
            <w:tcW w:w="936" w:type="dxa"/>
            <w:shd w:val="clear" w:color="auto" w:fill="FFFFFF"/>
            <w:vAlign w:val="center"/>
          </w:tcPr>
          <w:p>
            <w:pPr>
              <w:widowControl/>
              <w:jc w:val="center"/>
              <w:textAlignment w:val="center"/>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kern w:val="0"/>
                <w:sz w:val="24"/>
                <w14:textFill>
                  <w14:solidFill>
                    <w14:schemeClr w14:val="tx1"/>
                  </w14:solidFill>
                </w14:textFill>
              </w:rPr>
              <w:t>类型</w:t>
            </w:r>
          </w:p>
        </w:tc>
        <w:tc>
          <w:tcPr>
            <w:tcW w:w="789" w:type="dxa"/>
            <w:shd w:val="clear" w:color="auto" w:fill="FFFFFF"/>
            <w:vAlign w:val="center"/>
          </w:tcPr>
          <w:p>
            <w:pPr>
              <w:widowControl/>
              <w:jc w:val="center"/>
              <w:textAlignment w:val="center"/>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kern w:val="0"/>
                <w:sz w:val="24"/>
                <w14:textFill>
                  <w14:solidFill>
                    <w14:schemeClr w14:val="tx1"/>
                  </w14:solidFill>
                </w14:textFill>
              </w:rPr>
              <w:t>品牌</w:t>
            </w:r>
          </w:p>
        </w:tc>
        <w:tc>
          <w:tcPr>
            <w:tcW w:w="5395" w:type="dxa"/>
            <w:shd w:val="clear" w:color="auto" w:fill="FFFFFF"/>
            <w:vAlign w:val="center"/>
          </w:tcPr>
          <w:p>
            <w:pPr>
              <w:widowControl/>
              <w:jc w:val="center"/>
              <w:textAlignment w:val="center"/>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kern w:val="0"/>
                <w:sz w:val="24"/>
                <w14:textFill>
                  <w14:solidFill>
                    <w14:schemeClr w14:val="tx1"/>
                  </w14:solidFill>
                </w14:textFill>
              </w:rPr>
              <w:t>参数</w:t>
            </w:r>
          </w:p>
        </w:tc>
        <w:tc>
          <w:tcPr>
            <w:tcW w:w="832" w:type="dxa"/>
            <w:shd w:val="clear" w:color="auto" w:fill="FFFFFF"/>
            <w:vAlign w:val="center"/>
          </w:tcPr>
          <w:p>
            <w:pPr>
              <w:widowControl/>
              <w:jc w:val="center"/>
              <w:textAlignment w:val="center"/>
              <w:rPr>
                <w:rFonts w:ascii="仿宋_GB2312" w:eastAsia="仿宋_GB2312"/>
                <w:b/>
                <w:color w:val="000000" w:themeColor="text1"/>
                <w:sz w:val="24"/>
                <w14:textFill>
                  <w14:solidFill>
                    <w14:schemeClr w14:val="tx1"/>
                  </w14:solidFill>
                </w14:textFill>
              </w:rPr>
            </w:pPr>
            <w:r>
              <w:rPr>
                <w:rFonts w:hint="eastAsia" w:ascii="仿宋_GB2312" w:eastAsia="仿宋_GB2312"/>
                <w:b/>
                <w:color w:val="000000" w:themeColor="text1"/>
                <w:kern w:val="0"/>
                <w:sz w:val="24"/>
                <w14:textFill>
                  <w14:solidFill>
                    <w14:schemeClr w14:val="tx1"/>
                  </w14:solidFill>
                </w14:textFill>
              </w:rPr>
              <w:t>数量</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1085" w:hRule="atLeast"/>
          <w:jc w:val="center"/>
        </w:trPr>
        <w:tc>
          <w:tcPr>
            <w:tcW w:w="518" w:type="dxa"/>
            <w:shd w:val="clear" w:color="auto" w:fill="FFFFFF"/>
            <w:vAlign w:val="center"/>
          </w:tcPr>
          <w:p>
            <w:pPr>
              <w:widowControl/>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c>
          <w:tcPr>
            <w:tcW w:w="936" w:type="dxa"/>
            <w:shd w:val="clear" w:color="auto" w:fill="auto"/>
            <w:vAlign w:val="center"/>
          </w:tcPr>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云基础架构平台软件</w:t>
            </w:r>
          </w:p>
        </w:tc>
        <w:tc>
          <w:tcPr>
            <w:tcW w:w="789" w:type="dxa"/>
            <w:vAlign w:val="center"/>
          </w:tcPr>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 xml:space="preserve">先电 </w:t>
            </w:r>
          </w:p>
        </w:tc>
        <w:tc>
          <w:tcPr>
            <w:tcW w:w="5395"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1、整体架构分3层，最上层为应用程序和管理Portal（Horizon）、 API等接入层；</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2、核心层包括计算服务（Nova）、存储服务（包括对象存储服务Swift、块存储服务Cinder和网络服务（Neutron）；</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3、第3层为共享服务，账户权限管理服务（keystone）、镜像服务（Glance）、监测服务（Ceilometer）和模板服务（Heat）。</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4、采用模块化架构，可扩展性和灵活性强；扩展服务包括云存储（Swift）、大数据整合服务（Sahara）等服务。</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5、云存储服务（Swift）提供java、.net和android的SDK，使用SDK可实现电子文档的网盘Web应用和移动客户端应用，实现电子文档的随时随地移动访问。</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6、大数据（Sahara）服务，实现快速部署Hadoop集群，集群的创建包括设置hadoop的版本、拓扑和节点等参数，集群可以增删节点。通过hadoop MepReduce实现了数据分析服务AaaS（Anlaytics-as-a-Service）。可以支持Hadoop不同的版本集群部署，同时也支持Spark并行系统的集群部署。支持整合不同的管理工具，包括支持Apache Ambari和Cloudera 管理平台。</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7、默认采用KVM虚拟化管理器（kernel-based virtual machine基于内核的虚拟机）是x86架构且硬件支持虚拟化技术（如 intel VT 或 AMD-V）的Linux全虚拟化解决方案。</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8、通过抽象接口层兼容各类主流的虚拟化技术（VMware vSphere、 微软Hyper-V、KVM、Xen）；整合VMWare企业虚拟化技术，提供虚拟桌面VDI服务，VMWare虚拟机可以整合云平台的Cinder块存储服务，通过云平台的监控服务可以实现VMWare Vcenter的监控服务,支持管理Docker容器，支持Nova部署Docker后端，提供虚拟机节点之间迁移，数据备份安全。</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9、包含一个为处理器提供底层虚拟化可加载的核心模块kvm.ko（kvm-intel.ko或kvm-AMD.ko）；</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10、KVM配置的QEMU软件（qemu-kvm），作为虚拟机上层控制和界面；</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11、支持不改变linux或windows镜像的情况下同时运行多个虚拟机，（它的意思是多个虚拟机使用同一镜像）并为每一个虚拟机配置个性化硬件环境（网卡、磁盘、图形适配器等）；</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12、Linux内核版本，3.10.0以上；</w:t>
            </w:r>
          </w:p>
        </w:tc>
        <w:tc>
          <w:tcPr>
            <w:tcW w:w="832" w:type="dxa"/>
            <w:vAlign w:val="center"/>
          </w:tcPr>
          <w:p>
            <w:pPr>
              <w:widowControl/>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401" w:hRule="atLeast"/>
          <w:jc w:val="center"/>
        </w:trPr>
        <w:tc>
          <w:tcPr>
            <w:tcW w:w="518" w:type="dxa"/>
            <w:shd w:val="clear" w:color="auto" w:fill="FFFFFF"/>
            <w:vAlign w:val="center"/>
          </w:tcPr>
          <w:p>
            <w:pPr>
              <w:widowControl/>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2</w:t>
            </w:r>
          </w:p>
        </w:tc>
        <w:tc>
          <w:tcPr>
            <w:tcW w:w="936" w:type="dxa"/>
            <w:shd w:val="clear" w:color="auto" w:fill="auto"/>
            <w:vAlign w:val="center"/>
          </w:tcPr>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云开发平台软件</w:t>
            </w:r>
          </w:p>
        </w:tc>
        <w:tc>
          <w:tcPr>
            <w:tcW w:w="789" w:type="dxa"/>
            <w:vAlign w:val="center"/>
          </w:tcPr>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 xml:space="preserve">先电 </w:t>
            </w:r>
          </w:p>
        </w:tc>
        <w:tc>
          <w:tcPr>
            <w:tcW w:w="5395"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1、基于Docker容器构建，内置镜像库包括操作系统、数据库、应用系统的多种镜像。</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2、完备的基础平台容器服务和运行监控，服务支持：操作系统、应用软件、数据库、Web服务器、缓存、存储、日志、负载均衡等服务，让应用开发变得轻松，开发者可以更关注开发业务功能。</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3、可构建、测试、部署和运行应用程序，支持Java, Ruby, Python, PHP, Perl 等众多语言环境和开发框架；</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4、支持 MySQL, PostgreSQL, MongoDB 等数据库服务；</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5、平台支持应用软件部署：包括Web服务器（Nginx）、缓存（Redis）、数据库（MongoDb、Mysql）持续集成（Jenkins）、企业知识系统（EKM）、内容管理系统（CMS）、博客系统（BLOG）、监控系统（Grafana）、电子商务系统（e-Commerce）、聊天系统（rocket chat）。</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6、基于PaaS平台支持构建CaaS容器服务，构建s研发运维（DevOps）持续集成环境。</w:t>
            </w:r>
          </w:p>
        </w:tc>
        <w:tc>
          <w:tcPr>
            <w:tcW w:w="832" w:type="dxa"/>
            <w:vAlign w:val="center"/>
          </w:tcPr>
          <w:p>
            <w:pPr>
              <w:widowControl/>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4548" w:hRule="atLeast"/>
          <w:jc w:val="center"/>
        </w:trPr>
        <w:tc>
          <w:tcPr>
            <w:tcW w:w="518" w:type="dxa"/>
            <w:shd w:val="clear" w:color="auto" w:fill="FFFFFF"/>
            <w:vAlign w:val="center"/>
          </w:tcPr>
          <w:p>
            <w:pPr>
              <w:widowControl/>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3</w:t>
            </w:r>
          </w:p>
        </w:tc>
        <w:tc>
          <w:tcPr>
            <w:tcW w:w="936" w:type="dxa"/>
            <w:shd w:val="clear" w:color="auto" w:fill="auto"/>
            <w:vAlign w:val="center"/>
          </w:tcPr>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云计算安全框架软件</w:t>
            </w:r>
          </w:p>
        </w:tc>
        <w:tc>
          <w:tcPr>
            <w:tcW w:w="789" w:type="dxa"/>
            <w:vAlign w:val="center"/>
          </w:tcPr>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 xml:space="preserve">先电 </w:t>
            </w:r>
          </w:p>
        </w:tc>
        <w:tc>
          <w:tcPr>
            <w:tcW w:w="5395"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系统提供符合4A(认证Authentication、账号Account、授权Authorization、审计Audit)统一安全管理框架。包括独立的身份验证系统，为整个云平台提供验证和授权服务。包括身份安全认证、对授权令牌和通信的安全性问题管理、系统统一审计管理。</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2、网络安全组件，可管理的客户网络配置、安全问题与网络服务，包括实现网络流量隔离，可用性，完整性和保密性。</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3、安全监控组件，管理员和租户可以配置，管理和监控云资源.</w:t>
            </w:r>
          </w:p>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4、数据加密：提供网络安全传输(https)、统一数据加密和存储(RSA算法)。</w:t>
            </w:r>
          </w:p>
        </w:tc>
        <w:tc>
          <w:tcPr>
            <w:tcW w:w="832" w:type="dxa"/>
            <w:vAlign w:val="center"/>
          </w:tcPr>
          <w:p>
            <w:pPr>
              <w:widowControl/>
              <w:jc w:val="center"/>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515" w:hRule="atLeast"/>
          <w:jc w:val="center"/>
        </w:trPr>
        <w:tc>
          <w:tcPr>
            <w:tcW w:w="518" w:type="dxa"/>
            <w:shd w:val="clear" w:color="auto" w:fill="FFFFFF"/>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4</w:t>
            </w:r>
          </w:p>
        </w:tc>
        <w:tc>
          <w:tcPr>
            <w:tcW w:w="936" w:type="dxa"/>
            <w:shd w:val="clear" w:color="auto" w:fill="auto"/>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云网络平台软件</w:t>
            </w:r>
          </w:p>
        </w:tc>
        <w:tc>
          <w:tcPr>
            <w:tcW w:w="789"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 xml:space="preserve"> 先电</w:t>
            </w:r>
          </w:p>
        </w:tc>
        <w:tc>
          <w:tcPr>
            <w:tcW w:w="5395" w:type="dxa"/>
            <w:vAlign w:val="center"/>
          </w:tcPr>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1、系统支持SDN软件定定义网络，支持可编程的平台，支持用户自定义管理网络。</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2、SDN的ODL模块，包括分为南向接口和协议的插件、控制器平台、网络应用业务和服务模块。</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3、支持对ODL的开发模块，包括YANG,XML,MAVEN,JAVA,RESTAPI</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4、支持创建和启动SDN网络拓扑结构，支持OpenFlow1.3协议。</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5、支持管理云平台Neutron网络和Open vSwitch网络拓扑，支持检测网络运行状态。</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6、提供将IaaS平台的网络功能与硬件分离，加大数据转发，降低硬件的复杂度和成本，提高网络的响应速度。</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7、支持整合厂商的的SDN交换机管理。</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8、交换模块：应用层级：三层</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传输速率：10/100/1000Mbps 纠错</w:t>
            </w:r>
          </w:p>
          <w:p>
            <w:pPr>
              <w:tabs>
                <w:tab w:val="left" w:pos="2160"/>
              </w:tabs>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交换方式：存储-转发</w:t>
            </w:r>
          </w:p>
        </w:tc>
        <w:tc>
          <w:tcPr>
            <w:tcW w:w="832" w:type="dxa"/>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515" w:hRule="atLeast"/>
          <w:jc w:val="center"/>
        </w:trPr>
        <w:tc>
          <w:tcPr>
            <w:tcW w:w="518" w:type="dxa"/>
            <w:shd w:val="clear" w:color="auto" w:fill="FFFFFF"/>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5</w:t>
            </w:r>
          </w:p>
        </w:tc>
        <w:tc>
          <w:tcPr>
            <w:tcW w:w="936" w:type="dxa"/>
            <w:shd w:val="clear" w:color="auto" w:fill="auto"/>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大数据平台软件</w:t>
            </w:r>
          </w:p>
        </w:tc>
        <w:tc>
          <w:tcPr>
            <w:tcW w:w="789"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先电</w:t>
            </w:r>
          </w:p>
        </w:tc>
        <w:tc>
          <w:tcPr>
            <w:tcW w:w="5395" w:type="dxa"/>
            <w:vAlign w:val="center"/>
          </w:tcPr>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平台提供Ambari管理Hadoop集群，包括分布式存储（HFDS）、分布式计算框架（Mapreduce）、资源管理器（Yarn）、分布式列数据库（HBase）、分布式协调服务（Zookeeper）等组件。</w:t>
            </w:r>
          </w:p>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支持通过运维指标（metrics）监视Hadoop集群的运行状况，包括服务的运行状况、内存消耗、CPU消耗、HDFS磁盘使用情况、DataNodes的生存状况、集群负载等功能。</w:t>
            </w:r>
          </w:p>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提供Map-Reduce大规模数据集（数量大、类型复杂）离线并行运算的编程框架，可同时计算分析PB级海量数据。</w:t>
            </w:r>
          </w:p>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支持HDFS分布式存储系统。既可以作为Hadoop集群的一部分，也可以作为一个独立的分布式文件系统。</w:t>
            </w:r>
          </w:p>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支持Hive数据库，与大部分的SQL语法兼容，Hive数据库构建于Hadoop的HDFS和MapReduce之上，用于管理和查询结构化的数据仓库。</w:t>
            </w:r>
          </w:p>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支持可靠性、高性能、面向列、可伸缩的HBase分布式列数据库。</w:t>
            </w:r>
          </w:p>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支持Mahout组件，支持可扩展的机器学习领域经典算法的实现。</w:t>
            </w:r>
          </w:p>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支持Pig探索大规模数据集的脚本语言。采用Pig Latin语言，以简单的代码处理大量的数据。</w:t>
            </w:r>
          </w:p>
          <w:p>
            <w:pPr>
              <w:numPr>
                <w:ilvl w:val="0"/>
                <w:numId w:val="2"/>
              </w:numPr>
              <w:ind w:left="-11" w:firstLine="11"/>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支持基于内存读写的并行框架Spark，支持操作分布式流式大数据集。</w:t>
            </w:r>
          </w:p>
        </w:tc>
        <w:tc>
          <w:tcPr>
            <w:tcW w:w="832" w:type="dxa"/>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515" w:hRule="atLeast"/>
          <w:jc w:val="center"/>
        </w:trPr>
        <w:tc>
          <w:tcPr>
            <w:tcW w:w="518" w:type="dxa"/>
            <w:shd w:val="clear" w:color="auto" w:fill="FFFFFF"/>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6</w:t>
            </w:r>
          </w:p>
        </w:tc>
        <w:tc>
          <w:tcPr>
            <w:tcW w:w="936" w:type="dxa"/>
            <w:shd w:val="clear" w:color="auto" w:fill="auto"/>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云应用开发框架软件</w:t>
            </w:r>
          </w:p>
        </w:tc>
        <w:tc>
          <w:tcPr>
            <w:tcW w:w="789"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先电</w:t>
            </w:r>
          </w:p>
        </w:tc>
        <w:tc>
          <w:tcPr>
            <w:tcW w:w="5395" w:type="dxa"/>
            <w:vAlign w:val="center"/>
          </w:tcPr>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提供采用Android移动云应用开发框架，基于框架扩展开发云存储客户端应用。</w:t>
            </w:r>
          </w:p>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提供编译完成的OpenStack Swift SDK，能够完成云存储移动客户端开发。</w:t>
            </w:r>
          </w:p>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Android移动云应用提供操作接口，包括:文件上传、下载、复制、删除等功能的APIs。</w:t>
            </w:r>
          </w:p>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提供基于JavaEE的Web云应用开发框架。基于开发框架扩展开发云Web存储应用。</w:t>
            </w:r>
          </w:p>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JavaEE云存储Web开发案例前端采用JQuery、Bootstrap等技术。</w:t>
            </w:r>
          </w:p>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后端采用主流框架 Spring + SpringMVC + Hibernate。</w:t>
            </w:r>
          </w:p>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JavaEE云存储Web开发框架提供文件操作接口，包括:上传、下载、复制、删除等功能APIs。</w:t>
            </w:r>
          </w:p>
          <w:p>
            <w:pPr>
              <w:numPr>
                <w:ilvl w:val="0"/>
                <w:numId w:val="1"/>
              </w:numPr>
              <w:ind w:left="-11" w:firstLine="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提供大数据分析开发案例。</w:t>
            </w:r>
          </w:p>
        </w:tc>
        <w:tc>
          <w:tcPr>
            <w:tcW w:w="832" w:type="dxa"/>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1995" w:hRule="atLeast"/>
          <w:jc w:val="center"/>
        </w:trPr>
        <w:tc>
          <w:tcPr>
            <w:tcW w:w="518" w:type="dxa"/>
            <w:shd w:val="clear" w:color="auto" w:fill="FFFFFF"/>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7</w:t>
            </w:r>
          </w:p>
        </w:tc>
        <w:tc>
          <w:tcPr>
            <w:tcW w:w="936" w:type="dxa"/>
            <w:shd w:val="clear" w:color="auto" w:fill="auto"/>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云计算服务器</w:t>
            </w:r>
          </w:p>
        </w:tc>
        <w:tc>
          <w:tcPr>
            <w:tcW w:w="789"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 xml:space="preserve">先电 </w:t>
            </w:r>
          </w:p>
        </w:tc>
        <w:tc>
          <w:tcPr>
            <w:tcW w:w="5395"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云服务器：Intel Xeon E5-2640八核处理器 (主频2.0GHz) X 1</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ECC REG 1600MHz 8G *2</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SAS 15000RPM 6.0Gb/s 300GB X 2</w:t>
            </w:r>
          </w:p>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2 x Intel® 82574L</w:t>
            </w:r>
          </w:p>
        </w:tc>
        <w:tc>
          <w:tcPr>
            <w:tcW w:w="832" w:type="dxa"/>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Ex>
        <w:trPr>
          <w:trHeight w:val="1810" w:hRule="atLeast"/>
          <w:jc w:val="center"/>
        </w:trPr>
        <w:tc>
          <w:tcPr>
            <w:tcW w:w="518" w:type="dxa"/>
            <w:shd w:val="clear" w:color="auto" w:fill="FFFFFF"/>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8</w:t>
            </w:r>
          </w:p>
        </w:tc>
        <w:tc>
          <w:tcPr>
            <w:tcW w:w="936" w:type="dxa"/>
            <w:shd w:val="clear" w:color="auto" w:fill="auto"/>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云存储服务器</w:t>
            </w:r>
          </w:p>
        </w:tc>
        <w:tc>
          <w:tcPr>
            <w:tcW w:w="789"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 xml:space="preserve">先电 </w:t>
            </w:r>
          </w:p>
        </w:tc>
        <w:tc>
          <w:tcPr>
            <w:tcW w:w="5395"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云存储服务器：Intel Xeon E5-2640八核处理器 (主频2.0GHz) X 1</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ECC REG 1600MHz 8G*2</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SATA 7200RPM 6.0Gb/s 2TB企业级 X 3</w:t>
            </w:r>
          </w:p>
          <w:p>
            <w:pPr>
              <w:widowControl/>
              <w:jc w:val="left"/>
              <w:textAlignment w:val="center"/>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2 x Intel® 82574L</w:t>
            </w:r>
          </w:p>
        </w:tc>
        <w:tc>
          <w:tcPr>
            <w:tcW w:w="832" w:type="dxa"/>
            <w:vAlign w:val="center"/>
          </w:tcPr>
          <w:p>
            <w:pPr>
              <w:widowControl/>
              <w:jc w:val="center"/>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1</w:t>
            </w:r>
          </w:p>
        </w:tc>
      </w:tr>
    </w:tbl>
    <w:p>
      <w:pPr>
        <w:spacing w:line="360" w:lineRule="auto"/>
        <w:ind w:left="596"/>
        <w:outlineLvl w:val="2"/>
        <w:rPr>
          <w:rFonts w:ascii="黑体" w:hAnsi="黑体" w:eastAsia="黑体"/>
          <w:b/>
          <w:bCs/>
          <w:sz w:val="32"/>
          <w:szCs w:val="32"/>
        </w:rPr>
      </w:pPr>
      <w:r>
        <w:rPr>
          <w:rFonts w:hint="eastAsia" w:ascii="黑体" w:hAnsi="黑体" w:eastAsia="黑体" w:cs="黑体"/>
          <w:b/>
          <w:bCs/>
          <w:sz w:val="32"/>
          <w:szCs w:val="32"/>
          <w:lang w:eastAsia="zh-CN"/>
        </w:rPr>
        <w:t>八</w:t>
      </w:r>
      <w:r>
        <w:rPr>
          <w:rFonts w:hint="eastAsia" w:ascii="黑体" w:hAnsi="黑体" w:eastAsia="黑体" w:cs="黑体"/>
          <w:b/>
          <w:bCs/>
          <w:sz w:val="32"/>
          <w:szCs w:val="32"/>
        </w:rPr>
        <w:t>、评分标准的制订原则及评分方法</w:t>
      </w:r>
    </w:p>
    <w:p>
      <w:pPr>
        <w:spacing w:line="360" w:lineRule="auto"/>
        <w:ind w:left="480"/>
        <w:outlineLvl w:val="2"/>
        <w:rPr>
          <w:rFonts w:ascii="仿宋" w:hAnsi="仿宋" w:eastAsia="仿宋"/>
          <w:kern w:val="0"/>
          <w:sz w:val="32"/>
          <w:szCs w:val="32"/>
        </w:rPr>
      </w:pPr>
      <w:r>
        <w:rPr>
          <w:rFonts w:hint="eastAsia" w:ascii="仿宋" w:hAnsi="仿宋" w:eastAsia="仿宋" w:cs="仿宋"/>
          <w:kern w:val="0"/>
          <w:sz w:val="32"/>
          <w:szCs w:val="32"/>
        </w:rPr>
        <w:t>（一）评分标准的制订原则</w:t>
      </w:r>
    </w:p>
    <w:p>
      <w:pPr>
        <w:pStyle w:val="21"/>
        <w:spacing w:line="360" w:lineRule="auto"/>
        <w:ind w:firstLine="640"/>
        <w:outlineLvl w:val="2"/>
        <w:rPr>
          <w:rFonts w:ascii="仿宋" w:hAnsi="仿宋" w:eastAsia="仿宋" w:cs="Times New Roman"/>
          <w:sz w:val="32"/>
          <w:szCs w:val="32"/>
        </w:rPr>
      </w:pPr>
      <w:r>
        <w:rPr>
          <w:rFonts w:ascii="仿宋" w:hAnsi="仿宋" w:eastAsia="仿宋" w:cs="仿宋"/>
          <w:sz w:val="32"/>
          <w:szCs w:val="32"/>
        </w:rPr>
        <w:t>1</w:t>
      </w:r>
      <w:r>
        <w:rPr>
          <w:rFonts w:hint="eastAsia" w:ascii="仿宋" w:hAnsi="仿宋" w:eastAsia="仿宋" w:cs="仿宋"/>
          <w:sz w:val="32"/>
          <w:szCs w:val="32"/>
        </w:rPr>
        <w:t>、云计算技术与应用赛项成绩评定工作将根据当年海南省职业院校技能大赛成绩管理办法，在竞赛项目执行委员会的统一领导下，依据专家组讨论通过的具体评分方法与评分细则，结合现场执裁情况进行。</w:t>
      </w:r>
    </w:p>
    <w:p>
      <w:pPr>
        <w:pStyle w:val="21"/>
        <w:spacing w:line="360" w:lineRule="auto"/>
        <w:ind w:firstLine="640"/>
        <w:outlineLvl w:val="2"/>
        <w:rPr>
          <w:rFonts w:ascii="仿宋" w:hAnsi="仿宋" w:eastAsia="仿宋" w:cs="Times New Roman"/>
          <w:sz w:val="32"/>
          <w:szCs w:val="32"/>
        </w:rPr>
      </w:pPr>
      <w:r>
        <w:rPr>
          <w:rFonts w:ascii="仿宋" w:hAnsi="仿宋" w:eastAsia="仿宋" w:cs="仿宋"/>
          <w:sz w:val="32"/>
          <w:szCs w:val="32"/>
        </w:rPr>
        <w:t>2</w:t>
      </w:r>
      <w:r>
        <w:rPr>
          <w:rFonts w:hint="eastAsia" w:ascii="仿宋" w:hAnsi="仿宋" w:eastAsia="仿宋" w:cs="仿宋"/>
          <w:sz w:val="32"/>
          <w:szCs w:val="32"/>
        </w:rPr>
        <w:t>、充分体现“公正、公平、科学”的执裁原则，本赛项主体为上机操作题。</w:t>
      </w:r>
    </w:p>
    <w:p>
      <w:pPr>
        <w:spacing w:line="360" w:lineRule="auto"/>
        <w:ind w:firstLine="640" w:firstLineChars="200"/>
        <w:outlineLvl w:val="2"/>
        <w:rPr>
          <w:rFonts w:ascii="仿宋" w:hAnsi="仿宋" w:eastAsia="仿宋"/>
          <w:kern w:val="0"/>
          <w:sz w:val="32"/>
          <w:szCs w:val="32"/>
        </w:rPr>
      </w:pPr>
      <w:r>
        <w:rPr>
          <w:rFonts w:ascii="仿宋" w:hAnsi="仿宋" w:eastAsia="仿宋" w:cs="仿宋"/>
          <w:sz w:val="32"/>
          <w:szCs w:val="32"/>
        </w:rPr>
        <w:t>3</w:t>
      </w:r>
      <w:r>
        <w:rPr>
          <w:rFonts w:hint="eastAsia" w:ascii="仿宋" w:hAnsi="仿宋" w:eastAsia="仿宋" w:cs="仿宋"/>
          <w:sz w:val="32"/>
          <w:szCs w:val="32"/>
        </w:rPr>
        <w:t>、竞赛成绩评定在加密且不受外界干扰的情况下进行。</w:t>
      </w:r>
    </w:p>
    <w:p>
      <w:pPr>
        <w:spacing w:line="360" w:lineRule="auto"/>
        <w:ind w:left="480"/>
        <w:outlineLvl w:val="2"/>
        <w:rPr>
          <w:rFonts w:ascii="仿宋" w:hAnsi="仿宋" w:eastAsia="仿宋"/>
          <w:kern w:val="0"/>
          <w:sz w:val="32"/>
          <w:szCs w:val="32"/>
        </w:rPr>
      </w:pPr>
      <w:r>
        <w:rPr>
          <w:rFonts w:hint="eastAsia" w:ascii="仿宋" w:hAnsi="仿宋" w:eastAsia="仿宋" w:cs="仿宋"/>
          <w:kern w:val="0"/>
          <w:sz w:val="32"/>
          <w:szCs w:val="32"/>
        </w:rPr>
        <w:t>（二）评分方法</w:t>
      </w:r>
    </w:p>
    <w:p>
      <w:pPr>
        <w:pStyle w:val="15"/>
        <w:spacing w:line="360" w:lineRule="auto"/>
        <w:ind w:firstLine="640"/>
        <w:outlineLvl w:val="2"/>
        <w:rPr>
          <w:rFonts w:ascii="仿宋" w:hAnsi="仿宋" w:eastAsia="仿宋" w:cs="Times New Roman"/>
          <w:color w:val="000000"/>
          <w:sz w:val="32"/>
          <w:szCs w:val="32"/>
        </w:rPr>
      </w:pPr>
      <w:r>
        <w:rPr>
          <w:rFonts w:hint="eastAsia" w:ascii="仿宋" w:hAnsi="仿宋" w:eastAsia="仿宋" w:cs="仿宋"/>
          <w:sz w:val="32"/>
          <w:szCs w:val="32"/>
        </w:rPr>
        <w:t>比赛总成绩满分</w:t>
      </w:r>
      <w:r>
        <w:rPr>
          <w:rFonts w:ascii="仿宋" w:hAnsi="仿宋" w:eastAsia="仿宋" w:cs="仿宋"/>
          <w:sz w:val="32"/>
          <w:szCs w:val="32"/>
        </w:rPr>
        <w:t>100</w:t>
      </w:r>
      <w:r>
        <w:rPr>
          <w:rFonts w:hint="eastAsia" w:ascii="仿宋" w:hAnsi="仿宋" w:eastAsia="仿宋" w:cs="仿宋"/>
          <w:sz w:val="32"/>
          <w:szCs w:val="32"/>
        </w:rPr>
        <w:t>分。各部分分别计算得分，计入团队总分。</w:t>
      </w:r>
    </w:p>
    <w:p>
      <w:pPr>
        <w:spacing w:line="360" w:lineRule="auto"/>
        <w:ind w:firstLine="480" w:firstLineChars="150"/>
        <w:outlineLvl w:val="2"/>
        <w:rPr>
          <w:rFonts w:ascii="仿宋" w:hAnsi="仿宋" w:eastAsia="仿宋"/>
          <w:kern w:val="0"/>
          <w:sz w:val="32"/>
          <w:szCs w:val="32"/>
        </w:rPr>
      </w:pPr>
      <w:r>
        <w:rPr>
          <w:rFonts w:hint="eastAsia" w:ascii="仿宋" w:hAnsi="仿宋" w:eastAsia="仿宋"/>
          <w:kern w:val="0"/>
          <w:sz w:val="32"/>
          <w:szCs w:val="32"/>
        </w:rPr>
        <w:t>1</w:t>
      </w:r>
      <w:r>
        <w:rPr>
          <w:rFonts w:hint="eastAsia" w:ascii="仿宋" w:hAnsi="仿宋" w:eastAsia="仿宋" w:cs="仿宋"/>
          <w:sz w:val="32"/>
          <w:szCs w:val="32"/>
        </w:rPr>
        <w:t>、</w:t>
      </w:r>
      <w:r>
        <w:rPr>
          <w:rFonts w:hint="eastAsia" w:ascii="仿宋" w:hAnsi="仿宋" w:eastAsia="仿宋"/>
          <w:kern w:val="0"/>
          <w:sz w:val="32"/>
          <w:szCs w:val="32"/>
        </w:rPr>
        <w:t>本赛项的评分方法分为：现场评分和结果评分。</w:t>
      </w:r>
    </w:p>
    <w:p>
      <w:pPr>
        <w:spacing w:line="360" w:lineRule="auto"/>
        <w:ind w:firstLine="480" w:firstLineChars="150"/>
        <w:outlineLvl w:val="2"/>
        <w:rPr>
          <w:rFonts w:ascii="仿宋" w:hAnsi="仿宋" w:eastAsia="仿宋"/>
          <w:kern w:val="0"/>
          <w:sz w:val="32"/>
          <w:szCs w:val="32"/>
        </w:rPr>
      </w:pPr>
      <w:r>
        <w:rPr>
          <w:rFonts w:hint="eastAsia" w:ascii="仿宋" w:hAnsi="仿宋" w:eastAsia="仿宋"/>
          <w:kern w:val="0"/>
          <w:sz w:val="32"/>
          <w:szCs w:val="32"/>
        </w:rPr>
        <w:t>2</w:t>
      </w:r>
      <w:r>
        <w:rPr>
          <w:rFonts w:hint="eastAsia" w:ascii="仿宋" w:hAnsi="仿宋" w:eastAsia="仿宋" w:cs="仿宋"/>
          <w:sz w:val="32"/>
          <w:szCs w:val="32"/>
        </w:rPr>
        <w:t>、</w:t>
      </w:r>
      <w:r>
        <w:rPr>
          <w:rFonts w:hint="eastAsia" w:ascii="仿宋" w:hAnsi="仿宋" w:eastAsia="仿宋"/>
          <w:kern w:val="0"/>
          <w:sz w:val="32"/>
          <w:szCs w:val="32"/>
        </w:rPr>
        <w:t>根据评分标准设计评分表，包括现场打分和竞赛成果打分。</w:t>
      </w:r>
    </w:p>
    <w:p>
      <w:pPr>
        <w:spacing w:line="360" w:lineRule="auto"/>
        <w:ind w:firstLine="480" w:firstLineChars="150"/>
        <w:outlineLvl w:val="2"/>
        <w:rPr>
          <w:rFonts w:ascii="仿宋" w:hAnsi="仿宋" w:eastAsia="仿宋"/>
          <w:kern w:val="0"/>
          <w:sz w:val="32"/>
          <w:szCs w:val="32"/>
        </w:rPr>
      </w:pPr>
      <w:r>
        <w:rPr>
          <w:rFonts w:hint="eastAsia" w:ascii="仿宋" w:hAnsi="仿宋" w:eastAsia="仿宋"/>
          <w:kern w:val="0"/>
          <w:sz w:val="32"/>
          <w:szCs w:val="32"/>
        </w:rPr>
        <w:t>3.现场评分。对参赛队的操作规范、现场表现等进行评分。</w:t>
      </w:r>
    </w:p>
    <w:p>
      <w:pPr>
        <w:spacing w:line="360" w:lineRule="auto"/>
        <w:ind w:firstLine="480" w:firstLineChars="150"/>
        <w:outlineLvl w:val="2"/>
        <w:rPr>
          <w:rFonts w:ascii="仿宋" w:hAnsi="仿宋" w:eastAsia="仿宋"/>
          <w:kern w:val="0"/>
          <w:sz w:val="32"/>
          <w:szCs w:val="32"/>
        </w:rPr>
      </w:pPr>
      <w:r>
        <w:rPr>
          <w:rFonts w:hint="eastAsia" w:ascii="仿宋" w:hAnsi="仿宋" w:eastAsia="仿宋"/>
          <w:kern w:val="0"/>
          <w:sz w:val="32"/>
          <w:szCs w:val="32"/>
        </w:rPr>
        <w:t>4</w:t>
      </w:r>
      <w:r>
        <w:rPr>
          <w:rFonts w:hint="eastAsia" w:ascii="仿宋" w:hAnsi="仿宋" w:eastAsia="仿宋" w:cs="仿宋"/>
          <w:sz w:val="32"/>
          <w:szCs w:val="32"/>
        </w:rPr>
        <w:t>、</w:t>
      </w:r>
      <w:r>
        <w:rPr>
          <w:rFonts w:hint="eastAsia" w:ascii="仿宋" w:hAnsi="仿宋" w:eastAsia="仿宋"/>
          <w:kern w:val="0"/>
          <w:sz w:val="32"/>
          <w:szCs w:val="32"/>
        </w:rPr>
        <w:t>结果评分。结果评分是对参赛选手提交的竞赛成果，依据赛项评分标准进行评价评分。</w:t>
      </w:r>
    </w:p>
    <w:p>
      <w:pPr>
        <w:spacing w:line="360" w:lineRule="auto"/>
        <w:ind w:firstLine="480" w:firstLineChars="150"/>
        <w:outlineLvl w:val="2"/>
        <w:rPr>
          <w:rFonts w:ascii="仿宋" w:hAnsi="仿宋" w:eastAsia="仿宋"/>
          <w:kern w:val="0"/>
          <w:sz w:val="32"/>
          <w:szCs w:val="32"/>
        </w:rPr>
      </w:pPr>
      <w:r>
        <w:rPr>
          <w:rFonts w:hint="eastAsia" w:ascii="仿宋" w:hAnsi="仿宋" w:eastAsia="仿宋"/>
          <w:kern w:val="0"/>
          <w:sz w:val="32"/>
          <w:szCs w:val="32"/>
        </w:rPr>
        <w:t>5</w:t>
      </w:r>
      <w:r>
        <w:rPr>
          <w:rFonts w:hint="eastAsia" w:ascii="仿宋" w:hAnsi="仿宋" w:eastAsia="仿宋" w:cs="仿宋"/>
          <w:sz w:val="32"/>
          <w:szCs w:val="32"/>
        </w:rPr>
        <w:t>、</w:t>
      </w:r>
      <w:r>
        <w:rPr>
          <w:rFonts w:hint="eastAsia" w:ascii="仿宋" w:hAnsi="仿宋" w:eastAsia="仿宋"/>
          <w:kern w:val="0"/>
          <w:sz w:val="32"/>
          <w:szCs w:val="32"/>
        </w:rPr>
        <w:t>竞赛成绩经复核无误后，经裁判长、监督人员审核签字后公布。</w:t>
      </w:r>
    </w:p>
    <w:p>
      <w:pPr>
        <w:pStyle w:val="15"/>
        <w:spacing w:line="360" w:lineRule="auto"/>
        <w:ind w:firstLine="639" w:firstLineChars="199"/>
        <w:outlineLvl w:val="2"/>
        <w:rPr>
          <w:rFonts w:ascii="黑体" w:hAnsi="黑体" w:eastAsia="黑体" w:cs="Times New Roman"/>
          <w:b/>
          <w:bCs/>
          <w:color w:val="000000"/>
          <w:sz w:val="32"/>
          <w:szCs w:val="32"/>
        </w:rPr>
      </w:pPr>
      <w:r>
        <w:rPr>
          <w:rFonts w:hint="eastAsia" w:ascii="黑体" w:hAnsi="黑体" w:eastAsia="黑体" w:cs="黑体"/>
          <w:b/>
          <w:bCs/>
          <w:color w:val="000000"/>
          <w:sz w:val="32"/>
          <w:szCs w:val="32"/>
          <w:lang w:eastAsia="zh-CN"/>
        </w:rPr>
        <w:t>九</w:t>
      </w:r>
      <w:r>
        <w:rPr>
          <w:rFonts w:hint="eastAsia" w:ascii="黑体" w:hAnsi="黑体" w:eastAsia="黑体" w:cs="黑体"/>
          <w:b/>
          <w:bCs/>
          <w:color w:val="000000"/>
          <w:sz w:val="32"/>
          <w:szCs w:val="32"/>
        </w:rPr>
        <w:t>、竞赛试题</w:t>
      </w:r>
    </w:p>
    <w:p>
      <w:pPr>
        <w:pStyle w:val="15"/>
        <w:spacing w:line="360" w:lineRule="auto"/>
        <w:ind w:firstLine="640"/>
        <w:outlineLvl w:val="2"/>
        <w:rPr>
          <w:rFonts w:ascii="仿宋" w:hAnsi="仿宋" w:eastAsia="仿宋" w:cs="Times New Roman"/>
          <w:color w:val="000000"/>
          <w:sz w:val="32"/>
          <w:szCs w:val="32"/>
        </w:rPr>
      </w:pPr>
      <w:r>
        <w:rPr>
          <w:rFonts w:hint="eastAsia" w:ascii="仿宋" w:hAnsi="仿宋" w:eastAsia="仿宋" w:cs="仿宋"/>
          <w:color w:val="000000"/>
          <w:sz w:val="32"/>
          <w:szCs w:val="32"/>
        </w:rPr>
        <w:t>1</w:t>
      </w:r>
      <w:r>
        <w:rPr>
          <w:rFonts w:hint="eastAsia" w:ascii="仿宋" w:hAnsi="仿宋" w:eastAsia="仿宋" w:cs="仿宋"/>
          <w:sz w:val="32"/>
          <w:szCs w:val="32"/>
        </w:rPr>
        <w:t>、</w:t>
      </w:r>
      <w:r>
        <w:rPr>
          <w:rFonts w:hint="eastAsia" w:ascii="仿宋" w:hAnsi="仿宋" w:eastAsia="仿宋" w:cs="仿宋"/>
          <w:color w:val="000000"/>
          <w:sz w:val="32"/>
          <w:szCs w:val="32"/>
        </w:rPr>
        <w:t>在赛前举行赛前说明会，对竞赛题型、结构、考点、评分、注意事项等进行说明和答疑。</w:t>
      </w:r>
    </w:p>
    <w:p>
      <w:pPr>
        <w:spacing w:line="360" w:lineRule="auto"/>
        <w:ind w:firstLine="640" w:firstLineChars="200"/>
        <w:outlineLvl w:val="2"/>
        <w:rPr>
          <w:rFonts w:ascii="仿宋" w:hAnsi="仿宋" w:eastAsia="仿宋"/>
          <w:sz w:val="32"/>
          <w:szCs w:val="32"/>
        </w:rPr>
      </w:pPr>
      <w:r>
        <w:rPr>
          <w:rFonts w:hint="eastAsia" w:ascii="仿宋" w:hAnsi="仿宋" w:eastAsia="仿宋" w:cs="仿宋"/>
          <w:color w:val="000000"/>
          <w:sz w:val="32"/>
          <w:szCs w:val="32"/>
        </w:rPr>
        <w:t>2</w:t>
      </w:r>
      <w:r>
        <w:rPr>
          <w:rFonts w:hint="eastAsia" w:ascii="仿宋" w:hAnsi="仿宋" w:eastAsia="仿宋" w:cs="仿宋"/>
          <w:sz w:val="32"/>
          <w:szCs w:val="32"/>
        </w:rPr>
        <w:t>、</w:t>
      </w:r>
      <w:r>
        <w:rPr>
          <w:rFonts w:hint="eastAsia" w:ascii="仿宋" w:hAnsi="仿宋" w:eastAsia="仿宋" w:cs="仿宋"/>
          <w:color w:val="000000"/>
          <w:sz w:val="32"/>
          <w:szCs w:val="32"/>
        </w:rPr>
        <w:t>技能大赛的命题工作由赛项执委会指定的命题专家组负责，</w:t>
      </w:r>
      <w:r>
        <w:rPr>
          <w:rFonts w:hint="eastAsia" w:ascii="仿宋" w:hAnsi="仿宋" w:eastAsia="仿宋" w:cs="仿宋"/>
          <w:sz w:val="32"/>
          <w:szCs w:val="32"/>
        </w:rPr>
        <w:t>由省教育厅全程监控。赛项专家和裁判由大赛组委会推荐，教育厅批准聘请。</w:t>
      </w:r>
    </w:p>
    <w:p>
      <w:pPr>
        <w:pStyle w:val="15"/>
        <w:spacing w:line="360" w:lineRule="auto"/>
        <w:ind w:firstLine="640"/>
        <w:outlineLvl w:val="2"/>
        <w:rPr>
          <w:rFonts w:ascii="仿宋" w:hAnsi="仿宋" w:eastAsia="仿宋" w:cs="Times New Roman"/>
          <w:color w:val="000000"/>
          <w:sz w:val="32"/>
          <w:szCs w:val="32"/>
        </w:rPr>
      </w:pPr>
      <w:r>
        <w:rPr>
          <w:rFonts w:hint="eastAsia" w:ascii="仿宋" w:hAnsi="仿宋" w:eastAsia="仿宋" w:cs="仿宋"/>
          <w:color w:val="000000"/>
          <w:sz w:val="32"/>
          <w:szCs w:val="32"/>
        </w:rPr>
        <w:t>3</w:t>
      </w:r>
      <w:r>
        <w:rPr>
          <w:rFonts w:hint="eastAsia" w:ascii="仿宋" w:hAnsi="仿宋" w:eastAsia="仿宋" w:cs="仿宋"/>
          <w:sz w:val="32"/>
          <w:szCs w:val="32"/>
        </w:rPr>
        <w:t>、</w:t>
      </w:r>
      <w:r>
        <w:rPr>
          <w:rFonts w:hint="eastAsia" w:ascii="仿宋" w:hAnsi="仿宋" w:eastAsia="仿宋" w:cs="仿宋"/>
          <w:color w:val="000000"/>
          <w:sz w:val="32"/>
          <w:szCs w:val="32"/>
        </w:rPr>
        <w:t>正式赛题属于非公开部分，将建立试题库，制定</w:t>
      </w:r>
      <w:r>
        <w:rPr>
          <w:rFonts w:ascii="仿宋" w:hAnsi="仿宋" w:eastAsia="仿宋" w:cs="仿宋"/>
          <w:color w:val="000000"/>
          <w:sz w:val="32"/>
          <w:szCs w:val="32"/>
        </w:rPr>
        <w:t>2</w:t>
      </w:r>
      <w:r>
        <w:rPr>
          <w:rFonts w:hint="eastAsia" w:ascii="仿宋" w:hAnsi="仿宋" w:eastAsia="仿宋" w:cs="仿宋"/>
          <w:color w:val="000000"/>
          <w:sz w:val="32"/>
          <w:szCs w:val="32"/>
        </w:rPr>
        <w:t>套赛题，各套赛题重复率不超过</w:t>
      </w:r>
      <w:r>
        <w:rPr>
          <w:rFonts w:ascii="仿宋" w:hAnsi="仿宋" w:eastAsia="仿宋" w:cs="仿宋"/>
          <w:color w:val="000000"/>
          <w:sz w:val="32"/>
          <w:szCs w:val="32"/>
        </w:rPr>
        <w:t xml:space="preserve"> 50%</w:t>
      </w:r>
      <w:r>
        <w:rPr>
          <w:rFonts w:hint="eastAsia" w:ascii="仿宋" w:hAnsi="仿宋" w:eastAsia="仿宋" w:cs="仿宋"/>
          <w:color w:val="000000"/>
          <w:sz w:val="32"/>
          <w:szCs w:val="32"/>
        </w:rPr>
        <w:t>。竞赛试卷于比赛前三天，经试题库随机排序后，在现场监督人员监督下由裁判长指定相关人员抽取。</w:t>
      </w:r>
    </w:p>
    <w:p>
      <w:pPr>
        <w:spacing w:line="360" w:lineRule="auto"/>
        <w:ind w:left="476"/>
        <w:outlineLvl w:val="2"/>
        <w:rPr>
          <w:rFonts w:ascii="黑体" w:hAnsi="黑体" w:eastAsia="黑体"/>
          <w:b/>
          <w:bCs/>
          <w:sz w:val="32"/>
          <w:szCs w:val="32"/>
        </w:rPr>
      </w:pPr>
      <w:r>
        <w:rPr>
          <w:rFonts w:hint="eastAsia" w:ascii="黑体" w:hAnsi="黑体" w:eastAsia="黑体" w:cs="黑体"/>
          <w:b/>
          <w:bCs/>
          <w:sz w:val="32"/>
          <w:szCs w:val="32"/>
          <w:lang w:eastAsia="zh-CN"/>
        </w:rPr>
        <w:t>十</w:t>
      </w:r>
      <w:r>
        <w:rPr>
          <w:rFonts w:hint="eastAsia" w:ascii="黑体" w:hAnsi="黑体" w:eastAsia="黑体" w:cs="黑体"/>
          <w:b/>
          <w:bCs/>
          <w:sz w:val="32"/>
          <w:szCs w:val="32"/>
        </w:rPr>
        <w:t>、奖项设置</w:t>
      </w:r>
    </w:p>
    <w:p>
      <w:pPr>
        <w:spacing w:line="360" w:lineRule="auto"/>
        <w:ind w:left="476"/>
        <w:outlineLvl w:val="2"/>
        <w:rPr>
          <w:rFonts w:ascii="仿宋" w:hAnsi="仿宋" w:eastAsia="仿宋"/>
          <w:kern w:val="0"/>
          <w:sz w:val="32"/>
          <w:szCs w:val="32"/>
        </w:rPr>
      </w:pPr>
      <w:r>
        <w:rPr>
          <w:rFonts w:hint="eastAsia" w:ascii="仿宋" w:hAnsi="仿宋" w:eastAsia="仿宋" w:cs="仿宋"/>
          <w:kern w:val="0"/>
          <w:sz w:val="32"/>
          <w:szCs w:val="32"/>
        </w:rPr>
        <w:t>按教育厅相关文件设置。</w:t>
      </w:r>
    </w:p>
    <w:p>
      <w:pPr>
        <w:spacing w:line="360" w:lineRule="auto"/>
        <w:ind w:left="476"/>
        <w:outlineLvl w:val="2"/>
        <w:rPr>
          <w:rFonts w:ascii="黑体" w:hAnsi="黑体" w:eastAsia="黑体"/>
          <w:b/>
          <w:bCs/>
          <w:sz w:val="32"/>
          <w:szCs w:val="32"/>
        </w:rPr>
      </w:pPr>
      <w:r>
        <w:rPr>
          <w:rFonts w:hint="eastAsia" w:ascii="黑体" w:hAnsi="黑体" w:eastAsia="黑体" w:cs="黑体"/>
          <w:b/>
          <w:bCs/>
          <w:sz w:val="32"/>
          <w:szCs w:val="32"/>
        </w:rPr>
        <w:t>十</w:t>
      </w:r>
      <w:r>
        <w:rPr>
          <w:rFonts w:hint="eastAsia" w:ascii="黑体" w:hAnsi="黑体" w:eastAsia="黑体" w:cs="黑体"/>
          <w:b/>
          <w:bCs/>
          <w:sz w:val="32"/>
          <w:szCs w:val="32"/>
          <w:lang w:eastAsia="zh-CN"/>
        </w:rPr>
        <w:t>一</w:t>
      </w:r>
      <w:r>
        <w:rPr>
          <w:rFonts w:hint="eastAsia" w:ascii="黑体" w:hAnsi="黑体" w:eastAsia="黑体" w:cs="黑体"/>
          <w:b/>
          <w:bCs/>
          <w:sz w:val="32"/>
          <w:szCs w:val="32"/>
        </w:rPr>
        <w:t>、申诉与仲裁</w:t>
      </w:r>
    </w:p>
    <w:p>
      <w:pPr>
        <w:spacing w:line="360" w:lineRule="auto"/>
        <w:ind w:firstLine="640" w:firstLineChars="200"/>
        <w:outlineLvl w:val="2"/>
        <w:rPr>
          <w:rFonts w:ascii="仿宋" w:hAnsi="仿宋" w:eastAsia="仿宋"/>
          <w:kern w:val="0"/>
          <w:sz w:val="32"/>
          <w:szCs w:val="32"/>
        </w:rPr>
      </w:pPr>
      <w:r>
        <w:rPr>
          <w:rFonts w:ascii="仿宋" w:hAnsi="仿宋" w:eastAsia="仿宋" w:cs="仿宋"/>
          <w:kern w:val="0"/>
          <w:sz w:val="32"/>
          <w:szCs w:val="32"/>
        </w:rPr>
        <w:t>1</w:t>
      </w:r>
      <w:r>
        <w:rPr>
          <w:rFonts w:hint="eastAsia" w:ascii="仿宋" w:hAnsi="仿宋" w:eastAsia="仿宋" w:cs="仿宋"/>
          <w:sz w:val="32"/>
          <w:szCs w:val="32"/>
        </w:rPr>
        <w:t>、</w:t>
      </w:r>
      <w:r>
        <w:rPr>
          <w:rFonts w:hint="eastAsia" w:ascii="仿宋" w:hAnsi="仿宋" w:eastAsia="仿宋" w:cs="仿宋"/>
          <w:kern w:val="0"/>
          <w:sz w:val="32"/>
          <w:szCs w:val="32"/>
        </w:rPr>
        <w:t>参赛选手对不符合竞赛规定的设备，有失公正的检测、评判、奖励，以及对工作人员的违规行为等，均可提出申诉。</w:t>
      </w:r>
    </w:p>
    <w:p>
      <w:pPr>
        <w:spacing w:line="360" w:lineRule="auto"/>
        <w:ind w:firstLine="640" w:firstLineChars="200"/>
        <w:outlineLvl w:val="2"/>
        <w:rPr>
          <w:rFonts w:ascii="仿宋" w:hAnsi="仿宋" w:eastAsia="仿宋"/>
          <w:kern w:val="0"/>
          <w:sz w:val="32"/>
          <w:szCs w:val="32"/>
        </w:rPr>
      </w:pPr>
      <w:r>
        <w:rPr>
          <w:rFonts w:ascii="仿宋" w:hAnsi="仿宋" w:eastAsia="仿宋" w:cs="仿宋"/>
          <w:kern w:val="0"/>
          <w:sz w:val="32"/>
          <w:szCs w:val="32"/>
        </w:rPr>
        <w:t>2</w:t>
      </w:r>
      <w:r>
        <w:rPr>
          <w:rFonts w:hint="eastAsia" w:ascii="仿宋" w:hAnsi="仿宋" w:eastAsia="仿宋" w:cs="仿宋"/>
          <w:sz w:val="32"/>
          <w:szCs w:val="32"/>
        </w:rPr>
        <w:t>、</w:t>
      </w:r>
      <w:r>
        <w:rPr>
          <w:rFonts w:hint="eastAsia" w:ascii="仿宋" w:hAnsi="仿宋" w:eastAsia="仿宋" w:cs="仿宋"/>
          <w:kern w:val="0"/>
          <w:sz w:val="32"/>
          <w:szCs w:val="32"/>
        </w:rPr>
        <w:t>选手申诉均须通过本代表队领队，按照规定时限用书面形式向仲裁委员会（或仲裁组）提出。仲裁委员会要认真负责地受理选手申诉，并将处理意见通知领队或当事人。</w:t>
      </w:r>
    </w:p>
    <w:p>
      <w:pPr>
        <w:spacing w:line="360" w:lineRule="auto"/>
        <w:ind w:firstLine="640" w:firstLineChars="200"/>
        <w:outlineLvl w:val="2"/>
        <w:rPr>
          <w:rFonts w:ascii="仿宋" w:hAnsi="仿宋" w:eastAsia="仿宋"/>
          <w:kern w:val="0"/>
          <w:sz w:val="32"/>
          <w:szCs w:val="32"/>
        </w:rPr>
      </w:pPr>
      <w:r>
        <w:rPr>
          <w:rFonts w:ascii="仿宋" w:hAnsi="仿宋" w:eastAsia="仿宋" w:cs="仿宋"/>
          <w:kern w:val="0"/>
          <w:sz w:val="32"/>
          <w:szCs w:val="32"/>
        </w:rPr>
        <w:t>3</w:t>
      </w:r>
      <w:r>
        <w:rPr>
          <w:rFonts w:hint="eastAsia" w:ascii="仿宋" w:hAnsi="仿宋" w:eastAsia="仿宋" w:cs="仿宋"/>
          <w:sz w:val="32"/>
          <w:szCs w:val="32"/>
        </w:rPr>
        <w:t>、</w:t>
      </w:r>
      <w:r>
        <w:rPr>
          <w:rFonts w:hint="eastAsia" w:ascii="仿宋" w:hAnsi="仿宋" w:eastAsia="仿宋" w:cs="仿宋"/>
          <w:kern w:val="0"/>
          <w:sz w:val="32"/>
          <w:szCs w:val="32"/>
        </w:rPr>
        <w:t>仲裁委员会的裁决为最终裁决，参赛选手不得因申诉或对处理意见不服而停止竞赛，否则按弃权处理。</w:t>
      </w:r>
    </w:p>
    <w:p>
      <w:pPr>
        <w:spacing w:line="360" w:lineRule="auto"/>
        <w:ind w:left="476"/>
        <w:outlineLvl w:val="2"/>
        <w:rPr>
          <w:rFonts w:ascii="黑体" w:hAnsi="黑体" w:eastAsia="黑体"/>
          <w:b/>
          <w:bCs/>
          <w:sz w:val="32"/>
          <w:szCs w:val="32"/>
        </w:rPr>
      </w:pPr>
      <w:r>
        <w:rPr>
          <w:rFonts w:hint="eastAsia" w:ascii="黑体" w:hAnsi="黑体" w:eastAsia="黑体" w:cs="黑体"/>
          <w:b/>
          <w:bCs/>
          <w:sz w:val="32"/>
          <w:szCs w:val="32"/>
        </w:rPr>
        <w:t>十</w:t>
      </w:r>
      <w:r>
        <w:rPr>
          <w:rFonts w:hint="eastAsia" w:ascii="黑体" w:hAnsi="黑体" w:eastAsia="黑体" w:cs="黑体"/>
          <w:b/>
          <w:bCs/>
          <w:sz w:val="32"/>
          <w:szCs w:val="32"/>
          <w:lang w:eastAsia="zh-CN"/>
        </w:rPr>
        <w:t>二</w:t>
      </w:r>
      <w:r>
        <w:rPr>
          <w:rFonts w:hint="eastAsia" w:ascii="黑体" w:hAnsi="黑体" w:eastAsia="黑体" w:cs="黑体"/>
          <w:b/>
          <w:bCs/>
          <w:sz w:val="32"/>
          <w:szCs w:val="32"/>
        </w:rPr>
        <w:t>、赛项安全</w:t>
      </w:r>
    </w:p>
    <w:p>
      <w:pPr>
        <w:spacing w:line="360" w:lineRule="auto"/>
        <w:ind w:left="476"/>
        <w:outlineLvl w:val="2"/>
        <w:rPr>
          <w:rFonts w:ascii="仿宋" w:hAnsi="仿宋" w:eastAsia="仿宋"/>
          <w:sz w:val="32"/>
          <w:szCs w:val="32"/>
        </w:rPr>
      </w:pPr>
      <w:r>
        <w:rPr>
          <w:rFonts w:hint="eastAsia" w:ascii="仿宋" w:hAnsi="仿宋" w:eastAsia="仿宋" w:cs="仿宋"/>
          <w:sz w:val="32"/>
          <w:szCs w:val="32"/>
        </w:rPr>
        <w:t>（一）安保工作</w:t>
      </w:r>
    </w:p>
    <w:p>
      <w:pPr>
        <w:spacing w:line="360" w:lineRule="auto"/>
        <w:ind w:left="476"/>
        <w:outlineLvl w:val="2"/>
        <w:rPr>
          <w:rFonts w:ascii="仿宋" w:hAnsi="仿宋" w:eastAsia="仿宋"/>
          <w:sz w:val="32"/>
          <w:szCs w:val="32"/>
        </w:rPr>
      </w:pPr>
      <w:r>
        <w:rPr>
          <w:rFonts w:hint="eastAsia" w:ascii="仿宋" w:hAnsi="仿宋" w:eastAsia="仿宋" w:cs="仿宋"/>
          <w:sz w:val="32"/>
          <w:szCs w:val="32"/>
        </w:rPr>
        <w:t>设立安全保障小组，承办校保卫处参加，明确安全保障</w:t>
      </w:r>
    </w:p>
    <w:p>
      <w:pPr>
        <w:spacing w:line="360" w:lineRule="auto"/>
        <w:outlineLvl w:val="2"/>
        <w:rPr>
          <w:rFonts w:ascii="仿宋" w:hAnsi="仿宋" w:eastAsia="仿宋"/>
          <w:sz w:val="32"/>
          <w:szCs w:val="32"/>
        </w:rPr>
      </w:pPr>
      <w:r>
        <w:rPr>
          <w:rFonts w:hint="eastAsia" w:ascii="仿宋" w:hAnsi="仿宋" w:eastAsia="仿宋" w:cs="仿宋"/>
          <w:sz w:val="32"/>
          <w:szCs w:val="32"/>
        </w:rPr>
        <w:t>责任人和负责人，制定详细安全保障制度和保障预案。具体制度如下：</w:t>
      </w:r>
    </w:p>
    <w:p>
      <w:pPr>
        <w:spacing w:line="360" w:lineRule="auto"/>
        <w:ind w:firstLine="627" w:firstLineChars="196"/>
        <w:outlineLvl w:val="2"/>
        <w:rPr>
          <w:rFonts w:ascii="仿宋" w:hAnsi="仿宋" w:eastAsia="仿宋"/>
          <w:sz w:val="32"/>
          <w:szCs w:val="32"/>
        </w:rPr>
      </w:pPr>
      <w:r>
        <w:rPr>
          <w:rFonts w:ascii="仿宋" w:hAnsi="仿宋" w:eastAsia="仿宋" w:cs="仿宋"/>
          <w:sz w:val="32"/>
          <w:szCs w:val="32"/>
        </w:rPr>
        <w:t>1</w:t>
      </w:r>
      <w:r>
        <w:rPr>
          <w:rFonts w:hint="eastAsia" w:ascii="仿宋" w:hAnsi="仿宋" w:eastAsia="仿宋" w:cs="仿宋"/>
          <w:sz w:val="32"/>
          <w:szCs w:val="32"/>
        </w:rPr>
        <w:t>、保证各通道畅通，并配备专门人员，控制无关人员进入场地，控制人员流量和赛场观众饱和度，贴好安全指示标识等。</w:t>
      </w:r>
    </w:p>
    <w:p>
      <w:pPr>
        <w:spacing w:line="360" w:lineRule="auto"/>
        <w:ind w:left="477" w:leftChars="227" w:firstLine="160" w:firstLineChars="50"/>
        <w:outlineLvl w:val="2"/>
        <w:rPr>
          <w:rFonts w:ascii="仿宋" w:hAnsi="仿宋" w:eastAsia="仿宋"/>
          <w:sz w:val="32"/>
          <w:szCs w:val="32"/>
        </w:rPr>
      </w:pPr>
      <w:r>
        <w:rPr>
          <w:rFonts w:ascii="仿宋" w:hAnsi="仿宋" w:eastAsia="仿宋" w:cs="仿宋"/>
          <w:sz w:val="32"/>
          <w:szCs w:val="32"/>
        </w:rPr>
        <w:t>2</w:t>
      </w:r>
      <w:r>
        <w:rPr>
          <w:rFonts w:hint="eastAsia" w:ascii="仿宋" w:hAnsi="仿宋" w:eastAsia="仿宋" w:cs="仿宋"/>
          <w:sz w:val="32"/>
          <w:szCs w:val="32"/>
        </w:rPr>
        <w:t>、对于社会观众，安全保障小组适当进行合法、合理</w:t>
      </w:r>
    </w:p>
    <w:p>
      <w:pPr>
        <w:spacing w:line="360" w:lineRule="auto"/>
        <w:outlineLvl w:val="2"/>
        <w:rPr>
          <w:rFonts w:ascii="仿宋" w:hAnsi="仿宋" w:eastAsia="仿宋"/>
          <w:sz w:val="32"/>
          <w:szCs w:val="32"/>
        </w:rPr>
      </w:pPr>
      <w:r>
        <w:rPr>
          <w:rFonts w:hint="eastAsia" w:ascii="仿宋" w:hAnsi="仿宋" w:eastAsia="仿宋" w:cs="仿宋"/>
          <w:sz w:val="32"/>
          <w:szCs w:val="32"/>
        </w:rPr>
        <w:t>的询问检查，对携带可疑物品，又拒绝询问检查的观众，安全保障小组将禁止其入内。</w:t>
      </w:r>
    </w:p>
    <w:p>
      <w:pPr>
        <w:spacing w:line="360" w:lineRule="auto"/>
        <w:ind w:firstLine="640" w:firstLineChars="200"/>
        <w:outlineLvl w:val="2"/>
        <w:rPr>
          <w:rFonts w:ascii="仿宋" w:hAnsi="仿宋" w:eastAsia="仿宋"/>
          <w:sz w:val="32"/>
          <w:szCs w:val="32"/>
        </w:rPr>
      </w:pPr>
      <w:r>
        <w:rPr>
          <w:rFonts w:ascii="仿宋" w:hAnsi="仿宋" w:eastAsia="仿宋" w:cs="仿宋"/>
          <w:sz w:val="32"/>
          <w:szCs w:val="32"/>
        </w:rPr>
        <w:t>3</w:t>
      </w:r>
      <w:r>
        <w:rPr>
          <w:rFonts w:hint="eastAsia" w:ascii="仿宋" w:hAnsi="仿宋" w:eastAsia="仿宋" w:cs="仿宋"/>
          <w:sz w:val="32"/>
          <w:szCs w:val="32"/>
        </w:rPr>
        <w:t>、安全保障小组随时对赛场进行巡查、监督，确保安全。</w:t>
      </w:r>
    </w:p>
    <w:p>
      <w:pPr>
        <w:spacing w:line="360" w:lineRule="auto"/>
        <w:ind w:left="477" w:leftChars="227" w:firstLine="160" w:firstLineChars="50"/>
        <w:outlineLvl w:val="2"/>
        <w:rPr>
          <w:rFonts w:ascii="仿宋" w:hAnsi="仿宋" w:eastAsia="仿宋"/>
          <w:sz w:val="32"/>
          <w:szCs w:val="32"/>
        </w:rPr>
      </w:pPr>
      <w:r>
        <w:rPr>
          <w:rFonts w:ascii="仿宋" w:hAnsi="仿宋" w:eastAsia="仿宋" w:cs="仿宋"/>
          <w:sz w:val="32"/>
          <w:szCs w:val="32"/>
        </w:rPr>
        <w:t>4</w:t>
      </w:r>
      <w:r>
        <w:rPr>
          <w:rFonts w:hint="eastAsia" w:ascii="仿宋" w:hAnsi="仿宋" w:eastAsia="仿宋" w:cs="仿宋"/>
          <w:sz w:val="32"/>
          <w:szCs w:val="32"/>
        </w:rPr>
        <w:t>、配备必要的医护人员和医疗药品，有应急抢救预案。</w:t>
      </w:r>
    </w:p>
    <w:p>
      <w:pPr>
        <w:spacing w:line="360" w:lineRule="auto"/>
        <w:ind w:left="477" w:leftChars="227" w:firstLine="160" w:firstLineChars="50"/>
        <w:outlineLvl w:val="2"/>
        <w:rPr>
          <w:rFonts w:ascii="仿宋" w:hAnsi="仿宋" w:eastAsia="仿宋"/>
          <w:sz w:val="32"/>
          <w:szCs w:val="32"/>
        </w:rPr>
      </w:pPr>
      <w:r>
        <w:rPr>
          <w:rFonts w:ascii="仿宋" w:hAnsi="仿宋" w:eastAsia="仿宋" w:cs="仿宋"/>
          <w:sz w:val="32"/>
          <w:szCs w:val="32"/>
        </w:rPr>
        <w:t>5</w:t>
      </w:r>
      <w:r>
        <w:rPr>
          <w:rFonts w:hint="eastAsia" w:ascii="仿宋" w:hAnsi="仿宋" w:eastAsia="仿宋" w:cs="仿宋"/>
          <w:sz w:val="32"/>
          <w:szCs w:val="32"/>
        </w:rPr>
        <w:t>、为确保比赛的顺利举行，要求所有参赛人员必须凭</w:t>
      </w:r>
    </w:p>
    <w:p>
      <w:pPr>
        <w:spacing w:line="360" w:lineRule="auto"/>
        <w:outlineLvl w:val="2"/>
        <w:rPr>
          <w:rFonts w:ascii="仿宋" w:hAnsi="仿宋" w:eastAsia="仿宋"/>
          <w:sz w:val="32"/>
          <w:szCs w:val="32"/>
        </w:rPr>
      </w:pPr>
      <w:r>
        <w:rPr>
          <w:rFonts w:hint="eastAsia" w:ascii="仿宋" w:hAnsi="仿宋" w:eastAsia="仿宋" w:cs="仿宋"/>
          <w:sz w:val="32"/>
          <w:szCs w:val="32"/>
        </w:rPr>
        <w:t>组委会印发的有效证件进入场地，与比赛无关人员严禁进入比赛场地，不得以任何方式干扰比赛正常进行。</w:t>
      </w:r>
    </w:p>
    <w:p>
      <w:pPr>
        <w:tabs>
          <w:tab w:val="left" w:pos="709"/>
          <w:tab w:val="left" w:pos="1276"/>
        </w:tabs>
        <w:spacing w:line="360" w:lineRule="auto"/>
        <w:ind w:firstLine="640" w:firstLineChars="200"/>
        <w:outlineLvl w:val="2"/>
        <w:rPr>
          <w:rFonts w:ascii="仿宋" w:hAnsi="仿宋" w:eastAsia="仿宋"/>
          <w:sz w:val="32"/>
          <w:szCs w:val="32"/>
        </w:rPr>
      </w:pPr>
      <w:r>
        <w:rPr>
          <w:rFonts w:ascii="仿宋" w:hAnsi="仿宋" w:eastAsia="仿宋" w:cs="仿宋"/>
          <w:sz w:val="32"/>
          <w:szCs w:val="32"/>
        </w:rPr>
        <w:t>6</w:t>
      </w:r>
      <w:r>
        <w:rPr>
          <w:rFonts w:hint="eastAsia" w:ascii="仿宋" w:hAnsi="仿宋" w:eastAsia="仿宋" w:cs="仿宋"/>
          <w:sz w:val="32"/>
          <w:szCs w:val="32"/>
        </w:rPr>
        <w:t>、严格控制与参赛无关的易燃易爆以及各类危险品进</w:t>
      </w:r>
    </w:p>
    <w:p>
      <w:pPr>
        <w:spacing w:line="360" w:lineRule="auto"/>
        <w:outlineLvl w:val="2"/>
        <w:rPr>
          <w:rFonts w:ascii="仿宋" w:hAnsi="仿宋" w:eastAsia="仿宋"/>
          <w:sz w:val="32"/>
          <w:szCs w:val="32"/>
        </w:rPr>
      </w:pPr>
      <w:r>
        <w:rPr>
          <w:rFonts w:hint="eastAsia" w:ascii="仿宋" w:hAnsi="仿宋" w:eastAsia="仿宋" w:cs="仿宋"/>
          <w:sz w:val="32"/>
          <w:szCs w:val="32"/>
        </w:rPr>
        <w:t>入比赛场地，不允许随便携带包裹进入赛场。</w:t>
      </w:r>
    </w:p>
    <w:p>
      <w:pPr>
        <w:spacing w:line="360" w:lineRule="auto"/>
        <w:ind w:left="477" w:leftChars="227" w:firstLine="160" w:firstLineChars="50"/>
        <w:outlineLvl w:val="2"/>
        <w:rPr>
          <w:rFonts w:ascii="仿宋" w:hAnsi="仿宋" w:eastAsia="仿宋"/>
          <w:sz w:val="32"/>
          <w:szCs w:val="32"/>
        </w:rPr>
      </w:pPr>
      <w:r>
        <w:rPr>
          <w:rFonts w:ascii="仿宋" w:hAnsi="仿宋" w:eastAsia="仿宋" w:cs="仿宋"/>
          <w:sz w:val="32"/>
          <w:szCs w:val="32"/>
        </w:rPr>
        <w:t>7</w:t>
      </w:r>
      <w:r>
        <w:rPr>
          <w:rFonts w:hint="eastAsia" w:ascii="仿宋" w:hAnsi="仿宋" w:eastAsia="仿宋" w:cs="仿宋"/>
          <w:sz w:val="32"/>
          <w:szCs w:val="32"/>
        </w:rPr>
        <w:t>、比赛现场需进行网络安全控制，以免场内外信息交</w:t>
      </w:r>
    </w:p>
    <w:p>
      <w:pPr>
        <w:spacing w:line="360" w:lineRule="auto"/>
        <w:outlineLvl w:val="2"/>
        <w:rPr>
          <w:rFonts w:ascii="仿宋" w:hAnsi="仿宋" w:eastAsia="仿宋"/>
          <w:sz w:val="32"/>
          <w:szCs w:val="32"/>
        </w:rPr>
      </w:pPr>
      <w:r>
        <w:rPr>
          <w:rFonts w:hint="eastAsia" w:ascii="仿宋" w:hAnsi="仿宋" w:eastAsia="仿宋" w:cs="仿宋"/>
          <w:sz w:val="32"/>
          <w:szCs w:val="32"/>
        </w:rPr>
        <w:t>互，充分体现大赛的严肃、公平和公正性。</w:t>
      </w:r>
    </w:p>
    <w:p>
      <w:pPr>
        <w:spacing w:line="360" w:lineRule="auto"/>
        <w:ind w:left="477" w:leftChars="227" w:firstLine="160" w:firstLineChars="50"/>
        <w:outlineLvl w:val="2"/>
        <w:rPr>
          <w:rFonts w:ascii="仿宋" w:hAnsi="仿宋" w:eastAsia="仿宋"/>
          <w:sz w:val="32"/>
          <w:szCs w:val="32"/>
        </w:rPr>
      </w:pPr>
      <w:r>
        <w:rPr>
          <w:rFonts w:ascii="仿宋" w:hAnsi="仿宋" w:eastAsia="仿宋" w:cs="仿宋"/>
          <w:sz w:val="32"/>
          <w:szCs w:val="32"/>
        </w:rPr>
        <w:t>8</w:t>
      </w:r>
      <w:r>
        <w:rPr>
          <w:rFonts w:hint="eastAsia" w:ascii="仿宋" w:hAnsi="仿宋" w:eastAsia="仿宋" w:cs="仿宋"/>
          <w:sz w:val="32"/>
          <w:szCs w:val="32"/>
        </w:rPr>
        <w:t>、严禁任何人在比赛场地私拉各种电源线。</w:t>
      </w:r>
    </w:p>
    <w:p>
      <w:pPr>
        <w:spacing w:line="360" w:lineRule="auto"/>
        <w:ind w:left="477" w:leftChars="227" w:firstLine="160" w:firstLineChars="50"/>
        <w:outlineLvl w:val="2"/>
        <w:rPr>
          <w:rFonts w:ascii="仿宋" w:hAnsi="仿宋" w:eastAsia="仿宋"/>
          <w:sz w:val="32"/>
          <w:szCs w:val="32"/>
        </w:rPr>
      </w:pPr>
      <w:r>
        <w:rPr>
          <w:rFonts w:ascii="仿宋" w:hAnsi="仿宋" w:eastAsia="仿宋" w:cs="仿宋"/>
          <w:sz w:val="32"/>
          <w:szCs w:val="32"/>
        </w:rPr>
        <w:t>9</w:t>
      </w:r>
      <w:r>
        <w:rPr>
          <w:rFonts w:hint="eastAsia" w:ascii="仿宋" w:hAnsi="仿宋" w:eastAsia="仿宋" w:cs="仿宋"/>
          <w:sz w:val="32"/>
          <w:szCs w:val="32"/>
        </w:rPr>
        <w:t>、设置突发事件应急疏散示意图。</w:t>
      </w:r>
    </w:p>
    <w:p>
      <w:pPr>
        <w:spacing w:line="360" w:lineRule="auto"/>
        <w:ind w:left="476"/>
        <w:outlineLvl w:val="2"/>
        <w:rPr>
          <w:rFonts w:ascii="仿宋" w:hAnsi="仿宋" w:eastAsia="仿宋"/>
          <w:b/>
          <w:bCs/>
          <w:sz w:val="32"/>
          <w:szCs w:val="32"/>
        </w:rPr>
      </w:pPr>
      <w:r>
        <w:rPr>
          <w:rFonts w:hint="eastAsia" w:ascii="仿宋" w:hAnsi="仿宋" w:eastAsia="仿宋" w:cs="仿宋"/>
          <w:b/>
          <w:bCs/>
          <w:sz w:val="32"/>
          <w:szCs w:val="32"/>
        </w:rPr>
        <w:t>（二）应急预案</w:t>
      </w:r>
    </w:p>
    <w:p>
      <w:pPr>
        <w:spacing w:line="360" w:lineRule="auto"/>
        <w:jc w:val="center"/>
        <w:outlineLvl w:val="2"/>
        <w:rPr>
          <w:rFonts w:ascii="仿宋" w:hAnsi="仿宋" w:eastAsia="仿宋"/>
          <w:b/>
          <w:bCs/>
          <w:sz w:val="30"/>
          <w:szCs w:val="30"/>
        </w:rPr>
      </w:pPr>
      <w:r>
        <w:rPr>
          <w:rFonts w:hint="eastAsia" w:ascii="仿宋" w:hAnsi="仿宋" w:eastAsia="仿宋" w:cs="仿宋"/>
          <w:b/>
          <w:bCs/>
          <w:sz w:val="30"/>
          <w:szCs w:val="30"/>
        </w:rPr>
        <w:t>应急预案</w:t>
      </w:r>
    </w:p>
    <w:tbl>
      <w:tblPr>
        <w:tblStyle w:val="10"/>
        <w:tblW w:w="862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4"/>
        <w:gridCol w:w="3488"/>
        <w:gridCol w:w="3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trPr>
        <w:tc>
          <w:tcPr>
            <w:tcW w:w="1774" w:type="dxa"/>
            <w:vAlign w:val="center"/>
          </w:tcPr>
          <w:p>
            <w:pPr>
              <w:widowControl/>
              <w:jc w:val="center"/>
              <w:textAlignment w:val="center"/>
              <w:rPr>
                <w:rFonts w:ascii="仿宋_GB2312" w:eastAsia="仿宋_GB2312"/>
                <w:b/>
                <w:color w:val="000000" w:themeColor="text1"/>
                <w:kern w:val="0"/>
                <w:sz w:val="24"/>
                <w14:textFill>
                  <w14:solidFill>
                    <w14:schemeClr w14:val="tx1"/>
                  </w14:solidFill>
                </w14:textFill>
              </w:rPr>
            </w:pPr>
            <w:r>
              <w:rPr>
                <w:rFonts w:hint="eastAsia" w:ascii="仿宋_GB2312" w:eastAsia="仿宋_GB2312"/>
                <w:b/>
                <w:color w:val="000000" w:themeColor="text1"/>
                <w:kern w:val="0"/>
                <w:sz w:val="24"/>
                <w14:textFill>
                  <w14:solidFill>
                    <w14:schemeClr w14:val="tx1"/>
                  </w14:solidFill>
                </w14:textFill>
              </w:rPr>
              <w:t>突发事件</w:t>
            </w:r>
          </w:p>
        </w:tc>
        <w:tc>
          <w:tcPr>
            <w:tcW w:w="3488" w:type="dxa"/>
            <w:vAlign w:val="center"/>
          </w:tcPr>
          <w:p>
            <w:pPr>
              <w:widowControl/>
              <w:jc w:val="center"/>
              <w:textAlignment w:val="center"/>
              <w:rPr>
                <w:rFonts w:ascii="仿宋_GB2312" w:eastAsia="仿宋_GB2312"/>
                <w:b/>
                <w:color w:val="000000" w:themeColor="text1"/>
                <w:kern w:val="0"/>
                <w:sz w:val="24"/>
                <w14:textFill>
                  <w14:solidFill>
                    <w14:schemeClr w14:val="tx1"/>
                  </w14:solidFill>
                </w14:textFill>
              </w:rPr>
            </w:pPr>
            <w:r>
              <w:rPr>
                <w:rFonts w:hint="eastAsia" w:ascii="仿宋_GB2312" w:eastAsia="仿宋_GB2312"/>
                <w:b/>
                <w:color w:val="000000" w:themeColor="text1"/>
                <w:kern w:val="0"/>
                <w:sz w:val="24"/>
                <w14:textFill>
                  <w14:solidFill>
                    <w14:schemeClr w14:val="tx1"/>
                  </w14:solidFill>
                </w14:textFill>
              </w:rPr>
              <w:t>预防措施</w:t>
            </w:r>
          </w:p>
        </w:tc>
        <w:tc>
          <w:tcPr>
            <w:tcW w:w="3366" w:type="dxa"/>
            <w:vAlign w:val="center"/>
          </w:tcPr>
          <w:p>
            <w:pPr>
              <w:widowControl/>
              <w:jc w:val="center"/>
              <w:textAlignment w:val="center"/>
              <w:rPr>
                <w:rFonts w:ascii="仿宋_GB2312" w:eastAsia="仿宋_GB2312"/>
                <w:b/>
                <w:color w:val="000000" w:themeColor="text1"/>
                <w:kern w:val="0"/>
                <w:sz w:val="24"/>
                <w14:textFill>
                  <w14:solidFill>
                    <w14:schemeClr w14:val="tx1"/>
                  </w14:solidFill>
                </w14:textFill>
              </w:rPr>
            </w:pPr>
            <w:r>
              <w:rPr>
                <w:rFonts w:hint="eastAsia" w:ascii="仿宋_GB2312" w:eastAsia="仿宋_GB2312"/>
                <w:b/>
                <w:color w:val="000000" w:themeColor="text1"/>
                <w:kern w:val="0"/>
                <w:sz w:val="24"/>
                <w14:textFill>
                  <w14:solidFill>
                    <w14:schemeClr w14:val="tx1"/>
                  </w14:solidFill>
                </w14:textFill>
              </w:rPr>
              <w:t>事件发生后应对措施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74"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设备损坏（如不能启动、反复重启等）</w:t>
            </w:r>
          </w:p>
          <w:p>
            <w:pPr>
              <w:widowControl/>
              <w:jc w:val="left"/>
              <w:textAlignment w:val="center"/>
              <w:rPr>
                <w:rFonts w:ascii="仿宋_GB2312" w:eastAsia="仿宋_GB2312"/>
                <w:color w:val="000000" w:themeColor="text1"/>
                <w:kern w:val="0"/>
                <w:sz w:val="24"/>
                <w14:textFill>
                  <w14:solidFill>
                    <w14:schemeClr w14:val="tx1"/>
                  </w14:solidFill>
                </w14:textFill>
              </w:rPr>
            </w:pPr>
          </w:p>
        </w:tc>
        <w:tc>
          <w:tcPr>
            <w:tcW w:w="3488"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提前一天烤机，所有设备开机运行，现场设置备机。</w:t>
            </w:r>
          </w:p>
          <w:p>
            <w:pPr>
              <w:widowControl/>
              <w:jc w:val="left"/>
              <w:textAlignment w:val="center"/>
              <w:rPr>
                <w:rFonts w:ascii="仿宋_GB2312" w:eastAsia="仿宋_GB2312"/>
                <w:color w:val="000000" w:themeColor="text1"/>
                <w:kern w:val="0"/>
                <w:sz w:val="24"/>
                <w14:textFill>
                  <w14:solidFill>
                    <w14:schemeClr w14:val="tx1"/>
                  </w14:solidFill>
                </w14:textFill>
              </w:rPr>
            </w:pPr>
          </w:p>
        </w:tc>
        <w:tc>
          <w:tcPr>
            <w:tcW w:w="3366"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参赛选手举手示意后，现场裁判计时并确认后更换备机，并由裁判长酌情确定应计入延时时间。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74"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设备掉电</w:t>
            </w:r>
          </w:p>
          <w:p>
            <w:pPr>
              <w:widowControl/>
              <w:jc w:val="left"/>
              <w:textAlignment w:val="center"/>
              <w:rPr>
                <w:rFonts w:ascii="仿宋_GB2312" w:eastAsia="仿宋_GB2312"/>
                <w:color w:val="000000" w:themeColor="text1"/>
                <w:kern w:val="0"/>
                <w:sz w:val="24"/>
                <w14:textFill>
                  <w14:solidFill>
                    <w14:schemeClr w14:val="tx1"/>
                  </w14:solidFill>
                </w14:textFill>
              </w:rPr>
            </w:pPr>
          </w:p>
        </w:tc>
        <w:tc>
          <w:tcPr>
            <w:tcW w:w="3488"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竞赛前检查所有电源插头确保牢固，电源线尽量绑扎在碰不到的地方，如桌子后面等。</w:t>
            </w:r>
          </w:p>
        </w:tc>
        <w:tc>
          <w:tcPr>
            <w:tcW w:w="3366"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参赛选手举手示意后，现场裁判计时并确认后重启机器，并由裁判长酌情确定应计入延时的时间。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74"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电缆故障</w:t>
            </w:r>
          </w:p>
        </w:tc>
        <w:tc>
          <w:tcPr>
            <w:tcW w:w="3488"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提前测试并准备备用线缆。</w:t>
            </w:r>
          </w:p>
        </w:tc>
        <w:tc>
          <w:tcPr>
            <w:tcW w:w="3366"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使用备用线缆，并用测线仪现场测试。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74"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现场网络线</w:t>
            </w:r>
          </w:p>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缆故障</w:t>
            </w:r>
          </w:p>
          <w:p>
            <w:pPr>
              <w:widowControl/>
              <w:jc w:val="left"/>
              <w:textAlignment w:val="center"/>
              <w:rPr>
                <w:rFonts w:ascii="仿宋_GB2312" w:eastAsia="仿宋_GB2312"/>
                <w:color w:val="000000" w:themeColor="text1"/>
                <w:kern w:val="0"/>
                <w:sz w:val="24"/>
                <w14:textFill>
                  <w14:solidFill>
                    <w14:schemeClr w14:val="tx1"/>
                  </w14:solidFill>
                </w14:textFill>
              </w:rPr>
            </w:pPr>
          </w:p>
        </w:tc>
        <w:tc>
          <w:tcPr>
            <w:tcW w:w="3488"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现场走线要规范，尽量走暗槽或现场人员接触不到的地方，对主要线路要在走线槽内，留有备用线缆。</w:t>
            </w:r>
          </w:p>
        </w:tc>
        <w:tc>
          <w:tcPr>
            <w:tcW w:w="3366"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启用备用线缆。</w:t>
            </w:r>
          </w:p>
          <w:p>
            <w:pPr>
              <w:widowControl/>
              <w:jc w:val="left"/>
              <w:textAlignment w:val="center"/>
              <w:rPr>
                <w:rFonts w:ascii="仿宋_GB2312" w:eastAsia="仿宋_GB2312"/>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74"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开机冲击大电流故障</w:t>
            </w:r>
          </w:p>
        </w:tc>
        <w:tc>
          <w:tcPr>
            <w:tcW w:w="3488"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提前一天开通网络设备，开机直到竞赛结束。</w:t>
            </w:r>
          </w:p>
        </w:tc>
        <w:tc>
          <w:tcPr>
            <w:tcW w:w="3366"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使用备用赛位。</w:t>
            </w:r>
          </w:p>
          <w:p>
            <w:pPr>
              <w:widowControl/>
              <w:jc w:val="left"/>
              <w:textAlignment w:val="center"/>
              <w:rPr>
                <w:rFonts w:ascii="仿宋_GB2312" w:eastAsia="仿宋_GB2312"/>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74" w:type="dxa"/>
            <w:vAlign w:val="center"/>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停电</w:t>
            </w:r>
          </w:p>
        </w:tc>
        <w:tc>
          <w:tcPr>
            <w:tcW w:w="3488"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事前了解供电情况，备用发电机。</w:t>
            </w:r>
          </w:p>
        </w:tc>
        <w:tc>
          <w:tcPr>
            <w:tcW w:w="3366" w:type="dxa"/>
          </w:tcPr>
          <w:p>
            <w:pPr>
              <w:widowControl/>
              <w:jc w:val="left"/>
              <w:textAlignment w:val="center"/>
              <w:rPr>
                <w:rFonts w:ascii="仿宋_GB2312" w:eastAsia="仿宋_GB2312"/>
                <w:color w:val="000000" w:themeColor="text1"/>
                <w:kern w:val="0"/>
                <w:sz w:val="24"/>
                <w14:textFill>
                  <w14:solidFill>
                    <w14:schemeClr w14:val="tx1"/>
                  </w14:solidFill>
                </w14:textFill>
              </w:rPr>
            </w:pPr>
            <w:r>
              <w:rPr>
                <w:rFonts w:hint="eastAsia" w:ascii="仿宋_GB2312" w:eastAsia="仿宋_GB2312"/>
                <w:color w:val="000000" w:themeColor="text1"/>
                <w:kern w:val="0"/>
                <w:sz w:val="24"/>
                <w14:textFill>
                  <w14:solidFill>
                    <w14:schemeClr w14:val="tx1"/>
                  </w14:solidFill>
                </w14:textFill>
              </w:rPr>
              <w:t>启用备用电源。</w:t>
            </w:r>
          </w:p>
        </w:tc>
      </w:tr>
    </w:tbl>
    <w:p>
      <w:pPr>
        <w:spacing w:line="360" w:lineRule="auto"/>
        <w:outlineLvl w:val="2"/>
        <w:rPr>
          <w:rFonts w:ascii="仿宋" w:hAnsi="仿宋" w:eastAsia="仿宋"/>
          <w:b/>
          <w:bCs/>
          <w:sz w:val="32"/>
          <w:szCs w:val="32"/>
        </w:rPr>
      </w:pPr>
    </w:p>
    <w:p>
      <w:pPr>
        <w:spacing w:line="360" w:lineRule="auto"/>
        <w:ind w:left="476"/>
        <w:outlineLvl w:val="2"/>
        <w:rPr>
          <w:rFonts w:ascii="黑体" w:hAnsi="黑体" w:eastAsia="黑体"/>
          <w:b/>
          <w:bCs/>
          <w:sz w:val="32"/>
          <w:szCs w:val="32"/>
        </w:rPr>
      </w:pPr>
      <w:r>
        <w:rPr>
          <w:rFonts w:ascii="黑体" w:hAnsi="黑体" w:eastAsia="黑体" w:cs="黑体"/>
          <w:b/>
          <w:bCs/>
          <w:sz w:val="28"/>
          <w:szCs w:val="28"/>
        </w:rPr>
        <w:t xml:space="preserve"> </w:t>
      </w:r>
      <w:r>
        <w:rPr>
          <w:rFonts w:hint="eastAsia" w:ascii="黑体" w:hAnsi="黑体" w:eastAsia="黑体" w:cs="黑体"/>
          <w:b/>
          <w:bCs/>
          <w:sz w:val="32"/>
          <w:szCs w:val="32"/>
        </w:rPr>
        <w:t>十</w:t>
      </w:r>
      <w:r>
        <w:rPr>
          <w:rFonts w:hint="eastAsia" w:ascii="黑体" w:hAnsi="黑体" w:eastAsia="黑体" w:cs="黑体"/>
          <w:b/>
          <w:bCs/>
          <w:sz w:val="32"/>
          <w:szCs w:val="32"/>
          <w:lang w:eastAsia="zh-CN"/>
        </w:rPr>
        <w:t>三</w:t>
      </w:r>
      <w:r>
        <w:rPr>
          <w:rFonts w:hint="eastAsia" w:ascii="黑体" w:hAnsi="黑体" w:eastAsia="黑体" w:cs="黑体"/>
          <w:b/>
          <w:bCs/>
          <w:sz w:val="32"/>
          <w:szCs w:val="32"/>
        </w:rPr>
        <w:t>、竞赛观摩</w:t>
      </w:r>
    </w:p>
    <w:p>
      <w:pPr>
        <w:widowControl/>
        <w:tabs>
          <w:tab w:val="left" w:pos="709"/>
        </w:tabs>
        <w:spacing w:line="360" w:lineRule="auto"/>
        <w:ind w:firstLine="640" w:firstLineChars="200"/>
        <w:outlineLvl w:val="2"/>
        <w:rPr>
          <w:rFonts w:ascii="仿宋" w:hAnsi="仿宋" w:eastAsia="仿宋"/>
          <w:sz w:val="32"/>
          <w:szCs w:val="32"/>
        </w:rPr>
      </w:pPr>
      <w:r>
        <w:rPr>
          <w:rFonts w:hint="eastAsia" w:ascii="仿宋" w:hAnsi="仿宋" w:eastAsia="仿宋" w:cs="仿宋"/>
          <w:sz w:val="32"/>
          <w:szCs w:val="32"/>
        </w:rPr>
        <w:t>竞赛环境依据竞赛需求和职业特点设计，在竞赛不被干扰的前提下赛场全面开放。欢迎各界人员沿指定路线、在指定区域内到现场观赛。</w:t>
      </w:r>
    </w:p>
    <w:p>
      <w:pPr>
        <w:widowControl/>
        <w:spacing w:line="360" w:lineRule="auto"/>
        <w:ind w:firstLine="643" w:firstLineChars="200"/>
        <w:outlineLvl w:val="2"/>
        <w:rPr>
          <w:rFonts w:ascii="黑体" w:hAnsi="黑体" w:eastAsia="黑体"/>
          <w:b/>
          <w:bCs/>
          <w:sz w:val="32"/>
          <w:szCs w:val="32"/>
        </w:rPr>
      </w:pPr>
      <w:r>
        <w:rPr>
          <w:rFonts w:hint="eastAsia" w:ascii="黑体" w:hAnsi="黑体" w:eastAsia="黑体" w:cs="黑体"/>
          <w:b/>
          <w:bCs/>
          <w:sz w:val="32"/>
          <w:szCs w:val="32"/>
        </w:rPr>
        <w:t>十</w:t>
      </w:r>
      <w:r>
        <w:rPr>
          <w:rFonts w:hint="eastAsia" w:ascii="黑体" w:hAnsi="黑体" w:eastAsia="黑体" w:cs="黑体"/>
          <w:b/>
          <w:bCs/>
          <w:sz w:val="32"/>
          <w:szCs w:val="32"/>
          <w:lang w:eastAsia="zh-CN"/>
        </w:rPr>
        <w:t>四</w:t>
      </w:r>
      <w:r>
        <w:rPr>
          <w:rFonts w:hint="eastAsia" w:ascii="黑体" w:hAnsi="黑体" w:eastAsia="黑体" w:cs="黑体"/>
          <w:b/>
          <w:bCs/>
          <w:sz w:val="32"/>
          <w:szCs w:val="32"/>
        </w:rPr>
        <w:t>、竞赛须知</w:t>
      </w:r>
    </w:p>
    <w:p>
      <w:pPr>
        <w:widowControl/>
        <w:spacing w:line="360" w:lineRule="auto"/>
        <w:ind w:firstLine="640" w:firstLineChars="200"/>
        <w:outlineLvl w:val="2"/>
        <w:rPr>
          <w:rFonts w:ascii="仿宋" w:hAnsi="仿宋" w:eastAsia="仿宋"/>
          <w:sz w:val="32"/>
          <w:szCs w:val="32"/>
        </w:rPr>
      </w:pPr>
      <w:r>
        <w:rPr>
          <w:rFonts w:hint="eastAsia" w:ascii="仿宋" w:hAnsi="仿宋" w:eastAsia="仿宋" w:cs="仿宋"/>
          <w:sz w:val="32"/>
          <w:szCs w:val="32"/>
        </w:rPr>
        <w:t>（一）参赛队须知</w:t>
      </w:r>
    </w:p>
    <w:p>
      <w:pPr>
        <w:widowControl/>
        <w:tabs>
          <w:tab w:val="left" w:pos="709"/>
        </w:tabs>
        <w:spacing w:line="360" w:lineRule="auto"/>
        <w:ind w:firstLine="640" w:firstLineChars="200"/>
        <w:outlineLvl w:val="2"/>
        <w:rPr>
          <w:rFonts w:ascii="仿宋" w:hAnsi="仿宋" w:eastAsia="仿宋"/>
          <w:sz w:val="32"/>
          <w:szCs w:val="32"/>
        </w:rPr>
      </w:pPr>
      <w:r>
        <w:rPr>
          <w:rFonts w:ascii="仿宋" w:hAnsi="仿宋" w:eastAsia="仿宋" w:cs="仿宋"/>
          <w:sz w:val="32"/>
          <w:szCs w:val="32"/>
        </w:rPr>
        <w:t>1</w:t>
      </w:r>
      <w:r>
        <w:rPr>
          <w:rFonts w:hint="eastAsia" w:ascii="仿宋" w:hAnsi="仿宋" w:eastAsia="仿宋" w:cs="仿宋"/>
          <w:sz w:val="32"/>
          <w:szCs w:val="32"/>
        </w:rPr>
        <w:t>、参赛队名称统一使用规定的学校代表队名称。</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2</w:t>
      </w:r>
      <w:r>
        <w:rPr>
          <w:rFonts w:hint="eastAsia" w:ascii="仿宋" w:hAnsi="仿宋" w:eastAsia="仿宋" w:cs="仿宋"/>
          <w:sz w:val="32"/>
          <w:szCs w:val="32"/>
        </w:rPr>
        <w:t>、参赛队应仔细阅读大赛执委会发布的文件内容，确切了解大赛时间安排等，以保证顺利参赛；要按执委会统一要求，准时到达赛前说明会现场。会议期间要认真领会会议内容，如有不明之处，可直接向工作人员询问。</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3</w:t>
      </w:r>
      <w:r>
        <w:rPr>
          <w:rFonts w:hint="eastAsia" w:ascii="仿宋" w:hAnsi="仿宋" w:eastAsia="仿宋" w:cs="仿宋"/>
          <w:sz w:val="32"/>
          <w:szCs w:val="32"/>
        </w:rPr>
        <w:t>、参赛队按照大赛赛程安排，凭大赛执委会颁发的参赛证和有效身份证件参加竞赛及相关活动。</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4</w:t>
      </w:r>
      <w:r>
        <w:rPr>
          <w:rFonts w:hint="eastAsia" w:ascii="仿宋" w:hAnsi="仿宋" w:eastAsia="仿宋" w:cs="仿宋"/>
          <w:sz w:val="32"/>
          <w:szCs w:val="32"/>
        </w:rPr>
        <w:t>、在比赛期间，各参赛队要注意饮食卫生，防止食物中毒；各参赛队要保证所有参赛选手的安全，防止交通事故和其他意外情况的发生。</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5</w:t>
      </w:r>
      <w:r>
        <w:rPr>
          <w:rFonts w:hint="eastAsia" w:ascii="仿宋" w:hAnsi="仿宋" w:eastAsia="仿宋" w:cs="仿宋"/>
          <w:sz w:val="32"/>
          <w:szCs w:val="32"/>
        </w:rPr>
        <w:t>、参加比赛前要求参赛队为参赛选手购买人身意外伤害保险。</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6</w:t>
      </w:r>
      <w:r>
        <w:rPr>
          <w:rFonts w:hint="eastAsia" w:ascii="仿宋" w:hAnsi="仿宋" w:eastAsia="仿宋" w:cs="仿宋"/>
          <w:sz w:val="32"/>
          <w:szCs w:val="32"/>
        </w:rPr>
        <w:t>、本规则没有规定的行为，裁判组有权做出裁决。在有争议的情况下，仲裁工作组的裁决是最终裁决。</w:t>
      </w:r>
    </w:p>
    <w:p>
      <w:pPr>
        <w:widowControl/>
        <w:spacing w:line="360" w:lineRule="auto"/>
        <w:ind w:firstLine="480" w:firstLineChars="150"/>
        <w:outlineLvl w:val="2"/>
        <w:rPr>
          <w:rFonts w:ascii="仿宋" w:hAnsi="仿宋" w:eastAsia="仿宋"/>
          <w:sz w:val="32"/>
          <w:szCs w:val="32"/>
        </w:rPr>
      </w:pPr>
      <w:r>
        <w:rPr>
          <w:rFonts w:hint="eastAsia" w:ascii="仿宋" w:hAnsi="仿宋" w:eastAsia="仿宋" w:cs="仿宋"/>
          <w:sz w:val="32"/>
          <w:szCs w:val="32"/>
        </w:rPr>
        <w:t>（二）指导教师须知</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1</w:t>
      </w:r>
      <w:r>
        <w:rPr>
          <w:rFonts w:hint="eastAsia" w:ascii="仿宋" w:hAnsi="仿宋" w:eastAsia="仿宋" w:cs="仿宋"/>
          <w:sz w:val="32"/>
          <w:szCs w:val="32"/>
        </w:rPr>
        <w:t>、指导教师须认真如实填写报名表内容，弄虚作假者，将取消比赛资格和竞赛成绩。</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2</w:t>
      </w:r>
      <w:r>
        <w:rPr>
          <w:rFonts w:hint="eastAsia" w:ascii="仿宋" w:hAnsi="仿宋" w:eastAsia="仿宋" w:cs="仿宋"/>
          <w:sz w:val="32"/>
          <w:szCs w:val="32"/>
        </w:rPr>
        <w:t>、指导教师在竞赛现场须服从裁判和现场工作人员安排，严禁任何影响比赛正常秩序的行为</w:t>
      </w:r>
    </w:p>
    <w:p>
      <w:pPr>
        <w:widowControl/>
        <w:tabs>
          <w:tab w:val="left" w:pos="709"/>
          <w:tab w:val="left" w:pos="851"/>
        </w:tabs>
        <w:spacing w:line="360" w:lineRule="auto"/>
        <w:ind w:firstLine="480" w:firstLineChars="150"/>
        <w:outlineLvl w:val="2"/>
        <w:rPr>
          <w:rFonts w:ascii="仿宋" w:hAnsi="仿宋" w:eastAsia="仿宋"/>
          <w:sz w:val="32"/>
          <w:szCs w:val="32"/>
        </w:rPr>
      </w:pPr>
      <w:r>
        <w:rPr>
          <w:rFonts w:hint="eastAsia" w:ascii="仿宋" w:hAnsi="仿宋" w:eastAsia="仿宋" w:cs="仿宋"/>
          <w:sz w:val="32"/>
          <w:szCs w:val="32"/>
        </w:rPr>
        <w:t>（三）参赛选手须知</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1</w:t>
      </w:r>
      <w:r>
        <w:rPr>
          <w:rFonts w:hint="eastAsia" w:ascii="仿宋" w:hAnsi="仿宋" w:eastAsia="仿宋" w:cs="仿宋"/>
          <w:sz w:val="32"/>
          <w:szCs w:val="32"/>
        </w:rPr>
        <w:t>、参赛选手须认真如实填写报名表内容，弄虚作假者，将取消比赛资格和竞赛成绩。</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2</w:t>
      </w:r>
      <w:r>
        <w:rPr>
          <w:rFonts w:hint="eastAsia" w:ascii="仿宋" w:hAnsi="仿宋" w:eastAsia="仿宋" w:cs="仿宋"/>
          <w:sz w:val="32"/>
          <w:szCs w:val="32"/>
        </w:rPr>
        <w:t>、参赛选手应着装得体，保持良好仪表仪容。凭身份证、参赛证等参加竞赛及相关活动，并按照赛程安排和规定</w:t>
      </w:r>
    </w:p>
    <w:p>
      <w:pPr>
        <w:widowControl/>
        <w:spacing w:line="360" w:lineRule="auto"/>
        <w:outlineLvl w:val="2"/>
        <w:rPr>
          <w:rFonts w:ascii="仿宋" w:hAnsi="仿宋" w:eastAsia="仿宋"/>
          <w:sz w:val="32"/>
          <w:szCs w:val="32"/>
        </w:rPr>
      </w:pPr>
      <w:r>
        <w:rPr>
          <w:rFonts w:hint="eastAsia" w:ascii="仿宋" w:hAnsi="仿宋" w:eastAsia="仿宋" w:cs="仿宋"/>
          <w:sz w:val="32"/>
          <w:szCs w:val="32"/>
        </w:rPr>
        <w:t>时间前往指定地点。</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3</w:t>
      </w:r>
      <w:r>
        <w:rPr>
          <w:rFonts w:hint="eastAsia" w:ascii="仿宋" w:hAnsi="仿宋" w:eastAsia="仿宋" w:cs="仿宋"/>
          <w:sz w:val="32"/>
          <w:szCs w:val="32"/>
        </w:rPr>
        <w:t>、参赛选手应按大赛统一安排在指定地点提前熟悉赛场。</w:t>
      </w:r>
    </w:p>
    <w:p>
      <w:pPr>
        <w:widowControl/>
        <w:spacing w:line="360" w:lineRule="auto"/>
        <w:ind w:firstLine="640" w:firstLineChars="200"/>
        <w:outlineLvl w:val="2"/>
        <w:rPr>
          <w:rFonts w:ascii="仿宋" w:hAnsi="仿宋" w:eastAsia="仿宋" w:cs="仿宋"/>
          <w:sz w:val="32"/>
          <w:szCs w:val="32"/>
        </w:rPr>
      </w:pPr>
      <w:r>
        <w:rPr>
          <w:rFonts w:ascii="仿宋" w:hAnsi="仿宋" w:eastAsia="仿宋" w:cs="仿宋"/>
          <w:sz w:val="32"/>
          <w:szCs w:val="32"/>
        </w:rPr>
        <w:t>4</w:t>
      </w:r>
      <w:r>
        <w:rPr>
          <w:rFonts w:hint="eastAsia" w:ascii="仿宋" w:hAnsi="仿宋" w:eastAsia="仿宋" w:cs="仿宋"/>
          <w:sz w:val="32"/>
          <w:szCs w:val="32"/>
        </w:rPr>
        <w:t>、参赛选手不得携带通信设备、存储设备、电子工具等</w:t>
      </w:r>
      <w:r>
        <w:rPr>
          <w:rFonts w:hint="eastAsia" w:ascii="仿宋" w:hAnsi="仿宋" w:eastAsia="仿宋" w:cs="仿宋"/>
          <w:kern w:val="0"/>
          <w:sz w:val="32"/>
          <w:szCs w:val="32"/>
        </w:rPr>
        <w:t>相关书籍、参考资料等</w:t>
      </w:r>
      <w:r>
        <w:rPr>
          <w:rFonts w:hint="eastAsia" w:ascii="仿宋" w:hAnsi="仿宋" w:eastAsia="仿宋" w:cs="仿宋"/>
          <w:sz w:val="32"/>
          <w:szCs w:val="32"/>
        </w:rPr>
        <w:t>物品进入赛场，违反者按作弊处理。</w:t>
      </w:r>
      <w:r>
        <w:rPr>
          <w:rFonts w:ascii="仿宋" w:hAnsi="仿宋" w:eastAsia="仿宋" w:cs="仿宋"/>
          <w:sz w:val="32"/>
          <w:szCs w:val="32"/>
        </w:rPr>
        <w:t xml:space="preserve"> </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5</w:t>
      </w:r>
      <w:r>
        <w:rPr>
          <w:rFonts w:hint="eastAsia" w:ascii="仿宋" w:hAnsi="仿宋" w:eastAsia="仿宋" w:cs="仿宋"/>
          <w:sz w:val="32"/>
          <w:szCs w:val="32"/>
        </w:rPr>
        <w:t>、参赛选手严格按照规定时间进入竞赛场地，对现场条件进行确认，按统一指令开始竞赛。</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6</w:t>
      </w:r>
      <w:r>
        <w:rPr>
          <w:rFonts w:hint="eastAsia" w:ascii="仿宋" w:hAnsi="仿宋" w:eastAsia="仿宋" w:cs="仿宋"/>
          <w:sz w:val="32"/>
          <w:szCs w:val="32"/>
        </w:rPr>
        <w:t>、选手在比赛过程中，不允许离开赛场，如确需中途离场的，必须由裁判同意并由工作人员陪同。不允许影响其他参赛队的比赛，否则取消参赛资格。</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7</w:t>
      </w:r>
      <w:r>
        <w:rPr>
          <w:rFonts w:hint="eastAsia" w:ascii="仿宋" w:hAnsi="仿宋" w:eastAsia="仿宋" w:cs="仿宋"/>
          <w:sz w:val="32"/>
          <w:szCs w:val="32"/>
        </w:rPr>
        <w:t>、参赛选手可提前提交竞赛结果，但须按大赛规定时间离开赛场，不允许提前离场。</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8</w:t>
      </w:r>
      <w:r>
        <w:rPr>
          <w:rFonts w:hint="eastAsia" w:ascii="仿宋" w:hAnsi="仿宋" w:eastAsia="仿宋" w:cs="仿宋"/>
          <w:sz w:val="32"/>
          <w:szCs w:val="32"/>
        </w:rPr>
        <w:t>、参赛选手在竞赛结果上只填写参赛队赛位号，禁止做任何与竞赛试题无关的标记，否则取消奖项评比资格。</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9</w:t>
      </w:r>
      <w:r>
        <w:rPr>
          <w:rFonts w:hint="eastAsia" w:ascii="仿宋" w:hAnsi="仿宋" w:eastAsia="仿宋" w:cs="仿宋"/>
          <w:sz w:val="32"/>
          <w:szCs w:val="32"/>
        </w:rPr>
        <w:t>、裁判宣布竞赛时间到，选手须立即停止操作，否则按违纪处理，取消奖项评比资格；若提前提交竞赛结果，应该举手示意，结束竞赛后不得再进行任何答卷或操作，选手一律按大赛统一时间离场。</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10</w:t>
      </w:r>
      <w:r>
        <w:rPr>
          <w:rFonts w:hint="eastAsia" w:ascii="仿宋" w:hAnsi="仿宋" w:eastAsia="仿宋" w:cs="仿宋"/>
          <w:sz w:val="32"/>
          <w:szCs w:val="32"/>
        </w:rPr>
        <w:t>、参赛选手应严格遵守操作规程，确保人身及设备安全。设备出现故障，应举手示意，由裁判视具体情况做出裁决。如因选手个人原因出现安全事件或设备故障，未造成严重后果的，按相关规定扣减分数；造成严重后果的，由主裁判裁定其竞赛结束。非选手个人原因出现的安全事件或设备故障，由主裁判做出裁决，视具体情况给选手补足排除故障耗费时间。</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11</w:t>
      </w:r>
      <w:r>
        <w:rPr>
          <w:rFonts w:hint="eastAsia" w:ascii="仿宋" w:hAnsi="仿宋" w:eastAsia="仿宋" w:cs="仿宋"/>
          <w:sz w:val="32"/>
          <w:szCs w:val="32"/>
        </w:rPr>
        <w:t>、参赛选手不得将试卷及草稿纸带出赛场，违反者按违纪处理，取消奖项评比资格。</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12</w:t>
      </w:r>
      <w:r>
        <w:rPr>
          <w:rFonts w:hint="eastAsia" w:ascii="仿宋" w:hAnsi="仿宋" w:eastAsia="仿宋" w:cs="仿宋"/>
          <w:sz w:val="32"/>
          <w:szCs w:val="32"/>
        </w:rPr>
        <w:t>、竞赛未全面结束前，所有设备不允许关机。</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13</w:t>
      </w:r>
      <w:r>
        <w:rPr>
          <w:rFonts w:hint="eastAsia" w:ascii="仿宋" w:hAnsi="仿宋" w:eastAsia="仿宋" w:cs="仿宋"/>
          <w:sz w:val="32"/>
          <w:szCs w:val="32"/>
        </w:rPr>
        <w:t>、参赛选手应严格遵守赛场规则，服从裁判，文明竞赛。有作弊行为的，取消比赛资格和评奖资格，该项成绩为</w:t>
      </w:r>
      <w:r>
        <w:rPr>
          <w:rFonts w:ascii="仿宋" w:hAnsi="仿宋" w:eastAsia="仿宋" w:cs="仿宋"/>
          <w:sz w:val="32"/>
          <w:szCs w:val="32"/>
        </w:rPr>
        <w:t xml:space="preserve"> 0 </w:t>
      </w:r>
      <w:r>
        <w:rPr>
          <w:rFonts w:hint="eastAsia" w:ascii="仿宋" w:hAnsi="仿宋" w:eastAsia="仿宋" w:cs="仿宋"/>
          <w:sz w:val="32"/>
          <w:szCs w:val="32"/>
        </w:rPr>
        <w:t>分；如有不服从裁判、扰乱赛场秩序等不文明行为，按照相关规定扣减分数，情节严重的取消比赛资格和竞赛成绩。</w:t>
      </w:r>
    </w:p>
    <w:p>
      <w:pPr>
        <w:widowControl/>
        <w:tabs>
          <w:tab w:val="left" w:pos="709"/>
        </w:tabs>
        <w:spacing w:line="360" w:lineRule="auto"/>
        <w:ind w:firstLine="480" w:firstLineChars="150"/>
        <w:outlineLvl w:val="2"/>
        <w:rPr>
          <w:rFonts w:ascii="仿宋" w:hAnsi="仿宋" w:eastAsia="仿宋"/>
          <w:sz w:val="32"/>
          <w:szCs w:val="32"/>
        </w:rPr>
      </w:pPr>
      <w:r>
        <w:rPr>
          <w:rFonts w:hint="eastAsia" w:ascii="仿宋" w:hAnsi="仿宋" w:eastAsia="仿宋" w:cs="仿宋"/>
          <w:sz w:val="32"/>
          <w:szCs w:val="32"/>
        </w:rPr>
        <w:t>（四）工作人员须知</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1</w:t>
      </w:r>
      <w:r>
        <w:rPr>
          <w:rFonts w:hint="eastAsia" w:ascii="仿宋" w:hAnsi="仿宋" w:eastAsia="仿宋" w:cs="仿宋"/>
          <w:sz w:val="32"/>
          <w:szCs w:val="32"/>
        </w:rPr>
        <w:t>、大赛全体工作人员必须服从执委会统一指挥，认真履行职责，做好比赛服务工作。</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2</w:t>
      </w:r>
      <w:r>
        <w:rPr>
          <w:rFonts w:hint="eastAsia" w:ascii="仿宋" w:hAnsi="仿宋" w:eastAsia="仿宋" w:cs="仿宋"/>
          <w:sz w:val="32"/>
          <w:szCs w:val="32"/>
        </w:rPr>
        <w:t>、全体工作人员要按分工准时到岗，尽职尽责做好份内各项工作，保证比赛顺利进行。</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3</w:t>
      </w:r>
      <w:r>
        <w:rPr>
          <w:rFonts w:hint="eastAsia" w:ascii="仿宋" w:hAnsi="仿宋" w:eastAsia="仿宋" w:cs="仿宋"/>
          <w:sz w:val="32"/>
          <w:szCs w:val="32"/>
        </w:rPr>
        <w:t>、赛场技术负责人要坚守岗位，比赛出现技术问题（包括设备、器材等）时，应与裁判组组长及时联系，及时处理，如需要重新比赛要得到执委会同意后方可进行。</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4</w:t>
      </w:r>
      <w:r>
        <w:rPr>
          <w:rFonts w:hint="eastAsia" w:ascii="仿宋" w:hAnsi="仿宋" w:eastAsia="仿宋" w:cs="仿宋"/>
          <w:sz w:val="32"/>
          <w:szCs w:val="32"/>
        </w:rPr>
        <w:t>、如遇突发事件，要及时向执委会报告，同时做好疏导工作，避免重大事故发生。</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5</w:t>
      </w:r>
      <w:r>
        <w:rPr>
          <w:rFonts w:hint="eastAsia" w:ascii="仿宋" w:hAnsi="仿宋" w:eastAsia="仿宋" w:cs="仿宋"/>
          <w:sz w:val="32"/>
          <w:szCs w:val="32"/>
        </w:rPr>
        <w:t>、认真组织好参赛选手报到及赛前准备工作，维护好比赛秩序，遇有重大问题及时与执委会联系协商解决办法。</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6</w:t>
      </w:r>
      <w:r>
        <w:rPr>
          <w:rFonts w:hint="eastAsia" w:ascii="仿宋" w:hAnsi="仿宋" w:eastAsia="仿宋" w:cs="仿宋"/>
          <w:sz w:val="32"/>
          <w:szCs w:val="32"/>
        </w:rPr>
        <w:t>、不得在赛场内接打电话。检录人员、场内服务人员在比赛进行时一律关闭手机，非特殊原因不得擅自离开赛场。</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7</w:t>
      </w:r>
      <w:r>
        <w:rPr>
          <w:rFonts w:hint="eastAsia" w:ascii="仿宋" w:hAnsi="仿宋" w:eastAsia="仿宋" w:cs="仿宋"/>
          <w:sz w:val="32"/>
          <w:szCs w:val="32"/>
        </w:rPr>
        <w:t>、比赛现场不得进行聊天、打闹等可能影响参赛选手的任何举动，不得私自与参赛选手交谈。</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8</w:t>
      </w:r>
      <w:r>
        <w:rPr>
          <w:rFonts w:hint="eastAsia" w:ascii="仿宋" w:hAnsi="仿宋" w:eastAsia="仿宋" w:cs="仿宋"/>
          <w:sz w:val="32"/>
          <w:szCs w:val="32"/>
        </w:rPr>
        <w:t>、现场裁判要秉公监考。如遇疑问或争议，须请示裁判长，裁判长的决定为现场最终裁定。</w:t>
      </w:r>
    </w:p>
    <w:p>
      <w:pPr>
        <w:widowControl/>
        <w:spacing w:line="360" w:lineRule="auto"/>
        <w:ind w:firstLine="640" w:firstLineChars="200"/>
        <w:outlineLvl w:val="2"/>
        <w:rPr>
          <w:rFonts w:ascii="仿宋" w:hAnsi="仿宋" w:eastAsia="仿宋"/>
          <w:sz w:val="32"/>
          <w:szCs w:val="32"/>
        </w:rPr>
      </w:pPr>
      <w:r>
        <w:rPr>
          <w:rFonts w:ascii="仿宋" w:hAnsi="仿宋" w:eastAsia="仿宋" w:cs="仿宋"/>
          <w:sz w:val="32"/>
          <w:szCs w:val="32"/>
        </w:rPr>
        <w:t>9</w:t>
      </w:r>
      <w:r>
        <w:rPr>
          <w:rFonts w:hint="eastAsia" w:ascii="仿宋" w:hAnsi="仿宋" w:eastAsia="仿宋" w:cs="仿宋"/>
          <w:sz w:val="32"/>
          <w:szCs w:val="32"/>
        </w:rPr>
        <w:t>、参赛队进入赛场，赛场工作人员应按规定审查允许带入赛场的资料和物品，不允许带入赛场的物品交由参赛队随行人员保管，赛场不提供保管服务。</w:t>
      </w:r>
    </w:p>
    <w:p>
      <w:pPr>
        <w:widowControl/>
        <w:spacing w:line="360" w:lineRule="auto"/>
        <w:outlineLvl w:val="2"/>
        <w:rPr>
          <w:rFonts w:ascii="仿宋" w:hAnsi="仿宋" w:eastAsia="仿宋"/>
          <w:b/>
          <w:bCs/>
          <w:sz w:val="32"/>
          <w:szCs w:val="32"/>
        </w:rPr>
      </w:pPr>
      <w:r>
        <w:rPr>
          <w:rFonts w:ascii="黑体" w:hAnsi="黑体" w:eastAsia="黑体" w:cs="黑体"/>
          <w:b/>
          <w:bCs/>
          <w:sz w:val="32"/>
          <w:szCs w:val="3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E3BBF"/>
    <w:multiLevelType w:val="multilevel"/>
    <w:tmpl w:val="1F3E3BB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5472EC8"/>
    <w:multiLevelType w:val="multilevel"/>
    <w:tmpl w:val="35472EC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02E"/>
    <w:rsid w:val="00012B68"/>
    <w:rsid w:val="000257CB"/>
    <w:rsid w:val="00037F1B"/>
    <w:rsid w:val="00065E0C"/>
    <w:rsid w:val="00095ED1"/>
    <w:rsid w:val="000A0B8C"/>
    <w:rsid w:val="000A62DC"/>
    <w:rsid w:val="000B7929"/>
    <w:rsid w:val="000C222D"/>
    <w:rsid w:val="000D0F2E"/>
    <w:rsid w:val="000D4192"/>
    <w:rsid w:val="001003C9"/>
    <w:rsid w:val="00107163"/>
    <w:rsid w:val="00120161"/>
    <w:rsid w:val="0012454A"/>
    <w:rsid w:val="00127019"/>
    <w:rsid w:val="00156539"/>
    <w:rsid w:val="001850FA"/>
    <w:rsid w:val="001C6661"/>
    <w:rsid w:val="001E327A"/>
    <w:rsid w:val="001E39CF"/>
    <w:rsid w:val="001E41CF"/>
    <w:rsid w:val="00200112"/>
    <w:rsid w:val="00211020"/>
    <w:rsid w:val="0021783D"/>
    <w:rsid w:val="00235276"/>
    <w:rsid w:val="00240190"/>
    <w:rsid w:val="002659AF"/>
    <w:rsid w:val="00290C8A"/>
    <w:rsid w:val="002A0C8B"/>
    <w:rsid w:val="002A25BC"/>
    <w:rsid w:val="002B7BF0"/>
    <w:rsid w:val="002E5A10"/>
    <w:rsid w:val="00301FCC"/>
    <w:rsid w:val="0030796D"/>
    <w:rsid w:val="00315A9A"/>
    <w:rsid w:val="0031727B"/>
    <w:rsid w:val="003457F3"/>
    <w:rsid w:val="0036502E"/>
    <w:rsid w:val="00372D90"/>
    <w:rsid w:val="003B7C72"/>
    <w:rsid w:val="003C22CB"/>
    <w:rsid w:val="003D520D"/>
    <w:rsid w:val="003E220C"/>
    <w:rsid w:val="00410B51"/>
    <w:rsid w:val="004257F9"/>
    <w:rsid w:val="004339D0"/>
    <w:rsid w:val="00440442"/>
    <w:rsid w:val="004473D8"/>
    <w:rsid w:val="0044749F"/>
    <w:rsid w:val="004578C8"/>
    <w:rsid w:val="004779B9"/>
    <w:rsid w:val="0048677F"/>
    <w:rsid w:val="00495315"/>
    <w:rsid w:val="004E71F6"/>
    <w:rsid w:val="00524D6D"/>
    <w:rsid w:val="00531A8E"/>
    <w:rsid w:val="00546186"/>
    <w:rsid w:val="00546D5A"/>
    <w:rsid w:val="0055499A"/>
    <w:rsid w:val="00571F62"/>
    <w:rsid w:val="005A2A2F"/>
    <w:rsid w:val="005A4DA1"/>
    <w:rsid w:val="005B03E3"/>
    <w:rsid w:val="005E38EE"/>
    <w:rsid w:val="005E78CD"/>
    <w:rsid w:val="00602971"/>
    <w:rsid w:val="00603129"/>
    <w:rsid w:val="00605DEF"/>
    <w:rsid w:val="00646E42"/>
    <w:rsid w:val="0065776B"/>
    <w:rsid w:val="006806C6"/>
    <w:rsid w:val="006B4475"/>
    <w:rsid w:val="0072309F"/>
    <w:rsid w:val="00724AE3"/>
    <w:rsid w:val="00780701"/>
    <w:rsid w:val="007847B9"/>
    <w:rsid w:val="00795A0D"/>
    <w:rsid w:val="007A7148"/>
    <w:rsid w:val="007B7CA4"/>
    <w:rsid w:val="007C5831"/>
    <w:rsid w:val="007C6D6E"/>
    <w:rsid w:val="007D3DC9"/>
    <w:rsid w:val="007D73D4"/>
    <w:rsid w:val="00801429"/>
    <w:rsid w:val="00803C56"/>
    <w:rsid w:val="00846649"/>
    <w:rsid w:val="00851A96"/>
    <w:rsid w:val="00871D31"/>
    <w:rsid w:val="008812CB"/>
    <w:rsid w:val="008B1007"/>
    <w:rsid w:val="008B720D"/>
    <w:rsid w:val="008C1361"/>
    <w:rsid w:val="008F4550"/>
    <w:rsid w:val="009252C8"/>
    <w:rsid w:val="00935A4C"/>
    <w:rsid w:val="0095080E"/>
    <w:rsid w:val="00963909"/>
    <w:rsid w:val="00966421"/>
    <w:rsid w:val="009A6595"/>
    <w:rsid w:val="009B2617"/>
    <w:rsid w:val="009C102F"/>
    <w:rsid w:val="009D6905"/>
    <w:rsid w:val="009E4085"/>
    <w:rsid w:val="00A066B0"/>
    <w:rsid w:val="00A16934"/>
    <w:rsid w:val="00A211A3"/>
    <w:rsid w:val="00A83A1D"/>
    <w:rsid w:val="00A94795"/>
    <w:rsid w:val="00AD5057"/>
    <w:rsid w:val="00AE3F37"/>
    <w:rsid w:val="00AE418B"/>
    <w:rsid w:val="00B139B8"/>
    <w:rsid w:val="00B33162"/>
    <w:rsid w:val="00B43487"/>
    <w:rsid w:val="00B46CFD"/>
    <w:rsid w:val="00B645AA"/>
    <w:rsid w:val="00B716FC"/>
    <w:rsid w:val="00B72330"/>
    <w:rsid w:val="00B753B0"/>
    <w:rsid w:val="00BB59CC"/>
    <w:rsid w:val="00BE6AF3"/>
    <w:rsid w:val="00C07092"/>
    <w:rsid w:val="00C23783"/>
    <w:rsid w:val="00C456DC"/>
    <w:rsid w:val="00C61C41"/>
    <w:rsid w:val="00C66B10"/>
    <w:rsid w:val="00C8688C"/>
    <w:rsid w:val="00CB3134"/>
    <w:rsid w:val="00CE5D36"/>
    <w:rsid w:val="00D46BAD"/>
    <w:rsid w:val="00D637FF"/>
    <w:rsid w:val="00D71601"/>
    <w:rsid w:val="00D74952"/>
    <w:rsid w:val="00D81009"/>
    <w:rsid w:val="00D907BC"/>
    <w:rsid w:val="00DC3C15"/>
    <w:rsid w:val="00E050B8"/>
    <w:rsid w:val="00E23C10"/>
    <w:rsid w:val="00E4763D"/>
    <w:rsid w:val="00E505FA"/>
    <w:rsid w:val="00E61569"/>
    <w:rsid w:val="00E7128F"/>
    <w:rsid w:val="00EC779B"/>
    <w:rsid w:val="00F43A80"/>
    <w:rsid w:val="00F70151"/>
    <w:rsid w:val="00F800A2"/>
    <w:rsid w:val="00F81A1E"/>
    <w:rsid w:val="00F83BF3"/>
    <w:rsid w:val="00F85FED"/>
    <w:rsid w:val="00F91A70"/>
    <w:rsid w:val="00F9463F"/>
    <w:rsid w:val="00F94A75"/>
    <w:rsid w:val="00FA62F5"/>
    <w:rsid w:val="00FB66D4"/>
    <w:rsid w:val="00FC6E77"/>
    <w:rsid w:val="06832043"/>
    <w:rsid w:val="10437A7B"/>
    <w:rsid w:val="42CF0AE4"/>
    <w:rsid w:val="67AD3000"/>
    <w:rsid w:val="70390A1B"/>
    <w:rsid w:val="70FE7EC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3"/>
    <w:basedOn w:val="1"/>
    <w:next w:val="1"/>
    <w:link w:val="12"/>
    <w:qFormat/>
    <w:uiPriority w:val="99"/>
    <w:pPr>
      <w:keepNext/>
      <w:keepLines/>
      <w:spacing w:before="260" w:after="260" w:line="413" w:lineRule="auto"/>
      <w:outlineLvl w:val="2"/>
    </w:pPr>
    <w:rPr>
      <w:b/>
      <w:bCs/>
      <w:sz w:val="32"/>
      <w:szCs w:val="32"/>
    </w:rPr>
  </w:style>
  <w:style w:type="character" w:default="1" w:styleId="7">
    <w:name w:val="Default Paragraph Font"/>
    <w:unhideWhenUsed/>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3">
    <w:name w:val="annotation text"/>
    <w:basedOn w:val="1"/>
    <w:unhideWhenUsed/>
    <w:uiPriority w:val="99"/>
    <w:pPr>
      <w:jc w:val="left"/>
    </w:pPr>
  </w:style>
  <w:style w:type="paragraph" w:styleId="4">
    <w:name w:val="Balloon Text"/>
    <w:basedOn w:val="1"/>
    <w:link w:val="25"/>
    <w:unhideWhenUsed/>
    <w:uiPriority w:val="99"/>
    <w:rPr>
      <w:sz w:val="18"/>
      <w:szCs w:val="18"/>
    </w:rPr>
  </w:style>
  <w:style w:type="paragraph" w:styleId="5">
    <w:name w:val="footer"/>
    <w:basedOn w:val="1"/>
    <w:link w:val="14"/>
    <w:qFormat/>
    <w:uiPriority w:val="99"/>
    <w:pPr>
      <w:tabs>
        <w:tab w:val="center" w:pos="4153"/>
        <w:tab w:val="right" w:pos="8306"/>
      </w:tabs>
      <w:snapToGrid w:val="0"/>
      <w:jc w:val="left"/>
    </w:pPr>
    <w:rPr>
      <w:sz w:val="18"/>
      <w:szCs w:val="18"/>
    </w:rPr>
  </w:style>
  <w:style w:type="paragraph" w:styleId="6">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character" w:styleId="8">
    <w:name w:val="Hyperlink"/>
    <w:basedOn w:val="7"/>
    <w:qFormat/>
    <w:uiPriority w:val="99"/>
    <w:rPr>
      <w:color w:val="0000FF"/>
      <w:u w:val="single"/>
    </w:rPr>
  </w:style>
  <w:style w:type="character" w:styleId="9">
    <w:name w:val="annotation reference"/>
    <w:basedOn w:val="7"/>
    <w:unhideWhenUsed/>
    <w:uiPriority w:val="99"/>
    <w:rPr>
      <w:sz w:val="21"/>
      <w:szCs w:val="21"/>
    </w:rPr>
  </w:style>
  <w:style w:type="table" w:styleId="11">
    <w:name w:val="Table Grid"/>
    <w:basedOn w:val="10"/>
    <w:qFormat/>
    <w:uiPriority w:val="9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2">
    <w:name w:val="标题 3 Char"/>
    <w:basedOn w:val="7"/>
    <w:link w:val="2"/>
    <w:locked/>
    <w:uiPriority w:val="99"/>
    <w:rPr>
      <w:rFonts w:ascii="Times New Roman" w:hAnsi="Times New Roman" w:eastAsia="宋体" w:cs="Times New Roman"/>
      <w:b/>
      <w:bCs/>
      <w:sz w:val="32"/>
      <w:szCs w:val="32"/>
    </w:rPr>
  </w:style>
  <w:style w:type="character" w:customStyle="1" w:styleId="13">
    <w:name w:val="页眉 Char"/>
    <w:basedOn w:val="7"/>
    <w:link w:val="6"/>
    <w:qFormat/>
    <w:locked/>
    <w:uiPriority w:val="99"/>
    <w:rPr>
      <w:sz w:val="18"/>
      <w:szCs w:val="18"/>
    </w:rPr>
  </w:style>
  <w:style w:type="character" w:customStyle="1" w:styleId="14">
    <w:name w:val="页脚 Char"/>
    <w:basedOn w:val="7"/>
    <w:link w:val="5"/>
    <w:locked/>
    <w:uiPriority w:val="99"/>
    <w:rPr>
      <w:sz w:val="18"/>
      <w:szCs w:val="18"/>
    </w:rPr>
  </w:style>
  <w:style w:type="paragraph" w:customStyle="1" w:styleId="15">
    <w:name w:val="ol"/>
    <w:basedOn w:val="1"/>
    <w:link w:val="16"/>
    <w:uiPriority w:val="99"/>
    <w:pPr>
      <w:snapToGrid w:val="0"/>
      <w:spacing w:line="480" w:lineRule="exact"/>
      <w:ind w:firstLine="560" w:firstLineChars="200"/>
    </w:pPr>
    <w:rPr>
      <w:rFonts w:ascii="仿宋_GB2312" w:hAnsi="仿宋_GB2312" w:eastAsia="仿宋_GB2312" w:cs="仿宋_GB2312"/>
      <w:kern w:val="0"/>
      <w:sz w:val="28"/>
      <w:szCs w:val="28"/>
    </w:rPr>
  </w:style>
  <w:style w:type="character" w:customStyle="1" w:styleId="16">
    <w:name w:val="ol Char"/>
    <w:link w:val="15"/>
    <w:locked/>
    <w:uiPriority w:val="99"/>
    <w:rPr>
      <w:rFonts w:ascii="仿宋_GB2312" w:hAnsi="仿宋_GB2312" w:eastAsia="仿宋_GB2312" w:cs="仿宋_GB2312"/>
      <w:kern w:val="0"/>
      <w:sz w:val="28"/>
      <w:szCs w:val="28"/>
    </w:rPr>
  </w:style>
  <w:style w:type="paragraph" w:customStyle="1" w:styleId="17">
    <w:name w:val="正文LP"/>
    <w:basedOn w:val="1"/>
    <w:link w:val="18"/>
    <w:uiPriority w:val="99"/>
    <w:pPr>
      <w:snapToGrid w:val="0"/>
      <w:spacing w:line="480" w:lineRule="exact"/>
      <w:ind w:firstLine="560" w:firstLineChars="200"/>
    </w:pPr>
    <w:rPr>
      <w:rFonts w:ascii="仿宋_GB2312" w:hAnsi="仿宋_GB2312" w:eastAsia="仿宋_GB2312" w:cs="仿宋_GB2312"/>
      <w:kern w:val="0"/>
      <w:sz w:val="28"/>
      <w:szCs w:val="28"/>
    </w:rPr>
  </w:style>
  <w:style w:type="character" w:customStyle="1" w:styleId="18">
    <w:name w:val="正文LP Char"/>
    <w:link w:val="17"/>
    <w:locked/>
    <w:uiPriority w:val="99"/>
    <w:rPr>
      <w:rFonts w:ascii="仿宋_GB2312" w:hAnsi="仿宋_GB2312" w:eastAsia="仿宋_GB2312" w:cs="仿宋_GB2312"/>
      <w:kern w:val="0"/>
      <w:sz w:val="28"/>
      <w:szCs w:val="28"/>
    </w:rPr>
  </w:style>
  <w:style w:type="paragraph" w:customStyle="1" w:styleId="19">
    <w:name w:val="table样式1"/>
    <w:basedOn w:val="1"/>
    <w:link w:val="20"/>
    <w:uiPriority w:val="99"/>
    <w:pPr>
      <w:jc w:val="center"/>
    </w:pPr>
    <w:rPr>
      <w:rFonts w:ascii="宋体" w:hAnsi="宋体" w:cs="宋体"/>
      <w:kern w:val="0"/>
      <w:sz w:val="24"/>
      <w:szCs w:val="24"/>
    </w:rPr>
  </w:style>
  <w:style w:type="character" w:customStyle="1" w:styleId="20">
    <w:name w:val="table样式1 Char"/>
    <w:link w:val="19"/>
    <w:locked/>
    <w:uiPriority w:val="99"/>
    <w:rPr>
      <w:rFonts w:ascii="宋体" w:hAnsi="宋体" w:eastAsia="宋体" w:cs="宋体"/>
      <w:sz w:val="24"/>
      <w:szCs w:val="24"/>
    </w:rPr>
  </w:style>
  <w:style w:type="paragraph" w:customStyle="1" w:styleId="21">
    <w:name w:val="正文1"/>
    <w:basedOn w:val="1"/>
    <w:link w:val="22"/>
    <w:uiPriority w:val="99"/>
    <w:pPr>
      <w:snapToGrid w:val="0"/>
      <w:spacing w:line="560" w:lineRule="exact"/>
      <w:ind w:firstLine="600" w:firstLineChars="200"/>
      <w:jc w:val="left"/>
    </w:pPr>
    <w:rPr>
      <w:rFonts w:ascii="仿宋_GB2312" w:hAnsi="宋体" w:eastAsia="仿宋_GB2312" w:cs="仿宋_GB2312"/>
      <w:kern w:val="0"/>
      <w:sz w:val="30"/>
      <w:szCs w:val="30"/>
    </w:rPr>
  </w:style>
  <w:style w:type="character" w:customStyle="1" w:styleId="22">
    <w:name w:val="正文1 Char"/>
    <w:link w:val="21"/>
    <w:qFormat/>
    <w:locked/>
    <w:uiPriority w:val="99"/>
    <w:rPr>
      <w:rFonts w:ascii="仿宋_GB2312" w:hAnsi="宋体" w:eastAsia="仿宋_GB2312" w:cs="仿宋_GB2312"/>
      <w:kern w:val="0"/>
      <w:sz w:val="30"/>
      <w:szCs w:val="30"/>
    </w:rPr>
  </w:style>
  <w:style w:type="paragraph" w:customStyle="1" w:styleId="23">
    <w:name w:val="列出段落1"/>
    <w:basedOn w:val="1"/>
    <w:qFormat/>
    <w:uiPriority w:val="99"/>
    <w:pPr>
      <w:ind w:firstLine="420" w:firstLineChars="200"/>
    </w:pPr>
  </w:style>
  <w:style w:type="paragraph" w:customStyle="1" w:styleId="24">
    <w:name w:val="p0"/>
    <w:basedOn w:val="1"/>
    <w:qFormat/>
    <w:uiPriority w:val="99"/>
    <w:pPr>
      <w:widowControl/>
    </w:pPr>
  </w:style>
  <w:style w:type="character" w:customStyle="1" w:styleId="25">
    <w:name w:val="批注框文本 Char"/>
    <w:basedOn w:val="7"/>
    <w:link w:val="4"/>
    <w:semiHidden/>
    <w:uiPriority w:val="99"/>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19</Pages>
  <Words>1625</Words>
  <Characters>9263</Characters>
  <Lines>77</Lines>
  <Paragraphs>21</Paragraphs>
  <ScaleCrop>false</ScaleCrop>
  <LinksUpToDate>false</LinksUpToDate>
  <CharactersWithSpaces>10867</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2017-12-14T02:38:00Z</dcterms:created>
  <dc:creator>AutoBVT</dc:creator>
  <cp:lastModifiedBy>Administrator</cp:lastModifiedBy>
  <dcterms:modified xsi:type="dcterms:W3CDTF">2017-12-18T09:46:35Z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