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480" w:lineRule="exact"/>
        <w:jc w:val="center"/>
        <w:textAlignment w:val="baseline"/>
        <w:rPr>
          <w:rFonts w:ascii="宋体" w:hAnsi="宋体" w:eastAsia="宋体" w:cs="宋体"/>
          <w:b/>
          <w:spacing w:val="1"/>
          <w:sz w:val="44"/>
          <w:szCs w:val="44"/>
        </w:rPr>
      </w:pPr>
      <w:r>
        <w:rPr>
          <w:rFonts w:hint="eastAsia" w:ascii="宋体" w:hAnsi="宋体" w:eastAsia="宋体" w:cs="宋体"/>
          <w:b/>
          <w:spacing w:val="2"/>
          <w:sz w:val="44"/>
          <w:szCs w:val="44"/>
        </w:rPr>
        <w:t>202</w:t>
      </w:r>
      <w:r>
        <w:rPr>
          <w:rFonts w:ascii="宋体" w:hAnsi="宋体" w:eastAsia="宋体" w:cs="宋体"/>
          <w:b/>
          <w:spacing w:val="2"/>
          <w:sz w:val="44"/>
          <w:szCs w:val="44"/>
        </w:rPr>
        <w:t>4</w:t>
      </w:r>
      <w:r>
        <w:rPr>
          <w:rFonts w:hint="eastAsia" w:ascii="宋体" w:hAnsi="宋体" w:eastAsia="宋体" w:cs="宋体"/>
          <w:b/>
          <w:spacing w:val="1"/>
          <w:sz w:val="44"/>
          <w:szCs w:val="44"/>
        </w:rPr>
        <w:t>年</w:t>
      </w:r>
      <w:r>
        <w:rPr>
          <w:rFonts w:hint="eastAsia" w:ascii="宋体" w:hAnsi="宋体" w:eastAsia="宋体" w:cs="宋体"/>
          <w:b/>
          <w:spacing w:val="1"/>
          <w:sz w:val="44"/>
          <w:szCs w:val="44"/>
          <w:lang w:val="en-US"/>
        </w:rPr>
        <w:t>海南</w:t>
      </w:r>
      <w:r>
        <w:rPr>
          <w:rFonts w:hint="eastAsia" w:ascii="宋体" w:hAnsi="宋体" w:eastAsia="宋体" w:cs="宋体"/>
          <w:b/>
          <w:spacing w:val="1"/>
          <w:sz w:val="44"/>
          <w:szCs w:val="44"/>
        </w:rPr>
        <w:t>省职业院校技能大赛（</w:t>
      </w:r>
      <w:r>
        <w:rPr>
          <w:rFonts w:hint="eastAsia" w:ascii="宋体" w:hAnsi="宋体" w:eastAsia="宋体" w:cs="宋体"/>
          <w:b/>
          <w:spacing w:val="1"/>
          <w:sz w:val="44"/>
          <w:szCs w:val="44"/>
          <w:lang w:val="en-US"/>
        </w:rPr>
        <w:t>高职组</w:t>
      </w:r>
      <w:r>
        <w:rPr>
          <w:rFonts w:hint="eastAsia" w:ascii="宋体" w:hAnsi="宋体" w:eastAsia="宋体" w:cs="宋体"/>
          <w:b/>
          <w:spacing w:val="1"/>
          <w:sz w:val="44"/>
          <w:szCs w:val="44"/>
        </w:rPr>
        <w:t>）</w:t>
      </w:r>
    </w:p>
    <w:p>
      <w:pPr>
        <w:snapToGrid w:val="0"/>
        <w:spacing w:line="480" w:lineRule="exact"/>
        <w:jc w:val="center"/>
        <w:textAlignment w:val="baseline"/>
        <w:rPr>
          <w:rFonts w:ascii="宋体" w:hAnsi="宋体" w:eastAsia="宋体" w:cs="宋体"/>
          <w:b/>
          <w:spacing w:val="1"/>
          <w:sz w:val="44"/>
          <w:szCs w:val="44"/>
        </w:rPr>
      </w:pPr>
      <w:r>
        <w:rPr>
          <w:rFonts w:hint="eastAsia" w:ascii="宋体" w:hAnsi="宋体" w:eastAsia="宋体" w:cs="宋体"/>
          <w:b/>
          <w:spacing w:val="1"/>
          <w:sz w:val="44"/>
          <w:szCs w:val="44"/>
          <w:lang w:val="en-US"/>
        </w:rPr>
        <w:t>智慧金融</w:t>
      </w:r>
      <w:r>
        <w:rPr>
          <w:rFonts w:hint="eastAsia" w:ascii="宋体" w:hAnsi="宋体" w:eastAsia="宋体" w:cs="宋体"/>
          <w:b/>
          <w:spacing w:val="1"/>
          <w:sz w:val="44"/>
          <w:szCs w:val="44"/>
        </w:rPr>
        <w:t>赛项规程</w:t>
      </w:r>
    </w:p>
    <w:p>
      <w:pPr>
        <w:snapToGrid w:val="0"/>
        <w:spacing w:line="480" w:lineRule="exact"/>
        <w:ind w:firstLine="643" w:firstLineChars="200"/>
        <w:textAlignment w:val="baseline"/>
        <w:rPr>
          <w:b/>
          <w:sz w:val="32"/>
          <w:szCs w:val="32"/>
        </w:rPr>
      </w:pPr>
    </w:p>
    <w:p>
      <w:pPr>
        <w:pStyle w:val="2"/>
        <w:snapToGrid w:val="0"/>
        <w:spacing w:line="480" w:lineRule="exact"/>
        <w:ind w:left="0" w:firstLine="643" w:firstLineChars="200"/>
        <w:textAlignment w:val="baseline"/>
        <w:rPr>
          <w:b/>
          <w:sz w:val="32"/>
          <w:szCs w:val="32"/>
        </w:rPr>
      </w:pPr>
    </w:p>
    <w:p>
      <w:pPr>
        <w:pStyle w:val="4"/>
        <w:snapToGrid w:val="0"/>
        <w:spacing w:line="480" w:lineRule="exact"/>
        <w:ind w:left="0" w:firstLine="643" w:firstLineChars="200"/>
        <w:textAlignment w:val="baseline"/>
        <w:rPr>
          <w:rFonts w:hint="eastAsia" w:ascii="黑体" w:hAnsi="黑体" w:eastAsia="黑体" w:cs="黑体"/>
          <w:sz w:val="32"/>
          <w:szCs w:val="32"/>
        </w:rPr>
      </w:pPr>
      <w:r>
        <w:rPr>
          <w:rFonts w:hint="eastAsia" w:ascii="黑体" w:hAnsi="黑体" w:eastAsia="黑体" w:cs="黑体"/>
          <w:sz w:val="32"/>
          <w:szCs w:val="32"/>
        </w:rPr>
        <w:t>一、赛项名称</w:t>
      </w:r>
    </w:p>
    <w:p>
      <w:pPr>
        <w:pStyle w:val="2"/>
        <w:snapToGrid w:val="0"/>
        <w:spacing w:line="480" w:lineRule="exact"/>
        <w:ind w:left="0" w:firstLine="640" w:firstLineChars="200"/>
        <w:textAlignment w:val="baseline"/>
        <w:rPr>
          <w:sz w:val="32"/>
          <w:szCs w:val="32"/>
        </w:rPr>
      </w:pPr>
      <w:r>
        <w:rPr>
          <w:rFonts w:hint="eastAsia"/>
          <w:sz w:val="32"/>
          <w:szCs w:val="32"/>
        </w:rPr>
        <w:t>赛项名称：智慧金融</w:t>
      </w:r>
    </w:p>
    <w:p>
      <w:pPr>
        <w:pStyle w:val="2"/>
        <w:snapToGrid w:val="0"/>
        <w:spacing w:line="480" w:lineRule="exact"/>
        <w:ind w:left="0" w:firstLine="640" w:firstLineChars="200"/>
        <w:textAlignment w:val="baseline"/>
        <w:rPr>
          <w:sz w:val="32"/>
          <w:szCs w:val="32"/>
        </w:rPr>
      </w:pPr>
      <w:r>
        <w:rPr>
          <w:rFonts w:hint="eastAsia"/>
          <w:sz w:val="32"/>
          <w:szCs w:val="32"/>
        </w:rPr>
        <w:t>英语翻译：Integrated</w:t>
      </w:r>
      <w:r>
        <w:rPr>
          <w:rFonts w:hint="eastAsia"/>
          <w:sz w:val="32"/>
          <w:szCs w:val="32"/>
          <w:lang w:val="en-US"/>
        </w:rPr>
        <w:t xml:space="preserve"> </w:t>
      </w:r>
      <w:r>
        <w:rPr>
          <w:rFonts w:hint="eastAsia"/>
          <w:sz w:val="32"/>
          <w:szCs w:val="32"/>
        </w:rPr>
        <w:t>Skills</w:t>
      </w:r>
      <w:r>
        <w:rPr>
          <w:rFonts w:hint="eastAsia"/>
          <w:sz w:val="32"/>
          <w:szCs w:val="32"/>
          <w:lang w:val="en-US"/>
        </w:rPr>
        <w:t xml:space="preserve"> </w:t>
      </w:r>
      <w:r>
        <w:rPr>
          <w:rFonts w:hint="eastAsia"/>
          <w:sz w:val="32"/>
          <w:szCs w:val="32"/>
        </w:rPr>
        <w:t>of</w:t>
      </w:r>
      <w:r>
        <w:rPr>
          <w:rFonts w:hint="eastAsia"/>
          <w:sz w:val="32"/>
          <w:szCs w:val="32"/>
          <w:lang w:val="en-US"/>
        </w:rPr>
        <w:t xml:space="preserve"> </w:t>
      </w:r>
      <w:r>
        <w:rPr>
          <w:rFonts w:hint="eastAsia"/>
          <w:sz w:val="32"/>
          <w:szCs w:val="32"/>
        </w:rPr>
        <w:t>Banking</w:t>
      </w:r>
      <w:r>
        <w:rPr>
          <w:rFonts w:hint="eastAsia"/>
          <w:sz w:val="32"/>
          <w:szCs w:val="32"/>
          <w:lang w:val="en-US"/>
        </w:rPr>
        <w:t xml:space="preserve"> </w:t>
      </w:r>
      <w:r>
        <w:rPr>
          <w:rFonts w:hint="eastAsia"/>
          <w:sz w:val="32"/>
          <w:szCs w:val="32"/>
        </w:rPr>
        <w:t>Business</w:t>
      </w:r>
    </w:p>
    <w:p>
      <w:pPr>
        <w:pStyle w:val="2"/>
        <w:snapToGrid w:val="0"/>
        <w:spacing w:line="480" w:lineRule="exact"/>
        <w:ind w:left="0" w:firstLine="640" w:firstLineChars="200"/>
        <w:textAlignment w:val="baseline"/>
        <w:rPr>
          <w:sz w:val="32"/>
          <w:szCs w:val="32"/>
        </w:rPr>
      </w:pPr>
      <w:r>
        <w:rPr>
          <w:rFonts w:hint="eastAsia"/>
          <w:sz w:val="32"/>
          <w:szCs w:val="32"/>
        </w:rPr>
        <w:t>赛项组别：高职</w:t>
      </w:r>
    </w:p>
    <w:p>
      <w:pPr>
        <w:pStyle w:val="2"/>
        <w:snapToGrid w:val="0"/>
        <w:spacing w:line="480" w:lineRule="exact"/>
        <w:ind w:left="0" w:firstLine="640" w:firstLineChars="200"/>
        <w:textAlignment w:val="baseline"/>
        <w:rPr>
          <w:sz w:val="32"/>
          <w:szCs w:val="32"/>
        </w:rPr>
      </w:pPr>
      <w:r>
        <w:rPr>
          <w:rFonts w:hint="eastAsia"/>
          <w:sz w:val="32"/>
          <w:szCs w:val="32"/>
        </w:rPr>
        <w:t>赛项归属产业：现代服务业</w:t>
      </w:r>
    </w:p>
    <w:p>
      <w:pPr>
        <w:pStyle w:val="4"/>
        <w:snapToGrid w:val="0"/>
        <w:spacing w:line="480" w:lineRule="exact"/>
        <w:ind w:left="0" w:firstLine="643" w:firstLineChars="200"/>
        <w:textAlignment w:val="baseline"/>
        <w:rPr>
          <w:rFonts w:hint="eastAsia" w:ascii="黑体" w:hAnsi="黑体" w:eastAsia="黑体" w:cs="黑体"/>
          <w:sz w:val="32"/>
          <w:szCs w:val="32"/>
        </w:rPr>
      </w:pPr>
      <w:r>
        <w:rPr>
          <w:rFonts w:hint="eastAsia" w:ascii="黑体" w:hAnsi="黑体" w:eastAsia="黑体" w:cs="黑体"/>
          <w:sz w:val="32"/>
          <w:szCs w:val="32"/>
        </w:rPr>
        <w:t>二、竞赛目的</w:t>
      </w:r>
    </w:p>
    <w:p>
      <w:pPr>
        <w:widowControl/>
        <w:spacing w:line="480" w:lineRule="exact"/>
        <w:ind w:firstLine="636" w:firstLineChars="200"/>
        <w:rPr>
          <w:spacing w:val="-1"/>
          <w:sz w:val="32"/>
          <w:szCs w:val="32"/>
        </w:rPr>
      </w:pPr>
      <w:r>
        <w:rPr>
          <w:rFonts w:hint="eastAsia"/>
          <w:spacing w:val="-1"/>
          <w:sz w:val="32"/>
          <w:szCs w:val="32"/>
          <w:lang w:val="en-US"/>
        </w:rPr>
        <w:t>“智慧金融”赛项，是为了贯彻落实国务院印发的《国家职业教育改革实施方案》国发(2019)4 号，坚持以习近平新时代中国特色社会主义思想为指导。竞赛内容包括金融职业素养、金融综合技能、数字金融业务。以竞赛推进金融专业群将岗位素质技能融入课程，引领金融专业群课程数字化改革，对接金融企业业务</w:t>
      </w:r>
      <w:bookmarkStart w:id="14" w:name="_GoBack"/>
      <w:bookmarkEnd w:id="14"/>
      <w:r>
        <w:rPr>
          <w:rFonts w:hint="eastAsia"/>
          <w:spacing w:val="-1"/>
          <w:sz w:val="32"/>
          <w:szCs w:val="32"/>
          <w:lang w:val="en-US"/>
        </w:rPr>
        <w:t xml:space="preserve">改革与创新需求，巩固和深化学生业务操作方法，提高金融专业群学生金融业务综合技能，全面提升高职金融职业人才实践操作能力，增强学生就业核心竞争力。以赛促教，以赛促学，以赛促改，对接“金融产品数字化营销”“金融智能投顾”“金融大数据处理”“人身保险理赔”“家庭理财规划”等职业技能等级证书，推进金融专业群“岗课赛证”综合育人，展示金融专业群高职教育改革成果及师生良好精神面貌，引领金融职业教育高质量发展，为普惠金融、绿色金融、数字金融、碳金融、科创金融等金融创新提供智力支持。 </w:t>
      </w:r>
    </w:p>
    <w:p>
      <w:pPr>
        <w:pStyle w:val="4"/>
        <w:snapToGrid w:val="0"/>
        <w:spacing w:line="480" w:lineRule="exact"/>
        <w:ind w:left="0" w:firstLine="643" w:firstLineChars="200"/>
        <w:textAlignment w:val="baseline"/>
        <w:rPr>
          <w:rFonts w:hint="eastAsia" w:ascii="黑体" w:hAnsi="黑体" w:eastAsia="黑体" w:cs="黑体"/>
          <w:sz w:val="32"/>
          <w:szCs w:val="32"/>
        </w:rPr>
      </w:pPr>
      <w:r>
        <w:rPr>
          <w:rFonts w:hint="eastAsia" w:ascii="黑体" w:hAnsi="黑体" w:eastAsia="黑体" w:cs="黑体"/>
          <w:sz w:val="32"/>
          <w:szCs w:val="32"/>
        </w:rPr>
        <w:t>三、竞赛内容</w:t>
      </w:r>
    </w:p>
    <w:p>
      <w:pPr>
        <w:widowControl/>
        <w:spacing w:line="480" w:lineRule="exact"/>
        <w:ind w:firstLine="636" w:firstLineChars="200"/>
        <w:rPr>
          <w:spacing w:val="-1"/>
          <w:sz w:val="32"/>
          <w:szCs w:val="32"/>
          <w:lang w:val="en-US"/>
        </w:rPr>
      </w:pPr>
      <w:bookmarkStart w:id="0" w:name="___（一）“业务素养”赛项"/>
      <w:bookmarkEnd w:id="0"/>
      <w:r>
        <w:rPr>
          <w:rFonts w:hint="eastAsia"/>
          <w:spacing w:val="-1"/>
          <w:sz w:val="32"/>
          <w:szCs w:val="32"/>
          <w:lang w:val="en-US"/>
        </w:rPr>
        <w:t>“智慧金融”赛项包括“金融职业素养”“金融综合技能”“数字金融业务”三个竞赛模块，总分 3000 分。</w:t>
      </w:r>
    </w:p>
    <w:p>
      <w:pPr>
        <w:snapToGrid w:val="0"/>
        <w:spacing w:line="480" w:lineRule="exact"/>
        <w:ind w:firstLine="639" w:firstLineChars="200"/>
        <w:textAlignment w:val="baseline"/>
        <w:rPr>
          <w:rFonts w:hint="eastAsia" w:ascii="楷体" w:hAnsi="楷体" w:eastAsia="楷体" w:cs="楷体"/>
          <w:b/>
          <w:bCs/>
          <w:spacing w:val="-1"/>
          <w:sz w:val="32"/>
          <w:szCs w:val="32"/>
        </w:rPr>
      </w:pPr>
      <w:r>
        <w:rPr>
          <w:rFonts w:hint="eastAsia" w:ascii="楷体" w:hAnsi="楷体" w:eastAsia="楷体" w:cs="楷体"/>
          <w:b/>
          <w:bCs/>
          <w:spacing w:val="-1"/>
          <w:sz w:val="32"/>
          <w:szCs w:val="32"/>
        </w:rPr>
        <w:t>（一）“</w:t>
      </w:r>
      <w:r>
        <w:rPr>
          <w:rFonts w:hint="eastAsia" w:ascii="楷体" w:hAnsi="楷体" w:eastAsia="楷体" w:cs="楷体"/>
          <w:b/>
          <w:bCs/>
          <w:spacing w:val="-1"/>
          <w:sz w:val="32"/>
          <w:szCs w:val="32"/>
          <w:lang w:val="en-US"/>
        </w:rPr>
        <w:t>金融职业</w:t>
      </w:r>
      <w:r>
        <w:rPr>
          <w:rFonts w:hint="eastAsia" w:ascii="楷体" w:hAnsi="楷体" w:eastAsia="楷体" w:cs="楷体"/>
          <w:b/>
          <w:bCs/>
          <w:spacing w:val="-1"/>
          <w:sz w:val="32"/>
          <w:szCs w:val="32"/>
        </w:rPr>
        <w:t>素养”赛项</w:t>
      </w:r>
    </w:p>
    <w:p>
      <w:pPr>
        <w:widowControl/>
        <w:spacing w:line="480" w:lineRule="exact"/>
        <w:ind w:firstLine="636" w:firstLineChars="200"/>
        <w:rPr>
          <w:spacing w:val="-1"/>
          <w:sz w:val="32"/>
          <w:szCs w:val="32"/>
          <w:lang w:val="en-US"/>
        </w:rPr>
      </w:pPr>
      <w:r>
        <w:rPr>
          <w:rFonts w:hint="eastAsia"/>
          <w:spacing w:val="-1"/>
          <w:sz w:val="32"/>
          <w:szCs w:val="32"/>
          <w:lang w:val="en-US"/>
        </w:rPr>
        <w:t xml:space="preserve">考核选手对大数据、人工智能、区块链等信息技术的应用和金融专业知识的掌握情况，以及对金融基本操作技能的掌握情况。金融职业素养包括“业务素养”和“职业技能”。“业务素养”内容主要包括金融业务基础知识、金融业务法律基础、金融从业人员职业行为准则、金融科技基础知识等，涵盖业务操作相关的基础知识。“职业技能”主要包括传票数字录入、字符录入、手工点钞、货币防伪与鉴别等部分。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“业务素养”赛项比赛时长 45 分钟（0.75 小时），包括单项选择题，多项选择题，判断题，共 100 分，4 名选手独立完成，团队总分 400 分，占总分 13.33%。本竞赛单元金融理论知识、银行业务知识、金融科技知识占 80%，金融业务法律基础占 10%，金融从业人员职业行为占 10%。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“职业技能”竞赛单元每单项比赛时长为 10 分钟，总时长需要90 分钟（1.5 小时）（包括中途切换软件界面及提供钞、传票等比赛设备）。四个单项每项 50 分，共 200 分，4 名选手独立完成四个单项，团队总分 800 分，占总分 26.67%。 </w:t>
      </w:r>
    </w:p>
    <w:p>
      <w:pPr>
        <w:snapToGrid w:val="0"/>
        <w:spacing w:line="480" w:lineRule="exact"/>
        <w:ind w:firstLine="639" w:firstLineChars="200"/>
        <w:textAlignment w:val="baseline"/>
        <w:rPr>
          <w:rFonts w:hint="eastAsia" w:ascii="楷体" w:hAnsi="楷体" w:eastAsia="楷体" w:cs="楷体"/>
          <w:b/>
          <w:bCs/>
          <w:spacing w:val="-1"/>
          <w:sz w:val="32"/>
          <w:szCs w:val="32"/>
        </w:rPr>
      </w:pPr>
      <w:r>
        <w:rPr>
          <w:rFonts w:hint="eastAsia" w:ascii="楷体" w:hAnsi="楷体" w:eastAsia="楷体" w:cs="楷体"/>
          <w:b/>
          <w:bCs/>
          <w:spacing w:val="-1"/>
          <w:sz w:val="32"/>
          <w:szCs w:val="32"/>
          <w:lang w:val="en-US"/>
        </w:rPr>
        <w:t xml:space="preserve">（二）“金融综合技能”模块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本模块主要考核选手在数字货币、普惠金融、绿色金融等智慧金融背景下银行、证券、保险等金融业务处理技能，本竞赛单元分岗位操作，主要包括大堂经理岗、综合柜台岗、客户经理岗、理财经理岗等。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（1）大堂经理岗：包含银行厅堂客户接待与引导服务，证券公 司投资咨询、客户接待与业务引导，保险公司客户咨询接待与业务引导。考核选手对银行大堂经理岗业务处理流程及规范的掌握情况，包括客户引导与分流、客户问询处理、单据填写、假币鉴别，残/污损币的兑换、异议及投诉处理、签名与盖章、营销转介等。以银行厅堂自助设备区为背景，考核选手对于智能金融机具相关知识的了解，智能柜员机、便携式智能柜员机以及手机银行等机具的具体操作使用。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（2）综合柜员岗：考核选手对银行、证券、保险等金融机构相 </w:t>
      </w:r>
    </w:p>
    <w:p>
      <w:pPr>
        <w:widowControl/>
        <w:spacing w:line="480" w:lineRule="exact"/>
        <w:rPr>
          <w:spacing w:val="-1"/>
          <w:sz w:val="32"/>
          <w:szCs w:val="32"/>
          <w:lang w:val="en-US"/>
        </w:rPr>
      </w:pPr>
      <w:r>
        <w:rPr>
          <w:rFonts w:hint="eastAsia"/>
          <w:spacing w:val="-1"/>
          <w:sz w:val="32"/>
          <w:szCs w:val="32"/>
          <w:lang w:val="en-US"/>
        </w:rPr>
        <w:t xml:space="preserve">关岗位业务处理流程及规范的掌握情况，包括商业银行个人业务、公司业务、支付结算业务等。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（3）客户经理岗：考核选手对公司信贷及个人贷款业务处理能力，包括信贷客户信息导入、信贷客户分析、客户授信、业务受理以及证券公司、保险公司业务拓展等相关业务。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（4）理财经理岗：考核选手对理财经理岗位业务处理能力，包 </w:t>
      </w:r>
    </w:p>
    <w:p>
      <w:pPr>
        <w:widowControl/>
        <w:spacing w:line="480" w:lineRule="exact"/>
        <w:jc w:val="both"/>
        <w:rPr>
          <w:spacing w:val="-1"/>
          <w:sz w:val="32"/>
          <w:szCs w:val="32"/>
          <w:lang w:val="en-US"/>
        </w:rPr>
      </w:pPr>
      <w:r>
        <w:rPr>
          <w:rFonts w:hint="eastAsia"/>
          <w:spacing w:val="-1"/>
          <w:sz w:val="32"/>
          <w:szCs w:val="32"/>
          <w:lang w:val="en-US"/>
        </w:rPr>
        <w:t xml:space="preserve">括家庭理财规划，涵盖财务分析、教育规划、理财需求分等，证券投资规划、保险投资规划等理财规划方案设计。完成理财客户信息管理、客户财务状况分析与研判、综合理财规划方案设计。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“金融综合技能”赛项比赛时长 120 分钟（2 小时），每个岗位200 分，团队总分 800 分，占总分 26.67%。团队 4 位选手分工协作完成。 </w:t>
      </w:r>
    </w:p>
    <w:p>
      <w:pPr>
        <w:snapToGrid w:val="0"/>
        <w:spacing w:line="480" w:lineRule="exact"/>
        <w:ind w:firstLine="639" w:firstLineChars="200"/>
        <w:textAlignment w:val="baseline"/>
        <w:rPr>
          <w:b/>
          <w:bCs/>
          <w:spacing w:val="-1"/>
          <w:sz w:val="32"/>
          <w:szCs w:val="32"/>
          <w:lang w:val="en-US"/>
        </w:rPr>
      </w:pPr>
      <w:r>
        <w:rPr>
          <w:rFonts w:hint="eastAsia" w:ascii="楷体" w:hAnsi="楷体" w:eastAsia="楷体" w:cs="楷体"/>
          <w:b/>
          <w:bCs/>
          <w:spacing w:val="-1"/>
          <w:sz w:val="32"/>
          <w:szCs w:val="32"/>
          <w:lang w:val="en-US"/>
        </w:rPr>
        <w:t>（三）“数字金融业务”模块</w:t>
      </w:r>
      <w:r>
        <w:rPr>
          <w:rFonts w:hint="eastAsia"/>
          <w:b/>
          <w:bCs/>
          <w:spacing w:val="-1"/>
          <w:sz w:val="32"/>
          <w:szCs w:val="32"/>
          <w:lang w:val="en-US"/>
        </w:rPr>
        <w:t xml:space="preserve">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本模块竞赛内容根据不同金融科技应用场景的工作岗位设计竞 赛任务。针对每个竞赛单元参赛选手需要分别担任不同角色，以团队成员分工协作方式共同完成，主要考核参赛选手对数字金融业务场景的专业技能掌握情况。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（1）大数据金融业务：考查选手大数据应用能力，包括物联网 </w:t>
      </w:r>
    </w:p>
    <w:p>
      <w:pPr>
        <w:widowControl/>
        <w:spacing w:line="480" w:lineRule="exact"/>
        <w:jc w:val="both"/>
        <w:rPr>
          <w:spacing w:val="-1"/>
          <w:sz w:val="32"/>
          <w:szCs w:val="32"/>
          <w:lang w:val="en-US"/>
        </w:rPr>
      </w:pPr>
      <w:r>
        <w:rPr>
          <w:rFonts w:hint="eastAsia"/>
          <w:spacing w:val="-1"/>
          <w:sz w:val="32"/>
          <w:szCs w:val="32"/>
          <w:lang w:val="en-US"/>
        </w:rPr>
        <w:t xml:space="preserve">端数据采集、大数据云服务维护、云存储等操作；基于网络数据进行金融大数据采集（数据采集点设计）数据导入、数据标注、数据存储、数据可视化、数据挖掘、模型调参、预测分析等操作；考查人工智能机器学习算法应用。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（2）区块链金融业务：掌握选手区块链应用能力，包括链搭建 </w:t>
      </w:r>
    </w:p>
    <w:p>
      <w:pPr>
        <w:widowControl/>
        <w:spacing w:line="480" w:lineRule="exact"/>
        <w:rPr>
          <w:spacing w:val="-1"/>
          <w:sz w:val="32"/>
          <w:szCs w:val="32"/>
          <w:lang w:val="en-US"/>
        </w:rPr>
      </w:pPr>
      <w:r>
        <w:rPr>
          <w:rFonts w:hint="eastAsia"/>
          <w:spacing w:val="-1"/>
          <w:sz w:val="32"/>
          <w:szCs w:val="32"/>
          <w:lang w:val="en-US"/>
        </w:rPr>
        <w:t xml:space="preserve">（联盟链）、智能合约编写等。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（3）支付业务数字化：考查选手数字人民币业务操作能力。包 </w:t>
      </w:r>
    </w:p>
    <w:p>
      <w:pPr>
        <w:widowControl/>
        <w:spacing w:line="480" w:lineRule="exact"/>
        <w:jc w:val="both"/>
        <w:rPr>
          <w:spacing w:val="-1"/>
          <w:sz w:val="32"/>
          <w:szCs w:val="32"/>
          <w:lang w:val="en-US"/>
        </w:rPr>
      </w:pPr>
      <w:r>
        <w:rPr>
          <w:rFonts w:hint="eastAsia"/>
          <w:spacing w:val="-1"/>
          <w:sz w:val="32"/>
          <w:szCs w:val="32"/>
          <w:lang w:val="en-US"/>
        </w:rPr>
        <w:t xml:space="preserve">括数字人民币生成、数字人民币发行、数字人民币钱包开发、数字人民币支付等相关业务操作；第三方支付应用；考查跨境支付业务，包括区块链跨境汇款业务、数字人民币跨境支付和多边央行数字货币桥“货币桥”业务等。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（4）银行业务数字化：考查选手信贷业务操作能力。包括企业 </w:t>
      </w:r>
    </w:p>
    <w:p>
      <w:pPr>
        <w:widowControl/>
        <w:spacing w:line="480" w:lineRule="exact"/>
        <w:jc w:val="both"/>
        <w:rPr>
          <w:spacing w:val="-1"/>
          <w:sz w:val="32"/>
          <w:szCs w:val="32"/>
          <w:lang w:val="en-US"/>
        </w:rPr>
      </w:pPr>
      <w:r>
        <w:rPr>
          <w:rFonts w:hint="eastAsia"/>
          <w:spacing w:val="-1"/>
          <w:sz w:val="32"/>
          <w:szCs w:val="32"/>
          <w:lang w:val="en-US"/>
        </w:rPr>
        <w:t xml:space="preserve">及个人的信用管理、小微金融（网络小额贷款）及个人消费贷；考查 智能风控操作，包括贷前管理（信贷审批）、贷中管理、贷后管理、客服服务、风险预警等；考查大财富管理操作，包括银行账户开户（二类）、个人养老金、理财产品投资、个税减免等操作；考查银行行业精细化用户运营，包括针对银行产品开展用户画像分析、营销策略制定、营销方案撰写、活动文案写作及活动上线实施等。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（5）证券业务数字化：考查选手在操作证券业务数字化方面的 </w:t>
      </w:r>
    </w:p>
    <w:p>
      <w:pPr>
        <w:widowControl/>
        <w:spacing w:line="480" w:lineRule="exact"/>
        <w:jc w:val="both"/>
        <w:rPr>
          <w:spacing w:val="-1"/>
          <w:sz w:val="32"/>
          <w:szCs w:val="32"/>
          <w:lang w:val="en-US"/>
        </w:rPr>
      </w:pPr>
      <w:r>
        <w:rPr>
          <w:rFonts w:hint="eastAsia"/>
          <w:spacing w:val="-1"/>
          <w:sz w:val="32"/>
          <w:szCs w:val="32"/>
          <w:lang w:val="en-US"/>
        </w:rPr>
        <w:t xml:space="preserve">综合能力。包括智能投顾和智能投研业务，智能投顾包括精准选择客户、设计金融服务方案、构建投资组合、投资组合调仓、定期出具投资业绩报告等，智能投研包括整合市场信息、分析市场投资情绪、输出投研报告等；量化金融（程序化交易）业务，包括制定交易策略、财务分析、条件选股、历史数据回测、参数优化、模拟应用检验、跟踪监测等；考查互联网基金销售业务；考查证券行业精细化用户运营，包括针对证券产品开展用户画像分析、营销策略制定、营销方案撰写、活动文案写作及活动上线实施等。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（6）保险业业务数字化：考查选手关于保险业业务数字化转型 </w:t>
      </w:r>
    </w:p>
    <w:p>
      <w:pPr>
        <w:widowControl/>
        <w:spacing w:line="480" w:lineRule="exact"/>
        <w:jc w:val="both"/>
        <w:rPr>
          <w:spacing w:val="-1"/>
          <w:sz w:val="32"/>
          <w:szCs w:val="32"/>
          <w:lang w:val="en-US"/>
        </w:rPr>
      </w:pPr>
      <w:r>
        <w:rPr>
          <w:rFonts w:hint="eastAsia"/>
          <w:spacing w:val="-1"/>
          <w:sz w:val="32"/>
          <w:szCs w:val="32"/>
          <w:lang w:val="en-US"/>
        </w:rPr>
        <w:t xml:space="preserve">方面的综合业务能力。包括车险精准定价，如 UBI 车险等；智能理赔，包括航空延误险、意外险等；数字医疗与数字健康保险；保险行业精细化用户运营，包括针对互联网保险产品开展用户画像分析、营销策略制订、业务营销方案撰写、活动文案写作及活动上线实施等。 </w:t>
      </w:r>
    </w:p>
    <w:p>
      <w:pPr>
        <w:widowControl/>
        <w:spacing w:line="480" w:lineRule="exact"/>
        <w:ind w:firstLine="636" w:firstLineChars="200"/>
        <w:jc w:val="both"/>
        <w:rPr>
          <w:spacing w:val="-1"/>
          <w:sz w:val="32"/>
          <w:szCs w:val="32"/>
          <w:lang w:val="en-US"/>
        </w:rPr>
      </w:pPr>
      <w:r>
        <w:rPr>
          <w:rFonts w:hint="eastAsia"/>
          <w:spacing w:val="-1"/>
          <w:sz w:val="32"/>
          <w:szCs w:val="32"/>
          <w:lang w:val="en-US"/>
        </w:rPr>
        <w:t xml:space="preserve">（7）金融科技业务创新：考查选手在金融科技业务创新方面的 </w:t>
      </w:r>
    </w:p>
    <w:p>
      <w:pPr>
        <w:widowControl/>
        <w:spacing w:line="480" w:lineRule="exact"/>
        <w:rPr>
          <w:spacing w:val="-1"/>
          <w:sz w:val="32"/>
          <w:szCs w:val="32"/>
          <w:lang w:val="en-US"/>
        </w:rPr>
      </w:pPr>
      <w:r>
        <w:rPr>
          <w:rFonts w:hint="eastAsia"/>
          <w:spacing w:val="-1"/>
          <w:sz w:val="32"/>
          <w:szCs w:val="32"/>
          <w:lang w:val="en-US"/>
        </w:rPr>
        <w:t xml:space="preserve">应用能力及数字供应链金融应用能力，包括采用数字技术改造供应链金融、金融科技赋能新金融业务、信用结算数字化、保理业务数字化等。 </w:t>
      </w:r>
    </w:p>
    <w:p>
      <w:pPr>
        <w:widowControl/>
        <w:spacing w:line="480" w:lineRule="exact"/>
        <w:ind w:firstLine="636" w:firstLineChars="200"/>
        <w:rPr>
          <w:spacing w:val="-1"/>
          <w:sz w:val="32"/>
          <w:szCs w:val="32"/>
          <w:lang w:val="en-US"/>
        </w:rPr>
      </w:pPr>
      <w:r>
        <w:rPr>
          <w:rFonts w:hint="eastAsia"/>
          <w:spacing w:val="-1"/>
          <w:sz w:val="32"/>
          <w:szCs w:val="32"/>
          <w:lang w:val="en-US"/>
        </w:rPr>
        <w:t xml:space="preserve">（8）数字金融业务监管：考查选手对数字金融风险特征识别能 </w:t>
      </w:r>
    </w:p>
    <w:p>
      <w:pPr>
        <w:widowControl/>
        <w:spacing w:line="480" w:lineRule="exact"/>
        <w:jc w:val="both"/>
        <w:rPr>
          <w:spacing w:val="-1"/>
          <w:sz w:val="32"/>
          <w:szCs w:val="32"/>
          <w:lang w:val="en-US"/>
        </w:rPr>
      </w:pPr>
      <w:r>
        <w:rPr>
          <w:rFonts w:hint="eastAsia"/>
          <w:spacing w:val="-1"/>
          <w:sz w:val="32"/>
          <w:szCs w:val="32"/>
          <w:lang w:val="en-US"/>
        </w:rPr>
        <w:t xml:space="preserve">力及运用技术手段进行风险防范能力，包含监管沙盒、非现场审计、平台企业监管等相关业务应用能力。 </w:t>
      </w:r>
    </w:p>
    <w:p>
      <w:pPr>
        <w:widowControl/>
        <w:spacing w:line="480" w:lineRule="exact"/>
        <w:ind w:firstLine="636" w:firstLineChars="200"/>
        <w:rPr>
          <w:spacing w:val="-1"/>
          <w:sz w:val="32"/>
          <w:szCs w:val="32"/>
          <w:lang w:val="en-US"/>
        </w:rPr>
      </w:pPr>
      <w:r>
        <w:rPr>
          <w:rFonts w:hint="eastAsia"/>
          <w:spacing w:val="-1"/>
          <w:sz w:val="32"/>
          <w:szCs w:val="32"/>
          <w:lang w:val="en-US"/>
        </w:rPr>
        <w:t>“数字金融业务”模块比赛时长 180 分钟（3 小时）。“数字金融业务”赛项总分 1000 分，占总分 33.3%，其中大数据金融业务 100 分、区块链金融业务 150 分、支付业务数字化 150 分、银行业务数字 化 150 分、证券业务数字化 200 分、保险业业务数字化 150 分、金融科技业务创新 50 分、数字金融业务监管 50 分。团队 4 位选手合作完成。</w:t>
      </w:r>
    </w:p>
    <w:p>
      <w:pPr>
        <w:pStyle w:val="4"/>
        <w:snapToGrid w:val="0"/>
        <w:spacing w:line="480" w:lineRule="exact"/>
        <w:ind w:left="0" w:firstLine="639" w:firstLineChars="200"/>
        <w:textAlignment w:val="baseline"/>
        <w:rPr>
          <w:rFonts w:hint="eastAsia" w:ascii="楷体" w:hAnsi="楷体" w:eastAsia="楷体" w:cs="楷体"/>
          <w:b/>
          <w:bCs/>
          <w:spacing w:val="-1"/>
          <w:sz w:val="32"/>
          <w:szCs w:val="32"/>
          <w:lang w:val="en-US" w:eastAsia="zh-CN" w:bidi="zh-CN"/>
        </w:rPr>
      </w:pPr>
      <w:r>
        <w:rPr>
          <w:rFonts w:hint="eastAsia" w:ascii="楷体" w:hAnsi="楷体" w:eastAsia="楷体" w:cs="楷体"/>
          <w:b/>
          <w:bCs/>
          <w:spacing w:val="-1"/>
          <w:sz w:val="32"/>
          <w:szCs w:val="32"/>
          <w:lang w:val="en-US" w:eastAsia="zh-CN" w:bidi="zh-CN"/>
        </w:rPr>
        <w:t>（四）赛项内容、分值、竞赛方式、竞赛时间</w:t>
      </w:r>
    </w:p>
    <w:tbl>
      <w:tblPr>
        <w:tblStyle w:val="13"/>
        <w:tblpPr w:leftFromText="180" w:rightFromText="180" w:vertAnchor="text" w:horzAnchor="page" w:tblpX="1386" w:tblpY="342"/>
        <w:tblOverlap w:val="never"/>
        <w:tblW w:w="95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32"/>
        <w:gridCol w:w="2467"/>
        <w:gridCol w:w="2071"/>
        <w:gridCol w:w="1565"/>
        <w:gridCol w:w="19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3999" w:type="dxa"/>
            <w:gridSpan w:val="2"/>
            <w:vAlign w:val="center"/>
          </w:tcPr>
          <w:p>
            <w:pPr>
              <w:pStyle w:val="19"/>
              <w:snapToGrid w:val="0"/>
              <w:spacing w:line="240" w:lineRule="exact"/>
              <w:ind w:firstLine="422" w:firstLineChars="200"/>
              <w:jc w:val="center"/>
              <w:textAlignment w:val="baseline"/>
              <w:rPr>
                <w:b/>
                <w:sz w:val="21"/>
                <w:szCs w:val="21"/>
              </w:rPr>
            </w:pPr>
            <w:r>
              <w:rPr>
                <w:rFonts w:hint="eastAsia"/>
                <w:b/>
                <w:sz w:val="21"/>
                <w:szCs w:val="21"/>
              </w:rPr>
              <w:t>竞赛内容</w:t>
            </w:r>
          </w:p>
        </w:tc>
        <w:tc>
          <w:tcPr>
            <w:tcW w:w="2071" w:type="dxa"/>
            <w:vAlign w:val="center"/>
          </w:tcPr>
          <w:p>
            <w:pPr>
              <w:pStyle w:val="19"/>
              <w:snapToGrid w:val="0"/>
              <w:spacing w:line="240" w:lineRule="exact"/>
              <w:ind w:firstLine="422" w:firstLineChars="200"/>
              <w:textAlignment w:val="baseline"/>
              <w:rPr>
                <w:b/>
                <w:sz w:val="21"/>
                <w:szCs w:val="21"/>
              </w:rPr>
            </w:pPr>
            <w:r>
              <w:rPr>
                <w:rFonts w:hint="eastAsia"/>
                <w:b/>
                <w:sz w:val="21"/>
                <w:szCs w:val="21"/>
              </w:rPr>
              <w:t>团队分值</w:t>
            </w:r>
          </w:p>
        </w:tc>
        <w:tc>
          <w:tcPr>
            <w:tcW w:w="1565" w:type="dxa"/>
            <w:vAlign w:val="center"/>
          </w:tcPr>
          <w:p>
            <w:pPr>
              <w:pStyle w:val="19"/>
              <w:snapToGrid w:val="0"/>
              <w:spacing w:line="240" w:lineRule="exact"/>
              <w:ind w:firstLine="422" w:firstLineChars="200"/>
              <w:textAlignment w:val="baseline"/>
              <w:rPr>
                <w:b/>
                <w:sz w:val="21"/>
                <w:szCs w:val="21"/>
              </w:rPr>
            </w:pPr>
            <w:r>
              <w:rPr>
                <w:rFonts w:hint="eastAsia"/>
                <w:b/>
                <w:sz w:val="21"/>
                <w:szCs w:val="21"/>
              </w:rPr>
              <w:t>竞赛方式</w:t>
            </w:r>
          </w:p>
        </w:tc>
        <w:tc>
          <w:tcPr>
            <w:tcW w:w="1950" w:type="dxa"/>
            <w:vAlign w:val="center"/>
          </w:tcPr>
          <w:p>
            <w:pPr>
              <w:pStyle w:val="19"/>
              <w:snapToGrid w:val="0"/>
              <w:spacing w:line="240" w:lineRule="exact"/>
              <w:textAlignment w:val="baseline"/>
              <w:rPr>
                <w:b/>
                <w:sz w:val="21"/>
                <w:szCs w:val="21"/>
              </w:rPr>
            </w:pPr>
            <w:r>
              <w:rPr>
                <w:rFonts w:hint="eastAsia"/>
                <w:b/>
                <w:sz w:val="21"/>
                <w:szCs w:val="21"/>
              </w:rPr>
              <w:t>竞赛时间（</w:t>
            </w:r>
            <w:r>
              <w:rPr>
                <w:rFonts w:hint="eastAsia"/>
                <w:b/>
                <w:spacing w:val="-8"/>
                <w:sz w:val="21"/>
                <w:szCs w:val="21"/>
              </w:rPr>
              <w:t>不含</w:t>
            </w:r>
            <w:r>
              <w:rPr>
                <w:rFonts w:hint="eastAsia"/>
                <w:b/>
                <w:spacing w:val="-3"/>
                <w:sz w:val="21"/>
                <w:szCs w:val="21"/>
              </w:rPr>
              <w:t>入场、检录、竞</w:t>
            </w:r>
            <w:r>
              <w:rPr>
                <w:rFonts w:hint="eastAsia"/>
                <w:b/>
                <w:sz w:val="21"/>
                <w:szCs w:val="21"/>
              </w:rPr>
              <w:t>赛准备等时间）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32" w:type="dxa"/>
            <w:vMerge w:val="restart"/>
            <w:vAlign w:val="center"/>
          </w:tcPr>
          <w:p>
            <w:pPr>
              <w:pStyle w:val="19"/>
              <w:snapToGrid w:val="0"/>
              <w:spacing w:line="240" w:lineRule="exact"/>
              <w:textAlignment w:val="baseline"/>
              <w:rPr>
                <w:sz w:val="21"/>
                <w:szCs w:val="21"/>
              </w:rPr>
            </w:pPr>
            <w:r>
              <w:rPr>
                <w:rFonts w:hint="eastAsia"/>
                <w:sz w:val="21"/>
                <w:szCs w:val="21"/>
                <w:lang w:val="en-US"/>
              </w:rPr>
              <w:t>金融职业素养</w:t>
            </w:r>
          </w:p>
        </w:tc>
        <w:tc>
          <w:tcPr>
            <w:tcW w:w="2467" w:type="dxa"/>
            <w:vAlign w:val="center"/>
          </w:tcPr>
          <w:p>
            <w:pPr>
              <w:pStyle w:val="19"/>
              <w:snapToGrid w:val="0"/>
              <w:spacing w:line="240" w:lineRule="exact"/>
              <w:ind w:firstLine="420" w:firstLineChars="200"/>
              <w:textAlignment w:val="baseline"/>
              <w:rPr>
                <w:sz w:val="21"/>
                <w:szCs w:val="21"/>
              </w:rPr>
            </w:pPr>
            <w:r>
              <w:rPr>
                <w:rFonts w:hint="eastAsia"/>
                <w:sz w:val="21"/>
                <w:szCs w:val="21"/>
                <w:lang w:val="en-US"/>
              </w:rPr>
              <w:t>业务素养知识</w:t>
            </w:r>
          </w:p>
        </w:tc>
        <w:tc>
          <w:tcPr>
            <w:tcW w:w="2071" w:type="dxa"/>
            <w:vAlign w:val="center"/>
          </w:tcPr>
          <w:p>
            <w:pPr>
              <w:pStyle w:val="19"/>
              <w:snapToGrid w:val="0"/>
              <w:spacing w:line="240" w:lineRule="exact"/>
              <w:textAlignment w:val="baseline"/>
              <w:rPr>
                <w:sz w:val="21"/>
                <w:szCs w:val="21"/>
              </w:rPr>
            </w:pPr>
            <w:r>
              <w:rPr>
                <w:rFonts w:hint="eastAsia"/>
                <w:sz w:val="21"/>
                <w:szCs w:val="21"/>
              </w:rPr>
              <w:t>400分</w:t>
            </w:r>
          </w:p>
          <w:p>
            <w:pPr>
              <w:pStyle w:val="19"/>
              <w:snapToGrid w:val="0"/>
              <w:spacing w:line="240" w:lineRule="exact"/>
              <w:textAlignment w:val="baseline"/>
              <w:rPr>
                <w:sz w:val="21"/>
                <w:szCs w:val="21"/>
              </w:rPr>
            </w:pPr>
            <w:r>
              <w:rPr>
                <w:rFonts w:hint="eastAsia"/>
                <w:sz w:val="21"/>
                <w:szCs w:val="21"/>
              </w:rPr>
              <w:t>（每人100分）</w:t>
            </w:r>
          </w:p>
        </w:tc>
        <w:tc>
          <w:tcPr>
            <w:tcW w:w="1565" w:type="dxa"/>
            <w:vAlign w:val="center"/>
          </w:tcPr>
          <w:p>
            <w:pPr>
              <w:pStyle w:val="19"/>
              <w:snapToGrid w:val="0"/>
              <w:spacing w:line="240" w:lineRule="exact"/>
              <w:textAlignment w:val="baseline"/>
              <w:rPr>
                <w:sz w:val="21"/>
                <w:szCs w:val="21"/>
              </w:rPr>
            </w:pPr>
            <w:r>
              <w:rPr>
                <w:rFonts w:hint="eastAsia"/>
                <w:sz w:val="21"/>
                <w:szCs w:val="21"/>
              </w:rPr>
              <w:t>4人独立完成</w:t>
            </w:r>
          </w:p>
        </w:tc>
        <w:tc>
          <w:tcPr>
            <w:tcW w:w="1950" w:type="dxa"/>
            <w:vAlign w:val="center"/>
          </w:tcPr>
          <w:p>
            <w:pPr>
              <w:pStyle w:val="19"/>
              <w:snapToGrid w:val="0"/>
              <w:spacing w:line="240" w:lineRule="exact"/>
              <w:textAlignment w:val="baseline"/>
              <w:rPr>
                <w:sz w:val="21"/>
                <w:szCs w:val="21"/>
              </w:rPr>
            </w:pPr>
            <w:r>
              <w:rPr>
                <w:rFonts w:hint="eastAsia"/>
                <w:sz w:val="21"/>
                <w:szCs w:val="21"/>
                <w:lang w:val="en-US"/>
              </w:rPr>
              <w:t>45分钟</w:t>
            </w:r>
          </w:p>
          <w:p>
            <w:pPr>
              <w:pStyle w:val="19"/>
              <w:snapToGrid w:val="0"/>
              <w:spacing w:line="240" w:lineRule="exact"/>
              <w:textAlignment w:val="baseline"/>
              <w:rPr>
                <w:sz w:val="21"/>
                <w:szCs w:val="21"/>
              </w:rPr>
            </w:pPr>
            <w:r>
              <w:rPr>
                <w:rFonts w:hint="eastAsia"/>
                <w:sz w:val="21"/>
                <w:szCs w:val="21"/>
                <w:lang w:val="en-US"/>
              </w:rPr>
              <w:t>（0.75小时）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0" w:hRule="atLeast"/>
        </w:trPr>
        <w:tc>
          <w:tcPr>
            <w:tcW w:w="1532" w:type="dxa"/>
            <w:vMerge w:val="continue"/>
            <w:vAlign w:val="center"/>
          </w:tcPr>
          <w:p>
            <w:pPr>
              <w:pStyle w:val="19"/>
              <w:snapToGrid w:val="0"/>
              <w:spacing w:line="240" w:lineRule="exact"/>
              <w:textAlignment w:val="baseline"/>
              <w:rPr>
                <w:sz w:val="21"/>
                <w:szCs w:val="21"/>
              </w:rPr>
            </w:pPr>
          </w:p>
        </w:tc>
        <w:tc>
          <w:tcPr>
            <w:tcW w:w="2467" w:type="dxa"/>
            <w:vAlign w:val="center"/>
          </w:tcPr>
          <w:p>
            <w:pPr>
              <w:widowControl/>
              <w:spacing w:line="240" w:lineRule="exact"/>
              <w:rPr>
                <w:sz w:val="21"/>
                <w:szCs w:val="21"/>
              </w:rPr>
            </w:pPr>
            <w:r>
              <w:rPr>
                <w:rFonts w:hint="eastAsia"/>
                <w:sz w:val="21"/>
                <w:szCs w:val="21"/>
              </w:rPr>
              <w:t>传票数字</w:t>
            </w:r>
            <w:r>
              <w:rPr>
                <w:rFonts w:hint="eastAsia"/>
                <w:spacing w:val="-3"/>
                <w:sz w:val="21"/>
                <w:szCs w:val="21"/>
              </w:rPr>
              <w:t>录入、</w:t>
            </w:r>
            <w:r>
              <w:rPr>
                <w:rFonts w:hint="eastAsia"/>
                <w:sz w:val="21"/>
                <w:szCs w:val="21"/>
              </w:rPr>
              <w:t>字符录入、手工点钞、货币防伪与鉴别</w:t>
            </w:r>
          </w:p>
        </w:tc>
        <w:tc>
          <w:tcPr>
            <w:tcW w:w="2071" w:type="dxa"/>
            <w:vAlign w:val="center"/>
          </w:tcPr>
          <w:p>
            <w:pPr>
              <w:pStyle w:val="19"/>
              <w:snapToGrid w:val="0"/>
              <w:spacing w:line="240" w:lineRule="exact"/>
              <w:textAlignment w:val="baseline"/>
              <w:rPr>
                <w:sz w:val="21"/>
                <w:szCs w:val="21"/>
              </w:rPr>
            </w:pPr>
            <w:r>
              <w:rPr>
                <w:rFonts w:hint="eastAsia"/>
                <w:sz w:val="21"/>
                <w:szCs w:val="21"/>
              </w:rPr>
              <w:t>800分</w:t>
            </w:r>
          </w:p>
          <w:p>
            <w:pPr>
              <w:pStyle w:val="19"/>
              <w:snapToGrid w:val="0"/>
              <w:spacing w:line="240" w:lineRule="exact"/>
              <w:textAlignment w:val="baseline"/>
              <w:rPr>
                <w:sz w:val="21"/>
                <w:szCs w:val="21"/>
              </w:rPr>
            </w:pPr>
            <w:r>
              <w:rPr>
                <w:rFonts w:hint="eastAsia"/>
                <w:sz w:val="21"/>
                <w:szCs w:val="21"/>
              </w:rPr>
              <w:t>（每人每项50分）</w:t>
            </w:r>
          </w:p>
        </w:tc>
        <w:tc>
          <w:tcPr>
            <w:tcW w:w="1565" w:type="dxa"/>
            <w:vAlign w:val="center"/>
          </w:tcPr>
          <w:p>
            <w:pPr>
              <w:pStyle w:val="19"/>
              <w:snapToGrid w:val="0"/>
              <w:spacing w:line="240" w:lineRule="exact"/>
              <w:textAlignment w:val="baseline"/>
              <w:rPr>
                <w:sz w:val="21"/>
                <w:szCs w:val="21"/>
              </w:rPr>
            </w:pPr>
            <w:r>
              <w:rPr>
                <w:rFonts w:hint="eastAsia"/>
                <w:sz w:val="21"/>
                <w:szCs w:val="21"/>
              </w:rPr>
              <w:t>4人独立完成</w:t>
            </w:r>
          </w:p>
        </w:tc>
        <w:tc>
          <w:tcPr>
            <w:tcW w:w="1950" w:type="dxa"/>
            <w:vAlign w:val="center"/>
          </w:tcPr>
          <w:p>
            <w:pPr>
              <w:pStyle w:val="19"/>
              <w:snapToGrid w:val="0"/>
              <w:spacing w:line="240" w:lineRule="exact"/>
              <w:textAlignment w:val="baseline"/>
              <w:rPr>
                <w:sz w:val="21"/>
                <w:szCs w:val="21"/>
              </w:rPr>
            </w:pPr>
            <w:r>
              <w:rPr>
                <w:rFonts w:hint="eastAsia"/>
                <w:sz w:val="21"/>
                <w:szCs w:val="21"/>
              </w:rPr>
              <w:t>1.5小时单项</w:t>
            </w:r>
          </w:p>
          <w:p>
            <w:pPr>
              <w:pStyle w:val="19"/>
              <w:snapToGrid w:val="0"/>
              <w:spacing w:line="240" w:lineRule="exact"/>
              <w:textAlignment w:val="baseline"/>
              <w:rPr>
                <w:sz w:val="21"/>
                <w:szCs w:val="21"/>
              </w:rPr>
            </w:pPr>
            <w:r>
              <w:rPr>
                <w:rFonts w:hint="eastAsia"/>
                <w:sz w:val="21"/>
                <w:szCs w:val="21"/>
              </w:rPr>
              <w:t>（每个单项10分钟）。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1532" w:type="dxa"/>
            <w:vAlign w:val="center"/>
          </w:tcPr>
          <w:p>
            <w:pPr>
              <w:pStyle w:val="19"/>
              <w:snapToGrid w:val="0"/>
              <w:spacing w:line="240" w:lineRule="exact"/>
              <w:textAlignment w:val="baseline"/>
              <w:rPr>
                <w:sz w:val="21"/>
                <w:szCs w:val="21"/>
                <w:lang w:val="en-US"/>
              </w:rPr>
            </w:pPr>
            <w:r>
              <w:rPr>
                <w:rFonts w:hint="eastAsia"/>
                <w:sz w:val="21"/>
                <w:szCs w:val="21"/>
                <w:lang w:val="en-US"/>
              </w:rPr>
              <w:t>金融综合技能</w:t>
            </w:r>
          </w:p>
        </w:tc>
        <w:tc>
          <w:tcPr>
            <w:tcW w:w="2467" w:type="dxa"/>
            <w:vAlign w:val="center"/>
          </w:tcPr>
          <w:p>
            <w:pPr>
              <w:pStyle w:val="19"/>
              <w:snapToGrid w:val="0"/>
              <w:spacing w:line="240" w:lineRule="exact"/>
              <w:textAlignment w:val="baseline"/>
              <w:rPr>
                <w:sz w:val="21"/>
                <w:szCs w:val="21"/>
              </w:rPr>
            </w:pPr>
            <w:r>
              <w:rPr>
                <w:rFonts w:hint="eastAsia"/>
                <w:spacing w:val="-4"/>
                <w:sz w:val="21"/>
                <w:szCs w:val="21"/>
              </w:rPr>
              <w:t>大堂经理岗、综合柜员岗、客户经理岗、</w:t>
            </w:r>
            <w:r>
              <w:rPr>
                <w:rFonts w:hint="eastAsia"/>
                <w:sz w:val="21"/>
                <w:szCs w:val="21"/>
              </w:rPr>
              <w:t>理财经理岗</w:t>
            </w:r>
          </w:p>
        </w:tc>
        <w:tc>
          <w:tcPr>
            <w:tcW w:w="2071" w:type="dxa"/>
            <w:vAlign w:val="center"/>
          </w:tcPr>
          <w:p>
            <w:pPr>
              <w:pStyle w:val="19"/>
              <w:snapToGrid w:val="0"/>
              <w:spacing w:line="240" w:lineRule="exact"/>
              <w:textAlignment w:val="baseline"/>
              <w:rPr>
                <w:sz w:val="21"/>
                <w:szCs w:val="21"/>
              </w:rPr>
            </w:pPr>
            <w:r>
              <w:rPr>
                <w:rFonts w:hint="eastAsia"/>
                <w:sz w:val="21"/>
                <w:szCs w:val="21"/>
              </w:rPr>
              <w:t>800分</w:t>
            </w:r>
          </w:p>
          <w:p>
            <w:pPr>
              <w:pStyle w:val="19"/>
              <w:snapToGrid w:val="0"/>
              <w:spacing w:line="240" w:lineRule="exact"/>
              <w:textAlignment w:val="baseline"/>
              <w:rPr>
                <w:sz w:val="21"/>
                <w:szCs w:val="21"/>
              </w:rPr>
            </w:pPr>
            <w:r>
              <w:rPr>
                <w:rFonts w:hint="eastAsia"/>
                <w:sz w:val="21"/>
                <w:szCs w:val="21"/>
              </w:rPr>
              <w:t>（每个</w:t>
            </w:r>
            <w:r>
              <w:rPr>
                <w:rFonts w:hint="eastAsia"/>
                <w:spacing w:val="-20"/>
                <w:sz w:val="21"/>
                <w:szCs w:val="21"/>
              </w:rPr>
              <w:t>岗位</w:t>
            </w:r>
            <w:r>
              <w:rPr>
                <w:rFonts w:hint="eastAsia"/>
                <w:sz w:val="21"/>
                <w:szCs w:val="21"/>
              </w:rPr>
              <w:t>200</w:t>
            </w:r>
            <w:r>
              <w:rPr>
                <w:rFonts w:hint="eastAsia"/>
                <w:spacing w:val="-30"/>
                <w:sz w:val="21"/>
                <w:szCs w:val="21"/>
              </w:rPr>
              <w:t>分</w:t>
            </w:r>
            <w:r>
              <w:rPr>
                <w:rFonts w:hint="eastAsia"/>
                <w:sz w:val="21"/>
                <w:szCs w:val="21"/>
              </w:rPr>
              <w:t>）</w:t>
            </w:r>
          </w:p>
        </w:tc>
        <w:tc>
          <w:tcPr>
            <w:tcW w:w="1565" w:type="dxa"/>
            <w:vAlign w:val="center"/>
          </w:tcPr>
          <w:p>
            <w:pPr>
              <w:pStyle w:val="19"/>
              <w:snapToGrid w:val="0"/>
              <w:spacing w:line="240" w:lineRule="exact"/>
              <w:textAlignment w:val="baseline"/>
              <w:rPr>
                <w:sz w:val="21"/>
                <w:szCs w:val="21"/>
              </w:rPr>
            </w:pPr>
            <w:r>
              <w:rPr>
                <w:rFonts w:hint="eastAsia"/>
                <w:sz w:val="21"/>
                <w:szCs w:val="21"/>
              </w:rPr>
              <w:t>4人分岗位完成</w:t>
            </w:r>
          </w:p>
        </w:tc>
        <w:tc>
          <w:tcPr>
            <w:tcW w:w="1950" w:type="dxa"/>
            <w:vAlign w:val="center"/>
          </w:tcPr>
          <w:p>
            <w:pPr>
              <w:pStyle w:val="19"/>
              <w:snapToGrid w:val="0"/>
              <w:spacing w:line="240" w:lineRule="exact"/>
              <w:ind w:firstLine="420" w:firstLineChars="200"/>
              <w:textAlignment w:val="baseline"/>
              <w:rPr>
                <w:sz w:val="21"/>
                <w:szCs w:val="21"/>
              </w:rPr>
            </w:pPr>
            <w:r>
              <w:rPr>
                <w:rFonts w:hint="eastAsia"/>
                <w:sz w:val="21"/>
                <w:szCs w:val="21"/>
              </w:rPr>
              <w:t>2小时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32" w:type="dxa"/>
            <w:vMerge w:val="restart"/>
            <w:vAlign w:val="center"/>
          </w:tcPr>
          <w:p>
            <w:pPr>
              <w:pStyle w:val="19"/>
              <w:snapToGrid w:val="0"/>
              <w:spacing w:line="240" w:lineRule="exact"/>
              <w:ind w:firstLine="420" w:firstLineChars="200"/>
              <w:textAlignment w:val="baseline"/>
              <w:rPr>
                <w:sz w:val="21"/>
                <w:szCs w:val="21"/>
                <w:lang w:val="en-US"/>
              </w:rPr>
            </w:pPr>
          </w:p>
          <w:p>
            <w:pPr>
              <w:pStyle w:val="19"/>
              <w:snapToGrid w:val="0"/>
              <w:spacing w:line="240" w:lineRule="exact"/>
              <w:ind w:firstLine="420" w:firstLineChars="200"/>
              <w:textAlignment w:val="baseline"/>
              <w:rPr>
                <w:sz w:val="21"/>
                <w:szCs w:val="21"/>
                <w:lang w:val="en-US"/>
              </w:rPr>
            </w:pPr>
          </w:p>
          <w:p>
            <w:pPr>
              <w:pStyle w:val="19"/>
              <w:snapToGrid w:val="0"/>
              <w:spacing w:line="240" w:lineRule="exact"/>
              <w:ind w:firstLine="420" w:firstLineChars="200"/>
              <w:textAlignment w:val="baseline"/>
              <w:rPr>
                <w:sz w:val="21"/>
                <w:szCs w:val="21"/>
                <w:lang w:val="en-US"/>
              </w:rPr>
            </w:pPr>
          </w:p>
          <w:p>
            <w:pPr>
              <w:pStyle w:val="19"/>
              <w:snapToGrid w:val="0"/>
              <w:spacing w:line="240" w:lineRule="exact"/>
              <w:textAlignment w:val="baseline"/>
              <w:rPr>
                <w:sz w:val="21"/>
                <w:szCs w:val="21"/>
                <w:lang w:val="en-US"/>
              </w:rPr>
            </w:pPr>
            <w:r>
              <w:rPr>
                <w:rFonts w:hint="eastAsia"/>
                <w:sz w:val="21"/>
                <w:szCs w:val="21"/>
                <w:lang w:val="en-US"/>
              </w:rPr>
              <w:t>数字金融业务</w:t>
            </w:r>
          </w:p>
        </w:tc>
        <w:tc>
          <w:tcPr>
            <w:tcW w:w="2467" w:type="dxa"/>
            <w:vAlign w:val="center"/>
          </w:tcPr>
          <w:p>
            <w:pPr>
              <w:widowControl/>
              <w:spacing w:line="240" w:lineRule="exact"/>
              <w:rPr>
                <w:sz w:val="21"/>
                <w:szCs w:val="21"/>
              </w:rPr>
            </w:pPr>
            <w:r>
              <w:rPr>
                <w:rFonts w:ascii="FangSong_GB2312" w:hAnsi="FangSong_GB2312" w:eastAsia="FangSong_GB2312" w:cs="FangSong_GB2312"/>
                <w:color w:val="000000"/>
                <w:sz w:val="21"/>
                <w:szCs w:val="21"/>
                <w:lang w:val="en-US" w:bidi="ar"/>
              </w:rPr>
              <w:t>大数据金融业务</w:t>
            </w:r>
          </w:p>
          <w:p>
            <w:pPr>
              <w:widowControl/>
              <w:spacing w:line="240" w:lineRule="exact"/>
              <w:rPr>
                <w:spacing w:val="-4"/>
                <w:sz w:val="21"/>
                <w:szCs w:val="21"/>
              </w:rPr>
            </w:pPr>
          </w:p>
        </w:tc>
        <w:tc>
          <w:tcPr>
            <w:tcW w:w="2071" w:type="dxa"/>
            <w:vAlign w:val="center"/>
          </w:tcPr>
          <w:p>
            <w:pPr>
              <w:widowControl/>
              <w:spacing w:line="240" w:lineRule="exact"/>
              <w:rPr>
                <w:spacing w:val="-4"/>
                <w:sz w:val="21"/>
                <w:szCs w:val="21"/>
              </w:rPr>
            </w:pPr>
            <w:r>
              <w:rPr>
                <w:rFonts w:hint="eastAsia"/>
                <w:spacing w:val="-4"/>
                <w:sz w:val="21"/>
                <w:szCs w:val="21"/>
                <w:lang w:val="en-US"/>
              </w:rPr>
              <w:t>本模块100分</w:t>
            </w:r>
          </w:p>
        </w:tc>
        <w:tc>
          <w:tcPr>
            <w:tcW w:w="1565" w:type="dxa"/>
            <w:vMerge w:val="restart"/>
            <w:vAlign w:val="center"/>
          </w:tcPr>
          <w:p>
            <w:pPr>
              <w:pStyle w:val="19"/>
              <w:snapToGrid w:val="0"/>
              <w:spacing w:line="240" w:lineRule="exact"/>
              <w:textAlignment w:val="baseline"/>
              <w:rPr>
                <w:sz w:val="21"/>
                <w:szCs w:val="21"/>
              </w:rPr>
            </w:pPr>
          </w:p>
          <w:p>
            <w:pPr>
              <w:pStyle w:val="19"/>
              <w:snapToGrid w:val="0"/>
              <w:spacing w:line="240" w:lineRule="exact"/>
              <w:textAlignment w:val="baseline"/>
              <w:rPr>
                <w:sz w:val="21"/>
                <w:szCs w:val="21"/>
              </w:rPr>
            </w:pPr>
          </w:p>
          <w:p>
            <w:pPr>
              <w:pStyle w:val="19"/>
              <w:snapToGrid w:val="0"/>
              <w:spacing w:line="240" w:lineRule="exact"/>
              <w:textAlignment w:val="baseline"/>
              <w:rPr>
                <w:sz w:val="21"/>
                <w:szCs w:val="21"/>
              </w:rPr>
            </w:pPr>
          </w:p>
          <w:p>
            <w:pPr>
              <w:pStyle w:val="19"/>
              <w:snapToGrid w:val="0"/>
              <w:spacing w:line="240" w:lineRule="exact"/>
              <w:textAlignment w:val="baseline"/>
              <w:rPr>
                <w:sz w:val="21"/>
                <w:szCs w:val="21"/>
              </w:rPr>
            </w:pPr>
          </w:p>
          <w:p>
            <w:pPr>
              <w:pStyle w:val="19"/>
              <w:snapToGrid w:val="0"/>
              <w:spacing w:line="240" w:lineRule="exact"/>
              <w:textAlignment w:val="baseline"/>
              <w:rPr>
                <w:sz w:val="21"/>
                <w:szCs w:val="21"/>
              </w:rPr>
            </w:pPr>
          </w:p>
          <w:p>
            <w:pPr>
              <w:pStyle w:val="19"/>
              <w:snapToGrid w:val="0"/>
              <w:spacing w:line="240" w:lineRule="exact"/>
              <w:textAlignment w:val="baseline"/>
              <w:rPr>
                <w:sz w:val="21"/>
                <w:szCs w:val="21"/>
              </w:rPr>
            </w:pPr>
            <w:r>
              <w:rPr>
                <w:rFonts w:hint="eastAsia"/>
                <w:sz w:val="21"/>
                <w:szCs w:val="21"/>
              </w:rPr>
              <w:t>4人</w:t>
            </w:r>
            <w:r>
              <w:rPr>
                <w:rFonts w:hint="eastAsia"/>
                <w:sz w:val="21"/>
                <w:szCs w:val="21"/>
                <w:lang w:val="en-US"/>
              </w:rPr>
              <w:t>合作</w:t>
            </w:r>
            <w:r>
              <w:rPr>
                <w:rFonts w:hint="eastAsia"/>
                <w:sz w:val="21"/>
                <w:szCs w:val="21"/>
              </w:rPr>
              <w:t>完成</w:t>
            </w:r>
          </w:p>
        </w:tc>
        <w:tc>
          <w:tcPr>
            <w:tcW w:w="1950" w:type="dxa"/>
            <w:vMerge w:val="restart"/>
            <w:vAlign w:val="center"/>
          </w:tcPr>
          <w:p>
            <w:pPr>
              <w:pStyle w:val="19"/>
              <w:snapToGrid w:val="0"/>
              <w:spacing w:line="240" w:lineRule="exact"/>
              <w:ind w:firstLine="420" w:firstLineChars="200"/>
              <w:textAlignment w:val="baseline"/>
              <w:rPr>
                <w:sz w:val="21"/>
                <w:szCs w:val="21"/>
              </w:rPr>
            </w:pPr>
          </w:p>
          <w:p>
            <w:pPr>
              <w:pStyle w:val="19"/>
              <w:snapToGrid w:val="0"/>
              <w:spacing w:line="240" w:lineRule="exact"/>
              <w:ind w:firstLine="420" w:firstLineChars="200"/>
              <w:textAlignment w:val="baseline"/>
              <w:rPr>
                <w:sz w:val="21"/>
                <w:szCs w:val="21"/>
              </w:rPr>
            </w:pPr>
          </w:p>
          <w:p>
            <w:pPr>
              <w:pStyle w:val="19"/>
              <w:snapToGrid w:val="0"/>
              <w:spacing w:line="240" w:lineRule="exact"/>
              <w:ind w:firstLine="420" w:firstLineChars="200"/>
              <w:textAlignment w:val="baseline"/>
              <w:rPr>
                <w:sz w:val="21"/>
                <w:szCs w:val="21"/>
              </w:rPr>
            </w:pPr>
          </w:p>
          <w:p>
            <w:pPr>
              <w:pStyle w:val="19"/>
              <w:snapToGrid w:val="0"/>
              <w:spacing w:line="240" w:lineRule="exact"/>
              <w:ind w:firstLine="420" w:firstLineChars="200"/>
              <w:textAlignment w:val="baseline"/>
              <w:rPr>
                <w:sz w:val="21"/>
                <w:szCs w:val="21"/>
              </w:rPr>
            </w:pPr>
            <w:r>
              <w:rPr>
                <w:rFonts w:hint="eastAsia"/>
                <w:sz w:val="21"/>
                <w:szCs w:val="21"/>
                <w:lang w:val="en-US"/>
              </w:rPr>
              <w:t>3</w:t>
            </w:r>
            <w:r>
              <w:rPr>
                <w:rFonts w:hint="eastAsia"/>
                <w:sz w:val="21"/>
                <w:szCs w:val="21"/>
              </w:rPr>
              <w:t>小时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32" w:type="dxa"/>
            <w:vMerge w:val="continue"/>
            <w:vAlign w:val="center"/>
          </w:tcPr>
          <w:p>
            <w:pPr>
              <w:pStyle w:val="19"/>
              <w:snapToGrid w:val="0"/>
              <w:spacing w:line="240" w:lineRule="exact"/>
              <w:ind w:firstLine="420" w:firstLineChars="200"/>
              <w:textAlignment w:val="baseline"/>
              <w:rPr>
                <w:sz w:val="21"/>
                <w:szCs w:val="21"/>
                <w:lang w:val="en-US"/>
              </w:rPr>
            </w:pPr>
          </w:p>
        </w:tc>
        <w:tc>
          <w:tcPr>
            <w:tcW w:w="2467" w:type="dxa"/>
            <w:vAlign w:val="center"/>
          </w:tcPr>
          <w:p>
            <w:pPr>
              <w:widowControl/>
              <w:spacing w:line="240" w:lineRule="exact"/>
              <w:rPr>
                <w:sz w:val="21"/>
                <w:szCs w:val="21"/>
              </w:rPr>
            </w:pPr>
            <w:r>
              <w:rPr>
                <w:rFonts w:ascii="FangSong_GB2312" w:hAnsi="FangSong_GB2312" w:eastAsia="FangSong_GB2312" w:cs="FangSong_GB2312"/>
                <w:color w:val="000000"/>
                <w:sz w:val="21"/>
                <w:szCs w:val="21"/>
                <w:lang w:val="en-US" w:bidi="ar"/>
              </w:rPr>
              <w:t>区块链金融业务</w:t>
            </w:r>
          </w:p>
          <w:p>
            <w:pPr>
              <w:widowControl/>
              <w:spacing w:line="240" w:lineRule="exact"/>
              <w:rPr>
                <w:spacing w:val="-4"/>
                <w:sz w:val="21"/>
                <w:szCs w:val="21"/>
                <w:lang w:val="en-US"/>
              </w:rPr>
            </w:pPr>
          </w:p>
        </w:tc>
        <w:tc>
          <w:tcPr>
            <w:tcW w:w="2071" w:type="dxa"/>
            <w:vAlign w:val="center"/>
          </w:tcPr>
          <w:p>
            <w:pPr>
              <w:widowControl/>
              <w:spacing w:line="240" w:lineRule="exact"/>
              <w:rPr>
                <w:spacing w:val="-4"/>
                <w:sz w:val="21"/>
                <w:szCs w:val="21"/>
                <w:lang w:val="en-US"/>
              </w:rPr>
            </w:pPr>
            <w:r>
              <w:rPr>
                <w:rFonts w:hint="eastAsia"/>
                <w:spacing w:val="-4"/>
                <w:sz w:val="21"/>
                <w:szCs w:val="21"/>
                <w:lang w:val="en-US"/>
              </w:rPr>
              <w:t>本模块150分</w:t>
            </w:r>
          </w:p>
        </w:tc>
        <w:tc>
          <w:tcPr>
            <w:tcW w:w="1565" w:type="dxa"/>
            <w:vMerge w:val="continue"/>
            <w:vAlign w:val="center"/>
          </w:tcPr>
          <w:p>
            <w:pPr>
              <w:pStyle w:val="19"/>
              <w:snapToGrid w:val="0"/>
              <w:spacing w:line="240" w:lineRule="exact"/>
              <w:textAlignment w:val="baseline"/>
              <w:rPr>
                <w:sz w:val="21"/>
                <w:szCs w:val="21"/>
              </w:rPr>
            </w:pPr>
          </w:p>
        </w:tc>
        <w:tc>
          <w:tcPr>
            <w:tcW w:w="1950" w:type="dxa"/>
            <w:vMerge w:val="continue"/>
            <w:vAlign w:val="center"/>
          </w:tcPr>
          <w:p>
            <w:pPr>
              <w:pStyle w:val="19"/>
              <w:snapToGrid w:val="0"/>
              <w:spacing w:line="240" w:lineRule="exact"/>
              <w:ind w:firstLine="420" w:firstLineChars="200"/>
              <w:textAlignment w:val="baseline"/>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32" w:type="dxa"/>
            <w:vMerge w:val="continue"/>
            <w:vAlign w:val="center"/>
          </w:tcPr>
          <w:p>
            <w:pPr>
              <w:pStyle w:val="19"/>
              <w:snapToGrid w:val="0"/>
              <w:spacing w:line="240" w:lineRule="exact"/>
              <w:ind w:firstLine="420" w:firstLineChars="200"/>
              <w:textAlignment w:val="baseline"/>
              <w:rPr>
                <w:sz w:val="21"/>
                <w:szCs w:val="21"/>
                <w:lang w:val="en-US"/>
              </w:rPr>
            </w:pPr>
          </w:p>
        </w:tc>
        <w:tc>
          <w:tcPr>
            <w:tcW w:w="2467" w:type="dxa"/>
            <w:vAlign w:val="center"/>
          </w:tcPr>
          <w:p>
            <w:pPr>
              <w:widowControl/>
              <w:spacing w:line="240" w:lineRule="exact"/>
              <w:rPr>
                <w:sz w:val="21"/>
                <w:szCs w:val="21"/>
              </w:rPr>
            </w:pPr>
            <w:r>
              <w:rPr>
                <w:rFonts w:ascii="FangSong_GB2312" w:hAnsi="FangSong_GB2312" w:eastAsia="FangSong_GB2312" w:cs="FangSong_GB2312"/>
                <w:color w:val="000000"/>
                <w:sz w:val="21"/>
                <w:szCs w:val="21"/>
                <w:lang w:val="en-US" w:bidi="ar"/>
              </w:rPr>
              <w:t>支付业务数字化</w:t>
            </w:r>
          </w:p>
          <w:p>
            <w:pPr>
              <w:pStyle w:val="19"/>
              <w:snapToGrid w:val="0"/>
              <w:spacing w:line="240" w:lineRule="exact"/>
              <w:ind w:firstLine="404" w:firstLineChars="200"/>
              <w:textAlignment w:val="baseline"/>
              <w:rPr>
                <w:spacing w:val="-4"/>
                <w:sz w:val="21"/>
                <w:szCs w:val="21"/>
              </w:rPr>
            </w:pPr>
          </w:p>
        </w:tc>
        <w:tc>
          <w:tcPr>
            <w:tcW w:w="2071" w:type="dxa"/>
            <w:vAlign w:val="center"/>
          </w:tcPr>
          <w:p>
            <w:pPr>
              <w:snapToGrid w:val="0"/>
              <w:spacing w:line="240" w:lineRule="exact"/>
              <w:textAlignment w:val="baseline"/>
              <w:rPr>
                <w:spacing w:val="-4"/>
                <w:sz w:val="21"/>
                <w:szCs w:val="21"/>
              </w:rPr>
            </w:pPr>
            <w:r>
              <w:rPr>
                <w:rFonts w:hint="eastAsia"/>
                <w:spacing w:val="-4"/>
                <w:sz w:val="21"/>
                <w:szCs w:val="21"/>
                <w:lang w:val="en-US"/>
              </w:rPr>
              <w:t>本模块150分</w:t>
            </w:r>
          </w:p>
        </w:tc>
        <w:tc>
          <w:tcPr>
            <w:tcW w:w="1565" w:type="dxa"/>
            <w:vMerge w:val="continue"/>
            <w:vAlign w:val="center"/>
          </w:tcPr>
          <w:p>
            <w:pPr>
              <w:pStyle w:val="19"/>
              <w:snapToGrid w:val="0"/>
              <w:spacing w:line="240" w:lineRule="exact"/>
              <w:textAlignment w:val="baseline"/>
              <w:rPr>
                <w:sz w:val="21"/>
                <w:szCs w:val="21"/>
              </w:rPr>
            </w:pPr>
          </w:p>
        </w:tc>
        <w:tc>
          <w:tcPr>
            <w:tcW w:w="1950" w:type="dxa"/>
            <w:vMerge w:val="continue"/>
            <w:vAlign w:val="center"/>
          </w:tcPr>
          <w:p>
            <w:pPr>
              <w:pStyle w:val="19"/>
              <w:snapToGrid w:val="0"/>
              <w:spacing w:line="240" w:lineRule="exact"/>
              <w:ind w:firstLine="420" w:firstLineChars="200"/>
              <w:textAlignment w:val="baseline"/>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32" w:type="dxa"/>
            <w:vMerge w:val="continue"/>
            <w:vAlign w:val="center"/>
          </w:tcPr>
          <w:p>
            <w:pPr>
              <w:pStyle w:val="19"/>
              <w:snapToGrid w:val="0"/>
              <w:spacing w:line="240" w:lineRule="exact"/>
              <w:ind w:firstLine="420" w:firstLineChars="200"/>
              <w:textAlignment w:val="baseline"/>
              <w:rPr>
                <w:sz w:val="21"/>
                <w:szCs w:val="21"/>
                <w:lang w:val="en-US"/>
              </w:rPr>
            </w:pPr>
          </w:p>
        </w:tc>
        <w:tc>
          <w:tcPr>
            <w:tcW w:w="2467" w:type="dxa"/>
            <w:vAlign w:val="center"/>
          </w:tcPr>
          <w:p>
            <w:pPr>
              <w:widowControl/>
              <w:spacing w:line="240" w:lineRule="exact"/>
              <w:rPr>
                <w:sz w:val="21"/>
                <w:szCs w:val="21"/>
              </w:rPr>
            </w:pPr>
            <w:r>
              <w:rPr>
                <w:rFonts w:ascii="FangSong_GB2312" w:hAnsi="FangSong_GB2312" w:eastAsia="FangSong_GB2312" w:cs="FangSong_GB2312"/>
                <w:color w:val="000000"/>
                <w:sz w:val="21"/>
                <w:szCs w:val="21"/>
                <w:lang w:val="en-US" w:bidi="ar"/>
              </w:rPr>
              <w:t>银行业务数字化</w:t>
            </w:r>
          </w:p>
          <w:p>
            <w:pPr>
              <w:pStyle w:val="19"/>
              <w:snapToGrid w:val="0"/>
              <w:spacing w:line="240" w:lineRule="exact"/>
              <w:ind w:firstLine="404" w:firstLineChars="200"/>
              <w:textAlignment w:val="baseline"/>
              <w:rPr>
                <w:spacing w:val="-4"/>
                <w:sz w:val="21"/>
                <w:szCs w:val="21"/>
              </w:rPr>
            </w:pPr>
          </w:p>
        </w:tc>
        <w:tc>
          <w:tcPr>
            <w:tcW w:w="2071" w:type="dxa"/>
            <w:vAlign w:val="center"/>
          </w:tcPr>
          <w:p>
            <w:pPr>
              <w:snapToGrid w:val="0"/>
              <w:spacing w:line="240" w:lineRule="exact"/>
              <w:textAlignment w:val="baseline"/>
              <w:rPr>
                <w:spacing w:val="-4"/>
                <w:sz w:val="21"/>
                <w:szCs w:val="21"/>
              </w:rPr>
            </w:pPr>
            <w:r>
              <w:rPr>
                <w:rFonts w:hint="eastAsia"/>
                <w:spacing w:val="-4"/>
                <w:sz w:val="21"/>
                <w:szCs w:val="21"/>
                <w:lang w:val="en-US"/>
              </w:rPr>
              <w:t>本模块150分</w:t>
            </w:r>
          </w:p>
        </w:tc>
        <w:tc>
          <w:tcPr>
            <w:tcW w:w="1565" w:type="dxa"/>
            <w:vMerge w:val="continue"/>
            <w:vAlign w:val="center"/>
          </w:tcPr>
          <w:p>
            <w:pPr>
              <w:pStyle w:val="19"/>
              <w:snapToGrid w:val="0"/>
              <w:spacing w:line="240" w:lineRule="exact"/>
              <w:textAlignment w:val="baseline"/>
              <w:rPr>
                <w:sz w:val="21"/>
                <w:szCs w:val="21"/>
              </w:rPr>
            </w:pPr>
          </w:p>
        </w:tc>
        <w:tc>
          <w:tcPr>
            <w:tcW w:w="1950" w:type="dxa"/>
            <w:vMerge w:val="continue"/>
            <w:vAlign w:val="center"/>
          </w:tcPr>
          <w:p>
            <w:pPr>
              <w:pStyle w:val="19"/>
              <w:snapToGrid w:val="0"/>
              <w:spacing w:line="240" w:lineRule="exact"/>
              <w:ind w:firstLine="420" w:firstLineChars="200"/>
              <w:textAlignment w:val="baseline"/>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32" w:type="dxa"/>
            <w:vMerge w:val="continue"/>
            <w:vAlign w:val="center"/>
          </w:tcPr>
          <w:p>
            <w:pPr>
              <w:snapToGrid w:val="0"/>
              <w:spacing w:line="240" w:lineRule="exact"/>
              <w:ind w:firstLine="420" w:firstLineChars="200"/>
              <w:textAlignment w:val="baseline"/>
              <w:rPr>
                <w:sz w:val="21"/>
                <w:szCs w:val="21"/>
              </w:rPr>
            </w:pPr>
          </w:p>
        </w:tc>
        <w:tc>
          <w:tcPr>
            <w:tcW w:w="2467" w:type="dxa"/>
            <w:vAlign w:val="center"/>
          </w:tcPr>
          <w:p>
            <w:pPr>
              <w:widowControl/>
              <w:spacing w:line="240" w:lineRule="exact"/>
              <w:rPr>
                <w:sz w:val="21"/>
                <w:szCs w:val="21"/>
              </w:rPr>
            </w:pPr>
            <w:r>
              <w:rPr>
                <w:rFonts w:ascii="FangSong_GB2312" w:hAnsi="FangSong_GB2312" w:eastAsia="FangSong_GB2312" w:cs="FangSong_GB2312"/>
                <w:color w:val="000000"/>
                <w:sz w:val="21"/>
                <w:szCs w:val="21"/>
                <w:lang w:val="en-US" w:bidi="ar"/>
              </w:rPr>
              <w:t>证券业务数字化</w:t>
            </w:r>
          </w:p>
          <w:p>
            <w:pPr>
              <w:widowControl/>
              <w:spacing w:line="240" w:lineRule="exact"/>
              <w:rPr>
                <w:spacing w:val="-4"/>
                <w:sz w:val="21"/>
                <w:szCs w:val="21"/>
              </w:rPr>
            </w:pPr>
          </w:p>
        </w:tc>
        <w:tc>
          <w:tcPr>
            <w:tcW w:w="2071" w:type="dxa"/>
            <w:vAlign w:val="center"/>
          </w:tcPr>
          <w:p>
            <w:pPr>
              <w:snapToGrid w:val="0"/>
              <w:spacing w:line="240" w:lineRule="exact"/>
              <w:textAlignment w:val="baseline"/>
              <w:rPr>
                <w:spacing w:val="-4"/>
                <w:sz w:val="21"/>
                <w:szCs w:val="21"/>
              </w:rPr>
            </w:pPr>
            <w:r>
              <w:rPr>
                <w:rFonts w:hint="eastAsia"/>
                <w:spacing w:val="-4"/>
                <w:sz w:val="21"/>
                <w:szCs w:val="21"/>
                <w:lang w:val="en-US"/>
              </w:rPr>
              <w:t>本模块200分</w:t>
            </w:r>
          </w:p>
        </w:tc>
        <w:tc>
          <w:tcPr>
            <w:tcW w:w="1565" w:type="dxa"/>
            <w:vMerge w:val="continue"/>
            <w:vAlign w:val="center"/>
          </w:tcPr>
          <w:p>
            <w:pPr>
              <w:snapToGrid w:val="0"/>
              <w:spacing w:line="240" w:lineRule="exact"/>
              <w:ind w:firstLine="420" w:firstLineChars="200"/>
              <w:textAlignment w:val="baseline"/>
              <w:rPr>
                <w:sz w:val="21"/>
                <w:szCs w:val="21"/>
              </w:rPr>
            </w:pPr>
          </w:p>
        </w:tc>
        <w:tc>
          <w:tcPr>
            <w:tcW w:w="1950" w:type="dxa"/>
            <w:vMerge w:val="continue"/>
            <w:vAlign w:val="center"/>
          </w:tcPr>
          <w:p>
            <w:pPr>
              <w:snapToGrid w:val="0"/>
              <w:spacing w:line="240" w:lineRule="exact"/>
              <w:ind w:firstLine="420" w:firstLineChars="200"/>
              <w:textAlignment w:val="baseline"/>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32" w:type="dxa"/>
            <w:vMerge w:val="continue"/>
            <w:vAlign w:val="center"/>
          </w:tcPr>
          <w:p>
            <w:pPr>
              <w:snapToGrid w:val="0"/>
              <w:spacing w:line="240" w:lineRule="exact"/>
              <w:ind w:firstLine="420" w:firstLineChars="200"/>
              <w:textAlignment w:val="baseline"/>
              <w:rPr>
                <w:sz w:val="21"/>
                <w:szCs w:val="21"/>
              </w:rPr>
            </w:pPr>
          </w:p>
        </w:tc>
        <w:tc>
          <w:tcPr>
            <w:tcW w:w="2467" w:type="dxa"/>
            <w:vAlign w:val="center"/>
          </w:tcPr>
          <w:p>
            <w:pPr>
              <w:widowControl/>
              <w:spacing w:line="240" w:lineRule="exact"/>
              <w:rPr>
                <w:sz w:val="21"/>
                <w:szCs w:val="21"/>
              </w:rPr>
            </w:pPr>
            <w:r>
              <w:rPr>
                <w:rFonts w:ascii="FangSong_GB2312" w:hAnsi="FangSong_GB2312" w:eastAsia="FangSong_GB2312" w:cs="FangSong_GB2312"/>
                <w:color w:val="000000"/>
                <w:sz w:val="21"/>
                <w:szCs w:val="21"/>
                <w:lang w:val="en-US" w:bidi="ar"/>
              </w:rPr>
              <w:t>保险业业务数字化</w:t>
            </w:r>
          </w:p>
          <w:p>
            <w:pPr>
              <w:pStyle w:val="19"/>
              <w:snapToGrid w:val="0"/>
              <w:spacing w:line="240" w:lineRule="exact"/>
              <w:ind w:firstLine="404" w:firstLineChars="200"/>
              <w:textAlignment w:val="baseline"/>
              <w:rPr>
                <w:spacing w:val="-4"/>
                <w:sz w:val="21"/>
                <w:szCs w:val="21"/>
              </w:rPr>
            </w:pPr>
          </w:p>
        </w:tc>
        <w:tc>
          <w:tcPr>
            <w:tcW w:w="2071" w:type="dxa"/>
            <w:vAlign w:val="center"/>
          </w:tcPr>
          <w:p>
            <w:pPr>
              <w:snapToGrid w:val="0"/>
              <w:spacing w:line="240" w:lineRule="exact"/>
              <w:textAlignment w:val="baseline"/>
              <w:rPr>
                <w:spacing w:val="-4"/>
                <w:sz w:val="21"/>
                <w:szCs w:val="21"/>
              </w:rPr>
            </w:pPr>
            <w:r>
              <w:rPr>
                <w:rFonts w:hint="eastAsia"/>
                <w:spacing w:val="-4"/>
                <w:sz w:val="21"/>
                <w:szCs w:val="21"/>
                <w:lang w:val="en-US"/>
              </w:rPr>
              <w:t>本模块150分</w:t>
            </w:r>
          </w:p>
        </w:tc>
        <w:tc>
          <w:tcPr>
            <w:tcW w:w="1565" w:type="dxa"/>
            <w:vMerge w:val="continue"/>
            <w:vAlign w:val="center"/>
          </w:tcPr>
          <w:p>
            <w:pPr>
              <w:snapToGrid w:val="0"/>
              <w:spacing w:line="240" w:lineRule="exact"/>
              <w:ind w:firstLine="420" w:firstLineChars="200"/>
              <w:textAlignment w:val="baseline"/>
              <w:rPr>
                <w:sz w:val="21"/>
                <w:szCs w:val="21"/>
              </w:rPr>
            </w:pPr>
          </w:p>
        </w:tc>
        <w:tc>
          <w:tcPr>
            <w:tcW w:w="1950" w:type="dxa"/>
            <w:vMerge w:val="continue"/>
            <w:vAlign w:val="center"/>
          </w:tcPr>
          <w:p>
            <w:pPr>
              <w:snapToGrid w:val="0"/>
              <w:spacing w:line="240" w:lineRule="exact"/>
              <w:ind w:firstLine="420" w:firstLineChars="200"/>
              <w:textAlignment w:val="baseline"/>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32" w:type="dxa"/>
            <w:vMerge w:val="continue"/>
            <w:vAlign w:val="center"/>
          </w:tcPr>
          <w:p>
            <w:pPr>
              <w:snapToGrid w:val="0"/>
              <w:spacing w:line="240" w:lineRule="exact"/>
              <w:ind w:firstLine="420" w:firstLineChars="200"/>
              <w:textAlignment w:val="baseline"/>
              <w:rPr>
                <w:sz w:val="21"/>
                <w:szCs w:val="21"/>
              </w:rPr>
            </w:pPr>
          </w:p>
        </w:tc>
        <w:tc>
          <w:tcPr>
            <w:tcW w:w="2467" w:type="dxa"/>
            <w:vAlign w:val="center"/>
          </w:tcPr>
          <w:p>
            <w:pPr>
              <w:widowControl/>
              <w:spacing w:line="240" w:lineRule="exact"/>
              <w:rPr>
                <w:sz w:val="21"/>
                <w:szCs w:val="21"/>
              </w:rPr>
            </w:pPr>
            <w:r>
              <w:rPr>
                <w:rFonts w:ascii="FangSong_GB2312" w:hAnsi="FangSong_GB2312" w:eastAsia="FangSong_GB2312" w:cs="FangSong_GB2312"/>
                <w:color w:val="000000"/>
                <w:sz w:val="21"/>
                <w:szCs w:val="21"/>
                <w:lang w:val="en-US" w:bidi="ar"/>
              </w:rPr>
              <w:t>金融科技业务创新</w:t>
            </w:r>
          </w:p>
          <w:p>
            <w:pPr>
              <w:pStyle w:val="19"/>
              <w:snapToGrid w:val="0"/>
              <w:spacing w:line="240" w:lineRule="exact"/>
              <w:ind w:firstLine="404" w:firstLineChars="200"/>
              <w:textAlignment w:val="baseline"/>
              <w:rPr>
                <w:spacing w:val="-4"/>
                <w:sz w:val="21"/>
                <w:szCs w:val="21"/>
              </w:rPr>
            </w:pPr>
          </w:p>
        </w:tc>
        <w:tc>
          <w:tcPr>
            <w:tcW w:w="2071" w:type="dxa"/>
            <w:vAlign w:val="center"/>
          </w:tcPr>
          <w:p>
            <w:pPr>
              <w:snapToGrid w:val="0"/>
              <w:spacing w:line="240" w:lineRule="exact"/>
              <w:textAlignment w:val="baseline"/>
              <w:rPr>
                <w:spacing w:val="-4"/>
                <w:sz w:val="21"/>
                <w:szCs w:val="21"/>
              </w:rPr>
            </w:pPr>
            <w:r>
              <w:rPr>
                <w:rFonts w:hint="eastAsia"/>
                <w:spacing w:val="-4"/>
                <w:sz w:val="21"/>
                <w:szCs w:val="21"/>
                <w:lang w:val="en-US"/>
              </w:rPr>
              <w:t>本模块50分</w:t>
            </w:r>
          </w:p>
        </w:tc>
        <w:tc>
          <w:tcPr>
            <w:tcW w:w="1565" w:type="dxa"/>
            <w:vMerge w:val="continue"/>
            <w:vAlign w:val="center"/>
          </w:tcPr>
          <w:p>
            <w:pPr>
              <w:snapToGrid w:val="0"/>
              <w:spacing w:line="240" w:lineRule="exact"/>
              <w:ind w:firstLine="420" w:firstLineChars="200"/>
              <w:textAlignment w:val="baseline"/>
              <w:rPr>
                <w:sz w:val="21"/>
                <w:szCs w:val="21"/>
              </w:rPr>
            </w:pPr>
          </w:p>
        </w:tc>
        <w:tc>
          <w:tcPr>
            <w:tcW w:w="1950" w:type="dxa"/>
            <w:vMerge w:val="continue"/>
            <w:vAlign w:val="center"/>
          </w:tcPr>
          <w:p>
            <w:pPr>
              <w:snapToGrid w:val="0"/>
              <w:spacing w:line="240" w:lineRule="exact"/>
              <w:ind w:firstLine="420" w:firstLineChars="200"/>
              <w:textAlignment w:val="baseline"/>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32" w:type="dxa"/>
            <w:vMerge w:val="continue"/>
            <w:vAlign w:val="center"/>
          </w:tcPr>
          <w:p>
            <w:pPr>
              <w:snapToGrid w:val="0"/>
              <w:spacing w:line="240" w:lineRule="exact"/>
              <w:ind w:firstLine="420" w:firstLineChars="200"/>
              <w:textAlignment w:val="baseline"/>
              <w:rPr>
                <w:sz w:val="21"/>
                <w:szCs w:val="21"/>
              </w:rPr>
            </w:pPr>
          </w:p>
        </w:tc>
        <w:tc>
          <w:tcPr>
            <w:tcW w:w="2467" w:type="dxa"/>
            <w:vAlign w:val="center"/>
          </w:tcPr>
          <w:p>
            <w:pPr>
              <w:widowControl/>
              <w:spacing w:line="240" w:lineRule="exact"/>
              <w:rPr>
                <w:sz w:val="21"/>
                <w:szCs w:val="21"/>
              </w:rPr>
            </w:pPr>
            <w:r>
              <w:rPr>
                <w:rFonts w:ascii="FangSong_GB2312" w:hAnsi="FangSong_GB2312" w:eastAsia="FangSong_GB2312" w:cs="FangSong_GB2312"/>
                <w:color w:val="000000"/>
                <w:sz w:val="21"/>
                <w:szCs w:val="21"/>
                <w:lang w:val="en-US" w:bidi="ar"/>
              </w:rPr>
              <w:t>数字金融业务监管</w:t>
            </w:r>
          </w:p>
          <w:p>
            <w:pPr>
              <w:pStyle w:val="19"/>
              <w:snapToGrid w:val="0"/>
              <w:spacing w:line="240" w:lineRule="exact"/>
              <w:ind w:firstLine="404" w:firstLineChars="200"/>
              <w:textAlignment w:val="baseline"/>
              <w:rPr>
                <w:spacing w:val="-4"/>
                <w:sz w:val="21"/>
                <w:szCs w:val="21"/>
              </w:rPr>
            </w:pPr>
          </w:p>
        </w:tc>
        <w:tc>
          <w:tcPr>
            <w:tcW w:w="2071" w:type="dxa"/>
            <w:vAlign w:val="center"/>
          </w:tcPr>
          <w:p>
            <w:pPr>
              <w:snapToGrid w:val="0"/>
              <w:spacing w:line="240" w:lineRule="exact"/>
              <w:textAlignment w:val="baseline"/>
              <w:rPr>
                <w:spacing w:val="-4"/>
                <w:sz w:val="21"/>
                <w:szCs w:val="21"/>
              </w:rPr>
            </w:pPr>
            <w:r>
              <w:rPr>
                <w:rFonts w:hint="eastAsia"/>
                <w:spacing w:val="-4"/>
                <w:sz w:val="21"/>
                <w:szCs w:val="21"/>
                <w:lang w:val="en-US"/>
              </w:rPr>
              <w:t>本模块50分</w:t>
            </w:r>
          </w:p>
        </w:tc>
        <w:tc>
          <w:tcPr>
            <w:tcW w:w="1565" w:type="dxa"/>
            <w:vMerge w:val="continue"/>
            <w:vAlign w:val="center"/>
          </w:tcPr>
          <w:p>
            <w:pPr>
              <w:snapToGrid w:val="0"/>
              <w:spacing w:line="240" w:lineRule="exact"/>
              <w:ind w:firstLine="420" w:firstLineChars="200"/>
              <w:textAlignment w:val="baseline"/>
              <w:rPr>
                <w:sz w:val="21"/>
                <w:szCs w:val="21"/>
              </w:rPr>
            </w:pPr>
          </w:p>
        </w:tc>
        <w:tc>
          <w:tcPr>
            <w:tcW w:w="1950" w:type="dxa"/>
            <w:vMerge w:val="continue"/>
            <w:vAlign w:val="center"/>
          </w:tcPr>
          <w:p>
            <w:pPr>
              <w:snapToGrid w:val="0"/>
              <w:spacing w:line="240" w:lineRule="exact"/>
              <w:ind w:firstLine="420" w:firstLineChars="200"/>
              <w:textAlignment w:val="baseline"/>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32" w:type="dxa"/>
            <w:tcBorders>
              <w:top w:val="nil"/>
            </w:tcBorders>
            <w:vAlign w:val="center"/>
          </w:tcPr>
          <w:p>
            <w:pPr>
              <w:snapToGrid w:val="0"/>
              <w:spacing w:line="240" w:lineRule="exact"/>
              <w:ind w:firstLine="420" w:firstLineChars="200"/>
              <w:textAlignment w:val="baseline"/>
              <w:rPr>
                <w:sz w:val="21"/>
                <w:szCs w:val="21"/>
                <w:lang w:val="en-US"/>
              </w:rPr>
            </w:pPr>
            <w:r>
              <w:rPr>
                <w:rFonts w:hint="eastAsia"/>
                <w:sz w:val="21"/>
                <w:szCs w:val="21"/>
                <w:lang w:val="en-US"/>
              </w:rPr>
              <w:t>合计</w:t>
            </w:r>
          </w:p>
        </w:tc>
        <w:tc>
          <w:tcPr>
            <w:tcW w:w="2467" w:type="dxa"/>
            <w:vAlign w:val="center"/>
          </w:tcPr>
          <w:p>
            <w:pPr>
              <w:pStyle w:val="19"/>
              <w:snapToGrid w:val="0"/>
              <w:spacing w:line="240" w:lineRule="exact"/>
              <w:ind w:firstLine="420" w:firstLineChars="200"/>
              <w:textAlignment w:val="baseline"/>
              <w:rPr>
                <w:sz w:val="21"/>
                <w:szCs w:val="21"/>
              </w:rPr>
            </w:pPr>
          </w:p>
        </w:tc>
        <w:tc>
          <w:tcPr>
            <w:tcW w:w="2071" w:type="dxa"/>
            <w:vAlign w:val="center"/>
          </w:tcPr>
          <w:p>
            <w:pPr>
              <w:pStyle w:val="19"/>
              <w:snapToGrid w:val="0"/>
              <w:spacing w:line="240" w:lineRule="exact"/>
              <w:ind w:firstLine="420" w:firstLineChars="200"/>
              <w:textAlignment w:val="baseline"/>
              <w:rPr>
                <w:sz w:val="21"/>
                <w:szCs w:val="21"/>
                <w:lang w:val="en-US"/>
              </w:rPr>
            </w:pPr>
            <w:r>
              <w:rPr>
                <w:rFonts w:hint="eastAsia"/>
                <w:sz w:val="21"/>
                <w:szCs w:val="21"/>
                <w:lang w:val="en-US"/>
              </w:rPr>
              <w:t>3000分</w:t>
            </w:r>
          </w:p>
        </w:tc>
        <w:tc>
          <w:tcPr>
            <w:tcW w:w="1565" w:type="dxa"/>
            <w:vAlign w:val="center"/>
          </w:tcPr>
          <w:p>
            <w:pPr>
              <w:pStyle w:val="19"/>
              <w:snapToGrid w:val="0"/>
              <w:spacing w:line="240" w:lineRule="exact"/>
              <w:ind w:firstLine="420" w:firstLineChars="200"/>
              <w:textAlignment w:val="baseline"/>
              <w:rPr>
                <w:sz w:val="21"/>
                <w:szCs w:val="21"/>
              </w:rPr>
            </w:pPr>
          </w:p>
        </w:tc>
        <w:tc>
          <w:tcPr>
            <w:tcW w:w="1950" w:type="dxa"/>
            <w:tcBorders>
              <w:top w:val="nil"/>
            </w:tcBorders>
            <w:vAlign w:val="center"/>
          </w:tcPr>
          <w:p>
            <w:pPr>
              <w:widowControl/>
              <w:spacing w:line="240" w:lineRule="exact"/>
              <w:ind w:firstLine="210" w:firstLineChars="100"/>
              <w:rPr>
                <w:sz w:val="21"/>
                <w:szCs w:val="21"/>
              </w:rPr>
            </w:pPr>
            <w:r>
              <w:rPr>
                <w:rFonts w:ascii="FangSong_GB2312" w:hAnsi="FangSong_GB2312" w:eastAsia="FangSong_GB2312" w:cs="FangSong_GB2312"/>
                <w:sz w:val="21"/>
                <w:szCs w:val="21"/>
                <w:lang w:val="en-US" w:bidi="ar"/>
              </w:rPr>
              <w:t>435分钟</w:t>
            </w:r>
          </w:p>
          <w:p>
            <w:pPr>
              <w:widowControl/>
              <w:spacing w:line="240" w:lineRule="exact"/>
              <w:rPr>
                <w:sz w:val="21"/>
                <w:szCs w:val="21"/>
              </w:rPr>
            </w:pPr>
            <w:r>
              <w:rPr>
                <w:rFonts w:ascii="FangSong_GB2312" w:hAnsi="FangSong_GB2312" w:eastAsia="FangSong_GB2312" w:cs="FangSong_GB2312"/>
                <w:sz w:val="21"/>
                <w:szCs w:val="21"/>
                <w:lang w:val="en-US" w:bidi="ar"/>
              </w:rPr>
              <w:t>（7.25小时）</w:t>
            </w:r>
          </w:p>
        </w:tc>
      </w:tr>
    </w:tbl>
    <w:p>
      <w:pPr>
        <w:pStyle w:val="2"/>
        <w:snapToGrid w:val="0"/>
        <w:spacing w:line="480" w:lineRule="exact"/>
        <w:textAlignment w:val="baseline"/>
        <w:rPr>
          <w:sz w:val="21"/>
          <w:szCs w:val="21"/>
        </w:rPr>
        <w:sectPr>
          <w:footerReference r:id="rId3" w:type="default"/>
          <w:pgSz w:w="11910" w:h="16840"/>
          <w:pgMar w:top="1300" w:right="1020" w:bottom="1160" w:left="1380" w:header="0" w:footer="975" w:gutter="0"/>
          <w:cols w:space="720" w:num="1"/>
        </w:sectPr>
      </w:pPr>
    </w:p>
    <w:p>
      <w:pPr>
        <w:snapToGrid w:val="0"/>
        <w:spacing w:line="480" w:lineRule="exact"/>
        <w:ind w:firstLine="643" w:firstLineChars="200"/>
        <w:textAlignment w:val="baseline"/>
        <w:rPr>
          <w:rFonts w:hint="eastAsia" w:ascii="黑体" w:hAnsi="黑体" w:eastAsia="黑体" w:cs="黑体"/>
          <w:b/>
          <w:sz w:val="32"/>
          <w:szCs w:val="32"/>
        </w:rPr>
      </w:pPr>
      <w:bookmarkStart w:id="1" w:name="____四、竞赛方式"/>
      <w:bookmarkEnd w:id="1"/>
      <w:r>
        <w:rPr>
          <w:rFonts w:hint="eastAsia" w:ascii="黑体" w:hAnsi="黑体" w:eastAsia="黑体" w:cs="黑体"/>
          <w:b/>
          <w:sz w:val="32"/>
          <w:szCs w:val="32"/>
        </w:rPr>
        <w:t>四、竞赛方式</w:t>
      </w:r>
    </w:p>
    <w:p>
      <w:pPr>
        <w:pStyle w:val="2"/>
        <w:snapToGrid w:val="0"/>
        <w:spacing w:line="480" w:lineRule="exact"/>
        <w:ind w:left="0" w:firstLine="636" w:firstLineChars="200"/>
        <w:textAlignment w:val="baseline"/>
        <w:rPr>
          <w:spacing w:val="-1"/>
          <w:sz w:val="32"/>
          <w:szCs w:val="32"/>
        </w:rPr>
      </w:pPr>
      <w:r>
        <w:rPr>
          <w:rFonts w:hint="eastAsia"/>
          <w:spacing w:val="-1"/>
          <w:sz w:val="32"/>
          <w:szCs w:val="32"/>
        </w:rPr>
        <w:t>本赛项为团体赛，每队4名选手，需为同校在籍学生，性别和年级不限，每队不超过</w:t>
      </w:r>
      <w:r>
        <w:rPr>
          <w:rFonts w:hint="eastAsia"/>
          <w:spacing w:val="-1"/>
          <w:sz w:val="32"/>
          <w:szCs w:val="32"/>
          <w:lang w:val="en-US"/>
        </w:rPr>
        <w:t>2</w:t>
      </w:r>
      <w:r>
        <w:rPr>
          <w:rFonts w:hint="eastAsia"/>
          <w:spacing w:val="-1"/>
          <w:sz w:val="32"/>
          <w:szCs w:val="32"/>
        </w:rPr>
        <w:t>名指导教师。</w:t>
      </w:r>
    </w:p>
    <w:p>
      <w:pPr>
        <w:pStyle w:val="2"/>
        <w:snapToGrid w:val="0"/>
        <w:spacing w:line="480" w:lineRule="exact"/>
        <w:ind w:left="0" w:firstLine="636" w:firstLineChars="200"/>
        <w:textAlignment w:val="baseline"/>
        <w:rPr>
          <w:spacing w:val="-1"/>
          <w:sz w:val="32"/>
          <w:szCs w:val="32"/>
          <w:lang w:val="en-US"/>
        </w:rPr>
      </w:pPr>
      <w:bookmarkStart w:id="2" w:name="____各地根据执委会办公室通知组队参赛。"/>
      <w:bookmarkEnd w:id="2"/>
      <w:bookmarkStart w:id="3" w:name="___业务素养、业务技能赛项均由每支参赛队4名选手独立完成。银行核心业务岗位操作"/>
      <w:bookmarkEnd w:id="3"/>
      <w:r>
        <w:rPr>
          <w:rFonts w:hint="eastAsia"/>
          <w:spacing w:val="-1"/>
          <w:sz w:val="32"/>
          <w:szCs w:val="32"/>
          <w:lang w:val="en-US"/>
        </w:rPr>
        <w:t>“金融职业素养”模块由每支参赛队 4 名选手独立完成。“金融综合技能”模块由每支参赛队 4 名选手分别担任大堂经理、综合柜员、客户经理、理财经理岗位完成竞赛任务。 “数字金融业务”模块由每支参赛队 4 名参赛选手团队协作方式完成。</w:t>
      </w:r>
    </w:p>
    <w:p>
      <w:pPr>
        <w:pStyle w:val="2"/>
        <w:snapToGrid w:val="0"/>
        <w:spacing w:line="480" w:lineRule="exact"/>
        <w:ind w:left="0" w:firstLine="636" w:firstLineChars="200"/>
        <w:textAlignment w:val="baseline"/>
        <w:rPr>
          <w:spacing w:val="-1"/>
          <w:sz w:val="32"/>
          <w:szCs w:val="32"/>
          <w:lang w:val="en-US"/>
        </w:rPr>
      </w:pPr>
    </w:p>
    <w:p>
      <w:pPr>
        <w:pStyle w:val="3"/>
        <w:snapToGrid w:val="0"/>
        <w:spacing w:before="0" w:line="480" w:lineRule="exact"/>
        <w:ind w:left="0" w:firstLine="643" w:firstLineChars="200"/>
        <w:textAlignment w:val="baseline"/>
        <w:rPr>
          <w:rFonts w:hint="eastAsia" w:ascii="黑体" w:hAnsi="黑体" w:eastAsia="黑体" w:cs="黑体"/>
          <w:sz w:val="32"/>
          <w:szCs w:val="32"/>
        </w:rPr>
      </w:pPr>
      <w:r>
        <w:rPr>
          <w:rFonts w:hint="eastAsia" w:ascii="黑体" w:hAnsi="黑体" w:eastAsia="黑体" w:cs="黑体"/>
          <w:sz w:val="32"/>
          <w:szCs w:val="32"/>
        </w:rPr>
        <w:t>五、竞赛流程（具体日程安排以比赛报到日安排为准）</w:t>
      </w:r>
    </w:p>
    <w:tbl>
      <w:tblPr>
        <w:tblStyle w:val="13"/>
        <w:tblW w:w="9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3"/>
        <w:gridCol w:w="1880"/>
        <w:gridCol w:w="3390"/>
        <w:gridCol w:w="3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783" w:type="dxa"/>
            <w:gridSpan w:val="2"/>
          </w:tcPr>
          <w:p>
            <w:pPr>
              <w:pStyle w:val="19"/>
              <w:snapToGrid w:val="0"/>
              <w:ind w:firstLine="422" w:firstLineChars="200"/>
              <w:jc w:val="center"/>
              <w:textAlignment w:val="baseline"/>
              <w:rPr>
                <w:b/>
                <w:sz w:val="21"/>
                <w:szCs w:val="21"/>
              </w:rPr>
            </w:pPr>
            <w:r>
              <w:rPr>
                <w:rFonts w:hint="eastAsia"/>
                <w:b/>
                <w:sz w:val="21"/>
                <w:szCs w:val="21"/>
              </w:rPr>
              <w:t>时间</w:t>
            </w:r>
          </w:p>
        </w:tc>
        <w:tc>
          <w:tcPr>
            <w:tcW w:w="3390" w:type="dxa"/>
          </w:tcPr>
          <w:p>
            <w:pPr>
              <w:pStyle w:val="19"/>
              <w:snapToGrid w:val="0"/>
              <w:ind w:firstLine="422" w:firstLineChars="200"/>
              <w:jc w:val="center"/>
              <w:textAlignment w:val="baseline"/>
              <w:rPr>
                <w:b/>
                <w:sz w:val="21"/>
                <w:szCs w:val="21"/>
              </w:rPr>
            </w:pPr>
            <w:r>
              <w:rPr>
                <w:rFonts w:hint="eastAsia"/>
                <w:b/>
                <w:sz w:val="21"/>
                <w:szCs w:val="21"/>
              </w:rPr>
              <w:t>工作内容</w:t>
            </w:r>
          </w:p>
        </w:tc>
        <w:tc>
          <w:tcPr>
            <w:tcW w:w="3347" w:type="dxa"/>
          </w:tcPr>
          <w:p>
            <w:pPr>
              <w:jc w:val="center"/>
              <w:rPr>
                <w:sz w:val="28"/>
                <w:szCs w:val="28"/>
              </w:rPr>
            </w:pPr>
            <w:r>
              <w:rPr>
                <w:rFonts w:hint="eastAsia"/>
                <w:b/>
                <w:sz w:val="21"/>
                <w:szCs w:val="21"/>
              </w:rPr>
              <w:t>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03" w:type="dxa"/>
            <w:vMerge w:val="restart"/>
            <w:vAlign w:val="center"/>
          </w:tcPr>
          <w:p>
            <w:pPr>
              <w:pStyle w:val="19"/>
              <w:snapToGrid w:val="0"/>
              <w:ind w:firstLine="420" w:firstLineChars="200"/>
              <w:textAlignment w:val="baseline"/>
              <w:rPr>
                <w:sz w:val="21"/>
                <w:szCs w:val="21"/>
              </w:rPr>
            </w:pPr>
          </w:p>
          <w:p>
            <w:pPr>
              <w:pStyle w:val="19"/>
              <w:snapToGrid w:val="0"/>
              <w:textAlignment w:val="baseline"/>
              <w:rPr>
                <w:sz w:val="21"/>
                <w:szCs w:val="21"/>
                <w:lang w:val="en-US"/>
              </w:rPr>
            </w:pPr>
            <w:r>
              <w:rPr>
                <w:rFonts w:hint="eastAsia"/>
                <w:sz w:val="21"/>
                <w:szCs w:val="21"/>
                <w:lang w:val="en-US"/>
              </w:rPr>
              <w:t>第一天</w:t>
            </w:r>
          </w:p>
        </w:tc>
        <w:tc>
          <w:tcPr>
            <w:tcW w:w="1880" w:type="dxa"/>
          </w:tcPr>
          <w:p>
            <w:pPr>
              <w:pStyle w:val="19"/>
              <w:snapToGrid w:val="0"/>
              <w:ind w:firstLine="420" w:firstLineChars="200"/>
              <w:textAlignment w:val="baseline"/>
              <w:rPr>
                <w:sz w:val="21"/>
                <w:szCs w:val="21"/>
              </w:rPr>
            </w:pPr>
            <w:r>
              <w:rPr>
                <w:rFonts w:hint="eastAsia"/>
                <w:sz w:val="21"/>
                <w:szCs w:val="21"/>
              </w:rPr>
              <w:t>8:30-14:30</w:t>
            </w:r>
          </w:p>
        </w:tc>
        <w:tc>
          <w:tcPr>
            <w:tcW w:w="3390" w:type="dxa"/>
          </w:tcPr>
          <w:p>
            <w:pPr>
              <w:pStyle w:val="19"/>
              <w:snapToGrid w:val="0"/>
              <w:ind w:firstLine="420" w:firstLineChars="200"/>
              <w:textAlignment w:val="baseline"/>
              <w:rPr>
                <w:sz w:val="21"/>
                <w:szCs w:val="21"/>
              </w:rPr>
            </w:pPr>
            <w:r>
              <w:rPr>
                <w:rFonts w:hint="eastAsia"/>
                <w:sz w:val="21"/>
                <w:szCs w:val="21"/>
              </w:rPr>
              <w:t>选手报到</w:t>
            </w:r>
          </w:p>
        </w:tc>
        <w:tc>
          <w:tcPr>
            <w:tcW w:w="3347" w:type="dxa"/>
          </w:tcPr>
          <w:p>
            <w:pPr>
              <w:pStyle w:val="19"/>
              <w:snapToGrid w:val="0"/>
              <w:ind w:firstLine="420" w:firstLineChars="200"/>
              <w:textAlignment w:val="baseline"/>
              <w:rPr>
                <w:sz w:val="21"/>
                <w:szCs w:val="21"/>
              </w:rPr>
            </w:pPr>
            <w:r>
              <w:rPr>
                <w:rFonts w:hint="eastAsia"/>
                <w:sz w:val="21"/>
                <w:szCs w:val="21"/>
              </w:rPr>
              <w:t>第二教学楼3楼312室</w:t>
            </w:r>
          </w:p>
          <w:p>
            <w:pPr>
              <w:pStyle w:val="19"/>
              <w:snapToGrid w:val="0"/>
              <w:ind w:firstLine="420" w:firstLineChars="200"/>
              <w:textAlignment w:val="baseline"/>
              <w:rPr>
                <w:sz w:val="21"/>
                <w:szCs w:val="21"/>
              </w:rPr>
            </w:pPr>
            <w:r>
              <w:rPr>
                <w:rFonts w:hint="eastAsia"/>
                <w:sz w:val="21"/>
                <w:szCs w:val="21"/>
              </w:rPr>
              <w:t>联系人：符老师18876081092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903" w:type="dxa"/>
            <w:vMerge w:val="continue"/>
            <w:tcBorders>
              <w:top w:val="nil"/>
            </w:tcBorders>
            <w:vAlign w:val="center"/>
          </w:tcPr>
          <w:p>
            <w:pPr>
              <w:pStyle w:val="19"/>
              <w:snapToGrid w:val="0"/>
              <w:ind w:firstLine="420" w:firstLineChars="200"/>
              <w:textAlignment w:val="baseline"/>
              <w:rPr>
                <w:sz w:val="21"/>
                <w:szCs w:val="21"/>
              </w:rPr>
            </w:pPr>
          </w:p>
        </w:tc>
        <w:tc>
          <w:tcPr>
            <w:tcW w:w="1880" w:type="dxa"/>
            <w:vAlign w:val="center"/>
          </w:tcPr>
          <w:p>
            <w:pPr>
              <w:pStyle w:val="19"/>
              <w:snapToGrid w:val="0"/>
              <w:ind w:firstLine="420" w:firstLineChars="200"/>
              <w:textAlignment w:val="baseline"/>
              <w:rPr>
                <w:sz w:val="21"/>
                <w:szCs w:val="21"/>
              </w:rPr>
            </w:pPr>
            <w:r>
              <w:rPr>
                <w:rFonts w:hint="eastAsia"/>
                <w:sz w:val="21"/>
                <w:szCs w:val="21"/>
              </w:rPr>
              <w:t>14:30-15:30</w:t>
            </w:r>
          </w:p>
        </w:tc>
        <w:tc>
          <w:tcPr>
            <w:tcW w:w="3390" w:type="dxa"/>
            <w:vAlign w:val="center"/>
          </w:tcPr>
          <w:p>
            <w:pPr>
              <w:pStyle w:val="19"/>
              <w:snapToGrid w:val="0"/>
              <w:textAlignment w:val="baseline"/>
              <w:rPr>
                <w:sz w:val="21"/>
                <w:szCs w:val="21"/>
              </w:rPr>
            </w:pPr>
            <w:r>
              <w:rPr>
                <w:rFonts w:hint="eastAsia"/>
                <w:sz w:val="21"/>
                <w:szCs w:val="21"/>
              </w:rPr>
              <w:t>领队及指导老师参加赛务会议</w:t>
            </w:r>
          </w:p>
        </w:tc>
        <w:tc>
          <w:tcPr>
            <w:tcW w:w="3347" w:type="dxa"/>
            <w:vAlign w:val="center"/>
          </w:tcPr>
          <w:p>
            <w:pPr>
              <w:pStyle w:val="19"/>
              <w:snapToGrid w:val="0"/>
              <w:ind w:firstLine="420" w:firstLineChars="200"/>
              <w:textAlignment w:val="baseline"/>
              <w:rPr>
                <w:sz w:val="21"/>
                <w:szCs w:val="21"/>
              </w:rPr>
            </w:pPr>
            <w:r>
              <w:rPr>
                <w:rFonts w:hint="eastAsia"/>
                <w:sz w:val="21"/>
                <w:szCs w:val="21"/>
              </w:rPr>
              <w:t>第二实训楼</w:t>
            </w:r>
            <w:r>
              <w:rPr>
                <w:rFonts w:hint="eastAsia"/>
                <w:sz w:val="21"/>
                <w:szCs w:val="21"/>
                <w:lang w:val="en-US"/>
              </w:rPr>
              <w:t>4</w:t>
            </w:r>
            <w:r>
              <w:rPr>
                <w:rFonts w:hint="eastAsia"/>
                <w:sz w:val="21"/>
                <w:szCs w:val="21"/>
              </w:rPr>
              <w:t>楼</w:t>
            </w:r>
            <w:r>
              <w:rPr>
                <w:rFonts w:hint="eastAsia"/>
                <w:sz w:val="21"/>
                <w:szCs w:val="21"/>
                <w:lang w:val="en-US"/>
              </w:rPr>
              <w:t>407</w:t>
            </w:r>
            <w:r>
              <w:rPr>
                <w:rFonts w:hint="eastAsia"/>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903" w:type="dxa"/>
            <w:vMerge w:val="continue"/>
            <w:tcBorders>
              <w:top w:val="nil"/>
            </w:tcBorders>
            <w:vAlign w:val="center"/>
          </w:tcPr>
          <w:p>
            <w:pPr>
              <w:pStyle w:val="19"/>
              <w:snapToGrid w:val="0"/>
              <w:ind w:firstLine="420" w:firstLineChars="200"/>
              <w:textAlignment w:val="baseline"/>
              <w:rPr>
                <w:sz w:val="21"/>
                <w:szCs w:val="21"/>
              </w:rPr>
            </w:pPr>
          </w:p>
        </w:tc>
        <w:tc>
          <w:tcPr>
            <w:tcW w:w="1880" w:type="dxa"/>
            <w:vAlign w:val="center"/>
          </w:tcPr>
          <w:p>
            <w:pPr>
              <w:pStyle w:val="19"/>
              <w:snapToGrid w:val="0"/>
              <w:ind w:firstLine="420" w:firstLineChars="200"/>
              <w:textAlignment w:val="baseline"/>
              <w:rPr>
                <w:sz w:val="21"/>
                <w:szCs w:val="21"/>
              </w:rPr>
            </w:pPr>
            <w:r>
              <w:rPr>
                <w:rFonts w:hint="eastAsia"/>
                <w:sz w:val="21"/>
                <w:szCs w:val="21"/>
              </w:rPr>
              <w:t>14:30-16:30</w:t>
            </w:r>
          </w:p>
        </w:tc>
        <w:tc>
          <w:tcPr>
            <w:tcW w:w="3390" w:type="dxa"/>
            <w:vAlign w:val="center"/>
          </w:tcPr>
          <w:p>
            <w:pPr>
              <w:pStyle w:val="19"/>
              <w:snapToGrid w:val="0"/>
              <w:ind w:firstLine="420" w:firstLineChars="200"/>
              <w:textAlignment w:val="baseline"/>
              <w:rPr>
                <w:sz w:val="21"/>
                <w:szCs w:val="21"/>
              </w:rPr>
            </w:pPr>
            <w:r>
              <w:rPr>
                <w:rFonts w:hint="eastAsia"/>
                <w:sz w:val="21"/>
                <w:szCs w:val="21"/>
              </w:rPr>
              <w:t>选手熟悉场地、设备</w:t>
            </w:r>
          </w:p>
        </w:tc>
        <w:tc>
          <w:tcPr>
            <w:tcW w:w="3347" w:type="dxa"/>
            <w:vAlign w:val="center"/>
          </w:tcPr>
          <w:p>
            <w:pPr>
              <w:snapToGrid w:val="0"/>
              <w:ind w:firstLine="420" w:firstLineChars="200"/>
              <w:textAlignment w:val="baseline"/>
              <w:rPr>
                <w:sz w:val="21"/>
                <w:szCs w:val="21"/>
              </w:rPr>
            </w:pPr>
            <w:r>
              <w:rPr>
                <w:rFonts w:hint="eastAsia"/>
                <w:sz w:val="21"/>
                <w:szCs w:val="21"/>
              </w:rPr>
              <w:t>第二实训楼</w:t>
            </w:r>
            <w:r>
              <w:rPr>
                <w:rFonts w:hint="eastAsia"/>
                <w:sz w:val="21"/>
                <w:szCs w:val="21"/>
                <w:lang w:val="en-US"/>
              </w:rPr>
              <w:t>4</w:t>
            </w:r>
            <w:r>
              <w:rPr>
                <w:rFonts w:hint="eastAsia"/>
                <w:sz w:val="21"/>
                <w:szCs w:val="21"/>
              </w:rPr>
              <w:t>楼</w:t>
            </w:r>
            <w:r>
              <w:rPr>
                <w:rFonts w:hint="eastAsia"/>
                <w:sz w:val="21"/>
                <w:szCs w:val="21"/>
                <w:lang w:val="en-US"/>
              </w:rPr>
              <w:t>407</w:t>
            </w:r>
            <w:r>
              <w:rPr>
                <w:rFonts w:hint="eastAsia"/>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903" w:type="dxa"/>
            <w:vMerge w:val="continue"/>
            <w:tcBorders>
              <w:top w:val="nil"/>
            </w:tcBorders>
            <w:vAlign w:val="center"/>
          </w:tcPr>
          <w:p>
            <w:pPr>
              <w:pStyle w:val="19"/>
              <w:snapToGrid w:val="0"/>
              <w:ind w:firstLine="420" w:firstLineChars="200"/>
              <w:textAlignment w:val="baseline"/>
              <w:rPr>
                <w:sz w:val="21"/>
                <w:szCs w:val="21"/>
              </w:rPr>
            </w:pPr>
          </w:p>
        </w:tc>
        <w:tc>
          <w:tcPr>
            <w:tcW w:w="1880" w:type="dxa"/>
            <w:vAlign w:val="center"/>
          </w:tcPr>
          <w:p>
            <w:pPr>
              <w:pStyle w:val="19"/>
              <w:snapToGrid w:val="0"/>
              <w:ind w:firstLine="420" w:firstLineChars="200"/>
              <w:textAlignment w:val="baseline"/>
              <w:rPr>
                <w:sz w:val="21"/>
                <w:szCs w:val="21"/>
              </w:rPr>
            </w:pPr>
            <w:r>
              <w:rPr>
                <w:rFonts w:hint="eastAsia"/>
                <w:sz w:val="21"/>
                <w:szCs w:val="21"/>
              </w:rPr>
              <w:t>17:30</w:t>
            </w:r>
          </w:p>
        </w:tc>
        <w:tc>
          <w:tcPr>
            <w:tcW w:w="3390" w:type="dxa"/>
            <w:vAlign w:val="center"/>
          </w:tcPr>
          <w:p>
            <w:pPr>
              <w:pStyle w:val="19"/>
              <w:snapToGrid w:val="0"/>
              <w:ind w:firstLine="420" w:firstLineChars="200"/>
              <w:textAlignment w:val="baseline"/>
              <w:rPr>
                <w:sz w:val="21"/>
                <w:szCs w:val="21"/>
              </w:rPr>
            </w:pPr>
            <w:r>
              <w:rPr>
                <w:rFonts w:hint="eastAsia"/>
                <w:sz w:val="21"/>
                <w:szCs w:val="21"/>
              </w:rPr>
              <w:t>竞赛现场封闭</w:t>
            </w:r>
          </w:p>
        </w:tc>
        <w:tc>
          <w:tcPr>
            <w:tcW w:w="3347" w:type="dxa"/>
            <w:vAlign w:val="center"/>
          </w:tcPr>
          <w:p>
            <w:pPr>
              <w:snapToGrid w:val="0"/>
              <w:ind w:firstLine="420" w:firstLineChars="200"/>
              <w:textAlignment w:val="baseline"/>
              <w:rPr>
                <w:sz w:val="21"/>
                <w:szCs w:val="21"/>
              </w:rPr>
            </w:pPr>
            <w:r>
              <w:rPr>
                <w:rFonts w:hint="eastAsia"/>
                <w:sz w:val="21"/>
                <w:szCs w:val="21"/>
              </w:rPr>
              <w:t>第二实训楼</w:t>
            </w:r>
            <w:r>
              <w:rPr>
                <w:rFonts w:hint="eastAsia"/>
                <w:sz w:val="21"/>
                <w:szCs w:val="21"/>
                <w:lang w:val="en-US"/>
              </w:rPr>
              <w:t>4</w:t>
            </w:r>
            <w:r>
              <w:rPr>
                <w:rFonts w:hint="eastAsia"/>
                <w:sz w:val="21"/>
                <w:szCs w:val="21"/>
              </w:rPr>
              <w:t>楼</w:t>
            </w:r>
            <w:r>
              <w:rPr>
                <w:rFonts w:hint="eastAsia"/>
                <w:sz w:val="21"/>
                <w:szCs w:val="21"/>
                <w:lang w:val="en-US"/>
              </w:rPr>
              <w:t>407</w:t>
            </w:r>
            <w:r>
              <w:rPr>
                <w:rFonts w:hint="eastAsia"/>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903" w:type="dxa"/>
            <w:vMerge w:val="restart"/>
            <w:vAlign w:val="center"/>
          </w:tcPr>
          <w:p>
            <w:pPr>
              <w:pStyle w:val="19"/>
              <w:snapToGrid w:val="0"/>
              <w:ind w:firstLine="420" w:firstLineChars="200"/>
              <w:textAlignment w:val="baseline"/>
              <w:rPr>
                <w:sz w:val="21"/>
                <w:szCs w:val="21"/>
              </w:rPr>
            </w:pPr>
          </w:p>
          <w:p>
            <w:pPr>
              <w:pStyle w:val="19"/>
              <w:snapToGrid w:val="0"/>
              <w:textAlignment w:val="baseline"/>
              <w:rPr>
                <w:sz w:val="21"/>
                <w:szCs w:val="21"/>
                <w:lang w:val="en-US"/>
              </w:rPr>
            </w:pPr>
            <w:r>
              <w:rPr>
                <w:rFonts w:hint="eastAsia"/>
                <w:sz w:val="21"/>
                <w:szCs w:val="21"/>
                <w:lang w:val="en-US"/>
              </w:rPr>
              <w:t>第二天</w:t>
            </w:r>
          </w:p>
        </w:tc>
        <w:tc>
          <w:tcPr>
            <w:tcW w:w="1880" w:type="dxa"/>
            <w:vAlign w:val="center"/>
          </w:tcPr>
          <w:p>
            <w:pPr>
              <w:pStyle w:val="19"/>
              <w:snapToGrid w:val="0"/>
              <w:ind w:firstLine="420" w:firstLineChars="200"/>
              <w:textAlignment w:val="baseline"/>
              <w:rPr>
                <w:sz w:val="21"/>
                <w:szCs w:val="21"/>
              </w:rPr>
            </w:pPr>
            <w:r>
              <w:rPr>
                <w:rFonts w:hint="eastAsia"/>
                <w:sz w:val="21"/>
                <w:szCs w:val="21"/>
              </w:rPr>
              <w:t>8:30-</w:t>
            </w:r>
            <w:r>
              <w:rPr>
                <w:sz w:val="21"/>
                <w:szCs w:val="21"/>
              </w:rPr>
              <w:t>9</w:t>
            </w:r>
            <w:r>
              <w:rPr>
                <w:rFonts w:hint="eastAsia"/>
                <w:sz w:val="21"/>
                <w:szCs w:val="21"/>
              </w:rPr>
              <w:t>：00</w:t>
            </w:r>
          </w:p>
        </w:tc>
        <w:tc>
          <w:tcPr>
            <w:tcW w:w="3390" w:type="dxa"/>
            <w:vAlign w:val="center"/>
          </w:tcPr>
          <w:p>
            <w:pPr>
              <w:pStyle w:val="19"/>
              <w:snapToGrid w:val="0"/>
              <w:ind w:firstLine="420" w:firstLineChars="200"/>
              <w:textAlignment w:val="baseline"/>
              <w:rPr>
                <w:sz w:val="21"/>
                <w:szCs w:val="21"/>
              </w:rPr>
            </w:pPr>
            <w:r>
              <w:rPr>
                <w:rFonts w:hint="eastAsia"/>
                <w:sz w:val="21"/>
                <w:szCs w:val="21"/>
              </w:rPr>
              <w:t>检录进场</w:t>
            </w:r>
          </w:p>
        </w:tc>
        <w:tc>
          <w:tcPr>
            <w:tcW w:w="3347" w:type="dxa"/>
            <w:vAlign w:val="center"/>
          </w:tcPr>
          <w:p>
            <w:pPr>
              <w:snapToGrid w:val="0"/>
              <w:ind w:firstLine="420" w:firstLineChars="200"/>
              <w:textAlignment w:val="baseline"/>
              <w:rPr>
                <w:sz w:val="21"/>
                <w:szCs w:val="21"/>
              </w:rPr>
            </w:pPr>
            <w:r>
              <w:rPr>
                <w:rFonts w:hint="eastAsia"/>
                <w:sz w:val="21"/>
                <w:szCs w:val="21"/>
              </w:rPr>
              <w:t>第二实训楼</w:t>
            </w:r>
            <w:r>
              <w:rPr>
                <w:rFonts w:hint="eastAsia"/>
                <w:sz w:val="21"/>
                <w:szCs w:val="21"/>
                <w:lang w:val="en-US"/>
              </w:rPr>
              <w:t>4</w:t>
            </w:r>
            <w:r>
              <w:rPr>
                <w:rFonts w:hint="eastAsia"/>
                <w:sz w:val="21"/>
                <w:szCs w:val="21"/>
              </w:rPr>
              <w:t>楼</w:t>
            </w:r>
            <w:r>
              <w:rPr>
                <w:rFonts w:hint="eastAsia"/>
                <w:sz w:val="21"/>
                <w:szCs w:val="21"/>
                <w:lang w:val="en-US"/>
              </w:rPr>
              <w:t>407</w:t>
            </w:r>
            <w:r>
              <w:rPr>
                <w:rFonts w:hint="eastAsia"/>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03" w:type="dxa"/>
            <w:vMerge w:val="continue"/>
            <w:tcBorders>
              <w:top w:val="nil"/>
            </w:tcBorders>
          </w:tcPr>
          <w:p>
            <w:pPr>
              <w:pStyle w:val="19"/>
              <w:snapToGrid w:val="0"/>
              <w:ind w:firstLine="420" w:firstLineChars="200"/>
              <w:textAlignment w:val="baseline"/>
              <w:rPr>
                <w:sz w:val="21"/>
                <w:szCs w:val="21"/>
              </w:rPr>
            </w:pPr>
          </w:p>
        </w:tc>
        <w:tc>
          <w:tcPr>
            <w:tcW w:w="1880" w:type="dxa"/>
            <w:vAlign w:val="center"/>
          </w:tcPr>
          <w:p>
            <w:pPr>
              <w:pStyle w:val="19"/>
              <w:snapToGrid w:val="0"/>
              <w:ind w:firstLine="420" w:firstLineChars="200"/>
              <w:textAlignment w:val="baseline"/>
              <w:rPr>
                <w:sz w:val="21"/>
                <w:szCs w:val="21"/>
              </w:rPr>
            </w:pPr>
            <w:r>
              <w:rPr>
                <w:sz w:val="21"/>
                <w:szCs w:val="21"/>
              </w:rPr>
              <w:t>9</w:t>
            </w:r>
            <w:r>
              <w:rPr>
                <w:rFonts w:hint="eastAsia"/>
                <w:sz w:val="21"/>
                <w:szCs w:val="21"/>
              </w:rPr>
              <w:t>:</w:t>
            </w:r>
            <w:r>
              <w:rPr>
                <w:sz w:val="21"/>
                <w:szCs w:val="21"/>
              </w:rPr>
              <w:t>00</w:t>
            </w:r>
            <w:r>
              <w:rPr>
                <w:rFonts w:hint="eastAsia"/>
                <w:sz w:val="21"/>
                <w:szCs w:val="21"/>
              </w:rPr>
              <w:t>-11:</w:t>
            </w:r>
            <w:r>
              <w:rPr>
                <w:sz w:val="21"/>
                <w:szCs w:val="21"/>
              </w:rPr>
              <w:t>00</w:t>
            </w:r>
          </w:p>
        </w:tc>
        <w:tc>
          <w:tcPr>
            <w:tcW w:w="3390" w:type="dxa"/>
            <w:vAlign w:val="center"/>
          </w:tcPr>
          <w:p>
            <w:pPr>
              <w:pStyle w:val="19"/>
              <w:snapToGrid w:val="0"/>
              <w:textAlignment w:val="baseline"/>
              <w:rPr>
                <w:sz w:val="21"/>
                <w:szCs w:val="21"/>
              </w:rPr>
            </w:pPr>
            <w:r>
              <w:rPr>
                <w:rFonts w:hint="eastAsia"/>
                <w:sz w:val="21"/>
                <w:szCs w:val="21"/>
              </w:rPr>
              <w:t>“</w:t>
            </w:r>
            <w:r>
              <w:rPr>
                <w:rFonts w:hint="eastAsia"/>
                <w:sz w:val="21"/>
                <w:szCs w:val="21"/>
                <w:lang w:val="en-US"/>
              </w:rPr>
              <w:t xml:space="preserve">金融综合技能 </w:t>
            </w:r>
            <w:r>
              <w:rPr>
                <w:rFonts w:hint="eastAsia"/>
                <w:sz w:val="21"/>
                <w:szCs w:val="21"/>
              </w:rPr>
              <w:t>”赛项竞赛</w:t>
            </w:r>
          </w:p>
        </w:tc>
        <w:tc>
          <w:tcPr>
            <w:tcW w:w="3347" w:type="dxa"/>
            <w:vAlign w:val="center"/>
          </w:tcPr>
          <w:p>
            <w:pPr>
              <w:snapToGrid w:val="0"/>
              <w:ind w:firstLine="420" w:firstLineChars="200"/>
              <w:textAlignment w:val="baseline"/>
              <w:rPr>
                <w:sz w:val="21"/>
                <w:szCs w:val="21"/>
              </w:rPr>
            </w:pPr>
            <w:r>
              <w:rPr>
                <w:rFonts w:hint="eastAsia"/>
                <w:sz w:val="21"/>
                <w:szCs w:val="21"/>
              </w:rPr>
              <w:t>第二实训楼</w:t>
            </w:r>
            <w:r>
              <w:rPr>
                <w:rFonts w:hint="eastAsia"/>
                <w:sz w:val="21"/>
                <w:szCs w:val="21"/>
                <w:lang w:val="en-US"/>
              </w:rPr>
              <w:t>4</w:t>
            </w:r>
            <w:r>
              <w:rPr>
                <w:rFonts w:hint="eastAsia"/>
                <w:sz w:val="21"/>
                <w:szCs w:val="21"/>
              </w:rPr>
              <w:t>楼</w:t>
            </w:r>
            <w:r>
              <w:rPr>
                <w:rFonts w:hint="eastAsia"/>
                <w:sz w:val="21"/>
                <w:szCs w:val="21"/>
                <w:lang w:val="en-US"/>
              </w:rPr>
              <w:t>407</w:t>
            </w:r>
            <w:r>
              <w:rPr>
                <w:rFonts w:hint="eastAsia"/>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903" w:type="dxa"/>
            <w:vMerge w:val="continue"/>
            <w:tcBorders>
              <w:top w:val="nil"/>
            </w:tcBorders>
          </w:tcPr>
          <w:p>
            <w:pPr>
              <w:pStyle w:val="19"/>
              <w:snapToGrid w:val="0"/>
              <w:ind w:firstLine="420" w:firstLineChars="200"/>
              <w:textAlignment w:val="baseline"/>
              <w:rPr>
                <w:sz w:val="21"/>
                <w:szCs w:val="21"/>
              </w:rPr>
            </w:pPr>
          </w:p>
        </w:tc>
        <w:tc>
          <w:tcPr>
            <w:tcW w:w="1880" w:type="dxa"/>
            <w:vAlign w:val="center"/>
          </w:tcPr>
          <w:p>
            <w:pPr>
              <w:pStyle w:val="19"/>
              <w:snapToGrid w:val="0"/>
              <w:ind w:firstLine="420" w:firstLineChars="200"/>
              <w:textAlignment w:val="baseline"/>
              <w:rPr>
                <w:sz w:val="21"/>
                <w:szCs w:val="21"/>
              </w:rPr>
            </w:pPr>
            <w:r>
              <w:rPr>
                <w:rFonts w:hint="eastAsia"/>
                <w:sz w:val="21"/>
                <w:szCs w:val="21"/>
              </w:rPr>
              <w:t>11:</w:t>
            </w:r>
            <w:r>
              <w:rPr>
                <w:sz w:val="21"/>
                <w:szCs w:val="21"/>
              </w:rPr>
              <w:t>0</w:t>
            </w:r>
            <w:r>
              <w:rPr>
                <w:rFonts w:hint="eastAsia"/>
                <w:sz w:val="21"/>
                <w:szCs w:val="21"/>
              </w:rPr>
              <w:t>0-13:30</w:t>
            </w:r>
          </w:p>
        </w:tc>
        <w:tc>
          <w:tcPr>
            <w:tcW w:w="3390" w:type="dxa"/>
            <w:vAlign w:val="center"/>
          </w:tcPr>
          <w:p>
            <w:pPr>
              <w:pStyle w:val="19"/>
              <w:snapToGrid w:val="0"/>
              <w:ind w:firstLine="420" w:firstLineChars="200"/>
              <w:textAlignment w:val="baseline"/>
              <w:rPr>
                <w:sz w:val="21"/>
                <w:szCs w:val="21"/>
              </w:rPr>
            </w:pPr>
            <w:r>
              <w:rPr>
                <w:rFonts w:hint="eastAsia"/>
                <w:sz w:val="21"/>
                <w:szCs w:val="21"/>
              </w:rPr>
              <w:t>午餐+午休</w:t>
            </w:r>
          </w:p>
        </w:tc>
        <w:tc>
          <w:tcPr>
            <w:tcW w:w="3347" w:type="dxa"/>
            <w:vAlign w:val="center"/>
          </w:tcPr>
          <w:p>
            <w:pPr>
              <w:snapToGrid w:val="0"/>
              <w:ind w:firstLine="420" w:firstLineChars="200"/>
              <w:textAlignment w:val="baseline"/>
              <w:rPr>
                <w:sz w:val="21"/>
                <w:szCs w:val="21"/>
              </w:rPr>
            </w:pPr>
            <w:r>
              <w:rPr>
                <w:rFonts w:hint="eastAsia"/>
                <w:sz w:val="21"/>
                <w:szCs w:val="21"/>
              </w:rPr>
              <w:t>第二实训楼</w:t>
            </w:r>
            <w:r>
              <w:rPr>
                <w:rFonts w:hint="eastAsia"/>
                <w:sz w:val="21"/>
                <w:szCs w:val="21"/>
                <w:lang w:val="en-US"/>
              </w:rPr>
              <w:t>4</w:t>
            </w:r>
            <w:r>
              <w:rPr>
                <w:rFonts w:hint="eastAsia"/>
                <w:sz w:val="21"/>
                <w:szCs w:val="21"/>
              </w:rPr>
              <w:t>楼</w:t>
            </w:r>
            <w:r>
              <w:rPr>
                <w:rFonts w:hint="eastAsia"/>
                <w:sz w:val="21"/>
                <w:szCs w:val="21"/>
                <w:lang w:val="en-US"/>
              </w:rPr>
              <w:t>407</w:t>
            </w:r>
            <w:r>
              <w:rPr>
                <w:rFonts w:hint="eastAsia"/>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903" w:type="dxa"/>
            <w:vMerge w:val="continue"/>
            <w:tcBorders>
              <w:top w:val="nil"/>
            </w:tcBorders>
          </w:tcPr>
          <w:p>
            <w:pPr>
              <w:pStyle w:val="19"/>
              <w:snapToGrid w:val="0"/>
              <w:ind w:firstLine="420" w:firstLineChars="200"/>
              <w:textAlignment w:val="baseline"/>
              <w:rPr>
                <w:sz w:val="21"/>
                <w:szCs w:val="21"/>
              </w:rPr>
            </w:pPr>
          </w:p>
        </w:tc>
        <w:tc>
          <w:tcPr>
            <w:tcW w:w="1880" w:type="dxa"/>
            <w:vAlign w:val="center"/>
          </w:tcPr>
          <w:p>
            <w:pPr>
              <w:pStyle w:val="19"/>
              <w:snapToGrid w:val="0"/>
              <w:ind w:firstLine="420" w:firstLineChars="200"/>
              <w:textAlignment w:val="baseline"/>
              <w:rPr>
                <w:sz w:val="21"/>
                <w:szCs w:val="21"/>
              </w:rPr>
            </w:pPr>
            <w:r>
              <w:rPr>
                <w:rFonts w:hint="eastAsia"/>
                <w:sz w:val="21"/>
                <w:szCs w:val="21"/>
              </w:rPr>
              <w:t>14:00-14:30</w:t>
            </w:r>
          </w:p>
        </w:tc>
        <w:tc>
          <w:tcPr>
            <w:tcW w:w="3390" w:type="dxa"/>
            <w:vAlign w:val="center"/>
          </w:tcPr>
          <w:p>
            <w:pPr>
              <w:pStyle w:val="19"/>
              <w:snapToGrid w:val="0"/>
              <w:ind w:firstLine="420" w:firstLineChars="200"/>
              <w:textAlignment w:val="baseline"/>
              <w:rPr>
                <w:sz w:val="21"/>
                <w:szCs w:val="21"/>
              </w:rPr>
            </w:pPr>
            <w:r>
              <w:rPr>
                <w:rFonts w:hint="eastAsia"/>
                <w:sz w:val="21"/>
                <w:szCs w:val="21"/>
              </w:rPr>
              <w:t>检录进场</w:t>
            </w:r>
          </w:p>
        </w:tc>
        <w:tc>
          <w:tcPr>
            <w:tcW w:w="3347" w:type="dxa"/>
            <w:vAlign w:val="center"/>
          </w:tcPr>
          <w:p>
            <w:pPr>
              <w:snapToGrid w:val="0"/>
              <w:ind w:firstLine="420" w:firstLineChars="200"/>
              <w:textAlignment w:val="baseline"/>
              <w:rPr>
                <w:sz w:val="21"/>
                <w:szCs w:val="21"/>
              </w:rPr>
            </w:pPr>
            <w:r>
              <w:rPr>
                <w:rFonts w:hint="eastAsia"/>
                <w:sz w:val="21"/>
                <w:szCs w:val="21"/>
              </w:rPr>
              <w:t>第二实训楼</w:t>
            </w:r>
            <w:r>
              <w:rPr>
                <w:rFonts w:hint="eastAsia"/>
                <w:sz w:val="21"/>
                <w:szCs w:val="21"/>
                <w:lang w:val="en-US"/>
              </w:rPr>
              <w:t>4</w:t>
            </w:r>
            <w:r>
              <w:rPr>
                <w:rFonts w:hint="eastAsia"/>
                <w:sz w:val="21"/>
                <w:szCs w:val="21"/>
              </w:rPr>
              <w:t>楼</w:t>
            </w:r>
            <w:r>
              <w:rPr>
                <w:rFonts w:hint="eastAsia"/>
                <w:sz w:val="21"/>
                <w:szCs w:val="21"/>
                <w:lang w:val="en-US"/>
              </w:rPr>
              <w:t>407</w:t>
            </w:r>
            <w:r>
              <w:rPr>
                <w:rFonts w:hint="eastAsia"/>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trPr>
        <w:tc>
          <w:tcPr>
            <w:tcW w:w="903" w:type="dxa"/>
            <w:vMerge w:val="continue"/>
            <w:tcBorders>
              <w:top w:val="nil"/>
            </w:tcBorders>
          </w:tcPr>
          <w:p>
            <w:pPr>
              <w:pStyle w:val="19"/>
              <w:snapToGrid w:val="0"/>
              <w:ind w:firstLine="420" w:firstLineChars="200"/>
              <w:textAlignment w:val="baseline"/>
              <w:rPr>
                <w:sz w:val="21"/>
                <w:szCs w:val="21"/>
              </w:rPr>
            </w:pPr>
          </w:p>
        </w:tc>
        <w:tc>
          <w:tcPr>
            <w:tcW w:w="1880" w:type="dxa"/>
            <w:vAlign w:val="center"/>
          </w:tcPr>
          <w:p>
            <w:pPr>
              <w:pStyle w:val="19"/>
              <w:snapToGrid w:val="0"/>
              <w:ind w:firstLine="420" w:firstLineChars="200"/>
              <w:textAlignment w:val="baseline"/>
              <w:rPr>
                <w:sz w:val="21"/>
                <w:szCs w:val="21"/>
              </w:rPr>
            </w:pPr>
            <w:r>
              <w:rPr>
                <w:rFonts w:hint="eastAsia"/>
                <w:sz w:val="21"/>
                <w:szCs w:val="21"/>
              </w:rPr>
              <w:t>14:30-15:15</w:t>
            </w:r>
          </w:p>
        </w:tc>
        <w:tc>
          <w:tcPr>
            <w:tcW w:w="3390" w:type="dxa"/>
            <w:vAlign w:val="center"/>
          </w:tcPr>
          <w:p>
            <w:pPr>
              <w:pStyle w:val="19"/>
              <w:snapToGrid w:val="0"/>
              <w:ind w:firstLine="420"/>
              <w:textAlignment w:val="baseline"/>
              <w:rPr>
                <w:sz w:val="21"/>
                <w:szCs w:val="21"/>
              </w:rPr>
            </w:pPr>
            <w:r>
              <w:rPr>
                <w:rFonts w:hint="eastAsia"/>
                <w:sz w:val="21"/>
                <w:szCs w:val="21"/>
              </w:rPr>
              <w:t>“业务素养</w:t>
            </w:r>
            <w:r>
              <w:rPr>
                <w:rFonts w:hint="eastAsia"/>
                <w:sz w:val="21"/>
                <w:szCs w:val="21"/>
                <w:lang w:val="en-US"/>
              </w:rPr>
              <w:t>知识</w:t>
            </w:r>
            <w:r>
              <w:rPr>
                <w:rFonts w:hint="eastAsia"/>
                <w:sz w:val="21"/>
                <w:szCs w:val="21"/>
              </w:rPr>
              <w:t>”赛项竞赛</w:t>
            </w:r>
          </w:p>
        </w:tc>
        <w:tc>
          <w:tcPr>
            <w:tcW w:w="3347" w:type="dxa"/>
            <w:vAlign w:val="center"/>
          </w:tcPr>
          <w:p>
            <w:pPr>
              <w:snapToGrid w:val="0"/>
              <w:ind w:firstLine="420" w:firstLineChars="200"/>
              <w:textAlignment w:val="baseline"/>
              <w:rPr>
                <w:sz w:val="21"/>
                <w:szCs w:val="21"/>
              </w:rPr>
            </w:pPr>
            <w:r>
              <w:rPr>
                <w:rFonts w:hint="eastAsia"/>
                <w:sz w:val="21"/>
                <w:szCs w:val="21"/>
              </w:rPr>
              <w:t>第二实训楼</w:t>
            </w:r>
            <w:r>
              <w:rPr>
                <w:rFonts w:hint="eastAsia"/>
                <w:sz w:val="21"/>
                <w:szCs w:val="21"/>
                <w:lang w:val="en-US"/>
              </w:rPr>
              <w:t>4</w:t>
            </w:r>
            <w:r>
              <w:rPr>
                <w:rFonts w:hint="eastAsia"/>
                <w:sz w:val="21"/>
                <w:szCs w:val="21"/>
              </w:rPr>
              <w:t>楼</w:t>
            </w:r>
            <w:r>
              <w:rPr>
                <w:rFonts w:hint="eastAsia"/>
                <w:sz w:val="21"/>
                <w:szCs w:val="21"/>
                <w:lang w:val="en-US"/>
              </w:rPr>
              <w:t>407</w:t>
            </w:r>
            <w:r>
              <w:rPr>
                <w:rFonts w:hint="eastAsia"/>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03" w:type="dxa"/>
            <w:vMerge w:val="continue"/>
            <w:tcBorders>
              <w:top w:val="nil"/>
            </w:tcBorders>
          </w:tcPr>
          <w:p>
            <w:pPr>
              <w:pStyle w:val="19"/>
              <w:snapToGrid w:val="0"/>
              <w:ind w:firstLine="420" w:firstLineChars="200"/>
              <w:textAlignment w:val="baseline"/>
              <w:rPr>
                <w:sz w:val="21"/>
                <w:szCs w:val="21"/>
              </w:rPr>
            </w:pPr>
          </w:p>
        </w:tc>
        <w:tc>
          <w:tcPr>
            <w:tcW w:w="1880" w:type="dxa"/>
            <w:vAlign w:val="center"/>
          </w:tcPr>
          <w:p>
            <w:pPr>
              <w:pStyle w:val="19"/>
              <w:snapToGrid w:val="0"/>
              <w:ind w:firstLine="420" w:firstLineChars="200"/>
              <w:textAlignment w:val="baseline"/>
              <w:rPr>
                <w:sz w:val="21"/>
                <w:szCs w:val="21"/>
              </w:rPr>
            </w:pPr>
            <w:r>
              <w:rPr>
                <w:rFonts w:hint="eastAsia"/>
                <w:sz w:val="21"/>
                <w:szCs w:val="21"/>
              </w:rPr>
              <w:t>1</w:t>
            </w:r>
            <w:r>
              <w:rPr>
                <w:sz w:val="21"/>
                <w:szCs w:val="21"/>
              </w:rPr>
              <w:t>5</w:t>
            </w:r>
            <w:r>
              <w:rPr>
                <w:rFonts w:hint="eastAsia"/>
                <w:sz w:val="21"/>
                <w:szCs w:val="21"/>
              </w:rPr>
              <w:t>:30-16:50</w:t>
            </w:r>
          </w:p>
        </w:tc>
        <w:tc>
          <w:tcPr>
            <w:tcW w:w="3390" w:type="dxa"/>
            <w:vAlign w:val="center"/>
          </w:tcPr>
          <w:p>
            <w:pPr>
              <w:pStyle w:val="19"/>
              <w:snapToGrid w:val="0"/>
              <w:ind w:firstLine="420" w:firstLineChars="200"/>
              <w:textAlignment w:val="baseline"/>
              <w:rPr>
                <w:sz w:val="21"/>
                <w:szCs w:val="21"/>
              </w:rPr>
            </w:pPr>
            <w:r>
              <w:rPr>
                <w:rFonts w:hint="eastAsia"/>
                <w:sz w:val="21"/>
                <w:szCs w:val="21"/>
              </w:rPr>
              <w:t>“业务技能”赛项竞赛</w:t>
            </w:r>
          </w:p>
        </w:tc>
        <w:tc>
          <w:tcPr>
            <w:tcW w:w="3347" w:type="dxa"/>
            <w:vAlign w:val="center"/>
          </w:tcPr>
          <w:p>
            <w:pPr>
              <w:snapToGrid w:val="0"/>
              <w:ind w:firstLine="420" w:firstLineChars="200"/>
              <w:textAlignment w:val="baseline"/>
              <w:rPr>
                <w:sz w:val="21"/>
                <w:szCs w:val="21"/>
              </w:rPr>
            </w:pPr>
            <w:r>
              <w:rPr>
                <w:rFonts w:hint="eastAsia"/>
                <w:sz w:val="21"/>
                <w:szCs w:val="21"/>
              </w:rPr>
              <w:t>第二实训楼</w:t>
            </w:r>
            <w:r>
              <w:rPr>
                <w:rFonts w:hint="eastAsia"/>
                <w:sz w:val="21"/>
                <w:szCs w:val="21"/>
                <w:lang w:val="en-US"/>
              </w:rPr>
              <w:t>4</w:t>
            </w:r>
            <w:r>
              <w:rPr>
                <w:rFonts w:hint="eastAsia"/>
                <w:sz w:val="21"/>
                <w:szCs w:val="21"/>
              </w:rPr>
              <w:t>楼</w:t>
            </w:r>
            <w:r>
              <w:rPr>
                <w:rFonts w:hint="eastAsia"/>
                <w:sz w:val="21"/>
                <w:szCs w:val="21"/>
                <w:lang w:val="en-US"/>
              </w:rPr>
              <w:t>407</w:t>
            </w:r>
            <w:r>
              <w:rPr>
                <w:rFonts w:hint="eastAsia"/>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903" w:type="dxa"/>
            <w:vMerge w:val="restart"/>
            <w:vAlign w:val="center"/>
          </w:tcPr>
          <w:p>
            <w:pPr>
              <w:pStyle w:val="19"/>
              <w:snapToGrid w:val="0"/>
              <w:textAlignment w:val="baseline"/>
              <w:rPr>
                <w:sz w:val="21"/>
                <w:szCs w:val="21"/>
                <w:lang w:val="en-US"/>
              </w:rPr>
            </w:pPr>
            <w:r>
              <w:rPr>
                <w:rFonts w:hint="eastAsia"/>
                <w:sz w:val="21"/>
                <w:szCs w:val="21"/>
                <w:lang w:val="en-US"/>
              </w:rPr>
              <w:t>第三天</w:t>
            </w:r>
          </w:p>
        </w:tc>
        <w:tc>
          <w:tcPr>
            <w:tcW w:w="1880" w:type="dxa"/>
            <w:vAlign w:val="center"/>
          </w:tcPr>
          <w:p>
            <w:pPr>
              <w:pStyle w:val="19"/>
              <w:snapToGrid w:val="0"/>
              <w:ind w:firstLine="420" w:firstLineChars="200"/>
              <w:textAlignment w:val="baseline"/>
              <w:rPr>
                <w:sz w:val="21"/>
                <w:szCs w:val="21"/>
              </w:rPr>
            </w:pPr>
            <w:r>
              <w:rPr>
                <w:rFonts w:hint="eastAsia"/>
                <w:sz w:val="21"/>
                <w:szCs w:val="21"/>
              </w:rPr>
              <w:t>8:30-9:00</w:t>
            </w:r>
          </w:p>
        </w:tc>
        <w:tc>
          <w:tcPr>
            <w:tcW w:w="3390" w:type="dxa"/>
            <w:vAlign w:val="center"/>
          </w:tcPr>
          <w:p>
            <w:pPr>
              <w:pStyle w:val="19"/>
              <w:snapToGrid w:val="0"/>
              <w:ind w:firstLine="420" w:firstLineChars="200"/>
              <w:textAlignment w:val="baseline"/>
              <w:rPr>
                <w:sz w:val="21"/>
                <w:szCs w:val="21"/>
              </w:rPr>
            </w:pPr>
            <w:r>
              <w:rPr>
                <w:rFonts w:hint="eastAsia"/>
                <w:sz w:val="21"/>
                <w:szCs w:val="21"/>
              </w:rPr>
              <w:t>检录进场</w:t>
            </w:r>
          </w:p>
        </w:tc>
        <w:tc>
          <w:tcPr>
            <w:tcW w:w="3347" w:type="dxa"/>
            <w:vAlign w:val="center"/>
          </w:tcPr>
          <w:p>
            <w:pPr>
              <w:snapToGrid w:val="0"/>
              <w:ind w:firstLine="420" w:firstLineChars="200"/>
              <w:textAlignment w:val="baseline"/>
              <w:rPr>
                <w:sz w:val="21"/>
                <w:szCs w:val="21"/>
              </w:rPr>
            </w:pPr>
            <w:r>
              <w:rPr>
                <w:rFonts w:hint="eastAsia"/>
                <w:sz w:val="21"/>
                <w:szCs w:val="21"/>
              </w:rPr>
              <w:t>第二实训楼</w:t>
            </w:r>
            <w:r>
              <w:rPr>
                <w:rFonts w:hint="eastAsia"/>
                <w:sz w:val="21"/>
                <w:szCs w:val="21"/>
                <w:lang w:val="en-US"/>
              </w:rPr>
              <w:t>4</w:t>
            </w:r>
            <w:r>
              <w:rPr>
                <w:rFonts w:hint="eastAsia"/>
                <w:sz w:val="21"/>
                <w:szCs w:val="21"/>
              </w:rPr>
              <w:t>楼</w:t>
            </w:r>
            <w:r>
              <w:rPr>
                <w:rFonts w:hint="eastAsia"/>
                <w:sz w:val="21"/>
                <w:szCs w:val="21"/>
                <w:lang w:val="en-US"/>
              </w:rPr>
              <w:t>407</w:t>
            </w:r>
            <w:r>
              <w:rPr>
                <w:rFonts w:hint="eastAsia"/>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903" w:type="dxa"/>
            <w:vMerge w:val="continue"/>
          </w:tcPr>
          <w:p>
            <w:pPr>
              <w:pStyle w:val="19"/>
              <w:snapToGrid w:val="0"/>
              <w:ind w:firstLine="420" w:firstLineChars="200"/>
              <w:textAlignment w:val="baseline"/>
              <w:rPr>
                <w:sz w:val="21"/>
                <w:szCs w:val="21"/>
              </w:rPr>
            </w:pPr>
          </w:p>
        </w:tc>
        <w:tc>
          <w:tcPr>
            <w:tcW w:w="1880" w:type="dxa"/>
            <w:vAlign w:val="center"/>
          </w:tcPr>
          <w:p>
            <w:pPr>
              <w:pStyle w:val="19"/>
              <w:snapToGrid w:val="0"/>
              <w:ind w:firstLine="420" w:firstLineChars="200"/>
              <w:textAlignment w:val="baseline"/>
              <w:rPr>
                <w:sz w:val="21"/>
                <w:szCs w:val="21"/>
              </w:rPr>
            </w:pPr>
            <w:r>
              <w:rPr>
                <w:rFonts w:hint="eastAsia"/>
                <w:sz w:val="21"/>
                <w:szCs w:val="21"/>
              </w:rPr>
              <w:t>9:</w:t>
            </w:r>
            <w:r>
              <w:rPr>
                <w:rFonts w:hint="eastAsia"/>
                <w:sz w:val="21"/>
                <w:szCs w:val="21"/>
                <w:lang w:val="en-US"/>
              </w:rPr>
              <w:t>1</w:t>
            </w:r>
            <w:r>
              <w:rPr>
                <w:rFonts w:hint="eastAsia"/>
                <w:sz w:val="21"/>
                <w:szCs w:val="21"/>
              </w:rPr>
              <w:t>0-</w:t>
            </w:r>
            <w:r>
              <w:rPr>
                <w:rFonts w:hint="eastAsia"/>
                <w:sz w:val="21"/>
                <w:szCs w:val="21"/>
                <w:lang w:val="en-US"/>
              </w:rPr>
              <w:t>12</w:t>
            </w:r>
            <w:r>
              <w:rPr>
                <w:rFonts w:hint="eastAsia"/>
                <w:sz w:val="21"/>
                <w:szCs w:val="21"/>
              </w:rPr>
              <w:t>:</w:t>
            </w:r>
            <w:r>
              <w:rPr>
                <w:rFonts w:hint="eastAsia"/>
                <w:sz w:val="21"/>
                <w:szCs w:val="21"/>
                <w:lang w:val="en-US"/>
              </w:rPr>
              <w:t>1</w:t>
            </w:r>
            <w:r>
              <w:rPr>
                <w:rFonts w:hint="eastAsia"/>
                <w:sz w:val="21"/>
                <w:szCs w:val="21"/>
              </w:rPr>
              <w:t>0</w:t>
            </w:r>
          </w:p>
        </w:tc>
        <w:tc>
          <w:tcPr>
            <w:tcW w:w="3390" w:type="dxa"/>
            <w:vAlign w:val="center"/>
          </w:tcPr>
          <w:p>
            <w:pPr>
              <w:widowControl/>
              <w:rPr>
                <w:sz w:val="21"/>
                <w:szCs w:val="21"/>
              </w:rPr>
            </w:pPr>
            <w:r>
              <w:rPr>
                <w:rFonts w:hint="eastAsia"/>
                <w:sz w:val="21"/>
                <w:szCs w:val="21"/>
                <w:lang w:val="en-US"/>
              </w:rPr>
              <w:t>“数字金融业务”赛项竞赛</w:t>
            </w:r>
          </w:p>
        </w:tc>
        <w:tc>
          <w:tcPr>
            <w:tcW w:w="3347" w:type="dxa"/>
            <w:vAlign w:val="center"/>
          </w:tcPr>
          <w:p>
            <w:pPr>
              <w:snapToGrid w:val="0"/>
              <w:ind w:firstLine="420" w:firstLineChars="200"/>
              <w:textAlignment w:val="baseline"/>
              <w:rPr>
                <w:sz w:val="21"/>
                <w:szCs w:val="21"/>
              </w:rPr>
            </w:pPr>
            <w:r>
              <w:rPr>
                <w:rFonts w:hint="eastAsia"/>
                <w:sz w:val="21"/>
                <w:szCs w:val="21"/>
              </w:rPr>
              <w:t>第二实训楼</w:t>
            </w:r>
            <w:r>
              <w:rPr>
                <w:rFonts w:hint="eastAsia"/>
                <w:sz w:val="21"/>
                <w:szCs w:val="21"/>
                <w:lang w:val="en-US"/>
              </w:rPr>
              <w:t>4</w:t>
            </w:r>
            <w:r>
              <w:rPr>
                <w:rFonts w:hint="eastAsia"/>
                <w:sz w:val="21"/>
                <w:szCs w:val="21"/>
              </w:rPr>
              <w:t>楼</w:t>
            </w:r>
            <w:r>
              <w:rPr>
                <w:rFonts w:hint="eastAsia"/>
                <w:sz w:val="21"/>
                <w:szCs w:val="21"/>
                <w:lang w:val="en-US"/>
              </w:rPr>
              <w:t>407</w:t>
            </w:r>
            <w:r>
              <w:rPr>
                <w:rFonts w:hint="eastAsia"/>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903" w:type="dxa"/>
            <w:vMerge w:val="continue"/>
          </w:tcPr>
          <w:p>
            <w:pPr>
              <w:pStyle w:val="19"/>
              <w:snapToGrid w:val="0"/>
              <w:ind w:firstLine="420" w:firstLineChars="200"/>
              <w:textAlignment w:val="baseline"/>
              <w:rPr>
                <w:sz w:val="21"/>
                <w:szCs w:val="21"/>
              </w:rPr>
            </w:pPr>
          </w:p>
        </w:tc>
        <w:tc>
          <w:tcPr>
            <w:tcW w:w="1880" w:type="dxa"/>
            <w:vAlign w:val="center"/>
          </w:tcPr>
          <w:p>
            <w:pPr>
              <w:pStyle w:val="19"/>
              <w:snapToGrid w:val="0"/>
              <w:ind w:firstLine="420" w:firstLineChars="200"/>
              <w:textAlignment w:val="baseline"/>
              <w:rPr>
                <w:sz w:val="21"/>
                <w:szCs w:val="21"/>
              </w:rPr>
            </w:pPr>
            <w:r>
              <w:rPr>
                <w:rFonts w:hint="eastAsia"/>
                <w:sz w:val="21"/>
                <w:szCs w:val="21"/>
              </w:rPr>
              <w:t>1</w:t>
            </w:r>
            <w:r>
              <w:rPr>
                <w:rFonts w:hint="eastAsia"/>
                <w:sz w:val="21"/>
                <w:szCs w:val="21"/>
                <w:lang w:val="en-US"/>
              </w:rPr>
              <w:t>2</w:t>
            </w:r>
            <w:r>
              <w:rPr>
                <w:rFonts w:hint="eastAsia"/>
                <w:sz w:val="21"/>
                <w:szCs w:val="21"/>
              </w:rPr>
              <w:t>:</w:t>
            </w:r>
            <w:r>
              <w:rPr>
                <w:rFonts w:hint="eastAsia"/>
                <w:sz w:val="21"/>
                <w:szCs w:val="21"/>
                <w:lang w:val="en-US"/>
              </w:rPr>
              <w:t>2</w:t>
            </w:r>
            <w:r>
              <w:rPr>
                <w:rFonts w:hint="eastAsia"/>
                <w:sz w:val="21"/>
                <w:szCs w:val="21"/>
              </w:rPr>
              <w:t>0-13:30</w:t>
            </w:r>
          </w:p>
        </w:tc>
        <w:tc>
          <w:tcPr>
            <w:tcW w:w="3390" w:type="dxa"/>
            <w:vAlign w:val="center"/>
          </w:tcPr>
          <w:p>
            <w:pPr>
              <w:pStyle w:val="19"/>
              <w:snapToGrid w:val="0"/>
              <w:ind w:firstLine="420" w:firstLineChars="200"/>
              <w:textAlignment w:val="baseline"/>
              <w:rPr>
                <w:sz w:val="21"/>
                <w:szCs w:val="21"/>
              </w:rPr>
            </w:pPr>
            <w:r>
              <w:rPr>
                <w:rFonts w:hint="eastAsia"/>
                <w:sz w:val="21"/>
                <w:szCs w:val="21"/>
              </w:rPr>
              <w:t>午餐+午休</w:t>
            </w:r>
          </w:p>
        </w:tc>
        <w:tc>
          <w:tcPr>
            <w:tcW w:w="3347" w:type="dxa"/>
            <w:vAlign w:val="center"/>
          </w:tcPr>
          <w:p>
            <w:pPr>
              <w:pStyle w:val="19"/>
              <w:snapToGrid w:val="0"/>
              <w:ind w:firstLine="420" w:firstLineChars="200"/>
              <w:textAlignment w:val="baseline"/>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903" w:type="dxa"/>
            <w:vMerge w:val="continue"/>
          </w:tcPr>
          <w:p>
            <w:pPr>
              <w:pStyle w:val="19"/>
              <w:snapToGrid w:val="0"/>
              <w:ind w:firstLine="420" w:firstLineChars="200"/>
              <w:textAlignment w:val="baseline"/>
              <w:rPr>
                <w:sz w:val="21"/>
                <w:szCs w:val="21"/>
              </w:rPr>
            </w:pPr>
          </w:p>
        </w:tc>
        <w:tc>
          <w:tcPr>
            <w:tcW w:w="1880" w:type="dxa"/>
            <w:vAlign w:val="center"/>
          </w:tcPr>
          <w:p>
            <w:pPr>
              <w:pStyle w:val="19"/>
              <w:snapToGrid w:val="0"/>
              <w:ind w:firstLine="420" w:firstLineChars="200"/>
              <w:textAlignment w:val="baseline"/>
              <w:rPr>
                <w:sz w:val="21"/>
                <w:szCs w:val="21"/>
              </w:rPr>
            </w:pPr>
            <w:r>
              <w:rPr>
                <w:rFonts w:hint="eastAsia"/>
                <w:sz w:val="21"/>
                <w:szCs w:val="21"/>
              </w:rPr>
              <w:t>13:30-14：30</w:t>
            </w:r>
          </w:p>
        </w:tc>
        <w:tc>
          <w:tcPr>
            <w:tcW w:w="3390" w:type="dxa"/>
            <w:vAlign w:val="center"/>
          </w:tcPr>
          <w:p>
            <w:pPr>
              <w:pStyle w:val="19"/>
              <w:snapToGrid w:val="0"/>
              <w:ind w:firstLine="420" w:firstLineChars="200"/>
              <w:textAlignment w:val="baseline"/>
              <w:rPr>
                <w:sz w:val="21"/>
                <w:szCs w:val="21"/>
              </w:rPr>
            </w:pPr>
            <w:r>
              <w:rPr>
                <w:rFonts w:hint="eastAsia"/>
                <w:sz w:val="21"/>
                <w:szCs w:val="21"/>
              </w:rPr>
              <w:t>汇总成绩</w:t>
            </w:r>
          </w:p>
        </w:tc>
        <w:tc>
          <w:tcPr>
            <w:tcW w:w="3347" w:type="dxa"/>
            <w:vAlign w:val="center"/>
          </w:tcPr>
          <w:p>
            <w:pPr>
              <w:pStyle w:val="19"/>
              <w:snapToGrid w:val="0"/>
              <w:ind w:firstLine="420" w:firstLineChars="200"/>
              <w:textAlignment w:val="baseline"/>
              <w:rPr>
                <w:sz w:val="21"/>
                <w:szCs w:val="21"/>
              </w:rPr>
            </w:pPr>
          </w:p>
        </w:tc>
      </w:tr>
    </w:tbl>
    <w:p>
      <w:pPr>
        <w:pStyle w:val="19"/>
        <w:snapToGrid w:val="0"/>
        <w:spacing w:line="480" w:lineRule="exact"/>
        <w:ind w:firstLine="420" w:firstLineChars="200"/>
        <w:textAlignment w:val="baseline"/>
        <w:rPr>
          <w:sz w:val="21"/>
          <w:szCs w:val="21"/>
        </w:rPr>
      </w:pPr>
    </w:p>
    <w:p>
      <w:pPr>
        <w:pStyle w:val="18"/>
        <w:numPr>
          <w:ilvl w:val="0"/>
          <w:numId w:val="1"/>
        </w:numPr>
        <w:tabs>
          <w:tab w:val="left" w:pos="1546"/>
        </w:tabs>
        <w:snapToGrid w:val="0"/>
        <w:spacing w:line="480" w:lineRule="exact"/>
        <w:ind w:left="0" w:firstLine="643" w:firstLineChars="200"/>
        <w:textAlignment w:val="baseline"/>
        <w:rPr>
          <w:rFonts w:hint="eastAsia" w:ascii="黑体" w:hAnsi="黑体" w:eastAsia="黑体" w:cs="黑体"/>
          <w:b/>
          <w:sz w:val="32"/>
          <w:szCs w:val="32"/>
        </w:rPr>
      </w:pPr>
      <w:r>
        <w:rPr>
          <w:rFonts w:hint="eastAsia" w:ascii="黑体" w:hAnsi="黑体" w:eastAsia="黑体" w:cs="黑体"/>
          <w:b/>
          <w:sz w:val="32"/>
          <w:szCs w:val="32"/>
        </w:rPr>
        <w:t>竞赛规则</w:t>
      </w:r>
    </w:p>
    <w:p>
      <w:pPr>
        <w:pStyle w:val="2"/>
        <w:snapToGrid w:val="0"/>
        <w:spacing w:line="480" w:lineRule="exact"/>
        <w:ind w:left="0" w:firstLine="643" w:firstLineChars="200"/>
        <w:textAlignment w:val="baseline"/>
        <w:rPr>
          <w:rFonts w:hint="eastAsia" w:ascii="楷体" w:hAnsi="楷体" w:eastAsia="楷体" w:cs="楷体"/>
          <w:b/>
          <w:sz w:val="32"/>
          <w:szCs w:val="32"/>
        </w:rPr>
      </w:pPr>
      <w:r>
        <w:rPr>
          <w:rFonts w:hint="eastAsia" w:ascii="楷体" w:hAnsi="楷体" w:eastAsia="楷体" w:cs="楷体"/>
          <w:b/>
          <w:sz w:val="32"/>
          <w:szCs w:val="32"/>
        </w:rPr>
        <w:t>（一）报名要求</w:t>
      </w:r>
    </w:p>
    <w:p>
      <w:pPr>
        <w:pStyle w:val="2"/>
        <w:snapToGrid w:val="0"/>
        <w:spacing w:line="480" w:lineRule="exact"/>
        <w:ind w:left="0" w:firstLine="608" w:firstLineChars="200"/>
        <w:jc w:val="both"/>
        <w:textAlignment w:val="baseline"/>
        <w:rPr>
          <w:bCs/>
          <w:sz w:val="32"/>
          <w:szCs w:val="32"/>
        </w:rPr>
      </w:pPr>
      <w:r>
        <w:rPr>
          <w:rFonts w:hint="eastAsia"/>
          <w:bCs/>
          <w:spacing w:val="-8"/>
          <w:sz w:val="32"/>
          <w:szCs w:val="32"/>
        </w:rPr>
        <w:t>参赛选手须为同一院校全日制在籍高职学生</w:t>
      </w:r>
      <w:r>
        <w:rPr>
          <w:rFonts w:hint="eastAsia"/>
          <w:bCs/>
          <w:sz w:val="32"/>
          <w:szCs w:val="32"/>
        </w:rPr>
        <w:t>（</w:t>
      </w:r>
      <w:r>
        <w:rPr>
          <w:rFonts w:hint="eastAsia"/>
          <w:bCs/>
          <w:spacing w:val="-3"/>
          <w:sz w:val="32"/>
          <w:szCs w:val="32"/>
        </w:rPr>
        <w:t>含本科院校中高职</w:t>
      </w:r>
      <w:r>
        <w:rPr>
          <w:rFonts w:hint="eastAsia"/>
          <w:bCs/>
          <w:spacing w:val="-8"/>
          <w:sz w:val="32"/>
          <w:szCs w:val="32"/>
        </w:rPr>
        <w:t>类全日制在籍学生，五年制中职四、五年级在籍学生</w:t>
      </w:r>
      <w:r>
        <w:rPr>
          <w:rFonts w:hint="eastAsia"/>
          <w:bCs/>
          <w:spacing w:val="-24"/>
          <w:sz w:val="32"/>
          <w:szCs w:val="32"/>
        </w:rPr>
        <w:t>）</w:t>
      </w:r>
      <w:r>
        <w:rPr>
          <w:rFonts w:hint="eastAsia"/>
          <w:bCs/>
          <w:spacing w:val="-6"/>
          <w:sz w:val="32"/>
          <w:szCs w:val="32"/>
        </w:rPr>
        <w:t>，</w:t>
      </w:r>
      <w:r>
        <w:rPr>
          <w:rFonts w:hint="eastAsia"/>
          <w:bCs/>
          <w:spacing w:val="-6"/>
          <w:sz w:val="32"/>
          <w:szCs w:val="32"/>
          <w:lang w:val="en-US"/>
        </w:rPr>
        <w:t>选手</w:t>
      </w:r>
      <w:r>
        <w:rPr>
          <w:rFonts w:hint="eastAsia"/>
          <w:bCs/>
          <w:spacing w:val="-6"/>
          <w:sz w:val="32"/>
          <w:szCs w:val="32"/>
        </w:rPr>
        <w:t>年龄不超过25</w:t>
      </w:r>
      <w:r>
        <w:rPr>
          <w:rFonts w:hint="eastAsia"/>
          <w:bCs/>
          <w:spacing w:val="-14"/>
          <w:sz w:val="32"/>
          <w:szCs w:val="32"/>
        </w:rPr>
        <w:t>周岁（</w:t>
      </w:r>
      <w:r>
        <w:rPr>
          <w:rFonts w:hint="eastAsia"/>
          <w:bCs/>
          <w:spacing w:val="-14"/>
          <w:sz w:val="32"/>
          <w:szCs w:val="32"/>
          <w:lang w:val="en-US"/>
        </w:rPr>
        <w:t>1999年5月1日及以后出生）。</w:t>
      </w:r>
      <w:r>
        <w:rPr>
          <w:rFonts w:hint="eastAsia"/>
          <w:bCs/>
          <w:spacing w:val="-10"/>
          <w:sz w:val="32"/>
          <w:szCs w:val="32"/>
          <w:lang w:val="en-US"/>
        </w:rPr>
        <w:t>凡在往届</w:t>
      </w:r>
      <w:r>
        <w:rPr>
          <w:rFonts w:hint="eastAsia"/>
          <w:bCs/>
          <w:spacing w:val="-10"/>
          <w:sz w:val="32"/>
          <w:szCs w:val="32"/>
        </w:rPr>
        <w:t>全国职业院校技能大赛中获一等奖的选手，不能再参加</w:t>
      </w:r>
      <w:r>
        <w:rPr>
          <w:rFonts w:hint="eastAsia"/>
          <w:bCs/>
          <w:spacing w:val="-10"/>
          <w:sz w:val="32"/>
          <w:szCs w:val="32"/>
          <w:lang w:val="en-US"/>
        </w:rPr>
        <w:t>今年</w:t>
      </w:r>
      <w:r>
        <w:rPr>
          <w:rFonts w:hint="eastAsia"/>
          <w:bCs/>
          <w:spacing w:val="-10"/>
          <w:sz w:val="32"/>
          <w:szCs w:val="32"/>
        </w:rPr>
        <w:t>同一</w:t>
      </w:r>
      <w:r>
        <w:rPr>
          <w:rFonts w:hint="eastAsia"/>
          <w:bCs/>
          <w:spacing w:val="-10"/>
          <w:sz w:val="32"/>
          <w:szCs w:val="32"/>
          <w:lang w:val="en-US"/>
        </w:rPr>
        <w:t>专业类</w:t>
      </w:r>
      <w:r>
        <w:rPr>
          <w:rFonts w:hint="eastAsia"/>
          <w:bCs/>
          <w:spacing w:val="-10"/>
          <w:sz w:val="32"/>
          <w:szCs w:val="32"/>
        </w:rPr>
        <w:t>的</w:t>
      </w:r>
      <w:r>
        <w:rPr>
          <w:rFonts w:hint="eastAsia"/>
          <w:bCs/>
          <w:spacing w:val="-10"/>
          <w:sz w:val="32"/>
          <w:szCs w:val="32"/>
          <w:lang w:val="en-US"/>
        </w:rPr>
        <w:t>全省</w:t>
      </w:r>
      <w:r>
        <w:rPr>
          <w:rFonts w:hint="eastAsia"/>
          <w:bCs/>
          <w:spacing w:val="-10"/>
          <w:sz w:val="32"/>
          <w:szCs w:val="32"/>
        </w:rPr>
        <w:t>比</w:t>
      </w:r>
      <w:r>
        <w:rPr>
          <w:rFonts w:hint="eastAsia"/>
          <w:bCs/>
          <w:sz w:val="32"/>
          <w:szCs w:val="32"/>
        </w:rPr>
        <w:t>赛。</w:t>
      </w:r>
    </w:p>
    <w:p>
      <w:pPr>
        <w:pStyle w:val="2"/>
        <w:snapToGrid w:val="0"/>
        <w:spacing w:line="480" w:lineRule="exact"/>
        <w:ind w:left="0" w:firstLine="612" w:firstLineChars="200"/>
        <w:jc w:val="both"/>
        <w:textAlignment w:val="baseline"/>
        <w:rPr>
          <w:bCs/>
          <w:sz w:val="32"/>
          <w:szCs w:val="32"/>
        </w:rPr>
      </w:pPr>
      <w:r>
        <w:rPr>
          <w:rFonts w:hint="eastAsia"/>
          <w:bCs/>
          <w:spacing w:val="-7"/>
          <w:sz w:val="32"/>
          <w:szCs w:val="32"/>
        </w:rPr>
        <w:t>参赛选手和指导教师报名获得确认后不得随意更换。如比赛前参</w:t>
      </w:r>
      <w:r>
        <w:rPr>
          <w:rFonts w:hint="eastAsia"/>
          <w:bCs/>
          <w:spacing w:val="-9"/>
          <w:sz w:val="32"/>
          <w:szCs w:val="32"/>
        </w:rPr>
        <w:t>赛选手和指导教师因故无法参赛，须由省级教育行政部门于参与赛项</w:t>
      </w:r>
      <w:r>
        <w:rPr>
          <w:rFonts w:hint="eastAsia"/>
          <w:bCs/>
          <w:spacing w:val="-27"/>
          <w:sz w:val="32"/>
          <w:szCs w:val="32"/>
        </w:rPr>
        <w:t>开赛</w:t>
      </w:r>
      <w:r>
        <w:rPr>
          <w:rFonts w:hint="eastAsia"/>
          <w:bCs/>
          <w:sz w:val="32"/>
          <w:szCs w:val="32"/>
        </w:rPr>
        <w:t>10</w:t>
      </w:r>
      <w:r>
        <w:rPr>
          <w:rFonts w:hint="eastAsia"/>
          <w:bCs/>
          <w:spacing w:val="-8"/>
          <w:sz w:val="32"/>
          <w:szCs w:val="32"/>
        </w:rPr>
        <w:t>个工作日之前出具书面说明，经大赛执委会办公室核实后予</w:t>
      </w:r>
      <w:r>
        <w:rPr>
          <w:rFonts w:hint="eastAsia"/>
          <w:bCs/>
          <w:spacing w:val="-17"/>
          <w:sz w:val="32"/>
          <w:szCs w:val="32"/>
        </w:rPr>
        <w:t>以更换；如备赛过程中参赛选手和指导教师因故无法参赛，视为弃赛。</w:t>
      </w:r>
      <w:r>
        <w:rPr>
          <w:rFonts w:hint="eastAsia"/>
          <w:bCs/>
          <w:spacing w:val="-5"/>
          <w:sz w:val="32"/>
          <w:szCs w:val="32"/>
        </w:rPr>
        <w:t>竞赛开始后，参赛队不得更换参赛队员。</w:t>
      </w:r>
    </w:p>
    <w:p>
      <w:pPr>
        <w:pStyle w:val="2"/>
        <w:snapToGrid w:val="0"/>
        <w:spacing w:line="480" w:lineRule="exact"/>
        <w:ind w:left="0" w:firstLine="643" w:firstLineChars="200"/>
        <w:textAlignment w:val="baseline"/>
        <w:rPr>
          <w:rFonts w:hint="eastAsia" w:ascii="楷体" w:hAnsi="楷体" w:eastAsia="楷体" w:cs="楷体"/>
          <w:b/>
          <w:sz w:val="32"/>
          <w:szCs w:val="32"/>
        </w:rPr>
      </w:pPr>
      <w:r>
        <w:rPr>
          <w:rFonts w:hint="eastAsia" w:ascii="楷体" w:hAnsi="楷体" w:eastAsia="楷体" w:cs="楷体"/>
          <w:b/>
          <w:sz w:val="32"/>
          <w:szCs w:val="32"/>
        </w:rPr>
        <w:t>（二）赛前准备</w:t>
      </w:r>
    </w:p>
    <w:p>
      <w:pPr>
        <w:pStyle w:val="18"/>
        <w:tabs>
          <w:tab w:val="left" w:pos="1260"/>
        </w:tabs>
        <w:snapToGrid w:val="0"/>
        <w:spacing w:line="480" w:lineRule="exact"/>
        <w:ind w:left="0" w:firstLine="592" w:firstLineChars="200"/>
        <w:textAlignment w:val="baseline"/>
        <w:rPr>
          <w:bCs/>
          <w:sz w:val="32"/>
          <w:szCs w:val="32"/>
        </w:rPr>
      </w:pPr>
      <w:r>
        <w:rPr>
          <w:rFonts w:hint="eastAsia"/>
          <w:bCs/>
          <w:spacing w:val="-12"/>
          <w:sz w:val="32"/>
          <w:szCs w:val="32"/>
          <w:lang w:val="en-US"/>
        </w:rPr>
        <w:t>1.</w:t>
      </w:r>
      <w:r>
        <w:rPr>
          <w:rFonts w:hint="eastAsia"/>
          <w:bCs/>
          <w:spacing w:val="-12"/>
          <w:sz w:val="32"/>
          <w:szCs w:val="32"/>
        </w:rPr>
        <w:t>竞赛预备会：赛前召开竞赛预备会，由各参赛队伍的领队和指</w:t>
      </w:r>
      <w:r>
        <w:rPr>
          <w:rFonts w:hint="eastAsia"/>
          <w:bCs/>
          <w:spacing w:val="-5"/>
          <w:sz w:val="32"/>
          <w:szCs w:val="32"/>
        </w:rPr>
        <w:t>导教师参加，会议讲解竞赛注意事项并进行赛前答疑。</w:t>
      </w:r>
    </w:p>
    <w:p>
      <w:pPr>
        <w:pStyle w:val="18"/>
        <w:tabs>
          <w:tab w:val="left" w:pos="1260"/>
        </w:tabs>
        <w:snapToGrid w:val="0"/>
        <w:spacing w:line="480" w:lineRule="exact"/>
        <w:ind w:left="0" w:firstLine="628" w:firstLineChars="200"/>
        <w:textAlignment w:val="baseline"/>
        <w:rPr>
          <w:bCs/>
          <w:sz w:val="32"/>
          <w:szCs w:val="32"/>
        </w:rPr>
      </w:pPr>
      <w:r>
        <w:rPr>
          <w:rFonts w:hint="eastAsia"/>
          <w:bCs/>
          <w:spacing w:val="-3"/>
          <w:sz w:val="32"/>
          <w:szCs w:val="32"/>
          <w:lang w:val="en-US"/>
        </w:rPr>
        <w:t>2.</w:t>
      </w:r>
      <w:r>
        <w:rPr>
          <w:rFonts w:hint="eastAsia"/>
          <w:bCs/>
          <w:spacing w:val="-3"/>
          <w:sz w:val="32"/>
          <w:szCs w:val="32"/>
        </w:rPr>
        <w:t>抽签仪式：比赛加密抽签。</w:t>
      </w:r>
    </w:p>
    <w:p>
      <w:pPr>
        <w:pStyle w:val="18"/>
        <w:tabs>
          <w:tab w:val="left" w:pos="1260"/>
        </w:tabs>
        <w:snapToGrid w:val="0"/>
        <w:spacing w:line="480" w:lineRule="exact"/>
        <w:ind w:left="0" w:firstLine="628" w:firstLineChars="200"/>
        <w:textAlignment w:val="baseline"/>
        <w:rPr>
          <w:bCs/>
          <w:sz w:val="32"/>
          <w:szCs w:val="32"/>
        </w:rPr>
      </w:pPr>
      <w:r>
        <w:rPr>
          <w:rFonts w:hint="eastAsia"/>
          <w:bCs/>
          <w:spacing w:val="-3"/>
          <w:sz w:val="32"/>
          <w:szCs w:val="32"/>
          <w:lang w:val="en-US"/>
        </w:rPr>
        <w:t>3.</w:t>
      </w:r>
      <w:r>
        <w:rPr>
          <w:rFonts w:hint="eastAsia"/>
          <w:bCs/>
          <w:spacing w:val="-3"/>
          <w:sz w:val="32"/>
          <w:szCs w:val="32"/>
        </w:rPr>
        <w:t>熟悉场地：赛前开放赛场，熟悉场地。</w:t>
      </w:r>
    </w:p>
    <w:p>
      <w:pPr>
        <w:pStyle w:val="2"/>
        <w:snapToGrid w:val="0"/>
        <w:spacing w:line="480" w:lineRule="exact"/>
        <w:ind w:left="0" w:firstLine="600" w:firstLineChars="200"/>
        <w:jc w:val="both"/>
        <w:textAlignment w:val="baseline"/>
        <w:rPr>
          <w:bCs/>
          <w:spacing w:val="-4"/>
          <w:sz w:val="32"/>
          <w:szCs w:val="32"/>
        </w:rPr>
      </w:pPr>
      <w:r>
        <w:rPr>
          <w:rFonts w:hint="eastAsia"/>
          <w:bCs/>
          <w:spacing w:val="-10"/>
          <w:sz w:val="32"/>
          <w:szCs w:val="32"/>
        </w:rPr>
        <w:t>竞赛期间的每个环节，参赛选手须听从工作人员安排，不得自行</w:t>
      </w:r>
      <w:r>
        <w:rPr>
          <w:rFonts w:hint="eastAsia"/>
          <w:bCs/>
          <w:spacing w:val="-4"/>
          <w:sz w:val="32"/>
          <w:szCs w:val="32"/>
        </w:rPr>
        <w:t>离开规定的场地。</w:t>
      </w:r>
    </w:p>
    <w:p>
      <w:pPr>
        <w:pStyle w:val="2"/>
        <w:snapToGrid w:val="0"/>
        <w:spacing w:line="480" w:lineRule="exact"/>
        <w:ind w:left="0" w:firstLine="643" w:firstLineChars="200"/>
        <w:jc w:val="both"/>
        <w:textAlignment w:val="baseline"/>
        <w:rPr>
          <w:b/>
          <w:sz w:val="32"/>
          <w:szCs w:val="32"/>
          <w:lang w:val="en-US"/>
        </w:rPr>
      </w:pPr>
    </w:p>
    <w:p>
      <w:pPr>
        <w:pStyle w:val="18"/>
        <w:numPr>
          <w:ilvl w:val="0"/>
          <w:numId w:val="1"/>
        </w:numPr>
        <w:tabs>
          <w:tab w:val="left" w:pos="1546"/>
        </w:tabs>
        <w:snapToGrid w:val="0"/>
        <w:spacing w:line="480" w:lineRule="exact"/>
        <w:ind w:left="0" w:firstLine="643" w:firstLineChars="200"/>
        <w:textAlignment w:val="baseline"/>
        <w:rPr>
          <w:rFonts w:hint="eastAsia" w:ascii="黑体" w:hAnsi="黑体" w:eastAsia="黑体" w:cs="黑体"/>
          <w:b/>
          <w:sz w:val="32"/>
          <w:szCs w:val="32"/>
          <w:lang w:val="en-US"/>
        </w:rPr>
      </w:pPr>
      <w:r>
        <w:rPr>
          <w:rFonts w:hint="eastAsia" w:ascii="黑体" w:hAnsi="黑体" w:eastAsia="黑体" w:cs="黑体"/>
          <w:b/>
          <w:sz w:val="32"/>
          <w:szCs w:val="32"/>
          <w:lang w:val="en-US"/>
        </w:rPr>
        <w:t>技术规范</w:t>
      </w:r>
    </w:p>
    <w:p>
      <w:pPr>
        <w:widowControl/>
        <w:spacing w:line="480" w:lineRule="exact"/>
        <w:ind w:firstLine="600" w:firstLineChars="200"/>
        <w:jc w:val="both"/>
        <w:rPr>
          <w:bCs/>
          <w:spacing w:val="-10"/>
          <w:sz w:val="32"/>
          <w:szCs w:val="32"/>
        </w:rPr>
      </w:pPr>
      <w:r>
        <w:rPr>
          <w:rFonts w:hint="eastAsia"/>
          <w:bCs/>
          <w:spacing w:val="-10"/>
          <w:sz w:val="32"/>
          <w:szCs w:val="32"/>
          <w:lang w:val="en-US"/>
        </w:rPr>
        <w:t>赛项竞赛内容符合国内金融机构业务技术规范，竞赛采用“竞赛技术平台”，符合相关行业技术标准、业务流程、业务规范设计。</w:t>
      </w:r>
    </w:p>
    <w:p>
      <w:pPr>
        <w:pStyle w:val="2"/>
        <w:snapToGrid w:val="0"/>
        <w:spacing w:line="480" w:lineRule="exact"/>
        <w:ind w:left="0" w:firstLine="643" w:firstLineChars="200"/>
        <w:textAlignment w:val="baseline"/>
        <w:rPr>
          <w:rFonts w:hint="eastAsia" w:ascii="楷体" w:hAnsi="楷体" w:eastAsia="楷体" w:cs="楷体"/>
          <w:b/>
          <w:sz w:val="32"/>
          <w:szCs w:val="32"/>
        </w:rPr>
      </w:pPr>
      <w:r>
        <w:rPr>
          <w:rFonts w:hint="eastAsia" w:ascii="楷体" w:hAnsi="楷体" w:eastAsia="楷体" w:cs="楷体"/>
          <w:b/>
          <w:sz w:val="32"/>
          <w:szCs w:val="32"/>
        </w:rPr>
        <w:t>（一）B/S架构</w:t>
      </w:r>
    </w:p>
    <w:p>
      <w:pPr>
        <w:pStyle w:val="2"/>
        <w:snapToGrid w:val="0"/>
        <w:spacing w:line="480" w:lineRule="exact"/>
        <w:ind w:left="0" w:firstLine="776" w:firstLineChars="200"/>
        <w:jc w:val="both"/>
        <w:textAlignment w:val="baseline"/>
        <w:rPr>
          <w:bCs/>
          <w:sz w:val="32"/>
          <w:szCs w:val="32"/>
        </w:rPr>
      </w:pPr>
      <w:r>
        <w:rPr>
          <w:rFonts w:hint="eastAsia"/>
          <w:bCs/>
          <w:spacing w:val="34"/>
          <w:sz w:val="32"/>
          <w:szCs w:val="32"/>
        </w:rPr>
        <w:t>采用</w:t>
      </w:r>
      <w:r>
        <w:rPr>
          <w:rFonts w:hint="eastAsia"/>
          <w:bCs/>
          <w:sz w:val="32"/>
          <w:szCs w:val="32"/>
        </w:rPr>
        <w:t>B/S</w:t>
      </w:r>
      <w:r>
        <w:rPr>
          <w:rFonts w:hint="eastAsia"/>
          <w:bCs/>
          <w:spacing w:val="-14"/>
          <w:sz w:val="32"/>
          <w:szCs w:val="32"/>
        </w:rPr>
        <w:t>结构，能支持远程应用，可通过局域网或互联网连接登</w:t>
      </w:r>
      <w:r>
        <w:rPr>
          <w:rFonts w:hint="eastAsia"/>
          <w:bCs/>
          <w:spacing w:val="-5"/>
          <w:sz w:val="32"/>
          <w:szCs w:val="32"/>
        </w:rPr>
        <w:t>录使用。</w:t>
      </w:r>
    </w:p>
    <w:p>
      <w:pPr>
        <w:pStyle w:val="2"/>
        <w:snapToGrid w:val="0"/>
        <w:spacing w:line="480" w:lineRule="exact"/>
        <w:ind w:left="0" w:firstLine="643" w:firstLineChars="200"/>
        <w:textAlignment w:val="baseline"/>
        <w:rPr>
          <w:rFonts w:hint="eastAsia" w:ascii="楷体" w:hAnsi="楷体" w:eastAsia="楷体" w:cs="楷体"/>
          <w:b/>
          <w:sz w:val="32"/>
          <w:szCs w:val="32"/>
        </w:rPr>
      </w:pPr>
      <w:r>
        <w:rPr>
          <w:rFonts w:hint="eastAsia" w:ascii="楷体" w:hAnsi="楷体" w:eastAsia="楷体" w:cs="楷体"/>
          <w:b/>
          <w:sz w:val="32"/>
          <w:szCs w:val="32"/>
        </w:rPr>
        <w:t>（二）三层结构</w:t>
      </w:r>
    </w:p>
    <w:p>
      <w:pPr>
        <w:widowControl/>
        <w:spacing w:line="480" w:lineRule="exact"/>
        <w:ind w:firstLine="612" w:firstLineChars="200"/>
        <w:rPr>
          <w:bCs/>
          <w:sz w:val="32"/>
          <w:szCs w:val="32"/>
        </w:rPr>
      </w:pPr>
      <w:r>
        <w:rPr>
          <w:rFonts w:hint="eastAsia"/>
          <w:bCs/>
          <w:spacing w:val="-7"/>
          <w:sz w:val="32"/>
          <w:szCs w:val="32"/>
          <w:lang w:val="en-US"/>
        </w:rPr>
        <w:t>“竞赛技术平台”设</w:t>
      </w:r>
      <w:r>
        <w:rPr>
          <w:rFonts w:hint="eastAsia"/>
          <w:bCs/>
          <w:spacing w:val="-7"/>
          <w:sz w:val="32"/>
          <w:szCs w:val="32"/>
        </w:rPr>
        <w:t>计包括数据库层、应用服务器层、操作层。系统扩展能力强，可以满足上百个</w:t>
      </w:r>
      <w:r>
        <w:rPr>
          <w:rFonts w:hint="eastAsia"/>
          <w:bCs/>
          <w:spacing w:val="-11"/>
          <w:sz w:val="32"/>
          <w:szCs w:val="32"/>
        </w:rPr>
        <w:t>小组或数千人同时竞赛。</w:t>
      </w:r>
    </w:p>
    <w:p>
      <w:pPr>
        <w:pStyle w:val="2"/>
        <w:snapToGrid w:val="0"/>
        <w:spacing w:line="480" w:lineRule="exact"/>
        <w:ind w:left="0" w:firstLine="643" w:firstLineChars="200"/>
        <w:textAlignment w:val="baseline"/>
        <w:rPr>
          <w:rFonts w:hint="eastAsia" w:ascii="楷体" w:hAnsi="楷体" w:eastAsia="楷体" w:cs="楷体"/>
          <w:b/>
          <w:sz w:val="32"/>
          <w:szCs w:val="32"/>
        </w:rPr>
      </w:pPr>
      <w:r>
        <w:rPr>
          <w:rFonts w:hint="eastAsia" w:ascii="楷体" w:hAnsi="楷体" w:eastAsia="楷体" w:cs="楷体"/>
          <w:b/>
          <w:sz w:val="32"/>
          <w:szCs w:val="32"/>
        </w:rPr>
        <w:t>（三）数据库</w:t>
      </w:r>
    </w:p>
    <w:p>
      <w:pPr>
        <w:pStyle w:val="2"/>
        <w:snapToGrid w:val="0"/>
        <w:spacing w:line="480" w:lineRule="exact"/>
        <w:ind w:left="0" w:firstLine="612" w:firstLineChars="200"/>
        <w:jc w:val="both"/>
        <w:textAlignment w:val="baseline"/>
        <w:rPr>
          <w:sz w:val="32"/>
          <w:szCs w:val="32"/>
        </w:rPr>
      </w:pPr>
      <w:r>
        <w:rPr>
          <w:rFonts w:hint="eastAsia"/>
          <w:bCs/>
          <w:spacing w:val="-7"/>
          <w:sz w:val="32"/>
          <w:szCs w:val="32"/>
          <w:lang w:val="en-US"/>
        </w:rPr>
        <w:t>“竞赛技术平台”</w:t>
      </w:r>
      <w:r>
        <w:rPr>
          <w:rFonts w:hint="eastAsia"/>
          <w:sz w:val="32"/>
          <w:szCs w:val="32"/>
        </w:rPr>
        <w:t>后台采用SQLServer2008R2专业数据库系统，数据安全性较高。</w:t>
      </w:r>
    </w:p>
    <w:p>
      <w:pPr>
        <w:pStyle w:val="2"/>
        <w:snapToGrid w:val="0"/>
        <w:spacing w:line="480" w:lineRule="exact"/>
        <w:ind w:left="0" w:firstLine="643" w:firstLineChars="200"/>
        <w:textAlignment w:val="baseline"/>
        <w:rPr>
          <w:rFonts w:hint="eastAsia" w:ascii="楷体" w:hAnsi="楷体" w:eastAsia="楷体" w:cs="楷体"/>
          <w:b/>
          <w:sz w:val="32"/>
          <w:szCs w:val="32"/>
        </w:rPr>
      </w:pPr>
      <w:r>
        <w:rPr>
          <w:rFonts w:hint="eastAsia" w:ascii="楷体" w:hAnsi="楷体" w:eastAsia="楷体" w:cs="楷体"/>
          <w:b/>
          <w:sz w:val="32"/>
          <w:szCs w:val="32"/>
        </w:rPr>
        <w:t>（四）软件知识产权</w:t>
      </w:r>
    </w:p>
    <w:p>
      <w:pPr>
        <w:snapToGrid w:val="0"/>
        <w:spacing w:line="480" w:lineRule="exact"/>
        <w:ind w:firstLine="640" w:firstLineChars="200"/>
        <w:textAlignment w:val="baseline"/>
        <w:rPr>
          <w:sz w:val="32"/>
          <w:szCs w:val="32"/>
        </w:rPr>
      </w:pPr>
      <w:r>
        <w:rPr>
          <w:rFonts w:hint="eastAsia"/>
          <w:sz w:val="32"/>
          <w:szCs w:val="32"/>
        </w:rPr>
        <w:t>竞赛平台具有独立知识产权，拥有计算机软件著作权证书。</w:t>
      </w:r>
    </w:p>
    <w:p>
      <w:pPr>
        <w:widowControl/>
        <w:autoSpaceDE/>
        <w:autoSpaceDN/>
        <w:rPr>
          <w:rFonts w:hint="eastAsia" w:ascii="黑体" w:hAnsi="黑体" w:eastAsia="黑体" w:cs="黑体"/>
        </w:rPr>
      </w:pPr>
      <w:r>
        <w:br w:type="page"/>
      </w:r>
    </w:p>
    <w:p>
      <w:pPr>
        <w:pStyle w:val="18"/>
        <w:numPr>
          <w:ilvl w:val="0"/>
          <w:numId w:val="1"/>
        </w:numPr>
        <w:tabs>
          <w:tab w:val="left" w:pos="1546"/>
        </w:tabs>
        <w:snapToGrid w:val="0"/>
        <w:spacing w:line="480" w:lineRule="exact"/>
        <w:ind w:left="0" w:firstLine="643" w:firstLineChars="200"/>
        <w:textAlignment w:val="baseline"/>
        <w:rPr>
          <w:b/>
          <w:sz w:val="32"/>
          <w:szCs w:val="32"/>
          <w:lang w:val="en-US"/>
        </w:rPr>
      </w:pPr>
      <w:r>
        <w:rPr>
          <w:rFonts w:hint="eastAsia" w:ascii="黑体" w:hAnsi="黑体" w:eastAsia="黑体" w:cs="黑体"/>
          <w:b/>
          <w:sz w:val="32"/>
          <w:szCs w:val="32"/>
          <w:lang w:val="en-US"/>
        </w:rPr>
        <w:t>技术环境</w:t>
      </w:r>
    </w:p>
    <w:p>
      <w:pPr>
        <w:widowControl/>
        <w:spacing w:line="480" w:lineRule="exact"/>
        <w:ind w:firstLine="592" w:firstLineChars="200"/>
        <w:rPr>
          <w:spacing w:val="-12"/>
          <w:sz w:val="32"/>
          <w:szCs w:val="32"/>
        </w:rPr>
      </w:pPr>
      <w:r>
        <w:rPr>
          <w:rFonts w:hint="eastAsia"/>
          <w:spacing w:val="-12"/>
          <w:sz w:val="32"/>
          <w:szCs w:val="32"/>
          <w:lang w:val="en-US"/>
        </w:rPr>
        <w:t>本赛项竞赛采用的“竞赛技术平台”满足“金融职业素养”“金融综合技能”“数字金融业务”三个竞赛模块比赛需求。其中，“金融职业素养”系统包括业务素养知识、传票数字录入、字符录入、手工点钞、货币防伪与鉴别 5 个模块，“金融综合技能”系统包括大堂经理岗、综合柜员岗、客户经理岗、理财经理岗 4 个岗位竞赛任务，“数字金融业务”系统包括大数据金融业务、区块链金融业务、支付业务数字化、银行业务数字化、证券业务数字化、保险业业务数字化、金融科技业务创新、数字金融业务监管 8 个竞赛单元。</w:t>
      </w:r>
    </w:p>
    <w:p>
      <w:pPr>
        <w:snapToGrid w:val="0"/>
        <w:spacing w:line="480" w:lineRule="exact"/>
        <w:ind w:firstLine="643" w:firstLineChars="200"/>
        <w:textAlignment w:val="baseline"/>
        <w:rPr>
          <w:rFonts w:hint="eastAsia" w:ascii="楷体" w:hAnsi="楷体" w:eastAsia="楷体" w:cs="楷体"/>
          <w:b/>
          <w:sz w:val="32"/>
          <w:szCs w:val="32"/>
        </w:rPr>
      </w:pPr>
      <w:r>
        <w:rPr>
          <w:rFonts w:hint="eastAsia" w:ascii="楷体" w:hAnsi="楷体" w:eastAsia="楷体" w:cs="楷体"/>
          <w:b/>
          <w:sz w:val="32"/>
          <w:szCs w:val="32"/>
        </w:rPr>
        <w:t>（</w:t>
      </w:r>
      <w:r>
        <w:rPr>
          <w:rFonts w:hint="eastAsia" w:ascii="楷体" w:hAnsi="楷体" w:eastAsia="楷体" w:cs="楷体"/>
          <w:b/>
          <w:sz w:val="32"/>
          <w:szCs w:val="32"/>
          <w:lang w:val="en-US"/>
        </w:rPr>
        <w:t>一）</w:t>
      </w:r>
      <w:r>
        <w:rPr>
          <w:rFonts w:hint="eastAsia" w:ascii="楷体" w:hAnsi="楷体" w:eastAsia="楷体" w:cs="楷体"/>
          <w:b/>
          <w:sz w:val="32"/>
          <w:szCs w:val="32"/>
        </w:rPr>
        <w:t>服务器、计算机、数据库及网络设备等要求</w:t>
      </w:r>
    </w:p>
    <w:p>
      <w:pPr>
        <w:pStyle w:val="18"/>
        <w:tabs>
          <w:tab w:val="left" w:pos="1260"/>
        </w:tabs>
        <w:snapToGrid w:val="0"/>
        <w:spacing w:line="480" w:lineRule="exact"/>
        <w:ind w:left="0" w:firstLine="592" w:firstLineChars="200"/>
        <w:textAlignment w:val="baseline"/>
        <w:rPr>
          <w:sz w:val="32"/>
          <w:szCs w:val="32"/>
        </w:rPr>
      </w:pPr>
      <w:r>
        <w:rPr>
          <w:rFonts w:hint="eastAsia"/>
          <w:spacing w:val="-12"/>
          <w:sz w:val="32"/>
          <w:szCs w:val="32"/>
          <w:lang w:val="en-US"/>
        </w:rPr>
        <w:t>1.</w:t>
      </w:r>
      <w:r>
        <w:rPr>
          <w:rFonts w:hint="eastAsia"/>
          <w:spacing w:val="-12"/>
          <w:sz w:val="32"/>
          <w:szCs w:val="32"/>
        </w:rPr>
        <w:t>服务器数量：</w:t>
      </w:r>
      <w:r>
        <w:rPr>
          <w:rFonts w:hint="eastAsia"/>
          <w:spacing w:val="-56"/>
          <w:sz w:val="32"/>
          <w:szCs w:val="32"/>
        </w:rPr>
        <w:t>4</w:t>
      </w:r>
      <w:r>
        <w:rPr>
          <w:rFonts w:hint="eastAsia"/>
          <w:spacing w:val="-28"/>
          <w:sz w:val="32"/>
          <w:szCs w:val="32"/>
        </w:rPr>
        <w:t>台；系统配置：</w:t>
      </w:r>
      <w:r>
        <w:rPr>
          <w:rFonts w:hint="eastAsia"/>
          <w:spacing w:val="-23"/>
          <w:sz w:val="32"/>
          <w:szCs w:val="32"/>
        </w:rPr>
        <w:t>CPU</w:t>
      </w:r>
      <w:r>
        <w:rPr>
          <w:rFonts w:hint="eastAsia"/>
          <w:spacing w:val="-66"/>
          <w:sz w:val="32"/>
          <w:szCs w:val="32"/>
        </w:rPr>
        <w:t>：</w:t>
      </w:r>
      <w:r>
        <w:rPr>
          <w:rFonts w:hint="eastAsia"/>
          <w:sz w:val="32"/>
          <w:szCs w:val="32"/>
        </w:rPr>
        <w:t>4</w:t>
      </w:r>
      <w:r>
        <w:rPr>
          <w:rFonts w:hint="eastAsia"/>
          <w:spacing w:val="-1"/>
          <w:sz w:val="32"/>
          <w:szCs w:val="32"/>
        </w:rPr>
        <w:t>颗</w:t>
      </w:r>
      <w:r>
        <w:rPr>
          <w:rFonts w:hint="eastAsia"/>
          <w:sz w:val="32"/>
          <w:szCs w:val="32"/>
        </w:rPr>
        <w:t>QuadCore</w:t>
      </w:r>
      <w:r>
        <w:rPr>
          <w:rFonts w:hint="eastAsia"/>
          <w:spacing w:val="-14"/>
          <w:sz w:val="32"/>
          <w:szCs w:val="32"/>
        </w:rPr>
        <w:t>(四核)</w:t>
      </w:r>
      <w:r>
        <w:rPr>
          <w:rFonts w:hint="eastAsia"/>
          <w:sz w:val="32"/>
          <w:szCs w:val="32"/>
        </w:rPr>
        <w:t>2.0G</w:t>
      </w:r>
      <w:r>
        <w:rPr>
          <w:rFonts w:hint="eastAsia"/>
          <w:spacing w:val="-5"/>
          <w:sz w:val="32"/>
          <w:szCs w:val="32"/>
        </w:rPr>
        <w:t>以上；内存：32GB</w:t>
      </w:r>
      <w:r>
        <w:rPr>
          <w:rFonts w:hint="eastAsia"/>
          <w:spacing w:val="-16"/>
          <w:sz w:val="32"/>
          <w:szCs w:val="32"/>
        </w:rPr>
        <w:t>以上；硬盘：</w:t>
      </w:r>
      <w:r>
        <w:rPr>
          <w:rFonts w:hint="eastAsia"/>
          <w:spacing w:val="-10"/>
          <w:sz w:val="32"/>
          <w:szCs w:val="32"/>
        </w:rPr>
        <w:t>3</w:t>
      </w:r>
      <w:r>
        <w:rPr>
          <w:rFonts w:hint="eastAsia"/>
          <w:spacing w:val="-15"/>
          <w:sz w:val="32"/>
          <w:szCs w:val="32"/>
        </w:rPr>
        <w:t>块硬盘以上，每块容量</w:t>
      </w:r>
      <w:r>
        <w:rPr>
          <w:rFonts w:hint="eastAsia"/>
          <w:sz w:val="32"/>
          <w:szCs w:val="32"/>
        </w:rPr>
        <w:t>300G</w:t>
      </w:r>
      <w:r>
        <w:rPr>
          <w:rFonts w:hint="eastAsia"/>
          <w:spacing w:val="-17"/>
          <w:sz w:val="32"/>
          <w:szCs w:val="32"/>
        </w:rPr>
        <w:t>以上，</w:t>
      </w:r>
      <w:r>
        <w:rPr>
          <w:rFonts w:hint="eastAsia"/>
          <w:spacing w:val="16"/>
          <w:sz w:val="32"/>
          <w:szCs w:val="32"/>
        </w:rPr>
        <w:t>搭建成</w:t>
      </w:r>
      <w:r>
        <w:rPr>
          <w:rFonts w:hint="eastAsia"/>
          <w:sz w:val="32"/>
          <w:szCs w:val="32"/>
        </w:rPr>
        <w:t>RAID5</w:t>
      </w:r>
      <w:r>
        <w:rPr>
          <w:rFonts w:hint="eastAsia"/>
          <w:spacing w:val="-4"/>
          <w:sz w:val="32"/>
          <w:szCs w:val="32"/>
        </w:rPr>
        <w:t>；网卡：千兆网卡；操作系统：</w:t>
      </w:r>
      <w:r>
        <w:rPr>
          <w:rFonts w:hint="eastAsia"/>
          <w:sz w:val="32"/>
          <w:szCs w:val="32"/>
        </w:rPr>
        <w:t>windowsServer2008R264</w:t>
      </w:r>
      <w:r>
        <w:rPr>
          <w:rFonts w:hint="eastAsia"/>
          <w:spacing w:val="-2"/>
          <w:sz w:val="32"/>
          <w:szCs w:val="32"/>
        </w:rPr>
        <w:t>位，安装</w:t>
      </w:r>
      <w:r>
        <w:rPr>
          <w:rFonts w:hint="eastAsia"/>
          <w:sz w:val="32"/>
          <w:szCs w:val="32"/>
        </w:rPr>
        <w:t>IIS7.5；</w:t>
      </w:r>
    </w:p>
    <w:p>
      <w:pPr>
        <w:pStyle w:val="18"/>
        <w:tabs>
          <w:tab w:val="left" w:pos="1260"/>
        </w:tabs>
        <w:snapToGrid w:val="0"/>
        <w:spacing w:line="480" w:lineRule="exact"/>
        <w:ind w:left="0" w:firstLine="684" w:firstLineChars="200"/>
        <w:textAlignment w:val="baseline"/>
        <w:rPr>
          <w:sz w:val="32"/>
          <w:szCs w:val="32"/>
        </w:rPr>
      </w:pPr>
      <w:r>
        <w:rPr>
          <w:rFonts w:hint="eastAsia"/>
          <w:spacing w:val="11"/>
          <w:sz w:val="32"/>
          <w:szCs w:val="32"/>
          <w:lang w:val="en-US"/>
        </w:rPr>
        <w:t>2.</w:t>
      </w:r>
      <w:r>
        <w:rPr>
          <w:rFonts w:hint="eastAsia"/>
          <w:spacing w:val="11"/>
          <w:sz w:val="32"/>
          <w:szCs w:val="32"/>
        </w:rPr>
        <w:t>客户端安装</w:t>
      </w:r>
      <w:r>
        <w:rPr>
          <w:rFonts w:hint="eastAsia"/>
          <w:sz w:val="32"/>
          <w:szCs w:val="32"/>
        </w:rPr>
        <w:t>Win</w:t>
      </w:r>
      <w:r>
        <w:rPr>
          <w:rFonts w:hint="eastAsia"/>
          <w:sz w:val="32"/>
          <w:szCs w:val="32"/>
          <w:lang w:val="en-US"/>
        </w:rPr>
        <w:t>10</w:t>
      </w:r>
      <w:r>
        <w:rPr>
          <w:rFonts w:hint="eastAsia"/>
          <w:spacing w:val="-2"/>
          <w:sz w:val="32"/>
          <w:szCs w:val="32"/>
          <w:lang w:val="en-US"/>
        </w:rPr>
        <w:t>及Google浏览器</w:t>
      </w:r>
      <w:r>
        <w:rPr>
          <w:rFonts w:hint="eastAsia"/>
          <w:sz w:val="32"/>
          <w:szCs w:val="32"/>
        </w:rPr>
        <w:t>；</w:t>
      </w:r>
    </w:p>
    <w:p>
      <w:pPr>
        <w:pStyle w:val="18"/>
        <w:tabs>
          <w:tab w:val="left" w:pos="1260"/>
        </w:tabs>
        <w:snapToGrid w:val="0"/>
        <w:spacing w:line="480" w:lineRule="exact"/>
        <w:ind w:left="0" w:firstLine="632" w:firstLineChars="200"/>
        <w:textAlignment w:val="baseline"/>
        <w:rPr>
          <w:sz w:val="32"/>
          <w:szCs w:val="32"/>
        </w:rPr>
      </w:pPr>
      <w:r>
        <w:rPr>
          <w:rFonts w:hint="eastAsia"/>
          <w:spacing w:val="-2"/>
          <w:sz w:val="32"/>
          <w:szCs w:val="32"/>
          <w:lang w:val="en-US"/>
        </w:rPr>
        <w:t>3.</w:t>
      </w:r>
      <w:r>
        <w:rPr>
          <w:rFonts w:hint="eastAsia"/>
          <w:spacing w:val="-2"/>
          <w:sz w:val="32"/>
          <w:szCs w:val="32"/>
        </w:rPr>
        <w:t>数据库：</w:t>
      </w:r>
      <w:r>
        <w:rPr>
          <w:rFonts w:hint="eastAsia"/>
          <w:sz w:val="32"/>
          <w:szCs w:val="32"/>
        </w:rPr>
        <w:t>windows</w:t>
      </w:r>
      <w:r>
        <w:rPr>
          <w:rFonts w:hint="eastAsia"/>
          <w:sz w:val="32"/>
          <w:szCs w:val="32"/>
          <w:lang w:val="en-US"/>
        </w:rPr>
        <w:t xml:space="preserve"> </w:t>
      </w:r>
      <w:r>
        <w:rPr>
          <w:rFonts w:hint="eastAsia"/>
          <w:sz w:val="32"/>
          <w:szCs w:val="32"/>
        </w:rPr>
        <w:t>Server</w:t>
      </w:r>
      <w:r>
        <w:rPr>
          <w:rFonts w:hint="eastAsia"/>
          <w:sz w:val="32"/>
          <w:szCs w:val="32"/>
          <w:lang w:val="en-US"/>
        </w:rPr>
        <w:t xml:space="preserve"> </w:t>
      </w:r>
      <w:r>
        <w:rPr>
          <w:rFonts w:hint="eastAsia"/>
          <w:sz w:val="32"/>
          <w:szCs w:val="32"/>
        </w:rPr>
        <w:t>2008</w:t>
      </w:r>
      <w:r>
        <w:rPr>
          <w:rFonts w:hint="eastAsia"/>
          <w:sz w:val="32"/>
          <w:szCs w:val="32"/>
          <w:lang w:val="en-US"/>
        </w:rPr>
        <w:t xml:space="preserve"> </w:t>
      </w:r>
      <w:r>
        <w:rPr>
          <w:rFonts w:hint="eastAsia"/>
          <w:sz w:val="32"/>
          <w:szCs w:val="32"/>
        </w:rPr>
        <w:t>R2</w:t>
      </w:r>
      <w:r>
        <w:rPr>
          <w:rFonts w:hint="eastAsia"/>
          <w:sz w:val="32"/>
          <w:szCs w:val="32"/>
          <w:lang w:val="en-US"/>
        </w:rPr>
        <w:t xml:space="preserve"> </w:t>
      </w:r>
      <w:r>
        <w:rPr>
          <w:rFonts w:hint="eastAsia"/>
          <w:sz w:val="32"/>
          <w:szCs w:val="32"/>
        </w:rPr>
        <w:t>64</w:t>
      </w:r>
      <w:r>
        <w:rPr>
          <w:rFonts w:hint="eastAsia"/>
          <w:spacing w:val="-17"/>
          <w:sz w:val="32"/>
          <w:szCs w:val="32"/>
        </w:rPr>
        <w:t>位；配备磁盘阵列</w:t>
      </w:r>
      <w:r>
        <w:rPr>
          <w:rFonts w:hint="eastAsia"/>
          <w:sz w:val="32"/>
          <w:szCs w:val="32"/>
        </w:rPr>
        <w:t>2</w:t>
      </w:r>
      <w:r>
        <w:rPr>
          <w:rFonts w:hint="eastAsia"/>
          <w:spacing w:val="-24"/>
          <w:sz w:val="32"/>
          <w:szCs w:val="32"/>
        </w:rPr>
        <w:t>台。2</w:t>
      </w:r>
      <w:r>
        <w:rPr>
          <w:rFonts w:hint="eastAsia"/>
          <w:spacing w:val="-6"/>
          <w:sz w:val="32"/>
          <w:szCs w:val="32"/>
        </w:rPr>
        <w:t>个网口主机通道，支持热备份盘和后台</w:t>
      </w:r>
      <w:r>
        <w:rPr>
          <w:rFonts w:hint="eastAsia"/>
          <w:sz w:val="32"/>
          <w:szCs w:val="32"/>
        </w:rPr>
        <w:t>RAID</w:t>
      </w:r>
      <w:r>
        <w:rPr>
          <w:rFonts w:hint="eastAsia"/>
          <w:spacing w:val="-19"/>
          <w:sz w:val="32"/>
          <w:szCs w:val="32"/>
        </w:rPr>
        <w:t>重建；</w:t>
      </w:r>
    </w:p>
    <w:p>
      <w:pPr>
        <w:pStyle w:val="18"/>
        <w:tabs>
          <w:tab w:val="left" w:pos="1260"/>
        </w:tabs>
        <w:snapToGrid w:val="0"/>
        <w:spacing w:line="480" w:lineRule="exact"/>
        <w:ind w:left="0" w:firstLine="640" w:firstLineChars="200"/>
        <w:textAlignment w:val="baseline"/>
        <w:rPr>
          <w:sz w:val="32"/>
          <w:szCs w:val="32"/>
        </w:rPr>
      </w:pPr>
      <w:r>
        <w:rPr>
          <w:rFonts w:hint="eastAsia"/>
          <w:sz w:val="32"/>
          <w:szCs w:val="32"/>
          <w:lang w:val="en-US"/>
        </w:rPr>
        <w:t>4.</w:t>
      </w:r>
      <w:r>
        <w:rPr>
          <w:rFonts w:hint="eastAsia"/>
          <w:sz w:val="32"/>
          <w:szCs w:val="32"/>
        </w:rPr>
        <w:t>网络系统：（1）</w:t>
      </w:r>
      <w:r>
        <w:rPr>
          <w:rFonts w:hint="eastAsia"/>
          <w:spacing w:val="-5"/>
          <w:sz w:val="32"/>
          <w:szCs w:val="32"/>
        </w:rPr>
        <w:t>采用星形网络拓扑结构，安装</w:t>
      </w:r>
      <w:r>
        <w:rPr>
          <w:rFonts w:hint="eastAsia"/>
          <w:sz w:val="32"/>
          <w:szCs w:val="32"/>
        </w:rPr>
        <w:t>2</w:t>
      </w:r>
      <w:r>
        <w:rPr>
          <w:rFonts w:hint="eastAsia"/>
          <w:spacing w:val="-11"/>
          <w:sz w:val="32"/>
          <w:szCs w:val="32"/>
        </w:rPr>
        <w:t>台千兆核心</w:t>
      </w:r>
      <w:r>
        <w:rPr>
          <w:rFonts w:hint="eastAsia"/>
          <w:spacing w:val="-6"/>
          <w:sz w:val="32"/>
          <w:szCs w:val="32"/>
        </w:rPr>
        <w:t>交换机</w:t>
      </w:r>
      <w:r>
        <w:rPr>
          <w:rFonts w:hint="eastAsia"/>
          <w:sz w:val="32"/>
          <w:szCs w:val="32"/>
        </w:rPr>
        <w:t>（</w:t>
      </w:r>
      <w:r>
        <w:rPr>
          <w:rFonts w:hint="eastAsia"/>
          <w:spacing w:val="-3"/>
          <w:sz w:val="32"/>
          <w:szCs w:val="32"/>
        </w:rPr>
        <w:t>双机模式</w:t>
      </w:r>
      <w:r>
        <w:rPr>
          <w:rFonts w:hint="eastAsia"/>
          <w:sz w:val="32"/>
          <w:szCs w:val="32"/>
        </w:rPr>
        <w:t>）</w:t>
      </w:r>
      <w:r>
        <w:rPr>
          <w:rFonts w:hint="eastAsia"/>
          <w:spacing w:val="-35"/>
          <w:sz w:val="32"/>
          <w:szCs w:val="32"/>
        </w:rPr>
        <w:t>和</w:t>
      </w:r>
      <w:r>
        <w:rPr>
          <w:rFonts w:hint="eastAsia"/>
          <w:spacing w:val="-35"/>
          <w:sz w:val="32"/>
          <w:szCs w:val="32"/>
          <w:lang w:val="en-US"/>
        </w:rPr>
        <w:t xml:space="preserve"> </w:t>
      </w:r>
      <w:r>
        <w:rPr>
          <w:rFonts w:hint="eastAsia"/>
          <w:sz w:val="32"/>
          <w:szCs w:val="32"/>
        </w:rPr>
        <w:t>6</w:t>
      </w:r>
      <w:r>
        <w:rPr>
          <w:rFonts w:hint="eastAsia"/>
          <w:spacing w:val="-12"/>
          <w:sz w:val="32"/>
          <w:szCs w:val="32"/>
        </w:rPr>
        <w:t>台接入交换机</w:t>
      </w:r>
      <w:r>
        <w:rPr>
          <w:rFonts w:hint="eastAsia"/>
          <w:sz w:val="32"/>
          <w:szCs w:val="32"/>
        </w:rPr>
        <w:t>（48</w:t>
      </w:r>
      <w:r>
        <w:rPr>
          <w:rFonts w:hint="eastAsia"/>
          <w:spacing w:val="-35"/>
          <w:sz w:val="32"/>
          <w:szCs w:val="32"/>
        </w:rPr>
        <w:t>口</w:t>
      </w:r>
      <w:r>
        <w:rPr>
          <w:rFonts w:hint="eastAsia"/>
          <w:sz w:val="32"/>
          <w:szCs w:val="32"/>
        </w:rPr>
        <w:t>）；</w:t>
      </w:r>
      <w:r>
        <w:rPr>
          <w:rFonts w:hint="eastAsia"/>
          <w:spacing w:val="-31"/>
          <w:sz w:val="32"/>
          <w:szCs w:val="32"/>
        </w:rPr>
        <w:t>（</w:t>
      </w:r>
      <w:r>
        <w:rPr>
          <w:rFonts w:hint="eastAsia"/>
          <w:spacing w:val="-31"/>
          <w:sz w:val="32"/>
          <w:szCs w:val="32"/>
          <w:lang w:val="en-US"/>
        </w:rPr>
        <w:t>2</w:t>
      </w:r>
      <w:r>
        <w:rPr>
          <w:rFonts w:hint="eastAsia"/>
          <w:spacing w:val="-31"/>
          <w:sz w:val="32"/>
          <w:szCs w:val="32"/>
        </w:rPr>
        <w:t>）</w:t>
      </w:r>
      <w:r>
        <w:rPr>
          <w:rFonts w:hint="eastAsia"/>
          <w:spacing w:val="-12"/>
          <w:sz w:val="32"/>
          <w:szCs w:val="32"/>
        </w:rPr>
        <w:t>采用独立网络环境，不连接</w:t>
      </w:r>
      <w:r>
        <w:rPr>
          <w:rFonts w:hint="eastAsia"/>
          <w:sz w:val="32"/>
          <w:szCs w:val="32"/>
        </w:rPr>
        <w:t>INTERNET，</w:t>
      </w:r>
      <w:r>
        <w:rPr>
          <w:rFonts w:hint="eastAsia"/>
          <w:spacing w:val="-3"/>
          <w:sz w:val="32"/>
          <w:szCs w:val="32"/>
        </w:rPr>
        <w:t>禁止外部电脑接入；</w:t>
      </w:r>
    </w:p>
    <w:p>
      <w:pPr>
        <w:pStyle w:val="18"/>
        <w:tabs>
          <w:tab w:val="left" w:pos="1260"/>
        </w:tabs>
        <w:snapToGrid w:val="0"/>
        <w:spacing w:line="480" w:lineRule="exact"/>
        <w:ind w:left="0" w:firstLine="600" w:firstLineChars="200"/>
        <w:textAlignment w:val="baseline"/>
        <w:rPr>
          <w:sz w:val="32"/>
          <w:szCs w:val="32"/>
        </w:rPr>
      </w:pPr>
      <w:r>
        <w:rPr>
          <w:rFonts w:hint="eastAsia"/>
          <w:spacing w:val="-10"/>
          <w:sz w:val="32"/>
          <w:szCs w:val="32"/>
          <w:lang w:val="en-US"/>
        </w:rPr>
        <w:t>5.</w:t>
      </w:r>
      <w:r>
        <w:rPr>
          <w:rFonts w:hint="eastAsia"/>
          <w:spacing w:val="-10"/>
          <w:sz w:val="32"/>
          <w:szCs w:val="32"/>
        </w:rPr>
        <w:t>视频采集与发布：赛场配置无盲点录像设备，实时录制和显示</w:t>
      </w:r>
      <w:r>
        <w:rPr>
          <w:rFonts w:hint="eastAsia"/>
          <w:sz w:val="32"/>
          <w:szCs w:val="32"/>
        </w:rPr>
        <w:t>赛场内竞赛情况。</w:t>
      </w:r>
    </w:p>
    <w:p>
      <w:pPr>
        <w:snapToGrid w:val="0"/>
        <w:spacing w:line="480" w:lineRule="exact"/>
        <w:ind w:firstLine="643" w:firstLineChars="200"/>
        <w:textAlignment w:val="baseline"/>
        <w:rPr>
          <w:rFonts w:hint="eastAsia" w:ascii="楷体" w:hAnsi="楷体" w:eastAsia="楷体" w:cs="楷体"/>
          <w:b/>
          <w:sz w:val="32"/>
          <w:szCs w:val="32"/>
        </w:rPr>
      </w:pPr>
      <w:r>
        <w:rPr>
          <w:rFonts w:hint="eastAsia" w:ascii="楷体" w:hAnsi="楷体" w:eastAsia="楷体" w:cs="楷体"/>
          <w:b/>
          <w:sz w:val="32"/>
          <w:szCs w:val="32"/>
        </w:rPr>
        <w:t>（二）其他设备</w:t>
      </w:r>
    </w:p>
    <w:p>
      <w:pPr>
        <w:tabs>
          <w:tab w:val="left" w:pos="1121"/>
        </w:tabs>
        <w:snapToGrid w:val="0"/>
        <w:spacing w:line="480" w:lineRule="exact"/>
        <w:ind w:firstLine="628" w:firstLineChars="200"/>
        <w:textAlignment w:val="baseline"/>
        <w:rPr>
          <w:sz w:val="32"/>
        </w:rPr>
      </w:pPr>
      <w:r>
        <w:rPr>
          <w:rFonts w:hint="eastAsia"/>
          <w:spacing w:val="-3"/>
          <w:sz w:val="32"/>
          <w:szCs w:val="32"/>
          <w:lang w:val="en-US"/>
        </w:rPr>
        <w:t>1.</w:t>
      </w:r>
      <w:r>
        <w:rPr>
          <w:rFonts w:hint="eastAsia"/>
          <w:spacing w:val="-3"/>
          <w:sz w:val="32"/>
          <w:szCs w:val="32"/>
        </w:rPr>
        <w:t>技术服务设备：赛场配置服务器及网络设备，为赛项提供网络平台技术支持；</w:t>
      </w:r>
    </w:p>
    <w:p>
      <w:pPr>
        <w:pStyle w:val="18"/>
        <w:tabs>
          <w:tab w:val="left" w:pos="1121"/>
        </w:tabs>
        <w:snapToGrid w:val="0"/>
        <w:spacing w:line="480" w:lineRule="exact"/>
        <w:ind w:left="0" w:firstLine="604" w:firstLineChars="200"/>
        <w:textAlignment w:val="baseline"/>
        <w:rPr>
          <w:sz w:val="32"/>
          <w:szCs w:val="32"/>
        </w:rPr>
      </w:pPr>
      <w:r>
        <w:rPr>
          <w:rFonts w:hint="eastAsia"/>
          <w:spacing w:val="-9"/>
          <w:sz w:val="32"/>
          <w:szCs w:val="32"/>
          <w:lang w:val="en-US"/>
        </w:rPr>
        <w:t>2.</w:t>
      </w:r>
      <w:r>
        <w:rPr>
          <w:rFonts w:hint="eastAsia"/>
          <w:spacing w:val="-9"/>
          <w:sz w:val="32"/>
          <w:szCs w:val="32"/>
        </w:rPr>
        <w:t>竞赛所需个人计算机数量为</w:t>
      </w:r>
      <w:r>
        <w:rPr>
          <w:rFonts w:hint="eastAsia"/>
          <w:spacing w:val="-9"/>
          <w:sz w:val="32"/>
          <w:szCs w:val="32"/>
          <w:lang w:val="en-US"/>
        </w:rPr>
        <w:t>50</w:t>
      </w:r>
      <w:r>
        <w:rPr>
          <w:rFonts w:hint="eastAsia"/>
          <w:spacing w:val="-15"/>
          <w:sz w:val="32"/>
          <w:szCs w:val="32"/>
        </w:rPr>
        <w:t>台左右，可利用承办院校现有</w:t>
      </w:r>
      <w:r>
        <w:rPr>
          <w:rFonts w:hint="eastAsia"/>
          <w:spacing w:val="-9"/>
          <w:sz w:val="32"/>
          <w:szCs w:val="32"/>
        </w:rPr>
        <w:t>计算机设备或重新采购，相关配置要求应符合竞赛平台使用要求。其</w:t>
      </w:r>
      <w:r>
        <w:rPr>
          <w:rFonts w:hint="eastAsia"/>
          <w:spacing w:val="-3"/>
          <w:sz w:val="32"/>
          <w:szCs w:val="32"/>
        </w:rPr>
        <w:t>它相关器材包括练功卷、传票本、计算器等，具体要求如下：</w:t>
      </w:r>
    </w:p>
    <w:p>
      <w:pPr>
        <w:pStyle w:val="2"/>
        <w:snapToGrid w:val="0"/>
        <w:spacing w:line="480" w:lineRule="exact"/>
        <w:ind w:left="0" w:firstLine="640" w:firstLineChars="200"/>
        <w:textAlignment w:val="baseline"/>
        <w:rPr>
          <w:sz w:val="32"/>
          <w:szCs w:val="32"/>
        </w:rPr>
      </w:pPr>
    </w:p>
    <w:p>
      <w:pPr>
        <w:pStyle w:val="2"/>
        <w:snapToGrid w:val="0"/>
        <w:spacing w:line="480" w:lineRule="exact"/>
        <w:ind w:left="0" w:firstLine="640" w:firstLineChars="200"/>
        <w:textAlignment w:val="baseline"/>
        <w:rPr>
          <w:sz w:val="32"/>
          <w:szCs w:val="32"/>
        </w:rPr>
      </w:pPr>
    </w:p>
    <w:tbl>
      <w:tblPr>
        <w:tblStyle w:val="13"/>
        <w:tblW w:w="8330" w:type="dxa"/>
        <w:tblInd w:w="4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49"/>
        <w:gridCol w:w="700"/>
        <w:gridCol w:w="51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449" w:type="dxa"/>
          </w:tcPr>
          <w:p>
            <w:pPr>
              <w:pStyle w:val="19"/>
              <w:snapToGrid w:val="0"/>
              <w:ind w:firstLine="442" w:firstLineChars="200"/>
              <w:textAlignment w:val="baseline"/>
              <w:rPr>
                <w:b/>
                <w:bCs/>
              </w:rPr>
            </w:pPr>
            <w:r>
              <w:rPr>
                <w:rFonts w:hint="eastAsia"/>
                <w:b/>
                <w:bCs/>
              </w:rPr>
              <w:t>器材类型</w:t>
            </w:r>
          </w:p>
        </w:tc>
        <w:tc>
          <w:tcPr>
            <w:tcW w:w="700" w:type="dxa"/>
          </w:tcPr>
          <w:p>
            <w:pPr>
              <w:pStyle w:val="19"/>
              <w:snapToGrid w:val="0"/>
              <w:textAlignment w:val="baseline"/>
              <w:rPr>
                <w:b/>
                <w:bCs/>
              </w:rPr>
            </w:pPr>
            <w:r>
              <w:rPr>
                <w:rFonts w:hint="eastAsia"/>
                <w:b/>
                <w:bCs/>
              </w:rPr>
              <w:t>数量</w:t>
            </w:r>
          </w:p>
        </w:tc>
        <w:tc>
          <w:tcPr>
            <w:tcW w:w="5181" w:type="dxa"/>
          </w:tcPr>
          <w:p>
            <w:pPr>
              <w:pStyle w:val="19"/>
              <w:snapToGrid w:val="0"/>
              <w:ind w:firstLine="442" w:firstLineChars="200"/>
              <w:textAlignment w:val="baseline"/>
              <w:rPr>
                <w:b/>
                <w:bCs/>
              </w:rPr>
            </w:pPr>
            <w:r>
              <w:rPr>
                <w:rFonts w:hint="eastAsia"/>
                <w:b/>
                <w:bCs/>
              </w:rPr>
              <w:t>硬件配置要求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449" w:type="dxa"/>
          </w:tcPr>
          <w:p>
            <w:pPr>
              <w:pStyle w:val="19"/>
              <w:snapToGrid w:val="0"/>
              <w:ind w:firstLine="440" w:firstLineChars="200"/>
              <w:textAlignment w:val="baseline"/>
              <w:rPr>
                <w:lang w:val="en-US"/>
              </w:rPr>
            </w:pPr>
            <w:r>
              <w:rPr>
                <w:rFonts w:hint="eastAsia"/>
                <w:lang w:val="en-US"/>
              </w:rPr>
              <w:t>金融计算器</w:t>
            </w:r>
          </w:p>
        </w:tc>
        <w:tc>
          <w:tcPr>
            <w:tcW w:w="700" w:type="dxa"/>
          </w:tcPr>
          <w:p>
            <w:pPr>
              <w:pStyle w:val="19"/>
              <w:snapToGrid w:val="0"/>
              <w:textAlignment w:val="baseline"/>
              <w:rPr>
                <w:lang w:val="en-US"/>
              </w:rPr>
            </w:pPr>
            <w:r>
              <w:rPr>
                <w:rFonts w:hint="eastAsia"/>
                <w:lang w:val="en-US"/>
              </w:rPr>
              <w:t>12个</w:t>
            </w:r>
          </w:p>
        </w:tc>
        <w:tc>
          <w:tcPr>
            <w:tcW w:w="5181" w:type="dxa"/>
          </w:tcPr>
          <w:p>
            <w:pPr>
              <w:widowControl/>
            </w:pPr>
            <w:r>
              <w:rPr>
                <w:rFonts w:ascii="FangSong_GB2312" w:hAnsi="FangSong_GB2312" w:eastAsia="FangSong_GB2312" w:cs="FangSong_GB2312"/>
                <w:color w:val="000000"/>
                <w:sz w:val="24"/>
                <w:szCs w:val="24"/>
                <w:lang w:val="en-US" w:bidi="ar"/>
              </w:rPr>
              <w:t>理财经理岗位专用（德州仪器TI BA II plus）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449" w:type="dxa"/>
          </w:tcPr>
          <w:p>
            <w:pPr>
              <w:pStyle w:val="19"/>
              <w:snapToGrid w:val="0"/>
              <w:ind w:firstLine="440" w:firstLineChars="200"/>
              <w:textAlignment w:val="baseline"/>
            </w:pPr>
            <w:r>
              <w:rPr>
                <w:rFonts w:hint="eastAsia"/>
              </w:rPr>
              <w:t>计算器</w:t>
            </w:r>
          </w:p>
        </w:tc>
        <w:tc>
          <w:tcPr>
            <w:tcW w:w="700" w:type="dxa"/>
          </w:tcPr>
          <w:p>
            <w:pPr>
              <w:pStyle w:val="19"/>
              <w:snapToGrid w:val="0"/>
              <w:textAlignment w:val="baseline"/>
            </w:pPr>
            <w:r>
              <w:rPr>
                <w:rFonts w:hint="eastAsia"/>
                <w:lang w:val="en-US"/>
              </w:rPr>
              <w:t>若干</w:t>
            </w:r>
          </w:p>
        </w:tc>
        <w:tc>
          <w:tcPr>
            <w:tcW w:w="5181" w:type="dxa"/>
          </w:tcPr>
          <w:p>
            <w:pPr>
              <w:widowControl/>
              <w:rPr>
                <w:lang w:val="en-US"/>
              </w:rPr>
            </w:pPr>
            <w:r>
              <w:rPr>
                <w:rFonts w:ascii="FangSong_GB2312" w:hAnsi="FangSong_GB2312" w:eastAsia="FangSong_GB2312" w:cs="FangSong_GB2312"/>
                <w:color w:val="000000"/>
                <w:sz w:val="24"/>
                <w:szCs w:val="24"/>
                <w:lang w:val="en-US" w:bidi="ar"/>
              </w:rPr>
              <w:t>财会用计算器（夏普EL-2135）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atLeast"/>
        </w:trPr>
        <w:tc>
          <w:tcPr>
            <w:tcW w:w="2449" w:type="dxa"/>
          </w:tcPr>
          <w:p>
            <w:pPr>
              <w:pStyle w:val="19"/>
              <w:snapToGrid w:val="0"/>
              <w:ind w:firstLine="440" w:firstLineChars="200"/>
              <w:textAlignment w:val="baseline"/>
            </w:pPr>
          </w:p>
          <w:p>
            <w:pPr>
              <w:pStyle w:val="19"/>
              <w:snapToGrid w:val="0"/>
              <w:ind w:firstLine="440" w:firstLineChars="200"/>
              <w:textAlignment w:val="baseline"/>
            </w:pPr>
            <w:r>
              <w:rPr>
                <w:rFonts w:hint="eastAsia"/>
              </w:rPr>
              <w:t>竞赛专用练功券</w:t>
            </w:r>
          </w:p>
        </w:tc>
        <w:tc>
          <w:tcPr>
            <w:tcW w:w="700" w:type="dxa"/>
          </w:tcPr>
          <w:p>
            <w:pPr>
              <w:pStyle w:val="19"/>
              <w:snapToGrid w:val="0"/>
              <w:ind w:firstLine="440" w:firstLineChars="200"/>
              <w:textAlignment w:val="baseline"/>
            </w:pPr>
          </w:p>
          <w:p>
            <w:pPr>
              <w:pStyle w:val="19"/>
              <w:snapToGrid w:val="0"/>
              <w:textAlignment w:val="baseline"/>
            </w:pPr>
            <w:r>
              <w:rPr>
                <w:rFonts w:hint="eastAsia"/>
                <w:lang w:val="en-US"/>
              </w:rPr>
              <w:t>若干</w:t>
            </w:r>
          </w:p>
        </w:tc>
        <w:tc>
          <w:tcPr>
            <w:tcW w:w="5181" w:type="dxa"/>
          </w:tcPr>
          <w:p>
            <w:pPr>
              <w:pStyle w:val="19"/>
              <w:snapToGrid w:val="0"/>
              <w:textAlignment w:val="baseline"/>
            </w:pPr>
            <w:r>
              <w:rPr>
                <w:rFonts w:hint="eastAsia"/>
                <w:spacing w:val="-19"/>
              </w:rPr>
              <w:t>每套分</w:t>
            </w:r>
            <w:r>
              <w:rPr>
                <w:rFonts w:hint="eastAsia"/>
              </w:rPr>
              <w:t>8</w:t>
            </w:r>
            <w:r>
              <w:rPr>
                <w:rFonts w:hint="eastAsia"/>
                <w:spacing w:val="-23"/>
              </w:rPr>
              <w:t>种面额，包括</w:t>
            </w:r>
            <w:r>
              <w:rPr>
                <w:rFonts w:hint="eastAsia"/>
              </w:rPr>
              <w:t>100</w:t>
            </w:r>
            <w:r>
              <w:rPr>
                <w:rFonts w:hint="eastAsia"/>
                <w:spacing w:val="-35"/>
              </w:rPr>
              <w:t>元、</w:t>
            </w:r>
            <w:r>
              <w:rPr>
                <w:rFonts w:hint="eastAsia"/>
              </w:rPr>
              <w:t>50</w:t>
            </w:r>
            <w:r>
              <w:rPr>
                <w:rFonts w:hint="eastAsia"/>
                <w:spacing w:val="-13"/>
              </w:rPr>
              <w:t>元、</w:t>
            </w:r>
            <w:r>
              <w:rPr>
                <w:rFonts w:hint="eastAsia"/>
              </w:rPr>
              <w:t>20</w:t>
            </w:r>
            <w:r>
              <w:rPr>
                <w:rFonts w:hint="eastAsia"/>
                <w:spacing w:val="-32"/>
              </w:rPr>
              <w:t>元、</w:t>
            </w:r>
            <w:r>
              <w:rPr>
                <w:rFonts w:hint="eastAsia"/>
              </w:rPr>
              <w:t>10</w:t>
            </w:r>
            <w:r>
              <w:rPr>
                <w:rFonts w:hint="eastAsia"/>
                <w:spacing w:val="-32"/>
              </w:rPr>
              <w:t>元、</w:t>
            </w:r>
            <w:r>
              <w:rPr>
                <w:rFonts w:hint="eastAsia"/>
              </w:rPr>
              <w:t>5</w:t>
            </w:r>
            <w:r>
              <w:rPr>
                <w:rFonts w:hint="eastAsia"/>
                <w:spacing w:val="-31"/>
              </w:rPr>
              <w:t>元、</w:t>
            </w:r>
            <w:r>
              <w:rPr>
                <w:rFonts w:hint="eastAsia"/>
              </w:rPr>
              <w:t>2</w:t>
            </w:r>
            <w:r>
              <w:rPr>
                <w:rFonts w:hint="eastAsia"/>
                <w:spacing w:val="-31"/>
              </w:rPr>
              <w:t>元、</w:t>
            </w:r>
            <w:r>
              <w:rPr>
                <w:rFonts w:hint="eastAsia"/>
              </w:rPr>
              <w:t>1</w:t>
            </w:r>
            <w:r>
              <w:rPr>
                <w:rFonts w:hint="eastAsia"/>
                <w:spacing w:val="-31"/>
              </w:rPr>
              <w:t>元、</w:t>
            </w:r>
            <w:r>
              <w:rPr>
                <w:rFonts w:hint="eastAsia"/>
              </w:rPr>
              <w:t>5角各4捆，每捆100张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2449" w:type="dxa"/>
          </w:tcPr>
          <w:p>
            <w:pPr>
              <w:pStyle w:val="19"/>
              <w:snapToGrid w:val="0"/>
              <w:textAlignment w:val="baseline"/>
            </w:pPr>
            <w:r>
              <w:rPr>
                <w:rFonts w:hint="eastAsia"/>
              </w:rPr>
              <w:t>竞赛专用百张对角传票本</w:t>
            </w:r>
          </w:p>
        </w:tc>
        <w:tc>
          <w:tcPr>
            <w:tcW w:w="700" w:type="dxa"/>
          </w:tcPr>
          <w:p>
            <w:pPr>
              <w:pStyle w:val="19"/>
              <w:snapToGrid w:val="0"/>
              <w:textAlignment w:val="baseline"/>
            </w:pPr>
            <w:r>
              <w:rPr>
                <w:rFonts w:hint="eastAsia"/>
                <w:lang w:val="en-US"/>
              </w:rPr>
              <w:t>若干</w:t>
            </w:r>
          </w:p>
        </w:tc>
        <w:tc>
          <w:tcPr>
            <w:tcW w:w="5181" w:type="dxa"/>
          </w:tcPr>
          <w:p>
            <w:pPr>
              <w:pStyle w:val="19"/>
              <w:snapToGrid w:val="0"/>
              <w:textAlignment w:val="baseline"/>
            </w:pPr>
            <w:r>
              <w:rPr>
                <w:rFonts w:hint="eastAsia"/>
              </w:rPr>
              <w:t>根据竞赛抽取的型号配备（包括</w:t>
            </w:r>
          </w:p>
          <w:p>
            <w:pPr>
              <w:widowControl/>
            </w:pPr>
            <w:r>
              <w:rPr>
                <w:rFonts w:hint="eastAsia"/>
              </w:rPr>
              <w:t>AB/CD/EF/</w:t>
            </w:r>
            <w:r>
              <w:rPr>
                <w:rFonts w:hint="eastAsia"/>
                <w:lang w:val="en-US"/>
              </w:rPr>
              <w:t>三</w:t>
            </w:r>
            <w:r>
              <w:rPr>
                <w:rFonts w:hint="eastAsia"/>
              </w:rPr>
              <w:t>种类型）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2449" w:type="dxa"/>
          </w:tcPr>
          <w:p>
            <w:pPr>
              <w:pStyle w:val="19"/>
              <w:snapToGrid w:val="0"/>
              <w:ind w:firstLine="440" w:firstLineChars="200"/>
              <w:textAlignment w:val="baseline"/>
            </w:pPr>
            <w:r>
              <w:rPr>
                <w:rFonts w:hint="eastAsia"/>
              </w:rPr>
              <w:t>收纳框</w:t>
            </w:r>
          </w:p>
        </w:tc>
        <w:tc>
          <w:tcPr>
            <w:tcW w:w="700" w:type="dxa"/>
          </w:tcPr>
          <w:p>
            <w:pPr>
              <w:pStyle w:val="19"/>
              <w:snapToGrid w:val="0"/>
              <w:textAlignment w:val="baseline"/>
            </w:pPr>
            <w:r>
              <w:rPr>
                <w:rFonts w:hint="eastAsia"/>
                <w:lang w:val="en-US"/>
              </w:rPr>
              <w:t>若干</w:t>
            </w:r>
          </w:p>
        </w:tc>
        <w:tc>
          <w:tcPr>
            <w:tcW w:w="5181" w:type="dxa"/>
          </w:tcPr>
          <w:p>
            <w:pPr>
              <w:pStyle w:val="19"/>
              <w:snapToGrid w:val="0"/>
              <w:ind w:firstLine="440" w:firstLineChars="200"/>
              <w:textAlignment w:val="baseline"/>
            </w:pPr>
            <w:r>
              <w:rPr>
                <w:rFonts w:hint="eastAsia"/>
              </w:rPr>
              <w:t>38*26*8（长*宽*高）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2449" w:type="dxa"/>
          </w:tcPr>
          <w:p>
            <w:pPr>
              <w:pStyle w:val="19"/>
              <w:snapToGrid w:val="0"/>
              <w:textAlignment w:val="baseline"/>
            </w:pPr>
            <w:r>
              <w:rPr>
                <w:rFonts w:hint="eastAsia"/>
              </w:rPr>
              <w:t>点钞油、点钞蜡用、海绵池、扎把印章</w:t>
            </w:r>
          </w:p>
        </w:tc>
        <w:tc>
          <w:tcPr>
            <w:tcW w:w="700" w:type="dxa"/>
          </w:tcPr>
          <w:p>
            <w:pPr>
              <w:pStyle w:val="19"/>
              <w:snapToGrid w:val="0"/>
              <w:ind w:firstLine="440" w:firstLineChars="200"/>
              <w:textAlignment w:val="baseline"/>
            </w:pPr>
          </w:p>
          <w:p>
            <w:pPr>
              <w:pStyle w:val="19"/>
              <w:snapToGrid w:val="0"/>
              <w:textAlignment w:val="baseline"/>
            </w:pPr>
            <w:r>
              <w:rPr>
                <w:rFonts w:hint="eastAsia"/>
                <w:lang w:val="en-US"/>
              </w:rPr>
              <w:t>若干</w:t>
            </w:r>
          </w:p>
        </w:tc>
        <w:tc>
          <w:tcPr>
            <w:tcW w:w="5181" w:type="dxa"/>
          </w:tcPr>
          <w:p>
            <w:pPr>
              <w:pStyle w:val="19"/>
              <w:snapToGrid w:val="0"/>
              <w:textAlignment w:val="baseline"/>
            </w:pPr>
          </w:p>
          <w:p>
            <w:pPr>
              <w:pStyle w:val="19"/>
              <w:snapToGrid w:val="0"/>
              <w:ind w:firstLine="440" w:firstLineChars="200"/>
              <w:textAlignment w:val="baseline"/>
            </w:pPr>
            <w:r>
              <w:rPr>
                <w:rFonts w:hint="eastAsia"/>
              </w:rPr>
              <w:t>点钞专用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449" w:type="dxa"/>
          </w:tcPr>
          <w:p>
            <w:pPr>
              <w:pStyle w:val="19"/>
              <w:snapToGrid w:val="0"/>
              <w:ind w:firstLine="440" w:firstLineChars="200"/>
              <w:textAlignment w:val="baseline"/>
            </w:pPr>
            <w:r>
              <w:rPr>
                <w:rFonts w:hint="eastAsia"/>
              </w:rPr>
              <w:t>捆钞条</w:t>
            </w:r>
          </w:p>
        </w:tc>
        <w:tc>
          <w:tcPr>
            <w:tcW w:w="700" w:type="dxa"/>
          </w:tcPr>
          <w:p>
            <w:pPr>
              <w:pStyle w:val="19"/>
              <w:snapToGrid w:val="0"/>
              <w:textAlignment w:val="baseline"/>
            </w:pPr>
            <w:r>
              <w:rPr>
                <w:rFonts w:hint="eastAsia"/>
                <w:lang w:val="en-US"/>
              </w:rPr>
              <w:t>若干</w:t>
            </w:r>
          </w:p>
        </w:tc>
        <w:tc>
          <w:tcPr>
            <w:tcW w:w="5181" w:type="dxa"/>
          </w:tcPr>
          <w:p>
            <w:pPr>
              <w:pStyle w:val="19"/>
              <w:snapToGrid w:val="0"/>
              <w:ind w:firstLine="440" w:firstLineChars="200"/>
              <w:textAlignment w:val="baseline"/>
            </w:pPr>
            <w:r>
              <w:rPr>
                <w:rFonts w:hint="eastAsia"/>
              </w:rPr>
              <w:t>常用尺寸：52*2CM,30*2CM</w:t>
            </w:r>
          </w:p>
        </w:tc>
      </w:tr>
    </w:tbl>
    <w:p>
      <w:pPr>
        <w:pStyle w:val="18"/>
        <w:tabs>
          <w:tab w:val="left" w:pos="1546"/>
        </w:tabs>
        <w:snapToGrid w:val="0"/>
        <w:spacing w:line="480" w:lineRule="exact"/>
        <w:ind w:left="440" w:leftChars="200" w:firstLine="0"/>
        <w:textAlignment w:val="baseline"/>
        <w:rPr>
          <w:b/>
          <w:sz w:val="32"/>
          <w:szCs w:val="32"/>
          <w:lang w:val="en-US"/>
        </w:rPr>
      </w:pPr>
    </w:p>
    <w:p>
      <w:pPr>
        <w:pStyle w:val="18"/>
        <w:numPr>
          <w:ilvl w:val="0"/>
          <w:numId w:val="1"/>
        </w:numPr>
        <w:tabs>
          <w:tab w:val="left" w:pos="1546"/>
        </w:tabs>
        <w:snapToGrid w:val="0"/>
        <w:spacing w:line="480" w:lineRule="exact"/>
        <w:ind w:left="0" w:firstLine="643" w:firstLineChars="200"/>
        <w:textAlignment w:val="baseline"/>
        <w:rPr>
          <w:rFonts w:hint="eastAsia" w:ascii="黑体" w:hAnsi="黑体" w:eastAsia="黑体" w:cs="黑体"/>
          <w:b/>
          <w:sz w:val="32"/>
          <w:szCs w:val="32"/>
          <w:lang w:val="en-US"/>
        </w:rPr>
      </w:pPr>
      <w:r>
        <w:rPr>
          <w:rFonts w:hint="eastAsia" w:ascii="黑体" w:hAnsi="黑体" w:eastAsia="黑体" w:cs="黑体"/>
          <w:b/>
          <w:sz w:val="32"/>
          <w:szCs w:val="32"/>
          <w:lang w:val="en-US"/>
        </w:rPr>
        <w:t>竞赛样题</w:t>
      </w:r>
    </w:p>
    <w:p>
      <w:pPr>
        <w:spacing w:line="480" w:lineRule="exact"/>
        <w:ind w:firstLine="562" w:firstLineChars="200"/>
        <w:outlineLvl w:val="1"/>
        <w:rPr>
          <w:rFonts w:hint="eastAsia" w:ascii="楷体" w:hAnsi="楷体" w:eastAsia="楷体" w:cs="楷体"/>
          <w:b/>
          <w:bCs/>
          <w:sz w:val="28"/>
          <w:szCs w:val="28"/>
          <w:lang w:val="en-US"/>
        </w:rPr>
      </w:pPr>
      <w:bookmarkStart w:id="4" w:name="_Toc3818"/>
      <w:bookmarkStart w:id="5" w:name="_Toc29836"/>
      <w:bookmarkStart w:id="6" w:name="_Toc26627"/>
      <w:bookmarkStart w:id="7" w:name="_Toc14273"/>
      <w:r>
        <w:rPr>
          <w:rFonts w:hint="eastAsia" w:ascii="楷体" w:hAnsi="楷体" w:eastAsia="楷体" w:cs="楷体"/>
          <w:b/>
          <w:bCs/>
          <w:sz w:val="28"/>
          <w:szCs w:val="28"/>
          <w:lang w:val="en-US"/>
        </w:rPr>
        <w:t>（一）金融职业素养</w:t>
      </w:r>
    </w:p>
    <w:p>
      <w:pPr>
        <w:spacing w:line="480" w:lineRule="exact"/>
        <w:ind w:firstLine="562" w:firstLineChars="200"/>
        <w:outlineLvl w:val="1"/>
        <w:rPr>
          <w:b/>
          <w:bCs/>
          <w:lang w:val="en-US"/>
        </w:rPr>
      </w:pPr>
      <w:r>
        <w:rPr>
          <w:rFonts w:hint="eastAsia" w:ascii="FangSong_GB2312" w:hAnsi="FangSong_GB2312" w:eastAsia="FangSong_GB2312" w:cs="FangSong_GB2312"/>
          <w:b/>
          <w:bCs/>
          <w:sz w:val="28"/>
          <w:szCs w:val="28"/>
          <w:lang w:val="en-US"/>
        </w:rPr>
        <w:t>1.</w:t>
      </w:r>
      <w:r>
        <w:rPr>
          <w:rFonts w:hint="eastAsia" w:ascii="FangSong_GB2312" w:hAnsi="FangSong_GB2312" w:eastAsia="FangSong_GB2312" w:cs="FangSong_GB2312"/>
          <w:b/>
          <w:bCs/>
          <w:sz w:val="28"/>
          <w:szCs w:val="28"/>
        </w:rPr>
        <w:t>业务素养</w:t>
      </w:r>
      <w:bookmarkEnd w:id="4"/>
      <w:bookmarkEnd w:id="5"/>
      <w:bookmarkEnd w:id="6"/>
      <w:bookmarkEnd w:id="7"/>
    </w:p>
    <w:p>
      <w:pPr>
        <w:spacing w:line="480" w:lineRule="exact"/>
        <w:ind w:firstLine="482" w:firstLineChars="200"/>
        <w:rPr>
          <w:b/>
          <w:color w:val="000000"/>
          <w:sz w:val="24"/>
          <w:szCs w:val="24"/>
          <w:lang w:val="en-US"/>
        </w:rPr>
      </w:pPr>
      <w:r>
        <w:rPr>
          <w:rFonts w:hint="eastAsia"/>
          <w:b/>
          <w:color w:val="000000"/>
          <w:sz w:val="24"/>
          <w:szCs w:val="24"/>
          <w:lang w:val="en-US"/>
        </w:rPr>
        <w:t>单选题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0"/>
        <w:gridCol w:w="2197"/>
        <w:gridCol w:w="1431"/>
        <w:gridCol w:w="865"/>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赛项名称</w:t>
            </w:r>
          </w:p>
        </w:tc>
        <w:tc>
          <w:tcPr>
            <w:tcW w:w="1130" w:type="pct"/>
            <w:vAlign w:val="center"/>
          </w:tcPr>
          <w:p>
            <w:pPr>
              <w:pStyle w:val="12"/>
              <w:adjustRightInd w:val="0"/>
              <w:snapToGrid w:val="0"/>
              <w:spacing w:after="0"/>
              <w:ind w:left="0" w:leftChars="0" w:firstLine="0" w:firstLineChars="0"/>
              <w:rPr>
                <w:rFonts w:eastAsia="仿宋"/>
                <w:bCs/>
                <w:color w:val="000000"/>
                <w:sz w:val="24"/>
                <w:szCs w:val="24"/>
                <w:lang w:val="en-US"/>
              </w:rPr>
            </w:pPr>
            <w:r>
              <w:rPr>
                <w:rFonts w:hint="eastAsia" w:eastAsia="仿宋" w:cs="FangSong_GB2312"/>
                <w:sz w:val="24"/>
                <w:szCs w:val="24"/>
              </w:rPr>
              <w:t>智慧金融</w:t>
            </w:r>
          </w:p>
        </w:tc>
        <w:tc>
          <w:tcPr>
            <w:tcW w:w="1181"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英语名称</w:t>
            </w:r>
          </w:p>
        </w:tc>
        <w:tc>
          <w:tcPr>
            <w:tcW w:w="1325" w:type="pct"/>
            <w:vAlign w:val="center"/>
          </w:tcPr>
          <w:p>
            <w:pPr>
              <w:pStyle w:val="2"/>
              <w:rPr>
                <w:rFonts w:cs="FangSong_GB2312"/>
              </w:rPr>
            </w:pPr>
            <w:r>
              <w:rPr>
                <w:rFonts w:hint="eastAsia" w:cs="FangSong_GB2312"/>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赛项编号</w:t>
            </w:r>
          </w:p>
        </w:tc>
        <w:tc>
          <w:tcPr>
            <w:tcW w:w="1130"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cs="FangSong_GB2312"/>
                <w:sz w:val="24"/>
                <w:szCs w:val="24"/>
              </w:rPr>
              <w:t>GZ</w:t>
            </w:r>
            <w:r>
              <w:rPr>
                <w:rFonts w:hint="eastAsia" w:eastAsia="仿宋" w:cs="FangSong_GB2312"/>
                <w:sz w:val="24"/>
                <w:szCs w:val="24"/>
                <w:lang w:val="en-US"/>
              </w:rPr>
              <w:t>044</w:t>
            </w:r>
          </w:p>
        </w:tc>
        <w:tc>
          <w:tcPr>
            <w:tcW w:w="1181"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归属产业</w:t>
            </w:r>
          </w:p>
        </w:tc>
        <w:tc>
          <w:tcPr>
            <w:tcW w:w="1325"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cs="FangSong_GB2312"/>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中职组</w:t>
            </w:r>
          </w:p>
        </w:tc>
        <w:tc>
          <w:tcPr>
            <w:tcW w:w="2506" w:type="pct"/>
            <w:gridSpan w:val="3"/>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 xml:space="preserve">□学生组 </w:t>
            </w:r>
            <w:r>
              <w:rPr>
                <w:rFonts w:hint="eastAsia" w:eastAsia="仿宋"/>
                <w:b/>
                <w:color w:val="000000"/>
                <w:sz w:val="24"/>
                <w:szCs w:val="24"/>
                <w:lang w:val="en-US"/>
              </w:rPr>
              <w:sym w:font="Wingdings 2" w:char="00A3"/>
            </w:r>
            <w:r>
              <w:rPr>
                <w:rFonts w:hint="eastAsia" w:eastAsia="仿宋"/>
                <w:b/>
                <w:color w:val="000000"/>
                <w:sz w:val="24"/>
                <w:szCs w:val="24"/>
                <w:lang w:val="en-US"/>
              </w:rPr>
              <w:t>教师组 □师生同赛试点赛项</w:t>
            </w:r>
          </w:p>
        </w:tc>
        <w:tc>
          <w:tcPr>
            <w:tcW w:w="2506" w:type="pct"/>
            <w:gridSpan w:val="3"/>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题目类型</w:t>
            </w:r>
          </w:p>
        </w:tc>
        <w:tc>
          <w:tcPr>
            <w:tcW w:w="2506" w:type="pct"/>
            <w:gridSpan w:val="3"/>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sym w:font="Wingdings 2" w:char="0052"/>
            </w: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A3"/>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A3"/>
            </w:r>
            <w:r>
              <w:rPr>
                <w:rFonts w:hint="eastAsia" w:eastAsia="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题目内容</w:t>
            </w:r>
          </w:p>
        </w:tc>
        <w:tc>
          <w:tcPr>
            <w:tcW w:w="1866" w:type="pct"/>
            <w:gridSpan w:val="2"/>
            <w:vAlign w:val="center"/>
          </w:tcPr>
          <w:p>
            <w:pPr>
              <w:pStyle w:val="12"/>
              <w:adjustRightInd w:val="0"/>
              <w:snapToGrid w:val="0"/>
              <w:spacing w:after="0"/>
              <w:ind w:left="0" w:leftChars="0" w:firstLine="0" w:firstLineChars="0"/>
              <w:rPr>
                <w:rFonts w:eastAsia="仿宋"/>
                <w:bCs/>
                <w:color w:val="000000"/>
                <w:sz w:val="24"/>
                <w:szCs w:val="24"/>
                <w:lang w:val="en-US"/>
              </w:rPr>
            </w:pPr>
            <w:r>
              <w:rPr>
                <w:rFonts w:hint="eastAsia" w:eastAsia="仿宋"/>
                <w:b/>
                <w:color w:val="000000"/>
                <w:sz w:val="24"/>
                <w:szCs w:val="24"/>
                <w:lang w:val="en-US"/>
              </w:rPr>
              <w:t>题目选项</w:t>
            </w:r>
          </w:p>
        </w:tc>
        <w:tc>
          <w:tcPr>
            <w:tcW w:w="1769"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cs="宋体"/>
                <w:sz w:val="24"/>
                <w:szCs w:val="24"/>
              </w:rPr>
            </w:pPr>
            <w:r>
              <w:rPr>
                <w:rFonts w:hint="eastAsia" w:ascii="仿宋" w:hAnsi="仿宋" w:eastAsia="仿宋"/>
                <w:sz w:val="24"/>
                <w:szCs w:val="24"/>
              </w:rPr>
              <w:t>1.下列属于政策性银行的是(   )。</w:t>
            </w: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A:中国农业银行</w:t>
            </w:r>
          </w:p>
          <w:p>
            <w:pPr>
              <w:pStyle w:val="7"/>
              <w:jc w:val="left"/>
              <w:rPr>
                <w:rFonts w:ascii="仿宋" w:hAnsi="仿宋" w:eastAsia="仿宋"/>
                <w:sz w:val="24"/>
                <w:szCs w:val="24"/>
              </w:rPr>
            </w:pPr>
            <w:r>
              <w:rPr>
                <w:rFonts w:hint="eastAsia" w:ascii="仿宋" w:hAnsi="仿宋" w:eastAsia="仿宋"/>
                <w:sz w:val="24"/>
                <w:szCs w:val="24"/>
              </w:rPr>
              <w:t>B:中国农业发展银行</w:t>
            </w:r>
          </w:p>
          <w:p>
            <w:pPr>
              <w:pStyle w:val="7"/>
              <w:jc w:val="left"/>
              <w:rPr>
                <w:rFonts w:ascii="仿宋" w:hAnsi="仿宋" w:eastAsia="仿宋"/>
                <w:sz w:val="24"/>
                <w:szCs w:val="24"/>
              </w:rPr>
            </w:pPr>
            <w:r>
              <w:rPr>
                <w:rFonts w:hint="eastAsia" w:ascii="仿宋" w:hAnsi="仿宋" w:eastAsia="仿宋"/>
                <w:sz w:val="24"/>
                <w:szCs w:val="24"/>
              </w:rPr>
              <w:t>C:北京农村商业银行</w:t>
            </w:r>
          </w:p>
          <w:p>
            <w:pPr>
              <w:pStyle w:val="7"/>
              <w:jc w:val="left"/>
              <w:rPr>
                <w:rFonts w:ascii="仿宋" w:hAnsi="仿宋" w:eastAsia="仿宋" w:cs="宋体"/>
                <w:sz w:val="24"/>
                <w:szCs w:val="24"/>
              </w:rPr>
            </w:pPr>
            <w:r>
              <w:rPr>
                <w:rFonts w:hint="eastAsia" w:ascii="仿宋" w:hAnsi="仿宋" w:eastAsia="仿宋"/>
                <w:sz w:val="24"/>
                <w:szCs w:val="24"/>
              </w:rPr>
              <w:t>D:中国邮政储蓄银行</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cs="宋体"/>
                <w:sz w:val="24"/>
                <w:szCs w:val="24"/>
              </w:rPr>
            </w:pPr>
            <w:r>
              <w:rPr>
                <w:rFonts w:hint="eastAsia" w:ascii="仿宋" w:hAnsi="仿宋" w:eastAsia="仿宋"/>
                <w:sz w:val="24"/>
                <w:szCs w:val="24"/>
              </w:rPr>
              <w:t>2.经国务院银行业监督管理机构依据有关法律、法规批准，由境内商业银行或农村合作银行在农村地区设立的专门为县域农民、农业和农村经济发展提供贷款服务的非银行金融机构是(   )。</w:t>
            </w: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A:金融资产管理公司</w:t>
            </w:r>
          </w:p>
          <w:p>
            <w:pPr>
              <w:pStyle w:val="7"/>
              <w:jc w:val="left"/>
              <w:rPr>
                <w:rFonts w:ascii="仿宋" w:hAnsi="仿宋" w:eastAsia="仿宋"/>
                <w:sz w:val="24"/>
                <w:szCs w:val="24"/>
              </w:rPr>
            </w:pPr>
            <w:r>
              <w:rPr>
                <w:rFonts w:hint="eastAsia" w:ascii="仿宋" w:hAnsi="仿宋" w:eastAsia="仿宋"/>
                <w:sz w:val="24"/>
                <w:szCs w:val="24"/>
              </w:rPr>
              <w:t>B:金融租赁公司</w:t>
            </w:r>
          </w:p>
          <w:p>
            <w:pPr>
              <w:pStyle w:val="7"/>
              <w:jc w:val="left"/>
              <w:rPr>
                <w:rFonts w:ascii="仿宋" w:hAnsi="仿宋" w:eastAsia="仿宋"/>
                <w:sz w:val="24"/>
                <w:szCs w:val="24"/>
              </w:rPr>
            </w:pPr>
            <w:r>
              <w:rPr>
                <w:rFonts w:hint="eastAsia" w:ascii="仿宋" w:hAnsi="仿宋" w:eastAsia="仿宋"/>
                <w:sz w:val="24"/>
                <w:szCs w:val="24"/>
              </w:rPr>
              <w:t>C:贷款公司</w:t>
            </w:r>
          </w:p>
          <w:p>
            <w:pPr>
              <w:pStyle w:val="7"/>
              <w:jc w:val="left"/>
              <w:rPr>
                <w:rFonts w:ascii="仿宋" w:hAnsi="仿宋" w:eastAsia="仿宋" w:cs="宋体"/>
                <w:sz w:val="24"/>
                <w:szCs w:val="24"/>
              </w:rPr>
            </w:pPr>
            <w:r>
              <w:rPr>
                <w:rFonts w:hint="eastAsia" w:ascii="仿宋" w:hAnsi="仿宋" w:eastAsia="仿宋"/>
                <w:sz w:val="24"/>
                <w:szCs w:val="24"/>
              </w:rPr>
              <w:t>D:汽车金融公司</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cs="宋体"/>
                <w:sz w:val="24"/>
                <w:szCs w:val="24"/>
              </w:rPr>
            </w:pPr>
            <w:r>
              <w:rPr>
                <w:rFonts w:hint="eastAsia" w:ascii="仿宋" w:hAnsi="仿宋" w:eastAsia="仿宋"/>
                <w:sz w:val="24"/>
                <w:szCs w:val="24"/>
              </w:rPr>
              <w:t>3.在无权代理的情况下，相对人可以催告被代理人在(  )个月内予以追认。</w:t>
            </w: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A:1</w:t>
            </w:r>
          </w:p>
          <w:p>
            <w:pPr>
              <w:pStyle w:val="7"/>
              <w:jc w:val="left"/>
              <w:rPr>
                <w:rFonts w:ascii="仿宋" w:hAnsi="仿宋" w:eastAsia="仿宋"/>
                <w:sz w:val="24"/>
                <w:szCs w:val="24"/>
              </w:rPr>
            </w:pPr>
            <w:r>
              <w:rPr>
                <w:rFonts w:hint="eastAsia" w:ascii="仿宋" w:hAnsi="仿宋" w:eastAsia="仿宋"/>
                <w:sz w:val="24"/>
                <w:szCs w:val="24"/>
              </w:rPr>
              <w:t>B:3</w:t>
            </w:r>
          </w:p>
          <w:p>
            <w:pPr>
              <w:pStyle w:val="7"/>
              <w:jc w:val="left"/>
              <w:rPr>
                <w:rFonts w:ascii="仿宋" w:hAnsi="仿宋" w:eastAsia="仿宋"/>
                <w:sz w:val="24"/>
                <w:szCs w:val="24"/>
              </w:rPr>
            </w:pPr>
            <w:r>
              <w:rPr>
                <w:rFonts w:hint="eastAsia" w:ascii="仿宋" w:hAnsi="仿宋" w:eastAsia="仿宋"/>
                <w:sz w:val="24"/>
                <w:szCs w:val="24"/>
              </w:rPr>
              <w:t>C:6</w:t>
            </w:r>
          </w:p>
          <w:p>
            <w:pPr>
              <w:pStyle w:val="7"/>
              <w:jc w:val="left"/>
              <w:rPr>
                <w:rFonts w:ascii="仿宋" w:hAnsi="仿宋" w:eastAsia="仿宋" w:cs="宋体"/>
                <w:sz w:val="24"/>
                <w:szCs w:val="24"/>
              </w:rPr>
            </w:pPr>
            <w:r>
              <w:rPr>
                <w:rFonts w:hint="eastAsia" w:ascii="仿宋" w:hAnsi="仿宋" w:eastAsia="仿宋"/>
                <w:sz w:val="24"/>
                <w:szCs w:val="24"/>
              </w:rPr>
              <w:t>D:12</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cs="宋体"/>
                <w:sz w:val="24"/>
                <w:szCs w:val="24"/>
              </w:rPr>
            </w:pPr>
            <w:r>
              <w:rPr>
                <w:rFonts w:hint="eastAsia" w:ascii="仿宋" w:hAnsi="仿宋" w:eastAsia="仿宋"/>
                <w:sz w:val="24"/>
                <w:szCs w:val="24"/>
              </w:rPr>
              <w:t>4.个人客户在办理存款时不约定存款期限，支取时提前一定时间通知银行约定支取日期和支取金额的存款是(   )。</w:t>
            </w: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A:教育储蓄存款</w:t>
            </w:r>
          </w:p>
          <w:p>
            <w:pPr>
              <w:pStyle w:val="7"/>
              <w:jc w:val="left"/>
              <w:rPr>
                <w:rFonts w:ascii="仿宋" w:hAnsi="仿宋" w:eastAsia="仿宋"/>
                <w:sz w:val="24"/>
                <w:szCs w:val="24"/>
              </w:rPr>
            </w:pPr>
            <w:r>
              <w:rPr>
                <w:rFonts w:hint="eastAsia" w:ascii="仿宋" w:hAnsi="仿宋" w:eastAsia="仿宋"/>
                <w:sz w:val="24"/>
                <w:szCs w:val="24"/>
              </w:rPr>
              <w:t>B:定活两便存款</w:t>
            </w:r>
          </w:p>
          <w:p>
            <w:pPr>
              <w:pStyle w:val="7"/>
              <w:jc w:val="left"/>
              <w:rPr>
                <w:rFonts w:ascii="仿宋" w:hAnsi="仿宋" w:eastAsia="仿宋"/>
                <w:sz w:val="24"/>
                <w:szCs w:val="24"/>
              </w:rPr>
            </w:pPr>
            <w:r>
              <w:rPr>
                <w:rFonts w:hint="eastAsia" w:ascii="仿宋" w:hAnsi="仿宋" w:eastAsia="仿宋"/>
                <w:sz w:val="24"/>
                <w:szCs w:val="24"/>
              </w:rPr>
              <w:t>C:保证金存款</w:t>
            </w:r>
          </w:p>
          <w:p>
            <w:pPr>
              <w:pStyle w:val="7"/>
              <w:jc w:val="left"/>
              <w:rPr>
                <w:rFonts w:ascii="仿宋" w:hAnsi="仿宋" w:eastAsia="仿宋" w:cs="宋体"/>
                <w:sz w:val="24"/>
                <w:szCs w:val="24"/>
              </w:rPr>
            </w:pPr>
            <w:r>
              <w:rPr>
                <w:rFonts w:hint="eastAsia" w:ascii="仿宋" w:hAnsi="仿宋" w:eastAsia="仿宋"/>
                <w:sz w:val="24"/>
                <w:szCs w:val="24"/>
              </w:rPr>
              <w:t>D:个人通知存款</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cs="宋体"/>
                <w:sz w:val="24"/>
                <w:szCs w:val="24"/>
              </w:rPr>
            </w:pPr>
            <w:r>
              <w:rPr>
                <w:rFonts w:hint="eastAsia" w:ascii="仿宋" w:hAnsi="仿宋" w:eastAsia="仿宋"/>
                <w:sz w:val="24"/>
                <w:szCs w:val="24"/>
              </w:rPr>
              <w:t>5.(   )的融资活动一般要通过金融中介机构进行，且资金的供求双方不直接见面、不发生直接的债权债务关系。</w:t>
            </w: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A:场外融资市场</w:t>
            </w:r>
          </w:p>
          <w:p>
            <w:pPr>
              <w:pStyle w:val="7"/>
              <w:jc w:val="left"/>
              <w:rPr>
                <w:rFonts w:ascii="仿宋" w:hAnsi="仿宋" w:eastAsia="仿宋"/>
                <w:sz w:val="24"/>
                <w:szCs w:val="24"/>
              </w:rPr>
            </w:pPr>
            <w:r>
              <w:rPr>
                <w:rFonts w:hint="eastAsia" w:ascii="仿宋" w:hAnsi="仿宋" w:eastAsia="仿宋"/>
                <w:sz w:val="24"/>
                <w:szCs w:val="24"/>
              </w:rPr>
              <w:t>B:场内融资市场</w:t>
            </w:r>
          </w:p>
          <w:p>
            <w:pPr>
              <w:pStyle w:val="7"/>
              <w:jc w:val="left"/>
              <w:rPr>
                <w:rFonts w:ascii="仿宋" w:hAnsi="仿宋" w:eastAsia="仿宋"/>
                <w:sz w:val="24"/>
                <w:szCs w:val="24"/>
              </w:rPr>
            </w:pPr>
            <w:r>
              <w:rPr>
                <w:rFonts w:hint="eastAsia" w:ascii="仿宋" w:hAnsi="仿宋" w:eastAsia="仿宋"/>
                <w:sz w:val="24"/>
                <w:szCs w:val="24"/>
              </w:rPr>
              <w:t>C:间接融资市场</w:t>
            </w:r>
          </w:p>
          <w:p>
            <w:pPr>
              <w:pStyle w:val="7"/>
              <w:jc w:val="left"/>
              <w:rPr>
                <w:rFonts w:ascii="仿宋" w:hAnsi="仿宋" w:eastAsia="仿宋" w:cs="宋体"/>
                <w:sz w:val="24"/>
                <w:szCs w:val="24"/>
              </w:rPr>
            </w:pPr>
            <w:r>
              <w:rPr>
                <w:rFonts w:hint="eastAsia" w:ascii="仿宋" w:hAnsi="仿宋" w:eastAsia="仿宋"/>
                <w:sz w:val="24"/>
                <w:szCs w:val="24"/>
              </w:rPr>
              <w:t>D:直接融资市场</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sz w:val="24"/>
                <w:szCs w:val="24"/>
              </w:rPr>
            </w:pP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bl>
    <w:p>
      <w:pPr>
        <w:spacing w:line="480" w:lineRule="exact"/>
        <w:ind w:firstLine="482" w:firstLineChars="200"/>
        <w:rPr>
          <w:b/>
          <w:color w:val="000000"/>
          <w:sz w:val="24"/>
          <w:szCs w:val="24"/>
          <w:lang w:val="en-US"/>
        </w:rPr>
      </w:pPr>
      <w:r>
        <w:rPr>
          <w:rFonts w:hint="eastAsia"/>
          <w:b/>
          <w:color w:val="000000"/>
          <w:sz w:val="24"/>
          <w:szCs w:val="24"/>
          <w:lang w:val="en-US"/>
        </w:rPr>
        <w:t>多选题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0"/>
        <w:gridCol w:w="2197"/>
        <w:gridCol w:w="1431"/>
        <w:gridCol w:w="865"/>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赛项名称</w:t>
            </w:r>
          </w:p>
        </w:tc>
        <w:tc>
          <w:tcPr>
            <w:tcW w:w="1130" w:type="pct"/>
            <w:vAlign w:val="center"/>
          </w:tcPr>
          <w:p>
            <w:pPr>
              <w:pStyle w:val="12"/>
              <w:adjustRightInd w:val="0"/>
              <w:snapToGrid w:val="0"/>
              <w:spacing w:after="0"/>
              <w:ind w:left="0" w:leftChars="0" w:firstLine="0" w:firstLineChars="0"/>
              <w:rPr>
                <w:rFonts w:eastAsia="仿宋"/>
                <w:bCs/>
                <w:color w:val="000000"/>
                <w:sz w:val="24"/>
                <w:szCs w:val="24"/>
                <w:lang w:val="en-US"/>
              </w:rPr>
            </w:pPr>
            <w:r>
              <w:rPr>
                <w:rFonts w:hint="eastAsia" w:eastAsia="仿宋" w:cs="FangSong_GB2312"/>
                <w:sz w:val="24"/>
                <w:szCs w:val="24"/>
              </w:rPr>
              <w:t>智慧金融</w:t>
            </w:r>
          </w:p>
        </w:tc>
        <w:tc>
          <w:tcPr>
            <w:tcW w:w="1181"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英语名称</w:t>
            </w:r>
          </w:p>
        </w:tc>
        <w:tc>
          <w:tcPr>
            <w:tcW w:w="1325" w:type="pct"/>
            <w:vAlign w:val="center"/>
          </w:tcPr>
          <w:p>
            <w:pPr>
              <w:pStyle w:val="2"/>
              <w:ind w:firstLine="560"/>
              <w:rPr>
                <w:rFonts w:cs="FangSong_GB2312"/>
              </w:rPr>
            </w:pPr>
            <w:r>
              <w:rPr>
                <w:rFonts w:hint="eastAsia" w:cs="FangSong_GB2312"/>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赛项编号</w:t>
            </w:r>
          </w:p>
        </w:tc>
        <w:tc>
          <w:tcPr>
            <w:tcW w:w="1130"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cs="FangSong_GB2312"/>
                <w:sz w:val="24"/>
                <w:szCs w:val="24"/>
              </w:rPr>
              <w:t>GZ044</w:t>
            </w:r>
          </w:p>
        </w:tc>
        <w:tc>
          <w:tcPr>
            <w:tcW w:w="1181"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归属产业</w:t>
            </w:r>
          </w:p>
        </w:tc>
        <w:tc>
          <w:tcPr>
            <w:tcW w:w="1325"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cs="FangSong_GB2312"/>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中职组</w:t>
            </w:r>
          </w:p>
        </w:tc>
        <w:tc>
          <w:tcPr>
            <w:tcW w:w="2506" w:type="pct"/>
            <w:gridSpan w:val="3"/>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 xml:space="preserve">□学生组 </w:t>
            </w:r>
            <w:r>
              <w:rPr>
                <w:rFonts w:hint="eastAsia" w:eastAsia="仿宋"/>
                <w:b/>
                <w:color w:val="000000"/>
                <w:sz w:val="24"/>
                <w:szCs w:val="24"/>
                <w:lang w:val="en-US"/>
              </w:rPr>
              <w:sym w:font="Wingdings 2" w:char="00A3"/>
            </w:r>
            <w:r>
              <w:rPr>
                <w:rFonts w:hint="eastAsia" w:eastAsia="仿宋"/>
                <w:b/>
                <w:color w:val="000000"/>
                <w:sz w:val="24"/>
                <w:szCs w:val="24"/>
                <w:lang w:val="en-US"/>
              </w:rPr>
              <w:t>教师组 □师生同赛试点赛项</w:t>
            </w:r>
          </w:p>
        </w:tc>
        <w:tc>
          <w:tcPr>
            <w:tcW w:w="2506" w:type="pct"/>
            <w:gridSpan w:val="3"/>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题目类型</w:t>
            </w:r>
          </w:p>
        </w:tc>
        <w:tc>
          <w:tcPr>
            <w:tcW w:w="2506" w:type="pct"/>
            <w:gridSpan w:val="3"/>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52"/>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A3"/>
            </w:r>
            <w:r>
              <w:rPr>
                <w:rFonts w:hint="eastAsia" w:eastAsia="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题目内容</w:t>
            </w:r>
          </w:p>
        </w:tc>
        <w:tc>
          <w:tcPr>
            <w:tcW w:w="1866" w:type="pct"/>
            <w:gridSpan w:val="2"/>
            <w:vAlign w:val="center"/>
          </w:tcPr>
          <w:p>
            <w:pPr>
              <w:pStyle w:val="12"/>
              <w:adjustRightInd w:val="0"/>
              <w:snapToGrid w:val="0"/>
              <w:spacing w:after="0"/>
              <w:ind w:left="0" w:leftChars="0" w:firstLine="0" w:firstLineChars="0"/>
              <w:rPr>
                <w:rFonts w:eastAsia="仿宋"/>
                <w:bCs/>
                <w:color w:val="000000"/>
                <w:sz w:val="24"/>
                <w:szCs w:val="24"/>
                <w:lang w:val="en-US"/>
              </w:rPr>
            </w:pPr>
            <w:r>
              <w:rPr>
                <w:rFonts w:hint="eastAsia" w:eastAsia="仿宋"/>
                <w:b/>
                <w:color w:val="000000"/>
                <w:sz w:val="24"/>
                <w:szCs w:val="24"/>
                <w:lang w:val="en-US"/>
              </w:rPr>
              <w:t>题目选项</w:t>
            </w:r>
          </w:p>
        </w:tc>
        <w:tc>
          <w:tcPr>
            <w:tcW w:w="1769"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cs="宋体"/>
                <w:sz w:val="24"/>
                <w:szCs w:val="24"/>
              </w:rPr>
            </w:pPr>
            <w:r>
              <w:rPr>
                <w:rFonts w:hint="eastAsia" w:ascii="仿宋" w:hAnsi="仿宋" w:eastAsia="仿宋"/>
                <w:sz w:val="24"/>
                <w:szCs w:val="24"/>
              </w:rPr>
              <w:t>41.下列关于中央银行最后贷款人制度的表述，正确的有(   )。</w:t>
            </w: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A:提供的是一种紧急资金援助或者支持</w:t>
            </w:r>
          </w:p>
          <w:p>
            <w:pPr>
              <w:pStyle w:val="7"/>
              <w:jc w:val="left"/>
              <w:rPr>
                <w:rFonts w:ascii="仿宋" w:hAnsi="仿宋" w:eastAsia="仿宋"/>
                <w:sz w:val="24"/>
                <w:szCs w:val="24"/>
              </w:rPr>
            </w:pPr>
            <w:r>
              <w:rPr>
                <w:rFonts w:hint="eastAsia" w:ascii="仿宋" w:hAnsi="仿宋" w:eastAsia="仿宋"/>
                <w:sz w:val="24"/>
                <w:szCs w:val="24"/>
              </w:rPr>
              <w:t>B:具有救助性</w:t>
            </w:r>
          </w:p>
          <w:p>
            <w:pPr>
              <w:pStyle w:val="7"/>
              <w:jc w:val="left"/>
              <w:rPr>
                <w:rFonts w:ascii="仿宋" w:hAnsi="仿宋" w:eastAsia="仿宋"/>
                <w:sz w:val="24"/>
                <w:szCs w:val="24"/>
              </w:rPr>
            </w:pPr>
            <w:r>
              <w:rPr>
                <w:rFonts w:hint="eastAsia" w:ascii="仿宋" w:hAnsi="仿宋" w:eastAsia="仿宋"/>
                <w:sz w:val="24"/>
                <w:szCs w:val="24"/>
              </w:rPr>
              <w:t>C:提供的援助或支持是政府为银行危机买单</w:t>
            </w:r>
          </w:p>
          <w:p>
            <w:pPr>
              <w:pStyle w:val="7"/>
              <w:jc w:val="left"/>
              <w:rPr>
                <w:rFonts w:ascii="仿宋" w:hAnsi="仿宋" w:eastAsia="仿宋"/>
                <w:sz w:val="24"/>
                <w:szCs w:val="24"/>
              </w:rPr>
            </w:pPr>
            <w:r>
              <w:rPr>
                <w:rFonts w:hint="eastAsia" w:ascii="仿宋" w:hAnsi="仿宋" w:eastAsia="仿宋"/>
                <w:sz w:val="24"/>
                <w:szCs w:val="24"/>
              </w:rPr>
              <w:t>D:中央银行在银行体系由于遭遇不利的冲击引起流动性需求增加而银行体系本身又无法满足其需求时提供资金</w:t>
            </w:r>
          </w:p>
          <w:p>
            <w:pPr>
              <w:pStyle w:val="7"/>
              <w:jc w:val="left"/>
              <w:rPr>
                <w:rFonts w:ascii="仿宋" w:hAnsi="仿宋" w:eastAsia="仿宋" w:cs="宋体"/>
                <w:sz w:val="24"/>
                <w:szCs w:val="24"/>
              </w:rPr>
            </w:pPr>
            <w:r>
              <w:rPr>
                <w:rFonts w:hint="eastAsia" w:ascii="仿宋" w:hAnsi="仿宋" w:eastAsia="仿宋"/>
                <w:sz w:val="24"/>
                <w:szCs w:val="24"/>
              </w:rPr>
              <w:t>E:主要目标是防范系统性金融风险</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cs="宋体"/>
                <w:sz w:val="24"/>
                <w:szCs w:val="24"/>
              </w:rPr>
            </w:pPr>
            <w:r>
              <w:rPr>
                <w:rFonts w:hint="eastAsia" w:ascii="仿宋" w:hAnsi="仿宋" w:eastAsia="仿宋"/>
                <w:sz w:val="24"/>
                <w:szCs w:val="24"/>
              </w:rPr>
              <w:t>42.根据《民法典》的规定，下列财产不得作为抵押物的有(   )。</w:t>
            </w: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A:土地所有权</w:t>
            </w:r>
          </w:p>
          <w:p>
            <w:pPr>
              <w:pStyle w:val="7"/>
              <w:jc w:val="left"/>
              <w:rPr>
                <w:rFonts w:ascii="仿宋" w:hAnsi="仿宋" w:eastAsia="仿宋"/>
                <w:sz w:val="24"/>
                <w:szCs w:val="24"/>
              </w:rPr>
            </w:pPr>
            <w:r>
              <w:rPr>
                <w:rFonts w:hint="eastAsia" w:ascii="仿宋" w:hAnsi="仿宋" w:eastAsia="仿宋"/>
                <w:sz w:val="24"/>
                <w:szCs w:val="24"/>
              </w:rPr>
              <w:t>B:正在建造的房屋</w:t>
            </w:r>
          </w:p>
          <w:p>
            <w:pPr>
              <w:pStyle w:val="7"/>
              <w:jc w:val="left"/>
              <w:rPr>
                <w:rFonts w:ascii="仿宋" w:hAnsi="仿宋" w:eastAsia="仿宋"/>
                <w:sz w:val="24"/>
                <w:szCs w:val="24"/>
              </w:rPr>
            </w:pPr>
            <w:r>
              <w:rPr>
                <w:rFonts w:hint="eastAsia" w:ascii="仿宋" w:hAnsi="仿宋" w:eastAsia="仿宋"/>
                <w:sz w:val="24"/>
                <w:szCs w:val="24"/>
              </w:rPr>
              <w:t>C:生产设备</w:t>
            </w:r>
          </w:p>
          <w:p>
            <w:pPr>
              <w:pStyle w:val="7"/>
              <w:jc w:val="left"/>
              <w:rPr>
                <w:rFonts w:ascii="仿宋" w:hAnsi="仿宋" w:eastAsia="仿宋"/>
                <w:sz w:val="24"/>
                <w:szCs w:val="24"/>
              </w:rPr>
            </w:pPr>
            <w:r>
              <w:rPr>
                <w:rFonts w:hint="eastAsia" w:ascii="仿宋" w:hAnsi="仿宋" w:eastAsia="仿宋"/>
                <w:sz w:val="24"/>
                <w:szCs w:val="24"/>
              </w:rPr>
              <w:t>D:学校教学楼</w:t>
            </w:r>
          </w:p>
          <w:p>
            <w:pPr>
              <w:pStyle w:val="7"/>
              <w:jc w:val="left"/>
              <w:rPr>
                <w:rFonts w:ascii="仿宋" w:hAnsi="仿宋" w:eastAsia="仿宋" w:cs="宋体"/>
                <w:sz w:val="24"/>
                <w:szCs w:val="24"/>
              </w:rPr>
            </w:pPr>
            <w:r>
              <w:rPr>
                <w:rFonts w:hint="eastAsia" w:ascii="仿宋" w:hAnsi="仿宋" w:eastAsia="仿宋"/>
                <w:sz w:val="24"/>
                <w:szCs w:val="24"/>
              </w:rPr>
              <w:t>E:交通运输工具</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cs="宋体"/>
                <w:sz w:val="24"/>
                <w:szCs w:val="24"/>
              </w:rPr>
            </w:pPr>
            <w:r>
              <w:rPr>
                <w:rFonts w:hint="eastAsia" w:ascii="仿宋" w:hAnsi="仿宋" w:eastAsia="仿宋"/>
                <w:sz w:val="24"/>
                <w:szCs w:val="24"/>
              </w:rPr>
              <w:t>43.代收代付业务是商业银行利用自身的结算便利，接受客户委托代为办理指定款项收付事宜的业务，目前主要是(   )和(   )两类。</w:t>
            </w: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A:委托收款</w:t>
            </w:r>
          </w:p>
          <w:p>
            <w:pPr>
              <w:pStyle w:val="7"/>
              <w:jc w:val="left"/>
              <w:rPr>
                <w:rFonts w:ascii="仿宋" w:hAnsi="仿宋" w:eastAsia="仿宋"/>
                <w:sz w:val="24"/>
                <w:szCs w:val="24"/>
              </w:rPr>
            </w:pPr>
            <w:r>
              <w:rPr>
                <w:rFonts w:hint="eastAsia" w:ascii="仿宋" w:hAnsi="仿宋" w:eastAsia="仿宋"/>
                <w:sz w:val="24"/>
                <w:szCs w:val="24"/>
              </w:rPr>
              <w:t>B:代理证券</w:t>
            </w:r>
          </w:p>
          <w:p>
            <w:pPr>
              <w:pStyle w:val="7"/>
              <w:jc w:val="left"/>
              <w:rPr>
                <w:rFonts w:ascii="仿宋" w:hAnsi="仿宋" w:eastAsia="仿宋"/>
                <w:sz w:val="24"/>
                <w:szCs w:val="24"/>
              </w:rPr>
            </w:pPr>
            <w:r>
              <w:rPr>
                <w:rFonts w:hint="eastAsia" w:ascii="仿宋" w:hAnsi="仿宋" w:eastAsia="仿宋"/>
                <w:sz w:val="24"/>
                <w:szCs w:val="24"/>
              </w:rPr>
              <w:t>C:托收承付</w:t>
            </w:r>
          </w:p>
          <w:p>
            <w:pPr>
              <w:pStyle w:val="7"/>
              <w:jc w:val="left"/>
              <w:rPr>
                <w:rFonts w:ascii="仿宋" w:hAnsi="仿宋" w:eastAsia="仿宋"/>
                <w:sz w:val="24"/>
                <w:szCs w:val="24"/>
              </w:rPr>
            </w:pPr>
            <w:r>
              <w:rPr>
                <w:rFonts w:hint="eastAsia" w:ascii="仿宋" w:hAnsi="仿宋" w:eastAsia="仿宋"/>
                <w:sz w:val="24"/>
                <w:szCs w:val="24"/>
              </w:rPr>
              <w:t>D:代理国库</w:t>
            </w:r>
          </w:p>
          <w:p>
            <w:pPr>
              <w:pStyle w:val="7"/>
              <w:jc w:val="left"/>
              <w:rPr>
                <w:rFonts w:ascii="仿宋" w:hAnsi="仿宋" w:eastAsia="仿宋" w:cs="宋体"/>
                <w:sz w:val="24"/>
                <w:szCs w:val="24"/>
              </w:rPr>
            </w:pPr>
            <w:r>
              <w:rPr>
                <w:rFonts w:hint="eastAsia" w:ascii="仿宋" w:hAnsi="仿宋" w:eastAsia="仿宋"/>
                <w:sz w:val="24"/>
                <w:szCs w:val="24"/>
              </w:rPr>
              <w:t>E:代理银行</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cs="宋体"/>
                <w:sz w:val="24"/>
                <w:szCs w:val="24"/>
              </w:rPr>
            </w:pPr>
            <w:r>
              <w:rPr>
                <w:rFonts w:hint="eastAsia" w:ascii="仿宋" w:hAnsi="仿宋" w:eastAsia="仿宋"/>
                <w:sz w:val="24"/>
                <w:szCs w:val="24"/>
              </w:rPr>
              <w:t>44.商业银行发挥支付中介职能，对社会经济产生的作用包括(   )。</w:t>
            </w: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A:加快货币资本的周转</w:t>
            </w:r>
          </w:p>
          <w:p>
            <w:pPr>
              <w:pStyle w:val="7"/>
              <w:jc w:val="left"/>
              <w:rPr>
                <w:rFonts w:ascii="仿宋" w:hAnsi="仿宋" w:eastAsia="仿宋"/>
                <w:sz w:val="24"/>
                <w:szCs w:val="24"/>
              </w:rPr>
            </w:pPr>
            <w:r>
              <w:rPr>
                <w:rFonts w:hint="eastAsia" w:ascii="仿宋" w:hAnsi="仿宋" w:eastAsia="仿宋"/>
                <w:sz w:val="24"/>
                <w:szCs w:val="24"/>
              </w:rPr>
              <w:t>B:节约现钞使用和降低流通成本</w:t>
            </w:r>
          </w:p>
          <w:p>
            <w:pPr>
              <w:pStyle w:val="7"/>
              <w:jc w:val="left"/>
              <w:rPr>
                <w:rFonts w:ascii="仿宋" w:hAnsi="仿宋" w:eastAsia="仿宋"/>
                <w:sz w:val="24"/>
                <w:szCs w:val="24"/>
              </w:rPr>
            </w:pPr>
            <w:r>
              <w:rPr>
                <w:rFonts w:hint="eastAsia" w:ascii="仿宋" w:hAnsi="仿宋" w:eastAsia="仿宋"/>
                <w:sz w:val="24"/>
                <w:szCs w:val="24"/>
              </w:rPr>
              <w:t>C:为社会化大生产的顺利进行提供有利条件</w:t>
            </w:r>
          </w:p>
          <w:p>
            <w:pPr>
              <w:pStyle w:val="7"/>
              <w:jc w:val="left"/>
              <w:rPr>
                <w:rFonts w:ascii="仿宋" w:hAnsi="仿宋" w:eastAsia="仿宋"/>
                <w:sz w:val="24"/>
                <w:szCs w:val="24"/>
              </w:rPr>
            </w:pPr>
            <w:r>
              <w:rPr>
                <w:rFonts w:hint="eastAsia" w:ascii="仿宋" w:hAnsi="仿宋" w:eastAsia="仿宋"/>
                <w:sz w:val="24"/>
                <w:szCs w:val="24"/>
              </w:rPr>
              <w:t>D:集中社会上闲置的货币资本进行再分配</w:t>
            </w:r>
          </w:p>
          <w:p>
            <w:pPr>
              <w:pStyle w:val="7"/>
              <w:jc w:val="left"/>
              <w:rPr>
                <w:rFonts w:ascii="仿宋" w:hAnsi="仿宋" w:eastAsia="仿宋" w:cs="宋体"/>
                <w:sz w:val="24"/>
                <w:szCs w:val="24"/>
              </w:rPr>
            </w:pPr>
            <w:r>
              <w:rPr>
                <w:rFonts w:hint="eastAsia" w:ascii="仿宋" w:hAnsi="仿宋" w:eastAsia="仿宋"/>
                <w:sz w:val="24"/>
                <w:szCs w:val="24"/>
              </w:rPr>
              <w:t>E:加快结算过程</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cs="宋体"/>
                <w:sz w:val="24"/>
                <w:szCs w:val="24"/>
              </w:rPr>
            </w:pPr>
            <w:r>
              <w:rPr>
                <w:rFonts w:hint="eastAsia" w:ascii="仿宋" w:hAnsi="仿宋" w:eastAsia="仿宋"/>
                <w:sz w:val="24"/>
                <w:szCs w:val="24"/>
              </w:rPr>
              <w:t>45.证券发行管理制度主要有(   )。</w:t>
            </w: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A:审批制</w:t>
            </w:r>
          </w:p>
          <w:p>
            <w:pPr>
              <w:pStyle w:val="7"/>
              <w:jc w:val="left"/>
              <w:rPr>
                <w:rFonts w:ascii="仿宋" w:hAnsi="仿宋" w:eastAsia="仿宋"/>
                <w:sz w:val="24"/>
                <w:szCs w:val="24"/>
              </w:rPr>
            </w:pPr>
            <w:r>
              <w:rPr>
                <w:rFonts w:hint="eastAsia" w:ascii="仿宋" w:hAnsi="仿宋" w:eastAsia="仿宋"/>
                <w:sz w:val="24"/>
                <w:szCs w:val="24"/>
              </w:rPr>
              <w:t>B:核准制</w:t>
            </w:r>
          </w:p>
          <w:p>
            <w:pPr>
              <w:pStyle w:val="7"/>
              <w:jc w:val="left"/>
              <w:rPr>
                <w:rFonts w:ascii="仿宋" w:hAnsi="仿宋" w:eastAsia="仿宋"/>
                <w:sz w:val="24"/>
                <w:szCs w:val="24"/>
              </w:rPr>
            </w:pPr>
            <w:r>
              <w:rPr>
                <w:rFonts w:hint="eastAsia" w:ascii="仿宋" w:hAnsi="仿宋" w:eastAsia="仿宋"/>
                <w:sz w:val="24"/>
                <w:szCs w:val="24"/>
              </w:rPr>
              <w:t>C:注册制</w:t>
            </w:r>
          </w:p>
          <w:p>
            <w:pPr>
              <w:pStyle w:val="7"/>
              <w:jc w:val="left"/>
              <w:rPr>
                <w:rFonts w:ascii="仿宋" w:hAnsi="仿宋" w:eastAsia="仿宋"/>
                <w:sz w:val="24"/>
                <w:szCs w:val="24"/>
              </w:rPr>
            </w:pPr>
            <w:r>
              <w:rPr>
                <w:rFonts w:hint="eastAsia" w:ascii="仿宋" w:hAnsi="仿宋" w:eastAsia="仿宋"/>
                <w:sz w:val="24"/>
                <w:szCs w:val="24"/>
              </w:rPr>
              <w:t>D:评审制</w:t>
            </w:r>
          </w:p>
          <w:p>
            <w:pPr>
              <w:pStyle w:val="7"/>
              <w:jc w:val="left"/>
              <w:rPr>
                <w:rFonts w:ascii="仿宋" w:hAnsi="仿宋" w:eastAsia="仿宋" w:cs="宋体"/>
                <w:sz w:val="24"/>
                <w:szCs w:val="24"/>
              </w:rPr>
            </w:pPr>
            <w:r>
              <w:rPr>
                <w:rFonts w:hint="eastAsia" w:ascii="仿宋" w:hAnsi="仿宋" w:eastAsia="仿宋"/>
                <w:sz w:val="24"/>
                <w:szCs w:val="24"/>
              </w:rPr>
              <w:t>E:混合制</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7"/>
              <w:jc w:val="left"/>
              <w:rPr>
                <w:rFonts w:ascii="仿宋" w:hAnsi="仿宋" w:eastAsia="仿宋"/>
                <w:sz w:val="24"/>
                <w:szCs w:val="24"/>
              </w:rPr>
            </w:pPr>
          </w:p>
        </w:tc>
        <w:tc>
          <w:tcPr>
            <w:tcW w:w="1866" w:type="pct"/>
            <w:gridSpan w:val="2"/>
            <w:vAlign w:val="center"/>
          </w:tcPr>
          <w:p>
            <w:pPr>
              <w:pStyle w:val="7"/>
              <w:jc w:val="left"/>
              <w:rPr>
                <w:rFonts w:ascii="仿宋" w:hAnsi="仿宋" w:eastAsia="仿宋"/>
                <w:sz w:val="24"/>
                <w:szCs w:val="24"/>
              </w:rPr>
            </w:pPr>
            <w:r>
              <w:rPr>
                <w:rFonts w:hint="eastAsia" w:ascii="仿宋" w:hAnsi="仿宋" w:eastAsia="仿宋"/>
                <w:sz w:val="24"/>
                <w:szCs w:val="24"/>
              </w:rPr>
              <w:t>……</w:t>
            </w:r>
          </w:p>
        </w:tc>
        <w:tc>
          <w:tcPr>
            <w:tcW w:w="1769"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bl>
    <w:p>
      <w:pPr>
        <w:spacing w:line="480" w:lineRule="exact"/>
        <w:rPr>
          <w:b/>
          <w:color w:val="000000"/>
          <w:sz w:val="24"/>
          <w:szCs w:val="24"/>
          <w:lang w:val="en-US"/>
        </w:rPr>
      </w:pPr>
      <w:r>
        <w:rPr>
          <w:rFonts w:hint="eastAsia"/>
          <w:b/>
          <w:color w:val="000000"/>
          <w:sz w:val="24"/>
          <w:szCs w:val="24"/>
          <w:lang w:val="en-US"/>
        </w:rPr>
        <w:t>是非题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5"/>
        <w:gridCol w:w="2372"/>
        <w:gridCol w:w="2322"/>
        <w:gridCol w:w="2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3"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赛项名称</w:t>
            </w:r>
          </w:p>
        </w:tc>
        <w:tc>
          <w:tcPr>
            <w:tcW w:w="1220" w:type="pct"/>
            <w:vAlign w:val="center"/>
          </w:tcPr>
          <w:p>
            <w:pPr>
              <w:pStyle w:val="12"/>
              <w:adjustRightInd w:val="0"/>
              <w:snapToGrid w:val="0"/>
              <w:spacing w:after="0"/>
              <w:ind w:left="0" w:leftChars="0" w:firstLine="0" w:firstLineChars="0"/>
              <w:rPr>
                <w:rFonts w:eastAsia="仿宋"/>
                <w:bCs/>
                <w:color w:val="000000"/>
                <w:sz w:val="24"/>
                <w:szCs w:val="24"/>
                <w:lang w:val="en-US"/>
              </w:rPr>
            </w:pPr>
            <w:r>
              <w:rPr>
                <w:rFonts w:hint="eastAsia" w:eastAsia="仿宋" w:cs="FangSong_GB2312"/>
                <w:sz w:val="24"/>
                <w:szCs w:val="24"/>
              </w:rPr>
              <w:t>智慧金融</w:t>
            </w:r>
          </w:p>
        </w:tc>
        <w:tc>
          <w:tcPr>
            <w:tcW w:w="1194"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英语名称</w:t>
            </w:r>
          </w:p>
        </w:tc>
        <w:tc>
          <w:tcPr>
            <w:tcW w:w="1312" w:type="pct"/>
            <w:vAlign w:val="center"/>
          </w:tcPr>
          <w:p>
            <w:pPr>
              <w:pStyle w:val="12"/>
              <w:adjustRightInd w:val="0"/>
              <w:snapToGrid w:val="0"/>
              <w:spacing w:after="0"/>
              <w:ind w:left="0" w:leftChars="0" w:firstLine="0" w:firstLineChars="0"/>
              <w:rPr>
                <w:rFonts w:eastAsia="仿宋"/>
                <w:bCs/>
                <w:color w:val="000000"/>
                <w:sz w:val="24"/>
                <w:szCs w:val="24"/>
                <w:lang w:val="en-US"/>
              </w:rPr>
            </w:pPr>
            <w:r>
              <w:rPr>
                <w:rFonts w:hint="eastAsia" w:eastAsia="仿宋" w:cs="FangSong_GB2312"/>
                <w:sz w:val="24"/>
                <w:szCs w:val="24"/>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3"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赛项编号</w:t>
            </w:r>
          </w:p>
        </w:tc>
        <w:tc>
          <w:tcPr>
            <w:tcW w:w="1220"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cs="FangSong_GB2312"/>
                <w:sz w:val="24"/>
                <w:szCs w:val="24"/>
              </w:rPr>
              <w:t>GZ044</w:t>
            </w:r>
          </w:p>
        </w:tc>
        <w:tc>
          <w:tcPr>
            <w:tcW w:w="1194"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归属产业</w:t>
            </w:r>
          </w:p>
        </w:tc>
        <w:tc>
          <w:tcPr>
            <w:tcW w:w="1312" w:type="pct"/>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cs="FangSong_GB2312"/>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中职组</w:t>
            </w:r>
          </w:p>
        </w:tc>
        <w:tc>
          <w:tcPr>
            <w:tcW w:w="2506"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□学生组 □教师组 □师生同赛试点赛项</w:t>
            </w:r>
          </w:p>
        </w:tc>
        <w:tc>
          <w:tcPr>
            <w:tcW w:w="2506"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题目类型</w:t>
            </w:r>
          </w:p>
        </w:tc>
        <w:tc>
          <w:tcPr>
            <w:tcW w:w="2506"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sym w:font="Wingdings 2" w:char="00A3"/>
            </w: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A3"/>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52"/>
            </w:r>
            <w:r>
              <w:rPr>
                <w:rFonts w:hint="eastAsia" w:eastAsia="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eastAsia="仿宋"/>
                <w:bCs/>
                <w:color w:val="000000"/>
                <w:sz w:val="24"/>
                <w:szCs w:val="24"/>
                <w:lang w:val="en-US"/>
              </w:rPr>
            </w:pPr>
            <w:r>
              <w:rPr>
                <w:rFonts w:hint="eastAsia" w:eastAsia="仿宋"/>
                <w:b/>
                <w:color w:val="000000"/>
                <w:sz w:val="24"/>
                <w:szCs w:val="24"/>
                <w:lang w:val="en-US"/>
              </w:rPr>
              <w:t>题目内容</w:t>
            </w:r>
          </w:p>
        </w:tc>
        <w:tc>
          <w:tcPr>
            <w:tcW w:w="2506" w:type="pct"/>
            <w:gridSpan w:val="2"/>
            <w:vAlign w:val="center"/>
          </w:tcPr>
          <w:p>
            <w:pPr>
              <w:pStyle w:val="12"/>
              <w:adjustRightInd w:val="0"/>
              <w:snapToGrid w:val="0"/>
              <w:spacing w:after="0"/>
              <w:ind w:left="0" w:leftChars="0" w:firstLine="0" w:firstLineChars="0"/>
              <w:rPr>
                <w:rFonts w:eastAsia="仿宋"/>
                <w:b/>
                <w:color w:val="000000"/>
                <w:sz w:val="24"/>
                <w:szCs w:val="24"/>
                <w:lang w:val="en-US"/>
              </w:rPr>
            </w:pPr>
            <w:r>
              <w:rPr>
                <w:rFonts w:hint="eastAsia" w:eastAsia="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7"/>
              <w:jc w:val="left"/>
              <w:rPr>
                <w:rFonts w:ascii="仿宋" w:hAnsi="仿宋" w:eastAsia="仿宋"/>
                <w:bCs/>
                <w:color w:val="000000"/>
                <w:sz w:val="24"/>
                <w:szCs w:val="24"/>
              </w:rPr>
            </w:pPr>
            <w:r>
              <w:rPr>
                <w:rFonts w:hint="eastAsia" w:ascii="仿宋" w:hAnsi="仿宋" w:eastAsia="仿宋"/>
                <w:sz w:val="24"/>
                <w:szCs w:val="24"/>
              </w:rPr>
              <w:t>81.商业银行董事会应监督合规政策的有效实施，以使合规缺陷得到及时有效的解决。(   )</w:t>
            </w:r>
          </w:p>
        </w:tc>
        <w:tc>
          <w:tcPr>
            <w:tcW w:w="2506"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7"/>
              <w:jc w:val="left"/>
              <w:rPr>
                <w:rFonts w:ascii="仿宋" w:hAnsi="仿宋" w:eastAsia="仿宋"/>
                <w:bCs/>
                <w:color w:val="000000"/>
                <w:sz w:val="24"/>
                <w:szCs w:val="24"/>
              </w:rPr>
            </w:pPr>
            <w:r>
              <w:rPr>
                <w:rFonts w:hint="eastAsia" w:ascii="仿宋" w:hAnsi="仿宋" w:eastAsia="仿宋"/>
                <w:sz w:val="24"/>
                <w:szCs w:val="24"/>
              </w:rPr>
              <w:t>82.资产负债计划管理是A银行资产负债表进行积极的管理，即在满足风险性、效益性、流动性协调平衡的基础上，通过优化资产负债表的组合配置结构，谋求收益水平的持续提高。(   )</w:t>
            </w:r>
          </w:p>
        </w:tc>
        <w:tc>
          <w:tcPr>
            <w:tcW w:w="2506"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7"/>
              <w:jc w:val="left"/>
              <w:rPr>
                <w:rFonts w:ascii="仿宋" w:hAnsi="仿宋" w:eastAsia="仿宋"/>
                <w:bCs/>
                <w:color w:val="000000"/>
                <w:sz w:val="24"/>
                <w:szCs w:val="24"/>
              </w:rPr>
            </w:pPr>
            <w:r>
              <w:rPr>
                <w:rFonts w:hint="eastAsia" w:ascii="仿宋" w:hAnsi="仿宋" w:eastAsia="仿宋"/>
                <w:sz w:val="24"/>
                <w:szCs w:val="24"/>
              </w:rPr>
              <w:t>83.借记卡是银行发行的一种可以先消费后存款销账的银行卡。(   )</w:t>
            </w:r>
          </w:p>
        </w:tc>
        <w:tc>
          <w:tcPr>
            <w:tcW w:w="2506"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7"/>
              <w:jc w:val="left"/>
              <w:rPr>
                <w:rFonts w:ascii="仿宋" w:hAnsi="仿宋" w:eastAsia="仿宋"/>
                <w:sz w:val="24"/>
                <w:szCs w:val="24"/>
              </w:rPr>
            </w:pPr>
          </w:p>
        </w:tc>
        <w:tc>
          <w:tcPr>
            <w:tcW w:w="2506" w:type="pct"/>
            <w:gridSpan w:val="2"/>
            <w:vAlign w:val="center"/>
          </w:tcPr>
          <w:p>
            <w:pPr>
              <w:pStyle w:val="12"/>
              <w:adjustRightInd w:val="0"/>
              <w:snapToGrid w:val="0"/>
              <w:spacing w:after="0"/>
              <w:ind w:left="0" w:leftChars="0" w:firstLine="0" w:firstLineChars="0"/>
              <w:rPr>
                <w:rFonts w:eastAsia="仿宋"/>
                <w:color w:val="000000"/>
                <w:sz w:val="24"/>
                <w:szCs w:val="24"/>
                <w:lang w:val="en-US"/>
              </w:rPr>
            </w:pPr>
            <w:r>
              <w:rPr>
                <w:rFonts w:hint="eastAsia" w:eastAsia="仿宋"/>
                <w:color w:val="000000"/>
                <w:sz w:val="24"/>
                <w:szCs w:val="24"/>
                <w:lang w:val="en-US"/>
              </w:rPr>
              <w:t>……</w:t>
            </w:r>
          </w:p>
        </w:tc>
      </w:tr>
    </w:tbl>
    <w:p>
      <w:pPr>
        <w:pStyle w:val="4"/>
        <w:numPr>
          <w:numId w:val="0"/>
        </w:numPr>
        <w:tabs>
          <w:tab w:val="left" w:pos="360"/>
        </w:tabs>
        <w:spacing w:line="480" w:lineRule="exact"/>
        <w:rPr>
          <w:rFonts w:ascii="FangSong_GB2312" w:hAnsi="FangSong_GB2312" w:eastAsia="FangSong_GB2312" w:cs="FangSong_GB2312"/>
          <w:lang w:val="en-US"/>
        </w:rPr>
      </w:pPr>
    </w:p>
    <w:p>
      <w:pPr>
        <w:pStyle w:val="4"/>
        <w:numPr>
          <w:ilvl w:val="0"/>
          <w:numId w:val="2"/>
        </w:numPr>
        <w:tabs>
          <w:tab w:val="left" w:pos="360"/>
          <w:tab w:val="clear" w:pos="312"/>
        </w:tabs>
        <w:spacing w:line="480" w:lineRule="exact"/>
        <w:rPr>
          <w:rFonts w:ascii="FangSong_GB2312" w:hAnsi="FangSong_GB2312" w:eastAsia="FangSong_GB2312" w:cs="FangSong_GB2312"/>
          <w:lang w:val="en-US"/>
        </w:rPr>
      </w:pPr>
      <w:r>
        <w:rPr>
          <w:rFonts w:hint="eastAsia" w:ascii="FangSong_GB2312" w:hAnsi="FangSong_GB2312" w:eastAsia="FangSong_GB2312" w:cs="FangSong_GB2312"/>
          <w:lang w:val="en-US"/>
        </w:rPr>
        <w:t>职业技能</w:t>
      </w:r>
    </w:p>
    <w:tbl>
      <w:tblPr>
        <w:tblStyle w:val="13"/>
        <w:tblpPr w:leftFromText="180" w:rightFromText="180" w:vertAnchor="text" w:horzAnchor="page" w:tblpXSpec="center" w:tblpY="878"/>
        <w:tblOverlap w:val="neve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9"/>
        <w:gridCol w:w="1546"/>
        <w:gridCol w:w="641"/>
        <w:gridCol w:w="898"/>
        <w:gridCol w:w="2494"/>
        <w:gridCol w:w="1111"/>
        <w:gridCol w:w="1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Align w:val="center"/>
          </w:tcPr>
          <w:p>
            <w:pPr>
              <w:pStyle w:val="12"/>
              <w:adjustRightInd w:val="0"/>
              <w:snapToGrid w:val="0"/>
              <w:spacing w:after="0"/>
              <w:ind w:left="0" w:leftChars="0" w:firstLine="0" w:firstLineChars="0"/>
              <w:rPr>
                <w:rFonts w:eastAsia="仿宋"/>
                <w:b/>
                <w:color w:val="000000"/>
                <w:sz w:val="24"/>
                <w:szCs w:val="24"/>
              </w:rPr>
            </w:pPr>
            <w:r>
              <w:rPr>
                <w:rFonts w:hint="eastAsia" w:eastAsia="仿宋"/>
                <w:b/>
                <w:color w:val="000000"/>
                <w:sz w:val="24"/>
                <w:szCs w:val="24"/>
                <w:lang w:val="en-US"/>
              </w:rPr>
              <w:t>模块序号</w:t>
            </w:r>
          </w:p>
        </w:tc>
        <w:tc>
          <w:tcPr>
            <w:tcW w:w="1089" w:type="pct"/>
            <w:gridSpan w:val="2"/>
            <w:vAlign w:val="center"/>
          </w:tcPr>
          <w:p>
            <w:pPr>
              <w:pStyle w:val="12"/>
              <w:spacing w:after="0"/>
              <w:ind w:left="0" w:leftChars="0" w:firstLine="0" w:firstLineChars="0"/>
              <w:rPr>
                <w:rFonts w:eastAsia="仿宋"/>
                <w:color w:val="000000"/>
                <w:sz w:val="24"/>
                <w:szCs w:val="24"/>
              </w:rPr>
            </w:pPr>
            <w:r>
              <w:rPr>
                <w:rFonts w:hint="eastAsia" w:eastAsia="仿宋"/>
                <w:color w:val="000000"/>
                <w:sz w:val="24"/>
                <w:szCs w:val="24"/>
                <w:lang w:val="en-US"/>
              </w:rPr>
              <w:t>模块</w:t>
            </w:r>
            <w:r>
              <w:rPr>
                <w:rFonts w:eastAsia="仿宋"/>
                <w:color w:val="000000"/>
                <w:sz w:val="24"/>
                <w:szCs w:val="24"/>
                <w:lang w:val="en-US"/>
              </w:rPr>
              <w:t>2</w:t>
            </w:r>
          </w:p>
        </w:tc>
        <w:tc>
          <w:tcPr>
            <w:tcW w:w="1689" w:type="pct"/>
            <w:gridSpan w:val="2"/>
            <w:vAlign w:val="center"/>
          </w:tcPr>
          <w:p>
            <w:pPr>
              <w:pStyle w:val="12"/>
              <w:adjustRightInd w:val="0"/>
              <w:snapToGrid w:val="0"/>
              <w:spacing w:after="0"/>
              <w:ind w:left="0" w:leftChars="0" w:firstLine="0" w:firstLineChars="0"/>
              <w:rPr>
                <w:rFonts w:eastAsia="仿宋"/>
                <w:b/>
                <w:color w:val="000000"/>
                <w:sz w:val="24"/>
                <w:szCs w:val="24"/>
              </w:rPr>
            </w:pPr>
            <w:r>
              <w:rPr>
                <w:rFonts w:hint="eastAsia" w:eastAsia="仿宋"/>
                <w:b/>
                <w:color w:val="000000"/>
                <w:sz w:val="24"/>
                <w:szCs w:val="24"/>
                <w:lang w:val="en-US"/>
              </w:rPr>
              <w:t>对应赛项编号</w:t>
            </w:r>
          </w:p>
        </w:tc>
        <w:tc>
          <w:tcPr>
            <w:tcW w:w="1123" w:type="pct"/>
            <w:gridSpan w:val="2"/>
            <w:vAlign w:val="center"/>
          </w:tcPr>
          <w:p>
            <w:pPr>
              <w:pStyle w:val="12"/>
              <w:spacing w:after="0"/>
              <w:ind w:left="0" w:leftChars="0" w:firstLine="0" w:firstLineChars="0"/>
              <w:rPr>
                <w:rFonts w:eastAsia="仿宋"/>
                <w:color w:val="000000"/>
                <w:sz w:val="24"/>
                <w:szCs w:val="24"/>
              </w:rPr>
            </w:pPr>
            <w:r>
              <w:rPr>
                <w:rFonts w:hint="eastAsia" w:eastAsia="仿宋" w:cs="FangSong_GB2312"/>
                <w:sz w:val="24"/>
                <w:szCs w:val="24"/>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Align w:val="center"/>
          </w:tcPr>
          <w:p>
            <w:pPr>
              <w:pStyle w:val="12"/>
              <w:adjustRightInd w:val="0"/>
              <w:snapToGrid w:val="0"/>
              <w:spacing w:after="0"/>
              <w:ind w:left="0" w:leftChars="0" w:firstLine="0" w:firstLineChars="0"/>
              <w:rPr>
                <w:rFonts w:eastAsia="仿宋"/>
                <w:b/>
                <w:color w:val="000000"/>
                <w:sz w:val="24"/>
                <w:szCs w:val="24"/>
              </w:rPr>
            </w:pPr>
            <w:r>
              <w:rPr>
                <w:rFonts w:hint="eastAsia" w:eastAsia="仿宋"/>
                <w:b/>
                <w:color w:val="000000"/>
                <w:sz w:val="24"/>
                <w:szCs w:val="24"/>
                <w:lang w:val="en-US"/>
              </w:rPr>
              <w:t>模块名称</w:t>
            </w:r>
          </w:p>
        </w:tc>
        <w:tc>
          <w:tcPr>
            <w:tcW w:w="1089" w:type="pct"/>
            <w:gridSpan w:val="2"/>
            <w:vAlign w:val="center"/>
          </w:tcPr>
          <w:p>
            <w:pPr>
              <w:pStyle w:val="12"/>
              <w:spacing w:after="0"/>
              <w:ind w:left="0" w:leftChars="0" w:firstLine="0" w:firstLineChars="0"/>
              <w:rPr>
                <w:rFonts w:eastAsia="仿宋"/>
                <w:color w:val="000000"/>
                <w:sz w:val="24"/>
                <w:szCs w:val="24"/>
              </w:rPr>
            </w:pPr>
            <w:r>
              <w:rPr>
                <w:rFonts w:hint="eastAsia" w:eastAsia="仿宋"/>
                <w:color w:val="000000"/>
                <w:sz w:val="24"/>
                <w:szCs w:val="24"/>
                <w:lang w:val="en-US"/>
              </w:rPr>
              <w:t>手工点钞</w:t>
            </w:r>
          </w:p>
        </w:tc>
        <w:tc>
          <w:tcPr>
            <w:tcW w:w="1689" w:type="pct"/>
            <w:gridSpan w:val="2"/>
            <w:vAlign w:val="center"/>
          </w:tcPr>
          <w:p>
            <w:pPr>
              <w:pStyle w:val="12"/>
              <w:adjustRightInd w:val="0"/>
              <w:snapToGrid w:val="0"/>
              <w:spacing w:after="0"/>
              <w:ind w:left="0" w:leftChars="0" w:firstLine="0" w:firstLineChars="0"/>
              <w:rPr>
                <w:rFonts w:eastAsia="仿宋"/>
                <w:b/>
                <w:color w:val="000000"/>
                <w:sz w:val="24"/>
                <w:szCs w:val="24"/>
              </w:rPr>
            </w:pPr>
            <w:r>
              <w:rPr>
                <w:rFonts w:hint="eastAsia" w:eastAsia="仿宋"/>
                <w:b/>
                <w:color w:val="000000"/>
                <w:sz w:val="24"/>
                <w:szCs w:val="24"/>
                <w:lang w:val="en-US"/>
              </w:rPr>
              <w:t>子任务数量</w:t>
            </w:r>
          </w:p>
        </w:tc>
        <w:tc>
          <w:tcPr>
            <w:tcW w:w="1123" w:type="pct"/>
            <w:gridSpan w:val="2"/>
            <w:vAlign w:val="center"/>
          </w:tcPr>
          <w:p>
            <w:pPr>
              <w:pStyle w:val="12"/>
              <w:spacing w:after="0"/>
              <w:ind w:left="0" w:leftChars="0" w:firstLine="0" w:firstLineChars="0"/>
              <w:rPr>
                <w:rFonts w:eastAsia="仿宋"/>
                <w:color w:val="000000"/>
                <w:sz w:val="24"/>
                <w:szCs w:val="24"/>
              </w:rPr>
            </w:pPr>
            <w:r>
              <w:rPr>
                <w:rFonts w:hint="eastAsia" w:eastAsia="仿宋"/>
                <w:color w:val="000000"/>
                <w:sz w:val="24"/>
                <w:szCs w:val="24"/>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Align w:val="center"/>
          </w:tcPr>
          <w:p>
            <w:pPr>
              <w:pStyle w:val="12"/>
              <w:adjustRightInd w:val="0"/>
              <w:snapToGrid w:val="0"/>
              <w:spacing w:after="0"/>
              <w:ind w:left="0" w:leftChars="0" w:firstLine="0" w:firstLineChars="0"/>
              <w:rPr>
                <w:rFonts w:eastAsia="仿宋"/>
                <w:b/>
                <w:color w:val="000000"/>
                <w:sz w:val="24"/>
                <w:szCs w:val="24"/>
              </w:rPr>
            </w:pPr>
            <w:r>
              <w:rPr>
                <w:rFonts w:hint="eastAsia" w:eastAsia="仿宋"/>
                <w:b/>
                <w:color w:val="000000"/>
                <w:sz w:val="24"/>
                <w:szCs w:val="24"/>
                <w:lang w:val="en-US"/>
              </w:rPr>
              <w:t>竞赛时间</w:t>
            </w:r>
          </w:p>
        </w:tc>
        <w:tc>
          <w:tcPr>
            <w:tcW w:w="3902" w:type="pct"/>
            <w:gridSpan w:val="6"/>
            <w:vAlign w:val="center"/>
          </w:tcPr>
          <w:p>
            <w:pPr>
              <w:pStyle w:val="12"/>
              <w:spacing w:after="0"/>
              <w:ind w:left="0" w:leftChars="0" w:firstLine="0" w:firstLineChars="0"/>
              <w:rPr>
                <w:rFonts w:eastAsia="仿宋"/>
                <w:color w:val="000000"/>
                <w:sz w:val="24"/>
                <w:szCs w:val="24"/>
              </w:rPr>
            </w:pPr>
            <w:r>
              <w:rPr>
                <w:rFonts w:hint="eastAsia" w:eastAsia="仿宋"/>
                <w:color w:val="000000"/>
                <w:sz w:val="24"/>
                <w:szCs w:val="24"/>
                <w:lang w:val="en-US"/>
              </w:rPr>
              <w:t>总时间3</w:t>
            </w:r>
            <w:r>
              <w:rPr>
                <w:rFonts w:eastAsia="仿宋"/>
                <w:color w:val="000000"/>
                <w:sz w:val="24"/>
                <w:szCs w:val="24"/>
                <w:lang w:val="en-US"/>
              </w:rPr>
              <w:t>0</w:t>
            </w:r>
            <w:r>
              <w:rPr>
                <w:rFonts w:hint="eastAsia" w:eastAsia="仿宋"/>
                <w:color w:val="000000"/>
                <w:sz w:val="24"/>
                <w:szCs w:val="24"/>
                <w:lang w:val="en-US"/>
              </w:rPr>
              <w:t>分钟，其中实施10分钟、评价20分钟。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Align w:val="center"/>
          </w:tcPr>
          <w:p>
            <w:pPr>
              <w:pStyle w:val="12"/>
              <w:adjustRightInd w:val="0"/>
              <w:snapToGrid w:val="0"/>
              <w:spacing w:after="0"/>
              <w:ind w:left="0" w:leftChars="0" w:firstLine="0" w:firstLineChars="0"/>
              <w:rPr>
                <w:rFonts w:eastAsia="仿宋"/>
                <w:b/>
                <w:color w:val="000000"/>
                <w:sz w:val="24"/>
                <w:szCs w:val="24"/>
              </w:rPr>
            </w:pPr>
            <w:r>
              <w:rPr>
                <w:rFonts w:hint="eastAsia" w:eastAsia="仿宋"/>
                <w:b/>
                <w:color w:val="000000"/>
                <w:sz w:val="24"/>
                <w:szCs w:val="24"/>
                <w:lang w:val="en-US"/>
              </w:rPr>
              <w:t>任务描述</w:t>
            </w:r>
          </w:p>
        </w:tc>
        <w:tc>
          <w:tcPr>
            <w:tcW w:w="3902" w:type="pct"/>
            <w:gridSpan w:val="6"/>
            <w:vAlign w:val="center"/>
          </w:tcPr>
          <w:p>
            <w:pPr>
              <w:pStyle w:val="12"/>
              <w:spacing w:after="0"/>
              <w:ind w:left="0" w:leftChars="0" w:firstLine="0" w:firstLineChars="0"/>
              <w:rPr>
                <w:rFonts w:eastAsia="仿宋"/>
                <w:sz w:val="24"/>
                <w:szCs w:val="28"/>
              </w:rPr>
            </w:pPr>
            <w:r>
              <w:rPr>
                <w:rFonts w:hint="eastAsia" w:eastAsia="仿宋"/>
                <w:sz w:val="24"/>
                <w:szCs w:val="28"/>
                <w:lang w:val="en-US"/>
              </w:rPr>
              <w:t>赛前由系统随机生成8种面额点钞专用券的张数，各面值的数量为 300—320 张。由选手对8种面额的人民币点钞专用券进行清点、盖章和捆扎，并将捆扎好的点钞专用券放入篮筐中。点钞方法由选手自定。参赛选手在比赛时将清点结果填入系统设定的“现金存款凭条”，系统对输入结果自动评分，现场裁判对捆扎及盖章质量进行人工评分。</w:t>
            </w:r>
          </w:p>
          <w:p>
            <w:r>
              <w:rPr>
                <w:rFonts w:hint="eastAsia"/>
              </w:rPr>
              <w:drawing>
                <wp:inline distT="0" distB="0" distL="114300" distR="114300">
                  <wp:extent cx="4810125" cy="2746375"/>
                  <wp:effectExtent l="9525" t="9525" r="19050" b="1270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6"/>
                          <a:srcRect l="14734" r="6561"/>
                          <a:stretch>
                            <a:fillRect/>
                          </a:stretch>
                        </pic:blipFill>
                        <pic:spPr>
                          <a:xfrm>
                            <a:off x="0" y="0"/>
                            <a:ext cx="4810125" cy="2746375"/>
                          </a:xfrm>
                          <a:prstGeom prst="rect">
                            <a:avLst/>
                          </a:prstGeom>
                          <a:noFill/>
                          <a:ln w="9525" cap="flat" cmpd="sng">
                            <a:solidFill>
                              <a:srgbClr val="FF0000"/>
                            </a:solidFill>
                            <a:prstDash val="solid"/>
                            <a:round/>
                            <a:headEnd type="none" w="med" len="med"/>
                            <a:tailEnd type="none" w="med" len="med"/>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Align w:val="center"/>
          </w:tcPr>
          <w:p>
            <w:pPr>
              <w:pStyle w:val="12"/>
              <w:adjustRightInd w:val="0"/>
              <w:snapToGrid w:val="0"/>
              <w:spacing w:after="0"/>
              <w:ind w:left="0" w:leftChars="0" w:firstLine="0" w:firstLineChars="0"/>
              <w:rPr>
                <w:rFonts w:eastAsia="仿宋"/>
                <w:b/>
                <w:color w:val="000000"/>
                <w:sz w:val="24"/>
                <w:szCs w:val="24"/>
              </w:rPr>
            </w:pPr>
            <w:r>
              <w:rPr>
                <w:rFonts w:hint="eastAsia" w:eastAsia="仿宋"/>
                <w:b/>
                <w:color w:val="000000"/>
                <w:sz w:val="24"/>
                <w:szCs w:val="24"/>
                <w:lang w:val="en-US"/>
              </w:rPr>
              <w:t>职业要素</w:t>
            </w:r>
          </w:p>
        </w:tc>
        <w:tc>
          <w:tcPr>
            <w:tcW w:w="3902" w:type="pct"/>
            <w:gridSpan w:val="6"/>
            <w:vAlign w:val="center"/>
          </w:tcPr>
          <w:p>
            <w:pPr>
              <w:pStyle w:val="12"/>
              <w:spacing w:after="0"/>
              <w:ind w:left="0" w:leftChars="0" w:firstLine="0" w:firstLineChars="0"/>
              <w:rPr>
                <w:rFonts w:eastAsia="仿宋"/>
                <w:color w:val="000000"/>
                <w:sz w:val="24"/>
                <w:szCs w:val="24"/>
              </w:rPr>
            </w:pPr>
            <w:r>
              <w:rPr>
                <w:rFonts w:hint="eastAsia" w:eastAsia="仿宋"/>
                <w:color w:val="000000"/>
                <w:sz w:val="24"/>
                <w:szCs w:val="24"/>
                <w:lang w:val="en-US"/>
              </w:rPr>
              <w:sym w:font="Wingdings 2" w:char="0052"/>
            </w:r>
            <w:r>
              <w:rPr>
                <w:rFonts w:hint="eastAsia" w:eastAsia="仿宋"/>
                <w:color w:val="000000"/>
                <w:sz w:val="24"/>
                <w:szCs w:val="24"/>
                <w:lang w:val="en-US"/>
              </w:rPr>
              <w:t xml:space="preserve">基本专业素养  </w:t>
            </w:r>
            <w:r>
              <w:rPr>
                <w:rFonts w:hint="eastAsia" w:eastAsia="仿宋"/>
                <w:color w:val="000000"/>
                <w:sz w:val="24"/>
                <w:szCs w:val="24"/>
                <w:lang w:val="en-US"/>
              </w:rPr>
              <w:sym w:font="Wingdings 2" w:char="00A3"/>
            </w:r>
            <w:r>
              <w:rPr>
                <w:rFonts w:hint="eastAsia" w:eastAsia="仿宋"/>
                <w:color w:val="000000"/>
                <w:sz w:val="24"/>
                <w:szCs w:val="24"/>
                <w:lang w:val="en-US"/>
              </w:rPr>
              <w:t xml:space="preserve">专业实践技能  </w:t>
            </w:r>
            <w:r>
              <w:rPr>
                <w:rFonts w:hint="eastAsia" w:eastAsia="仿宋"/>
                <w:color w:val="000000"/>
                <w:sz w:val="24"/>
                <w:szCs w:val="24"/>
                <w:lang w:val="en-US"/>
              </w:rPr>
              <w:sym w:font="Wingdings 2" w:char="00A3"/>
            </w:r>
            <w:r>
              <w:rPr>
                <w:rFonts w:hint="eastAsia" w:eastAsia="仿宋"/>
                <w:color w:val="000000"/>
                <w:sz w:val="24"/>
                <w:szCs w:val="24"/>
                <w:lang w:val="en-US"/>
              </w:rPr>
              <w:t xml:space="preserve">协调协作能力  </w:t>
            </w:r>
            <w:r>
              <w:rPr>
                <w:rFonts w:hint="eastAsia" w:eastAsia="仿宋"/>
                <w:color w:val="000000"/>
                <w:sz w:val="24"/>
                <w:szCs w:val="24"/>
                <w:lang w:val="en-US"/>
              </w:rPr>
              <w:sym w:font="Wingdings 2" w:char="00A3"/>
            </w:r>
            <w:r>
              <w:rPr>
                <w:rFonts w:hint="eastAsia" w:eastAsia="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具体任务要求</w:t>
            </w:r>
          </w:p>
        </w:tc>
        <w:tc>
          <w:tcPr>
            <w:tcW w:w="77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子任务序号</w:t>
            </w:r>
          </w:p>
        </w:tc>
        <w:tc>
          <w:tcPr>
            <w:tcW w:w="766"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任务要求</w:t>
            </w:r>
          </w:p>
        </w:tc>
        <w:tc>
          <w:tcPr>
            <w:tcW w:w="1242"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操作过程</w:t>
            </w:r>
          </w:p>
        </w:tc>
        <w:tc>
          <w:tcPr>
            <w:tcW w:w="55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考核点</w:t>
            </w:r>
          </w:p>
        </w:tc>
        <w:tc>
          <w:tcPr>
            <w:tcW w:w="56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p>
        </w:tc>
        <w:tc>
          <w:tcPr>
            <w:tcW w:w="770"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子任务1-1</w:t>
            </w:r>
          </w:p>
        </w:tc>
        <w:tc>
          <w:tcPr>
            <w:tcW w:w="766"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参赛选手按要求在比赛时间内将点钞计算结果录入系统设定的“现金存款凭条”中</w:t>
            </w:r>
          </w:p>
        </w:tc>
        <w:tc>
          <w:tcPr>
            <w:tcW w:w="1242"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1、听从裁判指令准备和摆放点钞用品</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2、系统倒计时为0时选手开始把持钞、清点、计数、墩齐、扎把、盖章、放入篮筐。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3、把点钞结果录入系统</w:t>
            </w:r>
          </w:p>
        </w:tc>
        <w:tc>
          <w:tcPr>
            <w:tcW w:w="553"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1、点钞手法</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2、点钞准确度</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3、扎把和盖章质量</w:t>
            </w:r>
          </w:p>
        </w:tc>
        <w:tc>
          <w:tcPr>
            <w:tcW w:w="569"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1.机考评分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2.扎把质量评分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3.盖章质量评分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赛项技术规范</w:t>
            </w:r>
          </w:p>
        </w:tc>
        <w:tc>
          <w:tcPr>
            <w:tcW w:w="1089"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涉及专业教学要求</w:t>
            </w:r>
          </w:p>
        </w:tc>
        <w:tc>
          <w:tcPr>
            <w:tcW w:w="2813" w:type="pct"/>
            <w:gridSpan w:val="4"/>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熟练掌握点钞的基本方法、基本工序、基本要求。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p>
        </w:tc>
        <w:tc>
          <w:tcPr>
            <w:tcW w:w="1089"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遵循国家标准和行业标准</w:t>
            </w:r>
          </w:p>
        </w:tc>
        <w:tc>
          <w:tcPr>
            <w:tcW w:w="2813" w:type="pct"/>
            <w:gridSpan w:val="4"/>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赛项赛场准备</w:t>
            </w:r>
          </w:p>
        </w:tc>
        <w:tc>
          <w:tcPr>
            <w:tcW w:w="3902" w:type="pct"/>
            <w:gridSpan w:val="6"/>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注意事项</w:t>
            </w:r>
          </w:p>
        </w:tc>
        <w:tc>
          <w:tcPr>
            <w:tcW w:w="3902" w:type="pct"/>
            <w:gridSpan w:val="6"/>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sz w:val="24"/>
                <w:szCs w:val="28"/>
                <w:lang w:val="en-US" w:bidi="ar-SA"/>
              </w:rPr>
              <w:t>本模块赛题均为竞赛系统自动随机生成产生，不需要人工出题，</w:t>
            </w:r>
            <w:r>
              <w:rPr>
                <w:rFonts w:hint="eastAsia" w:ascii="仿宋" w:hAnsi="仿宋" w:eastAsia="仿宋" w:cs="仿宋"/>
                <w:color w:val="000000"/>
                <w:sz w:val="24"/>
                <w:szCs w:val="24"/>
                <w:lang w:val="en-US"/>
              </w:rPr>
              <w:t>比赛时听从裁判指令和系统提示操作。</w:t>
            </w:r>
          </w:p>
        </w:tc>
      </w:tr>
    </w:tbl>
    <w:p>
      <w:pPr>
        <w:pStyle w:val="4"/>
        <w:tabs>
          <w:tab w:val="left" w:pos="360"/>
        </w:tabs>
        <w:spacing w:line="480" w:lineRule="exact"/>
        <w:ind w:left="0"/>
        <w:rPr>
          <w:rFonts w:hint="eastAsia" w:ascii="仿宋" w:hAnsi="仿宋" w:eastAsia="仿宋" w:cs="仿宋"/>
          <w:lang w:val="en-US"/>
        </w:rPr>
      </w:pPr>
    </w:p>
    <w:p>
      <w:pPr>
        <w:pStyle w:val="4"/>
        <w:tabs>
          <w:tab w:val="left" w:pos="360"/>
        </w:tabs>
        <w:spacing w:line="480" w:lineRule="exact"/>
        <w:ind w:left="0"/>
        <w:rPr>
          <w:rFonts w:hint="eastAsia" w:ascii="仿宋" w:hAnsi="仿宋" w:eastAsia="仿宋" w:cs="仿宋"/>
          <w:lang w:val="en-US"/>
        </w:rPr>
      </w:pP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8"/>
        <w:gridCol w:w="1525"/>
        <w:gridCol w:w="799"/>
        <w:gridCol w:w="1037"/>
        <w:gridCol w:w="2294"/>
        <w:gridCol w:w="1061"/>
        <w:gridCol w:w="1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模块序号</w:t>
            </w:r>
          </w:p>
        </w:tc>
        <w:tc>
          <w:tcPr>
            <w:tcW w:w="1161"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模块3</w:t>
            </w:r>
          </w:p>
        </w:tc>
        <w:tc>
          <w:tcPr>
            <w:tcW w:w="1664"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对应赛项编号</w:t>
            </w:r>
          </w:p>
        </w:tc>
        <w:tc>
          <w:tcPr>
            <w:tcW w:w="1089"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sz w:val="24"/>
                <w:szCs w:val="24"/>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模块名称</w:t>
            </w:r>
          </w:p>
        </w:tc>
        <w:tc>
          <w:tcPr>
            <w:tcW w:w="1161"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传票算</w:t>
            </w:r>
          </w:p>
        </w:tc>
        <w:tc>
          <w:tcPr>
            <w:tcW w:w="1664"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子任务数量</w:t>
            </w:r>
          </w:p>
        </w:tc>
        <w:tc>
          <w:tcPr>
            <w:tcW w:w="1089"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竞赛时间</w:t>
            </w:r>
          </w:p>
        </w:tc>
        <w:tc>
          <w:tcPr>
            <w:tcW w:w="3915" w:type="pct"/>
            <w:gridSpan w:val="6"/>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总时间10分钟，其中实施10分钟。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任务描述</w:t>
            </w:r>
          </w:p>
        </w:tc>
        <w:tc>
          <w:tcPr>
            <w:tcW w:w="3915" w:type="pct"/>
            <w:gridSpan w:val="6"/>
            <w:vAlign w:val="center"/>
          </w:tcPr>
          <w:p>
            <w:pPr>
              <w:pStyle w:val="12"/>
              <w:spacing w:after="0"/>
              <w:ind w:left="0" w:leftChars="0" w:firstLine="0" w:firstLineChars="0"/>
              <w:rPr>
                <w:rFonts w:hint="eastAsia" w:ascii="仿宋" w:hAnsi="仿宋" w:eastAsia="仿宋" w:cs="仿宋"/>
                <w:sz w:val="24"/>
                <w:szCs w:val="28"/>
              </w:rPr>
            </w:pPr>
            <w:r>
              <w:rPr>
                <w:rFonts w:hint="eastAsia" w:ascii="仿宋" w:hAnsi="仿宋" w:eastAsia="仿宋" w:cs="仿宋"/>
                <w:sz w:val="24"/>
                <w:szCs w:val="28"/>
                <w:lang w:val="en-US"/>
              </w:rPr>
              <w:t>赛前由系统随机生成不同传票类型（AB、CD、EF型）和页码范围赛题，页码范围为连续的30页。选手在计算器和Excel表中任选一种工具进行计算（考虑到实际工作中不同地区、不同银行采用的工具不同，而比赛重在结果，故不强行指定一种工具），并将计算结果输入到竞赛平台中，系统自动评分。</w:t>
            </w:r>
          </w:p>
          <w:p>
            <w:pPr>
              <w:rPr>
                <w:rFonts w:hint="eastAsia" w:ascii="仿宋" w:hAnsi="仿宋" w:eastAsia="仿宋" w:cs="仿宋"/>
              </w:rPr>
            </w:pPr>
            <w:r>
              <w:rPr>
                <w:rFonts w:hint="eastAsia" w:ascii="仿宋" w:hAnsi="仿宋" w:eastAsia="仿宋" w:cs="仿宋"/>
              </w:rPr>
              <w:drawing>
                <wp:inline distT="0" distB="0" distL="114300" distR="114300">
                  <wp:extent cx="4819015" cy="2399030"/>
                  <wp:effectExtent l="9525" t="9525" r="10160" b="17145"/>
                  <wp:docPr id="7" name="图片 2" descr="传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传票"/>
                          <pic:cNvPicPr>
                            <a:picLocks noChangeAspect="1"/>
                          </pic:cNvPicPr>
                        </pic:nvPicPr>
                        <pic:blipFill>
                          <a:blip r:embed="rId7"/>
                          <a:stretch>
                            <a:fillRect/>
                          </a:stretch>
                        </pic:blipFill>
                        <pic:spPr>
                          <a:xfrm>
                            <a:off x="0" y="0"/>
                            <a:ext cx="4819015" cy="2399030"/>
                          </a:xfrm>
                          <a:prstGeom prst="rect">
                            <a:avLst/>
                          </a:prstGeom>
                          <a:noFill/>
                          <a:ln w="9525" cap="flat" cmpd="sng">
                            <a:solidFill>
                              <a:srgbClr val="FF0000"/>
                            </a:solidFill>
                            <a:prstDash val="solid"/>
                            <a:round/>
                            <a:headEnd type="none" w="med" len="med"/>
                            <a:tailEnd type="none" w="med" len="med"/>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职业要素</w:t>
            </w:r>
          </w:p>
        </w:tc>
        <w:tc>
          <w:tcPr>
            <w:tcW w:w="3915" w:type="pct"/>
            <w:gridSpan w:val="6"/>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具体任务要求</w:t>
            </w:r>
          </w:p>
        </w:tc>
        <w:tc>
          <w:tcPr>
            <w:tcW w:w="762"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子任务序号</w:t>
            </w:r>
          </w:p>
        </w:tc>
        <w:tc>
          <w:tcPr>
            <w:tcW w:w="917"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任务要求</w:t>
            </w:r>
          </w:p>
        </w:tc>
        <w:tc>
          <w:tcPr>
            <w:tcW w:w="1145"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操作过程</w:t>
            </w:r>
          </w:p>
        </w:tc>
        <w:tc>
          <w:tcPr>
            <w:tcW w:w="53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考核点</w:t>
            </w:r>
          </w:p>
        </w:tc>
        <w:tc>
          <w:tcPr>
            <w:tcW w:w="55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p>
        </w:tc>
        <w:tc>
          <w:tcPr>
            <w:tcW w:w="762"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子任务1-1</w:t>
            </w:r>
          </w:p>
        </w:tc>
        <w:tc>
          <w:tcPr>
            <w:tcW w:w="917"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按竞赛系统显示页码范围进行翻打传票数据录入计算，并将计算结果录入竞赛系统</w:t>
            </w:r>
          </w:p>
        </w:tc>
        <w:tc>
          <w:tcPr>
            <w:tcW w:w="1145"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1、听从裁判指令准备调试计算器或excel表格</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2、系统倒计时为0时选手开始翻打传票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3、将计算结果录入竞赛系统</w:t>
            </w:r>
          </w:p>
        </w:tc>
        <w:tc>
          <w:tcPr>
            <w:tcW w:w="530"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传票翻打速度、准确度</w:t>
            </w:r>
          </w:p>
        </w:tc>
        <w:tc>
          <w:tcPr>
            <w:tcW w:w="559"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赛项技术规范</w:t>
            </w:r>
          </w:p>
        </w:tc>
        <w:tc>
          <w:tcPr>
            <w:tcW w:w="1161"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涉及专业教学要求</w:t>
            </w:r>
          </w:p>
        </w:tc>
        <w:tc>
          <w:tcPr>
            <w:tcW w:w="2754" w:type="pct"/>
            <w:gridSpan w:val="4"/>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熟练掌握计算器、计算机小键盘、excel表格的运用。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p>
        </w:tc>
        <w:tc>
          <w:tcPr>
            <w:tcW w:w="1161"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遵循国家标准和行业标准</w:t>
            </w:r>
          </w:p>
        </w:tc>
        <w:tc>
          <w:tcPr>
            <w:tcW w:w="2754" w:type="pct"/>
            <w:gridSpan w:val="4"/>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赛项赛场准备</w:t>
            </w:r>
          </w:p>
        </w:tc>
        <w:tc>
          <w:tcPr>
            <w:tcW w:w="3915" w:type="pct"/>
            <w:gridSpan w:val="6"/>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注意事项</w:t>
            </w:r>
          </w:p>
        </w:tc>
        <w:tc>
          <w:tcPr>
            <w:tcW w:w="3915" w:type="pct"/>
            <w:gridSpan w:val="6"/>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sz w:val="24"/>
                <w:szCs w:val="28"/>
                <w:lang w:val="en-US" w:bidi="ar-SA"/>
              </w:rPr>
              <w:t>本模块赛题均为竞赛系统自动随机生成产生，不需要人工出题，</w:t>
            </w:r>
            <w:r>
              <w:rPr>
                <w:rFonts w:hint="eastAsia" w:ascii="仿宋" w:hAnsi="仿宋" w:eastAsia="仿宋" w:cs="仿宋"/>
                <w:color w:val="000000"/>
                <w:sz w:val="24"/>
                <w:szCs w:val="24"/>
                <w:lang w:val="en-US"/>
              </w:rPr>
              <w:t>比赛时听从裁判指令和系统提示操作。</w:t>
            </w:r>
          </w:p>
        </w:tc>
      </w:tr>
    </w:tbl>
    <w:p>
      <w:pPr>
        <w:pStyle w:val="4"/>
        <w:tabs>
          <w:tab w:val="left" w:pos="360"/>
        </w:tabs>
        <w:spacing w:line="480" w:lineRule="exact"/>
        <w:ind w:left="0"/>
        <w:rPr>
          <w:rFonts w:hint="eastAsia" w:ascii="仿宋" w:hAnsi="仿宋" w:eastAsia="仿宋" w:cs="仿宋"/>
          <w:lang w:val="en-US"/>
        </w:rPr>
      </w:pP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8"/>
        <w:gridCol w:w="1464"/>
        <w:gridCol w:w="827"/>
        <w:gridCol w:w="837"/>
        <w:gridCol w:w="2335"/>
        <w:gridCol w:w="1430"/>
        <w:gridCol w:w="1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模块序号</w:t>
            </w:r>
          </w:p>
        </w:tc>
        <w:tc>
          <w:tcPr>
            <w:tcW w:w="1133"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模块4</w:t>
            </w:r>
          </w:p>
        </w:tc>
        <w:tc>
          <w:tcPr>
            <w:tcW w:w="1569"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对应赛项编号</w:t>
            </w:r>
          </w:p>
        </w:tc>
        <w:tc>
          <w:tcPr>
            <w:tcW w:w="1211"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sz w:val="24"/>
                <w:szCs w:val="24"/>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模块名称</w:t>
            </w:r>
          </w:p>
        </w:tc>
        <w:tc>
          <w:tcPr>
            <w:tcW w:w="1133"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字符录入</w:t>
            </w:r>
          </w:p>
        </w:tc>
        <w:tc>
          <w:tcPr>
            <w:tcW w:w="1569"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子任务数量</w:t>
            </w:r>
          </w:p>
        </w:tc>
        <w:tc>
          <w:tcPr>
            <w:tcW w:w="1211"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竞赛时间</w:t>
            </w:r>
          </w:p>
        </w:tc>
        <w:tc>
          <w:tcPr>
            <w:tcW w:w="3915" w:type="pct"/>
            <w:gridSpan w:val="6"/>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总时间10分钟，其中实施10分钟。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任务描述</w:t>
            </w:r>
          </w:p>
        </w:tc>
        <w:tc>
          <w:tcPr>
            <w:tcW w:w="3915" w:type="pct"/>
            <w:gridSpan w:val="6"/>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赛前系统随机生成1600个字符，系统提供对照原文进行字符输入环境，系统自动根据选手在10分钟内完成的数量和正确率评分。竞赛电脑中预装极品五笔、搜狗拼音、搜狗五笔、微软全拼、万能五笔等输入法，参赛选手可采用上述输入法进行比赛，竞赛电脑系统中未预装的输入法不得采用。</w:t>
            </w:r>
          </w:p>
          <w:p>
            <w:pPr>
              <w:rPr>
                <w:rFonts w:hint="eastAsia" w:ascii="仿宋" w:hAnsi="仿宋" w:eastAsia="仿宋" w:cs="仿宋"/>
              </w:rPr>
            </w:pPr>
            <w:r>
              <w:rPr>
                <w:rFonts w:hint="eastAsia" w:ascii="仿宋" w:hAnsi="仿宋" w:eastAsia="仿宋" w:cs="仿宋"/>
                <w:sz w:val="28"/>
                <w:szCs w:val="28"/>
              </w:rPr>
              <w:drawing>
                <wp:inline distT="0" distB="0" distL="114300" distR="114300">
                  <wp:extent cx="4870450" cy="2997200"/>
                  <wp:effectExtent l="9525" t="9525" r="9525" b="1587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8"/>
                          <a:stretch>
                            <a:fillRect/>
                          </a:stretch>
                        </pic:blipFill>
                        <pic:spPr>
                          <a:xfrm>
                            <a:off x="0" y="0"/>
                            <a:ext cx="4870450" cy="2997200"/>
                          </a:xfrm>
                          <a:prstGeom prst="rect">
                            <a:avLst/>
                          </a:prstGeom>
                          <a:noFill/>
                          <a:ln w="9525" cap="flat" cmpd="sng">
                            <a:solidFill>
                              <a:srgbClr val="FF0000"/>
                            </a:solidFill>
                            <a:prstDash val="solid"/>
                            <a:round/>
                            <a:headEnd type="none" w="med" len="med"/>
                            <a:tailEnd type="none" w="med" len="med"/>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职业要素</w:t>
            </w:r>
          </w:p>
        </w:tc>
        <w:tc>
          <w:tcPr>
            <w:tcW w:w="3915" w:type="pct"/>
            <w:gridSpan w:val="6"/>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具体任务要求</w:t>
            </w:r>
          </w:p>
        </w:tc>
        <w:tc>
          <w:tcPr>
            <w:tcW w:w="72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子任务序号</w:t>
            </w:r>
          </w:p>
        </w:tc>
        <w:tc>
          <w:tcPr>
            <w:tcW w:w="82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任务要求</w:t>
            </w:r>
          </w:p>
        </w:tc>
        <w:tc>
          <w:tcPr>
            <w:tcW w:w="1155"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操作过程</w:t>
            </w:r>
          </w:p>
        </w:tc>
        <w:tc>
          <w:tcPr>
            <w:tcW w:w="707"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考核点</w:t>
            </w:r>
          </w:p>
        </w:tc>
        <w:tc>
          <w:tcPr>
            <w:tcW w:w="50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4" w:hRule="atLeast"/>
          <w:jc w:val="center"/>
        </w:trPr>
        <w:tc>
          <w:tcPr>
            <w:tcW w:w="1084"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p>
        </w:tc>
        <w:tc>
          <w:tcPr>
            <w:tcW w:w="724"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子任务1-1</w:t>
            </w:r>
          </w:p>
        </w:tc>
        <w:tc>
          <w:tcPr>
            <w:tcW w:w="823"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按照系统提供字符录入界面对照原文进行字符录入</w:t>
            </w:r>
          </w:p>
        </w:tc>
        <w:tc>
          <w:tcPr>
            <w:tcW w:w="1155"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1、听从裁判口令调试计算机键盘和切换输入法</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2、系统倒计时为0时开始按顺序字符录入，不可跳行录入</w:t>
            </w:r>
          </w:p>
        </w:tc>
        <w:tc>
          <w:tcPr>
            <w:tcW w:w="707"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1、计算机键盘熟练程度</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2、五笔拼音打字速度和准确度</w:t>
            </w:r>
          </w:p>
        </w:tc>
        <w:tc>
          <w:tcPr>
            <w:tcW w:w="504" w:type="pct"/>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赛项技术规范</w:t>
            </w:r>
          </w:p>
        </w:tc>
        <w:tc>
          <w:tcPr>
            <w:tcW w:w="1133"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涉及专业教学要求</w:t>
            </w:r>
          </w:p>
        </w:tc>
        <w:tc>
          <w:tcPr>
            <w:tcW w:w="2781" w:type="pct"/>
            <w:gridSpan w:val="4"/>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熟练掌握计算机键盘布局、五笔输入法、拼音输入法的运用能力。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p>
        </w:tc>
        <w:tc>
          <w:tcPr>
            <w:tcW w:w="1133" w:type="pct"/>
            <w:gridSpan w:val="2"/>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遵循国家标准和行业标准</w:t>
            </w:r>
          </w:p>
        </w:tc>
        <w:tc>
          <w:tcPr>
            <w:tcW w:w="2781" w:type="pct"/>
            <w:gridSpan w:val="4"/>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lang w:val="en-US"/>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赛项赛场准备</w:t>
            </w:r>
          </w:p>
        </w:tc>
        <w:tc>
          <w:tcPr>
            <w:tcW w:w="3915" w:type="pct"/>
            <w:gridSpan w:val="6"/>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lang w:val="en-US"/>
              </w:rPr>
              <w:t>注意事项</w:t>
            </w:r>
          </w:p>
        </w:tc>
        <w:tc>
          <w:tcPr>
            <w:tcW w:w="3915" w:type="pct"/>
            <w:gridSpan w:val="6"/>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sz w:val="24"/>
                <w:szCs w:val="28"/>
                <w:lang w:val="en-US" w:bidi="ar-SA"/>
              </w:rPr>
              <w:t>本模块赛题均为竞赛系统自动随机生成产生，不需要人工出题，</w:t>
            </w:r>
            <w:r>
              <w:rPr>
                <w:rFonts w:hint="eastAsia" w:ascii="仿宋" w:hAnsi="仿宋" w:eastAsia="仿宋" w:cs="仿宋"/>
                <w:color w:val="000000"/>
                <w:sz w:val="24"/>
                <w:szCs w:val="24"/>
                <w:lang w:val="en-US"/>
              </w:rPr>
              <w:t>比赛时听从裁判指令和系统提示操作。</w:t>
            </w:r>
          </w:p>
        </w:tc>
      </w:tr>
    </w:tbl>
    <w:p>
      <w:pPr>
        <w:pStyle w:val="4"/>
        <w:tabs>
          <w:tab w:val="left" w:pos="360"/>
        </w:tabs>
        <w:spacing w:line="480" w:lineRule="exact"/>
        <w:ind w:left="0"/>
        <w:rPr>
          <w:rFonts w:hint="eastAsia" w:ascii="仿宋" w:hAnsi="仿宋" w:eastAsia="仿宋" w:cs="仿宋"/>
          <w:lang w:val="en-US"/>
        </w:rPr>
      </w:pPr>
    </w:p>
    <w:p>
      <w:pPr>
        <w:pStyle w:val="4"/>
        <w:tabs>
          <w:tab w:val="left" w:pos="360"/>
        </w:tabs>
        <w:spacing w:line="480" w:lineRule="exact"/>
        <w:ind w:left="0"/>
        <w:rPr>
          <w:rFonts w:hint="eastAsia" w:ascii="仿宋" w:hAnsi="仿宋" w:eastAsia="仿宋" w:cs="仿宋"/>
          <w:lang w:val="en-US"/>
        </w:rPr>
      </w:pPr>
      <w:r>
        <w:rPr>
          <w:rFonts w:hint="eastAsia" w:ascii="仿宋" w:hAnsi="仿宋" w:eastAsia="仿宋" w:cs="仿宋"/>
          <w:lang w:val="en-US"/>
        </w:rPr>
        <w:t>货币防伪与鉴别</w:t>
      </w:r>
    </w:p>
    <w:p>
      <w:pPr>
        <w:pStyle w:val="18"/>
        <w:spacing w:line="480" w:lineRule="exact"/>
        <w:ind w:left="420" w:firstLine="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单选题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0"/>
        <w:gridCol w:w="2197"/>
        <w:gridCol w:w="1431"/>
        <w:gridCol w:w="865"/>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赛项名称</w:t>
            </w:r>
          </w:p>
        </w:tc>
        <w:tc>
          <w:tcPr>
            <w:tcW w:w="1130" w:type="pct"/>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sz w:val="24"/>
                <w:szCs w:val="24"/>
              </w:rPr>
              <w:t>智慧金融</w:t>
            </w:r>
          </w:p>
        </w:tc>
        <w:tc>
          <w:tcPr>
            <w:tcW w:w="1181"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英语名称</w:t>
            </w:r>
          </w:p>
        </w:tc>
        <w:tc>
          <w:tcPr>
            <w:tcW w:w="1325" w:type="pct"/>
            <w:vAlign w:val="center"/>
          </w:tcPr>
          <w:p>
            <w:pPr>
              <w:pStyle w:val="2"/>
              <w:ind w:firstLine="560"/>
              <w:rPr>
                <w:rFonts w:hint="eastAsia" w:ascii="仿宋" w:hAnsi="仿宋" w:eastAsia="仿宋" w:cs="仿宋"/>
              </w:rPr>
            </w:pPr>
            <w:r>
              <w:rPr>
                <w:rFonts w:hint="eastAsia" w:ascii="仿宋" w:hAnsi="仿宋" w:eastAsia="仿宋" w:cs="仿宋"/>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赛项编号</w:t>
            </w:r>
          </w:p>
        </w:tc>
        <w:tc>
          <w:tcPr>
            <w:tcW w:w="113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sz w:val="24"/>
                <w:szCs w:val="24"/>
              </w:rPr>
              <w:t>GZ044</w:t>
            </w:r>
          </w:p>
        </w:tc>
        <w:tc>
          <w:tcPr>
            <w:tcW w:w="1181"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归属产业</w:t>
            </w:r>
          </w:p>
        </w:tc>
        <w:tc>
          <w:tcPr>
            <w:tcW w:w="1325"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中职组</w:t>
            </w:r>
          </w:p>
        </w:tc>
        <w:tc>
          <w:tcPr>
            <w:tcW w:w="2506"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□学生组 </w:t>
            </w:r>
            <w:r>
              <w:rPr>
                <w:rFonts w:hint="eastAsia" w:ascii="仿宋" w:hAnsi="仿宋" w:eastAsia="仿宋" w:cs="仿宋"/>
                <w:b/>
                <w:color w:val="000000"/>
                <w:sz w:val="24"/>
                <w:szCs w:val="24"/>
                <w:lang w:val="en-US"/>
              </w:rPr>
              <w:sym w:font="Wingdings 2" w:char="00A3"/>
            </w:r>
            <w:r>
              <w:rPr>
                <w:rFonts w:hint="eastAsia" w:ascii="仿宋" w:hAnsi="仿宋" w:eastAsia="仿宋" w:cs="仿宋"/>
                <w:b/>
                <w:color w:val="000000"/>
                <w:sz w:val="24"/>
                <w:szCs w:val="24"/>
                <w:lang w:val="en-US"/>
              </w:rPr>
              <w:t>教师组 □师生同赛试点赛项</w:t>
            </w:r>
          </w:p>
        </w:tc>
        <w:tc>
          <w:tcPr>
            <w:tcW w:w="2506"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sym w:font="Wingdings 2" w:char="0052"/>
            </w:r>
            <w:r>
              <w:rPr>
                <w:rFonts w:hint="eastAsia" w:ascii="仿宋" w:hAnsi="仿宋" w:eastAsia="仿宋" w:cs="仿宋"/>
                <w:b/>
                <w:color w:val="000000"/>
                <w:sz w:val="24"/>
                <w:szCs w:val="24"/>
                <w:lang w:val="en-US"/>
              </w:rPr>
              <w:t>学生组 □教师组 □师生同赛试点赛项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题目类型</w:t>
            </w:r>
          </w:p>
        </w:tc>
        <w:tc>
          <w:tcPr>
            <w:tcW w:w="2506"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sym w:font="Wingdings 2" w:char="0052"/>
            </w:r>
            <w:r>
              <w:rPr>
                <w:rFonts w:hint="eastAsia" w:ascii="仿宋" w:hAnsi="仿宋" w:eastAsia="仿宋" w:cs="仿宋"/>
                <w:b/>
                <w:color w:val="000000"/>
                <w:sz w:val="24"/>
                <w:szCs w:val="24"/>
                <w:lang w:val="en-US"/>
              </w:rPr>
              <w:t xml:space="preserve">单选题   </w:t>
            </w:r>
            <w:r>
              <w:rPr>
                <w:rFonts w:hint="eastAsia" w:ascii="仿宋" w:hAnsi="仿宋" w:eastAsia="仿宋" w:cs="仿宋"/>
                <w:b/>
                <w:color w:val="000000"/>
                <w:sz w:val="24"/>
                <w:szCs w:val="24"/>
                <w:lang w:val="en-US"/>
              </w:rPr>
              <w:sym w:font="Wingdings 2" w:char="00A3"/>
            </w:r>
            <w:r>
              <w:rPr>
                <w:rFonts w:hint="eastAsia" w:ascii="仿宋" w:hAnsi="仿宋" w:eastAsia="仿宋" w:cs="仿宋"/>
                <w:b/>
                <w:color w:val="000000"/>
                <w:sz w:val="24"/>
                <w:szCs w:val="24"/>
                <w:lang w:val="en-US"/>
              </w:rPr>
              <w:t xml:space="preserve">多选题  </w:t>
            </w:r>
            <w:r>
              <w:rPr>
                <w:rFonts w:hint="eastAsia" w:ascii="仿宋" w:hAnsi="仿宋" w:eastAsia="仿宋" w:cs="仿宋"/>
                <w:b/>
                <w:color w:val="000000"/>
                <w:sz w:val="24"/>
                <w:szCs w:val="24"/>
                <w:lang w:val="en-US"/>
              </w:rPr>
              <w:sym w:font="Wingdings 2" w:char="00A3"/>
            </w:r>
            <w:r>
              <w:rPr>
                <w:rFonts w:hint="eastAsia" w:ascii="仿宋" w:hAnsi="仿宋" w:eastAsia="仿宋" w:cs="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题目内容</w:t>
            </w:r>
          </w:p>
        </w:tc>
        <w:tc>
          <w:tcPr>
            <w:tcW w:w="1866" w:type="pct"/>
            <w:gridSpan w:val="2"/>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
                <w:color w:val="000000"/>
                <w:sz w:val="24"/>
                <w:szCs w:val="24"/>
                <w:lang w:val="en-US"/>
              </w:rPr>
              <w:t>题目选项</w:t>
            </w:r>
          </w:p>
        </w:tc>
        <w:tc>
          <w:tcPr>
            <w:tcW w:w="1769"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rPr>
                <w:rFonts w:hint="eastAsia" w:ascii="仿宋" w:hAnsi="仿宋" w:eastAsia="仿宋" w:cs="仿宋"/>
                <w:sz w:val="24"/>
                <w:szCs w:val="24"/>
              </w:rPr>
            </w:pPr>
            <w:r>
              <w:rPr>
                <w:rFonts w:hint="eastAsia" w:ascii="仿宋" w:hAnsi="仿宋" w:eastAsia="仿宋" w:cs="仿宋"/>
                <w:sz w:val="24"/>
                <w:szCs w:val="24"/>
              </w:rPr>
              <w:t>1.银行业金融机构清分中心操作员在清分回笼现金中发现可疑的人民币，应立即向（）报告，并换人复核。</w:t>
            </w:r>
          </w:p>
        </w:tc>
        <w:tc>
          <w:tcPr>
            <w:tcW w:w="1866" w:type="pct"/>
            <w:gridSpan w:val="2"/>
            <w:vAlign w:val="center"/>
          </w:tcPr>
          <w:p>
            <w:pPr>
              <w:rPr>
                <w:rFonts w:hint="eastAsia" w:ascii="仿宋" w:hAnsi="仿宋" w:eastAsia="仿宋" w:cs="仿宋"/>
                <w:sz w:val="24"/>
                <w:szCs w:val="24"/>
              </w:rPr>
            </w:pPr>
            <w:r>
              <w:rPr>
                <w:rFonts w:hint="eastAsia" w:ascii="仿宋" w:hAnsi="仿宋" w:eastAsia="仿宋" w:cs="仿宋"/>
                <w:sz w:val="24"/>
                <w:szCs w:val="24"/>
              </w:rPr>
              <w:t>A:分管行长</w:t>
            </w:r>
          </w:p>
          <w:p>
            <w:pPr>
              <w:rPr>
                <w:rFonts w:hint="eastAsia" w:ascii="仿宋" w:hAnsi="仿宋" w:eastAsia="仿宋" w:cs="仿宋"/>
                <w:sz w:val="24"/>
                <w:szCs w:val="24"/>
              </w:rPr>
            </w:pPr>
            <w:r>
              <w:rPr>
                <w:rFonts w:hint="eastAsia" w:ascii="仿宋" w:hAnsi="仿宋" w:eastAsia="仿宋" w:cs="仿宋"/>
                <w:sz w:val="24"/>
                <w:szCs w:val="24"/>
              </w:rPr>
              <w:t>B:当地人民银行货币金银部门</w:t>
            </w:r>
          </w:p>
          <w:p>
            <w:pPr>
              <w:rPr>
                <w:rFonts w:hint="eastAsia" w:ascii="仿宋" w:hAnsi="仿宋" w:eastAsia="仿宋" w:cs="仿宋"/>
                <w:sz w:val="24"/>
                <w:szCs w:val="24"/>
              </w:rPr>
            </w:pPr>
            <w:r>
              <w:rPr>
                <w:rFonts w:hint="eastAsia" w:ascii="仿宋" w:hAnsi="仿宋" w:eastAsia="仿宋" w:cs="仿宋"/>
                <w:sz w:val="24"/>
                <w:szCs w:val="24"/>
              </w:rPr>
              <w:t>C:现场负责人</w:t>
            </w:r>
          </w:p>
        </w:tc>
        <w:tc>
          <w:tcPr>
            <w:tcW w:w="1769" w:type="pct"/>
            <w:gridSpan w:val="2"/>
            <w:vAlign w:val="center"/>
          </w:tcPr>
          <w:p>
            <w:pPr>
              <w:pStyle w:val="12"/>
              <w:adjustRightInd w:val="0"/>
              <w:snapToGrid w:val="0"/>
              <w:spacing w:after="0"/>
              <w:ind w:left="0" w:leftChars="0" w:firstLine="0" w:firstLineChars="0"/>
              <w:rPr>
                <w:rFonts w:hint="eastAsia" w:ascii="仿宋" w:hAnsi="仿宋" w:eastAsia="仿宋" w:cs="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rPr>
                <w:rFonts w:hint="eastAsia" w:ascii="仿宋" w:hAnsi="仿宋" w:eastAsia="仿宋" w:cs="仿宋"/>
                <w:sz w:val="24"/>
                <w:szCs w:val="24"/>
              </w:rPr>
            </w:pPr>
            <w:r>
              <w:rPr>
                <w:rFonts w:hint="eastAsia" w:ascii="仿宋" w:hAnsi="仿宋" w:eastAsia="仿宋" w:cs="仿宋"/>
                <w:sz w:val="24"/>
                <w:szCs w:val="24"/>
              </w:rPr>
              <w:t>2.2007年版10元港币塑料钞的对印图案为（）。</w:t>
            </w:r>
          </w:p>
        </w:tc>
        <w:tc>
          <w:tcPr>
            <w:tcW w:w="1866" w:type="pct"/>
            <w:gridSpan w:val="2"/>
            <w:vAlign w:val="center"/>
          </w:tcPr>
          <w:p>
            <w:pPr>
              <w:rPr>
                <w:rFonts w:hint="eastAsia" w:ascii="仿宋" w:hAnsi="仿宋" w:eastAsia="仿宋" w:cs="仿宋"/>
                <w:sz w:val="24"/>
                <w:szCs w:val="24"/>
              </w:rPr>
            </w:pPr>
            <w:r>
              <w:rPr>
                <w:rFonts w:hint="eastAsia" w:ascii="仿宋" w:hAnsi="仿宋" w:eastAsia="仿宋" w:cs="仿宋"/>
                <w:sz w:val="24"/>
                <w:szCs w:val="24"/>
              </w:rPr>
              <w:t>A:面额数字</w:t>
            </w:r>
          </w:p>
          <w:p>
            <w:pPr>
              <w:rPr>
                <w:rFonts w:hint="eastAsia" w:ascii="仿宋" w:hAnsi="仿宋" w:eastAsia="仿宋" w:cs="仿宋"/>
                <w:sz w:val="24"/>
                <w:szCs w:val="24"/>
              </w:rPr>
            </w:pPr>
            <w:r>
              <w:rPr>
                <w:rFonts w:hint="eastAsia" w:ascii="仿宋" w:hAnsi="仿宋" w:eastAsia="仿宋" w:cs="仿宋"/>
                <w:sz w:val="24"/>
                <w:szCs w:val="24"/>
              </w:rPr>
              <w:t>B:紫荆花</w:t>
            </w:r>
          </w:p>
          <w:p>
            <w:pPr>
              <w:rPr>
                <w:rFonts w:hint="eastAsia" w:ascii="仿宋" w:hAnsi="仿宋" w:eastAsia="仿宋" w:cs="仿宋"/>
                <w:sz w:val="24"/>
                <w:szCs w:val="24"/>
              </w:rPr>
            </w:pPr>
            <w:r>
              <w:rPr>
                <w:rFonts w:hint="eastAsia" w:ascii="仿宋" w:hAnsi="仿宋" w:eastAsia="仿宋" w:cs="仿宋"/>
                <w:sz w:val="24"/>
                <w:szCs w:val="24"/>
              </w:rPr>
              <w:t>C:骏马</w:t>
            </w:r>
          </w:p>
          <w:p>
            <w:pPr>
              <w:rPr>
                <w:rFonts w:hint="eastAsia" w:ascii="仿宋" w:hAnsi="仿宋" w:eastAsia="仿宋" w:cs="仿宋"/>
                <w:sz w:val="24"/>
                <w:szCs w:val="24"/>
              </w:rPr>
            </w:pPr>
            <w:r>
              <w:rPr>
                <w:rFonts w:hint="eastAsia" w:ascii="仿宋" w:hAnsi="仿宋" w:eastAsia="仿宋" w:cs="仿宋"/>
                <w:sz w:val="24"/>
                <w:szCs w:val="24"/>
              </w:rPr>
              <w:t>D:字母HK</w:t>
            </w:r>
          </w:p>
        </w:tc>
        <w:tc>
          <w:tcPr>
            <w:tcW w:w="1769" w:type="pct"/>
            <w:gridSpan w:val="2"/>
            <w:vAlign w:val="center"/>
          </w:tcPr>
          <w:p>
            <w:pPr>
              <w:pStyle w:val="12"/>
              <w:adjustRightInd w:val="0"/>
              <w:snapToGrid w:val="0"/>
              <w:spacing w:after="0"/>
              <w:ind w:left="0" w:leftChars="0" w:firstLine="0" w:firstLineChars="0"/>
              <w:rPr>
                <w:rFonts w:hint="eastAsia" w:ascii="仿宋" w:hAnsi="仿宋" w:eastAsia="仿宋" w:cs="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rPr>
                <w:rFonts w:hint="eastAsia" w:ascii="仿宋" w:hAnsi="仿宋" w:eastAsia="仿宋" w:cs="仿宋"/>
                <w:sz w:val="24"/>
                <w:szCs w:val="24"/>
              </w:rPr>
            </w:pPr>
            <w:r>
              <w:rPr>
                <w:rFonts w:hint="eastAsia" w:ascii="仿宋" w:hAnsi="仿宋" w:eastAsia="仿宋" w:cs="仿宋"/>
                <w:sz w:val="24"/>
                <w:szCs w:val="24"/>
              </w:rPr>
              <w:t>3.在人民币中首次使用固定水印的图案是（）。</w:t>
            </w:r>
          </w:p>
        </w:tc>
        <w:tc>
          <w:tcPr>
            <w:tcW w:w="1866" w:type="pct"/>
            <w:gridSpan w:val="2"/>
            <w:vAlign w:val="center"/>
          </w:tcPr>
          <w:p>
            <w:pPr>
              <w:rPr>
                <w:rFonts w:hint="eastAsia" w:ascii="仿宋" w:hAnsi="仿宋" w:eastAsia="仿宋" w:cs="仿宋"/>
                <w:sz w:val="24"/>
                <w:szCs w:val="24"/>
              </w:rPr>
            </w:pPr>
            <w:r>
              <w:rPr>
                <w:rFonts w:hint="eastAsia" w:ascii="仿宋" w:hAnsi="仿宋" w:eastAsia="仿宋" w:cs="仿宋"/>
                <w:sz w:val="24"/>
                <w:szCs w:val="24"/>
              </w:rPr>
              <w:t>A:天安门</w:t>
            </w:r>
          </w:p>
          <w:p>
            <w:pPr>
              <w:rPr>
                <w:rFonts w:hint="eastAsia" w:ascii="仿宋" w:hAnsi="仿宋" w:eastAsia="仿宋" w:cs="仿宋"/>
                <w:sz w:val="24"/>
                <w:szCs w:val="24"/>
              </w:rPr>
            </w:pPr>
            <w:r>
              <w:rPr>
                <w:rFonts w:hint="eastAsia" w:ascii="仿宋" w:hAnsi="仿宋" w:eastAsia="仿宋" w:cs="仿宋"/>
                <w:sz w:val="24"/>
                <w:szCs w:val="24"/>
              </w:rPr>
              <w:t>B:古钱币</w:t>
            </w:r>
          </w:p>
          <w:p>
            <w:pPr>
              <w:rPr>
                <w:rFonts w:hint="eastAsia" w:ascii="仿宋" w:hAnsi="仿宋" w:eastAsia="仿宋" w:cs="仿宋"/>
                <w:sz w:val="24"/>
                <w:szCs w:val="24"/>
              </w:rPr>
            </w:pPr>
            <w:r>
              <w:rPr>
                <w:rFonts w:hint="eastAsia" w:ascii="仿宋" w:hAnsi="仿宋" w:eastAsia="仿宋" w:cs="仿宋"/>
                <w:sz w:val="24"/>
                <w:szCs w:val="24"/>
              </w:rPr>
              <w:t>C:国徽</w:t>
            </w:r>
          </w:p>
          <w:p>
            <w:pPr>
              <w:rPr>
                <w:rFonts w:hint="eastAsia" w:ascii="仿宋" w:hAnsi="仿宋" w:eastAsia="仿宋" w:cs="仿宋"/>
                <w:sz w:val="24"/>
                <w:szCs w:val="24"/>
              </w:rPr>
            </w:pPr>
            <w:r>
              <w:rPr>
                <w:rFonts w:hint="eastAsia" w:ascii="仿宋" w:hAnsi="仿宋" w:eastAsia="仿宋" w:cs="仿宋"/>
                <w:sz w:val="24"/>
                <w:szCs w:val="24"/>
              </w:rPr>
              <w:t>D:国旗五星</w:t>
            </w:r>
          </w:p>
        </w:tc>
        <w:tc>
          <w:tcPr>
            <w:tcW w:w="1769" w:type="pct"/>
            <w:gridSpan w:val="2"/>
            <w:vAlign w:val="center"/>
          </w:tcPr>
          <w:p>
            <w:pPr>
              <w:pStyle w:val="12"/>
              <w:adjustRightInd w:val="0"/>
              <w:snapToGrid w:val="0"/>
              <w:spacing w:after="0"/>
              <w:ind w:left="0" w:leftChars="0" w:firstLine="0" w:firstLineChars="0"/>
              <w:rPr>
                <w:rFonts w:hint="eastAsia" w:ascii="仿宋" w:hAnsi="仿宋" w:eastAsia="仿宋" w:cs="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rPr>
                <w:rFonts w:hint="eastAsia" w:ascii="仿宋" w:hAnsi="仿宋" w:eastAsia="仿宋" w:cs="仿宋"/>
                <w:sz w:val="24"/>
                <w:szCs w:val="24"/>
              </w:rPr>
            </w:pPr>
          </w:p>
        </w:tc>
        <w:tc>
          <w:tcPr>
            <w:tcW w:w="1866" w:type="pct"/>
            <w:gridSpan w:val="2"/>
            <w:vAlign w:val="center"/>
          </w:tcPr>
          <w:p>
            <w:pPr>
              <w:rPr>
                <w:rFonts w:hint="eastAsia" w:ascii="仿宋" w:hAnsi="仿宋" w:eastAsia="仿宋" w:cs="仿宋"/>
                <w:sz w:val="24"/>
                <w:szCs w:val="24"/>
              </w:rPr>
            </w:pPr>
            <w:r>
              <w:rPr>
                <w:rFonts w:hint="eastAsia" w:ascii="仿宋" w:hAnsi="仿宋" w:eastAsia="仿宋" w:cs="仿宋"/>
                <w:sz w:val="24"/>
                <w:szCs w:val="24"/>
              </w:rPr>
              <w:t>……</w:t>
            </w:r>
          </w:p>
        </w:tc>
        <w:tc>
          <w:tcPr>
            <w:tcW w:w="1769" w:type="pct"/>
            <w:gridSpan w:val="2"/>
            <w:vAlign w:val="center"/>
          </w:tcPr>
          <w:p>
            <w:pPr>
              <w:pStyle w:val="12"/>
              <w:adjustRightInd w:val="0"/>
              <w:snapToGrid w:val="0"/>
              <w:spacing w:after="0"/>
              <w:ind w:left="0" w:leftChars="0" w:firstLine="0" w:firstLineChars="0"/>
              <w:rPr>
                <w:rFonts w:hint="eastAsia" w:ascii="仿宋" w:hAnsi="仿宋" w:eastAsia="仿宋" w:cs="仿宋"/>
                <w:color w:val="000000"/>
                <w:sz w:val="24"/>
                <w:szCs w:val="24"/>
                <w:lang w:val="en-US"/>
              </w:rPr>
            </w:pPr>
          </w:p>
        </w:tc>
      </w:tr>
    </w:tbl>
    <w:p>
      <w:pPr>
        <w:spacing w:line="480" w:lineRule="exact"/>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多选题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0"/>
        <w:gridCol w:w="2197"/>
        <w:gridCol w:w="1431"/>
        <w:gridCol w:w="865"/>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赛项名称</w:t>
            </w:r>
          </w:p>
        </w:tc>
        <w:tc>
          <w:tcPr>
            <w:tcW w:w="1130" w:type="pct"/>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sz w:val="24"/>
                <w:szCs w:val="24"/>
              </w:rPr>
              <w:t>智慧金融</w:t>
            </w:r>
          </w:p>
        </w:tc>
        <w:tc>
          <w:tcPr>
            <w:tcW w:w="1181"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英语名称</w:t>
            </w:r>
          </w:p>
        </w:tc>
        <w:tc>
          <w:tcPr>
            <w:tcW w:w="1325" w:type="pct"/>
            <w:vAlign w:val="center"/>
          </w:tcPr>
          <w:p>
            <w:pPr>
              <w:pStyle w:val="2"/>
              <w:ind w:firstLine="560"/>
              <w:rPr>
                <w:rFonts w:hint="eastAsia" w:ascii="仿宋" w:hAnsi="仿宋" w:eastAsia="仿宋" w:cs="仿宋"/>
              </w:rPr>
            </w:pPr>
            <w:r>
              <w:rPr>
                <w:rFonts w:hint="eastAsia" w:ascii="仿宋" w:hAnsi="仿宋" w:eastAsia="仿宋" w:cs="仿宋"/>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赛项编号</w:t>
            </w:r>
          </w:p>
        </w:tc>
        <w:tc>
          <w:tcPr>
            <w:tcW w:w="113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sz w:val="24"/>
                <w:szCs w:val="24"/>
              </w:rPr>
              <w:t>GZ044</w:t>
            </w:r>
          </w:p>
        </w:tc>
        <w:tc>
          <w:tcPr>
            <w:tcW w:w="1181"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归属产业</w:t>
            </w:r>
          </w:p>
        </w:tc>
        <w:tc>
          <w:tcPr>
            <w:tcW w:w="1325"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中职组</w:t>
            </w:r>
          </w:p>
        </w:tc>
        <w:tc>
          <w:tcPr>
            <w:tcW w:w="2506"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□学生组 </w:t>
            </w:r>
            <w:r>
              <w:rPr>
                <w:rFonts w:hint="eastAsia" w:ascii="仿宋" w:hAnsi="仿宋" w:eastAsia="仿宋" w:cs="仿宋"/>
                <w:b/>
                <w:color w:val="000000"/>
                <w:sz w:val="24"/>
                <w:szCs w:val="24"/>
                <w:lang w:val="en-US"/>
              </w:rPr>
              <w:sym w:font="Wingdings 2" w:char="00A3"/>
            </w:r>
            <w:r>
              <w:rPr>
                <w:rFonts w:hint="eastAsia" w:ascii="仿宋" w:hAnsi="仿宋" w:eastAsia="仿宋" w:cs="仿宋"/>
                <w:b/>
                <w:color w:val="000000"/>
                <w:sz w:val="24"/>
                <w:szCs w:val="24"/>
                <w:lang w:val="en-US"/>
              </w:rPr>
              <w:t>教师组 □师生同赛试点赛项</w:t>
            </w:r>
          </w:p>
        </w:tc>
        <w:tc>
          <w:tcPr>
            <w:tcW w:w="2506"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sym w:font="Wingdings 2" w:char="0052"/>
            </w:r>
            <w:r>
              <w:rPr>
                <w:rFonts w:hint="eastAsia" w:ascii="仿宋" w:hAnsi="仿宋" w:eastAsia="仿宋" w:cs="仿宋"/>
                <w:b/>
                <w:color w:val="000000"/>
                <w:sz w:val="24"/>
                <w:szCs w:val="24"/>
                <w:lang w:val="en-US"/>
              </w:rPr>
              <w:t>学生组 □教师组 □师生同赛试点赛项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题目类型</w:t>
            </w:r>
          </w:p>
        </w:tc>
        <w:tc>
          <w:tcPr>
            <w:tcW w:w="2506"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□单选题   </w:t>
            </w:r>
            <w:r>
              <w:rPr>
                <w:rFonts w:hint="eastAsia" w:ascii="仿宋" w:hAnsi="仿宋" w:eastAsia="仿宋" w:cs="仿宋"/>
                <w:b/>
                <w:color w:val="000000"/>
                <w:sz w:val="24"/>
                <w:szCs w:val="24"/>
                <w:lang w:val="en-US"/>
              </w:rPr>
              <w:sym w:font="Wingdings 2" w:char="0052"/>
            </w:r>
            <w:r>
              <w:rPr>
                <w:rFonts w:hint="eastAsia" w:ascii="仿宋" w:hAnsi="仿宋" w:eastAsia="仿宋" w:cs="仿宋"/>
                <w:b/>
                <w:color w:val="000000"/>
                <w:sz w:val="24"/>
                <w:szCs w:val="24"/>
                <w:lang w:val="en-US"/>
              </w:rPr>
              <w:t xml:space="preserve">多选题  </w:t>
            </w:r>
            <w:r>
              <w:rPr>
                <w:rFonts w:hint="eastAsia" w:ascii="仿宋" w:hAnsi="仿宋" w:eastAsia="仿宋" w:cs="仿宋"/>
                <w:b/>
                <w:color w:val="000000"/>
                <w:sz w:val="24"/>
                <w:szCs w:val="24"/>
                <w:lang w:val="en-US"/>
              </w:rPr>
              <w:sym w:font="Wingdings 2" w:char="00A3"/>
            </w:r>
            <w:r>
              <w:rPr>
                <w:rFonts w:hint="eastAsia" w:ascii="仿宋" w:hAnsi="仿宋" w:eastAsia="仿宋" w:cs="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题目内容</w:t>
            </w:r>
          </w:p>
        </w:tc>
        <w:tc>
          <w:tcPr>
            <w:tcW w:w="1866" w:type="pct"/>
            <w:gridSpan w:val="2"/>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
                <w:color w:val="000000"/>
                <w:sz w:val="24"/>
                <w:szCs w:val="24"/>
                <w:lang w:val="en-US"/>
              </w:rPr>
              <w:t>题目选项</w:t>
            </w:r>
          </w:p>
        </w:tc>
        <w:tc>
          <w:tcPr>
            <w:tcW w:w="1769"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题目答案</w:t>
            </w:r>
          </w:p>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rPr>
                <w:rFonts w:hint="eastAsia" w:ascii="仿宋" w:hAnsi="仿宋" w:eastAsia="仿宋" w:cs="仿宋"/>
                <w:sz w:val="24"/>
                <w:szCs w:val="24"/>
              </w:rPr>
            </w:pPr>
            <w:r>
              <w:rPr>
                <w:rFonts w:hint="eastAsia" w:ascii="仿宋" w:hAnsi="仿宋" w:eastAsia="仿宋" w:cs="仿宋"/>
                <w:sz w:val="24"/>
                <w:szCs w:val="24"/>
              </w:rPr>
              <w:t>31.2005版第五套人民币100元的（）具有磁性特征。</w:t>
            </w:r>
          </w:p>
        </w:tc>
        <w:tc>
          <w:tcPr>
            <w:tcW w:w="1866" w:type="pct"/>
            <w:gridSpan w:val="2"/>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A:主景人像</w:t>
            </w:r>
          </w:p>
          <w:p>
            <w:pPr>
              <w:rPr>
                <w:rFonts w:hint="eastAsia" w:ascii="仿宋" w:hAnsi="仿宋" w:eastAsia="仿宋" w:cs="仿宋"/>
                <w:sz w:val="24"/>
                <w:szCs w:val="24"/>
                <w:lang w:val="en-US"/>
              </w:rPr>
            </w:pPr>
            <w:r>
              <w:rPr>
                <w:rFonts w:hint="eastAsia" w:ascii="仿宋" w:hAnsi="仿宋" w:eastAsia="仿宋" w:cs="仿宋"/>
                <w:sz w:val="24"/>
                <w:szCs w:val="24"/>
                <w:lang w:val="en-US"/>
              </w:rPr>
              <w:t>B:光变油墨面额数字</w:t>
            </w:r>
          </w:p>
          <w:p>
            <w:pPr>
              <w:rPr>
                <w:rFonts w:hint="eastAsia" w:ascii="仿宋" w:hAnsi="仿宋" w:eastAsia="仿宋" w:cs="仿宋"/>
                <w:sz w:val="24"/>
                <w:szCs w:val="24"/>
                <w:lang w:val="en-US"/>
              </w:rPr>
            </w:pPr>
            <w:r>
              <w:rPr>
                <w:rFonts w:hint="eastAsia" w:ascii="仿宋" w:hAnsi="仿宋" w:eastAsia="仿宋" w:cs="仿宋"/>
                <w:sz w:val="24"/>
                <w:szCs w:val="24"/>
                <w:lang w:val="en-US"/>
              </w:rPr>
              <w:t>C:安全线</w:t>
            </w:r>
          </w:p>
          <w:p>
            <w:pPr>
              <w:rPr>
                <w:rFonts w:hint="eastAsia" w:ascii="仿宋" w:hAnsi="仿宋" w:eastAsia="仿宋" w:cs="仿宋"/>
                <w:sz w:val="24"/>
                <w:szCs w:val="24"/>
                <w:lang w:val="en-US"/>
              </w:rPr>
            </w:pPr>
            <w:r>
              <w:rPr>
                <w:rFonts w:hint="eastAsia" w:ascii="仿宋" w:hAnsi="仿宋" w:eastAsia="仿宋" w:cs="仿宋"/>
                <w:sz w:val="24"/>
                <w:szCs w:val="24"/>
                <w:lang w:val="en-US"/>
              </w:rPr>
              <w:t>D:冠字号码</w:t>
            </w:r>
          </w:p>
        </w:tc>
        <w:tc>
          <w:tcPr>
            <w:tcW w:w="1769" w:type="pct"/>
            <w:gridSpan w:val="2"/>
            <w:vAlign w:val="center"/>
          </w:tcPr>
          <w:p>
            <w:pPr>
              <w:pStyle w:val="7"/>
              <w:jc w:val="left"/>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rPr>
                <w:rFonts w:hint="eastAsia" w:ascii="仿宋" w:hAnsi="仿宋" w:eastAsia="仿宋" w:cs="仿宋"/>
                <w:sz w:val="24"/>
                <w:szCs w:val="24"/>
              </w:rPr>
            </w:pPr>
            <w:r>
              <w:rPr>
                <w:rFonts w:hint="eastAsia" w:ascii="仿宋" w:hAnsi="仿宋" w:eastAsia="仿宋" w:cs="仿宋"/>
                <w:sz w:val="24"/>
                <w:szCs w:val="24"/>
              </w:rPr>
              <w:t>32.美元经常改变年号，从1990年版以后，又发行哪几个版别?（）</w:t>
            </w:r>
          </w:p>
        </w:tc>
        <w:tc>
          <w:tcPr>
            <w:tcW w:w="1866" w:type="pct"/>
            <w:gridSpan w:val="2"/>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A:1993</w:t>
            </w:r>
            <w:r>
              <w:rPr>
                <w:rFonts w:hint="eastAsia" w:ascii="仿宋" w:hAnsi="仿宋" w:eastAsia="仿宋" w:cs="仿宋"/>
                <w:sz w:val="24"/>
                <w:szCs w:val="24"/>
              </w:rPr>
              <w:t>年版</w:t>
            </w:r>
          </w:p>
          <w:p>
            <w:pPr>
              <w:rPr>
                <w:rFonts w:hint="eastAsia" w:ascii="仿宋" w:hAnsi="仿宋" w:eastAsia="仿宋" w:cs="仿宋"/>
                <w:sz w:val="24"/>
                <w:szCs w:val="24"/>
                <w:lang w:val="en-US"/>
              </w:rPr>
            </w:pPr>
            <w:r>
              <w:rPr>
                <w:rFonts w:hint="eastAsia" w:ascii="仿宋" w:hAnsi="仿宋" w:eastAsia="仿宋" w:cs="仿宋"/>
                <w:sz w:val="24"/>
                <w:szCs w:val="24"/>
                <w:lang w:val="en-US"/>
              </w:rPr>
              <w:t>B:1995</w:t>
            </w:r>
            <w:r>
              <w:rPr>
                <w:rFonts w:hint="eastAsia" w:ascii="仿宋" w:hAnsi="仿宋" w:eastAsia="仿宋" w:cs="仿宋"/>
                <w:sz w:val="24"/>
                <w:szCs w:val="24"/>
              </w:rPr>
              <w:t>年版</w:t>
            </w:r>
          </w:p>
          <w:p>
            <w:pPr>
              <w:rPr>
                <w:rFonts w:hint="eastAsia" w:ascii="仿宋" w:hAnsi="仿宋" w:eastAsia="仿宋" w:cs="仿宋"/>
                <w:sz w:val="24"/>
                <w:szCs w:val="24"/>
                <w:lang w:val="en-US"/>
              </w:rPr>
            </w:pPr>
            <w:r>
              <w:rPr>
                <w:rFonts w:hint="eastAsia" w:ascii="仿宋" w:hAnsi="仿宋" w:eastAsia="仿宋" w:cs="仿宋"/>
                <w:sz w:val="24"/>
                <w:szCs w:val="24"/>
                <w:lang w:val="en-US"/>
              </w:rPr>
              <w:t>C:1996</w:t>
            </w:r>
            <w:r>
              <w:rPr>
                <w:rFonts w:hint="eastAsia" w:ascii="仿宋" w:hAnsi="仿宋" w:eastAsia="仿宋" w:cs="仿宋"/>
                <w:sz w:val="24"/>
                <w:szCs w:val="24"/>
              </w:rPr>
              <w:t>年版</w:t>
            </w:r>
          </w:p>
          <w:p>
            <w:pPr>
              <w:rPr>
                <w:rFonts w:hint="eastAsia" w:ascii="仿宋" w:hAnsi="仿宋" w:eastAsia="仿宋" w:cs="仿宋"/>
                <w:sz w:val="24"/>
                <w:szCs w:val="24"/>
                <w:lang w:val="en-US"/>
              </w:rPr>
            </w:pPr>
            <w:r>
              <w:rPr>
                <w:rFonts w:hint="eastAsia" w:ascii="仿宋" w:hAnsi="仿宋" w:eastAsia="仿宋" w:cs="仿宋"/>
                <w:sz w:val="24"/>
                <w:szCs w:val="24"/>
                <w:lang w:val="en-US"/>
              </w:rPr>
              <w:t>D:1999</w:t>
            </w:r>
            <w:r>
              <w:rPr>
                <w:rFonts w:hint="eastAsia" w:ascii="仿宋" w:hAnsi="仿宋" w:eastAsia="仿宋" w:cs="仿宋"/>
                <w:sz w:val="24"/>
                <w:szCs w:val="24"/>
              </w:rPr>
              <w:t>年版</w:t>
            </w:r>
          </w:p>
          <w:p>
            <w:pPr>
              <w:rPr>
                <w:rFonts w:hint="eastAsia" w:ascii="仿宋" w:hAnsi="仿宋" w:eastAsia="仿宋" w:cs="仿宋"/>
                <w:sz w:val="24"/>
                <w:szCs w:val="24"/>
              </w:rPr>
            </w:pPr>
            <w:r>
              <w:rPr>
                <w:rFonts w:hint="eastAsia" w:ascii="仿宋" w:hAnsi="仿宋" w:eastAsia="仿宋" w:cs="仿宋"/>
                <w:sz w:val="24"/>
                <w:szCs w:val="24"/>
              </w:rPr>
              <w:t>E:2001年版</w:t>
            </w:r>
          </w:p>
        </w:tc>
        <w:tc>
          <w:tcPr>
            <w:tcW w:w="1769" w:type="pct"/>
            <w:gridSpan w:val="2"/>
            <w:vAlign w:val="center"/>
          </w:tcPr>
          <w:p>
            <w:pPr>
              <w:pStyle w:val="12"/>
              <w:adjustRightInd w:val="0"/>
              <w:snapToGrid w:val="0"/>
              <w:spacing w:after="0"/>
              <w:ind w:left="0" w:leftChars="0" w:firstLine="0" w:firstLineChars="0"/>
              <w:rPr>
                <w:rFonts w:hint="eastAsia" w:ascii="仿宋" w:hAnsi="仿宋" w:eastAsia="仿宋" w:cs="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rPr>
                <w:rFonts w:hint="eastAsia" w:ascii="仿宋" w:hAnsi="仿宋" w:eastAsia="仿宋" w:cs="仿宋"/>
                <w:sz w:val="24"/>
                <w:szCs w:val="24"/>
              </w:rPr>
            </w:pPr>
          </w:p>
        </w:tc>
        <w:tc>
          <w:tcPr>
            <w:tcW w:w="1866" w:type="pct"/>
            <w:gridSpan w:val="2"/>
            <w:vAlign w:val="center"/>
          </w:tcPr>
          <w:p>
            <w:pPr>
              <w:rPr>
                <w:rFonts w:hint="eastAsia" w:ascii="仿宋" w:hAnsi="仿宋" w:eastAsia="仿宋" w:cs="仿宋"/>
                <w:sz w:val="24"/>
                <w:szCs w:val="24"/>
              </w:rPr>
            </w:pPr>
            <w:r>
              <w:rPr>
                <w:rFonts w:hint="eastAsia" w:ascii="仿宋" w:hAnsi="仿宋" w:eastAsia="仿宋" w:cs="仿宋"/>
                <w:sz w:val="24"/>
                <w:szCs w:val="24"/>
              </w:rPr>
              <w:t>……</w:t>
            </w:r>
          </w:p>
        </w:tc>
        <w:tc>
          <w:tcPr>
            <w:tcW w:w="1769" w:type="pct"/>
            <w:gridSpan w:val="2"/>
            <w:vAlign w:val="center"/>
          </w:tcPr>
          <w:p>
            <w:pPr>
              <w:pStyle w:val="12"/>
              <w:adjustRightInd w:val="0"/>
              <w:snapToGrid w:val="0"/>
              <w:spacing w:after="0"/>
              <w:ind w:left="0" w:leftChars="0" w:firstLine="0" w:firstLineChars="0"/>
              <w:rPr>
                <w:rFonts w:hint="eastAsia" w:ascii="仿宋" w:hAnsi="仿宋" w:eastAsia="仿宋" w:cs="仿宋"/>
                <w:color w:val="000000"/>
                <w:sz w:val="24"/>
                <w:szCs w:val="24"/>
                <w:lang w:val="en-US"/>
              </w:rPr>
            </w:pPr>
          </w:p>
        </w:tc>
      </w:tr>
    </w:tbl>
    <w:p>
      <w:pPr>
        <w:pStyle w:val="18"/>
        <w:spacing w:line="480" w:lineRule="exact"/>
        <w:ind w:left="0" w:firstLine="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是非题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5"/>
        <w:gridCol w:w="2372"/>
        <w:gridCol w:w="2322"/>
        <w:gridCol w:w="2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赛项名称</w:t>
            </w:r>
          </w:p>
        </w:tc>
        <w:tc>
          <w:tcPr>
            <w:tcW w:w="1220" w:type="pct"/>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sz w:val="24"/>
                <w:szCs w:val="24"/>
              </w:rPr>
              <w:t>智慧金融</w:t>
            </w:r>
          </w:p>
        </w:tc>
        <w:tc>
          <w:tcPr>
            <w:tcW w:w="119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英语名称</w:t>
            </w:r>
          </w:p>
        </w:tc>
        <w:tc>
          <w:tcPr>
            <w:tcW w:w="1312" w:type="pct"/>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赛项编号</w:t>
            </w:r>
          </w:p>
        </w:tc>
        <w:tc>
          <w:tcPr>
            <w:tcW w:w="122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sz w:val="24"/>
                <w:szCs w:val="24"/>
              </w:rPr>
              <w:t>GZ044</w:t>
            </w:r>
          </w:p>
        </w:tc>
        <w:tc>
          <w:tcPr>
            <w:tcW w:w="119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归属产业</w:t>
            </w:r>
          </w:p>
        </w:tc>
        <w:tc>
          <w:tcPr>
            <w:tcW w:w="1312"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中职组</w:t>
            </w:r>
          </w:p>
        </w:tc>
        <w:tc>
          <w:tcPr>
            <w:tcW w:w="2506"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□学生组 □教师组 □师生同赛试点赛项</w:t>
            </w:r>
          </w:p>
        </w:tc>
        <w:tc>
          <w:tcPr>
            <w:tcW w:w="2506"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sym w:font="Wingdings 2" w:char="0052"/>
            </w:r>
            <w:r>
              <w:rPr>
                <w:rFonts w:hint="eastAsia" w:ascii="仿宋" w:hAnsi="仿宋" w:eastAsia="仿宋" w:cs="仿宋"/>
                <w:b/>
                <w:color w:val="000000"/>
                <w:sz w:val="24"/>
                <w:szCs w:val="24"/>
                <w:lang w:val="en-US"/>
              </w:rPr>
              <w:t>学生组 □教师组 □师生同赛试点赛项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题目类型</w:t>
            </w:r>
          </w:p>
        </w:tc>
        <w:tc>
          <w:tcPr>
            <w:tcW w:w="2506"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sym w:font="Wingdings 2" w:char="00A3"/>
            </w:r>
            <w:r>
              <w:rPr>
                <w:rFonts w:hint="eastAsia" w:ascii="仿宋" w:hAnsi="仿宋" w:eastAsia="仿宋" w:cs="仿宋"/>
                <w:b/>
                <w:color w:val="000000"/>
                <w:sz w:val="24"/>
                <w:szCs w:val="24"/>
                <w:lang w:val="en-US"/>
              </w:rPr>
              <w:t xml:space="preserve">单选题   </w:t>
            </w:r>
            <w:r>
              <w:rPr>
                <w:rFonts w:hint="eastAsia" w:ascii="仿宋" w:hAnsi="仿宋" w:eastAsia="仿宋" w:cs="仿宋"/>
                <w:b/>
                <w:color w:val="000000"/>
                <w:sz w:val="24"/>
                <w:szCs w:val="24"/>
                <w:lang w:val="en-US"/>
              </w:rPr>
              <w:sym w:font="Wingdings 2" w:char="00A3"/>
            </w:r>
            <w:r>
              <w:rPr>
                <w:rFonts w:hint="eastAsia" w:ascii="仿宋" w:hAnsi="仿宋" w:eastAsia="仿宋" w:cs="仿宋"/>
                <w:b/>
                <w:color w:val="000000"/>
                <w:sz w:val="24"/>
                <w:szCs w:val="24"/>
                <w:lang w:val="en-US"/>
              </w:rPr>
              <w:t xml:space="preserve">多选题  </w:t>
            </w:r>
            <w:r>
              <w:rPr>
                <w:rFonts w:hint="eastAsia" w:ascii="仿宋" w:hAnsi="仿宋" w:eastAsia="仿宋" w:cs="仿宋"/>
                <w:b/>
                <w:color w:val="000000"/>
                <w:sz w:val="24"/>
                <w:szCs w:val="24"/>
                <w:lang w:val="en-US"/>
              </w:rPr>
              <w:sym w:font="Wingdings 2" w:char="0052"/>
            </w:r>
            <w:r>
              <w:rPr>
                <w:rFonts w:hint="eastAsia" w:ascii="仿宋" w:hAnsi="仿宋" w:eastAsia="仿宋" w:cs="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
                <w:color w:val="000000"/>
                <w:sz w:val="24"/>
                <w:szCs w:val="24"/>
                <w:lang w:val="en-US"/>
              </w:rPr>
              <w:t>题目内容</w:t>
            </w:r>
          </w:p>
        </w:tc>
        <w:tc>
          <w:tcPr>
            <w:tcW w:w="2506"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46.办理人民币存取款业务的金融机构应根据合理需要原则，为公众办理券别调剂业务。（）</w:t>
            </w:r>
          </w:p>
        </w:tc>
        <w:tc>
          <w:tcPr>
            <w:tcW w:w="2506" w:type="pct"/>
            <w:gridSpan w:val="2"/>
            <w:vAlign w:val="center"/>
          </w:tcPr>
          <w:p>
            <w:pPr>
              <w:pStyle w:val="12"/>
              <w:adjustRightInd w:val="0"/>
              <w:snapToGrid w:val="0"/>
              <w:spacing w:after="0"/>
              <w:ind w:left="0" w:leftChars="0" w:firstLine="0" w:firstLineChars="0"/>
              <w:rPr>
                <w:rFonts w:hint="eastAsia" w:ascii="仿宋" w:hAnsi="仿宋" w:eastAsia="仿宋" w:cs="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47.根据《人民币鉴别仪通用技术条件》（GB_16999-2010），A级点验钞机的漏辨率应小于等于0.015%。（）</w:t>
            </w:r>
          </w:p>
        </w:tc>
        <w:tc>
          <w:tcPr>
            <w:tcW w:w="2506" w:type="pct"/>
            <w:gridSpan w:val="2"/>
            <w:vAlign w:val="center"/>
          </w:tcPr>
          <w:p>
            <w:pPr>
              <w:adjustRightInd w:val="0"/>
              <w:snapToGrid w:val="0"/>
              <w:rPr>
                <w:rFonts w:hint="eastAsia" w:ascii="仿宋" w:hAnsi="仿宋" w:eastAsia="仿宋" w:cs="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48.中国人民银行授权的鉴定机构拒绝受理持有人、金融机构提出的人民币真伪鉴定申请的，中国人民银行可对该授权的鉴定机构处以1千元以上5万元以下罚款。</w:t>
            </w:r>
            <w:r>
              <w:rPr>
                <w:rFonts w:hint="eastAsia" w:ascii="仿宋" w:hAnsi="仿宋" w:eastAsia="仿宋" w:cs="仿宋"/>
                <w:sz w:val="24"/>
                <w:szCs w:val="24"/>
              </w:rPr>
              <w:t>（）</w:t>
            </w:r>
          </w:p>
        </w:tc>
        <w:tc>
          <w:tcPr>
            <w:tcW w:w="2506" w:type="pct"/>
            <w:gridSpan w:val="2"/>
            <w:vAlign w:val="center"/>
          </w:tcPr>
          <w:p>
            <w:pPr>
              <w:adjustRightInd w:val="0"/>
              <w:snapToGrid w:val="0"/>
              <w:rPr>
                <w:rFonts w:hint="eastAsia" w:ascii="仿宋" w:hAnsi="仿宋" w:eastAsia="仿宋" w:cs="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w:t>
            </w:r>
          </w:p>
        </w:tc>
        <w:tc>
          <w:tcPr>
            <w:tcW w:w="2506" w:type="pct"/>
            <w:gridSpan w:val="2"/>
            <w:vAlign w:val="center"/>
          </w:tcPr>
          <w:p>
            <w:pPr>
              <w:adjustRightInd w:val="0"/>
              <w:snapToGrid w:val="0"/>
              <w:rPr>
                <w:rFonts w:hint="eastAsia" w:ascii="仿宋" w:hAnsi="仿宋" w:eastAsia="仿宋" w:cs="仿宋"/>
                <w:color w:val="000000"/>
                <w:sz w:val="24"/>
                <w:szCs w:val="24"/>
                <w:lang w:val="en-US"/>
              </w:rPr>
            </w:pPr>
          </w:p>
        </w:tc>
      </w:tr>
    </w:tbl>
    <w:p>
      <w:pPr>
        <w:spacing w:line="480" w:lineRule="exact"/>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实务题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16"/>
        <w:gridCol w:w="1980"/>
        <w:gridCol w:w="1215"/>
        <w:gridCol w:w="649"/>
        <w:gridCol w:w="2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赛项名称</w:t>
            </w:r>
          </w:p>
        </w:tc>
        <w:tc>
          <w:tcPr>
            <w:tcW w:w="1130" w:type="pct"/>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sz w:val="24"/>
                <w:szCs w:val="24"/>
              </w:rPr>
              <w:t>智慧金融</w:t>
            </w:r>
          </w:p>
        </w:tc>
        <w:tc>
          <w:tcPr>
            <w:tcW w:w="1181"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英语名称</w:t>
            </w:r>
          </w:p>
        </w:tc>
        <w:tc>
          <w:tcPr>
            <w:tcW w:w="1325" w:type="pct"/>
            <w:vAlign w:val="center"/>
          </w:tcPr>
          <w:p>
            <w:pPr>
              <w:pStyle w:val="2"/>
              <w:rPr>
                <w:rFonts w:hint="eastAsia" w:ascii="仿宋" w:hAnsi="仿宋" w:eastAsia="仿宋" w:cs="仿宋"/>
              </w:rPr>
            </w:pPr>
            <w:r>
              <w:rPr>
                <w:rFonts w:hint="eastAsia" w:ascii="仿宋" w:hAnsi="仿宋" w:eastAsia="仿宋" w:cs="仿宋"/>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赛项编号</w:t>
            </w:r>
          </w:p>
        </w:tc>
        <w:tc>
          <w:tcPr>
            <w:tcW w:w="113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sz w:val="24"/>
                <w:szCs w:val="24"/>
              </w:rPr>
              <w:t>GZ044</w:t>
            </w:r>
          </w:p>
        </w:tc>
        <w:tc>
          <w:tcPr>
            <w:tcW w:w="1181"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归属产业</w:t>
            </w:r>
          </w:p>
        </w:tc>
        <w:tc>
          <w:tcPr>
            <w:tcW w:w="1325"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中职组</w:t>
            </w:r>
          </w:p>
        </w:tc>
        <w:tc>
          <w:tcPr>
            <w:tcW w:w="2506"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□学生组 </w:t>
            </w:r>
            <w:r>
              <w:rPr>
                <w:rFonts w:hint="eastAsia" w:ascii="仿宋" w:hAnsi="仿宋" w:eastAsia="仿宋" w:cs="仿宋"/>
                <w:b/>
                <w:color w:val="000000"/>
                <w:sz w:val="24"/>
                <w:szCs w:val="24"/>
                <w:lang w:val="en-US"/>
              </w:rPr>
              <w:sym w:font="Wingdings 2" w:char="00A3"/>
            </w:r>
            <w:r>
              <w:rPr>
                <w:rFonts w:hint="eastAsia" w:ascii="仿宋" w:hAnsi="仿宋" w:eastAsia="仿宋" w:cs="仿宋"/>
                <w:b/>
                <w:color w:val="000000"/>
                <w:sz w:val="24"/>
                <w:szCs w:val="24"/>
                <w:lang w:val="en-US"/>
              </w:rPr>
              <w:t>教师组 □师生同赛试点赛项</w:t>
            </w:r>
          </w:p>
        </w:tc>
        <w:tc>
          <w:tcPr>
            <w:tcW w:w="2506"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sym w:font="Wingdings 2" w:char="0052"/>
            </w:r>
            <w:r>
              <w:rPr>
                <w:rFonts w:hint="eastAsia" w:ascii="仿宋" w:hAnsi="仿宋" w:eastAsia="仿宋" w:cs="仿宋"/>
                <w:b/>
                <w:color w:val="000000"/>
                <w:sz w:val="24"/>
                <w:szCs w:val="24"/>
                <w:lang w:val="en-US"/>
              </w:rPr>
              <w:t>学生组 □教师组 □师生同赛试点赛项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题目类型</w:t>
            </w:r>
          </w:p>
        </w:tc>
        <w:tc>
          <w:tcPr>
            <w:tcW w:w="2506"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sym w:font="Wingdings 2" w:char="0052"/>
            </w:r>
            <w:r>
              <w:rPr>
                <w:rFonts w:hint="eastAsia" w:ascii="仿宋" w:hAnsi="仿宋" w:eastAsia="仿宋" w:cs="仿宋"/>
                <w:b/>
                <w:color w:val="000000"/>
                <w:sz w:val="24"/>
                <w:szCs w:val="24"/>
                <w:lang w:val="en-US"/>
              </w:rPr>
              <w:t xml:space="preserve">单选题   </w:t>
            </w:r>
            <w:r>
              <w:rPr>
                <w:rFonts w:hint="eastAsia" w:ascii="仿宋" w:hAnsi="仿宋" w:eastAsia="仿宋" w:cs="仿宋"/>
                <w:b/>
                <w:color w:val="000000"/>
                <w:sz w:val="24"/>
                <w:szCs w:val="24"/>
                <w:lang w:val="en-US"/>
              </w:rPr>
              <w:sym w:font="Wingdings 2" w:char="0052"/>
            </w:r>
            <w:r>
              <w:rPr>
                <w:rFonts w:hint="eastAsia" w:ascii="仿宋" w:hAnsi="仿宋" w:eastAsia="仿宋" w:cs="仿宋"/>
                <w:b/>
                <w:color w:val="000000"/>
                <w:sz w:val="24"/>
                <w:szCs w:val="24"/>
                <w:lang w:val="en-US"/>
              </w:rPr>
              <w:t xml:space="preserve">多选题  </w:t>
            </w:r>
            <w:r>
              <w:rPr>
                <w:rFonts w:hint="eastAsia" w:ascii="仿宋" w:hAnsi="仿宋" w:eastAsia="仿宋" w:cs="仿宋"/>
                <w:b/>
                <w:color w:val="000000"/>
                <w:sz w:val="24"/>
                <w:szCs w:val="24"/>
                <w:lang w:val="en-US"/>
              </w:rPr>
              <w:sym w:font="Wingdings 2" w:char="00A3"/>
            </w:r>
            <w:r>
              <w:rPr>
                <w:rFonts w:hint="eastAsia" w:ascii="仿宋" w:hAnsi="仿宋" w:eastAsia="仿宋" w:cs="仿宋"/>
                <w:b/>
                <w:color w:val="000000"/>
                <w:sz w:val="24"/>
                <w:szCs w:val="24"/>
                <w:lang w:val="en-US"/>
              </w:rPr>
              <w:t>实务题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题目内容</w:t>
            </w:r>
          </w:p>
        </w:tc>
        <w:tc>
          <w:tcPr>
            <w:tcW w:w="1866" w:type="pct"/>
            <w:gridSpan w:val="2"/>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
                <w:color w:val="000000"/>
                <w:sz w:val="24"/>
                <w:szCs w:val="24"/>
                <w:lang w:val="en-US"/>
              </w:rPr>
              <w:t>题目选项</w:t>
            </w:r>
          </w:p>
        </w:tc>
        <w:tc>
          <w:tcPr>
            <w:tcW w:w="1769"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rPr>
                <w:rFonts w:hint="eastAsia" w:ascii="仿宋" w:hAnsi="仿宋" w:eastAsia="仿宋" w:cs="仿宋"/>
                <w:sz w:val="24"/>
                <w:szCs w:val="24"/>
              </w:rPr>
            </w:pPr>
            <w:r>
              <w:rPr>
                <w:rFonts w:hint="eastAsia" w:ascii="仿宋" w:hAnsi="仿宋" w:eastAsia="仿宋" w:cs="仿宋"/>
                <w:sz w:val="24"/>
                <w:szCs w:val="24"/>
              </w:rPr>
              <w:t>66.100美元彩钞正面（）号位采用凸版印刷技术，用手触摸这些部位，可以感觉到正面部位凹进去，背面相应的位置则有些凸出来。仔细观察，凸版印刷图案的平线边缘有油墨挤压的痕迹。</w:t>
            </w:r>
            <w:r>
              <w:rPr>
                <w:rFonts w:hint="eastAsia" w:ascii="仿宋" w:hAnsi="仿宋" w:eastAsia="仿宋" w:cs="仿宋"/>
                <w:sz w:val="24"/>
                <w:szCs w:val="24"/>
              </w:rPr>
              <w:drawing>
                <wp:inline distT="0" distB="0" distL="114300" distR="114300">
                  <wp:extent cx="2095500" cy="885825"/>
                  <wp:effectExtent l="0" t="0" r="0" b="3175"/>
                  <wp:docPr id="9" name="图片 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1-1"/>
                          <pic:cNvPicPr>
                            <a:picLocks noChangeAspect="1"/>
                          </pic:cNvPicPr>
                        </pic:nvPicPr>
                        <pic:blipFill>
                          <a:blip r:embed="rId9"/>
                          <a:stretch>
                            <a:fillRect/>
                          </a:stretch>
                        </pic:blipFill>
                        <pic:spPr>
                          <a:xfrm>
                            <a:off x="0" y="0"/>
                            <a:ext cx="2095500" cy="885825"/>
                          </a:xfrm>
                          <a:prstGeom prst="rect">
                            <a:avLst/>
                          </a:prstGeom>
                          <a:noFill/>
                          <a:ln>
                            <a:noFill/>
                          </a:ln>
                        </pic:spPr>
                      </pic:pic>
                    </a:graphicData>
                  </a:graphic>
                </wp:inline>
              </w:drawing>
            </w:r>
          </w:p>
        </w:tc>
        <w:tc>
          <w:tcPr>
            <w:tcW w:w="1866" w:type="pct"/>
            <w:gridSpan w:val="2"/>
            <w:vAlign w:val="center"/>
          </w:tcPr>
          <w:p>
            <w:pPr>
              <w:rPr>
                <w:rFonts w:hint="eastAsia" w:ascii="仿宋" w:hAnsi="仿宋" w:eastAsia="仿宋" w:cs="仿宋"/>
                <w:color w:val="000000"/>
                <w:sz w:val="24"/>
                <w:szCs w:val="24"/>
              </w:rPr>
            </w:pPr>
            <w:r>
              <w:rPr>
                <w:rFonts w:hint="eastAsia" w:ascii="仿宋" w:hAnsi="仿宋" w:eastAsia="仿宋" w:cs="仿宋"/>
                <w:color w:val="000000"/>
                <w:sz w:val="24"/>
                <w:szCs w:val="24"/>
              </w:rPr>
              <w:t>A:5</w:t>
            </w:r>
          </w:p>
          <w:p>
            <w:pPr>
              <w:rPr>
                <w:rFonts w:hint="eastAsia" w:ascii="仿宋" w:hAnsi="仿宋" w:eastAsia="仿宋" w:cs="仿宋"/>
                <w:color w:val="000000"/>
                <w:sz w:val="24"/>
                <w:szCs w:val="24"/>
              </w:rPr>
            </w:pPr>
            <w:r>
              <w:rPr>
                <w:rFonts w:hint="eastAsia" w:ascii="仿宋" w:hAnsi="仿宋" w:eastAsia="仿宋" w:cs="仿宋"/>
                <w:color w:val="000000"/>
                <w:sz w:val="24"/>
                <w:szCs w:val="24"/>
              </w:rPr>
              <w:t>B:6</w:t>
            </w:r>
          </w:p>
          <w:p>
            <w:pPr>
              <w:rPr>
                <w:rFonts w:hint="eastAsia" w:ascii="仿宋" w:hAnsi="仿宋" w:eastAsia="仿宋" w:cs="仿宋"/>
                <w:color w:val="000000"/>
                <w:sz w:val="24"/>
                <w:szCs w:val="24"/>
              </w:rPr>
            </w:pPr>
            <w:r>
              <w:rPr>
                <w:rFonts w:hint="eastAsia" w:ascii="仿宋" w:hAnsi="仿宋" w:eastAsia="仿宋" w:cs="仿宋"/>
                <w:color w:val="000000"/>
                <w:sz w:val="24"/>
                <w:szCs w:val="24"/>
              </w:rPr>
              <w:t>C:8</w:t>
            </w:r>
          </w:p>
          <w:p>
            <w:pPr>
              <w:rPr>
                <w:rFonts w:hint="eastAsia" w:ascii="仿宋" w:hAnsi="仿宋" w:eastAsia="仿宋" w:cs="仿宋"/>
                <w:color w:val="000000"/>
                <w:sz w:val="24"/>
                <w:szCs w:val="24"/>
              </w:rPr>
            </w:pPr>
            <w:r>
              <w:rPr>
                <w:rFonts w:hint="eastAsia" w:ascii="仿宋" w:hAnsi="仿宋" w:eastAsia="仿宋" w:cs="仿宋"/>
                <w:color w:val="000000"/>
                <w:sz w:val="24"/>
                <w:szCs w:val="24"/>
              </w:rPr>
              <w:t>D:12</w:t>
            </w:r>
          </w:p>
          <w:p>
            <w:pPr>
              <w:rPr>
                <w:rFonts w:hint="eastAsia" w:ascii="仿宋" w:hAnsi="仿宋" w:eastAsia="仿宋" w:cs="仿宋"/>
                <w:sz w:val="24"/>
                <w:szCs w:val="24"/>
              </w:rPr>
            </w:pPr>
          </w:p>
        </w:tc>
        <w:tc>
          <w:tcPr>
            <w:tcW w:w="1769" w:type="pct"/>
            <w:gridSpan w:val="2"/>
            <w:vAlign w:val="center"/>
          </w:tcPr>
          <w:p>
            <w:pPr>
              <w:pStyle w:val="12"/>
              <w:adjustRightInd w:val="0"/>
              <w:snapToGrid w:val="0"/>
              <w:spacing w:after="0"/>
              <w:ind w:left="0" w:leftChars="0" w:firstLine="0" w:firstLineChars="0"/>
              <w:rPr>
                <w:rFonts w:hint="eastAsia" w:ascii="仿宋" w:hAnsi="仿宋" w:eastAsia="仿宋" w:cs="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vAlign w:val="center"/>
          </w:tcPr>
          <w:p>
            <w:pPr>
              <w:rPr>
                <w:rFonts w:hint="eastAsia" w:ascii="仿宋" w:hAnsi="仿宋" w:eastAsia="仿宋" w:cs="仿宋"/>
                <w:sz w:val="24"/>
                <w:szCs w:val="24"/>
              </w:rPr>
            </w:pPr>
          </w:p>
        </w:tc>
        <w:tc>
          <w:tcPr>
            <w:tcW w:w="1866" w:type="pct"/>
            <w:gridSpan w:val="2"/>
            <w:vAlign w:val="center"/>
          </w:tcPr>
          <w:p>
            <w:pPr>
              <w:rPr>
                <w:rFonts w:hint="eastAsia" w:ascii="仿宋" w:hAnsi="仿宋" w:eastAsia="仿宋" w:cs="仿宋"/>
                <w:sz w:val="24"/>
                <w:szCs w:val="24"/>
              </w:rPr>
            </w:pPr>
            <w:r>
              <w:rPr>
                <w:rFonts w:hint="eastAsia" w:ascii="仿宋" w:hAnsi="仿宋" w:eastAsia="仿宋" w:cs="仿宋"/>
                <w:sz w:val="24"/>
                <w:szCs w:val="24"/>
              </w:rPr>
              <w:t>……</w:t>
            </w:r>
          </w:p>
        </w:tc>
        <w:tc>
          <w:tcPr>
            <w:tcW w:w="1769" w:type="pct"/>
            <w:gridSpan w:val="2"/>
            <w:vAlign w:val="center"/>
          </w:tcPr>
          <w:p>
            <w:pPr>
              <w:pStyle w:val="12"/>
              <w:adjustRightInd w:val="0"/>
              <w:snapToGrid w:val="0"/>
              <w:spacing w:after="0"/>
              <w:ind w:left="0" w:leftChars="0" w:firstLine="0" w:firstLineChars="0"/>
              <w:rPr>
                <w:rFonts w:hint="eastAsia" w:ascii="仿宋" w:hAnsi="仿宋" w:eastAsia="仿宋" w:cs="仿宋"/>
                <w:color w:val="000000"/>
                <w:sz w:val="24"/>
                <w:szCs w:val="24"/>
                <w:lang w:val="en-US"/>
              </w:rPr>
            </w:pPr>
          </w:p>
        </w:tc>
      </w:tr>
    </w:tbl>
    <w:p>
      <w:pPr>
        <w:pStyle w:val="12"/>
        <w:spacing w:line="480" w:lineRule="exact"/>
        <w:ind w:leftChars="0" w:firstLineChars="0"/>
        <w:rPr>
          <w:rFonts w:hint="eastAsia" w:ascii="仿宋" w:hAnsi="仿宋" w:eastAsia="仿宋" w:cs="仿宋"/>
          <w:sz w:val="24"/>
          <w:szCs w:val="24"/>
          <w:lang w:val="en-US"/>
        </w:rPr>
      </w:pPr>
    </w:p>
    <w:p>
      <w:pPr>
        <w:autoSpaceDN/>
        <w:spacing w:line="480" w:lineRule="exact"/>
        <w:ind w:right="-29" w:rightChars="-13"/>
        <w:rPr>
          <w:rFonts w:hint="eastAsia" w:ascii="仿宋" w:hAnsi="仿宋" w:eastAsia="仿宋" w:cs="仿宋"/>
          <w:lang w:val="en-US"/>
        </w:rPr>
      </w:pPr>
      <w:r>
        <w:rPr>
          <w:rFonts w:hint="eastAsia" w:ascii="仿宋" w:hAnsi="仿宋" w:eastAsia="仿宋" w:cs="仿宋"/>
          <w:b/>
          <w:bCs/>
          <w:kern w:val="2"/>
          <w:sz w:val="32"/>
          <w:szCs w:val="32"/>
          <w:lang w:val="en-US"/>
        </w:rPr>
        <w:t>（二）金融岗位技能</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1081"/>
        <w:gridCol w:w="856"/>
        <w:gridCol w:w="430"/>
        <w:gridCol w:w="2230"/>
        <w:gridCol w:w="1507"/>
        <w:gridCol w:w="172"/>
        <w:gridCol w:w="964"/>
        <w:gridCol w:w="1061"/>
        <w:gridCol w:w="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pct"/>
            <w:gridSpan w:val="3"/>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赛项名称</w:t>
            </w:r>
          </w:p>
        </w:tc>
        <w:tc>
          <w:tcPr>
            <w:tcW w:w="1399"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智慧金融</w:t>
            </w:r>
          </w:p>
        </w:tc>
        <w:tc>
          <w:tcPr>
            <w:tcW w:w="873"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英语名称</w:t>
            </w:r>
          </w:p>
        </w:tc>
        <w:tc>
          <w:tcPr>
            <w:tcW w:w="1331" w:type="pct"/>
            <w:gridSpan w:val="3"/>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pct"/>
            <w:gridSpan w:val="3"/>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赛项编号</w:t>
            </w:r>
          </w:p>
        </w:tc>
        <w:tc>
          <w:tcPr>
            <w:tcW w:w="1399"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GZ044</w:t>
            </w:r>
          </w:p>
        </w:tc>
        <w:tc>
          <w:tcPr>
            <w:tcW w:w="873"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归属产业</w:t>
            </w:r>
          </w:p>
        </w:tc>
        <w:tc>
          <w:tcPr>
            <w:tcW w:w="1331" w:type="pct"/>
            <w:gridSpan w:val="3"/>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10"/>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5" w:type="pct"/>
            <w:gridSpan w:val="5"/>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Cs/>
                <w:color w:val="000000"/>
                <w:sz w:val="24"/>
                <w:szCs w:val="24"/>
              </w:rPr>
            </w:pPr>
            <w:r>
              <w:rPr>
                <w:rFonts w:hint="eastAsia" w:ascii="仿宋" w:hAnsi="仿宋" w:eastAsia="仿宋" w:cs="仿宋"/>
                <w:b/>
                <w:color w:val="000000"/>
                <w:sz w:val="24"/>
                <w:szCs w:val="24"/>
              </w:rPr>
              <w:t>中职组</w:t>
            </w:r>
          </w:p>
        </w:tc>
        <w:tc>
          <w:tcPr>
            <w:tcW w:w="2204" w:type="pct"/>
            <w:gridSpan w:val="5"/>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5" w:type="pct"/>
            <w:gridSpan w:val="5"/>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Cs/>
                <w:color w:val="000000"/>
                <w:sz w:val="24"/>
                <w:szCs w:val="24"/>
              </w:rPr>
            </w:pPr>
            <w:r>
              <w:rPr>
                <w:rFonts w:hint="eastAsia" w:ascii="仿宋" w:hAnsi="仿宋" w:eastAsia="仿宋" w:cs="仿宋"/>
                <w:b/>
                <w:color w:val="000000"/>
                <w:sz w:val="24"/>
                <w:szCs w:val="24"/>
              </w:rPr>
              <w:t>□学生组 □教师组 □师生同赛试点赛项</w:t>
            </w:r>
          </w:p>
        </w:tc>
        <w:tc>
          <w:tcPr>
            <w:tcW w:w="2204" w:type="pct"/>
            <w:gridSpan w:val="5"/>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sym w:font="Wingdings" w:char="F0FE"/>
            </w:r>
            <w:r>
              <w:rPr>
                <w:rFonts w:hint="eastAsia" w:ascii="仿宋" w:hAnsi="仿宋" w:eastAsia="仿宋" w:cs="仿宋"/>
                <w:b/>
                <w:color w:val="000000"/>
                <w:sz w:val="24"/>
                <w:szCs w:val="24"/>
              </w:rPr>
              <w:t>学生组 □教师组 □师生同赛试点赛项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5" w:type="pct"/>
            <w:gridSpan w:val="5"/>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Cs/>
                <w:color w:val="000000"/>
                <w:sz w:val="24"/>
                <w:szCs w:val="24"/>
              </w:rPr>
            </w:pPr>
            <w:r>
              <w:rPr>
                <w:rFonts w:hint="eastAsia" w:ascii="仿宋" w:hAnsi="仿宋" w:eastAsia="仿宋" w:cs="仿宋"/>
                <w:b/>
                <w:color w:val="000000"/>
                <w:sz w:val="24"/>
                <w:szCs w:val="24"/>
              </w:rPr>
              <w:t>模块数量</w:t>
            </w:r>
          </w:p>
        </w:tc>
        <w:tc>
          <w:tcPr>
            <w:tcW w:w="2204" w:type="pct"/>
            <w:gridSpan w:val="5"/>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Cs/>
                <w:color w:val="000000"/>
                <w:sz w:val="24"/>
                <w:szCs w:val="24"/>
              </w:rPr>
            </w:pPr>
            <w:r>
              <w:rPr>
                <w:rFonts w:hint="eastAsia" w:ascii="仿宋" w:hAnsi="仿宋" w:eastAsia="仿宋" w:cs="仿宋"/>
                <w:bCs/>
                <w:color w:val="00000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模块序号</w:t>
            </w:r>
          </w:p>
        </w:tc>
        <w:tc>
          <w:tcPr>
            <w:tcW w:w="572"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技能竞赛内容</w:t>
            </w:r>
          </w:p>
        </w:tc>
        <w:tc>
          <w:tcPr>
            <w:tcW w:w="693"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技术技能要点</w:t>
            </w:r>
          </w:p>
        </w:tc>
        <w:tc>
          <w:tcPr>
            <w:tcW w:w="1161"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专业知识能力要求</w:t>
            </w:r>
          </w:p>
        </w:tc>
        <w:tc>
          <w:tcPr>
            <w:tcW w:w="791"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对应核心课程</w:t>
            </w:r>
          </w:p>
        </w:tc>
        <w:tc>
          <w:tcPr>
            <w:tcW w:w="542"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权重占比（%）</w:t>
            </w:r>
          </w:p>
        </w:tc>
        <w:tc>
          <w:tcPr>
            <w:tcW w:w="476"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竞赛时间（min）</w:t>
            </w:r>
          </w:p>
        </w:tc>
        <w:tc>
          <w:tcPr>
            <w:tcW w:w="394"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评分方法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vMerge w:val="restart"/>
            <w:tcBorders>
              <w:top w:val="single" w:color="auto" w:sz="4" w:space="0"/>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模块1</w:t>
            </w:r>
          </w:p>
        </w:tc>
        <w:tc>
          <w:tcPr>
            <w:tcW w:w="572"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大堂经理岗-银行厅堂客户接待与业务引导服务</w:t>
            </w:r>
          </w:p>
        </w:tc>
        <w:tc>
          <w:tcPr>
            <w:tcW w:w="693"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厅堂客户接待与业务引导、金融单证规范书写、业务信息录入、现金清点整理、假伪币识别收缴、金融设备使用、金融服务礼仪规范</w:t>
            </w:r>
          </w:p>
        </w:tc>
        <w:tc>
          <w:tcPr>
            <w:tcW w:w="1161"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①具有用经济金融基础理论来解释生活中的经济现象并运用于实践的能力。②具有按照金融从业人员礼仪规范正确进行各项业务的客户接待、业务引导的能力。③具有点钞、假币鉴别等基本金融职业技能。④具有根据金融礼仪规范开展客户服务和产品营销的能力。⑤具有根据金融营销基本策略技巧开拓和维护客户，较好地进行金融产品营销的能力。⑥具有根据相关法律法规和行业规范开展金融服务和业务风险审查的能力。⑦具有依照经济金融基本法律法规进行金融业务风险的基本分析、识别与防范的能力。⑧具有适应金融产业数字化发展需求的信息技术基础知识、专业信息技术能力等基本数字化技能。⑨具有较好的语言表达、沟通协调和团队合作的能力。</w:t>
            </w:r>
          </w:p>
        </w:tc>
        <w:tc>
          <w:tcPr>
            <w:tcW w:w="791"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金融服务营销、金融风险与合规</w:t>
            </w:r>
          </w:p>
        </w:tc>
        <w:tc>
          <w:tcPr>
            <w:tcW w:w="542" w:type="pct"/>
            <w:gridSpan w:val="2"/>
            <w:vMerge w:val="restart"/>
            <w:tcBorders>
              <w:top w:val="single" w:color="auto" w:sz="4" w:space="0"/>
              <w:left w:val="single" w:color="auto" w:sz="4" w:space="0"/>
              <w:right w:val="single" w:color="auto" w:sz="4" w:space="0"/>
            </w:tcBorders>
            <w:vAlign w:val="center"/>
          </w:tcPr>
          <w:p>
            <w:pPr>
              <w:pStyle w:val="22"/>
              <w:ind w:left="440"/>
              <w:jc w:val="left"/>
              <w:rPr>
                <w:rFonts w:hint="eastAsia" w:ascii="仿宋" w:hAnsi="仿宋" w:eastAsia="仿宋" w:cs="仿宋"/>
              </w:rPr>
            </w:pPr>
            <w:r>
              <w:rPr>
                <w:rFonts w:hint="eastAsia" w:ascii="仿宋" w:hAnsi="仿宋" w:eastAsia="仿宋" w:cs="仿宋"/>
                <w:color w:val="000000"/>
                <w:sz w:val="24"/>
                <w:szCs w:val="24"/>
              </w:rPr>
              <w:t>6.67</w:t>
            </w:r>
          </w:p>
        </w:tc>
        <w:tc>
          <w:tcPr>
            <w:tcW w:w="476" w:type="pct"/>
            <w:vMerge w:val="restart"/>
            <w:tcBorders>
              <w:top w:val="single" w:color="auto" w:sz="4" w:space="0"/>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120</w:t>
            </w:r>
          </w:p>
        </w:tc>
        <w:tc>
          <w:tcPr>
            <w:tcW w:w="394" w:type="pct"/>
            <w:vMerge w:val="restart"/>
            <w:tcBorders>
              <w:top w:val="single" w:color="auto" w:sz="4" w:space="0"/>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vMerge w:val="continue"/>
            <w:tcBorders>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c>
          <w:tcPr>
            <w:tcW w:w="572"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大堂经理岗-证券公司投资咨询客户接待与业务引导</w:t>
            </w:r>
          </w:p>
        </w:tc>
        <w:tc>
          <w:tcPr>
            <w:tcW w:w="693"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证券投资咨询与业务引导服务、证券产品分析</w:t>
            </w:r>
          </w:p>
        </w:tc>
        <w:tc>
          <w:tcPr>
            <w:tcW w:w="1161"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①具有为客户提供证券咨询、投资分析等服务的能力。②具有使用金融领域基本数字化工具的能力。③具有使用金融服务礼仪、沟通表达、团队协作的能力。④具有依照证券市场基本法律法规、行业相关绿色生产、安全防护、质量管理等要求办理相关业务的能力。⑤具有较好的语言表达、沟通协调和团队合作的能力。</w:t>
            </w:r>
          </w:p>
        </w:tc>
        <w:tc>
          <w:tcPr>
            <w:tcW w:w="791"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证券投资实务、证券投资分析、金融营销、金融风险管理</w:t>
            </w:r>
          </w:p>
        </w:tc>
        <w:tc>
          <w:tcPr>
            <w:tcW w:w="542" w:type="pct"/>
            <w:gridSpan w:val="2"/>
            <w:vMerge w:val="continue"/>
            <w:tcBorders>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c>
          <w:tcPr>
            <w:tcW w:w="476" w:type="pct"/>
            <w:vMerge w:val="continue"/>
            <w:tcBorders>
              <w:left w:val="single" w:color="auto" w:sz="4" w:space="0"/>
              <w:right w:val="single" w:color="auto" w:sz="4" w:space="0"/>
            </w:tcBorders>
            <w:vAlign w:val="center"/>
          </w:tcPr>
          <w:p>
            <w:pPr>
              <w:pStyle w:val="16"/>
              <w:ind w:left="440" w:firstLine="480"/>
              <w:rPr>
                <w:rFonts w:hint="eastAsia" w:ascii="仿宋" w:hAnsi="仿宋" w:eastAsia="仿宋" w:cs="仿宋"/>
                <w:color w:val="000000"/>
                <w:sz w:val="24"/>
                <w:szCs w:val="24"/>
              </w:rPr>
            </w:pPr>
          </w:p>
        </w:tc>
        <w:tc>
          <w:tcPr>
            <w:tcW w:w="394" w:type="pct"/>
            <w:vMerge w:val="continue"/>
            <w:tcBorders>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vMerge w:val="continue"/>
            <w:tcBorders>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c>
          <w:tcPr>
            <w:tcW w:w="572"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大堂经理岗-保险公司客户咨询接待与业务引导</w:t>
            </w:r>
          </w:p>
        </w:tc>
        <w:tc>
          <w:tcPr>
            <w:tcW w:w="693"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保险咨询接待与业务引导服务、保险产品营销</w:t>
            </w:r>
          </w:p>
        </w:tc>
        <w:tc>
          <w:tcPr>
            <w:tcW w:w="1161"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①具有开展市场调查、客户拓展、量身定制保险理财规划、保险产品推广及销售等工作的能力。②具有客户咨询接待、客户投诉及异议处理等客户服务能力。③具有为各类企事业单位进行风险评估、提供合理化防灾防损建议的能力。④具有保险信息处理操作处理等能力。⑤具有较好的语言表达、沟通协调和团队合作的能力。</w:t>
            </w:r>
          </w:p>
        </w:tc>
        <w:tc>
          <w:tcPr>
            <w:tcW w:w="791"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人身保险实务、财产保险实务、保险营销技巧、保险客户服务、保险中介实务</w:t>
            </w:r>
          </w:p>
        </w:tc>
        <w:tc>
          <w:tcPr>
            <w:tcW w:w="542" w:type="pct"/>
            <w:gridSpan w:val="2"/>
            <w:vMerge w:val="continue"/>
            <w:tcBorders>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c>
          <w:tcPr>
            <w:tcW w:w="476" w:type="pct"/>
            <w:vMerge w:val="continue"/>
            <w:tcBorders>
              <w:left w:val="single" w:color="auto" w:sz="4" w:space="0"/>
              <w:right w:val="single" w:color="auto" w:sz="4" w:space="0"/>
            </w:tcBorders>
            <w:vAlign w:val="center"/>
          </w:tcPr>
          <w:p>
            <w:pPr>
              <w:pStyle w:val="16"/>
              <w:ind w:left="440" w:firstLine="480"/>
              <w:rPr>
                <w:rFonts w:hint="eastAsia" w:ascii="仿宋" w:hAnsi="仿宋" w:eastAsia="仿宋" w:cs="仿宋"/>
                <w:color w:val="000000"/>
                <w:sz w:val="24"/>
                <w:szCs w:val="24"/>
              </w:rPr>
            </w:pPr>
          </w:p>
        </w:tc>
        <w:tc>
          <w:tcPr>
            <w:tcW w:w="394" w:type="pct"/>
            <w:vMerge w:val="continue"/>
            <w:tcBorders>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tcBorders>
              <w:top w:val="single" w:color="auto" w:sz="4" w:space="0"/>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模块2</w:t>
            </w:r>
          </w:p>
        </w:tc>
        <w:tc>
          <w:tcPr>
            <w:tcW w:w="572"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综合柜员岗</w:t>
            </w:r>
          </w:p>
        </w:tc>
        <w:tc>
          <w:tcPr>
            <w:tcW w:w="693" w:type="pct"/>
            <w:gridSpan w:val="2"/>
            <w:tcBorders>
              <w:top w:val="single" w:color="auto" w:sz="4" w:space="0"/>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银行个人业务处理、银行公司业务处理、票据业务处理操作、票据审核</w:t>
            </w:r>
          </w:p>
        </w:tc>
        <w:tc>
          <w:tcPr>
            <w:tcW w:w="1161" w:type="pct"/>
            <w:tcBorders>
              <w:top w:val="single" w:color="auto" w:sz="4" w:space="0"/>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①具有钞票清点、假币鉴别、数字键盘传票录入、形码输入法信息录入等金融服务基本操作能力。②具有用经济金融基础理论来解释生活中的经济现象并运用于实践的能力。③具有规范进行金融机构柜面业务操作的能力。④具有依照经济金融基本法律法规进行金融业务风险的基本分析、识别与防范的能力。⑤具有适应金融产业数字化发展需求的信息技术基础知识、专业信息技术能力等基本数字化技能。</w:t>
            </w:r>
          </w:p>
        </w:tc>
        <w:tc>
          <w:tcPr>
            <w:tcW w:w="791" w:type="pct"/>
            <w:tcBorders>
              <w:top w:val="single" w:color="auto" w:sz="4" w:space="0"/>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商业银行综合柜台业务、金融风险与合规、银行产品</w:t>
            </w:r>
          </w:p>
        </w:tc>
        <w:tc>
          <w:tcPr>
            <w:tcW w:w="542" w:type="pct"/>
            <w:gridSpan w:val="2"/>
            <w:tcBorders>
              <w:top w:val="single" w:color="auto" w:sz="4" w:space="0"/>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6.67</w:t>
            </w:r>
          </w:p>
        </w:tc>
        <w:tc>
          <w:tcPr>
            <w:tcW w:w="476" w:type="pct"/>
            <w:vMerge w:val="continue"/>
            <w:tcBorders>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c>
          <w:tcPr>
            <w:tcW w:w="394" w:type="pct"/>
            <w:vMerge w:val="continue"/>
            <w:tcBorders>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模块3</w:t>
            </w:r>
          </w:p>
        </w:tc>
        <w:tc>
          <w:tcPr>
            <w:tcW w:w="572"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客户经理岗</w:t>
            </w:r>
          </w:p>
        </w:tc>
        <w:tc>
          <w:tcPr>
            <w:tcW w:w="693"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银行个人信贷业务、银行公司信贷业务流程操作</w:t>
            </w:r>
          </w:p>
        </w:tc>
        <w:tc>
          <w:tcPr>
            <w:tcW w:w="1161"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①具有综合运用金融学、经济学、金融科技和信用管理等领域专业知识解决实际业务问题的能力。②具有企业信用风险管理、银行信贷资产信用审核与贷后管理、征信数据分析操作的能力。③具有行业分析、企业风险综合分析和消费者信用分析能力。④具有适应金融产业数字化发展需求的信息技术基础知识、专业信息技术能力等基本数字化技能。</w:t>
            </w:r>
          </w:p>
        </w:tc>
        <w:tc>
          <w:tcPr>
            <w:tcW w:w="791"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银行信贷实务、企业信用管理、消费者信用管理、信用分析、大数据财务分析、金融风险管理、银行授信业务、大数据信用评级</w:t>
            </w:r>
          </w:p>
        </w:tc>
        <w:tc>
          <w:tcPr>
            <w:tcW w:w="542"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6.67</w:t>
            </w:r>
          </w:p>
        </w:tc>
        <w:tc>
          <w:tcPr>
            <w:tcW w:w="476" w:type="pct"/>
            <w:vMerge w:val="continue"/>
            <w:tcBorders>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c>
          <w:tcPr>
            <w:tcW w:w="394" w:type="pct"/>
            <w:vMerge w:val="continue"/>
            <w:tcBorders>
              <w:left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模块4</w:t>
            </w:r>
          </w:p>
        </w:tc>
        <w:tc>
          <w:tcPr>
            <w:tcW w:w="572"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理财经理岗</w:t>
            </w:r>
          </w:p>
        </w:tc>
        <w:tc>
          <w:tcPr>
            <w:tcW w:w="693"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客户需求收集与分析、家庭财务分析、理财目标设定与分析、现金规划、购房规划、汽车消费规划、教育规划、风险管理与保险规划、投资规划、财产分配与传承规划</w:t>
            </w:r>
          </w:p>
        </w:tc>
        <w:tc>
          <w:tcPr>
            <w:tcW w:w="1161"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①具有认知</w:t>
            </w:r>
            <w:r>
              <w:rPr>
                <w:rFonts w:hint="eastAsia" w:ascii="仿宋" w:hAnsi="仿宋" w:eastAsia="仿宋" w:cs="仿宋"/>
                <w:color w:val="000000"/>
                <w:sz w:val="24"/>
                <w:szCs w:val="24"/>
                <w:lang w:val="en-US"/>
              </w:rPr>
              <w:t>和</w:t>
            </w:r>
            <w:r>
              <w:rPr>
                <w:rFonts w:hint="eastAsia" w:ascii="仿宋" w:hAnsi="仿宋" w:eastAsia="仿宋" w:cs="仿宋"/>
                <w:color w:val="000000"/>
                <w:sz w:val="24"/>
                <w:szCs w:val="24"/>
              </w:rPr>
              <w:t>分析银行产品、基金产品、保险产品、信托产品、股票、黄金、房产等投资产品的能力。②具有为客户提供金融产品的相关咨询，帮助其配置合适的金融产品，完成理财规划方案的能力。③具有进行客户关系维护和管理，提供持续跟踪服务的能力。④具有识别、分析和管理金融机构和客户风险的能力。⑤具有运用本专业相关法律法规、行业规定从事职业活动的能力。⑥具有良好的语言和文字表达能力、沟通合作能力。</w:t>
            </w:r>
          </w:p>
        </w:tc>
        <w:tc>
          <w:tcPr>
            <w:tcW w:w="791"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个人理财规划、个人理财、银行产品、证券投资基金、金融营销、金融风险管理</w:t>
            </w:r>
          </w:p>
        </w:tc>
        <w:tc>
          <w:tcPr>
            <w:tcW w:w="542"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6.67</w:t>
            </w:r>
          </w:p>
        </w:tc>
        <w:tc>
          <w:tcPr>
            <w:tcW w:w="476" w:type="pct"/>
            <w:vMerge w:val="continue"/>
            <w:tcBorders>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c>
          <w:tcPr>
            <w:tcW w:w="394" w:type="pct"/>
            <w:vMerge w:val="continue"/>
            <w:tcBorders>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r>
    </w:tbl>
    <w:p>
      <w:pPr>
        <w:spacing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 </w:t>
      </w:r>
    </w:p>
    <w:p>
      <w:pPr>
        <w:spacing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技能模块1任务分解</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097"/>
        <w:gridCol w:w="1167"/>
        <w:gridCol w:w="490"/>
        <w:gridCol w:w="1453"/>
        <w:gridCol w:w="1822"/>
        <w:gridCol w:w="2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模块1</w:t>
            </w:r>
          </w:p>
        </w:tc>
        <w:tc>
          <w:tcPr>
            <w:tcW w:w="999"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对应赛项编号</w:t>
            </w:r>
          </w:p>
        </w:tc>
        <w:tc>
          <w:tcPr>
            <w:tcW w:w="2017"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大堂经理岗</w:t>
            </w:r>
          </w:p>
        </w:tc>
        <w:tc>
          <w:tcPr>
            <w:tcW w:w="999"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子任务数量</w:t>
            </w:r>
          </w:p>
        </w:tc>
        <w:tc>
          <w:tcPr>
            <w:tcW w:w="2017"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总时间120分钟（与其他三个金融岗位技能模块同时考核）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该模块以银行大堂为背景采用动画的方式模拟银行大堂经理工作情况，根据任务说明和页面中显示的信息，考核选手对银行大堂经理岗业务处理流程及规范的掌握情况，包括服务礼仪接待、异议及投诉处理、客户情绪安抚、客户询问服务处理、客户分流与引导、残/污损币的兑换、营销转介、证券业务咨询接待、保险业务咨询接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 xml:space="preserve">基本专业素养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 xml:space="preserve">专业实践技能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协调协作能力  □持续发展能力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具体任务要求</w:t>
            </w:r>
          </w:p>
        </w:tc>
        <w:tc>
          <w:tcPr>
            <w:tcW w:w="564"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子任务序号</w:t>
            </w:r>
          </w:p>
        </w:tc>
        <w:tc>
          <w:tcPr>
            <w:tcW w:w="852"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任务要求</w:t>
            </w:r>
          </w:p>
        </w:tc>
        <w:tc>
          <w:tcPr>
            <w:tcW w:w="746"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操作过程</w:t>
            </w:r>
          </w:p>
        </w:tc>
        <w:tc>
          <w:tcPr>
            <w:tcW w:w="937"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考核点</w:t>
            </w:r>
          </w:p>
        </w:tc>
        <w:tc>
          <w:tcPr>
            <w:tcW w:w="107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w:t>
            </w:r>
          </w:p>
        </w:tc>
        <w:tc>
          <w:tcPr>
            <w:tcW w:w="852"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根据任务说明和题目描述，勾选正确的一个或多个选项，完成服务礼仪接待。</w:t>
            </w:r>
          </w:p>
        </w:tc>
        <w:tc>
          <w:tcPr>
            <w:tcW w:w="74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1.识别题目要求</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2.勾选正确答案</w:t>
            </w:r>
          </w:p>
        </w:tc>
        <w:tc>
          <w:tcPr>
            <w:tcW w:w="937"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1.大堂经理礼仪规范的原则</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2.大堂经理仪容及仪态礼仪</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 大堂经理的沟通礼仪</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4.大堂经理客户分类管理</w:t>
            </w:r>
          </w:p>
        </w:tc>
        <w:tc>
          <w:tcPr>
            <w:tcW w:w="1079"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任务2</w:t>
            </w:r>
          </w:p>
        </w:tc>
        <w:tc>
          <w:tcPr>
            <w:tcW w:w="852"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根据任务说明和重要提示在系统中选择正确的答案，完成异议及投诉处理。</w:t>
            </w:r>
          </w:p>
        </w:tc>
        <w:tc>
          <w:tcPr>
            <w:tcW w:w="74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2.协助取号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3.引导填单</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4.单据填写</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5.现场处理</w:t>
            </w:r>
          </w:p>
        </w:tc>
        <w:tc>
          <w:tcPr>
            <w:tcW w:w="937"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2.客户分流与引导</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3.开立单位银行结算账户申请书的填写与审核</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4.营业网点突发事件处理</w:t>
            </w:r>
          </w:p>
        </w:tc>
        <w:tc>
          <w:tcPr>
            <w:tcW w:w="1079"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任务3</w:t>
            </w:r>
          </w:p>
        </w:tc>
        <w:tc>
          <w:tcPr>
            <w:tcW w:w="852" w:type="pct"/>
            <w:gridSpan w:val="2"/>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根据任务描述和场景内容在系统中选择正确的答案，完成客户情绪安抚任务。</w:t>
            </w:r>
          </w:p>
        </w:tc>
        <w:tc>
          <w:tcPr>
            <w:tcW w:w="74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2.协助取号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3.引导填单</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4.单据填写</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5.单据审核</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6.客户引导</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7.现场处理</w:t>
            </w:r>
          </w:p>
          <w:p>
            <w:pPr>
              <w:pStyle w:val="12"/>
              <w:spacing w:after="0"/>
              <w:ind w:left="0" w:leftChars="0" w:firstLine="0" w:firstLineChars="0"/>
              <w:rPr>
                <w:rFonts w:hint="eastAsia" w:ascii="仿宋" w:hAnsi="仿宋" w:eastAsia="仿宋" w:cs="仿宋"/>
                <w:color w:val="000000"/>
                <w:sz w:val="24"/>
                <w:szCs w:val="24"/>
              </w:rPr>
            </w:pPr>
          </w:p>
        </w:tc>
        <w:tc>
          <w:tcPr>
            <w:tcW w:w="937"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 大堂经理的沟通礼仪</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2.金融业务软件使用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3.营业网点突发事件处理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4.境内汇款申请书的填写</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5.金融业务风险的识别与防范</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6.客户分流与引导</w:t>
            </w:r>
          </w:p>
        </w:tc>
        <w:tc>
          <w:tcPr>
            <w:tcW w:w="1079"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任务4</w:t>
            </w:r>
          </w:p>
        </w:tc>
        <w:tc>
          <w:tcPr>
            <w:tcW w:w="852"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根据任务说明和重要提示在系统中选择正确的答案，完成客户询问服务处理。</w:t>
            </w:r>
          </w:p>
        </w:tc>
        <w:tc>
          <w:tcPr>
            <w:tcW w:w="74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2.疑难解答</w:t>
            </w:r>
          </w:p>
        </w:tc>
        <w:tc>
          <w:tcPr>
            <w:tcW w:w="937"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2.对疑难业务的处理能力</w:t>
            </w:r>
          </w:p>
          <w:p>
            <w:pPr>
              <w:pStyle w:val="12"/>
              <w:spacing w:after="0"/>
              <w:ind w:left="0" w:leftChars="0" w:firstLine="0" w:firstLineChars="0"/>
              <w:rPr>
                <w:rFonts w:hint="eastAsia" w:ascii="仿宋" w:hAnsi="仿宋" w:eastAsia="仿宋" w:cs="仿宋"/>
                <w:color w:val="000000"/>
                <w:sz w:val="24"/>
                <w:szCs w:val="24"/>
              </w:rPr>
            </w:pPr>
          </w:p>
        </w:tc>
        <w:tc>
          <w:tcPr>
            <w:tcW w:w="1079"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任务5</w:t>
            </w:r>
          </w:p>
        </w:tc>
        <w:tc>
          <w:tcPr>
            <w:tcW w:w="852"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根据任务说明和重要提示在系统中选择正确的答案，完成客户分流与引导。</w:t>
            </w:r>
          </w:p>
        </w:tc>
        <w:tc>
          <w:tcPr>
            <w:tcW w:w="74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2.协助取号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3.引导填单</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4.单据填写</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5.单据审核</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6.客户引导</w:t>
            </w:r>
          </w:p>
        </w:tc>
        <w:tc>
          <w:tcPr>
            <w:tcW w:w="937"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2.金融业务软件使用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3.开立个人银行结算账户申请书的填写与审核</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4.金融业务风险的识别与防范</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5.客户分流与引导</w:t>
            </w:r>
          </w:p>
        </w:tc>
        <w:tc>
          <w:tcPr>
            <w:tcW w:w="1079"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任务6</w:t>
            </w:r>
          </w:p>
        </w:tc>
        <w:tc>
          <w:tcPr>
            <w:tcW w:w="852"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根据任务说明和重要提示在系统中选择正确的答案，完成残污损币的兑换。</w:t>
            </w:r>
          </w:p>
        </w:tc>
        <w:tc>
          <w:tcPr>
            <w:tcW w:w="74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2.协助取号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3.疑难解答</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4.引导填单</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5.单据填写</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6.单据审核</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7.客户引导</w:t>
            </w:r>
          </w:p>
        </w:tc>
        <w:tc>
          <w:tcPr>
            <w:tcW w:w="937"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2.借记卡开卡办理流程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3.开立个人银行结算账户申请书的填写与审核</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4.金融业务风险的识别与防范</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5.残污损币兑换</w:t>
            </w:r>
          </w:p>
        </w:tc>
        <w:tc>
          <w:tcPr>
            <w:tcW w:w="1079"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任务7</w:t>
            </w:r>
          </w:p>
        </w:tc>
        <w:tc>
          <w:tcPr>
            <w:tcW w:w="852"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根据任务说明和场景内容在系统中选择正确的答案、完成理财产品营销转介。</w:t>
            </w:r>
          </w:p>
        </w:tc>
        <w:tc>
          <w:tcPr>
            <w:tcW w:w="74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2.疑难解答</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3.协助取号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4.客户引导</w:t>
            </w:r>
          </w:p>
        </w:tc>
        <w:tc>
          <w:tcPr>
            <w:tcW w:w="937"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2.金融产品的基础知识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3.客户分流与引导</w:t>
            </w:r>
          </w:p>
        </w:tc>
        <w:tc>
          <w:tcPr>
            <w:tcW w:w="1079"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任务8</w:t>
            </w:r>
          </w:p>
        </w:tc>
        <w:tc>
          <w:tcPr>
            <w:tcW w:w="852" w:type="pct"/>
            <w:gridSpan w:val="2"/>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根据任务说明和场景内容在系统中选择正确的答案、完成投资营销转介。</w:t>
            </w:r>
          </w:p>
        </w:tc>
        <w:tc>
          <w:tcPr>
            <w:tcW w:w="74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1.协助取号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2.客户引导</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3.接待客户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4.疑难解答</w:t>
            </w:r>
          </w:p>
        </w:tc>
        <w:tc>
          <w:tcPr>
            <w:tcW w:w="937"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2.金融产品的基础知识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3.客户分流与引导</w:t>
            </w:r>
          </w:p>
        </w:tc>
        <w:tc>
          <w:tcPr>
            <w:tcW w:w="1079"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任务9</w:t>
            </w:r>
          </w:p>
        </w:tc>
        <w:tc>
          <w:tcPr>
            <w:tcW w:w="852" w:type="pct"/>
            <w:gridSpan w:val="2"/>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根据任务说明和重要提示在系统中选择正确的答案，完成证券业务咨询接待引导。</w:t>
            </w:r>
          </w:p>
        </w:tc>
        <w:tc>
          <w:tcPr>
            <w:tcW w:w="74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2.客户引导</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3.疑难解答</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4.送别</w:t>
            </w:r>
          </w:p>
        </w:tc>
        <w:tc>
          <w:tcPr>
            <w:tcW w:w="937"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2.客户分流与引导</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3.证券账户销户</w:t>
            </w:r>
          </w:p>
        </w:tc>
        <w:tc>
          <w:tcPr>
            <w:tcW w:w="1079"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任务10</w:t>
            </w:r>
          </w:p>
        </w:tc>
        <w:tc>
          <w:tcPr>
            <w:tcW w:w="852" w:type="pct"/>
            <w:gridSpan w:val="2"/>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根据任务说明和重要提示在系统中选择正确的答案，完成保险业务咨询接待引导。</w:t>
            </w:r>
          </w:p>
        </w:tc>
        <w:tc>
          <w:tcPr>
            <w:tcW w:w="74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1.接待客户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2.疑难解答</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3.客户引导</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4.送别</w:t>
            </w:r>
          </w:p>
        </w:tc>
        <w:tc>
          <w:tcPr>
            <w:tcW w:w="937"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1.大堂经理的沟通礼仪</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2.保险的种类</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3.客户分流与引导</w:t>
            </w:r>
          </w:p>
        </w:tc>
        <w:tc>
          <w:tcPr>
            <w:tcW w:w="1079"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1.用经济金融基础理论来解释生活中的经济现象并运用于实践的能力。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2.按照金融从业人员礼仪规范正确进行各项业务的客户接待、业务引导的能力。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3.点钞、假币鉴别等基本金融职业技能。</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4.根据金融礼仪规范开展客户服务和产品营销的能力。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5.根据金融营销基本策略技巧开拓和维护客户，较好地进行金融产品营销的能力。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6.为客户提供证券咨询、投资分析等服务的能力。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7.依照证券市场基本法律法规、行业相关绿色生产、安全防护、质量管理等要求办理相关业务的能力。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8.开展市场调查、客户拓展、保险产品推广及销售等工作的能力。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9.根据相关法律法规和行业规范开展金融服务和业务风险审查的能力。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10.依照经济金融基本法律法规进行金融业务风险的基本分析识别与防范的能力。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11.适应金融产业数字化发展需求的信息技术基础知识、专业信息技术能力等基本数字化技能。</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12.较好的语言表达、沟通协调和团队合作的能力。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中华人民共和国商业银行法</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GB/T 32320-2015 银行营业网点服务基本要求</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银行业专业人员职业资格制度暂行规定</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JR/T 0038—2007 保险业标准化工作指南</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JR/T 0112-2014 证券期货业信息系统审计规范</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JR/T 0183-2020 证券期货业投资者识别码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r>
    </w:tbl>
    <w:p>
      <w:pPr>
        <w:pStyle w:val="16"/>
        <w:spacing w:line="480" w:lineRule="exact"/>
        <w:ind w:left="0" w:leftChars="0" w:firstLine="0" w:firstLineChars="0"/>
        <w:rPr>
          <w:rFonts w:hint="eastAsia" w:ascii="仿宋" w:hAnsi="仿宋" w:eastAsia="仿宋" w:cs="仿宋"/>
        </w:rPr>
      </w:pPr>
    </w:p>
    <w:p>
      <w:pPr>
        <w:spacing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技能模块2任务分解</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097"/>
        <w:gridCol w:w="1167"/>
        <w:gridCol w:w="595"/>
        <w:gridCol w:w="1659"/>
        <w:gridCol w:w="1509"/>
        <w:gridCol w:w="2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模块2</w:t>
            </w:r>
          </w:p>
        </w:tc>
        <w:tc>
          <w:tcPr>
            <w:tcW w:w="1158"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对应赛项编号</w:t>
            </w:r>
          </w:p>
        </w:tc>
        <w:tc>
          <w:tcPr>
            <w:tcW w:w="1857"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综合柜员岗</w:t>
            </w:r>
          </w:p>
        </w:tc>
        <w:tc>
          <w:tcPr>
            <w:tcW w:w="1158"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子任务数量</w:t>
            </w:r>
          </w:p>
        </w:tc>
        <w:tc>
          <w:tcPr>
            <w:tcW w:w="1857"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总时间120分钟（与其他三个金融岗位技能模块同时考核）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该模块以银行柜台为背景，根据提供的日初日终操作要求、个人客户和公司客户基本信息、办理需求等描述考核选手操作银行综合柜员岗业务处理流程及规范的掌握情况，包括商业银行柜员日初开工业务、个人储蓄业务、个人网银业务、贷记卡业务、个人贷款业务、公司账户业务、代理业务、公司贷款业务、支付结算业务、票据审核业务、票据业务处理、日终业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□基本专业素养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 xml:space="preserve">专业实践技能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协调协作能力  □持续发展能力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具体任务要求</w:t>
            </w:r>
          </w:p>
        </w:tc>
        <w:tc>
          <w:tcPr>
            <w:tcW w:w="564"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子任务序号</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任务要求</w:t>
            </w:r>
          </w:p>
        </w:tc>
        <w:tc>
          <w:tcPr>
            <w:tcW w:w="853"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操作过程</w:t>
            </w:r>
          </w:p>
        </w:tc>
        <w:tc>
          <w:tcPr>
            <w:tcW w:w="776"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考核点</w:t>
            </w:r>
          </w:p>
        </w:tc>
        <w:tc>
          <w:tcPr>
            <w:tcW w:w="1080"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根据任务说明和重要提示完成每日营业前柜员开工综合业务。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1.凭证出库</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2.现金出库</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1.柜员日初处理流程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2.空白凭证出库和查询</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3.现金出库</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任务2</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根据任务说明和重要提示完成个人客户储蓄业务1。</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1.开立个人客户号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2.开立个人账户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3.借记卡活期存款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4.手工收取费用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5.借记卡通知存款开户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6.个人支票开户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7.借记卡通知存款部分支取</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8.个人支票存款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9.借记卡通知存款销户</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1.借记卡账户开立、存入、支取与销户内容流程操作</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2.个人业务账户管理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3.个人存款业务的主要类型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4.个人支票业务能力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5.收费业务操作</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任务3</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根据任务说明和重要提示完成个人客户储蓄业务2。</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1.开个人客户号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2.开立个人账户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3.借记卡活期存款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4.手工收取费用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5.借记卡教育储蓄开户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6.存单定活两便开户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7.借记卡教育储蓄存款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8.借记卡教育储蓄销户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9.存单定活两便销户</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1.借记卡账户开立、存入、支取与销户内容流程操作</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2.个人业务账户管理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3.个人存款业务的主要类型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4.收费业务操作</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任务4</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根据任务说明和重要提示完成个人网银业务。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1.网银签约-个人网银签约</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1.个人网银业务办理流程</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任务5</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根据任务说明和重要提示完成个人贷记卡业务。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1.开个人客户号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2.开立个人账户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3.借记卡活期存款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4.手工收取费用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5.贷记卡开户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6.贷记卡现金存款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7.建立自扣还款代理关系</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8.贷记卡修改密码</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9.撤销自扣还款代理关系</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10.贷记卡销户结清</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1.借记卡、贷记卡账户开立、存入、扣款与销户内容流程操作</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2.个人业务账户管理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3.收费业务操作</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任务6</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根据任务说明和重要提示完成个人贷款业务。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1.个人贷款合同管理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2.个人贷款发放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3.提前全部还贷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4.借记卡活期存款</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1.个人贷款合同、贷款发放流程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2.借记卡存款业务操作流程</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任务7</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根据任务说明和重要提示完成对公业务。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1.对公业务-对公账户管理-开对公客户号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2.开对公存款账号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3.单位活期存款-现金存款</w:t>
            </w:r>
          </w:p>
          <w:p>
            <w:pPr>
              <w:pStyle w:val="12"/>
              <w:spacing w:after="0"/>
              <w:ind w:left="0" w:leftChars="0" w:firstLine="0" w:firstLineChars="0"/>
              <w:rPr>
                <w:rFonts w:hint="eastAsia" w:ascii="仿宋" w:hAnsi="仿宋" w:eastAsia="仿宋" w:cs="仿宋"/>
                <w:color w:val="000000"/>
                <w:sz w:val="24"/>
                <w:szCs w:val="24"/>
              </w:rPr>
            </w:pP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1.公司账户开户、存取款、转账业务办理流程</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任务8</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根据任务说明完成代理业务。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1.代理合同管理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2.代理批量管理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3.批量托收（代扣）</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1.代理业务办理流程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2.批量业务管理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任务9</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根据任务说明和重要提示完成公司贷款业务。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1.对公业务-对公账户管理-开对公客户号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2.开对公存款账号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3.单位活期存款-现金存款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4.贷款业务-公司贷款-贷款借据管理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5.贷款发放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6.贷款业务-抵债资产处理</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1.公司账户开户、存款业务办理流程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2.公司贷款业务办理流程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3.抵债资产处理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任务10</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根据任务说明和重要提示完成电子商业汇票解约业务。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1.开立对公客户号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2.开立对公存款账号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3.现金存款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4.客户签约</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5.客户解约</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1.公司账户开户、存款、现金业务办理流程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2.客户签约、客户解约</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任务11</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根据任务说明和重要提示完成跨行汇款业务。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1.跨行汇款业务</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1.跨行汇款业务办理流程</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任务12</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根据任务说明和重要提示完成大小额支付业务。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1.小额定期贷记业务</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2.小额定期借记业务</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3.借记止付申请业务</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1.小额定期借、贷记业务办理流程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2.借记止付申请业务</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任务13</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根据任务说明和重要提示完成本票业务。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1.支付结算-本票/汇票-本票签发</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1.本票支付结算业务办理流程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2.本票的签发操作</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任务14</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根据背景资料和票据图片勾选正确的答案，完成票据审核业务。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1.浏览背景资料</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2.审核票据正反面</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3.勾选正确答案</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1.银承汇票的填写规范</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2.银承汇票的功能与票面样式</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任务15</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根据任务说明和重要提示在系统中操作完成票据业务。</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1.支票业务处理-转账支票-领购</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2.出票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3.背书</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4.兑现/兑付</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1.支票处理流转程序</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2.支票的填写规范</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3.支票出票、承兑</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任务16</w:t>
            </w:r>
          </w:p>
        </w:tc>
        <w:tc>
          <w:tcPr>
            <w:tcW w:w="906"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根据任务说明和重要提示完成日终业务处理。</w:t>
            </w:r>
          </w:p>
        </w:tc>
        <w:tc>
          <w:tcPr>
            <w:tcW w:w="85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1.钱箱管理-钱箱轧账</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2.凭证管理-凭证综合查询</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3.凭证入库</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4.现金入库</w:t>
            </w:r>
          </w:p>
        </w:tc>
        <w:tc>
          <w:tcPr>
            <w:tcW w:w="776"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1.柜员日终业务处理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2.空白凭证查询与入库</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3.现金入库</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1.钞票清点、假币鉴别、数字键盘传票录入、形码输入法信息录入等金融服务基本操作能力。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2.用经济金融基础理论来解释生活中的经济现象并运用于实践的能力。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3.规范进行金融机构柜面业务、贷款业务、票据业务等业务操作的能力。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4.依照经济金融基本法律法规进行金融业务风险的基本分析识别与防范的能力。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5.适应金融产业数字化发展需求的信息技术基础知识、专业信息技术能力等基本数字化技能。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中华人民共和国商业银行法</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GB/T 32320-2015 银行营业网点服务基本要求</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银行业专业人员职业资格制度暂行规定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r>
    </w:tbl>
    <w:p>
      <w:pPr>
        <w:autoSpaceDN/>
        <w:spacing w:line="480" w:lineRule="exact"/>
        <w:ind w:right="-29" w:rightChars="-13"/>
        <w:rPr>
          <w:rFonts w:hint="eastAsia" w:ascii="仿宋" w:hAnsi="仿宋" w:eastAsia="仿宋" w:cs="仿宋"/>
          <w:kern w:val="2"/>
          <w:sz w:val="32"/>
          <w:szCs w:val="32"/>
        </w:rPr>
      </w:pPr>
    </w:p>
    <w:p>
      <w:pPr>
        <w:spacing w:line="480" w:lineRule="exact"/>
        <w:rPr>
          <w:rFonts w:hint="eastAsia" w:ascii="仿宋" w:hAnsi="仿宋" w:eastAsia="仿宋" w:cs="仿宋"/>
          <w:b/>
          <w:color w:val="000000"/>
          <w:sz w:val="24"/>
          <w:szCs w:val="24"/>
        </w:rPr>
      </w:pPr>
    </w:p>
    <w:p>
      <w:pPr>
        <w:spacing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技能模块3任务分解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00"/>
        <w:gridCol w:w="1064"/>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模块3</w:t>
            </w:r>
          </w:p>
        </w:tc>
        <w:tc>
          <w:tcPr>
            <w:tcW w:w="1222"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对应赛项编号</w:t>
            </w:r>
          </w:p>
        </w:tc>
        <w:tc>
          <w:tcPr>
            <w:tcW w:w="179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客户经理岗</w:t>
            </w:r>
          </w:p>
        </w:tc>
        <w:tc>
          <w:tcPr>
            <w:tcW w:w="1222"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子任务数量</w:t>
            </w:r>
          </w:p>
        </w:tc>
        <w:tc>
          <w:tcPr>
            <w:tcW w:w="179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总时间120分钟（与其他三个金融岗位技能模块同时考核）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该模块根据提供的个人客户、公司客户的贷款档案、担保品信息和信贷需求描述等完成个人信贷业务和公司信贷业务操作。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□基本专业素养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 xml:space="preserve">专业实践技能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协调协作能力  □持续发展能力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具体任务要求</w:t>
            </w:r>
          </w:p>
        </w:tc>
        <w:tc>
          <w:tcPr>
            <w:tcW w:w="617"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子任务序号</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任务要求</w:t>
            </w:r>
          </w:p>
        </w:tc>
        <w:tc>
          <w:tcPr>
            <w:tcW w:w="808"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操作过程</w:t>
            </w:r>
          </w:p>
        </w:tc>
        <w:tc>
          <w:tcPr>
            <w:tcW w:w="714"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考核点</w:t>
            </w:r>
          </w:p>
        </w:tc>
        <w:tc>
          <w:tcPr>
            <w:tcW w:w="1080"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根据任务说明和重要提示完成个人客户贷款档案管理。</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1.客户档案管理-个人客户-锁定客户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2.个人基本信息列表</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1.个人客户关系建设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2.个人客户信息管理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任务2</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根据任务说明和重要提示完成个人客户担保品信息。 </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1.担保品信息管理-抵押品信息录入-抵质押品信息录入列表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2.车辆工具情况列表</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1.个人贷款抵质押品信息分析与管理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2.个人贷款抵押品信息录入内容</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任务3</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根据任务说明和重要提示完成个人客户资信评估。</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1.资信评估-个人信用等级评分表列表</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1.个人贷款风险管理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2.信用评分模型</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任务4</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根据任务说明和重要提示完成个人客户贷款业务申请。</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1.信贷业务处理-业务申请-个人汽车消费贷款申请列表</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1.个人汽车贷款的要素</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2.个人汽车贷款申请资料</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3.个人汽车贷款的流程</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任务5</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根据任务说明和重要提示完成个人客户贷款业务调查。</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 个人汽车消费贷款调查</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1.个人汽车贷款评审流程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2.个人汽车贷款风险管理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任务6</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根据任务说明和重要提示完成个人客户贷款业务审查。</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 个人汽车消费贷款审查</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1.个人汽车贷款评审流程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2.个人汽车贷款风险管理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任务7</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根据任务说明和重要提示完成个人客户贷款业务审批。</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1.个人汽车消费贷款审批</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1.个人汽车贷款评审流程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2.个人汽车贷款风险管理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任务8</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根据任务说明和重要提示完成个人客户合同登记。</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1.放贷管理-合同登记</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1.个人汽车贷款放贷流程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2.贷款合同管理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任务9</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根据任务说明和重要提示完成个人客户放款审核。</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1.放贷管理-放贷审核</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1.个人汽车贷款放贷流程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2.个人汽车贷款风险管理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任务10</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根据任务说明和重要提示完成个人客户贷款发放。</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1.放贷管理-贷款发放</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1.个人汽车贷款放贷流程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2.贷款发放操作</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任务11</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根据任务说明和重要提示完成个人客户风险检查。</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1.风险管理-风险检查-贷款用途检查报告</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1.个人汽车贷款风险管理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任务12</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根据任务说明和重要提示完成公司客户基本信息。</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1.客户档案管理-公司客户-锁定客户</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2.借款人基本信息列表</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1.公司客户关系建设</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2.公司客户信息管理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任务13</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根据任务说明和重要提示完成公司客户担保品信息。</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1.担保品信息管理-抵质押品信息录入-对公保证人信息录入列表</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1.公司贷款抵质押品信息分析与管理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2.公司贷款抵押品信息录入内容</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任务14</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根据任务说明和重要提示完成公司客户资信评估。</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1.资信评估-企业信用等级评定表列表</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1.公司贷款风险管理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2.信用评分模型</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任务15</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根据任务说明和重要提示完成公司客户保函申请。</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1.信贷业务处理-业务申请-保函申请列表</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1.公司保函申请列表填写</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任务16</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根据任务说明和重要提示完成公司客户业务调查。</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1.信贷业务处理-业务调查-保函调查</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1.公司保函评审流程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2.公司保函风险管理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任务17</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根据任务说明和重要提示完成公司客户业务审查。</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1.信贷业务处理-业务审查-保函审查</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1.公司保函评审流程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2.公司保函风险管理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任务18</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根据任务说明和重要提示完成公司客户业务审批。</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 信贷业务处理-业务审批-保函审批</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1.公司保函评审流程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2.公司保函风险管理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任务19</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根据任务说明和重要提示完成公司客户合同登记。</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1.放贷管理-合同登记</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1.公司担保贷款放贷流程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2.贷款合同管理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任务20</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根据任务说明和重要提示完成公司客户放贷审核。</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1.放贷管理-放贷审核</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1.公司放贷流程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2.公司保函风险管理</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任务21</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根据任务说明和重要提示完成公司客户贷款发放。</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1.放贷管理-贷款发放</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1.公司放贷流程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2.贷款发放操作</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任务22</w:t>
            </w:r>
          </w:p>
        </w:tc>
        <w:tc>
          <w:tcPr>
            <w:tcW w:w="959"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根据任务说明和重要提示完成公司客户不良资产管理。</w:t>
            </w:r>
          </w:p>
        </w:tc>
        <w:tc>
          <w:tcPr>
            <w:tcW w:w="808"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1.资产保全管理-资产保全管理-涉案信息列表</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1.不良资产管理信息列表填写</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1.综合运用金融学、经济学、金融科技和信用管理等领域专业知识解决实际业务问题的能力。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2.企业信用风险管理、银行信贷资产信用审核与贷后管理、征信数据分析操作的能力。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3.行业分析、企业风险综合分析和消费者信用分析能力。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4.适应金融产业数字化发展需求的信息技术基础知识、专业信息技术能力等基本数字化技能。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中华人民共和国商业银行法</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GB/T 32320-2015 银行营业网点服务基本要求</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职业编码2-07-03-06 信用管理师国家职业标准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r>
    </w:tbl>
    <w:p>
      <w:pPr>
        <w:autoSpaceDN/>
        <w:spacing w:line="480" w:lineRule="exact"/>
        <w:ind w:right="-29" w:rightChars="-13" w:firstLine="640" w:firstLineChars="200"/>
        <w:rPr>
          <w:rFonts w:hint="eastAsia" w:ascii="仿宋" w:hAnsi="仿宋" w:eastAsia="仿宋" w:cs="仿宋"/>
          <w:kern w:val="2"/>
          <w:sz w:val="32"/>
          <w:szCs w:val="32"/>
        </w:rPr>
      </w:pPr>
      <w:r>
        <w:rPr>
          <w:rFonts w:hint="eastAsia" w:ascii="仿宋" w:hAnsi="仿宋" w:eastAsia="仿宋" w:cs="仿宋"/>
          <w:kern w:val="2"/>
          <w:sz w:val="32"/>
          <w:szCs w:val="32"/>
        </w:rPr>
        <w:t xml:space="preserve"> </w:t>
      </w:r>
    </w:p>
    <w:p>
      <w:pPr>
        <w:spacing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技能模块4任务分解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00"/>
        <w:gridCol w:w="1064"/>
        <w:gridCol w:w="696"/>
        <w:gridCol w:w="1681"/>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模块4</w:t>
            </w:r>
          </w:p>
        </w:tc>
        <w:tc>
          <w:tcPr>
            <w:tcW w:w="1222"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对应赛项编号</w:t>
            </w:r>
          </w:p>
        </w:tc>
        <w:tc>
          <w:tcPr>
            <w:tcW w:w="179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理财经理岗</w:t>
            </w:r>
          </w:p>
        </w:tc>
        <w:tc>
          <w:tcPr>
            <w:tcW w:w="1222"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子任务数量</w:t>
            </w:r>
          </w:p>
        </w:tc>
        <w:tc>
          <w:tcPr>
            <w:tcW w:w="179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总时间120分钟（与其他三个金融岗位技能模块同时考核）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该模块考核选手根据一个家庭的基本信息、财务数据、客户需求、理财目标等内容，操作分析客户信息管理、家庭财务分析、理财目标设定与分析、现金规划、购房规划、汽车消费规划、教育规划、养老规划、风险管理与保险规划、投资规划，形成家庭理财规划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□基本专业素养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 xml:space="preserve">专业实践技能  </w:t>
            </w:r>
            <w:r>
              <w:rPr>
                <w:rFonts w:hint="eastAsia" w:ascii="仿宋" w:hAnsi="仿宋" w:eastAsia="仿宋" w:cs="仿宋"/>
                <w:color w:val="000000"/>
                <w:sz w:val="24"/>
                <w:szCs w:val="24"/>
              </w:rPr>
              <w:sym w:font="Wingdings" w:char="F0FE"/>
            </w:r>
            <w:r>
              <w:rPr>
                <w:rFonts w:hint="eastAsia" w:ascii="仿宋" w:hAnsi="仿宋" w:eastAsia="仿宋" w:cs="仿宋"/>
                <w:color w:val="000000"/>
                <w:sz w:val="24"/>
                <w:szCs w:val="24"/>
              </w:rPr>
              <w:t>协调协作能力  □持续发展能力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具体任务要求</w:t>
            </w:r>
          </w:p>
        </w:tc>
        <w:tc>
          <w:tcPr>
            <w:tcW w:w="617"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子任务序号</w:t>
            </w:r>
          </w:p>
        </w:tc>
        <w:tc>
          <w:tcPr>
            <w:tcW w:w="905" w:type="pct"/>
            <w:gridSpan w:val="2"/>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任务要求</w:t>
            </w:r>
          </w:p>
        </w:tc>
        <w:tc>
          <w:tcPr>
            <w:tcW w:w="863"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操作过程</w:t>
            </w:r>
          </w:p>
        </w:tc>
        <w:tc>
          <w:tcPr>
            <w:tcW w:w="714"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考核点</w:t>
            </w:r>
          </w:p>
        </w:tc>
        <w:tc>
          <w:tcPr>
            <w:tcW w:w="1080"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w:t>
            </w:r>
          </w:p>
        </w:tc>
        <w:tc>
          <w:tcPr>
            <w:tcW w:w="905"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根据任务说明和重要提示完成客户信息建立。</w:t>
            </w:r>
          </w:p>
        </w:tc>
        <w:tc>
          <w:tcPr>
            <w:tcW w:w="86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1.客户信息建立-客户资料</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2.合同签订-理财规划服务合同</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3.合同签订-保密合同</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4.生命周期</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5.家庭成员</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1.建立客户信任关系</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2.客户信息管理</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3.客户分类与需求分析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4.服务合同、保密合同签订</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5.客户家庭生命周期的判断</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任务2</w:t>
            </w:r>
          </w:p>
        </w:tc>
        <w:tc>
          <w:tcPr>
            <w:tcW w:w="905"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根据任务说明和重要提示完成家庭财务分析。</w:t>
            </w:r>
          </w:p>
        </w:tc>
        <w:tc>
          <w:tcPr>
            <w:tcW w:w="86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1.家庭财务分析-家庭资产负债表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2.家庭现金流量表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3.财务指标分析</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1.收集客户家庭财务信息</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2.分析客户家庭财务状况</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任务3</w:t>
            </w:r>
          </w:p>
        </w:tc>
        <w:tc>
          <w:tcPr>
            <w:tcW w:w="905"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根据任务说明和重要提示完成理财目标确认。</w:t>
            </w:r>
          </w:p>
        </w:tc>
        <w:tc>
          <w:tcPr>
            <w:tcW w:w="86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1.理财目标确认-理财目标设定与分析</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1.明确客户理财目标</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任务4</w:t>
            </w:r>
          </w:p>
        </w:tc>
        <w:tc>
          <w:tcPr>
            <w:tcW w:w="905"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根据任务说明和重要提示完成现金规划。</w:t>
            </w:r>
          </w:p>
        </w:tc>
        <w:tc>
          <w:tcPr>
            <w:tcW w:w="86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1.现金规划-现金需求分析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2.现金规划工具</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1.现金规划流程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2.现金需求分析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3.家庭应急备用金</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4.流动性比率的计算</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5.现金规划工具</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任务5</w:t>
            </w:r>
          </w:p>
        </w:tc>
        <w:tc>
          <w:tcPr>
            <w:tcW w:w="905"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根据任务说明和重要提示完成购房规划。</w:t>
            </w:r>
          </w:p>
        </w:tc>
        <w:tc>
          <w:tcPr>
            <w:tcW w:w="86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1.购房规划-购房资金需求分析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2.还款方式</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1.购房规划流程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2.购房资金需求分析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3.Excel函数在购房规划中的应用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4.购房还款方案</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任务6</w:t>
            </w:r>
          </w:p>
        </w:tc>
        <w:tc>
          <w:tcPr>
            <w:tcW w:w="905"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根据任务说明和重要提示完成汽车消费规划。</w:t>
            </w:r>
          </w:p>
        </w:tc>
        <w:tc>
          <w:tcPr>
            <w:tcW w:w="86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1.汽车消费规划-汽车消费资金需求分析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2.还款方式</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1.汽车消费规划流程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2.汽车消费资金规划需求分析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3.Excel函数在汽车消费规划中的应用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4.购车还款方案</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任务7</w:t>
            </w:r>
          </w:p>
        </w:tc>
        <w:tc>
          <w:tcPr>
            <w:tcW w:w="905"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根据任务说明和重要提示完成教育规划。</w:t>
            </w:r>
          </w:p>
        </w:tc>
        <w:tc>
          <w:tcPr>
            <w:tcW w:w="86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1.教育规划-教育资金需求分析</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1.教育规划流程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2.教育资金需求分析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3.Excel函数在教育规划中的应用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4.教育资金需求投资储蓄方案</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任务8</w:t>
            </w:r>
          </w:p>
        </w:tc>
        <w:tc>
          <w:tcPr>
            <w:tcW w:w="905"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根据任务说明和重要提示完成养老规划。</w:t>
            </w:r>
          </w:p>
        </w:tc>
        <w:tc>
          <w:tcPr>
            <w:tcW w:w="86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1.养老规划-养老资金需求分析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2.养老规划方案调整</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1.养老规划流程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2.养老资金需求分析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3.Excel函数在养老规划中的应用</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4.养老资金需求投资储蓄方案</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5.养老规划方案调整</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任务9</w:t>
            </w:r>
          </w:p>
        </w:tc>
        <w:tc>
          <w:tcPr>
            <w:tcW w:w="905"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根据任务说明和重要提示完成风险管理与保险规划。</w:t>
            </w:r>
          </w:p>
        </w:tc>
        <w:tc>
          <w:tcPr>
            <w:tcW w:w="86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1.风险管理与保险规划-优先被保险人确定</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2.保额保费确定</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1.风险管理与保险规划流程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2.保险购买需求分析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3.家庭优先被保险人确定</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4.双十原则法</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5.风险管理与保险规划方案</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任务10</w:t>
            </w:r>
          </w:p>
        </w:tc>
        <w:tc>
          <w:tcPr>
            <w:tcW w:w="905"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根据任务说明和重要提示完成投资规划。</w:t>
            </w:r>
          </w:p>
        </w:tc>
        <w:tc>
          <w:tcPr>
            <w:tcW w:w="863"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1.风险承受能力测评-问卷调查</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2.风险承受能力测评-评估结果</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3.资产配置</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4.投资方案-投资实施</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5.投资方案-客户分析-目标设定</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6.投资方案-投资实施-产品配置</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7.投资方案-客户分析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8.投资方案-资产配置</w:t>
            </w:r>
          </w:p>
        </w:tc>
        <w:tc>
          <w:tcPr>
            <w:tcW w:w="714"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1.投资规划流程</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2.客户投资需求分析</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3.风险承受能力测评</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4.投资产品配置的计算</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5.投资规划方案</w:t>
            </w:r>
          </w:p>
        </w:tc>
        <w:tc>
          <w:tcPr>
            <w:tcW w:w="1080" w:type="pct"/>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1.安全操作规范（0%）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2.专业操作工艺（0%)</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1.认知、分析银行产品、基金产品、保险产品、信托产品、股票、黄金、房产等投资产品的能力。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2.为客户提供金融产品的相关咨询，帮助其配置合适的金融产品，完成理财规划方案的能力。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3.进行客户关系维护和管理，提供持续跟踪服务的能力。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4.识别、分析和管理金融机构和客户风险的能力。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5.运用本专业相关法律法规、行业规定从事职业活动的能力。</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6.良好的语言和文字表达能力、沟通合作能力。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vAlign w:val="center"/>
          </w:tcPr>
          <w:p>
            <w:pPr>
              <w:widowControl/>
              <w:autoSpaceDE/>
              <w:autoSpaceDN/>
              <w:rPr>
                <w:rFonts w:hint="eastAsia" w:ascii="仿宋" w:hAnsi="仿宋" w:eastAsia="仿宋" w:cs="仿宋"/>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vAlign w:val="center"/>
          </w:tcPr>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中华人民共和国商业银行法</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GB/T 32320-2015 银行营业网点服务基本要求</w:t>
            </w:r>
          </w:p>
          <w:p>
            <w:pPr>
              <w:pStyle w:val="12"/>
              <w:spacing w:after="0"/>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职业编码2-07-03-04 理财规划师国家职业标准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vAlign w:val="center"/>
          </w:tcPr>
          <w:p>
            <w:pPr>
              <w:pStyle w:val="16"/>
              <w:adjustRightInd w:val="0"/>
              <w:snapToGrid w:val="0"/>
              <w:ind w:left="0" w:leftChars="0" w:firstLine="0" w:firstLineChars="0"/>
              <w:rPr>
                <w:rFonts w:hint="eastAsia" w:ascii="仿宋" w:hAnsi="仿宋" w:eastAsia="仿宋" w:cs="仿宋"/>
                <w:b/>
                <w:color w:val="000000"/>
                <w:sz w:val="24"/>
                <w:szCs w:val="24"/>
              </w:rPr>
            </w:pPr>
            <w:r>
              <w:rPr>
                <w:rFonts w:hint="eastAsia" w:ascii="仿宋" w:hAnsi="仿宋" w:eastAsia="仿宋" w:cs="仿宋"/>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vAlign w:val="center"/>
          </w:tcPr>
          <w:p>
            <w:pPr>
              <w:pStyle w:val="16"/>
              <w:ind w:left="0" w:leftChars="0" w:firstLine="0" w:firstLineChars="0"/>
              <w:rPr>
                <w:rFonts w:hint="eastAsia" w:ascii="仿宋" w:hAnsi="仿宋" w:eastAsia="仿宋" w:cs="仿宋"/>
                <w:color w:val="000000"/>
                <w:sz w:val="24"/>
                <w:szCs w:val="24"/>
              </w:rPr>
            </w:pPr>
          </w:p>
        </w:tc>
      </w:tr>
    </w:tbl>
    <w:p>
      <w:pPr>
        <w:pStyle w:val="3"/>
        <w:spacing w:line="480" w:lineRule="exact"/>
        <w:ind w:left="0"/>
        <w:rPr>
          <w:rFonts w:hint="eastAsia" w:ascii="仿宋" w:hAnsi="仿宋" w:eastAsia="仿宋" w:cs="仿宋"/>
          <w:color w:val="000000"/>
          <w:sz w:val="24"/>
          <w:szCs w:val="24"/>
          <w:lang w:val="en-US"/>
        </w:rPr>
      </w:pPr>
      <w:r>
        <w:rPr>
          <w:rFonts w:hint="eastAsia" w:ascii="仿宋" w:hAnsi="仿宋" w:eastAsia="仿宋" w:cs="仿宋"/>
          <w:b w:val="0"/>
          <w:bCs w:val="0"/>
          <w:lang w:val="en-US"/>
        </w:rPr>
        <w:t>（三）数字金融业务</w:t>
      </w:r>
    </w:p>
    <w:p>
      <w:pPr>
        <w:spacing w:line="480" w:lineRule="exact"/>
        <w:rPr>
          <w:rFonts w:hint="eastAsia" w:ascii="仿宋" w:hAnsi="仿宋" w:eastAsia="仿宋" w:cs="仿宋"/>
          <w:lang w:val="en-US"/>
        </w:rPr>
      </w:pPr>
      <w:r>
        <w:rPr>
          <w:rFonts w:hint="eastAsia" w:ascii="仿宋" w:hAnsi="仿宋" w:eastAsia="仿宋" w:cs="仿宋"/>
          <w:b/>
          <w:color w:val="000000"/>
          <w:sz w:val="24"/>
          <w:szCs w:val="24"/>
          <w:lang w:val="en-US"/>
        </w:rPr>
        <w:t>赛项技能模块汇总</w:t>
      </w:r>
    </w:p>
    <w:tbl>
      <w:tblPr>
        <w:tblStyle w:val="1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914"/>
        <w:gridCol w:w="873"/>
        <w:gridCol w:w="500"/>
        <w:gridCol w:w="1577"/>
        <w:gridCol w:w="729"/>
        <w:gridCol w:w="1514"/>
        <w:gridCol w:w="39"/>
        <w:gridCol w:w="869"/>
        <w:gridCol w:w="1061"/>
        <w:gridCol w:w="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3"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赛项名称</w:t>
            </w:r>
          </w:p>
        </w:tc>
        <w:tc>
          <w:tcPr>
            <w:tcW w:w="1068" w:type="pct"/>
            <w:gridSpan w:val="2"/>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智慧金融</w:t>
            </w:r>
          </w:p>
        </w:tc>
        <w:tc>
          <w:tcPr>
            <w:tcW w:w="1173"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英语名称</w:t>
            </w:r>
          </w:p>
        </w:tc>
        <w:tc>
          <w:tcPr>
            <w:tcW w:w="1384"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sz w:val="24"/>
                <w:szCs w:val="24"/>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3"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赛项编号</w:t>
            </w:r>
          </w:p>
        </w:tc>
        <w:tc>
          <w:tcPr>
            <w:tcW w:w="1068" w:type="pct"/>
            <w:gridSpan w:val="2"/>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sz w:val="24"/>
                <w:szCs w:val="24"/>
              </w:rPr>
              <w:t>GZ044</w:t>
            </w:r>
          </w:p>
        </w:tc>
        <w:tc>
          <w:tcPr>
            <w:tcW w:w="1173"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归属产业</w:t>
            </w:r>
          </w:p>
        </w:tc>
        <w:tc>
          <w:tcPr>
            <w:tcW w:w="1384" w:type="pct"/>
            <w:gridSpan w:val="3"/>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11"/>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41" w:type="pct"/>
            <w:gridSpan w:val="5"/>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
                <w:color w:val="000000"/>
                <w:sz w:val="24"/>
                <w:szCs w:val="24"/>
                <w:lang w:val="en-US"/>
              </w:rPr>
              <w:t>中职组</w:t>
            </w:r>
          </w:p>
        </w:tc>
        <w:tc>
          <w:tcPr>
            <w:tcW w:w="2558" w:type="pct"/>
            <w:gridSpan w:val="6"/>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41" w:type="pct"/>
            <w:gridSpan w:val="5"/>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
                <w:color w:val="000000"/>
                <w:sz w:val="24"/>
                <w:szCs w:val="24"/>
                <w:lang w:val="en-US"/>
              </w:rPr>
              <w:t>□学生组 □教师组 □师生同赛试点赛项</w:t>
            </w:r>
          </w:p>
        </w:tc>
        <w:tc>
          <w:tcPr>
            <w:tcW w:w="2558" w:type="pct"/>
            <w:gridSpan w:val="6"/>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sym w:font="Wingdings 2" w:char="0052"/>
            </w:r>
            <w:r>
              <w:rPr>
                <w:rFonts w:hint="eastAsia" w:ascii="仿宋" w:hAnsi="仿宋" w:eastAsia="仿宋" w:cs="仿宋"/>
                <w:b/>
                <w:color w:val="000000"/>
                <w:sz w:val="24"/>
                <w:szCs w:val="24"/>
                <w:lang w:val="en-US"/>
              </w:rPr>
              <w:t>学生组 □教师组 □师生同赛试点赛项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16" w:type="pct"/>
            <w:gridSpan w:val="6"/>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
                <w:color w:val="000000"/>
                <w:sz w:val="24"/>
                <w:szCs w:val="24"/>
                <w:lang w:val="en-US"/>
              </w:rPr>
              <w:t>模块数量</w:t>
            </w:r>
          </w:p>
        </w:tc>
        <w:tc>
          <w:tcPr>
            <w:tcW w:w="2183" w:type="pct"/>
            <w:gridSpan w:val="5"/>
            <w:vAlign w:val="center"/>
          </w:tcPr>
          <w:p>
            <w:pPr>
              <w:pStyle w:val="12"/>
              <w:adjustRightInd w:val="0"/>
              <w:snapToGrid w:val="0"/>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47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技能竞赛内容</w:t>
            </w:r>
          </w:p>
        </w:tc>
        <w:tc>
          <w:tcPr>
            <w:tcW w:w="706"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技术技能要点</w:t>
            </w:r>
          </w:p>
        </w:tc>
        <w:tc>
          <w:tcPr>
            <w:tcW w:w="1185"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专业知识能力要求</w:t>
            </w:r>
          </w:p>
        </w:tc>
        <w:tc>
          <w:tcPr>
            <w:tcW w:w="77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对应核心课程</w:t>
            </w:r>
          </w:p>
        </w:tc>
        <w:tc>
          <w:tcPr>
            <w:tcW w:w="467"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权重占比</w:t>
            </w:r>
          </w:p>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w:t>
            </w:r>
          </w:p>
        </w:tc>
        <w:tc>
          <w:tcPr>
            <w:tcW w:w="546"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（min）</w:t>
            </w:r>
          </w:p>
        </w:tc>
        <w:tc>
          <w:tcPr>
            <w:tcW w:w="39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模块1</w:t>
            </w:r>
          </w:p>
        </w:tc>
        <w:tc>
          <w:tcPr>
            <w:tcW w:w="47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大数据金融业务</w:t>
            </w:r>
          </w:p>
        </w:tc>
        <w:tc>
          <w:tcPr>
            <w:tcW w:w="706"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rPr>
              <w:t>金融大数据采集与分析</w:t>
            </w:r>
          </w:p>
        </w:tc>
        <w:tc>
          <w:tcPr>
            <w:tcW w:w="1185" w:type="pct"/>
            <w:gridSpan w:val="2"/>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具有适应产业数字化发展需要的金融科技领域数字化技能；</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 xml:space="preserve">具有金融大数据采集与清洗、分析的能力； </w:t>
            </w:r>
          </w:p>
        </w:tc>
        <w:tc>
          <w:tcPr>
            <w:tcW w:w="779"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大数据金融、</w:t>
            </w:r>
            <w:r>
              <w:rPr>
                <w:rFonts w:hint="eastAsia" w:ascii="仿宋" w:hAnsi="仿宋" w:eastAsia="仿宋" w:cs="仿宋"/>
                <w:sz w:val="24"/>
                <w:szCs w:val="24"/>
                <w:lang w:val="en-US"/>
              </w:rPr>
              <w:t>金融大数据处理</w:t>
            </w:r>
          </w:p>
        </w:tc>
        <w:tc>
          <w:tcPr>
            <w:tcW w:w="467"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10%</w:t>
            </w:r>
          </w:p>
        </w:tc>
        <w:tc>
          <w:tcPr>
            <w:tcW w:w="546"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18</w:t>
            </w:r>
          </w:p>
        </w:tc>
        <w:tc>
          <w:tcPr>
            <w:tcW w:w="39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模块2</w:t>
            </w:r>
          </w:p>
        </w:tc>
        <w:tc>
          <w:tcPr>
            <w:tcW w:w="47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区块链金融业务</w:t>
            </w:r>
          </w:p>
        </w:tc>
        <w:tc>
          <w:tcPr>
            <w:tcW w:w="706"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rPr>
              <w:t>区块链搭链、智能合约编写</w:t>
            </w:r>
          </w:p>
        </w:tc>
        <w:tc>
          <w:tcPr>
            <w:tcW w:w="1185" w:type="pct"/>
            <w:gridSpan w:val="2"/>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具有区块链搭链、智能合约编写的能力；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具有适应现代金融业的新知识、新技术、新方法、新应用的能力；</w:t>
            </w:r>
          </w:p>
        </w:tc>
        <w:tc>
          <w:tcPr>
            <w:tcW w:w="779"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区块链金融</w:t>
            </w:r>
          </w:p>
        </w:tc>
        <w:tc>
          <w:tcPr>
            <w:tcW w:w="467"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15%</w:t>
            </w:r>
          </w:p>
        </w:tc>
        <w:tc>
          <w:tcPr>
            <w:tcW w:w="546"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27</w:t>
            </w:r>
          </w:p>
        </w:tc>
        <w:tc>
          <w:tcPr>
            <w:tcW w:w="390" w:type="pct"/>
            <w:vAlign w:val="center"/>
          </w:tcPr>
          <w:p>
            <w:pPr>
              <w:autoSpaceDE/>
              <w:autoSpaceDN/>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45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模块3</w:t>
            </w:r>
          </w:p>
        </w:tc>
        <w:tc>
          <w:tcPr>
            <w:tcW w:w="470" w:type="pct"/>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支付业务数字化</w:t>
            </w:r>
          </w:p>
        </w:tc>
        <w:tc>
          <w:tcPr>
            <w:tcW w:w="706" w:type="pct"/>
            <w:gridSpan w:val="2"/>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国际结算、外汇交易</w:t>
            </w:r>
          </w:p>
        </w:tc>
        <w:tc>
          <w:tcPr>
            <w:tcW w:w="1185"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1.具有投资分析能力；</w:t>
            </w:r>
          </w:p>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2.具有国际结算、外汇交易、外汇管理能力；</w:t>
            </w:r>
          </w:p>
        </w:tc>
        <w:tc>
          <w:tcPr>
            <w:tcW w:w="779"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国际投融资实务、外汇交易实务、</w:t>
            </w:r>
          </w:p>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国际结算业务</w:t>
            </w:r>
          </w:p>
        </w:tc>
        <w:tc>
          <w:tcPr>
            <w:tcW w:w="467"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15%</w:t>
            </w:r>
          </w:p>
        </w:tc>
        <w:tc>
          <w:tcPr>
            <w:tcW w:w="546"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27</w:t>
            </w:r>
          </w:p>
        </w:tc>
        <w:tc>
          <w:tcPr>
            <w:tcW w:w="390" w:type="pct"/>
            <w:vAlign w:val="center"/>
          </w:tcPr>
          <w:p>
            <w:pPr>
              <w:autoSpaceDE/>
              <w:autoSpaceDN/>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模块4</w:t>
            </w:r>
          </w:p>
        </w:tc>
        <w:tc>
          <w:tcPr>
            <w:tcW w:w="470" w:type="pct"/>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银行业务数字化</w:t>
            </w:r>
          </w:p>
        </w:tc>
        <w:tc>
          <w:tcPr>
            <w:tcW w:w="706" w:type="pct"/>
            <w:gridSpan w:val="2"/>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银行信贷资产信用审核与贷后管理、信用风险管理</w:t>
            </w:r>
          </w:p>
        </w:tc>
        <w:tc>
          <w:tcPr>
            <w:tcW w:w="1185"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1.具有银行信贷审核与管理、信用产品营销与服务的技能；</w:t>
            </w:r>
          </w:p>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2.具有适应信用管理领域数字化发展需求的征信应用能力；</w:t>
            </w:r>
          </w:p>
        </w:tc>
        <w:tc>
          <w:tcPr>
            <w:tcW w:w="779" w:type="pct"/>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金融服务营销、银行产品、企业信用管理、消费者信用管理</w:t>
            </w:r>
          </w:p>
        </w:tc>
        <w:tc>
          <w:tcPr>
            <w:tcW w:w="467"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15%</w:t>
            </w:r>
          </w:p>
        </w:tc>
        <w:tc>
          <w:tcPr>
            <w:tcW w:w="546"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27</w:t>
            </w:r>
          </w:p>
        </w:tc>
        <w:tc>
          <w:tcPr>
            <w:tcW w:w="390" w:type="pct"/>
            <w:vAlign w:val="center"/>
          </w:tcPr>
          <w:p>
            <w:pPr>
              <w:autoSpaceDE/>
              <w:autoSpaceDN/>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模块5</w:t>
            </w:r>
          </w:p>
        </w:tc>
        <w:tc>
          <w:tcPr>
            <w:tcW w:w="470" w:type="pct"/>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rPr>
              <w:t>证券业务数字化</w:t>
            </w:r>
          </w:p>
        </w:tc>
        <w:tc>
          <w:tcPr>
            <w:tcW w:w="706" w:type="pct"/>
            <w:gridSpan w:val="2"/>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客户开发与服务、金融产品投资分析、金融产品推广与营销、金融科技领域数字化技能及营销方案撰写、活动策划及实施</w:t>
            </w:r>
          </w:p>
        </w:tc>
        <w:tc>
          <w:tcPr>
            <w:tcW w:w="1185" w:type="pct"/>
            <w:gridSpan w:val="2"/>
            <w:vAlign w:val="center"/>
          </w:tcPr>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1. 具有为客户提供证券经纪、期货经纪、投资分析、投资咨询等服务的能力；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2. 具有为客户进行理财规划和配置资产的能力；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3. 具有向客户进行金融产品推广和营销的能力；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4. 具有使用办公软件、行情软件、客服软件等处理信息技术的能力；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5. 具有使用金融领域基本数字化工具的能力；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6. 具有依照证券市场基本法律法规、行业相关绿色生产、安全防护、质量管理等要求办理相关业务的能力；</w:t>
            </w:r>
          </w:p>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7. 具有运用创新意识、互联网思维研究并解决问题的能力；</w:t>
            </w:r>
          </w:p>
        </w:tc>
        <w:tc>
          <w:tcPr>
            <w:tcW w:w="779" w:type="pct"/>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证券投资分析、证券投资基金、投资银行业务、期货原理与实务、个人理财、金融营销、金融风险管理</w:t>
            </w:r>
          </w:p>
        </w:tc>
        <w:tc>
          <w:tcPr>
            <w:tcW w:w="467" w:type="pct"/>
            <w:gridSpan w:val="2"/>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20%</w:t>
            </w:r>
          </w:p>
        </w:tc>
        <w:tc>
          <w:tcPr>
            <w:tcW w:w="546" w:type="pct"/>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36</w:t>
            </w:r>
          </w:p>
        </w:tc>
        <w:tc>
          <w:tcPr>
            <w:tcW w:w="390" w:type="pct"/>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模块6</w:t>
            </w:r>
          </w:p>
        </w:tc>
        <w:tc>
          <w:tcPr>
            <w:tcW w:w="47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保险业业务数字化</w:t>
            </w:r>
          </w:p>
        </w:tc>
        <w:tc>
          <w:tcPr>
            <w:tcW w:w="706"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rPr>
              <w:t>金融科技领域数字化技能及营销方案撰写、活动策划及实施</w:t>
            </w:r>
          </w:p>
        </w:tc>
        <w:tc>
          <w:tcPr>
            <w:tcW w:w="1185" w:type="pct"/>
            <w:gridSpan w:val="2"/>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 xml:space="preserve">具有量身定制保险理财规划、保险产品推广及销售等工作的能力； </w:t>
            </w:r>
          </w:p>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2</w:t>
            </w:r>
            <w:r>
              <w:rPr>
                <w:rFonts w:hint="eastAsia" w:ascii="仿宋" w:hAnsi="仿宋" w:eastAsia="仿宋" w:cs="仿宋"/>
                <w:sz w:val="24"/>
                <w:szCs w:val="24"/>
              </w:rPr>
              <w:t>.具有风险识别与评估、风险查勘、损失分析与核定、理赔调查等核保理赔能力；</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lang w:val="en-US"/>
              </w:rPr>
              <w:t>3.</w:t>
            </w:r>
            <w:r>
              <w:rPr>
                <w:rFonts w:hint="eastAsia" w:ascii="仿宋" w:hAnsi="仿宋" w:eastAsia="仿宋" w:cs="仿宋"/>
                <w:sz w:val="24"/>
                <w:szCs w:val="24"/>
              </w:rPr>
              <w:t>具有数字营销方案撰写、活动策划及实施的能力；</w:t>
            </w:r>
          </w:p>
        </w:tc>
        <w:tc>
          <w:tcPr>
            <w:tcW w:w="779" w:type="pct"/>
            <w:vAlign w:val="center"/>
          </w:tcPr>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color w:val="000000"/>
                <w:sz w:val="24"/>
                <w:szCs w:val="24"/>
                <w:lang w:val="en-US"/>
              </w:rPr>
              <w:t>金融科技产品设计、</w:t>
            </w:r>
            <w:r>
              <w:rPr>
                <w:rFonts w:hint="eastAsia" w:ascii="仿宋" w:hAnsi="仿宋" w:eastAsia="仿宋" w:cs="仿宋"/>
                <w:sz w:val="24"/>
                <w:szCs w:val="24"/>
              </w:rPr>
              <w:t>保险科技应用、</w:t>
            </w:r>
            <w:r>
              <w:rPr>
                <w:rFonts w:hint="eastAsia" w:ascii="仿宋" w:hAnsi="仿宋" w:eastAsia="仿宋" w:cs="仿宋"/>
                <w:sz w:val="24"/>
                <w:szCs w:val="24"/>
                <w:lang w:val="en-US"/>
              </w:rPr>
              <w:t>人身保险实务、财产保险实务、保险营销技巧</w:t>
            </w:r>
          </w:p>
        </w:tc>
        <w:tc>
          <w:tcPr>
            <w:tcW w:w="467"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15%</w:t>
            </w:r>
          </w:p>
        </w:tc>
        <w:tc>
          <w:tcPr>
            <w:tcW w:w="546" w:type="pct"/>
            <w:vAlign w:val="center"/>
          </w:tcPr>
          <w:p>
            <w:pPr>
              <w:pStyle w:val="12"/>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27</w:t>
            </w:r>
          </w:p>
        </w:tc>
        <w:tc>
          <w:tcPr>
            <w:tcW w:w="390" w:type="pct"/>
            <w:vAlign w:val="center"/>
          </w:tcPr>
          <w:p>
            <w:pPr>
              <w:autoSpaceDE/>
              <w:autoSpaceDN/>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模块7</w:t>
            </w:r>
          </w:p>
        </w:tc>
        <w:tc>
          <w:tcPr>
            <w:tcW w:w="47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金融科技业务创新</w:t>
            </w:r>
          </w:p>
        </w:tc>
        <w:tc>
          <w:tcPr>
            <w:tcW w:w="706"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lang w:val="en-US"/>
              </w:rPr>
              <w:t>供应链信用结算</w:t>
            </w:r>
            <w:r>
              <w:rPr>
                <w:rFonts w:hint="eastAsia" w:ascii="仿宋" w:hAnsi="仿宋" w:eastAsia="仿宋" w:cs="仿宋"/>
                <w:sz w:val="24"/>
                <w:szCs w:val="24"/>
              </w:rPr>
              <w:t>、</w:t>
            </w:r>
            <w:r>
              <w:rPr>
                <w:rFonts w:hint="eastAsia" w:ascii="仿宋" w:hAnsi="仿宋" w:eastAsia="仿宋" w:cs="仿宋"/>
                <w:sz w:val="24"/>
                <w:szCs w:val="24"/>
                <w:lang w:val="en-US"/>
              </w:rPr>
              <w:t>涉农</w:t>
            </w:r>
            <w:r>
              <w:rPr>
                <w:rFonts w:hint="eastAsia" w:ascii="仿宋" w:hAnsi="仿宋" w:eastAsia="仿宋" w:cs="仿宋"/>
                <w:sz w:val="24"/>
                <w:szCs w:val="24"/>
              </w:rPr>
              <w:t>贷款</w:t>
            </w:r>
          </w:p>
        </w:tc>
        <w:tc>
          <w:tcPr>
            <w:tcW w:w="1185" w:type="pct"/>
            <w:gridSpan w:val="2"/>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 xml:space="preserve">具有适应金融产业数字化发展需求的信息技术基础知识、专业信息技术能力等 基本数字化技能； </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具有适应现代金融业的新知识、新技术、新方法、新应用的能力；</w:t>
            </w:r>
          </w:p>
        </w:tc>
        <w:tc>
          <w:tcPr>
            <w:tcW w:w="779" w:type="pct"/>
            <w:vAlign w:val="center"/>
          </w:tcPr>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color w:val="000000"/>
                <w:sz w:val="24"/>
                <w:szCs w:val="24"/>
                <w:lang w:val="en-US"/>
              </w:rPr>
              <w:t>金融科技营销、</w:t>
            </w:r>
            <w:r>
              <w:rPr>
                <w:rFonts w:hint="eastAsia" w:ascii="仿宋" w:hAnsi="仿宋" w:eastAsia="仿宋" w:cs="仿宋"/>
                <w:sz w:val="24"/>
                <w:szCs w:val="24"/>
                <w:lang w:val="en-US"/>
              </w:rPr>
              <w:t>商业银行综合柜台业务、</w:t>
            </w:r>
            <w:r>
              <w:rPr>
                <w:rFonts w:hint="eastAsia" w:ascii="仿宋" w:hAnsi="仿宋" w:eastAsia="仿宋" w:cs="仿宋"/>
                <w:sz w:val="24"/>
                <w:szCs w:val="24"/>
              </w:rPr>
              <w:t>农村金融风险与合规</w:t>
            </w:r>
          </w:p>
        </w:tc>
        <w:tc>
          <w:tcPr>
            <w:tcW w:w="467"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w:t>
            </w:r>
          </w:p>
        </w:tc>
        <w:tc>
          <w:tcPr>
            <w:tcW w:w="546" w:type="pct"/>
            <w:vAlign w:val="center"/>
          </w:tcPr>
          <w:p>
            <w:pPr>
              <w:pStyle w:val="12"/>
              <w:spacing w:after="0"/>
              <w:ind w:left="0" w:leftChars="0" w:firstLine="0" w:firstLineChars="0"/>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9</w:t>
            </w:r>
          </w:p>
        </w:tc>
        <w:tc>
          <w:tcPr>
            <w:tcW w:w="390" w:type="pct"/>
            <w:vAlign w:val="center"/>
          </w:tcPr>
          <w:p>
            <w:pPr>
              <w:autoSpaceDE/>
              <w:autoSpaceDN/>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vAlign w:val="center"/>
          </w:tcPr>
          <w:p>
            <w:pPr>
              <w:pStyle w:val="12"/>
              <w:spacing w:after="0"/>
              <w:ind w:left="0" w:leftChars="0" w:firstLine="0" w:firstLineChars="0"/>
              <w:rPr>
                <w:rFonts w:hint="eastAsia" w:ascii="仿宋" w:hAnsi="仿宋" w:eastAsia="仿宋" w:cs="仿宋"/>
                <w:b/>
                <w:bCs/>
                <w:color w:val="000000"/>
                <w:sz w:val="24"/>
                <w:szCs w:val="24"/>
                <w:lang w:val="en-US"/>
              </w:rPr>
            </w:pPr>
            <w:r>
              <w:rPr>
                <w:rFonts w:hint="eastAsia" w:ascii="仿宋" w:hAnsi="仿宋" w:eastAsia="仿宋" w:cs="仿宋"/>
                <w:color w:val="000000"/>
                <w:sz w:val="24"/>
                <w:szCs w:val="24"/>
                <w:lang w:val="en-US"/>
              </w:rPr>
              <w:t>模块8</w:t>
            </w:r>
          </w:p>
        </w:tc>
        <w:tc>
          <w:tcPr>
            <w:tcW w:w="470" w:type="pct"/>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rPr>
              <w:t>数字金融业务监管</w:t>
            </w:r>
          </w:p>
        </w:tc>
        <w:tc>
          <w:tcPr>
            <w:tcW w:w="706" w:type="pct"/>
            <w:gridSpan w:val="2"/>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金融科技风险控制、信用风险管理、金融业务风险审查</w:t>
            </w:r>
          </w:p>
        </w:tc>
        <w:tc>
          <w:tcPr>
            <w:tcW w:w="1185" w:type="pct"/>
            <w:gridSpan w:val="2"/>
            <w:vAlign w:val="center"/>
          </w:tcPr>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1.具有根据相关法律法规和行业规范开展金融服务和业务风险审查的能力；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2.具有金融数据处理技能和信息技术应用的能力；</w:t>
            </w:r>
          </w:p>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3.具有运用创新意识、互联网思维研究并解决问题的能力；</w:t>
            </w:r>
          </w:p>
        </w:tc>
        <w:tc>
          <w:tcPr>
            <w:tcW w:w="779" w:type="pct"/>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金融风险与合规、金融科技合规实务、金融风险管理</w:t>
            </w:r>
          </w:p>
        </w:tc>
        <w:tc>
          <w:tcPr>
            <w:tcW w:w="467" w:type="pct"/>
            <w:gridSpan w:val="2"/>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5%</w:t>
            </w:r>
          </w:p>
        </w:tc>
        <w:tc>
          <w:tcPr>
            <w:tcW w:w="546" w:type="pct"/>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9</w:t>
            </w:r>
          </w:p>
        </w:tc>
        <w:tc>
          <w:tcPr>
            <w:tcW w:w="390" w:type="pct"/>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lang w:val="en-US"/>
              </w:rPr>
              <w:t>机考评分</w:t>
            </w:r>
          </w:p>
        </w:tc>
      </w:tr>
    </w:tbl>
    <w:p>
      <w:pPr>
        <w:pStyle w:val="4"/>
        <w:tabs>
          <w:tab w:val="left" w:pos="0"/>
        </w:tabs>
        <w:spacing w:line="480" w:lineRule="exact"/>
        <w:rPr>
          <w:rFonts w:hint="eastAsia" w:ascii="仿宋" w:hAnsi="仿宋" w:eastAsia="仿宋" w:cs="仿宋"/>
          <w:lang w:val="en-US"/>
        </w:rPr>
      </w:pPr>
      <w:r>
        <w:rPr>
          <w:rFonts w:hint="eastAsia" w:ascii="仿宋" w:hAnsi="仿宋" w:eastAsia="仿宋" w:cs="仿宋"/>
          <w:lang w:val="en-US"/>
        </w:rPr>
        <w:t>大数据金融业务</w:t>
      </w:r>
    </w:p>
    <w:p>
      <w:pPr>
        <w:spacing w:line="480" w:lineRule="exact"/>
        <w:rPr>
          <w:rFonts w:hint="eastAsia" w:ascii="仿宋" w:hAnsi="仿宋" w:eastAsia="仿宋" w:cs="仿宋"/>
          <w:lang w:val="en-US"/>
        </w:rPr>
      </w:pPr>
      <w:r>
        <w:rPr>
          <w:rFonts w:hint="eastAsia" w:ascii="仿宋" w:hAnsi="仿宋" w:eastAsia="仿宋" w:cs="仿宋"/>
          <w:b/>
          <w:color w:val="000000"/>
          <w:sz w:val="24"/>
          <w:szCs w:val="24"/>
          <w:lang w:val="en-US"/>
        </w:rPr>
        <w:t xml:space="preserve"> 技能模块1任务分解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模块1</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大数据金融业务</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pPr>
              <w:widowControl/>
              <w:autoSpaceDE/>
              <w:autoSpaceDN/>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某云服务提供机构新建了2个快速配置云服务，配置分别如下表，随后新建了2个云应用。</w:t>
            </w:r>
          </w:p>
          <w:p>
            <w:pPr>
              <w:pStyle w:val="5"/>
              <w:ind w:firstLine="0" w:firstLineChars="0"/>
              <w:rPr>
                <w:rFonts w:hint="eastAsia" w:ascii="仿宋" w:hAnsi="仿宋" w:eastAsia="仿宋" w:cs="仿宋"/>
                <w:b/>
                <w:bCs/>
                <w:sz w:val="24"/>
                <w:szCs w:val="24"/>
                <w:lang w:val="en-US"/>
              </w:rPr>
            </w:pPr>
            <w:r>
              <w:rPr>
                <w:rFonts w:hint="eastAsia" w:ascii="仿宋" w:hAnsi="仿宋" w:eastAsia="仿宋" w:cs="仿宋"/>
                <w:b/>
                <w:bCs/>
                <w:sz w:val="24"/>
                <w:szCs w:val="24"/>
                <w:lang w:val="en-US"/>
              </w:rPr>
              <w:t>云服务</w:t>
            </w:r>
          </w:p>
          <w:tbl>
            <w:tblPr>
              <w:tblStyle w:val="1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536"/>
              <w:gridCol w:w="692"/>
              <w:gridCol w:w="871"/>
              <w:gridCol w:w="872"/>
              <w:gridCol w:w="697"/>
              <w:gridCol w:w="577"/>
              <w:gridCol w:w="772"/>
              <w:gridCol w:w="1126"/>
              <w:gridCol w:w="1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序号</w:t>
                  </w:r>
                </w:p>
              </w:tc>
              <w:tc>
                <w:tcPr>
                  <w:tcW w:w="356"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地域</w:t>
                  </w:r>
                </w:p>
              </w:tc>
              <w:tc>
                <w:tcPr>
                  <w:tcW w:w="455"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公网IP</w:t>
                  </w:r>
                </w:p>
              </w:tc>
              <w:tc>
                <w:tcPr>
                  <w:tcW w:w="568"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实例族</w:t>
                  </w:r>
                </w:p>
              </w:tc>
              <w:tc>
                <w:tcPr>
                  <w:tcW w:w="569"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实例类型</w:t>
                  </w:r>
                </w:p>
              </w:tc>
              <w:tc>
                <w:tcPr>
                  <w:tcW w:w="414"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vCPU</w:t>
                  </w:r>
                </w:p>
              </w:tc>
              <w:tc>
                <w:tcPr>
                  <w:tcW w:w="321"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内存</w:t>
                  </w:r>
                </w:p>
              </w:tc>
              <w:tc>
                <w:tcPr>
                  <w:tcW w:w="505"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网络收发包</w:t>
                  </w:r>
                </w:p>
              </w:tc>
              <w:tc>
                <w:tcPr>
                  <w:tcW w:w="729"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系统盘</w:t>
                  </w:r>
                </w:p>
              </w:tc>
              <w:tc>
                <w:tcPr>
                  <w:tcW w:w="837"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数据盘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1</w:t>
                  </w:r>
                </w:p>
              </w:tc>
              <w:tc>
                <w:tcPr>
                  <w:tcW w:w="356"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重庆</w:t>
                  </w:r>
                </w:p>
              </w:tc>
              <w:tc>
                <w:tcPr>
                  <w:tcW w:w="455"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150</w:t>
                  </w:r>
                </w:p>
              </w:tc>
              <w:tc>
                <w:tcPr>
                  <w:tcW w:w="568"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大数据型</w:t>
                  </w:r>
                </w:p>
              </w:tc>
              <w:tc>
                <w:tcPr>
                  <w:tcW w:w="569"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大数据型D2</w:t>
                  </w:r>
                </w:p>
              </w:tc>
              <w:tc>
                <w:tcPr>
                  <w:tcW w:w="414"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16核</w:t>
                  </w:r>
                </w:p>
              </w:tc>
              <w:tc>
                <w:tcPr>
                  <w:tcW w:w="321"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64G</w:t>
                  </w:r>
                </w:p>
              </w:tc>
              <w:tc>
                <w:tcPr>
                  <w:tcW w:w="505"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150</w:t>
                  </w:r>
                </w:p>
              </w:tc>
              <w:tc>
                <w:tcPr>
                  <w:tcW w:w="729"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高性能云硬盘120G</w:t>
                  </w:r>
                </w:p>
              </w:tc>
              <w:tc>
                <w:tcPr>
                  <w:tcW w:w="837"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SSD云硬盘</w:t>
                  </w:r>
                </w:p>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数量1，容量1024G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2</w:t>
                  </w:r>
                </w:p>
              </w:tc>
              <w:tc>
                <w:tcPr>
                  <w:tcW w:w="356"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南京</w:t>
                  </w:r>
                </w:p>
              </w:tc>
              <w:tc>
                <w:tcPr>
                  <w:tcW w:w="455"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50</w:t>
                  </w:r>
                </w:p>
              </w:tc>
              <w:tc>
                <w:tcPr>
                  <w:tcW w:w="568"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标准型</w:t>
                  </w:r>
                </w:p>
              </w:tc>
              <w:tc>
                <w:tcPr>
                  <w:tcW w:w="569"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标准型S6</w:t>
                  </w:r>
                </w:p>
              </w:tc>
              <w:tc>
                <w:tcPr>
                  <w:tcW w:w="414"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4核</w:t>
                  </w:r>
                </w:p>
              </w:tc>
              <w:tc>
                <w:tcPr>
                  <w:tcW w:w="321"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4G</w:t>
                  </w:r>
                </w:p>
              </w:tc>
              <w:tc>
                <w:tcPr>
                  <w:tcW w:w="505"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30</w:t>
                  </w:r>
                </w:p>
              </w:tc>
              <w:tc>
                <w:tcPr>
                  <w:tcW w:w="729"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SSD云硬盘50G</w:t>
                  </w:r>
                </w:p>
              </w:tc>
              <w:tc>
                <w:tcPr>
                  <w:tcW w:w="837"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0</w:t>
                  </w:r>
                </w:p>
              </w:tc>
            </w:tr>
          </w:tbl>
          <w:p>
            <w:pPr>
              <w:pStyle w:val="5"/>
              <w:ind w:firstLine="0" w:firstLineChars="0"/>
              <w:rPr>
                <w:rFonts w:hint="eastAsia" w:ascii="仿宋" w:hAnsi="仿宋" w:eastAsia="仿宋" w:cs="仿宋"/>
                <w:b/>
                <w:bCs/>
                <w:sz w:val="24"/>
                <w:szCs w:val="24"/>
                <w:lang w:val="en-US"/>
              </w:rPr>
            </w:pPr>
            <w:r>
              <w:rPr>
                <w:rFonts w:hint="eastAsia" w:ascii="仿宋" w:hAnsi="仿宋" w:eastAsia="仿宋" w:cs="仿宋"/>
                <w:b/>
                <w:bCs/>
                <w:sz w:val="24"/>
                <w:szCs w:val="24"/>
                <w:lang w:val="en-US"/>
              </w:rPr>
              <w:t>云应用</w:t>
            </w:r>
          </w:p>
          <w:tbl>
            <w:tblPr>
              <w:tblStyle w:val="1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871"/>
              <w:gridCol w:w="1398"/>
              <w:gridCol w:w="2193"/>
              <w:gridCol w:w="2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序号</w:t>
                  </w:r>
                </w:p>
              </w:tc>
              <w:tc>
                <w:tcPr>
                  <w:tcW w:w="551"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应用类型</w:t>
                  </w:r>
                </w:p>
              </w:tc>
              <w:tc>
                <w:tcPr>
                  <w:tcW w:w="884"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应用</w:t>
                  </w:r>
                </w:p>
              </w:tc>
              <w:tc>
                <w:tcPr>
                  <w:tcW w:w="1387"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应用描述</w:t>
                  </w:r>
                </w:p>
              </w:tc>
              <w:tc>
                <w:tcPr>
                  <w:tcW w:w="1840"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功能描述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1</w:t>
                  </w:r>
                </w:p>
              </w:tc>
              <w:tc>
                <w:tcPr>
                  <w:tcW w:w="551"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云存储</w:t>
                  </w:r>
                </w:p>
              </w:tc>
              <w:tc>
                <w:tcPr>
                  <w:tcW w:w="884"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智能分层存储</w:t>
                  </w:r>
                </w:p>
              </w:tc>
              <w:tc>
                <w:tcPr>
                  <w:tcW w:w="1387"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1.数据持久性 99.9999999999（12个9）</w:t>
                  </w:r>
                </w:p>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2.服务可用性 99.995%</w:t>
                  </w:r>
                </w:p>
              </w:tc>
              <w:tc>
                <w:tcPr>
                  <w:tcW w:w="1840"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1.适用于数据访问模式不固定的场景</w:t>
                  </w:r>
                </w:p>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2.毫秒级数据响应</w:t>
                  </w:r>
                </w:p>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3.最低30天存储时间</w:t>
                  </w:r>
                </w:p>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4.支持多AZ架构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2</w:t>
                  </w:r>
                </w:p>
              </w:tc>
              <w:tc>
                <w:tcPr>
                  <w:tcW w:w="551"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云金融安全</w:t>
                  </w:r>
                </w:p>
              </w:tc>
              <w:tc>
                <w:tcPr>
                  <w:tcW w:w="884"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金融级实人认证</w:t>
                  </w:r>
                </w:p>
              </w:tc>
              <w:tc>
                <w:tcPr>
                  <w:tcW w:w="1387"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构建安全防线，行业口碑之选</w:t>
                  </w:r>
                </w:p>
              </w:tc>
              <w:tc>
                <w:tcPr>
                  <w:tcW w:w="1840" w:type="pct"/>
                </w:tcPr>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1.金融级别安全水位，广泛应用于银行、证券、保险等行业</w:t>
                  </w:r>
                </w:p>
                <w:p>
                  <w:pPr>
                    <w:pStyle w:val="5"/>
                    <w:autoSpaceDE/>
                    <w:autoSpaceDN/>
                    <w:ind w:firstLine="0" w:firstLineChars="0"/>
                    <w:jc w:val="left"/>
                    <w:rPr>
                      <w:rFonts w:hint="eastAsia" w:ascii="仿宋" w:hAnsi="仿宋" w:eastAsia="仿宋" w:cs="仿宋"/>
                      <w:sz w:val="24"/>
                      <w:szCs w:val="24"/>
                      <w:lang w:val="en-US"/>
                    </w:rPr>
                  </w:pPr>
                  <w:r>
                    <w:rPr>
                      <w:rFonts w:hint="eastAsia" w:ascii="仿宋" w:hAnsi="仿宋" w:eastAsia="仿宋" w:cs="仿宋"/>
                      <w:sz w:val="24"/>
                      <w:szCs w:val="24"/>
                      <w:lang w:val="en-US"/>
                    </w:rPr>
                    <w:t>2.领先的生物识别技术，为用户提供安全便捷的数字身份识别解决方案</w:t>
                  </w:r>
                </w:p>
              </w:tc>
            </w:tr>
          </w:tbl>
          <w:p>
            <w:pPr>
              <w:widowControl/>
              <w:autoSpaceDE/>
              <w:autoSpaceDN/>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某保险公司希望通过云服务开展人身保险业务，于是于2023年2月8日向云服务提供机构申请一个实例族为大数据型的快速配置云服务，申请时长3年，云服务提供机构同意了该保险公司的申请，保险公司完成账户充值后支付款项。随后该保险公司购买了智能分层存储和金融级实人认证两个云应用。（扣款账号：6228021901114511，银行卡密码：888888，云服务密码：666666）</w:t>
            </w:r>
          </w:p>
          <w:p>
            <w:pPr>
              <w:widowControl/>
              <w:autoSpaceDE/>
              <w:autoSpaceDN/>
              <w:ind w:firstLine="480" w:firstLineChars="200"/>
              <w:rPr>
                <w:rFonts w:hint="eastAsia" w:ascii="仿宋" w:hAnsi="仿宋" w:eastAsia="仿宋" w:cs="仿宋"/>
                <w:color w:val="000000"/>
                <w:sz w:val="24"/>
                <w:szCs w:val="24"/>
              </w:rPr>
            </w:pPr>
            <w:r>
              <w:rPr>
                <w:rFonts w:hint="eastAsia" w:ascii="仿宋" w:hAnsi="仿宋" w:eastAsia="仿宋" w:cs="仿宋"/>
                <w:sz w:val="24"/>
                <w:szCs w:val="24"/>
                <w:lang w:val="en-US"/>
              </w:rPr>
              <w:t>该保险公司于2023年3月10日进行基础设施检测（防雷检测和消防设施检测），随后新建了人身保险业务，包含意外伤害险-“</w:t>
            </w:r>
            <w:r>
              <w:rPr>
                <w:rFonts w:hint="eastAsia" w:ascii="仿宋" w:hAnsi="仿宋" w:eastAsia="仿宋" w:cs="仿宋"/>
                <w:sz w:val="24"/>
                <w:szCs w:val="24"/>
                <w:lang w:val="en-US" w:bidi="ar"/>
              </w:rPr>
              <w:t>易安心意外险</w:t>
            </w:r>
            <w:r>
              <w:rPr>
                <w:rFonts w:hint="eastAsia" w:ascii="仿宋" w:hAnsi="仿宋" w:eastAsia="仿宋" w:cs="仿宋"/>
                <w:sz w:val="24"/>
                <w:szCs w:val="24"/>
                <w:lang w:val="en-US"/>
              </w:rPr>
              <w:t>”和健康险-“</w:t>
            </w:r>
            <w:r>
              <w:rPr>
                <w:rFonts w:hint="eastAsia" w:ascii="仿宋" w:hAnsi="仿宋" w:eastAsia="仿宋" w:cs="仿宋"/>
                <w:color w:val="000000"/>
                <w:sz w:val="24"/>
                <w:szCs w:val="24"/>
              </w:rPr>
              <w:t>安心医疗</w:t>
            </w:r>
            <w:r>
              <w:rPr>
                <w:rFonts w:hint="eastAsia" w:ascii="仿宋" w:hAnsi="仿宋" w:eastAsia="仿宋" w:cs="仿宋"/>
                <w:sz w:val="24"/>
                <w:szCs w:val="24"/>
                <w:lang w:val="en-US"/>
              </w:rPr>
              <w:t>”；</w:t>
            </w:r>
            <w:r>
              <w:rPr>
                <w:rFonts w:hint="eastAsia" w:ascii="仿宋" w:hAnsi="仿宋" w:eastAsia="仿宋" w:cs="仿宋"/>
                <w:color w:val="000000"/>
                <w:sz w:val="24"/>
                <w:szCs w:val="24"/>
              </w:rPr>
              <w:t>保险公司经过市场调研后，调研结果显示市场上的保险需求集中于已退休中老年人群体，该公司将针对此年龄段扩大推广力度，于是公司安排数据采集人员在“青年人客户数据采集”、“中年人客户数据采集”、“老年人客户数据采集”任务中获取到了不同年龄段保险客户数据，并分别在“青年人客户数据导入”任务中导入了性别、年龄、民族、省份、月收入、身体状况、投保_核保次数、理赔_申请结果次数、理赔_提交理赔申请次数、续保_支付次数等数据；在“中年人客户数据导入”任务中导入了年龄、文化程度、单位性质、年收入、身体状况、退保_申请退保次数、退保_完成退保次数、续保_保费测算次数、续保_点击续保次数、续保_解除续保次数、续保_申请续保次数、续保_支付次数等数据；在“老年人客户数据导入”任务中导入了性别、年龄、婚姻状况、文化程度、单位性质、职称、年收入、身体状况、投保_点击立即投保次数、投保_提交投保信息次数、投保_支付保单次数、投保_产品详情页浏览次数、续保_保费测算次数、续保_支付次数等数据；数据采集人员核查导入完成的数据后储存了数据。</w:t>
            </w:r>
          </w:p>
          <w:p>
            <w:pPr>
              <w:pStyle w:val="10"/>
              <w:widowControl/>
              <w:spacing w:before="0" w:beforeAutospacing="0" w:after="0" w:afterAutospacing="0"/>
              <w:ind w:firstLine="480" w:firstLineChars="200"/>
              <w:rPr>
                <w:rFonts w:hint="eastAsia" w:ascii="仿宋" w:hAnsi="仿宋" w:eastAsia="仿宋" w:cs="仿宋"/>
                <w:color w:val="000000"/>
                <w:szCs w:val="24"/>
              </w:rPr>
            </w:pPr>
            <w:r>
              <w:rPr>
                <w:rFonts w:hint="eastAsia" w:ascii="仿宋" w:hAnsi="仿宋" w:eastAsia="仿宋" w:cs="仿宋"/>
                <w:color w:val="000000"/>
                <w:szCs w:val="24"/>
              </w:rPr>
              <w:t>数据分析人员希望通过储存的数据去分析保险客户的特性，从而为新客户推荐合适的保险产品，于是数据分析人员分别在“青年人客户数据分析”数据分析任务中分析了保险客户的性别、年龄、民族、省份、月收入、身体状况、投保_核保次数、理赔_申请结果次数、理赔_提交理赔申请次数、续保_支付次数等属性分布情况；在“中年人客户数据分析”数据分析任务中分析了保险客户的年龄、文化程度、单位性质、年收入、身体状况、退保_申请退保次数、退保_完成退保次数、续保_保费测算次数、续保_支付次数等属性分布情况；在“老年人客户数据分析”数据分析任务中分析了保险客户的性别、年龄、婚姻状况、文化程度、单位性质、职称、年收入、身体状况、投保_支付保单次数、续保_支付次数等属性分布情况；在分析人员观察大量的数据后发现客户个人属性和操作行为数据间有密切的联系，于是在“青年人客户数据挖掘”任务中，数据分析人员发现线性回归关系表达式为：y=0.32x+0.22z+0.012b，y为投保_核保次数，x为理赔_申请结果次数，z为年龄,b为月收入；在“中年人客户数据挖掘”任务中，数据分析人员发现线性回归关系表达式为：y=0.15x+0.45z+0.045b，y为续保_支付次数，x为续保_保费测算次数，z为年龄,b为年收入；在“老年人客户数据挖掘”任务中，数据分析人员发现线性回归关系表达式为：y=0.54x+0.24z+0.016b，y为投保_支付保单次数，x为续保_支付次数，z为年龄,b为年收入。</w:t>
            </w:r>
          </w:p>
          <w:p>
            <w:pPr>
              <w:pStyle w:val="10"/>
              <w:widowControl/>
              <w:spacing w:before="0" w:beforeAutospacing="0" w:after="0" w:afterAutospacing="0"/>
              <w:ind w:firstLine="480" w:firstLineChars="200"/>
              <w:rPr>
                <w:rFonts w:hint="eastAsia" w:ascii="仿宋" w:hAnsi="仿宋" w:eastAsia="仿宋" w:cs="仿宋"/>
                <w:color w:val="000000"/>
                <w:szCs w:val="24"/>
              </w:rPr>
            </w:pPr>
            <w:r>
              <w:rPr>
                <w:rFonts w:hint="eastAsia" w:ascii="仿宋" w:hAnsi="仿宋" w:eastAsia="仿宋" w:cs="仿宋"/>
                <w:color w:val="000000"/>
                <w:szCs w:val="24"/>
              </w:rPr>
              <w:t>数据分析人员为了进一步分析数据，分别在“青年人客户可视化分析”任务中分别以性别、年龄、民族为维度，以投保_核保次数、理赔_申请结果次数、续保_支付次数为指标分别创建了堆叠折线图、堆叠面积图、堆叠柱状图；在“中年人客户可视化分析”任务中分别以年龄、文化程度、单位性质为维度，以退保_申请退保次数、退保_完成退保次数、续保_申请续保次数、续保_支付次数为指标分别创建了堆叠折线图、堆叠面积图、堆叠柱状图；在“老年人客户可视化分析”任务中分别以性别、年龄、年收入、单位性质为维度，以投保_点击立即投保次数、投保_支付保单次数、续保_保费测算次数、续保_支付次数为指标分别创建了堆叠折线图、堆叠面积图、堆叠柱状图、极坐标扇形图。</w:t>
            </w:r>
          </w:p>
          <w:p>
            <w:pPr>
              <w:pStyle w:val="5"/>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产品营销人员在拿到客户数据后，分别在“青年人客户画像”任务中针对十八岁至四十岁（含十八岁和四十岁）、投保_核保次数在五次以上或月收入不少于五千元的客户群体在性别、年龄、民族、省份、月收入、身体状况、投保_核保次数等维度的前五项指标以饼状图的形式进行了用户画像分析；在“中年人客户画像”任务中针对四十岁至六十岁（含四十岁和六十岁）、续保_支付次数在三次以上且年收入不少于五万元的客户群体在年龄、文化程度、单位性质、年收入、身体状况、续保_支付次数等维度的全部指标以条形图的形式进行了用户画像分析；在“老年人客户画像”任务中针对六十岁以上、投保_点击立即投保次数在五次以上且年收入不少于二万元的客户群体在性别、年龄、单位性质、投保_产品详情页浏览次数、续保_保费测算次数等维度的全部指标以饼状图的形式进行了用户画像分析。接着营销人员分别在“青年人客户周期发送微信”精准营销任务中设置每月5日给该客户群发送微信；在“中年人客户周期发送短信”精准营销任务中设置每周日给该客户群发送短信；在“老年人客户周期推送消息”精准营销任务中为画像人群制定了营销活动，活动设置每周一给该客户群推送消息。</w:t>
            </w:r>
          </w:p>
          <w:p>
            <w:pPr>
              <w:pStyle w:val="5"/>
              <w:ind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某个人用户收到推送消息后于2023年5月15日向保险公司申请投保</w:t>
            </w:r>
            <w:r>
              <w:rPr>
                <w:rFonts w:hint="eastAsia" w:ascii="仿宋" w:hAnsi="仿宋" w:eastAsia="仿宋" w:cs="仿宋"/>
                <w:sz w:val="24"/>
                <w:szCs w:val="24"/>
                <w:lang w:val="en-US"/>
              </w:rPr>
              <w:t>“</w:t>
            </w:r>
            <w:r>
              <w:rPr>
                <w:rFonts w:hint="eastAsia" w:ascii="仿宋" w:hAnsi="仿宋" w:eastAsia="仿宋" w:cs="仿宋"/>
                <w:sz w:val="24"/>
                <w:szCs w:val="24"/>
                <w:lang w:val="en-US" w:bidi="ar"/>
              </w:rPr>
              <w:t>易安心意外险</w:t>
            </w:r>
            <w:r>
              <w:rPr>
                <w:rFonts w:hint="eastAsia" w:ascii="仿宋" w:hAnsi="仿宋" w:eastAsia="仿宋" w:cs="仿宋"/>
                <w:sz w:val="24"/>
                <w:szCs w:val="24"/>
                <w:lang w:val="en-US"/>
              </w:rPr>
              <w:t>”，保险公司审批同意。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基于大数据云计算架构，完成云服务的申请</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1.新建云服务</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2.云服务申请</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1.云服务新建流程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2.云服务新建信息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3.云服务申请流程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4.云服务申请信息</w:t>
            </w:r>
          </w:p>
          <w:p>
            <w:pPr>
              <w:pStyle w:val="12"/>
              <w:spacing w:after="0"/>
              <w:ind w:left="0" w:leftChars="0" w:firstLine="0" w:firstLineChars="0"/>
              <w:rPr>
                <w:rFonts w:hint="eastAsia" w:ascii="仿宋" w:hAnsi="仿宋" w:eastAsia="仿宋" w:cs="仿宋"/>
                <w:color w:val="000000"/>
                <w:sz w:val="24"/>
                <w:szCs w:val="24"/>
                <w:lang w:val="en-US"/>
              </w:rPr>
            </w:pP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基于大数据云计算架构，完成云存储</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1.新建云应用</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2.云应用购买</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3.新建业务</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1.云应用新建信息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2.云应用购买流程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3.新建业务信息</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子任务1-3</w:t>
            </w:r>
          </w:p>
        </w:tc>
        <w:tc>
          <w:tcPr>
            <w:tcW w:w="924" w:type="pct"/>
            <w:gridSpan w:val="2"/>
            <w:vAlign w:val="center"/>
          </w:tcPr>
          <w:p>
            <w:pPr>
              <w:pStyle w:val="12"/>
              <w:spacing w:after="0"/>
              <w:ind w:left="0" w:leftChars="0" w:firstLine="0" w:firstLineChars="0"/>
              <w:rPr>
                <w:rFonts w:hint="eastAsia" w:ascii="仿宋" w:hAnsi="仿宋" w:eastAsia="仿宋" w:cs="仿宋"/>
                <w:spacing w:val="-3"/>
                <w:kern w:val="2"/>
                <w:sz w:val="24"/>
                <w:szCs w:val="24"/>
                <w:lang w:val="en-US"/>
              </w:rPr>
            </w:pPr>
            <w:r>
              <w:rPr>
                <w:rFonts w:hint="eastAsia" w:ascii="仿宋" w:hAnsi="仿宋" w:eastAsia="仿宋" w:cs="仿宋"/>
                <w:spacing w:val="-3"/>
                <w:sz w:val="24"/>
                <w:szCs w:val="24"/>
                <w:lang w:val="en-US"/>
              </w:rPr>
              <w:t>运用金融大数据采集分析技术完成证券客户数据管理</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1.数据采集</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2.数据导入和储存</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3.数据分析</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4.数据挖掘</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5.数据可视化</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6.用户画像</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7.精准营销</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1.数据采集流程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2.数据导入和储存流程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3.数据分析流程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4.数据挖掘流程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5.数据可视化流程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6.用户画像流程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7.精准营销流程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子任务1-4</w:t>
            </w:r>
          </w:p>
        </w:tc>
        <w:tc>
          <w:tcPr>
            <w:tcW w:w="924" w:type="pct"/>
            <w:gridSpan w:val="2"/>
            <w:vAlign w:val="center"/>
          </w:tcPr>
          <w:p>
            <w:pPr>
              <w:pStyle w:val="12"/>
              <w:spacing w:after="0"/>
              <w:ind w:left="0" w:leftChars="0" w:firstLine="0" w:firstLineChars="0"/>
              <w:rPr>
                <w:rFonts w:hint="eastAsia" w:ascii="仿宋" w:hAnsi="仿宋" w:eastAsia="仿宋" w:cs="仿宋"/>
                <w:spacing w:val="-3"/>
                <w:kern w:val="2"/>
                <w:sz w:val="24"/>
                <w:szCs w:val="24"/>
                <w:lang w:val="en-US"/>
              </w:rPr>
            </w:pPr>
            <w:r>
              <w:rPr>
                <w:rFonts w:hint="eastAsia" w:ascii="仿宋" w:hAnsi="仿宋" w:eastAsia="仿宋" w:cs="仿宋"/>
                <w:color w:val="000000"/>
                <w:sz w:val="24"/>
                <w:szCs w:val="24"/>
                <w:lang w:val="en-US"/>
              </w:rPr>
              <w:t>完成用户业务申请</w:t>
            </w:r>
          </w:p>
        </w:tc>
        <w:tc>
          <w:tcPr>
            <w:tcW w:w="808"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业务申请</w:t>
            </w:r>
          </w:p>
        </w:tc>
        <w:tc>
          <w:tcPr>
            <w:tcW w:w="714"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业务申请流程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适应产业数字化发展需要的金融科技领域数字化技能；</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金融大数据采集与清洗、分析的能力；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GB/T 38673-2020</w:t>
            </w:r>
            <w:r>
              <w:rPr>
                <w:rFonts w:hint="eastAsia" w:ascii="仿宋" w:hAnsi="仿宋" w:eastAsia="仿宋" w:cs="仿宋"/>
                <w:sz w:val="24"/>
                <w:szCs w:val="24"/>
                <w:lang w:val="en-US"/>
              </w:rPr>
              <w:t xml:space="preserve">  </w:t>
            </w:r>
            <w:r>
              <w:rPr>
                <w:rFonts w:hint="eastAsia" w:ascii="仿宋" w:hAnsi="仿宋" w:eastAsia="仿宋" w:cs="仿宋"/>
                <w:sz w:val="24"/>
                <w:szCs w:val="24"/>
              </w:rPr>
              <w:t>信息技术 大数据 大数据系统基本要求</w:t>
            </w:r>
          </w:p>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2.</w:t>
            </w:r>
            <w:r>
              <w:rPr>
                <w:rFonts w:hint="eastAsia" w:ascii="仿宋" w:hAnsi="仿宋" w:eastAsia="仿宋" w:cs="仿宋"/>
                <w:sz w:val="24"/>
                <w:szCs w:val="24"/>
              </w:rPr>
              <w:t>GB/T 38667-2020</w:t>
            </w:r>
            <w:r>
              <w:rPr>
                <w:rFonts w:hint="eastAsia" w:ascii="仿宋" w:hAnsi="仿宋" w:eastAsia="仿宋" w:cs="仿宋"/>
                <w:sz w:val="24"/>
                <w:szCs w:val="24"/>
                <w:lang w:val="en-US"/>
              </w:rPr>
              <w:t xml:space="preserve">  </w:t>
            </w:r>
            <w:r>
              <w:rPr>
                <w:rFonts w:hint="eastAsia" w:ascii="仿宋" w:hAnsi="仿宋" w:eastAsia="仿宋" w:cs="仿宋"/>
                <w:sz w:val="24"/>
                <w:szCs w:val="24"/>
              </w:rPr>
              <w:t>信息技术 大数据 数据分类指南</w:t>
            </w:r>
          </w:p>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3.</w:t>
            </w:r>
            <w:r>
              <w:rPr>
                <w:rFonts w:hint="eastAsia" w:ascii="仿宋" w:hAnsi="仿宋" w:eastAsia="仿宋" w:cs="仿宋"/>
                <w:sz w:val="24"/>
                <w:szCs w:val="24"/>
              </w:rPr>
              <w:t>GB/T 37722-2019</w:t>
            </w:r>
            <w:r>
              <w:rPr>
                <w:rFonts w:hint="eastAsia" w:ascii="仿宋" w:hAnsi="仿宋" w:eastAsia="仿宋" w:cs="仿宋"/>
                <w:sz w:val="24"/>
                <w:szCs w:val="24"/>
                <w:lang w:val="en-US"/>
              </w:rPr>
              <w:t xml:space="preserve">  </w:t>
            </w:r>
            <w:r>
              <w:rPr>
                <w:rFonts w:hint="eastAsia" w:ascii="仿宋" w:hAnsi="仿宋" w:eastAsia="仿宋" w:cs="仿宋"/>
                <w:sz w:val="24"/>
                <w:szCs w:val="24"/>
              </w:rPr>
              <w:t>信息技术 大数据存储与处理系统功能要求        </w:t>
            </w:r>
          </w:p>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4.</w:t>
            </w:r>
            <w:r>
              <w:rPr>
                <w:rFonts w:hint="eastAsia" w:ascii="仿宋" w:hAnsi="仿宋" w:eastAsia="仿宋" w:cs="仿宋"/>
                <w:sz w:val="24"/>
                <w:szCs w:val="24"/>
              </w:rPr>
              <w:t>GB/T 37721-2019</w:t>
            </w:r>
            <w:r>
              <w:rPr>
                <w:rFonts w:hint="eastAsia" w:ascii="仿宋" w:hAnsi="仿宋" w:eastAsia="仿宋" w:cs="仿宋"/>
                <w:sz w:val="24"/>
                <w:szCs w:val="24"/>
                <w:lang w:val="en-US"/>
              </w:rPr>
              <w:t xml:space="preserve">  </w:t>
            </w:r>
            <w:r>
              <w:rPr>
                <w:rFonts w:hint="eastAsia" w:ascii="仿宋" w:hAnsi="仿宋" w:eastAsia="仿宋" w:cs="仿宋"/>
                <w:sz w:val="24"/>
                <w:szCs w:val="24"/>
              </w:rPr>
              <w:t>信息技术 大数据分析系统功能要求</w:t>
            </w:r>
          </w:p>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5.</w:t>
            </w:r>
            <w:r>
              <w:rPr>
                <w:rFonts w:hint="eastAsia" w:ascii="仿宋" w:hAnsi="仿宋" w:eastAsia="仿宋" w:cs="仿宋"/>
                <w:sz w:val="24"/>
                <w:szCs w:val="24"/>
              </w:rPr>
              <w:t>JR/T 0166-2020</w:t>
            </w:r>
            <w:r>
              <w:rPr>
                <w:rFonts w:hint="eastAsia" w:ascii="仿宋" w:hAnsi="仿宋" w:eastAsia="仿宋" w:cs="仿宋"/>
                <w:sz w:val="24"/>
                <w:szCs w:val="24"/>
                <w:lang w:val="en-US"/>
              </w:rPr>
              <w:t xml:space="preserve">  </w:t>
            </w:r>
            <w:r>
              <w:rPr>
                <w:rFonts w:hint="eastAsia" w:ascii="仿宋" w:hAnsi="仿宋" w:eastAsia="仿宋" w:cs="仿宋"/>
                <w:sz w:val="24"/>
                <w:szCs w:val="24"/>
              </w:rPr>
              <w:t>云计算技术金融应用规范 技术架构</w:t>
            </w:r>
          </w:p>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6.</w:t>
            </w:r>
            <w:r>
              <w:rPr>
                <w:rFonts w:hint="eastAsia" w:ascii="仿宋" w:hAnsi="仿宋" w:eastAsia="仿宋" w:cs="仿宋"/>
                <w:sz w:val="24"/>
                <w:szCs w:val="24"/>
              </w:rPr>
              <w:t>JR/T 0167-2020</w:t>
            </w:r>
            <w:r>
              <w:rPr>
                <w:rFonts w:hint="eastAsia" w:ascii="仿宋" w:hAnsi="仿宋" w:eastAsia="仿宋" w:cs="仿宋"/>
                <w:sz w:val="24"/>
                <w:szCs w:val="24"/>
                <w:lang w:val="en-US"/>
              </w:rPr>
              <w:t xml:space="preserve">  </w:t>
            </w:r>
            <w:r>
              <w:rPr>
                <w:rFonts w:hint="eastAsia" w:ascii="仿宋" w:hAnsi="仿宋" w:eastAsia="仿宋" w:cs="仿宋"/>
                <w:sz w:val="24"/>
                <w:szCs w:val="24"/>
              </w:rPr>
              <w:t>云计算技术金融应用规范 安全技术要求</w:t>
            </w:r>
          </w:p>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7.</w:t>
            </w:r>
            <w:r>
              <w:rPr>
                <w:rFonts w:hint="eastAsia" w:ascii="仿宋" w:hAnsi="仿宋" w:eastAsia="仿宋" w:cs="仿宋"/>
                <w:sz w:val="24"/>
                <w:szCs w:val="24"/>
              </w:rPr>
              <w:t>JR/T 0237—2021</w:t>
            </w:r>
            <w:r>
              <w:rPr>
                <w:rFonts w:hint="eastAsia" w:ascii="仿宋" w:hAnsi="仿宋" w:eastAsia="仿宋" w:cs="仿宋"/>
                <w:sz w:val="24"/>
                <w:szCs w:val="24"/>
                <w:lang w:val="en-US"/>
              </w:rPr>
              <w:t xml:space="preserve">  </w:t>
            </w:r>
            <w:r>
              <w:rPr>
                <w:rFonts w:hint="eastAsia" w:ascii="仿宋" w:hAnsi="仿宋" w:eastAsia="仿宋" w:cs="仿宋"/>
                <w:sz w:val="24"/>
                <w:szCs w:val="24"/>
              </w:rPr>
              <w:t>金融大数据平台总体技术要求</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 xml:space="preserve">8.职业编码  </w:t>
            </w:r>
            <w:r>
              <w:rPr>
                <w:rFonts w:hint="eastAsia" w:ascii="仿宋" w:hAnsi="仿宋" w:eastAsia="仿宋" w:cs="仿宋"/>
                <w:sz w:val="24"/>
                <w:szCs w:val="24"/>
              </w:rPr>
              <w:t>2-02-10-11</w:t>
            </w:r>
            <w:r>
              <w:rPr>
                <w:rFonts w:hint="eastAsia" w:ascii="仿宋" w:hAnsi="仿宋" w:eastAsia="仿宋" w:cs="仿宋"/>
                <w:sz w:val="24"/>
                <w:szCs w:val="24"/>
                <w:lang w:val="en-US"/>
              </w:rPr>
              <w:t xml:space="preserve">  大数据工程技术人员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p>
        </w:tc>
      </w:tr>
    </w:tbl>
    <w:p>
      <w:pPr>
        <w:pStyle w:val="4"/>
        <w:tabs>
          <w:tab w:val="left" w:pos="0"/>
        </w:tabs>
        <w:spacing w:line="480" w:lineRule="exact"/>
        <w:rPr>
          <w:rFonts w:hint="eastAsia" w:ascii="仿宋" w:hAnsi="仿宋" w:eastAsia="仿宋" w:cs="仿宋"/>
        </w:rPr>
      </w:pPr>
      <w:r>
        <w:rPr>
          <w:rFonts w:hint="eastAsia" w:ascii="仿宋" w:hAnsi="仿宋" w:eastAsia="仿宋" w:cs="仿宋"/>
          <w:lang w:val="en-US"/>
        </w:rPr>
        <w:t>区块链金融业务</w:t>
      </w:r>
    </w:p>
    <w:p>
      <w:pPr>
        <w:spacing w:line="480" w:lineRule="exact"/>
        <w:rPr>
          <w:rFonts w:hint="eastAsia" w:ascii="仿宋" w:hAnsi="仿宋" w:eastAsia="仿宋" w:cs="仿宋"/>
        </w:rPr>
      </w:pPr>
      <w:r>
        <w:rPr>
          <w:rFonts w:hint="eastAsia" w:ascii="仿宋" w:hAnsi="仿宋" w:eastAsia="仿宋" w:cs="仿宋"/>
          <w:b/>
          <w:color w:val="000000"/>
          <w:sz w:val="24"/>
          <w:szCs w:val="24"/>
          <w:lang w:val="en-US"/>
        </w:rPr>
        <w:t>技能模块2任务分解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模块2</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区块链金融业务</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8"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pPr>
              <w:pStyle w:val="10"/>
              <w:widowControl/>
              <w:spacing w:before="75" w:beforeAutospacing="0" w:after="75" w:afterAutospacing="0"/>
              <w:ind w:firstLine="482" w:firstLineChars="200"/>
              <w:rPr>
                <w:rFonts w:hint="eastAsia" w:ascii="仿宋" w:hAnsi="仿宋" w:eastAsia="仿宋" w:cs="仿宋"/>
                <w:b/>
                <w:bCs/>
                <w:color w:val="000000"/>
                <w:szCs w:val="24"/>
              </w:rPr>
            </w:pPr>
            <w:r>
              <w:rPr>
                <w:rFonts w:hint="eastAsia" w:ascii="仿宋" w:hAnsi="仿宋" w:eastAsia="仿宋" w:cs="仿宋"/>
                <w:b/>
                <w:bCs/>
                <w:color w:val="000000"/>
                <w:szCs w:val="24"/>
              </w:rPr>
              <w:t>区块链金融-链设计</w:t>
            </w:r>
          </w:p>
          <w:p>
            <w:pPr>
              <w:pStyle w:val="10"/>
              <w:widowControl/>
              <w:spacing w:before="75" w:beforeAutospacing="0" w:after="75" w:afterAutospacing="0"/>
              <w:ind w:firstLine="480" w:firstLineChars="200"/>
              <w:rPr>
                <w:rFonts w:hint="eastAsia"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1.在区块链业务中，首先至少需要认证5家机构，在接下来的区块链业务中需锁定这些机构，以完成相关区块链设计业务操作。</w:t>
            </w:r>
          </w:p>
          <w:p>
            <w:pPr>
              <w:pStyle w:val="10"/>
              <w:widowControl/>
              <w:spacing w:before="75" w:beforeAutospacing="0" w:after="75" w:afterAutospacing="0"/>
              <w:ind w:firstLine="480" w:firstLineChars="200"/>
              <w:rPr>
                <w:rFonts w:hint="eastAsia"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2.区块链在业务应用中，需要各联盟成员之间达成共识，双方一致确认使用区块链技术往来支付，请创建至少1条企业间合作使用的联盟链，作为后续操作的平台基础。</w:t>
            </w:r>
          </w:p>
          <w:p>
            <w:pPr>
              <w:pStyle w:val="10"/>
              <w:widowControl/>
              <w:spacing w:before="75" w:beforeAutospacing="0" w:after="75" w:afterAutospacing="0"/>
              <w:ind w:firstLine="480" w:firstLineChars="200"/>
              <w:rPr>
                <w:rFonts w:hint="eastAsia"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3.创建联盟链的过程中要求节点数量达到一定要求方可开启联盟链，未启动的联盟链在业务中不能使用。请用链内成员企业邀请更多其它企业加入，使得有一条联盟链成员至少有5人，并启动，方便后续体验联盟链交互操作。</w:t>
            </w:r>
          </w:p>
          <w:p>
            <w:pPr>
              <w:pStyle w:val="10"/>
              <w:widowControl/>
              <w:spacing w:before="75" w:beforeAutospacing="0" w:after="75" w:afterAutospacing="0"/>
              <w:ind w:firstLine="480" w:firstLineChars="200"/>
              <w:rPr>
                <w:rFonts w:hint="eastAsia"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4.已有部署成功的联盟链，我们尝试共识操作壮大联盟链的规模，使得有一条已启动的联盟链的成员至少增加1人。</w:t>
            </w:r>
          </w:p>
          <w:p>
            <w:pPr>
              <w:pStyle w:val="10"/>
              <w:widowControl/>
              <w:spacing w:before="75" w:beforeAutospacing="0" w:after="75" w:afterAutospacing="0"/>
              <w:ind w:firstLine="480" w:firstLineChars="200"/>
              <w:rPr>
                <w:rFonts w:hint="eastAsia"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5.若发现联盟链上的节点异常，可通过共识操作对异常成员进行冻结，请在联盟链上至少冻结1名成员。</w:t>
            </w:r>
          </w:p>
          <w:p>
            <w:pPr>
              <w:pStyle w:val="12"/>
              <w:spacing w:after="0"/>
              <w:ind w:left="0" w:leftChars="0" w:firstLine="480"/>
              <w:rPr>
                <w:rFonts w:hint="eastAsia" w:ascii="仿宋" w:hAnsi="仿宋" w:eastAsia="仿宋" w:cs="仿宋"/>
                <w:color w:val="000000"/>
                <w:sz w:val="24"/>
                <w:szCs w:val="24"/>
                <w:shd w:val="clear" w:color="auto" w:fill="FFFFFF"/>
                <w:lang w:val="en-US"/>
              </w:rPr>
            </w:pPr>
            <w:r>
              <w:rPr>
                <w:rFonts w:hint="eastAsia" w:ascii="仿宋" w:hAnsi="仿宋" w:eastAsia="仿宋" w:cs="仿宋"/>
                <w:color w:val="000000"/>
                <w:sz w:val="24"/>
                <w:szCs w:val="24"/>
                <w:shd w:val="clear" w:color="auto" w:fill="FFFFFF"/>
                <w:lang w:val="en-US"/>
              </w:rPr>
              <w:t>6.联盟链的节点数量是变化的，为了让联盟链的功能权限平衡，会对成员进行节点类型调整，请将联盟链至少1名成员设置为共识节点。</w:t>
            </w:r>
          </w:p>
          <w:p>
            <w:pPr>
              <w:pStyle w:val="12"/>
              <w:spacing w:after="0"/>
              <w:ind w:left="0" w:leftChars="0" w:firstLine="480"/>
              <w:rPr>
                <w:rFonts w:hint="eastAsia" w:ascii="仿宋" w:hAnsi="仿宋" w:eastAsia="仿宋" w:cs="仿宋"/>
                <w:b/>
                <w:bCs/>
                <w:color w:val="000000"/>
                <w:sz w:val="24"/>
                <w:szCs w:val="24"/>
                <w:lang w:val="en-US"/>
              </w:rPr>
            </w:pPr>
            <w:r>
              <w:rPr>
                <w:rFonts w:hint="eastAsia" w:ascii="仿宋" w:hAnsi="仿宋" w:eastAsia="仿宋" w:cs="仿宋"/>
                <w:color w:val="000000"/>
                <w:sz w:val="24"/>
                <w:szCs w:val="24"/>
                <w:shd w:val="clear" w:color="auto" w:fill="FFFFFF"/>
                <w:lang w:val="en-US"/>
              </w:rPr>
              <w:t>7.智能合约是一种以信息化方式传播、验证或执行合同的计算机协议，请创建至少1份智能合约模板，用于后续进行智能合约交易操作。</w:t>
            </w:r>
          </w:p>
          <w:p>
            <w:pPr>
              <w:pStyle w:val="12"/>
              <w:spacing w:after="0"/>
              <w:ind w:left="0" w:leftChars="0" w:firstLine="482"/>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区块链应用-资产证券化（ABS）业务</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招商银行股份有限公司为了增强资产的流动性、减小风险资产、获得低成本融资，于是招商银行股份有限公司以自有的一笔企业贷款资产重组现金流、构建资产池发起资产证券化计划，并为该计划命名（例：企业贷款资产支持证券化计划）；并计划委托招商证券股份有限公司、中债咨信评估有限公司在深圳证券交易所挂牌上市发行；该笔企业贷款资产本金余额5750万人民币；剩余期限9个月。</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为了实现“破产隔离”的独立的资产管理计划，于是招商证券股份有限公司以计划管理人身份引入以运营资产证券化为唯一目的的特殊目的信托SPT（例：华润深国投信托有限公司）。</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证券化资产需要从发起人招商银行股份有限公司到华润深国投信托有限公司的转移，即实现资产的权属让渡，招商银行股份有限公司的债权人将不得追索该资产，华润深国投信托有限公司的债权人也不得追索发起人的其他资产，从而实现风险隔离。于是发起人招商银行股份有限公司创建并签署了资产转让合同，并发送给华润深国投信托有限公司签署同意转让，合同中需标明转让资产金额、转让方和收转让方等信息。</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招商银行股份有限公司通过添加优先/次级结构设置、超额抵押等内部增信方式增加了该资产证券化计划的信用等级；其中优先/次级结构设置该计划证券分层为企业贷款01、企业贷款02、企业贷款03三个层次，分别的等级为优先A级、优先B级、次级，规模占比分别为75%、15%、10%；超额抵押增信中的发行规模为4550万元；再通过对证券化资产进行风险分析与风险重组，以降低可预见的信用风险，提高资产支持证券的信用等级。</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招商银行股份有限公司在给项目增信结束后，提交方案制定中的证券发售的方案，中债咨信评估有限公司对未来资产能够产生的现金流以及对经过信用增级后的拟发证券进行评级，为投资者提供选择证券的依据。在信用评级的操作中，信用评级机构根据发起人制定方案过程中所制定的增信方式、资产池的特征、法律因素、财务因素等方面做出相应的证券信用评级，输出评级观点。</w:t>
            </w:r>
          </w:p>
          <w:p>
            <w:pPr>
              <w:pStyle w:val="12"/>
              <w:spacing w:after="0"/>
              <w:ind w:left="0" w:leftChars="0" w:firstLine="482"/>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区块链应用-航空延误、意外险</w:t>
            </w:r>
          </w:p>
          <w:p>
            <w:pPr>
              <w:ind w:firstLine="480" w:firstLineChars="20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用户A计划五一小长假去台湾参观台北故宫博物院，所以提前购买了中国南方航空公司（CZ）2023年4月29日从长春飞往台北的CZ6921号航班，用户A因为自己的出行习惯，同时购买了保障方案为出行当天起保，保障期限为7天，保障额度为200万的航空意外险。</w:t>
            </w:r>
          </w:p>
          <w:p>
            <w:pPr>
              <w:ind w:firstLine="480" w:firstLineChars="20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用户A出行当天，航班在出发地长春机场起飞航道附近突遇低云，极大的影响了飞机航行能见度，迫降过程中与建筑物相撞，属于重大飞行事故；用户A因事故造成了小腿受伤，经医院评定为三级伤残；事故发生后，航空公司确定事故信息，及时在联盟链上发布了当天该次航班所遭遇的事故。</w:t>
            </w:r>
          </w:p>
          <w:p>
            <w:pPr>
              <w:ind w:firstLine="480" w:firstLineChars="20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用户A在飞机降落后迅速被送往医院治疗，经过一段时间的治疗，2023年5月18日，用户A伤愈出院，并向保险公司提交了伤残鉴定书；保险公司经过审核，确定材料及事件属实，支付了被保险人用户A的残疾赔偿金。</w:t>
            </w:r>
          </w:p>
          <w:p>
            <w:pPr>
              <w:ind w:firstLine="482" w:firstLineChars="200"/>
              <w:rPr>
                <w:rFonts w:hint="eastAsia" w:ascii="仿宋" w:hAnsi="仿宋" w:eastAsia="仿宋" w:cs="仿宋"/>
                <w:b/>
                <w:bCs/>
                <w:sz w:val="24"/>
                <w:szCs w:val="24"/>
                <w:lang w:val="en-US"/>
              </w:rPr>
            </w:pPr>
            <w:r>
              <w:rPr>
                <w:rFonts w:hint="eastAsia" w:ascii="仿宋" w:hAnsi="仿宋" w:eastAsia="仿宋" w:cs="仿宋"/>
                <w:b/>
                <w:bCs/>
                <w:sz w:val="24"/>
                <w:szCs w:val="24"/>
                <w:lang w:val="en-US"/>
              </w:rPr>
              <w:t>区块链应用-电子发票</w:t>
            </w:r>
          </w:p>
          <w:p>
            <w:pPr>
              <w:ind w:firstLine="480" w:firstLineChars="200"/>
              <w:rPr>
                <w:rFonts w:hint="eastAsia" w:ascii="仿宋" w:hAnsi="仿宋" w:eastAsia="仿宋" w:cs="仿宋"/>
                <w:sz w:val="24"/>
                <w:szCs w:val="24"/>
                <w:lang w:val="en-US"/>
              </w:rPr>
            </w:pPr>
            <w:r>
              <w:rPr>
                <w:rFonts w:hint="eastAsia" w:ascii="仿宋" w:hAnsi="仿宋" w:eastAsia="仿宋" w:cs="仿宋"/>
                <w:sz w:val="24"/>
                <w:szCs w:val="24"/>
              </w:rPr>
              <w:t>区块链电子发票具有全流程完整追溯、信息不可篡改等特性，与发票逻辑吻合，能够有效规避假发票，完善发票监管流程。此外，还具有降低成本、简化流程、保障数据安全和隐私的优势。</w:t>
            </w:r>
            <w:r>
              <w:rPr>
                <w:rFonts w:hint="eastAsia" w:ascii="仿宋" w:hAnsi="仿宋" w:eastAsia="仿宋" w:cs="仿宋"/>
                <w:sz w:val="24"/>
                <w:szCs w:val="24"/>
                <w:lang w:val="en-US"/>
              </w:rPr>
              <w:t>为方便后续业务的开展，奥奇食品有限公司</w:t>
            </w:r>
            <w:r>
              <w:rPr>
                <w:rFonts w:hint="eastAsia" w:ascii="仿宋" w:hAnsi="仿宋" w:eastAsia="仿宋" w:cs="仿宋"/>
                <w:color w:val="000000"/>
                <w:sz w:val="24"/>
                <w:szCs w:val="24"/>
                <w:lang w:val="en-US"/>
              </w:rPr>
              <w:t>和</w:t>
            </w:r>
            <w:r>
              <w:rPr>
                <w:rFonts w:hint="eastAsia" w:ascii="仿宋" w:hAnsi="仿宋" w:eastAsia="仿宋" w:cs="仿宋"/>
                <w:sz w:val="24"/>
                <w:szCs w:val="24"/>
                <w:lang w:val="en-US"/>
              </w:rPr>
              <w:t>昆腾谷物有限公司决定开通区块链电子发票。</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sz w:val="24"/>
                <w:szCs w:val="24"/>
                <w:lang w:val="en-US"/>
              </w:rPr>
              <w:t>奥奇食品有限公司首先</w:t>
            </w:r>
            <w:r>
              <w:rPr>
                <w:rFonts w:hint="eastAsia" w:ascii="仿宋" w:hAnsi="仿宋" w:eastAsia="仿宋" w:cs="仿宋"/>
                <w:color w:val="000000"/>
                <w:sz w:val="24"/>
                <w:szCs w:val="24"/>
                <w:lang w:val="en-US"/>
              </w:rPr>
              <w:t>创建智能合约，合约名称为《采购合约》，随后于2023年7月 3日申请开通区块链电子发票，税务局收到申请后审批同意。</w:t>
            </w:r>
            <w:r>
              <w:rPr>
                <w:rFonts w:hint="eastAsia" w:ascii="仿宋" w:hAnsi="仿宋" w:eastAsia="仿宋" w:cs="仿宋"/>
                <w:sz w:val="24"/>
                <w:szCs w:val="24"/>
                <w:lang w:val="en-US"/>
              </w:rPr>
              <w:t>昆腾谷物有限公司</w:t>
            </w:r>
            <w:r>
              <w:rPr>
                <w:rFonts w:hint="eastAsia" w:ascii="仿宋" w:hAnsi="仿宋" w:eastAsia="仿宋" w:cs="仿宋"/>
                <w:color w:val="000000"/>
                <w:sz w:val="24"/>
                <w:szCs w:val="24"/>
                <w:lang w:val="en-US"/>
              </w:rPr>
              <w:t>2023年7月5日申请开通区块链电子发票，税务局收到申请后审批同意。</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sz w:val="24"/>
                <w:szCs w:val="24"/>
                <w:lang w:val="en-US"/>
              </w:rPr>
              <w:t>区块链电子发票开通成功后，昆腾谷物有限公司</w:t>
            </w:r>
            <w:r>
              <w:rPr>
                <w:rFonts w:hint="eastAsia" w:ascii="仿宋" w:hAnsi="仿宋" w:eastAsia="仿宋" w:cs="仿宋"/>
                <w:color w:val="000000"/>
                <w:sz w:val="24"/>
                <w:szCs w:val="24"/>
                <w:lang w:val="en-US"/>
              </w:rPr>
              <w:t>首先新增商品信息；2023年7月10日，</w:t>
            </w:r>
            <w:r>
              <w:rPr>
                <w:rFonts w:hint="eastAsia" w:ascii="仿宋" w:hAnsi="仿宋" w:eastAsia="仿宋" w:cs="仿宋"/>
                <w:sz w:val="24"/>
                <w:szCs w:val="24"/>
                <w:lang w:val="en-US"/>
              </w:rPr>
              <w:t>奥奇食品有限公司</w:t>
            </w:r>
            <w:r>
              <w:rPr>
                <w:rFonts w:hint="eastAsia" w:ascii="仿宋" w:hAnsi="仿宋" w:eastAsia="仿宋" w:cs="仿宋"/>
                <w:color w:val="000000"/>
                <w:sz w:val="24"/>
                <w:szCs w:val="24"/>
                <w:lang w:val="en-US"/>
              </w:rPr>
              <w:t>向</w:t>
            </w:r>
            <w:r>
              <w:rPr>
                <w:rFonts w:hint="eastAsia" w:ascii="仿宋" w:hAnsi="仿宋" w:eastAsia="仿宋" w:cs="仿宋"/>
                <w:sz w:val="24"/>
                <w:szCs w:val="24"/>
                <w:lang w:val="en-US"/>
              </w:rPr>
              <w:t>昆腾谷物有限公司</w:t>
            </w:r>
            <w:r>
              <w:rPr>
                <w:rFonts w:hint="eastAsia" w:ascii="仿宋" w:hAnsi="仿宋" w:eastAsia="仿宋" w:cs="仿宋"/>
                <w:color w:val="000000"/>
                <w:sz w:val="24"/>
                <w:szCs w:val="24"/>
                <w:lang w:val="en-US"/>
              </w:rPr>
              <w:t>发起1000kg马铃薯、2000kg小麦、1500kg大豆的采购，采购项目命名为“奥奇食品采购项目”，</w:t>
            </w:r>
            <w:r>
              <w:rPr>
                <w:rFonts w:hint="eastAsia" w:ascii="仿宋" w:hAnsi="仿宋" w:eastAsia="仿宋" w:cs="仿宋"/>
                <w:sz w:val="24"/>
                <w:szCs w:val="24"/>
                <w:lang w:val="en-US"/>
              </w:rPr>
              <w:t>昆腾谷物有限公司</w:t>
            </w:r>
            <w:r>
              <w:rPr>
                <w:rFonts w:hint="eastAsia" w:ascii="仿宋" w:hAnsi="仿宋" w:eastAsia="仿宋" w:cs="仿宋"/>
                <w:color w:val="000000"/>
                <w:sz w:val="24"/>
                <w:szCs w:val="24"/>
                <w:lang w:val="en-US"/>
              </w:rPr>
              <w:t>接受订单。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5"/>
              <w:gridCol w:w="1340"/>
              <w:gridCol w:w="2496"/>
              <w:gridCol w:w="1311"/>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vAlign w:val="center"/>
                </w:tcPr>
                <w:p>
                  <w:pPr>
                    <w:widowControl/>
                    <w:autoSpaceDE/>
                    <w:autoSpaceDN/>
                    <w:jc w:val="left"/>
                    <w:textAlignment w:val="center"/>
                    <w:rPr>
                      <w:rFonts w:hint="eastAsia" w:ascii="仿宋" w:hAnsi="仿宋" w:eastAsia="仿宋" w:cs="仿宋"/>
                      <w:sz w:val="24"/>
                      <w:szCs w:val="24"/>
                      <w:lang w:val="en-US"/>
                    </w:rPr>
                  </w:pPr>
                  <w:r>
                    <w:rPr>
                      <w:rFonts w:hint="eastAsia" w:ascii="仿宋" w:hAnsi="仿宋" w:eastAsia="仿宋" w:cs="仿宋"/>
                      <w:sz w:val="24"/>
                      <w:szCs w:val="24"/>
                      <w:lang w:val="en-US"/>
                    </w:rPr>
                    <w:t>新增商品信息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sz w:val="24"/>
                      <w:szCs w:val="24"/>
                      <w:lang w:val="en-US"/>
                    </w:rPr>
                    <w:t>货物和劳务名称</w:t>
                  </w:r>
                </w:p>
              </w:tc>
              <w:tc>
                <w:tcPr>
                  <w:tcW w:w="904"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sz w:val="24"/>
                      <w:szCs w:val="24"/>
                      <w:lang w:val="en-US"/>
                    </w:rPr>
                    <w:t>税收分类名称</w:t>
                  </w:r>
                </w:p>
              </w:tc>
              <w:tc>
                <w:tcPr>
                  <w:tcW w:w="1355"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sz w:val="24"/>
                      <w:szCs w:val="24"/>
                      <w:lang w:val="en-US"/>
                    </w:rPr>
                    <w:t>税收分类编码</w:t>
                  </w:r>
                </w:p>
              </w:tc>
              <w:tc>
                <w:tcPr>
                  <w:tcW w:w="885" w:type="pct"/>
                  <w:vAlign w:val="center"/>
                </w:tcPr>
                <w:p>
                  <w:pPr>
                    <w:widowControl/>
                    <w:autoSpaceDE/>
                    <w:autoSpaceDN/>
                    <w:jc w:val="left"/>
                    <w:textAlignment w:val="center"/>
                    <w:rPr>
                      <w:rFonts w:hint="eastAsia" w:ascii="仿宋" w:hAnsi="仿宋" w:eastAsia="仿宋" w:cs="仿宋"/>
                      <w:sz w:val="24"/>
                      <w:szCs w:val="24"/>
                      <w:lang w:val="en-US"/>
                    </w:rPr>
                  </w:pPr>
                  <w:r>
                    <w:rPr>
                      <w:rFonts w:hint="eastAsia" w:ascii="仿宋" w:hAnsi="仿宋" w:eastAsia="仿宋" w:cs="仿宋"/>
                      <w:sz w:val="24"/>
                      <w:szCs w:val="24"/>
                      <w:lang w:val="en-US"/>
                    </w:rPr>
                    <w:t>增值税税率</w:t>
                  </w:r>
                </w:p>
              </w:tc>
              <w:tc>
                <w:tcPr>
                  <w:tcW w:w="827" w:type="pct"/>
                  <w:vAlign w:val="center"/>
                </w:tcPr>
                <w:p>
                  <w:pPr>
                    <w:widowControl/>
                    <w:autoSpaceDE/>
                    <w:autoSpaceDN/>
                    <w:jc w:val="left"/>
                    <w:textAlignment w:val="center"/>
                    <w:rPr>
                      <w:rFonts w:hint="eastAsia" w:ascii="仿宋" w:hAnsi="仿宋" w:eastAsia="仿宋" w:cs="仿宋"/>
                      <w:sz w:val="24"/>
                      <w:szCs w:val="24"/>
                      <w:lang w:val="en-US"/>
                    </w:rPr>
                  </w:pPr>
                  <w:r>
                    <w:rPr>
                      <w:rFonts w:hint="eastAsia" w:ascii="仿宋" w:hAnsi="仿宋" w:eastAsia="仿宋" w:cs="仿宋"/>
                      <w:sz w:val="24"/>
                      <w:szCs w:val="24"/>
                      <w:lang w:val="en-US"/>
                    </w:rPr>
                    <w:t>单价（元/kg）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pPr>
                    <w:widowControl/>
                    <w:autoSpaceDE/>
                    <w:autoSpaceDN/>
                    <w:jc w:val="left"/>
                    <w:textAlignment w:val="center"/>
                    <w:rPr>
                      <w:rFonts w:hint="eastAsia" w:ascii="仿宋" w:hAnsi="仿宋" w:eastAsia="仿宋" w:cs="仿宋"/>
                      <w:color w:val="000000"/>
                      <w:kern w:val="2"/>
                      <w:sz w:val="24"/>
                      <w:szCs w:val="24"/>
                      <w:lang w:val="en-US"/>
                    </w:rPr>
                  </w:pPr>
                  <w:r>
                    <w:rPr>
                      <w:rFonts w:hint="eastAsia" w:ascii="仿宋" w:hAnsi="仿宋" w:eastAsia="仿宋" w:cs="仿宋"/>
                      <w:color w:val="000000"/>
                      <w:sz w:val="24"/>
                      <w:szCs w:val="24"/>
                      <w:lang w:val="en-US" w:bidi="ar"/>
                    </w:rPr>
                    <w:t>稻谷</w:t>
                  </w:r>
                </w:p>
              </w:tc>
              <w:tc>
                <w:tcPr>
                  <w:tcW w:w="904" w:type="pct"/>
                  <w:vAlign w:val="center"/>
                </w:tcPr>
                <w:p>
                  <w:pPr>
                    <w:widowControl/>
                    <w:autoSpaceDE/>
                    <w:autoSpaceDN/>
                    <w:jc w:val="left"/>
                    <w:textAlignment w:val="center"/>
                    <w:rPr>
                      <w:rFonts w:hint="eastAsia" w:ascii="仿宋" w:hAnsi="仿宋" w:eastAsia="仿宋" w:cs="仿宋"/>
                      <w:color w:val="000000"/>
                      <w:kern w:val="2"/>
                      <w:sz w:val="24"/>
                      <w:szCs w:val="24"/>
                      <w:lang w:val="en-US"/>
                    </w:rPr>
                  </w:pPr>
                  <w:r>
                    <w:rPr>
                      <w:rFonts w:hint="eastAsia" w:ascii="仿宋" w:hAnsi="仿宋" w:eastAsia="仿宋" w:cs="仿宋"/>
                      <w:color w:val="000000"/>
                      <w:sz w:val="24"/>
                      <w:szCs w:val="24"/>
                      <w:lang w:val="en-US" w:bidi="ar"/>
                    </w:rPr>
                    <w:t>谷物</w:t>
                  </w:r>
                </w:p>
              </w:tc>
              <w:tc>
                <w:tcPr>
                  <w:tcW w:w="1355" w:type="pct"/>
                  <w:vAlign w:val="center"/>
                </w:tcPr>
                <w:p>
                  <w:pPr>
                    <w:widowControl/>
                    <w:autoSpaceDE/>
                    <w:autoSpaceDN/>
                    <w:jc w:val="left"/>
                    <w:textAlignment w:val="center"/>
                    <w:rPr>
                      <w:rFonts w:hint="eastAsia" w:ascii="仿宋" w:hAnsi="仿宋" w:eastAsia="仿宋" w:cs="仿宋"/>
                      <w:color w:val="000000"/>
                      <w:kern w:val="2"/>
                      <w:sz w:val="24"/>
                      <w:szCs w:val="24"/>
                      <w:lang w:val="en-US"/>
                    </w:rPr>
                  </w:pPr>
                  <w:r>
                    <w:rPr>
                      <w:rFonts w:hint="eastAsia" w:ascii="仿宋" w:hAnsi="仿宋" w:eastAsia="仿宋" w:cs="仿宋"/>
                      <w:color w:val="000000"/>
                      <w:sz w:val="24"/>
                      <w:szCs w:val="24"/>
                      <w:lang w:val="en-US" w:bidi="ar"/>
                    </w:rPr>
                    <w:t>1010101010000000000</w:t>
                  </w:r>
                </w:p>
              </w:tc>
              <w:tc>
                <w:tcPr>
                  <w:tcW w:w="885"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9%</w:t>
                  </w:r>
                </w:p>
              </w:tc>
              <w:tc>
                <w:tcPr>
                  <w:tcW w:w="827"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小麦</w:t>
                  </w:r>
                </w:p>
              </w:tc>
              <w:tc>
                <w:tcPr>
                  <w:tcW w:w="904"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谷物</w:t>
                  </w:r>
                </w:p>
              </w:tc>
              <w:tc>
                <w:tcPr>
                  <w:tcW w:w="1355"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1010101020000000000</w:t>
                  </w:r>
                </w:p>
              </w:tc>
              <w:tc>
                <w:tcPr>
                  <w:tcW w:w="885"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9%</w:t>
                  </w:r>
                </w:p>
              </w:tc>
              <w:tc>
                <w:tcPr>
                  <w:tcW w:w="827"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玉米</w:t>
                  </w:r>
                </w:p>
              </w:tc>
              <w:tc>
                <w:tcPr>
                  <w:tcW w:w="904"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谷物</w:t>
                  </w:r>
                </w:p>
              </w:tc>
              <w:tc>
                <w:tcPr>
                  <w:tcW w:w="1355"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1010101030000000000</w:t>
                  </w:r>
                </w:p>
              </w:tc>
              <w:tc>
                <w:tcPr>
                  <w:tcW w:w="885"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9%</w:t>
                  </w:r>
                </w:p>
              </w:tc>
              <w:tc>
                <w:tcPr>
                  <w:tcW w:w="827"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马铃薯</w:t>
                  </w:r>
                </w:p>
              </w:tc>
              <w:tc>
                <w:tcPr>
                  <w:tcW w:w="904"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薯类</w:t>
                  </w:r>
                </w:p>
              </w:tc>
              <w:tc>
                <w:tcPr>
                  <w:tcW w:w="1355"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1010102010000000000</w:t>
                  </w:r>
                </w:p>
              </w:tc>
              <w:tc>
                <w:tcPr>
                  <w:tcW w:w="885"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9%</w:t>
                  </w:r>
                </w:p>
              </w:tc>
              <w:tc>
                <w:tcPr>
                  <w:tcW w:w="827"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大豆</w:t>
                  </w:r>
                </w:p>
              </w:tc>
              <w:tc>
                <w:tcPr>
                  <w:tcW w:w="904"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干豆</w:t>
                  </w:r>
                </w:p>
              </w:tc>
              <w:tc>
                <w:tcPr>
                  <w:tcW w:w="1355"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1010104010000000000</w:t>
                  </w:r>
                </w:p>
              </w:tc>
              <w:tc>
                <w:tcPr>
                  <w:tcW w:w="885"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9%</w:t>
                  </w:r>
                </w:p>
              </w:tc>
              <w:tc>
                <w:tcPr>
                  <w:tcW w:w="827"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绿豆</w:t>
                  </w:r>
                </w:p>
              </w:tc>
              <w:tc>
                <w:tcPr>
                  <w:tcW w:w="904"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干豆</w:t>
                  </w:r>
                </w:p>
              </w:tc>
              <w:tc>
                <w:tcPr>
                  <w:tcW w:w="1355" w:type="pct"/>
                  <w:vAlign w:val="center"/>
                </w:tcPr>
                <w:p>
                  <w:pPr>
                    <w:widowControl/>
                    <w:autoSpaceDE/>
                    <w:autoSpaceDN/>
                    <w:jc w:val="left"/>
                    <w:textAlignment w:val="cente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bidi="ar"/>
                    </w:rPr>
                    <w:t>1010104020000000000</w:t>
                  </w:r>
                </w:p>
              </w:tc>
              <w:tc>
                <w:tcPr>
                  <w:tcW w:w="885"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9%</w:t>
                  </w:r>
                </w:p>
              </w:tc>
              <w:tc>
                <w:tcPr>
                  <w:tcW w:w="827" w:type="pct"/>
                  <w:vAlign w:val="center"/>
                </w:tcPr>
                <w:p>
                  <w:pPr>
                    <w:widowControl/>
                    <w:autoSpaceDE/>
                    <w:autoSpaceDN/>
                    <w:jc w:val="left"/>
                    <w:textAlignment w:val="center"/>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10.5</w:t>
                  </w:r>
                </w:p>
              </w:tc>
            </w:tr>
          </w:tbl>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sz w:val="24"/>
                <w:szCs w:val="24"/>
                <w:lang w:val="en-US"/>
              </w:rPr>
              <w:t>奥奇食品有限公司</w:t>
            </w:r>
            <w:r>
              <w:rPr>
                <w:rFonts w:hint="eastAsia" w:ascii="仿宋" w:hAnsi="仿宋" w:eastAsia="仿宋" w:cs="仿宋"/>
                <w:color w:val="000000"/>
                <w:sz w:val="24"/>
                <w:szCs w:val="24"/>
                <w:lang w:val="en-US"/>
              </w:rPr>
              <w:t>支付货款并申请</w:t>
            </w:r>
            <w:r>
              <w:rPr>
                <w:rFonts w:hint="eastAsia" w:ascii="仿宋" w:hAnsi="仿宋" w:eastAsia="仿宋" w:cs="仿宋"/>
                <w:sz w:val="24"/>
                <w:szCs w:val="24"/>
                <w:lang w:val="en-US"/>
              </w:rPr>
              <w:t>昆腾谷物有限公司</w:t>
            </w:r>
            <w:r>
              <w:rPr>
                <w:rFonts w:hint="eastAsia" w:ascii="仿宋" w:hAnsi="仿宋" w:eastAsia="仿宋" w:cs="仿宋"/>
                <w:color w:val="000000"/>
                <w:sz w:val="24"/>
                <w:szCs w:val="24"/>
                <w:lang w:val="en-US"/>
              </w:rPr>
              <w:t>开具发票，收票方式为手机接收，</w:t>
            </w:r>
            <w:r>
              <w:rPr>
                <w:rFonts w:hint="eastAsia" w:ascii="仿宋" w:hAnsi="仿宋" w:eastAsia="仿宋" w:cs="仿宋"/>
                <w:sz w:val="24"/>
                <w:szCs w:val="24"/>
                <w:lang w:val="en-US"/>
              </w:rPr>
              <w:t>昆腾谷物有限公司在2023年7月10日</w:t>
            </w:r>
            <w:r>
              <w:rPr>
                <w:rFonts w:hint="eastAsia" w:ascii="仿宋" w:hAnsi="仿宋" w:eastAsia="仿宋" w:cs="仿宋"/>
                <w:color w:val="000000"/>
                <w:sz w:val="24"/>
                <w:szCs w:val="24"/>
                <w:lang w:val="en-US"/>
              </w:rPr>
              <w:t>根据采购信息开出发票，</w:t>
            </w:r>
            <w:r>
              <w:rPr>
                <w:rFonts w:hint="eastAsia" w:ascii="仿宋" w:hAnsi="仿宋" w:eastAsia="仿宋" w:cs="仿宋"/>
                <w:sz w:val="24"/>
                <w:szCs w:val="24"/>
                <w:lang w:val="en-US"/>
              </w:rPr>
              <w:t>奥奇食品有限公司</w:t>
            </w:r>
            <w:r>
              <w:rPr>
                <w:rFonts w:hint="eastAsia" w:ascii="仿宋" w:hAnsi="仿宋" w:eastAsia="仿宋" w:cs="仿宋"/>
                <w:color w:val="000000"/>
                <w:sz w:val="24"/>
                <w:szCs w:val="24"/>
                <w:lang w:val="en-US"/>
              </w:rPr>
              <w:t>接收发票。</w:t>
            </w:r>
          </w:p>
          <w:p>
            <w:pPr>
              <w:pStyle w:val="12"/>
              <w:spacing w:after="0"/>
              <w:ind w:left="0" w:leftChars="0" w:firstLine="480"/>
              <w:rPr>
                <w:rFonts w:hint="eastAsia" w:ascii="仿宋" w:hAnsi="仿宋" w:eastAsia="仿宋" w:cs="仿宋"/>
                <w:b/>
                <w:bCs/>
                <w:color w:val="000000"/>
                <w:sz w:val="24"/>
                <w:szCs w:val="24"/>
                <w:lang w:val="en-US"/>
              </w:rPr>
            </w:pPr>
            <w:r>
              <w:rPr>
                <w:rFonts w:hint="eastAsia" w:ascii="仿宋" w:hAnsi="仿宋" w:eastAsia="仿宋" w:cs="仿宋"/>
                <w:sz w:val="24"/>
                <w:szCs w:val="24"/>
                <w:lang w:val="en-US"/>
              </w:rPr>
              <w:t>奥奇食品有限公司</w:t>
            </w:r>
            <w:r>
              <w:rPr>
                <w:rFonts w:hint="eastAsia" w:ascii="仿宋" w:hAnsi="仿宋" w:eastAsia="仿宋" w:cs="仿宋"/>
                <w:color w:val="000000"/>
                <w:sz w:val="24"/>
                <w:szCs w:val="24"/>
                <w:lang w:val="en-US"/>
              </w:rPr>
              <w:t>和</w:t>
            </w:r>
            <w:r>
              <w:rPr>
                <w:rFonts w:hint="eastAsia" w:ascii="仿宋" w:hAnsi="仿宋" w:eastAsia="仿宋" w:cs="仿宋"/>
                <w:sz w:val="24"/>
                <w:szCs w:val="24"/>
                <w:lang w:val="en-US"/>
              </w:rPr>
              <w:t>昆腾谷物有限公司于2023年7月31日</w:t>
            </w:r>
            <w:r>
              <w:rPr>
                <w:rFonts w:hint="eastAsia" w:ascii="仿宋" w:hAnsi="仿宋" w:eastAsia="仿宋" w:cs="仿宋"/>
                <w:color w:val="000000"/>
                <w:sz w:val="24"/>
                <w:szCs w:val="24"/>
                <w:lang w:val="en-US"/>
              </w:rPr>
              <w:t>将已开出/已接收的发票入账，税务局接收入账清单。</w:t>
            </w:r>
          </w:p>
          <w:p>
            <w:pPr>
              <w:pStyle w:val="12"/>
              <w:spacing w:after="0"/>
              <w:ind w:left="0" w:leftChars="0" w:firstLine="482"/>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区块链应用-农业供应链</w:t>
            </w:r>
          </w:p>
          <w:p>
            <w:pPr>
              <w:pStyle w:val="12"/>
              <w:spacing w:after="0"/>
              <w:ind w:left="0" w:leftChars="0" w:firstLine="480"/>
              <w:rPr>
                <w:rFonts w:hint="eastAsia" w:ascii="仿宋" w:hAnsi="仿宋" w:eastAsia="仿宋" w:cs="仿宋"/>
                <w:sz w:val="24"/>
                <w:szCs w:val="24"/>
                <w:lang w:val="en-US"/>
              </w:rPr>
            </w:pPr>
            <w:r>
              <w:rPr>
                <w:rFonts w:hint="eastAsia" w:ascii="仿宋" w:hAnsi="仿宋" w:eastAsia="仿宋" w:cs="仿宋"/>
                <w:sz w:val="24"/>
                <w:szCs w:val="24"/>
                <w:lang w:val="en-US"/>
              </w:rPr>
              <w:t>某水产产品供应链上下游企业联合引进了一套区块链农产品管理系统，可以在系统上记录农产品生产过程以便于质量审查和农产品溯源；农产品生产企业在春季的生产产品以小龙虾和草鱼为主，2023年4月12日，生产企业首先在600亩的“有机水产专用鱼塘”为虾苗、鱼苗提前做了清塘和换水操作，并每亩配合使用300ml高效聚维酮碘（水产用）消毒和200ml水草精灵养护水草，十天后，在该鱼塘每亩投放了8000尾小龙虾苗、300尾草鱼鱼苗；从投苗后需要每天投喂青草45,000公斤、虾用配合饲料1250公斤，并采用机械作业的方式在投苗后每个月开增氧机一次；生产企业分别在投苗后的第七十天捕获了96,000斤小龙虾，在两年后捕获了180,000斤草鱼。</w:t>
            </w:r>
          </w:p>
          <w:p>
            <w:pPr>
              <w:pStyle w:val="12"/>
              <w:spacing w:after="0"/>
              <w:ind w:left="0" w:leftChars="0" w:firstLine="480"/>
              <w:rPr>
                <w:rFonts w:hint="eastAsia" w:ascii="仿宋" w:hAnsi="仿宋" w:eastAsia="仿宋" w:cs="仿宋"/>
                <w:b/>
                <w:bCs/>
                <w:sz w:val="24"/>
                <w:szCs w:val="24"/>
                <w:lang w:val="en-US"/>
              </w:rPr>
            </w:pPr>
            <w:r>
              <w:rPr>
                <w:rFonts w:hint="eastAsia" w:ascii="仿宋" w:hAnsi="仿宋" w:eastAsia="仿宋" w:cs="仿宋"/>
                <w:sz w:val="24"/>
                <w:szCs w:val="24"/>
                <w:lang w:val="en-US"/>
              </w:rPr>
              <w:t>生产企业完成农产品采收后立即申请了该批次小龙虾和草鱼的有机产品认证和绿色食品认证，农产品质量安全中心审批申请并对农产品进行了抽样检测，确定各项标准在规定范围内后向农产品生产企业颁发了认证证书；生产企业随后把这批小龙虾按25元一斤，草鱼12元一斤的价格发布在交易平台上，分销商企业在对这批农产品进行溯源审核后向生产企业发起了全部购买的订单，生产企业接受订单后向物流公司委托运输，物流公司受理托运后将农产品运往了分销商。</w:t>
            </w:r>
          </w:p>
          <w:p>
            <w:pPr>
              <w:pStyle w:val="10"/>
              <w:widowControl/>
              <w:spacing w:before="75" w:beforeAutospacing="0" w:after="75" w:afterAutospacing="0"/>
              <w:ind w:firstLine="482" w:firstLineChars="200"/>
              <w:rPr>
                <w:rFonts w:hint="eastAsia" w:ascii="仿宋" w:hAnsi="仿宋" w:eastAsia="仿宋" w:cs="仿宋"/>
                <w:b/>
                <w:bCs/>
                <w:color w:val="000000"/>
                <w:szCs w:val="24"/>
              </w:rPr>
            </w:pPr>
            <w:r>
              <w:rPr>
                <w:rFonts w:hint="eastAsia" w:ascii="仿宋" w:hAnsi="仿宋" w:eastAsia="仿宋" w:cs="仿宋"/>
                <w:b/>
                <w:bCs/>
                <w:color w:val="000000"/>
                <w:szCs w:val="24"/>
              </w:rPr>
              <w:t>区块链审计-票据</w:t>
            </w:r>
          </w:p>
          <w:p>
            <w:pPr>
              <w:pStyle w:val="10"/>
              <w:widowControl/>
              <w:spacing w:before="75" w:beforeAutospacing="0" w:after="75" w:afterAutospacing="0"/>
              <w:ind w:firstLine="480" w:firstLineChars="200"/>
              <w:rPr>
                <w:rFonts w:hint="eastAsia" w:ascii="仿宋" w:hAnsi="仿宋" w:eastAsia="仿宋" w:cs="仿宋"/>
                <w:color w:val="000000"/>
                <w:szCs w:val="24"/>
              </w:rPr>
            </w:pPr>
            <w:r>
              <w:rPr>
                <w:rFonts w:hint="eastAsia" w:ascii="仿宋" w:hAnsi="仿宋" w:eastAsia="仿宋" w:cs="仿宋"/>
                <w:color w:val="000000"/>
                <w:szCs w:val="24"/>
              </w:rPr>
              <w:t xml:space="preserve">1.交易链式要求 </w:t>
            </w:r>
          </w:p>
          <w:p>
            <w:pPr>
              <w:pStyle w:val="10"/>
              <w:widowControl/>
              <w:spacing w:before="75" w:beforeAutospacing="0" w:after="75" w:afterAutospacing="0"/>
              <w:ind w:firstLine="480" w:firstLineChars="200"/>
              <w:rPr>
                <w:rFonts w:hint="eastAsia" w:ascii="仿宋" w:hAnsi="仿宋" w:eastAsia="仿宋" w:cs="仿宋"/>
                <w:color w:val="000000"/>
                <w:szCs w:val="24"/>
              </w:rPr>
            </w:pPr>
            <w:r>
              <w:rPr>
                <w:rFonts w:hint="eastAsia" w:ascii="仿宋" w:hAnsi="仿宋" w:eastAsia="仿宋" w:cs="仿宋"/>
                <w:color w:val="000000"/>
                <w:szCs w:val="24"/>
              </w:rPr>
              <w:t>多个企业在合作贸易上达成共识，允许授权的申请的企业加入，联盟起一条链。节点间无需交换额外的信息即可达成共识，由于共同参与交易的企业比较多要求在加密方面强度大、运行速度快、同时签名的密钥更短。多家企业交易时，允许多笔交易输入合并构成一笔交易，同时可以隐藏交易输入地址与输出地址之间的关系。 </w:t>
            </w:r>
            <w:r>
              <w:rPr>
                <w:rFonts w:hint="eastAsia" w:ascii="仿宋" w:hAnsi="仿宋" w:eastAsia="仿宋" w:cs="仿宋"/>
                <w:color w:val="000000"/>
                <w:szCs w:val="24"/>
              </w:rPr>
              <w:br w:type="textWrapping"/>
            </w:r>
            <w:r>
              <w:rPr>
                <w:rFonts w:hint="eastAsia" w:ascii="仿宋" w:hAnsi="仿宋" w:eastAsia="仿宋" w:cs="仿宋"/>
                <w:color w:val="000000"/>
                <w:szCs w:val="24"/>
              </w:rPr>
              <w:t xml:space="preserve">    2.合约流程说明 </w:t>
            </w:r>
            <w:r>
              <w:rPr>
                <w:rFonts w:hint="eastAsia" w:ascii="仿宋" w:hAnsi="仿宋" w:eastAsia="仿宋" w:cs="仿宋"/>
                <w:color w:val="000000"/>
                <w:szCs w:val="24"/>
              </w:rPr>
              <w:br w:type="textWrapping"/>
            </w:r>
            <w:r>
              <w:rPr>
                <w:rFonts w:hint="eastAsia" w:ascii="仿宋" w:hAnsi="仿宋" w:eastAsia="仿宋" w:cs="仿宋"/>
                <w:color w:val="000000"/>
                <w:szCs w:val="24"/>
              </w:rPr>
              <w:t>     （1）供应链金融金票质押业务在区块链上交易，A给B开出一张具有一定交易额Y个月到期的区块链汇票，若B拒绝签收时，则出票失败，若B接受签收时才为出票成功，B为持有人； </w:t>
            </w:r>
            <w:r>
              <w:rPr>
                <w:rFonts w:hint="eastAsia" w:ascii="仿宋" w:hAnsi="仿宋" w:eastAsia="仿宋" w:cs="仿宋"/>
                <w:color w:val="000000"/>
                <w:szCs w:val="24"/>
              </w:rPr>
              <w:br w:type="textWrapping"/>
            </w:r>
            <w:r>
              <w:rPr>
                <w:rFonts w:hint="eastAsia" w:ascii="仿宋" w:hAnsi="仿宋" w:eastAsia="仿宋" w:cs="仿宋"/>
                <w:color w:val="000000"/>
                <w:szCs w:val="24"/>
              </w:rPr>
              <w:t>     （2）签收成功后，B将票据按一定的质押率和利率拿到C质押融资。质押达成时,对C扣款判断，若扣款失败提示充值，若扣款成功，在交易成功后C为票据最后持有人。</w:t>
            </w:r>
          </w:p>
          <w:p>
            <w:pPr>
              <w:pStyle w:val="10"/>
              <w:widowControl/>
              <w:spacing w:before="75" w:beforeAutospacing="0" w:after="75" w:afterAutospacing="0"/>
              <w:ind w:firstLine="482" w:firstLineChars="200"/>
              <w:rPr>
                <w:rFonts w:hint="eastAsia" w:ascii="仿宋" w:hAnsi="仿宋" w:eastAsia="仿宋" w:cs="仿宋"/>
                <w:b/>
                <w:bCs/>
                <w:color w:val="000000"/>
                <w:szCs w:val="24"/>
              </w:rPr>
            </w:pPr>
            <w:r>
              <w:rPr>
                <w:rFonts w:hint="eastAsia" w:ascii="仿宋" w:hAnsi="仿宋" w:eastAsia="仿宋" w:cs="仿宋"/>
                <w:b/>
                <w:bCs/>
                <w:color w:val="000000"/>
                <w:szCs w:val="24"/>
              </w:rPr>
              <w:t>区块链审计-保函</w:t>
            </w:r>
          </w:p>
          <w:p>
            <w:pPr>
              <w:pStyle w:val="10"/>
              <w:widowControl/>
              <w:spacing w:before="75" w:beforeAutospacing="0" w:after="75" w:afterAutospacing="0"/>
              <w:ind w:firstLine="480" w:firstLineChars="200"/>
              <w:rPr>
                <w:rFonts w:hint="eastAsia" w:ascii="仿宋" w:hAnsi="仿宋" w:eastAsia="仿宋" w:cs="仿宋"/>
                <w:color w:val="000000"/>
                <w:szCs w:val="24"/>
              </w:rPr>
            </w:pPr>
            <w:r>
              <w:rPr>
                <w:rFonts w:hint="eastAsia" w:ascii="仿宋" w:hAnsi="仿宋" w:eastAsia="仿宋" w:cs="仿宋"/>
                <w:color w:val="000000"/>
                <w:szCs w:val="24"/>
              </w:rPr>
              <w:t>1.交易链式要求 </w:t>
            </w:r>
            <w:r>
              <w:rPr>
                <w:rFonts w:hint="eastAsia" w:ascii="仿宋" w:hAnsi="仿宋" w:eastAsia="仿宋" w:cs="仿宋"/>
                <w:color w:val="000000"/>
                <w:szCs w:val="24"/>
              </w:rPr>
              <w:br w:type="textWrapping"/>
            </w:r>
            <w:r>
              <w:rPr>
                <w:rFonts w:hint="eastAsia" w:ascii="仿宋" w:hAnsi="仿宋" w:eastAsia="仿宋" w:cs="仿宋"/>
                <w:color w:val="000000"/>
                <w:szCs w:val="24"/>
              </w:rPr>
              <w:t>      该链式是任何人都可以匿名参与进入，所有数据默认公开，但是运维成本较高，依赖奖励机制，同时交易速度相对较慢。想要进入该链内没有任何要求，可以随意进入区块链中，所有节点都可以进行打包记账。在共识方面使用的算法所解决的问题是一个分布式系统如何就某个值决议达成一致。在一个分布式数据库系统中，如果各节点的初始状态一致，每个节点都执行相同的操作序列，最后能得到一个一致的状态。而在加密算法上是一个支持变长密钥的公共密钥算法，需要加密的文件块的长度也是可变的。对于隐私保护协议基于阈值的ECDSA 签名和混合网络相结合的分布式混币技术，提供单笔混币交易，并允许网络存在恶意节点的情况下，保证混币服务的有效性，增加了用户的匿名性和安全性。 </w:t>
            </w:r>
            <w:r>
              <w:rPr>
                <w:rFonts w:hint="eastAsia" w:ascii="仿宋" w:hAnsi="仿宋" w:eastAsia="仿宋" w:cs="仿宋"/>
                <w:color w:val="000000"/>
                <w:szCs w:val="24"/>
              </w:rPr>
              <w:br w:type="textWrapping"/>
            </w:r>
            <w:r>
              <w:rPr>
                <w:rFonts w:hint="eastAsia" w:ascii="仿宋" w:hAnsi="仿宋" w:eastAsia="仿宋" w:cs="仿宋"/>
                <w:color w:val="000000"/>
                <w:szCs w:val="24"/>
              </w:rPr>
              <w:t xml:space="preserve">    2.合约流程说明 </w:t>
            </w:r>
            <w:r>
              <w:rPr>
                <w:rFonts w:hint="eastAsia" w:ascii="仿宋" w:hAnsi="仿宋" w:eastAsia="仿宋" w:cs="仿宋"/>
                <w:color w:val="000000"/>
                <w:szCs w:val="24"/>
              </w:rPr>
              <w:br w:type="textWrapping"/>
            </w:r>
            <w:r>
              <w:rPr>
                <w:rFonts w:hint="eastAsia" w:ascii="仿宋" w:hAnsi="仿宋" w:eastAsia="仿宋" w:cs="仿宋"/>
                <w:color w:val="000000"/>
                <w:szCs w:val="24"/>
              </w:rPr>
              <w:t>     （1）保函修改业务在区块链上交易，保函受益人C得到保函后，申请人A或者受益人C在保函的赔付期之前对该保函的金额或者保函时间进行修改申请，并将加密后的信息发送给系统； </w:t>
            </w:r>
            <w:r>
              <w:rPr>
                <w:rFonts w:hint="eastAsia" w:ascii="仿宋" w:hAnsi="仿宋" w:eastAsia="仿宋" w:cs="仿宋"/>
                <w:color w:val="000000"/>
                <w:szCs w:val="24"/>
              </w:rPr>
              <w:br w:type="textWrapping"/>
            </w:r>
            <w:r>
              <w:rPr>
                <w:rFonts w:hint="eastAsia" w:ascii="仿宋" w:hAnsi="仿宋" w:eastAsia="仿宋" w:cs="仿宋"/>
                <w:color w:val="000000"/>
                <w:szCs w:val="24"/>
              </w:rPr>
              <w:t>     （2）系统将保函申请修改的信息发给保函第三方和担保人B，保函修改申请在第三方中解密确定真实后再反馈同意修改的信息给系统，确定第三方已同意保函修改； </w:t>
            </w:r>
            <w:r>
              <w:rPr>
                <w:rFonts w:hint="eastAsia" w:ascii="仿宋" w:hAnsi="仿宋" w:eastAsia="仿宋" w:cs="仿宋"/>
                <w:color w:val="000000"/>
                <w:szCs w:val="24"/>
              </w:rPr>
              <w:br w:type="textWrapping"/>
            </w:r>
            <w:r>
              <w:rPr>
                <w:rFonts w:hint="eastAsia" w:ascii="仿宋" w:hAnsi="仿宋" w:eastAsia="仿宋" w:cs="仿宋"/>
                <w:color w:val="000000"/>
                <w:szCs w:val="24"/>
              </w:rPr>
              <w:t>     （3）在第三方同意保函修改后担保人B可执行保函的修改反馈，担保人B对保函修改申请信息进行解密并确认信息真实后将同意修改的反馈信息发给系统，最后确认该保函已修改。</w:t>
            </w:r>
          </w:p>
          <w:p>
            <w:pPr>
              <w:pStyle w:val="10"/>
              <w:widowControl/>
              <w:spacing w:before="75" w:beforeAutospacing="0" w:after="75" w:afterAutospacing="0"/>
              <w:ind w:firstLine="482" w:firstLineChars="200"/>
              <w:rPr>
                <w:rFonts w:hint="eastAsia" w:ascii="仿宋" w:hAnsi="仿宋" w:eastAsia="仿宋" w:cs="仿宋"/>
                <w:b/>
                <w:bCs/>
                <w:color w:val="000000"/>
                <w:szCs w:val="24"/>
              </w:rPr>
            </w:pPr>
            <w:r>
              <w:rPr>
                <w:rFonts w:hint="eastAsia" w:ascii="仿宋" w:hAnsi="仿宋" w:eastAsia="仿宋" w:cs="仿宋"/>
                <w:b/>
                <w:bCs/>
                <w:color w:val="000000"/>
                <w:szCs w:val="24"/>
              </w:rPr>
              <w:t>区块链审计-债券</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1.交易链式要求 </w:t>
            </w:r>
            <w:r>
              <w:rPr>
                <w:rFonts w:hint="eastAsia" w:ascii="仿宋" w:hAnsi="仿宋" w:eastAsia="仿宋" w:cs="仿宋"/>
                <w:color w:val="000000"/>
                <w:sz w:val="24"/>
                <w:szCs w:val="24"/>
                <w:lang w:val="en-US"/>
              </w:rPr>
              <w:br w:type="textWrapping"/>
            </w:r>
            <w:r>
              <w:rPr>
                <w:rFonts w:hint="eastAsia" w:ascii="仿宋" w:hAnsi="仿宋" w:eastAsia="仿宋" w:cs="仿宋"/>
                <w:color w:val="000000"/>
                <w:sz w:val="24"/>
                <w:szCs w:val="24"/>
                <w:lang w:val="en-US"/>
              </w:rPr>
              <w:t>     在一个自由和公开交易的平台上，无用户授权机制，对参与者没有门槛要求设置，但是运维成本较高，依赖奖励机制，同时交易速度相对较慢。在共识方面该算法就是一种基于消息传递模式的一致性算法，每个节点都执行相同的操作序列。而在加密算法上当密钥固定的情况下，明文和密文在整个输入空间是一一对应的。因此算法的各个部件也都是可逆的，再将各个部件的操作顺序设计成可逆的，密文就能正确的解密了。对于隐私保护协议则是一种在不改变比特币任何协议的情况下，为交易用户提供混合服务保证用户隐私的方案，要求多用户同时使用相同金额进行混币。 </w:t>
            </w:r>
            <w:r>
              <w:rPr>
                <w:rFonts w:hint="eastAsia" w:ascii="仿宋" w:hAnsi="仿宋" w:eastAsia="仿宋" w:cs="仿宋"/>
                <w:color w:val="000000"/>
                <w:sz w:val="24"/>
                <w:szCs w:val="24"/>
                <w:lang w:val="en-US"/>
              </w:rPr>
              <w:br w:type="textWrapping"/>
            </w:r>
            <w:r>
              <w:rPr>
                <w:rFonts w:hint="eastAsia" w:ascii="仿宋" w:hAnsi="仿宋" w:eastAsia="仿宋" w:cs="仿宋"/>
                <w:color w:val="000000"/>
                <w:sz w:val="24"/>
                <w:szCs w:val="24"/>
                <w:lang w:val="en-US"/>
              </w:rPr>
              <w:t xml:space="preserve">    2.合约流程说明 </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（1）债券发起人A申请发行承销债券，将私钥加密的发行信息发送给系统，系统触发智能合约将申请信息发送给承销商B处；</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（2）承销商B收到系统发过来的加密申请，用公钥进行信息解密，确认信息真实并同意该承销细节时将同意的反馈发送给系统； </w:t>
            </w:r>
          </w:p>
          <w:p>
            <w:pPr>
              <w:pStyle w:val="12"/>
              <w:spacing w:after="0"/>
              <w:ind w:left="0" w:leftChars="0" w:firstLine="480"/>
              <w:rPr>
                <w:rFonts w:hint="eastAsia" w:ascii="仿宋" w:hAnsi="仿宋" w:eastAsia="仿宋" w:cs="仿宋"/>
                <w:b/>
                <w:bCs/>
                <w:color w:val="000000"/>
                <w:sz w:val="24"/>
                <w:szCs w:val="24"/>
                <w:lang w:val="en-US"/>
              </w:rPr>
            </w:pPr>
            <w:r>
              <w:rPr>
                <w:rFonts w:hint="eastAsia" w:ascii="仿宋" w:hAnsi="仿宋" w:eastAsia="仿宋" w:cs="仿宋"/>
                <w:color w:val="000000"/>
                <w:sz w:val="24"/>
                <w:szCs w:val="24"/>
                <w:lang w:val="en-US"/>
              </w:rPr>
              <w:t>（3）系统收到承销商B的同意承销反馈时，触发智能合约将该债券承销确认激活，并将债券权限放置到申购市场系统中，等待用户申购。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子任务1-1（区块链金融-链设计）</w:t>
            </w:r>
          </w:p>
        </w:tc>
        <w:tc>
          <w:tcPr>
            <w:tcW w:w="924" w:type="pct"/>
            <w:gridSpan w:val="2"/>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spacing w:val="-3"/>
                <w:sz w:val="24"/>
                <w:szCs w:val="24"/>
                <w:lang w:val="en-US"/>
              </w:rPr>
              <w:t>运用区块链与智能合约技术，完成联盟链的搭建</w:t>
            </w:r>
          </w:p>
        </w:tc>
        <w:tc>
          <w:tcPr>
            <w:tcW w:w="808" w:type="pct"/>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1.搭建联盟链</w:t>
            </w:r>
          </w:p>
          <w:p>
            <w:pPr>
              <w:rPr>
                <w:rFonts w:hint="eastAsia" w:ascii="仿宋" w:hAnsi="仿宋" w:eastAsia="仿宋" w:cs="仿宋"/>
                <w:sz w:val="24"/>
                <w:szCs w:val="24"/>
                <w:lang w:val="en-US"/>
              </w:rPr>
            </w:pPr>
            <w:r>
              <w:rPr>
                <w:rFonts w:hint="eastAsia" w:ascii="仿宋" w:hAnsi="仿宋" w:eastAsia="仿宋" w:cs="仿宋"/>
                <w:sz w:val="24"/>
                <w:szCs w:val="24"/>
                <w:lang w:val="en-US"/>
              </w:rPr>
              <w:t>2.邀请节点</w:t>
            </w:r>
          </w:p>
          <w:p>
            <w:pPr>
              <w:rPr>
                <w:rFonts w:hint="eastAsia" w:ascii="仿宋" w:hAnsi="仿宋" w:eastAsia="仿宋" w:cs="仿宋"/>
                <w:sz w:val="24"/>
                <w:szCs w:val="24"/>
                <w:lang w:val="en-US"/>
              </w:rPr>
            </w:pPr>
            <w:r>
              <w:rPr>
                <w:rFonts w:hint="eastAsia" w:ascii="仿宋" w:hAnsi="仿宋" w:eastAsia="仿宋" w:cs="仿宋"/>
                <w:sz w:val="24"/>
                <w:szCs w:val="24"/>
                <w:lang w:val="en-US"/>
              </w:rPr>
              <w:t>3.冻结节点</w:t>
            </w:r>
          </w:p>
          <w:p>
            <w:pPr>
              <w:rPr>
                <w:rFonts w:hint="eastAsia" w:ascii="仿宋" w:hAnsi="仿宋" w:eastAsia="仿宋" w:cs="仿宋"/>
                <w:kern w:val="2"/>
                <w:sz w:val="24"/>
                <w:szCs w:val="24"/>
                <w:lang w:val="en-US" w:bidi="ar-SA"/>
              </w:rPr>
            </w:pPr>
            <w:r>
              <w:rPr>
                <w:rFonts w:hint="eastAsia" w:ascii="仿宋" w:hAnsi="仿宋" w:eastAsia="仿宋" w:cs="仿宋"/>
                <w:sz w:val="24"/>
                <w:szCs w:val="24"/>
                <w:lang w:val="en-US"/>
              </w:rPr>
              <w:t>4.共识节点</w:t>
            </w:r>
          </w:p>
        </w:tc>
        <w:tc>
          <w:tcPr>
            <w:tcW w:w="714"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1.搭建联盟链流程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2.邀请、冻结、共识节点流程</w:t>
            </w:r>
          </w:p>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3.智能合约流程</w:t>
            </w:r>
          </w:p>
        </w:tc>
        <w:tc>
          <w:tcPr>
            <w:tcW w:w="1080"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子任务2-1（区块链应用-资产证券化）-1</w:t>
            </w:r>
          </w:p>
        </w:tc>
        <w:tc>
          <w:tcPr>
            <w:tcW w:w="924" w:type="pct"/>
            <w:gridSpan w:val="2"/>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运用区块链技术完成信贷资产证券化信用增级业务</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1.创建智能合约</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2.组建信贷资产池</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3.设立特殊目的机构SPV</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4.信贷资产转移</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5.信贷资产支持证券信用增级</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1.信用增级业务流程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2.证券化资产信息</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3.资产证券化计划机构信息</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子任务2-1（区块链应用-资产证券化）-2</w:t>
            </w:r>
          </w:p>
        </w:tc>
        <w:tc>
          <w:tcPr>
            <w:tcW w:w="924" w:type="pct"/>
            <w:gridSpan w:val="2"/>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运用区块链技术完成成信贷资产证券化信用评级业务</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1.信用评级</w:t>
            </w:r>
          </w:p>
          <w:p>
            <w:pPr>
              <w:pStyle w:val="12"/>
              <w:spacing w:after="0"/>
              <w:ind w:left="0" w:leftChars="0" w:firstLine="0" w:firstLineChars="0"/>
              <w:rPr>
                <w:rFonts w:hint="eastAsia" w:ascii="仿宋" w:hAnsi="仿宋" w:eastAsia="仿宋" w:cs="仿宋"/>
                <w:color w:val="000000"/>
                <w:kern w:val="2"/>
                <w:sz w:val="24"/>
                <w:szCs w:val="24"/>
                <w:lang w:val="en-US" w:bidi="ar-SA"/>
              </w:rPr>
            </w:pPr>
          </w:p>
        </w:tc>
        <w:tc>
          <w:tcPr>
            <w:tcW w:w="714"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1.信贷资产证券化信用评级业务流程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子任务2-2（区块链应用-航空延误、意外险）-1</w:t>
            </w:r>
          </w:p>
        </w:tc>
        <w:tc>
          <w:tcPr>
            <w:tcW w:w="924" w:type="pct"/>
            <w:gridSpan w:val="2"/>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运用区块链技术完成航空延误险业务</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1.创建智能合约</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2.购买航空延误险</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3.发布航空延误信息</w:t>
            </w:r>
          </w:p>
          <w:p>
            <w:pPr>
              <w:pStyle w:val="12"/>
              <w:spacing w:after="0"/>
              <w:ind w:left="0" w:leftChars="0" w:firstLine="0" w:firstLineChars="0"/>
              <w:rPr>
                <w:rFonts w:hint="eastAsia" w:ascii="仿宋" w:hAnsi="仿宋" w:eastAsia="仿宋" w:cs="仿宋"/>
                <w:color w:val="000000"/>
                <w:kern w:val="2"/>
                <w:sz w:val="24"/>
                <w:szCs w:val="24"/>
                <w:lang w:val="en-US" w:bidi="ar-SA"/>
              </w:rPr>
            </w:pP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1.航空延误险业务流程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2.航空延误险投保信息</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3.航班延误信息</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子任务2-2（区块链应用-航空延误、意外险）-2</w:t>
            </w:r>
          </w:p>
        </w:tc>
        <w:tc>
          <w:tcPr>
            <w:tcW w:w="924" w:type="pct"/>
            <w:gridSpan w:val="2"/>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运用区块链技术完成航空航意险业务</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1.购买航空意外险</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2.发布航空事故信息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3.申请残疾赔偿金</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索赔</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4.支付赔偿金</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1.航空意外险业务流程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2.航空意外险投保信息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3.航空事故信息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4.航空意外险理赔信息</w:t>
            </w:r>
          </w:p>
          <w:p>
            <w:pPr>
              <w:pStyle w:val="12"/>
              <w:spacing w:after="0"/>
              <w:ind w:left="0" w:leftChars="0" w:firstLine="0" w:firstLineChars="0"/>
              <w:rPr>
                <w:rFonts w:hint="eastAsia" w:ascii="仿宋" w:hAnsi="仿宋" w:eastAsia="仿宋" w:cs="仿宋"/>
                <w:color w:val="000000"/>
                <w:kern w:val="2"/>
                <w:sz w:val="24"/>
                <w:szCs w:val="24"/>
                <w:lang w:val="en-US" w:bidi="ar-SA"/>
              </w:rPr>
            </w:pP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子任务2-3（</w:t>
            </w:r>
            <w:r>
              <w:rPr>
                <w:rFonts w:hint="eastAsia" w:ascii="仿宋" w:hAnsi="仿宋" w:eastAsia="仿宋" w:cs="仿宋"/>
                <w:sz w:val="24"/>
                <w:szCs w:val="24"/>
                <w:lang w:val="en-US"/>
              </w:rPr>
              <w:t>区块链应用-电子发票</w:t>
            </w:r>
            <w:r>
              <w:rPr>
                <w:rFonts w:hint="eastAsia" w:ascii="仿宋" w:hAnsi="仿宋" w:eastAsia="仿宋" w:cs="仿宋"/>
                <w:color w:val="000000"/>
                <w:sz w:val="24"/>
                <w:szCs w:val="24"/>
                <w:lang w:val="en-US"/>
              </w:rPr>
              <w:t>）-1</w:t>
            </w:r>
          </w:p>
        </w:tc>
        <w:tc>
          <w:tcPr>
            <w:tcW w:w="924" w:type="pct"/>
            <w:gridSpan w:val="2"/>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运用区块链技术完成区块链电子发票开通及审批</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1.创建智能合约</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2.申请开通区块链电子发票</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3.区块链电子发票审批</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1.区块链电子发票开通流程</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2.区块链电子发票申请信息</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子任务2-3（</w:t>
            </w:r>
            <w:r>
              <w:rPr>
                <w:rFonts w:hint="eastAsia" w:ascii="仿宋" w:hAnsi="仿宋" w:eastAsia="仿宋" w:cs="仿宋"/>
                <w:sz w:val="24"/>
                <w:szCs w:val="24"/>
                <w:lang w:val="en-US"/>
              </w:rPr>
              <w:t>区块链应用-电子发票</w:t>
            </w:r>
            <w:r>
              <w:rPr>
                <w:rFonts w:hint="eastAsia" w:ascii="仿宋" w:hAnsi="仿宋" w:eastAsia="仿宋" w:cs="仿宋"/>
                <w:color w:val="000000"/>
                <w:sz w:val="24"/>
                <w:szCs w:val="24"/>
                <w:lang w:val="en-US"/>
              </w:rPr>
              <w:t>）-2</w:t>
            </w:r>
          </w:p>
        </w:tc>
        <w:tc>
          <w:tcPr>
            <w:tcW w:w="924" w:type="pct"/>
            <w:gridSpan w:val="2"/>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w:t>
            </w:r>
            <w:r>
              <w:rPr>
                <w:rFonts w:hint="eastAsia" w:ascii="仿宋" w:hAnsi="仿宋" w:eastAsia="仿宋" w:cs="仿宋"/>
                <w:color w:val="000000"/>
                <w:kern w:val="2"/>
                <w:sz w:val="24"/>
                <w:szCs w:val="24"/>
                <w:lang w:val="en-US" w:bidi="ar-SA"/>
              </w:rPr>
              <w:t>完成企业采购及开票</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1.新增商品信息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2.发起采购</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3.接受订单</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4.申请开票</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5.开票</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6.接收发票</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1.商品信息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2.采购流程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3.采购信息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4.开票流程</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5.开票信息</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子任务2-3（</w:t>
            </w:r>
            <w:r>
              <w:rPr>
                <w:rFonts w:hint="eastAsia" w:ascii="仿宋" w:hAnsi="仿宋" w:eastAsia="仿宋" w:cs="仿宋"/>
                <w:sz w:val="24"/>
                <w:szCs w:val="24"/>
                <w:lang w:val="en-US"/>
              </w:rPr>
              <w:t>区块链应用-电子发票</w:t>
            </w:r>
            <w:r>
              <w:rPr>
                <w:rFonts w:hint="eastAsia" w:ascii="仿宋" w:hAnsi="仿宋" w:eastAsia="仿宋" w:cs="仿宋"/>
                <w:color w:val="000000"/>
                <w:sz w:val="24"/>
                <w:szCs w:val="24"/>
                <w:lang w:val="en-US"/>
              </w:rPr>
              <w:t>）-3</w:t>
            </w:r>
          </w:p>
        </w:tc>
        <w:tc>
          <w:tcPr>
            <w:tcW w:w="924" w:type="pct"/>
            <w:gridSpan w:val="2"/>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w:t>
            </w:r>
            <w:r>
              <w:rPr>
                <w:rFonts w:hint="eastAsia" w:ascii="仿宋" w:hAnsi="仿宋" w:eastAsia="仿宋" w:cs="仿宋"/>
                <w:color w:val="000000"/>
                <w:kern w:val="2"/>
                <w:sz w:val="24"/>
                <w:szCs w:val="24"/>
                <w:lang w:val="en-US" w:bidi="ar-SA"/>
              </w:rPr>
              <w:t>完成入账</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1.入账</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2.接收入账清单</w:t>
            </w:r>
          </w:p>
        </w:tc>
        <w:tc>
          <w:tcPr>
            <w:tcW w:w="714"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入账流程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子任务2-4（区块链应用-农业供应链）-1</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运用区块链技术完成农产品地块信息、播种、农事操作记录上链</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1.创建智能合约</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2.农产品生产企业圈地</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3.添加农事操作</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4.添加种养品种</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5.采收农产品</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1.地块信息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2.农事操作类型信息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3.种养品种信息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4.采收农产品信息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5.农产品生产流程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子任务2-4（区块链应用-农业供应链）-2</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运用区块链技术完成农产品认证、溯源、供应链交易业务</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1.农产品质量安全认证</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2.农产品商品发布</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3.农产品溯源</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4.农产品采购</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5.农产品托运</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1.农产品质量安全认证流程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2.农产品商品发布流程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3.农产品溯源流程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4.农产品采购流程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5.农产品托运流程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0"/>
              <w:widowControl/>
              <w:spacing w:before="75" w:beforeAutospacing="0" w:after="75" w:afterAutospacing="0"/>
              <w:rPr>
                <w:rFonts w:hint="eastAsia" w:ascii="仿宋" w:hAnsi="仿宋" w:eastAsia="仿宋" w:cs="仿宋"/>
                <w:color w:val="000000"/>
                <w:kern w:val="2"/>
                <w:szCs w:val="24"/>
              </w:rPr>
            </w:pPr>
            <w:r>
              <w:rPr>
                <w:rFonts w:hint="eastAsia" w:ascii="仿宋" w:hAnsi="仿宋" w:eastAsia="仿宋" w:cs="仿宋"/>
                <w:color w:val="000000"/>
                <w:szCs w:val="24"/>
              </w:rPr>
              <w:t>子任务3-1（区块链审计-票据）</w:t>
            </w:r>
          </w:p>
        </w:tc>
        <w:tc>
          <w:tcPr>
            <w:tcW w:w="924" w:type="pct"/>
            <w:gridSpan w:val="2"/>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运用区块链技术，完成票据业务链审计</w:t>
            </w:r>
          </w:p>
        </w:tc>
        <w:tc>
          <w:tcPr>
            <w:tcW w:w="808" w:type="pct"/>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1.票据业务链结构审计</w:t>
            </w:r>
          </w:p>
          <w:p>
            <w:pPr>
              <w:rPr>
                <w:rFonts w:hint="eastAsia" w:ascii="仿宋" w:hAnsi="仿宋" w:eastAsia="仿宋" w:cs="仿宋"/>
                <w:sz w:val="24"/>
                <w:szCs w:val="24"/>
                <w:lang w:val="en-US"/>
              </w:rPr>
            </w:pPr>
            <w:r>
              <w:rPr>
                <w:rFonts w:hint="eastAsia" w:ascii="仿宋" w:hAnsi="仿宋" w:eastAsia="仿宋" w:cs="仿宋"/>
                <w:sz w:val="24"/>
                <w:szCs w:val="24"/>
                <w:lang w:val="en-US"/>
              </w:rPr>
              <w:t>2.票据业务智能合约审计</w:t>
            </w:r>
          </w:p>
          <w:p>
            <w:pPr>
              <w:rPr>
                <w:rFonts w:hint="eastAsia" w:ascii="仿宋" w:hAnsi="仿宋" w:eastAsia="仿宋" w:cs="仿宋"/>
                <w:kern w:val="2"/>
                <w:sz w:val="24"/>
                <w:szCs w:val="24"/>
                <w:lang w:val="en-US" w:bidi="ar-SA"/>
              </w:rPr>
            </w:pPr>
            <w:r>
              <w:rPr>
                <w:rFonts w:hint="eastAsia" w:ascii="仿宋" w:hAnsi="仿宋" w:eastAsia="仿宋" w:cs="仿宋"/>
                <w:sz w:val="24"/>
                <w:szCs w:val="24"/>
                <w:lang w:val="en-US"/>
              </w:rPr>
              <w:t>3.票据业务代码审计</w:t>
            </w:r>
          </w:p>
        </w:tc>
        <w:tc>
          <w:tcPr>
            <w:tcW w:w="714"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w:t>
            </w:r>
            <w:r>
              <w:rPr>
                <w:rFonts w:hint="eastAsia" w:ascii="仿宋" w:hAnsi="仿宋" w:eastAsia="仿宋" w:cs="仿宋"/>
                <w:sz w:val="24"/>
                <w:szCs w:val="24"/>
                <w:lang w:val="en-US"/>
              </w:rPr>
              <w:t>票据业务</w:t>
            </w:r>
            <w:r>
              <w:rPr>
                <w:rFonts w:hint="eastAsia" w:ascii="仿宋" w:hAnsi="仿宋" w:eastAsia="仿宋" w:cs="仿宋"/>
                <w:color w:val="000000"/>
                <w:sz w:val="24"/>
                <w:szCs w:val="24"/>
                <w:lang w:val="en-US"/>
              </w:rPr>
              <w:t>链结构信息</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w:t>
            </w:r>
            <w:r>
              <w:rPr>
                <w:rFonts w:hint="eastAsia" w:ascii="仿宋" w:hAnsi="仿宋" w:eastAsia="仿宋" w:cs="仿宋"/>
                <w:sz w:val="24"/>
                <w:szCs w:val="24"/>
                <w:lang w:val="en-US"/>
              </w:rPr>
              <w:t>票据业务</w:t>
            </w:r>
            <w:r>
              <w:rPr>
                <w:rFonts w:hint="eastAsia" w:ascii="仿宋" w:hAnsi="仿宋" w:eastAsia="仿宋" w:cs="仿宋"/>
                <w:color w:val="000000"/>
                <w:sz w:val="24"/>
                <w:szCs w:val="24"/>
                <w:lang w:val="en-US"/>
              </w:rPr>
              <w:t>智能合约信息</w:t>
            </w:r>
          </w:p>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w:t>
            </w:r>
            <w:r>
              <w:rPr>
                <w:rFonts w:hint="eastAsia" w:ascii="仿宋" w:hAnsi="仿宋" w:eastAsia="仿宋" w:cs="仿宋"/>
                <w:sz w:val="24"/>
                <w:szCs w:val="24"/>
                <w:lang w:val="en-US"/>
              </w:rPr>
              <w:t>票据业务</w:t>
            </w:r>
            <w:r>
              <w:rPr>
                <w:rFonts w:hint="eastAsia" w:ascii="仿宋" w:hAnsi="仿宋" w:eastAsia="仿宋" w:cs="仿宋"/>
                <w:color w:val="000000"/>
                <w:sz w:val="24"/>
                <w:szCs w:val="24"/>
                <w:lang w:val="en-US"/>
              </w:rPr>
              <w:t>代码信息</w:t>
            </w:r>
          </w:p>
        </w:tc>
        <w:tc>
          <w:tcPr>
            <w:tcW w:w="1080"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子任务3-2（区块链审计-保函）</w:t>
            </w:r>
          </w:p>
        </w:tc>
        <w:tc>
          <w:tcPr>
            <w:tcW w:w="924" w:type="pct"/>
            <w:gridSpan w:val="2"/>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运用区块链技术，完成保函业务链审计</w:t>
            </w:r>
          </w:p>
        </w:tc>
        <w:tc>
          <w:tcPr>
            <w:tcW w:w="808" w:type="pct"/>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1.</w:t>
            </w:r>
            <w:r>
              <w:rPr>
                <w:rFonts w:hint="eastAsia" w:ascii="仿宋" w:hAnsi="仿宋" w:eastAsia="仿宋" w:cs="仿宋"/>
                <w:color w:val="000000"/>
                <w:sz w:val="24"/>
                <w:szCs w:val="24"/>
                <w:lang w:val="en-US"/>
              </w:rPr>
              <w:t>保函</w:t>
            </w:r>
            <w:r>
              <w:rPr>
                <w:rFonts w:hint="eastAsia" w:ascii="仿宋" w:hAnsi="仿宋" w:eastAsia="仿宋" w:cs="仿宋"/>
                <w:sz w:val="24"/>
                <w:szCs w:val="24"/>
                <w:lang w:val="en-US"/>
              </w:rPr>
              <w:t>业务链结构审计</w:t>
            </w:r>
          </w:p>
          <w:p>
            <w:pPr>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color w:val="000000"/>
                <w:sz w:val="24"/>
                <w:szCs w:val="24"/>
                <w:lang w:val="en-US"/>
              </w:rPr>
              <w:t>保函</w:t>
            </w:r>
            <w:r>
              <w:rPr>
                <w:rFonts w:hint="eastAsia" w:ascii="仿宋" w:hAnsi="仿宋" w:eastAsia="仿宋" w:cs="仿宋"/>
                <w:sz w:val="24"/>
                <w:szCs w:val="24"/>
                <w:lang w:val="en-US"/>
              </w:rPr>
              <w:t>业务智能合约审计</w:t>
            </w:r>
          </w:p>
          <w:p>
            <w:pPr>
              <w:rPr>
                <w:rFonts w:hint="eastAsia" w:ascii="仿宋" w:hAnsi="仿宋" w:eastAsia="仿宋" w:cs="仿宋"/>
                <w:kern w:val="2"/>
                <w:sz w:val="24"/>
                <w:szCs w:val="24"/>
                <w:lang w:val="en-US"/>
              </w:rPr>
            </w:pPr>
            <w:r>
              <w:rPr>
                <w:rFonts w:hint="eastAsia" w:ascii="仿宋" w:hAnsi="仿宋" w:eastAsia="仿宋" w:cs="仿宋"/>
                <w:sz w:val="24"/>
                <w:szCs w:val="24"/>
                <w:lang w:val="en-US"/>
              </w:rPr>
              <w:t>3.</w:t>
            </w:r>
            <w:r>
              <w:rPr>
                <w:rFonts w:hint="eastAsia" w:ascii="仿宋" w:hAnsi="仿宋" w:eastAsia="仿宋" w:cs="仿宋"/>
                <w:color w:val="000000"/>
                <w:sz w:val="24"/>
                <w:szCs w:val="24"/>
                <w:lang w:val="en-US"/>
              </w:rPr>
              <w:t>保函</w:t>
            </w:r>
            <w:r>
              <w:rPr>
                <w:rFonts w:hint="eastAsia" w:ascii="仿宋" w:hAnsi="仿宋" w:eastAsia="仿宋" w:cs="仿宋"/>
                <w:sz w:val="24"/>
                <w:szCs w:val="24"/>
                <w:lang w:val="en-US"/>
              </w:rPr>
              <w:t>业务代码审计</w:t>
            </w:r>
          </w:p>
        </w:tc>
        <w:tc>
          <w:tcPr>
            <w:tcW w:w="714"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1.保函</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链结构信息</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2.保函</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智能合约信息</w:t>
            </w:r>
          </w:p>
          <w:p>
            <w:pPr>
              <w:rPr>
                <w:rFonts w:hint="eastAsia" w:ascii="仿宋" w:hAnsi="仿宋" w:eastAsia="仿宋" w:cs="仿宋"/>
                <w:color w:val="000000"/>
                <w:kern w:val="2"/>
                <w:sz w:val="24"/>
                <w:szCs w:val="24"/>
                <w:lang w:val="en-US"/>
              </w:rPr>
            </w:pPr>
            <w:r>
              <w:rPr>
                <w:rFonts w:hint="eastAsia" w:ascii="仿宋" w:hAnsi="仿宋" w:eastAsia="仿宋" w:cs="仿宋"/>
                <w:color w:val="000000"/>
                <w:sz w:val="24"/>
                <w:szCs w:val="24"/>
                <w:lang w:val="en-US"/>
              </w:rPr>
              <w:t>3.保函</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代码信息</w:t>
            </w:r>
          </w:p>
        </w:tc>
        <w:tc>
          <w:tcPr>
            <w:tcW w:w="1080"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子任务3-3（区块链审计-债券）</w:t>
            </w:r>
          </w:p>
        </w:tc>
        <w:tc>
          <w:tcPr>
            <w:tcW w:w="924" w:type="pct"/>
            <w:gridSpan w:val="2"/>
            <w:vAlign w:val="center"/>
          </w:tcPr>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运用区块链技术，完成债券业务链审计</w:t>
            </w:r>
          </w:p>
        </w:tc>
        <w:tc>
          <w:tcPr>
            <w:tcW w:w="808" w:type="pct"/>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1.</w:t>
            </w:r>
            <w:r>
              <w:rPr>
                <w:rFonts w:hint="eastAsia" w:ascii="仿宋" w:hAnsi="仿宋" w:eastAsia="仿宋" w:cs="仿宋"/>
                <w:color w:val="000000"/>
                <w:sz w:val="24"/>
                <w:szCs w:val="24"/>
                <w:lang w:val="en-US"/>
              </w:rPr>
              <w:t>债券</w:t>
            </w:r>
            <w:r>
              <w:rPr>
                <w:rFonts w:hint="eastAsia" w:ascii="仿宋" w:hAnsi="仿宋" w:eastAsia="仿宋" w:cs="仿宋"/>
                <w:sz w:val="24"/>
                <w:szCs w:val="24"/>
                <w:lang w:val="en-US"/>
              </w:rPr>
              <w:t>业务链结构审计</w:t>
            </w:r>
          </w:p>
          <w:p>
            <w:pPr>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color w:val="000000"/>
                <w:sz w:val="24"/>
                <w:szCs w:val="24"/>
                <w:lang w:val="en-US"/>
              </w:rPr>
              <w:t>债券</w:t>
            </w:r>
            <w:r>
              <w:rPr>
                <w:rFonts w:hint="eastAsia" w:ascii="仿宋" w:hAnsi="仿宋" w:eastAsia="仿宋" w:cs="仿宋"/>
                <w:sz w:val="24"/>
                <w:szCs w:val="24"/>
                <w:lang w:val="en-US"/>
              </w:rPr>
              <w:t>业务智能合约审计</w:t>
            </w:r>
          </w:p>
          <w:p>
            <w:pPr>
              <w:rPr>
                <w:rFonts w:hint="eastAsia" w:ascii="仿宋" w:hAnsi="仿宋" w:eastAsia="仿宋" w:cs="仿宋"/>
                <w:kern w:val="2"/>
                <w:sz w:val="24"/>
                <w:szCs w:val="24"/>
                <w:lang w:val="en-US"/>
              </w:rPr>
            </w:pPr>
            <w:r>
              <w:rPr>
                <w:rFonts w:hint="eastAsia" w:ascii="仿宋" w:hAnsi="仿宋" w:eastAsia="仿宋" w:cs="仿宋"/>
                <w:sz w:val="24"/>
                <w:szCs w:val="24"/>
                <w:lang w:val="en-US"/>
              </w:rPr>
              <w:t>3.</w:t>
            </w:r>
            <w:r>
              <w:rPr>
                <w:rFonts w:hint="eastAsia" w:ascii="仿宋" w:hAnsi="仿宋" w:eastAsia="仿宋" w:cs="仿宋"/>
                <w:color w:val="000000"/>
                <w:sz w:val="24"/>
                <w:szCs w:val="24"/>
                <w:lang w:val="en-US"/>
              </w:rPr>
              <w:t>债券</w:t>
            </w:r>
            <w:r>
              <w:rPr>
                <w:rFonts w:hint="eastAsia" w:ascii="仿宋" w:hAnsi="仿宋" w:eastAsia="仿宋" w:cs="仿宋"/>
                <w:sz w:val="24"/>
                <w:szCs w:val="24"/>
                <w:lang w:val="en-US"/>
              </w:rPr>
              <w:t>业务代码审计</w:t>
            </w:r>
          </w:p>
        </w:tc>
        <w:tc>
          <w:tcPr>
            <w:tcW w:w="714"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1.债券</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链结构信息</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2.债券</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智能合约信息</w:t>
            </w:r>
          </w:p>
          <w:p>
            <w:pPr>
              <w:rPr>
                <w:rFonts w:hint="eastAsia" w:ascii="仿宋" w:hAnsi="仿宋" w:eastAsia="仿宋" w:cs="仿宋"/>
                <w:color w:val="000000"/>
                <w:kern w:val="2"/>
                <w:sz w:val="24"/>
                <w:szCs w:val="24"/>
                <w:lang w:val="en-US"/>
              </w:rPr>
            </w:pPr>
            <w:r>
              <w:rPr>
                <w:rFonts w:hint="eastAsia" w:ascii="仿宋" w:hAnsi="仿宋" w:eastAsia="仿宋" w:cs="仿宋"/>
                <w:color w:val="000000"/>
                <w:sz w:val="24"/>
                <w:szCs w:val="24"/>
                <w:lang w:val="en-US"/>
              </w:rPr>
              <w:t>3.债券</w:t>
            </w:r>
            <w:r>
              <w:rPr>
                <w:rFonts w:hint="eastAsia" w:ascii="仿宋" w:hAnsi="仿宋" w:eastAsia="仿宋" w:cs="仿宋"/>
                <w:sz w:val="24"/>
                <w:szCs w:val="24"/>
                <w:lang w:val="en-US"/>
              </w:rPr>
              <w:t>业务</w:t>
            </w:r>
            <w:r>
              <w:rPr>
                <w:rFonts w:hint="eastAsia" w:ascii="仿宋" w:hAnsi="仿宋" w:eastAsia="仿宋" w:cs="仿宋"/>
                <w:color w:val="000000"/>
                <w:sz w:val="24"/>
                <w:szCs w:val="24"/>
                <w:lang w:val="en-US"/>
              </w:rPr>
              <w:t>代码信息</w:t>
            </w:r>
          </w:p>
        </w:tc>
        <w:tc>
          <w:tcPr>
            <w:tcW w:w="1080"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区块链搭链、智能合约编写的能力；</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适应现代金融业的新知识、新技术、新方法、新应用的能力；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JR/T 0193-2020</w:t>
            </w:r>
            <w:r>
              <w:rPr>
                <w:rFonts w:hint="eastAsia" w:ascii="仿宋" w:hAnsi="仿宋" w:eastAsia="仿宋" w:cs="仿宋"/>
                <w:sz w:val="24"/>
                <w:szCs w:val="24"/>
                <w:lang w:val="en-US"/>
              </w:rPr>
              <w:t xml:space="preserve">  </w:t>
            </w:r>
            <w:r>
              <w:rPr>
                <w:rFonts w:hint="eastAsia" w:ascii="仿宋" w:hAnsi="仿宋" w:eastAsia="仿宋" w:cs="仿宋"/>
                <w:sz w:val="24"/>
                <w:szCs w:val="24"/>
              </w:rPr>
              <w:t>区块链技术金融应用 评估规则</w:t>
            </w:r>
            <w:r>
              <w:rPr>
                <w:rFonts w:hint="eastAsia" w:ascii="仿宋" w:hAnsi="仿宋" w:eastAsia="仿宋" w:cs="仿宋"/>
                <w:sz w:val="24"/>
                <w:szCs w:val="24"/>
              </w:rPr>
              <w:br w:type="textWrapping"/>
            </w:r>
            <w:r>
              <w:rPr>
                <w:rFonts w:hint="eastAsia" w:ascii="仿宋" w:hAnsi="仿宋" w:eastAsia="仿宋" w:cs="仿宋"/>
                <w:sz w:val="24"/>
                <w:szCs w:val="24"/>
              </w:rPr>
              <w:t>2</w:t>
            </w:r>
            <w:r>
              <w:rPr>
                <w:rFonts w:hint="eastAsia" w:ascii="仿宋" w:hAnsi="仿宋" w:eastAsia="仿宋" w:cs="仿宋"/>
                <w:sz w:val="24"/>
                <w:szCs w:val="24"/>
                <w:lang w:val="en-US"/>
              </w:rPr>
              <w:t>.</w:t>
            </w:r>
            <w:r>
              <w:rPr>
                <w:rFonts w:hint="eastAsia" w:ascii="仿宋" w:hAnsi="仿宋" w:eastAsia="仿宋" w:cs="仿宋"/>
                <w:sz w:val="24"/>
                <w:szCs w:val="24"/>
              </w:rPr>
              <w:t>JR/T 0074-2012</w:t>
            </w:r>
            <w:r>
              <w:rPr>
                <w:rFonts w:hint="eastAsia" w:ascii="仿宋" w:hAnsi="仿宋" w:eastAsia="仿宋" w:cs="仿宋"/>
                <w:sz w:val="24"/>
                <w:szCs w:val="24"/>
                <w:lang w:val="en-US"/>
              </w:rPr>
              <w:t xml:space="preserve">  </w:t>
            </w:r>
            <w:r>
              <w:rPr>
                <w:rFonts w:hint="eastAsia" w:ascii="仿宋" w:hAnsi="仿宋" w:eastAsia="仿宋" w:cs="仿宋"/>
                <w:sz w:val="24"/>
                <w:szCs w:val="24"/>
              </w:rPr>
              <w:t>保险业IT服务管理基本规范</w:t>
            </w:r>
            <w:r>
              <w:rPr>
                <w:rFonts w:hint="eastAsia" w:ascii="仿宋" w:hAnsi="仿宋" w:eastAsia="仿宋" w:cs="仿宋"/>
                <w:sz w:val="24"/>
                <w:szCs w:val="24"/>
              </w:rPr>
              <w:br w:type="textWrapping"/>
            </w:r>
            <w:r>
              <w:rPr>
                <w:rFonts w:hint="eastAsia" w:ascii="仿宋" w:hAnsi="仿宋" w:eastAsia="仿宋" w:cs="仿宋"/>
                <w:sz w:val="24"/>
                <w:szCs w:val="24"/>
              </w:rPr>
              <w:t>3</w:t>
            </w:r>
            <w:r>
              <w:rPr>
                <w:rFonts w:hint="eastAsia" w:ascii="仿宋" w:hAnsi="仿宋" w:eastAsia="仿宋" w:cs="仿宋"/>
                <w:sz w:val="24"/>
                <w:szCs w:val="24"/>
                <w:lang w:val="en-US"/>
              </w:rPr>
              <w:t>.</w:t>
            </w:r>
            <w:r>
              <w:rPr>
                <w:rFonts w:hint="eastAsia" w:ascii="仿宋" w:hAnsi="仿宋" w:eastAsia="仿宋" w:cs="仿宋"/>
                <w:sz w:val="24"/>
                <w:szCs w:val="24"/>
              </w:rPr>
              <w:t>NY/T 1993-2011</w:t>
            </w:r>
            <w:r>
              <w:rPr>
                <w:rFonts w:hint="eastAsia" w:ascii="仿宋" w:hAnsi="仿宋" w:eastAsia="仿宋" w:cs="仿宋"/>
                <w:sz w:val="24"/>
                <w:szCs w:val="24"/>
                <w:lang w:val="en-US"/>
              </w:rPr>
              <w:t xml:space="preserve">  </w:t>
            </w:r>
            <w:r>
              <w:rPr>
                <w:rFonts w:hint="eastAsia" w:ascii="仿宋" w:hAnsi="仿宋" w:eastAsia="仿宋" w:cs="仿宋"/>
                <w:sz w:val="24"/>
                <w:szCs w:val="24"/>
              </w:rPr>
              <w:t>农产品质量安全追溯操作规程 通则</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 xml:space="preserve">4.职业编码  </w:t>
            </w:r>
            <w:r>
              <w:rPr>
                <w:rFonts w:hint="eastAsia" w:ascii="仿宋" w:hAnsi="仿宋" w:eastAsia="仿宋" w:cs="仿宋"/>
                <w:sz w:val="24"/>
                <w:szCs w:val="24"/>
              </w:rPr>
              <w:t>4-04-05-06</w:t>
            </w:r>
            <w:r>
              <w:rPr>
                <w:rFonts w:hint="eastAsia" w:ascii="仿宋" w:hAnsi="仿宋" w:eastAsia="仿宋" w:cs="仿宋"/>
                <w:sz w:val="24"/>
                <w:szCs w:val="24"/>
                <w:lang w:val="en-US"/>
              </w:rPr>
              <w:t xml:space="preserve">  区块链应用操作员国家职业标准</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 xml:space="preserve">5.职业编码  </w:t>
            </w:r>
            <w:r>
              <w:rPr>
                <w:rFonts w:hint="eastAsia" w:ascii="仿宋" w:hAnsi="仿宋" w:eastAsia="仿宋" w:cs="仿宋"/>
                <w:sz w:val="24"/>
                <w:szCs w:val="24"/>
              </w:rPr>
              <w:t>2-02-10-15</w:t>
            </w:r>
            <w:r>
              <w:rPr>
                <w:rFonts w:hint="eastAsia" w:ascii="仿宋" w:hAnsi="仿宋" w:eastAsia="仿宋" w:cs="仿宋"/>
                <w:sz w:val="24"/>
                <w:szCs w:val="24"/>
                <w:lang w:val="en-US"/>
              </w:rPr>
              <w:t xml:space="preserve">  区块链工程技术人员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p>
        </w:tc>
      </w:tr>
    </w:tbl>
    <w:p>
      <w:pPr>
        <w:pStyle w:val="4"/>
        <w:tabs>
          <w:tab w:val="left" w:pos="0"/>
        </w:tabs>
        <w:spacing w:line="480" w:lineRule="exact"/>
        <w:rPr>
          <w:rFonts w:hint="eastAsia" w:ascii="仿宋" w:hAnsi="仿宋" w:eastAsia="仿宋" w:cs="仿宋"/>
          <w:lang w:val="en-US"/>
        </w:rPr>
      </w:pPr>
      <w:r>
        <w:rPr>
          <w:rFonts w:hint="eastAsia" w:ascii="仿宋" w:hAnsi="仿宋" w:eastAsia="仿宋" w:cs="仿宋"/>
          <w:lang w:val="en-US"/>
        </w:rPr>
        <w:t>支付业务数字化</w:t>
      </w:r>
    </w:p>
    <w:p>
      <w:pPr>
        <w:spacing w:line="480" w:lineRule="exact"/>
        <w:rPr>
          <w:rFonts w:hint="eastAsia" w:ascii="仿宋" w:hAnsi="仿宋" w:eastAsia="仿宋" w:cs="仿宋"/>
          <w:lang w:val="en-US"/>
        </w:rPr>
      </w:pPr>
      <w:r>
        <w:rPr>
          <w:rFonts w:hint="eastAsia" w:ascii="仿宋" w:hAnsi="仿宋" w:eastAsia="仿宋" w:cs="仿宋"/>
          <w:b/>
          <w:color w:val="000000"/>
          <w:sz w:val="24"/>
          <w:szCs w:val="24"/>
          <w:lang w:val="en-US"/>
        </w:rPr>
        <w:t>技能模块3任务分解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模块3</w:t>
            </w:r>
          </w:p>
        </w:tc>
        <w:tc>
          <w:tcPr>
            <w:tcW w:w="1222" w:type="pct"/>
            <w:gridSpan w:val="2"/>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支付业务数字化</w:t>
            </w:r>
          </w:p>
        </w:tc>
        <w:tc>
          <w:tcPr>
            <w:tcW w:w="1222" w:type="pct"/>
            <w:gridSpan w:val="2"/>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pPr>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数字人民币应用浪潮正席卷全国，各大银行逐渐丰富数字人民币场景，持续做好数字人民币的应用与推广，助力市民美好生活。中国人民银行近期准备添加一个数字人民币发行计划，在2023年1月21日制定计划，2023年2月1日发行，计划名称为“2023年初春数字人民币发行计划”，规划年度货币供应量为20000000元，并规定由中国银行、中国建设银行、中国农业银行、招商银行分别缴纳5000000元准备金。该计划在国务院审批通过后，随即中国人民银行为该计划生成数字人民币，根据生成数字人民币的货币量，去发行数字人民币。</w:t>
            </w:r>
          </w:p>
          <w:p>
            <w:pPr>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在中国人民银行为该计划发行数字人民币之后，之前向该计划缴纳准备金的银行可以向中国人民银行兑换数字人民币，中国银行、中国建设银行、中国农业银行、招商银行的兑换金额分别为5000000元。中国银行、中国建设银行、中国农业银行、招商银行都开发了一类级别的个人软钱包，并开发了企业对公软钱包，个人可以申请开户，开户成功后再申请数字人民币钱包。随后，石双双向中国银行以远程认证的方式申请了一类级别的钱包，并设置钱包账户名称为“石双双一类数字人民币钱包”，并先给钱包充值10000元。</w:t>
            </w:r>
          </w:p>
          <w:p>
            <w:pPr>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蓝旗实业有限公司法人林亮发现数字人民币支付方式逐渐融入民众生活，蓝旗实业有限公司向中国银行申请开户，完成开户后，蓝旗实业有限公司再向中国银行申请接入支付合作，中国银行审批申请，双方签署保密协议，双方再进行各自法务进行法审，法审通过后，蓝旗实业有限公司申请开立对公钱包，对公钱包名称为“蓝旗一号对公钱包”，开户银行为中国银行，钱包载体类型为软钱包，经过面签且人脸识别后，完成企业开立对公钱包。蓝旗实业有限公司近期打算优先发展交通出行的车票业务，准备接入交通出行应用场景的子钱包，子钱包名称为“蓝旗交通出行子钱包”，实现了企业数字人民币交易流转途径。</w:t>
            </w:r>
          </w:p>
          <w:p>
            <w:pPr>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蓝旗实业有限公司发布了3种商品，商品名称分别为G12 上海虹桥-北京南、G1170 武汉-郑州东、D3651 广州-厦门北，门票的</w:t>
            </w:r>
            <w:r>
              <w:rPr>
                <w:rFonts w:hint="eastAsia" w:ascii="仿宋" w:hAnsi="仿宋" w:eastAsia="仿宋" w:cs="仿宋"/>
                <w:sz w:val="24"/>
                <w:szCs w:val="24"/>
              </w:rPr>
              <w:t>商品类别</w:t>
            </w:r>
            <w:r>
              <w:rPr>
                <w:rFonts w:hint="eastAsia" w:ascii="仿宋" w:hAnsi="仿宋" w:eastAsia="仿宋" w:cs="仿宋"/>
                <w:sz w:val="24"/>
                <w:szCs w:val="24"/>
                <w:lang w:val="en-US"/>
              </w:rPr>
              <w:t>为交通出行，一级品类为车票，起拍量为1张，发布量为100张，</w:t>
            </w:r>
            <w:r>
              <w:rPr>
                <w:rFonts w:hint="eastAsia" w:ascii="仿宋" w:hAnsi="仿宋" w:eastAsia="仿宋" w:cs="仿宋"/>
                <w:sz w:val="24"/>
                <w:szCs w:val="24"/>
              </w:rPr>
              <w:t>单价</w:t>
            </w:r>
            <w:r>
              <w:rPr>
                <w:rFonts w:hint="eastAsia" w:ascii="仿宋" w:hAnsi="仿宋" w:eastAsia="仿宋" w:cs="仿宋"/>
                <w:sz w:val="24"/>
                <w:szCs w:val="24"/>
                <w:lang w:val="en-US"/>
              </w:rPr>
              <w:t>分别为625.5元、278元、335元。石双双准备从林亮经营的蓝旗实业有限公司团购3张G12 上海虹桥-北京南的车票，石双双接入了蓝旗交通出行子钱包，并通过子钱包付款。</w:t>
            </w:r>
          </w:p>
          <w:p>
            <w:pPr>
              <w:ind w:firstLine="480" w:firstLineChars="200"/>
              <w:rPr>
                <w:rFonts w:hint="eastAsia" w:ascii="仿宋" w:hAnsi="仿宋" w:eastAsia="仿宋" w:cs="仿宋"/>
                <w:color w:val="000000"/>
                <w:sz w:val="24"/>
                <w:szCs w:val="24"/>
                <w:lang w:val="en-US"/>
              </w:rPr>
            </w:pPr>
            <w:r>
              <w:rPr>
                <w:rFonts w:hint="eastAsia" w:ascii="仿宋" w:hAnsi="仿宋" w:eastAsia="仿宋" w:cs="仿宋"/>
                <w:sz w:val="24"/>
                <w:szCs w:val="24"/>
                <w:lang w:val="en-US"/>
              </w:rPr>
              <w:t>提示： 石双双个人信息：身份证号：450104199910271069；个人电话：13177898999；银行账号：6013004568005200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continue"/>
            <w:vAlign w:val="center"/>
          </w:tcPr>
          <w:p>
            <w:pPr>
              <w:adjustRightInd w:val="0"/>
              <w:snapToGrid w:val="0"/>
              <w:rPr>
                <w:rFonts w:hint="eastAsia" w:ascii="仿宋" w:hAnsi="仿宋" w:eastAsia="仿宋" w:cs="仿宋"/>
                <w:b/>
                <w:color w:val="000000"/>
                <w:sz w:val="24"/>
                <w:szCs w:val="24"/>
                <w:lang w:val="en-US"/>
              </w:rPr>
            </w:pPr>
          </w:p>
        </w:tc>
        <w:tc>
          <w:tcPr>
            <w:tcW w:w="652"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spacing w:val="-3"/>
                <w:sz w:val="24"/>
                <w:szCs w:val="24"/>
                <w:lang w:val="en-US"/>
              </w:rPr>
              <w:t>完成数字人民币生成、发行</w:t>
            </w:r>
          </w:p>
        </w:tc>
        <w:tc>
          <w:tcPr>
            <w:tcW w:w="808" w:type="pct"/>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1.制定数字人民币发行计划</w:t>
            </w:r>
          </w:p>
          <w:p>
            <w:pPr>
              <w:rPr>
                <w:rFonts w:hint="eastAsia" w:ascii="仿宋" w:hAnsi="仿宋" w:eastAsia="仿宋" w:cs="仿宋"/>
                <w:sz w:val="24"/>
                <w:szCs w:val="24"/>
                <w:lang w:val="en-US"/>
              </w:rPr>
            </w:pPr>
            <w:r>
              <w:rPr>
                <w:rFonts w:hint="eastAsia" w:ascii="仿宋" w:hAnsi="仿宋" w:eastAsia="仿宋" w:cs="仿宋"/>
                <w:sz w:val="24"/>
                <w:szCs w:val="24"/>
                <w:lang w:val="en-US"/>
              </w:rPr>
              <w:t>2.审批数字人民币发行计划</w:t>
            </w:r>
          </w:p>
          <w:p>
            <w:pPr>
              <w:rPr>
                <w:rFonts w:hint="eastAsia" w:ascii="仿宋" w:hAnsi="仿宋" w:eastAsia="仿宋" w:cs="仿宋"/>
                <w:sz w:val="24"/>
                <w:szCs w:val="24"/>
                <w:lang w:val="en-US"/>
              </w:rPr>
            </w:pPr>
            <w:r>
              <w:rPr>
                <w:rFonts w:hint="eastAsia" w:ascii="仿宋" w:hAnsi="仿宋" w:eastAsia="仿宋" w:cs="仿宋"/>
                <w:sz w:val="24"/>
                <w:szCs w:val="24"/>
                <w:lang w:val="en-US"/>
              </w:rPr>
              <w:t>3.缴纳、清点准备金</w:t>
            </w:r>
          </w:p>
          <w:p>
            <w:pPr>
              <w:rPr>
                <w:rFonts w:hint="eastAsia" w:ascii="仿宋" w:hAnsi="仿宋" w:eastAsia="仿宋" w:cs="仿宋"/>
                <w:sz w:val="24"/>
                <w:szCs w:val="24"/>
                <w:lang w:val="en-US"/>
              </w:rPr>
            </w:pPr>
            <w:r>
              <w:rPr>
                <w:rFonts w:hint="eastAsia" w:ascii="仿宋" w:hAnsi="仿宋" w:eastAsia="仿宋" w:cs="仿宋"/>
                <w:sz w:val="24"/>
                <w:szCs w:val="24"/>
                <w:lang w:val="en-US"/>
              </w:rPr>
              <w:t>4.生成、发行、兑换数字人民币</w:t>
            </w:r>
          </w:p>
        </w:tc>
        <w:tc>
          <w:tcPr>
            <w:tcW w:w="714" w:type="pct"/>
            <w:vAlign w:val="center"/>
          </w:tcPr>
          <w:p>
            <w:pPr>
              <w:numPr>
                <w:ilvl w:val="0"/>
                <w:numId w:val="3"/>
              </w:num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发行数字人民币流程</w:t>
            </w:r>
          </w:p>
          <w:p>
            <w:pPr>
              <w:numPr>
                <w:ilvl w:val="0"/>
                <w:numId w:val="3"/>
              </w:num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数字人民币计划信息</w:t>
            </w:r>
          </w:p>
        </w:tc>
        <w:tc>
          <w:tcPr>
            <w:tcW w:w="1080"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19" w:type="pct"/>
            <w:vMerge w:val="continue"/>
            <w:vAlign w:val="center"/>
          </w:tcPr>
          <w:p>
            <w:pPr>
              <w:adjustRightInd w:val="0"/>
              <w:snapToGrid w:val="0"/>
              <w:rPr>
                <w:rFonts w:hint="eastAsia" w:ascii="仿宋" w:hAnsi="仿宋" w:eastAsia="仿宋" w:cs="仿宋"/>
                <w:b/>
                <w:color w:val="000000"/>
                <w:sz w:val="24"/>
                <w:szCs w:val="24"/>
                <w:lang w:val="en-US"/>
              </w:rPr>
            </w:pPr>
          </w:p>
        </w:tc>
        <w:tc>
          <w:tcPr>
            <w:tcW w:w="652"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pPr>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运用子钱包技术完成数字人民币钱包开发与支付</w:t>
            </w:r>
          </w:p>
        </w:tc>
        <w:tc>
          <w:tcPr>
            <w:tcW w:w="808" w:type="pct"/>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1.开发数字人民币钱包</w:t>
            </w:r>
          </w:p>
          <w:p>
            <w:pPr>
              <w:rPr>
                <w:rFonts w:hint="eastAsia" w:ascii="仿宋" w:hAnsi="仿宋" w:eastAsia="仿宋" w:cs="仿宋"/>
                <w:sz w:val="24"/>
                <w:szCs w:val="24"/>
                <w:lang w:val="en-US"/>
              </w:rPr>
            </w:pPr>
            <w:r>
              <w:rPr>
                <w:rFonts w:hint="eastAsia" w:ascii="仿宋" w:hAnsi="仿宋" w:eastAsia="仿宋" w:cs="仿宋"/>
                <w:sz w:val="24"/>
                <w:szCs w:val="24"/>
                <w:lang w:val="en-US"/>
              </w:rPr>
              <w:t>2.申请开户</w:t>
            </w:r>
          </w:p>
          <w:p>
            <w:pPr>
              <w:rPr>
                <w:rFonts w:hint="eastAsia" w:ascii="仿宋" w:hAnsi="仿宋" w:eastAsia="仿宋" w:cs="仿宋"/>
                <w:sz w:val="24"/>
                <w:szCs w:val="24"/>
                <w:lang w:val="en-US"/>
              </w:rPr>
            </w:pPr>
            <w:r>
              <w:rPr>
                <w:rFonts w:hint="eastAsia" w:ascii="仿宋" w:hAnsi="仿宋" w:eastAsia="仿宋" w:cs="仿宋"/>
                <w:sz w:val="24"/>
                <w:szCs w:val="24"/>
                <w:lang w:val="en-US"/>
              </w:rPr>
              <w:t>3.审核开户并审核数字人民币钱包</w:t>
            </w:r>
          </w:p>
          <w:p>
            <w:pPr>
              <w:rPr>
                <w:rFonts w:hint="eastAsia" w:ascii="仿宋" w:hAnsi="仿宋" w:eastAsia="仿宋" w:cs="仿宋"/>
                <w:sz w:val="24"/>
                <w:szCs w:val="24"/>
                <w:lang w:val="en-US"/>
              </w:rPr>
            </w:pPr>
            <w:r>
              <w:rPr>
                <w:rFonts w:hint="eastAsia" w:ascii="仿宋" w:hAnsi="仿宋" w:eastAsia="仿宋" w:cs="仿宋"/>
                <w:sz w:val="24"/>
                <w:szCs w:val="24"/>
                <w:lang w:val="en-US"/>
              </w:rPr>
              <w:t>4.钱包充值、升级数字人民币钱包</w:t>
            </w:r>
          </w:p>
          <w:p>
            <w:pPr>
              <w:rPr>
                <w:rFonts w:hint="eastAsia" w:ascii="仿宋" w:hAnsi="仿宋" w:eastAsia="仿宋" w:cs="仿宋"/>
                <w:sz w:val="24"/>
                <w:szCs w:val="24"/>
                <w:lang w:val="en-US"/>
              </w:rPr>
            </w:pPr>
            <w:r>
              <w:rPr>
                <w:rFonts w:hint="eastAsia" w:ascii="仿宋" w:hAnsi="仿宋" w:eastAsia="仿宋" w:cs="仿宋"/>
                <w:sz w:val="24"/>
                <w:szCs w:val="24"/>
                <w:lang w:val="en-US"/>
              </w:rPr>
              <w:t>5.接入支付</w:t>
            </w:r>
          </w:p>
          <w:p>
            <w:pPr>
              <w:rPr>
                <w:rFonts w:hint="eastAsia" w:ascii="仿宋" w:hAnsi="仿宋" w:eastAsia="仿宋" w:cs="仿宋"/>
                <w:sz w:val="24"/>
                <w:szCs w:val="24"/>
                <w:lang w:val="en-US"/>
              </w:rPr>
            </w:pPr>
            <w:r>
              <w:rPr>
                <w:rFonts w:hint="eastAsia" w:ascii="仿宋" w:hAnsi="仿宋" w:eastAsia="仿宋" w:cs="仿宋"/>
                <w:sz w:val="24"/>
                <w:szCs w:val="24"/>
                <w:lang w:val="en-US"/>
              </w:rPr>
              <w:t>6.申请对公钱包，并添加子钱包</w:t>
            </w:r>
          </w:p>
          <w:p>
            <w:pPr>
              <w:rPr>
                <w:rFonts w:hint="eastAsia" w:ascii="仿宋" w:hAnsi="仿宋" w:eastAsia="仿宋" w:cs="仿宋"/>
                <w:sz w:val="24"/>
                <w:szCs w:val="24"/>
                <w:lang w:val="en-US"/>
              </w:rPr>
            </w:pPr>
            <w:r>
              <w:rPr>
                <w:rFonts w:hint="eastAsia" w:ascii="仿宋" w:hAnsi="仿宋" w:eastAsia="仿宋" w:cs="仿宋"/>
                <w:sz w:val="24"/>
                <w:szCs w:val="24"/>
                <w:lang w:val="en-US"/>
              </w:rPr>
              <w:t>7.发布商品</w:t>
            </w:r>
          </w:p>
          <w:p>
            <w:pPr>
              <w:rPr>
                <w:rFonts w:hint="eastAsia" w:ascii="仿宋" w:hAnsi="仿宋" w:eastAsia="仿宋" w:cs="仿宋"/>
                <w:sz w:val="24"/>
                <w:szCs w:val="24"/>
                <w:lang w:val="en-US"/>
              </w:rPr>
            </w:pPr>
            <w:r>
              <w:rPr>
                <w:rFonts w:hint="eastAsia" w:ascii="仿宋" w:hAnsi="仿宋" w:eastAsia="仿宋" w:cs="仿宋"/>
                <w:sz w:val="24"/>
                <w:szCs w:val="24"/>
                <w:lang w:val="en-US"/>
              </w:rPr>
              <w:t>8.添加子钱包、购物并使用子钱包支付</w:t>
            </w:r>
          </w:p>
        </w:tc>
        <w:tc>
          <w:tcPr>
            <w:tcW w:w="714"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1.申请数字人民币钱包流程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2.接入支付流程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3.使用数字人民币子钱包购物流程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4.申请数字人民币钱包信息</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5.发布商品信息</w:t>
            </w:r>
          </w:p>
        </w:tc>
        <w:tc>
          <w:tcPr>
            <w:tcW w:w="1080"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遵循专业人才培养、专业教学计划，国家课程标准、行业标准、专业标准要求。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adjustRightInd w:val="0"/>
              <w:snapToGrid w:val="0"/>
              <w:rPr>
                <w:rFonts w:hint="eastAsia" w:ascii="仿宋" w:hAnsi="仿宋" w:eastAsia="仿宋" w:cs="仿宋"/>
                <w:b/>
                <w:color w:val="000000"/>
                <w:sz w:val="24"/>
                <w:szCs w:val="24"/>
                <w:lang w:val="en-US"/>
              </w:rPr>
            </w:pPr>
          </w:p>
        </w:tc>
        <w:tc>
          <w:tcPr>
            <w:tcW w:w="116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《中国数字人民币的研发进展白皮书》《中国金融移动支付 支付标记化技术规范》《中国金融移动支付 应用安全规范》《人民币跨境支付清算信息交换规范》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pPr>
              <w:rPr>
                <w:rFonts w:hint="eastAsia" w:ascii="仿宋" w:hAnsi="仿宋" w:eastAsia="仿宋" w:cs="仿宋"/>
                <w:color w:val="000000"/>
                <w:sz w:val="24"/>
                <w:szCs w:val="24"/>
                <w:lang w:val="en-US"/>
              </w:rPr>
            </w:pPr>
          </w:p>
        </w:tc>
      </w:tr>
    </w:tbl>
    <w:p>
      <w:pPr>
        <w:pStyle w:val="4"/>
        <w:tabs>
          <w:tab w:val="left" w:pos="0"/>
        </w:tabs>
        <w:spacing w:line="480" w:lineRule="exact"/>
        <w:rPr>
          <w:rFonts w:hint="eastAsia" w:ascii="仿宋" w:hAnsi="仿宋" w:eastAsia="仿宋" w:cs="仿宋"/>
          <w:lang w:val="en-US"/>
        </w:rPr>
      </w:pPr>
      <w:r>
        <w:rPr>
          <w:rFonts w:hint="eastAsia" w:ascii="仿宋" w:hAnsi="仿宋" w:eastAsia="仿宋" w:cs="仿宋"/>
          <w:lang w:val="en-US"/>
        </w:rPr>
        <w:t xml:space="preserve"> 银行业务数字化</w:t>
      </w:r>
    </w:p>
    <w:p>
      <w:pPr>
        <w:spacing w:line="480" w:lineRule="exact"/>
        <w:rPr>
          <w:rFonts w:hint="eastAsia" w:ascii="仿宋" w:hAnsi="仿宋" w:eastAsia="仿宋" w:cs="仿宋"/>
          <w:lang w:val="en-US"/>
        </w:rPr>
      </w:pPr>
      <w:r>
        <w:rPr>
          <w:rFonts w:hint="eastAsia" w:ascii="仿宋" w:hAnsi="仿宋" w:eastAsia="仿宋" w:cs="仿宋"/>
          <w:b/>
          <w:color w:val="000000"/>
          <w:sz w:val="24"/>
          <w:szCs w:val="24"/>
          <w:lang w:val="en-US"/>
        </w:rPr>
        <w:t>技能模块4任务分解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模块4</w:t>
            </w:r>
          </w:p>
        </w:tc>
        <w:tc>
          <w:tcPr>
            <w:tcW w:w="1222" w:type="pct"/>
            <w:gridSpan w:val="2"/>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银行业务数字化</w:t>
            </w:r>
          </w:p>
        </w:tc>
        <w:tc>
          <w:tcPr>
            <w:tcW w:w="1222" w:type="pct"/>
            <w:gridSpan w:val="2"/>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pPr>
              <w:pStyle w:val="10"/>
              <w:widowControl/>
              <w:spacing w:before="75" w:beforeAutospacing="0" w:after="75" w:afterAutospacing="0"/>
              <w:ind w:firstLine="480" w:firstLineChars="200"/>
              <w:rPr>
                <w:rFonts w:hint="eastAsia" w:ascii="仿宋" w:hAnsi="仿宋" w:eastAsia="仿宋" w:cs="仿宋"/>
                <w:color w:val="000000"/>
                <w:szCs w:val="24"/>
              </w:rPr>
            </w:pPr>
            <w:r>
              <w:rPr>
                <w:rFonts w:hint="eastAsia" w:ascii="仿宋" w:hAnsi="仿宋" w:eastAsia="仿宋" w:cs="仿宋"/>
                <w:color w:val="000000"/>
                <w:szCs w:val="24"/>
                <w:lang w:bidi="ar"/>
              </w:rPr>
              <w:t>个体经营早餐店的老板祝峰由于手术导致不能进行体力劳动，为了维持生计祝峰决定购买一辆30000.00元的小货车来帮助自己搬运重物。由于手术花掉了祝峰的所有积蓄，目前没有足够的现金购买小货车。于是车店老板建议祝峰申请个人消费贷款来购买这辆车。2023年4月6日，祝峰以本人身份填制并递交了个人信用报告本人查询申请表后，得到了中国人民银行的审批同意。</w:t>
            </w:r>
            <w:r>
              <w:rPr>
                <w:rFonts w:hint="eastAsia" w:ascii="仿宋" w:hAnsi="仿宋" w:eastAsia="仿宋" w:cs="仿宋"/>
                <w:color w:val="000000"/>
                <w:szCs w:val="24"/>
                <w:lang w:bidi="ar"/>
              </w:rPr>
              <w:br w:type="textWrapping"/>
            </w:r>
            <w:r>
              <w:rPr>
                <w:rFonts w:hint="eastAsia" w:ascii="仿宋" w:hAnsi="仿宋" w:eastAsia="仿宋" w:cs="仿宋"/>
                <w:color w:val="000000"/>
                <w:szCs w:val="24"/>
                <w:lang w:bidi="ar"/>
              </w:rPr>
              <w:t>       祝峰在查看了个人信用报告后，开始向商业银行进行个人贷款。祝峰当前的月收入为人民币6000.00元，祝峰由于经济条件限制没有可以担保的条件，所以他准备无担保贷款30000.00元9个月后还款，预计分期付款占月收入的比重为55.00%。祝峰处于经营需求申请贷款购买货车，所以勾选了“经营”作为贷款用途。祝峰在2023年4月9日填制了个人贷款申请表并上传了商业银行要求的祝峰个人信用报告及其他个人资料等待商业银行审核。</w:t>
            </w:r>
          </w:p>
          <w:tbl>
            <w:tblPr>
              <w:tblStyle w:val="13"/>
              <w:tblW w:w="4999"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3955"/>
              <w:gridCol w:w="3958"/>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年龄（岁）</w:t>
                  </w:r>
                </w:p>
              </w:tc>
              <w:tc>
                <w:tcPr>
                  <w:tcW w:w="2500"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47</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身份证号</w:t>
                  </w:r>
                </w:p>
              </w:tc>
              <w:tc>
                <w:tcPr>
                  <w:tcW w:w="2500"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511478197510151679</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电话</w:t>
                  </w:r>
                </w:p>
              </w:tc>
              <w:tc>
                <w:tcPr>
                  <w:tcW w:w="2500"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15245338182</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婚姻状况</w:t>
                  </w:r>
                </w:p>
              </w:tc>
              <w:tc>
                <w:tcPr>
                  <w:tcW w:w="2500"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已婚有子女</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身体状况</w:t>
                  </w:r>
                </w:p>
              </w:tc>
              <w:tc>
                <w:tcPr>
                  <w:tcW w:w="2500"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差</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文化程度</w:t>
                  </w:r>
                </w:p>
              </w:tc>
              <w:tc>
                <w:tcPr>
                  <w:tcW w:w="2500"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初等教育</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单位性质</w:t>
                  </w:r>
                </w:p>
              </w:tc>
              <w:tc>
                <w:tcPr>
                  <w:tcW w:w="2500"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个体</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职称</w:t>
                  </w:r>
                </w:p>
              </w:tc>
              <w:tc>
                <w:tcPr>
                  <w:tcW w:w="2500" w:type="pct"/>
                  <w:tcBorders>
                    <w:top w:val="single" w:color="A4A4A4" w:sz="8" w:space="0"/>
                    <w:left w:val="single" w:color="A4A4A4" w:sz="8" w:space="0"/>
                    <w:bottom w:val="single" w:color="A4A4A4" w:sz="8" w:space="0"/>
                    <w:right w:val="single" w:color="A4A4A4" w:sz="8" w:space="0"/>
                  </w:tcBorders>
                </w:tcPr>
                <w:p>
                  <w:pPr>
                    <w:pStyle w:val="10"/>
                    <w:widowControl/>
                    <w:spacing w:before="75" w:beforeAutospacing="0" w:after="75" w:afterAutospacing="0"/>
                    <w:rPr>
                      <w:rFonts w:hint="eastAsia" w:ascii="仿宋" w:hAnsi="仿宋" w:eastAsia="仿宋" w:cs="仿宋"/>
                    </w:rPr>
                  </w:pPr>
                  <w:r>
                    <w:rPr>
                      <w:rFonts w:hint="eastAsia" w:ascii="仿宋" w:hAnsi="仿宋" w:eastAsia="仿宋" w:cs="仿宋"/>
                      <w:szCs w:val="24"/>
                      <w:lang w:bidi="ar"/>
                    </w:rPr>
                    <w:t>初级职称</w:t>
                  </w:r>
                </w:p>
              </w:tc>
            </w:tr>
          </w:tbl>
          <w:p>
            <w:pPr>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近期国家推出了养老金个税减免政策，苏群准备2021年2月2日先申请了个人养老金账户，随后商业银行给予审批通过。2023年3月22日申请了2022年整个年度的养老金个税减免，2022年苏群缴费月度为12个月，年收入为150000元，税务局经过检查核实，给予苏群养老金个税减免审批通过。</w:t>
            </w:r>
          </w:p>
          <w:p>
            <w:pPr>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近期中国建设银行发现养老金投资的盈利市场，总经理经过分析后决定发布1种养老基金产品，产品名称为“双保险养老1号”，产品成立日期为2023年1月20日，产品存续时间为12个月，年化收益率为4.16%。苏群了解到双保险养老1号养老基金产品的收益率，打算购买此基金产品。当即制定养老金投资计划，投资方案名称为“双保险养老基金投资计划”，投资金额为10000元，投资时间为2023年1月30日。</w:t>
            </w:r>
          </w:p>
          <w:tbl>
            <w:tblPr>
              <w:tblStyle w:val="13"/>
              <w:tblW w:w="4998" w:type="pct"/>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3955"/>
              <w:gridCol w:w="3957"/>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姓名</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苏群</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身份证号码</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534245198112041696</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户籍户别</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本市（非城镇）户口</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联系地址</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云南省昆明市五华区</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户籍地址</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云南省昆明市五华区</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联系电话</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15339869237</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文化程度</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初等教育</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政治面貌</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群众</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缴费机构</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昆明智利投资有限公司</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缴费起始年月日</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2016年1月20日</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缴费基数（元）</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3250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缴费形式</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工作单位</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缴费卡银行</w:t>
                  </w:r>
                </w:p>
              </w:tc>
              <w:tc>
                <w:tcPr>
                  <w:tcW w:w="2500" w:type="pct"/>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中国建设银行</w:t>
                  </w:r>
                </w:p>
              </w:tc>
            </w:tr>
          </w:tbl>
          <w:p>
            <w:pPr>
              <w:ind w:firstLine="480" w:firstLineChars="200"/>
              <w:rPr>
                <w:rFonts w:hint="eastAsia" w:ascii="仿宋" w:hAnsi="仿宋" w:eastAsia="仿宋" w:cs="仿宋"/>
                <w:color w:val="000000"/>
                <w:sz w:val="24"/>
                <w:szCs w:val="24"/>
                <w:lang w:val="en-US"/>
              </w:rPr>
            </w:pPr>
            <w:r>
              <w:rPr>
                <w:rFonts w:hint="eastAsia" w:ascii="仿宋" w:hAnsi="仿宋" w:eastAsia="仿宋" w:cs="仿宋"/>
                <w:sz w:val="24"/>
                <w:szCs w:val="24"/>
                <w:lang w:val="en-US"/>
              </w:rPr>
              <w:t>养老理财产品市场目前有很大的盈利市场，商业银行客户经理李林林在近期准备推出一款银行理财产品，李林林根据银行风控系统，选取月收入大于等于1万且小于等于1.5万且职称为初级职称的用户建立一个名为“祥康养老理财用户”的用户群。为了更精确的锁定用户群体，李林林为“祥康养老理财用户”用户群创建了客户画像，并针对用户行为分析发现，做过2次以上理财风险评估的用户有很强的购买银行理财产品需求，随即李林林为“祥康养老理财用户”用户群制定了营销策略，策略名称为“祥康养老理财产品营销策略”，投资产品类型为“理财产品”，投资产品名称“祥康养老金理财产品”，产品具有资金门槛低、收益适中、安全性高、方便快捷的特点，并使用信息推送的促销策略。李林林在写业务营销方案时，主要突出了理财产品的资金门槛优势、安全性高、方便快捷，活动文案主要包含内容有活动截止时间、活动给出的优惠礼品等福利，完成营销策略的制定后，李林林在2023年4月10日海南省三亚市海棠区实施活动下线，以人员推销的方式力争完成用户群的精准营销，实现银行理财产品推广范围最大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adjustRightInd w:val="0"/>
              <w:snapToGrid w:val="0"/>
              <w:rPr>
                <w:rFonts w:hint="eastAsia" w:ascii="仿宋" w:hAnsi="仿宋" w:eastAsia="仿宋" w:cs="仿宋"/>
                <w:b/>
                <w:color w:val="000000"/>
                <w:sz w:val="24"/>
                <w:szCs w:val="24"/>
                <w:lang w:val="en-US"/>
              </w:rPr>
            </w:pPr>
          </w:p>
        </w:tc>
        <w:tc>
          <w:tcPr>
            <w:tcW w:w="652"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pPr>
              <w:snapToGrid w:val="0"/>
              <w:rPr>
                <w:rFonts w:hint="eastAsia" w:ascii="仿宋" w:hAnsi="仿宋" w:eastAsia="仿宋" w:cs="仿宋"/>
                <w:color w:val="000000"/>
                <w:sz w:val="24"/>
                <w:szCs w:val="24"/>
                <w:lang w:val="en-US"/>
              </w:rPr>
            </w:pPr>
            <w:r>
              <w:rPr>
                <w:rFonts w:hint="eastAsia" w:ascii="仿宋" w:hAnsi="仿宋" w:eastAsia="仿宋" w:cs="仿宋"/>
                <w:sz w:val="24"/>
                <w:szCs w:val="24"/>
                <w:lang w:val="en-US"/>
              </w:rPr>
              <w:t>运用数据采集技术和大数据风控技术，完成自然人信用管理（信用数据采集和报告查询）、完成面向个人消费金融贷款业务申请。</w:t>
            </w:r>
          </w:p>
        </w:tc>
        <w:tc>
          <w:tcPr>
            <w:tcW w:w="808" w:type="pct"/>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1.采集个人信用信息，形成个人信用报告</w:t>
            </w:r>
          </w:p>
          <w:p>
            <w:pPr>
              <w:rPr>
                <w:rFonts w:hint="eastAsia" w:ascii="仿宋" w:hAnsi="仿宋" w:eastAsia="仿宋" w:cs="仿宋"/>
                <w:sz w:val="24"/>
                <w:szCs w:val="24"/>
                <w:lang w:val="en-US"/>
              </w:rPr>
            </w:pPr>
            <w:r>
              <w:rPr>
                <w:rFonts w:hint="eastAsia" w:ascii="仿宋" w:hAnsi="仿宋" w:eastAsia="仿宋" w:cs="仿宋"/>
                <w:sz w:val="24"/>
                <w:szCs w:val="24"/>
                <w:lang w:val="en-US"/>
              </w:rPr>
              <w:t>2.审批个人信用报告申请</w:t>
            </w:r>
          </w:p>
          <w:p>
            <w:pPr>
              <w:rPr>
                <w:rFonts w:hint="eastAsia" w:ascii="仿宋" w:hAnsi="仿宋" w:eastAsia="仿宋" w:cs="仿宋"/>
                <w:sz w:val="24"/>
                <w:szCs w:val="24"/>
                <w:lang w:val="en-US"/>
              </w:rPr>
            </w:pPr>
            <w:r>
              <w:rPr>
                <w:rFonts w:hint="eastAsia" w:ascii="仿宋" w:hAnsi="仿宋" w:eastAsia="仿宋" w:cs="仿宋"/>
                <w:sz w:val="24"/>
                <w:szCs w:val="24"/>
                <w:lang w:val="en-US"/>
              </w:rPr>
              <w:t>3.申请个人消费贷款</w:t>
            </w:r>
          </w:p>
          <w:p>
            <w:pPr>
              <w:rPr>
                <w:rFonts w:hint="eastAsia" w:ascii="仿宋" w:hAnsi="仿宋" w:eastAsia="仿宋" w:cs="仿宋"/>
                <w:color w:val="000000"/>
                <w:sz w:val="24"/>
                <w:szCs w:val="24"/>
                <w:lang w:val="en-US"/>
              </w:rPr>
            </w:pPr>
          </w:p>
        </w:tc>
        <w:tc>
          <w:tcPr>
            <w:tcW w:w="714"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1.采集个人信用数据流程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2.获取个人信用报告流程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3.申请个人消费贷款流程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4.申请个人消费贷款信息</w:t>
            </w:r>
          </w:p>
        </w:tc>
        <w:tc>
          <w:tcPr>
            <w:tcW w:w="1080"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adjustRightInd w:val="0"/>
              <w:snapToGrid w:val="0"/>
              <w:rPr>
                <w:rFonts w:hint="eastAsia" w:ascii="仿宋" w:hAnsi="仿宋" w:eastAsia="仿宋" w:cs="仿宋"/>
                <w:b/>
                <w:color w:val="000000"/>
                <w:sz w:val="24"/>
                <w:szCs w:val="24"/>
                <w:lang w:val="en-US"/>
              </w:rPr>
            </w:pPr>
          </w:p>
        </w:tc>
        <w:tc>
          <w:tcPr>
            <w:tcW w:w="652"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spacing w:val="-3"/>
                <w:sz w:val="24"/>
                <w:szCs w:val="24"/>
                <w:lang w:val="en-US"/>
              </w:rPr>
              <w:t>完成个人养老金开户及理财投资、个人养老金个税减免</w:t>
            </w:r>
          </w:p>
        </w:tc>
        <w:tc>
          <w:tcPr>
            <w:tcW w:w="808"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1.个人养老金开户</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2.养老金开户审批</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3.申请养老金个税减免</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4.发布养老金理财产品和基金产品</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5.制定养老金投资方案</w:t>
            </w:r>
          </w:p>
        </w:tc>
        <w:tc>
          <w:tcPr>
            <w:tcW w:w="714"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1.个人养老金开户流程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2.个人养老金个税减免流程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3.制定养老金投资方案流程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4.理财产品信息</w:t>
            </w:r>
          </w:p>
        </w:tc>
        <w:tc>
          <w:tcPr>
            <w:tcW w:w="1080"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adjustRightInd w:val="0"/>
              <w:snapToGrid w:val="0"/>
              <w:rPr>
                <w:rFonts w:hint="eastAsia" w:ascii="仿宋" w:hAnsi="仿宋" w:eastAsia="仿宋" w:cs="仿宋"/>
                <w:b/>
                <w:color w:val="000000"/>
                <w:sz w:val="24"/>
                <w:szCs w:val="24"/>
                <w:lang w:val="en-US"/>
              </w:rPr>
            </w:pPr>
          </w:p>
        </w:tc>
        <w:tc>
          <w:tcPr>
            <w:tcW w:w="652"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子任务1-3</w:t>
            </w:r>
          </w:p>
        </w:tc>
        <w:tc>
          <w:tcPr>
            <w:tcW w:w="92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运用金融产品推广与营销技术完成金融活动实施业务</w:t>
            </w:r>
          </w:p>
        </w:tc>
        <w:tc>
          <w:tcPr>
            <w:tcW w:w="808"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1.金融产品客户画像分析</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2.营销方案设计</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3.业务营销方案撰写</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4.活动文案写作</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5.营销方案实施</w:t>
            </w:r>
          </w:p>
        </w:tc>
        <w:tc>
          <w:tcPr>
            <w:tcW w:w="714"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1.客户画像分析流程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2.营销方案设计流程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3.业务营销方案信息</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4.活动文案信息</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用户画像分析流程</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5.营销方案实施流程</w:t>
            </w:r>
          </w:p>
        </w:tc>
        <w:tc>
          <w:tcPr>
            <w:tcW w:w="1080" w:type="pct"/>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遵循专业人才培养、专业教学计划，国家课程标准、行业标准、专业标准要求。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adjustRightInd w:val="0"/>
              <w:snapToGrid w:val="0"/>
              <w:rPr>
                <w:rFonts w:hint="eastAsia" w:ascii="仿宋" w:hAnsi="仿宋" w:eastAsia="仿宋" w:cs="仿宋"/>
                <w:b/>
                <w:color w:val="000000"/>
                <w:sz w:val="24"/>
                <w:szCs w:val="24"/>
                <w:lang w:val="en-US"/>
              </w:rPr>
            </w:pPr>
          </w:p>
        </w:tc>
        <w:tc>
          <w:tcPr>
            <w:tcW w:w="1164" w:type="pct"/>
            <w:gridSpan w:val="2"/>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pPr>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JR/T 0068—2020</w:t>
            </w:r>
            <w:r>
              <w:rPr>
                <w:rFonts w:hint="eastAsia" w:ascii="仿宋" w:hAnsi="仿宋" w:eastAsia="仿宋" w:cs="仿宋"/>
                <w:sz w:val="24"/>
                <w:szCs w:val="24"/>
                <w:lang w:val="en-US"/>
              </w:rPr>
              <w:t xml:space="preserve">  </w:t>
            </w:r>
            <w:r>
              <w:rPr>
                <w:rFonts w:hint="eastAsia" w:ascii="仿宋" w:hAnsi="仿宋" w:eastAsia="仿宋" w:cs="仿宋"/>
                <w:sz w:val="24"/>
                <w:szCs w:val="24"/>
              </w:rPr>
              <w:t>网上银行系统信息安全通用规范</w:t>
            </w:r>
            <w:r>
              <w:rPr>
                <w:rFonts w:hint="eastAsia" w:ascii="仿宋" w:hAnsi="仿宋" w:eastAsia="仿宋" w:cs="仿宋"/>
                <w:sz w:val="24"/>
                <w:szCs w:val="24"/>
              </w:rPr>
              <w:br w:type="textWrapping"/>
            </w:r>
            <w:r>
              <w:rPr>
                <w:rFonts w:hint="eastAsia" w:ascii="仿宋" w:hAnsi="仿宋" w:eastAsia="仿宋" w:cs="仿宋"/>
                <w:sz w:val="24"/>
                <w:szCs w:val="24"/>
              </w:rPr>
              <w:t>2</w:t>
            </w:r>
            <w:r>
              <w:rPr>
                <w:rFonts w:hint="eastAsia" w:ascii="仿宋" w:hAnsi="仿宋" w:eastAsia="仿宋" w:cs="仿宋"/>
                <w:sz w:val="24"/>
                <w:szCs w:val="24"/>
                <w:lang w:val="en-US"/>
              </w:rPr>
              <w:t>.</w:t>
            </w:r>
            <w:r>
              <w:rPr>
                <w:rFonts w:hint="eastAsia" w:ascii="仿宋" w:hAnsi="仿宋" w:eastAsia="仿宋" w:cs="仿宋"/>
                <w:sz w:val="24"/>
                <w:szCs w:val="24"/>
              </w:rPr>
              <w:t>JR/T 0116-2014</w:t>
            </w:r>
            <w:r>
              <w:rPr>
                <w:rFonts w:hint="eastAsia" w:ascii="仿宋" w:hAnsi="仿宋" w:eastAsia="仿宋" w:cs="仿宋"/>
                <w:sz w:val="24"/>
                <w:szCs w:val="24"/>
                <w:lang w:val="en-US"/>
              </w:rPr>
              <w:t xml:space="preserve">  </w:t>
            </w:r>
            <w:r>
              <w:rPr>
                <w:rFonts w:hint="eastAsia" w:ascii="仿宋" w:hAnsi="仿宋" w:eastAsia="仿宋" w:cs="仿宋"/>
                <w:sz w:val="24"/>
                <w:szCs w:val="24"/>
              </w:rPr>
              <w:t>银行业标准化工作指南</w:t>
            </w:r>
          </w:p>
          <w:p>
            <w:pPr>
              <w:rPr>
                <w:rFonts w:hint="eastAsia" w:ascii="仿宋" w:hAnsi="仿宋" w:eastAsia="仿宋" w:cs="仿宋"/>
                <w:color w:val="000000"/>
                <w:sz w:val="24"/>
                <w:szCs w:val="24"/>
                <w:lang w:val="en-US"/>
              </w:rPr>
            </w:pPr>
            <w:r>
              <w:rPr>
                <w:rFonts w:hint="eastAsia" w:ascii="仿宋" w:hAnsi="仿宋" w:eastAsia="仿宋" w:cs="仿宋"/>
                <w:sz w:val="24"/>
                <w:szCs w:val="24"/>
                <w:lang w:val="en-US"/>
              </w:rPr>
              <w:t>3.</w:t>
            </w:r>
            <w:r>
              <w:rPr>
                <w:rFonts w:hint="eastAsia" w:ascii="仿宋" w:hAnsi="仿宋" w:eastAsia="仿宋" w:cs="仿宋"/>
                <w:sz w:val="24"/>
                <w:szCs w:val="24"/>
              </w:rPr>
              <w:t>GB/T 40474-2021</w:t>
            </w:r>
            <w:r>
              <w:rPr>
                <w:rFonts w:hint="eastAsia" w:ascii="仿宋" w:hAnsi="仿宋" w:eastAsia="仿宋" w:cs="仿宋"/>
                <w:sz w:val="24"/>
                <w:szCs w:val="24"/>
                <w:lang w:val="en-US"/>
              </w:rPr>
              <w:t xml:space="preserve">  </w:t>
            </w:r>
            <w:r>
              <w:rPr>
                <w:rFonts w:hint="eastAsia" w:ascii="仿宋" w:hAnsi="仿宋" w:eastAsia="仿宋" w:cs="仿宋"/>
                <w:sz w:val="24"/>
                <w:szCs w:val="24"/>
              </w:rPr>
              <w:t>银行业应用系统 代码与编码处置指南</w:t>
            </w:r>
            <w:r>
              <w:rPr>
                <w:rFonts w:hint="eastAsia" w:ascii="仿宋" w:hAnsi="仿宋" w:eastAsia="仿宋" w:cs="仿宋"/>
                <w:sz w:val="24"/>
                <w:szCs w:val="24"/>
              </w:rPr>
              <w:br w:type="textWrapping"/>
            </w:r>
            <w:r>
              <w:rPr>
                <w:rFonts w:hint="eastAsia" w:ascii="仿宋" w:hAnsi="仿宋" w:eastAsia="仿宋" w:cs="仿宋"/>
                <w:sz w:val="24"/>
                <w:szCs w:val="24"/>
                <w:lang w:val="en-US"/>
              </w:rPr>
              <w:t>4.</w:t>
            </w:r>
            <w:r>
              <w:rPr>
                <w:rFonts w:hint="eastAsia" w:ascii="仿宋" w:hAnsi="仿宋" w:eastAsia="仿宋" w:cs="仿宋"/>
                <w:sz w:val="24"/>
                <w:szCs w:val="24"/>
              </w:rPr>
              <w:t>GB/T 32315-2015</w:t>
            </w:r>
            <w:r>
              <w:rPr>
                <w:rFonts w:hint="eastAsia" w:ascii="仿宋" w:hAnsi="仿宋" w:eastAsia="仿宋" w:cs="仿宋"/>
                <w:sz w:val="24"/>
                <w:szCs w:val="24"/>
                <w:lang w:val="en-US"/>
              </w:rPr>
              <w:t xml:space="preserve">  </w:t>
            </w:r>
            <w:r>
              <w:rPr>
                <w:rFonts w:hint="eastAsia" w:ascii="仿宋" w:hAnsi="仿宋" w:eastAsia="仿宋" w:cs="仿宋"/>
                <w:sz w:val="24"/>
                <w:szCs w:val="24"/>
              </w:rPr>
              <w:t>银行业客户服务中心基本要求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pP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adjustRightInd w:val="0"/>
              <w:snapToGrid w:val="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pPr>
              <w:rPr>
                <w:rFonts w:hint="eastAsia" w:ascii="仿宋" w:hAnsi="仿宋" w:eastAsia="仿宋" w:cs="仿宋"/>
                <w:color w:val="000000"/>
                <w:sz w:val="24"/>
                <w:szCs w:val="24"/>
                <w:lang w:val="en-US"/>
              </w:rPr>
            </w:pPr>
          </w:p>
        </w:tc>
      </w:tr>
    </w:tbl>
    <w:p>
      <w:pPr>
        <w:pStyle w:val="4"/>
        <w:tabs>
          <w:tab w:val="left" w:pos="0"/>
        </w:tabs>
        <w:spacing w:line="480" w:lineRule="exact"/>
        <w:rPr>
          <w:rFonts w:hint="eastAsia" w:ascii="仿宋" w:hAnsi="仿宋" w:eastAsia="仿宋" w:cs="仿宋"/>
          <w:lang w:val="en-US"/>
        </w:rPr>
      </w:pPr>
      <w:r>
        <w:rPr>
          <w:rFonts w:hint="eastAsia" w:ascii="仿宋" w:hAnsi="仿宋" w:eastAsia="仿宋" w:cs="仿宋"/>
          <w:lang w:val="en-US"/>
        </w:rPr>
        <w:t>证券业务数字化</w:t>
      </w:r>
    </w:p>
    <w:p>
      <w:pPr>
        <w:spacing w:line="480" w:lineRule="exact"/>
        <w:rPr>
          <w:rFonts w:hint="eastAsia" w:ascii="仿宋" w:hAnsi="仿宋" w:eastAsia="仿宋" w:cs="仿宋"/>
          <w:lang w:val="en-US"/>
        </w:rPr>
      </w:pPr>
      <w:r>
        <w:rPr>
          <w:rFonts w:hint="eastAsia" w:ascii="仿宋" w:hAnsi="仿宋" w:eastAsia="仿宋" w:cs="仿宋"/>
          <w:b/>
          <w:color w:val="000000"/>
          <w:sz w:val="24"/>
          <w:szCs w:val="24"/>
          <w:lang w:val="en-US"/>
        </w:rPr>
        <w:t>技能模块5任务分解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模块5</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证券业务数字化</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张华同学是一名大四的学生，他今年学习了证券投资基金组合和期货交易基础知识，目前在一家证券公司实习，张华实习的主要工作内容是基金代销，面对公司不同客户的投资理财需求，张华同学想到在学校学习的投资组合知识，希望配置一款在尽可能稳定风险的情况下，提高收益的投资组合，于是张华在用户数据库中筛选出了可用资产在“大于等于500万元小于1000万元”的用户，并为该用户群命名为“高净值客户群”，接着张华为“高净值客户群”设计了一套金融服务方案，方案投资组合预计收益率将达到31%、预计波动率控制在14%之内；投资组合的基金投资现金管理类占比15%、固定收益类占比25%、权益收益类占比35%、另类及其他25%。张华在构建投资组合中设定预计收益率达到了31%以上，波动率保持在14%以下，并且将该投资组合命名为“高收益型投资组合”。为了提高收益率，张华进一步调整了投资组合的个别基金，最终将投资组合的模拟年化收益率调整到35%以上，模拟波动率保持在18%以下。完成投资组合构建后，张华查看了“高收益型投资组合”的业绩报告。</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接下来张华选择“智能投研人员”对不同行业进行分析，根据当前的行业热点，张华选择对“小米概念、鸿蒙概念、苹果概念”三个行业进行市场分析并出具投研报告。完成三个行业的分析后，张华仔细查看了针对三个行业出具的投研报告。在完成本职工作后，张华以“程序化交易人员”的操作角色尝试进行量化交易策略设置，张华创建投资策略“参考策略”，并且设定KDJ曲线形态出现卖出信号时卖出，KDJ曲线形态出现买入信号并且5日涨幅大于7%时买入，设置策略最大止损点为5%，策略最大止盈点为15%。在进行选股之前，张华查看了“英科医疗、华大基因”这两家公司的财务分析报告。筛选出了上海证券交易所和深圳证券交易所流通市值大于10亿元的股票，在筛选出的股票中选择了“英科医疗、华大基因、北新建材”共3支股票进行策略构建，并将策略进行回测，回测时间段内的累计收益率达到了13.56%以上，最大回撤在2.70%以内。张华在进行参数优化后，模拟应用检验的累计收益率达到17.30%以上，最大回撤不超过3.00%。在将各项数据调试到预期水平后，对该策略进行了跟踪监测。</w:t>
            </w:r>
          </w:p>
          <w:p>
            <w:pPr>
              <w:pStyle w:val="12"/>
              <w:spacing w:after="0"/>
              <w:ind w:left="0" w:leftChars="0" w:firstLine="480"/>
              <w:rPr>
                <w:rFonts w:hint="eastAsia" w:ascii="仿宋" w:hAnsi="仿宋" w:eastAsia="仿宋" w:cs="仿宋"/>
                <w:sz w:val="24"/>
                <w:szCs w:val="24"/>
                <w:lang w:val="en-US"/>
              </w:rPr>
            </w:pPr>
            <w:r>
              <w:rPr>
                <w:rFonts w:hint="eastAsia" w:ascii="仿宋" w:hAnsi="仿宋" w:eastAsia="仿宋" w:cs="仿宋"/>
                <w:sz w:val="24"/>
                <w:szCs w:val="24"/>
                <w:lang w:val="en-US"/>
              </w:rPr>
              <w:t>为提升基金销售业绩，丰富基金销售渠道，基金管理人委托基金销售机构代销“富国灵活配置混合A”基金，并根据协商的代销条件签订了委托代销协议；基金销售机构获得该基金的代销权后根据基金的面向人群制定了名为“富国灵活配置混合A客户服务计划”的个性化服务方案，该方案根据客户的年龄、性别、婚姻状况、教育程度、职业状况、家庭收入、个人收入等信息制作了投资者风险承受能力问卷设计，并为每个问卷得分区间设定了风险等级以及每个风险等级推荐买入的基金类型。</w:t>
            </w:r>
          </w:p>
          <w:p>
            <w:pPr>
              <w:pStyle w:val="12"/>
              <w:spacing w:after="0"/>
              <w:ind w:left="0" w:leftChars="0" w:firstLine="480"/>
              <w:rPr>
                <w:rFonts w:hint="eastAsia" w:ascii="仿宋" w:hAnsi="仿宋" w:eastAsia="仿宋" w:cs="仿宋"/>
                <w:color w:val="000000"/>
                <w:sz w:val="24"/>
                <w:szCs w:val="24"/>
                <w:lang w:val="en-US"/>
              </w:rPr>
            </w:pPr>
            <w:r>
              <w:rPr>
                <w:rFonts w:hint="eastAsia" w:ascii="仿宋" w:hAnsi="仿宋" w:eastAsia="仿宋" w:cs="仿宋"/>
                <w:sz w:val="24"/>
                <w:szCs w:val="24"/>
                <w:lang w:val="en-US"/>
              </w:rPr>
              <w:t>基金销售机构希望通过制定营销活动来提高基金销售转化率，首先基金销售机构对“</w:t>
            </w:r>
            <w:r>
              <w:rPr>
                <w:rFonts w:hint="eastAsia" w:ascii="仿宋" w:hAnsi="仿宋" w:eastAsia="仿宋" w:cs="仿宋"/>
                <w:color w:val="000000"/>
                <w:sz w:val="24"/>
                <w:szCs w:val="24"/>
                <w:lang w:val="en-US"/>
              </w:rPr>
              <w:t>高净值客户群</w:t>
            </w:r>
            <w:r>
              <w:rPr>
                <w:rFonts w:hint="eastAsia" w:ascii="仿宋" w:hAnsi="仿宋" w:eastAsia="仿宋" w:cs="仿宋"/>
                <w:sz w:val="24"/>
                <w:szCs w:val="24"/>
                <w:lang w:val="en-US"/>
              </w:rPr>
              <w:t>”进行了用户画像分析，对用户的个人属性信息进行了分析；接着基金销售机构针对用户群的特征制定了名为“</w:t>
            </w:r>
            <w:r>
              <w:rPr>
                <w:rFonts w:hint="eastAsia" w:ascii="仿宋" w:hAnsi="仿宋" w:eastAsia="仿宋" w:cs="仿宋"/>
                <w:color w:val="000000"/>
                <w:sz w:val="24"/>
                <w:szCs w:val="24"/>
                <w:lang w:val="en-US"/>
              </w:rPr>
              <w:t>高净值客户群</w:t>
            </w:r>
            <w:r>
              <w:rPr>
                <w:rFonts w:hint="eastAsia" w:ascii="仿宋" w:hAnsi="仿宋" w:eastAsia="仿宋" w:cs="仿宋"/>
                <w:sz w:val="24"/>
                <w:szCs w:val="24"/>
                <w:lang w:val="en-US"/>
              </w:rPr>
              <w:t>营销策略”的营销方案，营销方案通过广告、推介会、座谈会、网络推销等方式推广基金产品的团队稳定性、业绩稳定性、风险把控、费率、流动性等方面信息；根据客户群不同的职业类型从不同的投资方式入手制定了业务营销方案；最后基金销售机构根据产品特性和营销策略编写了营销活动文案；营销方案审核完成后，基金销售机构于2023年8月1日在“第三方短视频平台”举办了线上推介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利用大数据分析、智能化算法等工具，进行投资者分析, 提供个性化、自动化的理财服务</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1.精准选择客户</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w:t>
            </w:r>
            <w:r>
              <w:rPr>
                <w:rFonts w:hint="eastAsia" w:ascii="仿宋" w:hAnsi="仿宋" w:eastAsia="仿宋" w:cs="仿宋"/>
                <w:spacing w:val="-3"/>
                <w:sz w:val="24"/>
                <w:szCs w:val="24"/>
                <w:lang w:val="en-US"/>
              </w:rPr>
              <w:t>设计金融服务方案</w:t>
            </w:r>
          </w:p>
          <w:p>
            <w:pPr>
              <w:pStyle w:val="12"/>
              <w:spacing w:after="0"/>
              <w:ind w:left="0" w:leftChars="0" w:firstLine="0" w:firstLineChars="0"/>
              <w:rPr>
                <w:rFonts w:hint="eastAsia" w:ascii="仿宋" w:hAnsi="仿宋" w:eastAsia="仿宋" w:cs="仿宋"/>
                <w:spacing w:val="-3"/>
                <w:sz w:val="24"/>
                <w:szCs w:val="24"/>
                <w:lang w:val="en-US"/>
              </w:rPr>
            </w:pPr>
            <w:r>
              <w:rPr>
                <w:rFonts w:hint="eastAsia" w:ascii="仿宋" w:hAnsi="仿宋" w:eastAsia="仿宋" w:cs="仿宋"/>
                <w:color w:val="000000"/>
                <w:sz w:val="24"/>
                <w:szCs w:val="24"/>
                <w:lang w:val="en-US"/>
              </w:rPr>
              <w:t>3.</w:t>
            </w:r>
            <w:r>
              <w:rPr>
                <w:rFonts w:hint="eastAsia" w:ascii="仿宋" w:hAnsi="仿宋" w:eastAsia="仿宋" w:cs="仿宋"/>
                <w:spacing w:val="-3"/>
                <w:sz w:val="24"/>
                <w:szCs w:val="24"/>
                <w:lang w:val="en-US"/>
              </w:rPr>
              <w:t>构建投资组合</w:t>
            </w:r>
          </w:p>
          <w:p>
            <w:pPr>
              <w:pStyle w:val="12"/>
              <w:spacing w:after="0"/>
              <w:ind w:left="0" w:leftChars="0" w:firstLine="0" w:firstLineChars="0"/>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4.投资组合调仓</w:t>
            </w:r>
          </w:p>
          <w:p>
            <w:pPr>
              <w:pStyle w:val="12"/>
              <w:spacing w:after="0"/>
              <w:ind w:left="0" w:leftChars="0" w:firstLine="0" w:firstLineChars="0"/>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5.获取投资业绩报告</w:t>
            </w:r>
          </w:p>
          <w:p>
            <w:pPr>
              <w:pStyle w:val="12"/>
              <w:spacing w:after="0"/>
              <w:ind w:left="0" w:leftChars="0" w:firstLine="0" w:firstLineChars="0"/>
              <w:rPr>
                <w:rFonts w:hint="eastAsia" w:ascii="仿宋" w:hAnsi="仿宋" w:eastAsia="仿宋" w:cs="仿宋"/>
                <w:spacing w:val="-3"/>
                <w:sz w:val="24"/>
                <w:szCs w:val="24"/>
                <w:lang w:val="en-US"/>
              </w:rPr>
            </w:pP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1.客户群筛选信息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2.金融服务方案信息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3.投资组合构建方案信息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4.投资组合调仓流程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5.智能投顾业务流程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运用投资分析、资产配置技术完成智能投研业务</w:t>
            </w:r>
          </w:p>
        </w:tc>
        <w:tc>
          <w:tcPr>
            <w:tcW w:w="808"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1.整合市场信息</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2.分析市场投资情绪</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3.输出投研报告</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1.市场信息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2.分析市场情绪流程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3.智能投研业务流程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子任务1-3</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运用证券投资分析、量化投资、金融风险管理技术完成</w:t>
            </w:r>
            <w:r>
              <w:rPr>
                <w:rFonts w:hint="eastAsia" w:ascii="仿宋" w:hAnsi="仿宋" w:eastAsia="仿宋" w:cs="仿宋"/>
                <w:spacing w:val="-3"/>
                <w:sz w:val="24"/>
                <w:szCs w:val="24"/>
                <w:lang w:val="en-US"/>
              </w:rPr>
              <w:t>程序化交易业务</w:t>
            </w:r>
          </w:p>
        </w:tc>
        <w:tc>
          <w:tcPr>
            <w:tcW w:w="808"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1.制定交易策略</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2.财务分析</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3.证券产品分析与交易</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4.历史数据回测</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5.参数优化</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6.模拟应用检验</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7.跟踪监测</w:t>
            </w:r>
          </w:p>
        </w:tc>
        <w:tc>
          <w:tcPr>
            <w:tcW w:w="714"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1.交易策略信息</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2.财务分析流程</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3.条件选股信息</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4.参数优化信息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bidi="ar-SA"/>
              </w:rPr>
              <w:t>5.</w:t>
            </w:r>
            <w:r>
              <w:rPr>
                <w:rFonts w:hint="eastAsia" w:ascii="仿宋" w:hAnsi="仿宋" w:eastAsia="仿宋" w:cs="仿宋"/>
                <w:spacing w:val="-3"/>
                <w:sz w:val="24"/>
                <w:szCs w:val="24"/>
                <w:lang w:val="en-US"/>
              </w:rPr>
              <w:t>程序化交易流程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子任务1-4</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运用金融营销、客户开发与服务技术完成互联网基金销售及个性化服务</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1.签订基金代销协议</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2.制定客户服务计划</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1.互联网基金销售流程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2.客户服务计划信息</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子任务1-5</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运用金融产品推广与营销技术完成证券产品营销业务</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1.证券产品客户画像分析</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2.营销方案设计</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3.业务营销方案撰写</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4.活动文案写作</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5.营销方案实施</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1.客户画像分析流程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2.营销方案设计流程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3.业务营销方案信息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4.活动文案信息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5.营销方案实施流程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1. 为客户提供证券经纪、期货经纪、投资分析、投资咨询等服务的能力；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2. 为客户进行理财规划和配置资产的能力；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3. 向客户进行金融产品推广和营销的能力；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4. 使用办公软件、行情软件、客服软件等处理信息技术的能力；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5. 使用金融领域基本数字化工具的能力；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6. 依照证券市场基本法律法规、行业相关绿色生产、安全防护、质量管理等要求办理相关业务的能力；</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lang w:val="en-US"/>
              </w:rPr>
              <w:t>7. 运用创新意识、互联网思维研究并解决问题的能力；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1.</w:t>
            </w:r>
            <w:r>
              <w:rPr>
                <w:rFonts w:hint="eastAsia" w:ascii="仿宋" w:hAnsi="仿宋" w:eastAsia="仿宋" w:cs="仿宋"/>
                <w:sz w:val="24"/>
                <w:szCs w:val="24"/>
              </w:rPr>
              <w:t>JR/T 0175—2019</w:t>
            </w:r>
            <w:r>
              <w:rPr>
                <w:rFonts w:hint="eastAsia" w:ascii="仿宋" w:hAnsi="仿宋" w:eastAsia="仿宋" w:cs="仿宋"/>
                <w:sz w:val="24"/>
                <w:szCs w:val="24"/>
                <w:lang w:val="en-US"/>
              </w:rPr>
              <w:t xml:space="preserve">  证券期货业软件测试规范</w:t>
            </w:r>
          </w:p>
          <w:p>
            <w:pPr>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JR/T 0112—2014</w:t>
            </w:r>
            <w:r>
              <w:rPr>
                <w:rFonts w:hint="eastAsia" w:ascii="仿宋" w:hAnsi="仿宋" w:eastAsia="仿宋" w:cs="仿宋"/>
                <w:sz w:val="24"/>
                <w:szCs w:val="24"/>
                <w:lang w:val="en-US"/>
              </w:rPr>
              <w:t xml:space="preserve">  证券期货业信息系统审计规范</w:t>
            </w:r>
          </w:p>
          <w:p>
            <w:pPr>
              <w:rPr>
                <w:rFonts w:hint="eastAsia" w:ascii="仿宋" w:hAnsi="仿宋" w:eastAsia="仿宋" w:cs="仿宋"/>
                <w:sz w:val="24"/>
                <w:szCs w:val="24"/>
                <w:lang w:val="en-US"/>
              </w:rPr>
            </w:pPr>
            <w:r>
              <w:rPr>
                <w:rFonts w:hint="eastAsia" w:ascii="仿宋" w:hAnsi="仿宋" w:eastAsia="仿宋" w:cs="仿宋"/>
                <w:sz w:val="24"/>
                <w:szCs w:val="24"/>
                <w:lang w:val="en-US"/>
              </w:rPr>
              <w:t>3.</w:t>
            </w:r>
            <w:r>
              <w:rPr>
                <w:rFonts w:hint="eastAsia" w:ascii="仿宋" w:hAnsi="仿宋" w:eastAsia="仿宋" w:cs="仿宋"/>
                <w:sz w:val="24"/>
                <w:szCs w:val="24"/>
              </w:rPr>
              <w:t>JR/T 0192—2020</w:t>
            </w:r>
            <w:r>
              <w:rPr>
                <w:rFonts w:hint="eastAsia" w:ascii="仿宋" w:hAnsi="仿宋" w:eastAsia="仿宋" w:cs="仿宋"/>
                <w:sz w:val="24"/>
                <w:szCs w:val="24"/>
                <w:lang w:val="en-US"/>
              </w:rPr>
              <w:t xml:space="preserve">  证券期货业移动互联网应用程序安全规范</w:t>
            </w:r>
          </w:p>
          <w:p>
            <w:pPr>
              <w:rPr>
                <w:rFonts w:hint="eastAsia" w:ascii="仿宋" w:hAnsi="仿宋" w:eastAsia="仿宋" w:cs="仿宋"/>
                <w:color w:val="000000"/>
                <w:sz w:val="24"/>
                <w:szCs w:val="24"/>
                <w:lang w:val="en-US"/>
              </w:rPr>
            </w:pPr>
            <w:r>
              <w:rPr>
                <w:rFonts w:hint="eastAsia" w:ascii="仿宋" w:hAnsi="仿宋" w:eastAsia="仿宋" w:cs="仿宋"/>
                <w:sz w:val="24"/>
                <w:szCs w:val="24"/>
                <w:lang w:val="en-US"/>
              </w:rPr>
              <w:t>4.</w:t>
            </w:r>
            <w:r>
              <w:rPr>
                <w:rFonts w:hint="eastAsia" w:ascii="仿宋" w:hAnsi="仿宋" w:eastAsia="仿宋" w:cs="仿宋"/>
                <w:sz w:val="24"/>
                <w:szCs w:val="24"/>
              </w:rPr>
              <w:t>JR/T 0191—2020</w:t>
            </w:r>
            <w:r>
              <w:rPr>
                <w:rFonts w:hint="eastAsia" w:ascii="仿宋" w:hAnsi="仿宋" w:eastAsia="仿宋" w:cs="仿宋"/>
                <w:sz w:val="24"/>
                <w:szCs w:val="24"/>
                <w:lang w:val="en-US"/>
              </w:rPr>
              <w:t xml:space="preserve">  证券期货业软件测试指南 软件安全测试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p>
        </w:tc>
      </w:tr>
    </w:tbl>
    <w:p>
      <w:pPr>
        <w:pStyle w:val="4"/>
        <w:tabs>
          <w:tab w:val="left" w:pos="0"/>
        </w:tabs>
        <w:spacing w:line="480" w:lineRule="exact"/>
        <w:rPr>
          <w:rFonts w:hint="eastAsia" w:ascii="仿宋" w:hAnsi="仿宋" w:eastAsia="仿宋" w:cs="仿宋"/>
          <w:lang w:val="en-US"/>
        </w:rPr>
      </w:pPr>
      <w:r>
        <w:rPr>
          <w:rFonts w:hint="eastAsia" w:ascii="仿宋" w:hAnsi="仿宋" w:eastAsia="仿宋" w:cs="仿宋"/>
          <w:lang w:val="en-US"/>
        </w:rPr>
        <w:t>保险业务数字化</w:t>
      </w:r>
    </w:p>
    <w:p>
      <w:pPr>
        <w:spacing w:line="480" w:lineRule="exact"/>
        <w:rPr>
          <w:rFonts w:hint="eastAsia" w:ascii="仿宋" w:hAnsi="仿宋" w:eastAsia="仿宋" w:cs="仿宋"/>
          <w:lang w:val="en-US"/>
        </w:rPr>
      </w:pPr>
      <w:r>
        <w:rPr>
          <w:rFonts w:hint="eastAsia" w:ascii="仿宋" w:hAnsi="仿宋" w:eastAsia="仿宋" w:cs="仿宋"/>
          <w:b/>
          <w:color w:val="000000"/>
          <w:sz w:val="24"/>
          <w:szCs w:val="24"/>
          <w:lang w:val="en-US"/>
        </w:rPr>
        <w:t xml:space="preserve"> 技能模块6任务分解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模块6</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保险业务数字化</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pPr>
              <w:pStyle w:val="10"/>
              <w:widowControl/>
              <w:spacing w:before="0" w:beforeAutospacing="0" w:after="0" w:afterAutospacing="0"/>
              <w:ind w:firstLine="480" w:firstLineChars="200"/>
              <w:rPr>
                <w:rFonts w:hint="eastAsia" w:ascii="仿宋" w:hAnsi="仿宋" w:eastAsia="仿宋" w:cs="仿宋"/>
                <w:szCs w:val="24"/>
              </w:rPr>
            </w:pPr>
            <w:r>
              <w:rPr>
                <w:rFonts w:hint="eastAsia" w:ascii="仿宋" w:hAnsi="仿宋" w:eastAsia="仿宋" w:cs="仿宋"/>
                <w:szCs w:val="24"/>
              </w:rPr>
              <w:t>保险客户李明宇2023年6月1日在数字健康险平台申请投保了数字健康险，分别选择了保障范围为保额1万的意外伤害医疗（含门诊及住院）、保额1万的意外和疾病住院和保额150元/天的意外住院津贴，并进行了数据授权，数字健康险平台收到投保信息后核查客户信息，选择标准体承保。</w:t>
            </w:r>
          </w:p>
          <w:p>
            <w:pPr>
              <w:pStyle w:val="10"/>
              <w:widowControl/>
              <w:spacing w:before="0" w:beforeAutospacing="0" w:after="0" w:afterAutospacing="0"/>
              <w:ind w:firstLine="480" w:firstLineChars="200"/>
              <w:rPr>
                <w:rFonts w:hint="eastAsia" w:ascii="仿宋" w:hAnsi="仿宋" w:eastAsia="仿宋" w:cs="仿宋"/>
                <w:szCs w:val="24"/>
              </w:rPr>
            </w:pPr>
            <w:r>
              <w:rPr>
                <w:rFonts w:hint="eastAsia" w:ascii="仿宋" w:hAnsi="仿宋" w:eastAsia="仿宋" w:cs="仿宋"/>
                <w:szCs w:val="24"/>
              </w:rPr>
              <w:t>2023年8月3日，李明宇连续加班一个月后感觉身体不适，于是去医院就诊申请医疗检查，检查结果显示李明宇身体较弱，医院当天完成检查后马上去内科进行详细诊断，诊断结果显示患有良性肿瘤，医院随即安排2023年8月4日入院治疗，8月10日完成治疗出院，收取治疗费用合计13000元，数字健康险平台识别到李明宇的治疗信息后为李明宇进行无感理赔。</w:t>
            </w:r>
            <w:r>
              <w:rPr>
                <w:rFonts w:hint="eastAsia" w:ascii="仿宋" w:hAnsi="仿宋" w:eastAsia="仿宋" w:cs="仿宋"/>
                <w:color w:val="000000"/>
                <w:szCs w:val="24"/>
                <w:lang w:bidi="ar"/>
              </w:rPr>
              <w:t>（性别：男，年龄：29，联系电话：13789563576，家庭住址：江西省南昌市东湖区，职业：</w:t>
            </w:r>
            <w:r>
              <w:rPr>
                <w:rFonts w:hint="eastAsia" w:ascii="仿宋" w:hAnsi="仿宋" w:eastAsia="仿宋" w:cs="仿宋"/>
              </w:rPr>
              <w:t>专业技术人员</w:t>
            </w:r>
            <w:r>
              <w:rPr>
                <w:rFonts w:hint="eastAsia" w:ascii="仿宋" w:hAnsi="仿宋" w:eastAsia="仿宋" w:cs="仿宋"/>
                <w:color w:val="000000"/>
                <w:szCs w:val="24"/>
                <w:lang w:bidi="ar"/>
              </w:rPr>
              <w:t>）</w:t>
            </w:r>
          </w:p>
          <w:p>
            <w:pPr>
              <w:pStyle w:val="10"/>
              <w:widowControl/>
              <w:spacing w:before="0" w:beforeAutospacing="0" w:after="0" w:afterAutospacing="0"/>
              <w:ind w:firstLine="480" w:firstLineChars="200"/>
              <w:rPr>
                <w:rFonts w:hint="eastAsia" w:ascii="仿宋" w:hAnsi="仿宋" w:eastAsia="仿宋" w:cs="仿宋"/>
                <w:szCs w:val="24"/>
              </w:rPr>
            </w:pPr>
            <w:r>
              <w:rPr>
                <w:rFonts w:hint="eastAsia" w:ascii="仿宋" w:hAnsi="仿宋" w:eastAsia="仿宋" w:cs="仿宋"/>
                <w:szCs w:val="24"/>
                <w:lang w:bidi="ar"/>
              </w:rPr>
              <w:t>保险公司为了增加市场竞争手段，计划设计一款新的保险项目。保险设计人员参考市面上现有的保险种类，决定将新产品定位为十年期意外险，适用人群10岁至30岁的人群（包含端点），命名为“安心责任险”。“安心责任险”考量到适用人群的需求后，保障计划包含以下项目：“基础保障”中的“身故伤残保险责任、意外伤害医疗保险责任”，“交通意外”中的“飞机意外伤害身故和伤残”。</w:t>
            </w:r>
          </w:p>
          <w:p>
            <w:pPr>
              <w:pStyle w:val="10"/>
              <w:widowControl/>
              <w:spacing w:before="0" w:beforeAutospacing="0" w:after="0" w:afterAutospacing="0"/>
              <w:ind w:firstLine="480" w:firstLineChars="200"/>
              <w:rPr>
                <w:rFonts w:hint="eastAsia" w:ascii="仿宋" w:hAnsi="仿宋" w:eastAsia="仿宋" w:cs="仿宋"/>
                <w:szCs w:val="24"/>
              </w:rPr>
            </w:pPr>
            <w:r>
              <w:rPr>
                <w:rFonts w:hint="eastAsia" w:ascii="仿宋" w:hAnsi="仿宋" w:eastAsia="仿宋" w:cs="仿宋"/>
                <w:szCs w:val="24"/>
                <w:lang w:bidi="ar"/>
              </w:rPr>
              <w:t>保险营销人员熟悉新产品后，针对新产品的属性，筛选出年龄在“10岁及以上，30岁及以下”的客户，并将客户群命名为“安心责任险客户群”。建立好目标客户后，营销人员准备针对“安心责任险客户群”指定时间2023年5月1日开始，以“推送消息”方式营销。确定好方案后将方案命名为“安心责任险营销方案”并在“达成销售”模块查看了销售数据，确认销售情况。</w:t>
            </w:r>
          </w:p>
          <w:p>
            <w:pPr>
              <w:pStyle w:val="10"/>
              <w:widowControl/>
              <w:spacing w:before="0" w:beforeAutospacing="0" w:after="0" w:afterAutospacing="0"/>
              <w:ind w:firstLine="480" w:firstLineChars="200"/>
              <w:rPr>
                <w:rFonts w:hint="eastAsia" w:ascii="仿宋" w:hAnsi="仿宋" w:eastAsia="仿宋" w:cs="仿宋"/>
                <w:szCs w:val="24"/>
              </w:rPr>
            </w:pPr>
            <w:r>
              <w:rPr>
                <w:rFonts w:hint="eastAsia" w:ascii="仿宋" w:hAnsi="仿宋" w:eastAsia="仿宋" w:cs="仿宋"/>
                <w:szCs w:val="24"/>
              </w:rPr>
              <w:t>为加大“安心责任险”的宣传力度，保险公司针对“安心责任险客户群”进行了用户画像分析，对用户的个人属性进行了分析；随后制定“安心责任险项目”营销策略，营销方案通过</w:t>
            </w:r>
            <w:r>
              <w:rPr>
                <w:rFonts w:hint="eastAsia" w:ascii="仿宋" w:hAnsi="仿宋" w:eastAsia="仿宋" w:cs="仿宋"/>
                <w:szCs w:val="24"/>
                <w:lang w:bidi="zh-CN"/>
              </w:rPr>
              <w:t>广告、推介会、座谈会、报刊等方式推广保险产品杠杆高、提供伤残保障、高性价比、核保宽松、一键理赔等特点，</w:t>
            </w:r>
            <w:r>
              <w:rPr>
                <w:rFonts w:hint="eastAsia" w:ascii="仿宋" w:hAnsi="仿宋" w:eastAsia="仿宋" w:cs="仿宋"/>
                <w:szCs w:val="24"/>
              </w:rPr>
              <w:t>根据所选产品特点和促销策略撰写业务营销方案和活动文案，营销方案审核完成后保险公司于2023年5月11日在电视媒体上线了产品的推广广告。</w:t>
            </w:r>
          </w:p>
          <w:p>
            <w:pPr>
              <w:pStyle w:val="10"/>
              <w:widowControl/>
              <w:spacing w:before="0" w:beforeAutospacing="0" w:after="0" w:afterAutospacing="0"/>
              <w:ind w:firstLine="480" w:firstLineChars="200"/>
              <w:rPr>
                <w:rFonts w:hint="eastAsia" w:ascii="仿宋" w:hAnsi="仿宋" w:eastAsia="仿宋" w:cs="仿宋"/>
                <w:szCs w:val="24"/>
              </w:rPr>
            </w:pPr>
            <w:r>
              <w:rPr>
                <w:rFonts w:hint="eastAsia" w:ascii="仿宋" w:hAnsi="仿宋" w:eastAsia="仿宋" w:cs="仿宋"/>
                <w:szCs w:val="24"/>
                <w:lang w:bidi="ar"/>
              </w:rPr>
              <w:t>配合“安心责任险”这款保险产品，风险管理人员设计了“安心责任险核保”模型，针对“安心责任险营销方案”保险购买者进行自动核保。风险管理人员将已经完成核保的“安心责任险营销方案”进行了反欺诈识别保证保险正常赔付。完成风险识别后，风险管理人员正式将当前方案进行自动化理赔程序。</w:t>
            </w:r>
          </w:p>
          <w:p>
            <w:pPr>
              <w:pStyle w:val="10"/>
              <w:widowControl/>
              <w:spacing w:before="0" w:beforeAutospacing="0" w:after="0" w:afterAutospacing="0"/>
              <w:ind w:firstLine="480" w:firstLineChars="200"/>
              <w:rPr>
                <w:rFonts w:hint="eastAsia" w:ascii="仿宋" w:hAnsi="仿宋" w:eastAsia="仿宋" w:cs="仿宋"/>
                <w:szCs w:val="24"/>
              </w:rPr>
            </w:pPr>
            <w:r>
              <w:rPr>
                <w:rFonts w:hint="eastAsia" w:ascii="仿宋" w:hAnsi="仿宋" w:eastAsia="仿宋" w:cs="仿宋"/>
                <w:szCs w:val="24"/>
                <w:lang w:bidi="ar"/>
              </w:rPr>
              <w:t>接收到营销信息的潜在客户，通过客户服务进行了“安心责任险”保费试算。</w:t>
            </w:r>
          </w:p>
          <w:tbl>
            <w:tblPr>
              <w:tblStyle w:val="13"/>
              <w:tblW w:w="4998"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126"/>
              <w:gridCol w:w="309"/>
              <w:gridCol w:w="818"/>
              <w:gridCol w:w="1127"/>
              <w:gridCol w:w="2094"/>
              <w:gridCol w:w="2438"/>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保障项目</w:t>
                  </w:r>
                </w:p>
              </w:tc>
              <w:tc>
                <w:tcPr>
                  <w:tcW w:w="712" w:type="pct"/>
                  <w:gridSpan w:val="2"/>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保险范围</w:t>
                  </w:r>
                </w:p>
              </w:tc>
              <w:tc>
                <w:tcPr>
                  <w:tcW w:w="712"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保险金额（元）</w:t>
                  </w:r>
                </w:p>
              </w:tc>
              <w:tc>
                <w:tcPr>
                  <w:tcW w:w="2861" w:type="pct"/>
                  <w:gridSpan w:val="2"/>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保费定价（元）</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restar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基础保障</w:t>
                  </w:r>
                </w:p>
              </w:tc>
              <w:tc>
                <w:tcPr>
                  <w:tcW w:w="712" w:type="pct"/>
                  <w:gridSpan w:val="2"/>
                  <w:vMerge w:val="restar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身故伤残保险责任</w:t>
                  </w:r>
                </w:p>
              </w:tc>
              <w:tc>
                <w:tcPr>
                  <w:tcW w:w="712" w:type="pct"/>
                  <w:vMerge w:val="restar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20万</w:t>
                  </w:r>
                </w:p>
              </w:tc>
              <w:tc>
                <w:tcPr>
                  <w:tcW w:w="1323"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5万</w:t>
                  </w:r>
                </w:p>
              </w:tc>
              <w:tc>
                <w:tcPr>
                  <w:tcW w:w="1538"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12.59</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10万</w:t>
                  </w:r>
                </w:p>
              </w:tc>
              <w:tc>
                <w:tcPr>
                  <w:tcW w:w="1538"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20.50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20万</w:t>
                  </w:r>
                </w:p>
              </w:tc>
              <w:tc>
                <w:tcPr>
                  <w:tcW w:w="1538"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59.00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712" w:type="pct"/>
                  <w:gridSpan w:val="2"/>
                  <w:vMerge w:val="restar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意外伤害医疗保险责任</w:t>
                  </w:r>
                </w:p>
              </w:tc>
              <w:tc>
                <w:tcPr>
                  <w:tcW w:w="712" w:type="pct"/>
                  <w:vMerge w:val="restar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3万</w:t>
                  </w:r>
                </w:p>
              </w:tc>
              <w:tc>
                <w:tcPr>
                  <w:tcW w:w="1323"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1万</w:t>
                  </w:r>
                </w:p>
              </w:tc>
              <w:tc>
                <w:tcPr>
                  <w:tcW w:w="1538"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2.60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2万</w:t>
                  </w:r>
                </w:p>
              </w:tc>
              <w:tc>
                <w:tcPr>
                  <w:tcW w:w="1538"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5.50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3万</w:t>
                  </w:r>
                </w:p>
              </w:tc>
              <w:tc>
                <w:tcPr>
                  <w:tcW w:w="1538"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12.00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restar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交通意外</w:t>
                  </w:r>
                </w:p>
              </w:tc>
              <w:tc>
                <w:tcPr>
                  <w:tcW w:w="712" w:type="pct"/>
                  <w:gridSpan w:val="2"/>
                  <w:vMerge w:val="restar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飞机意外伤害身故和伤残</w:t>
                  </w:r>
                </w:p>
              </w:tc>
              <w:tc>
                <w:tcPr>
                  <w:tcW w:w="712" w:type="pct"/>
                  <w:vMerge w:val="restar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200万</w:t>
                  </w:r>
                </w:p>
              </w:tc>
              <w:tc>
                <w:tcPr>
                  <w:tcW w:w="1323"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100万</w:t>
                  </w:r>
                </w:p>
              </w:tc>
              <w:tc>
                <w:tcPr>
                  <w:tcW w:w="1538"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569.00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vAlign w:val="center"/>
                </w:tcPr>
                <w:p>
                  <w:pPr>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200万</w:t>
                  </w:r>
                </w:p>
              </w:tc>
              <w:tc>
                <w:tcPr>
                  <w:tcW w:w="1538" w:type="pct"/>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1100.00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5000" w:type="pct"/>
                  <w:gridSpan w:val="6"/>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创建核保模型</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核保模型名称</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安心责任险核保</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除外承保</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pPr>
                    <w:widowControl/>
                    <w:rPr>
                      <w:rFonts w:hint="eastAsia" w:ascii="仿宋" w:hAnsi="仿宋" w:eastAsia="仿宋" w:cs="仿宋"/>
                      <w:sz w:val="24"/>
                      <w:szCs w:val="24"/>
                    </w:rPr>
                  </w:pPr>
                  <w:r>
                    <w:rPr>
                      <w:rFonts w:hint="eastAsia" w:ascii="仿宋" w:hAnsi="仿宋" w:eastAsia="仿宋" w:cs="仿宋"/>
                      <w:sz w:val="24"/>
                      <w:szCs w:val="24"/>
                      <w:lang w:val="en-US" w:bidi="ar"/>
                    </w:rPr>
                    <w:t>H.类风湿关节炎、系统性红斑狼疮、硬皮病及其它免疫系统疾病</w:t>
                  </w:r>
                </w:p>
                <w:p>
                  <w:pPr>
                    <w:widowControl/>
                    <w:rPr>
                      <w:rFonts w:hint="eastAsia" w:ascii="仿宋" w:hAnsi="仿宋" w:eastAsia="仿宋" w:cs="仿宋"/>
                      <w:sz w:val="24"/>
                      <w:szCs w:val="24"/>
                    </w:rPr>
                  </w:pPr>
                  <w:r>
                    <w:rPr>
                      <w:rFonts w:hint="eastAsia" w:ascii="仿宋" w:hAnsi="仿宋" w:eastAsia="仿宋" w:cs="仿宋"/>
                      <w:sz w:val="24"/>
                      <w:szCs w:val="24"/>
                      <w:lang w:val="en-US" w:bidi="ar"/>
                    </w:rPr>
                    <w:t>I.各种贫血、血小板减少性紫痰、淋巴瘤及其它血液系统疾病</w:t>
                  </w:r>
                </w:p>
                <w:p>
                  <w:pPr>
                    <w:widowControl/>
                    <w:rPr>
                      <w:rFonts w:hint="eastAsia" w:ascii="仿宋" w:hAnsi="仿宋" w:eastAsia="仿宋" w:cs="仿宋"/>
                      <w:sz w:val="24"/>
                      <w:szCs w:val="24"/>
                    </w:rPr>
                  </w:pPr>
                  <w:r>
                    <w:rPr>
                      <w:rFonts w:hint="eastAsia" w:ascii="仿宋" w:hAnsi="仿宋" w:eastAsia="仿宋" w:cs="仿宋"/>
                      <w:sz w:val="24"/>
                      <w:szCs w:val="24"/>
                      <w:lang w:val="en-US" w:bidi="ar"/>
                    </w:rPr>
                    <w:t>J.视力、听力、言语、咀嚼功能障碍及四肢残疾、胸廓、脊柱变形和功能障碍</w:t>
                  </w:r>
                </w:p>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G.糖尿病或血糖异常、甲状腺疾病或检查异常、肾上腺疾病及其它内分泌代谢系统疾病</w:t>
                  </w:r>
                </w:p>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M.性病、HIV抗体阳性者、艾滋病及其并发症</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加费承保</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pPr>
                    <w:widowControl/>
                    <w:rPr>
                      <w:rFonts w:hint="eastAsia" w:ascii="仿宋" w:hAnsi="仿宋" w:eastAsia="仿宋" w:cs="仿宋"/>
                      <w:sz w:val="24"/>
                      <w:szCs w:val="24"/>
                    </w:rPr>
                  </w:pPr>
                  <w:r>
                    <w:rPr>
                      <w:rFonts w:hint="eastAsia" w:ascii="仿宋" w:hAnsi="仿宋" w:eastAsia="仿宋" w:cs="仿宋"/>
                      <w:sz w:val="24"/>
                      <w:szCs w:val="24"/>
                      <w:lang w:val="en-US" w:bidi="ar"/>
                    </w:rPr>
                    <w:t>B.任何白内障、青光眼、中耳炎、视网膜疾病及其它眼耳鼻喉口腔疾病</w:t>
                  </w:r>
                </w:p>
                <w:p>
                  <w:pPr>
                    <w:widowControl/>
                    <w:rPr>
                      <w:rFonts w:hint="eastAsia" w:ascii="仿宋" w:hAnsi="仿宋" w:eastAsia="仿宋" w:cs="仿宋"/>
                      <w:sz w:val="24"/>
                      <w:szCs w:val="24"/>
                    </w:rPr>
                  </w:pPr>
                  <w:r>
                    <w:rPr>
                      <w:rFonts w:hint="eastAsia" w:ascii="仿宋" w:hAnsi="仿宋" w:eastAsia="仿宋" w:cs="仿宋"/>
                      <w:sz w:val="24"/>
                      <w:szCs w:val="24"/>
                      <w:lang w:val="en-US" w:bidi="ar"/>
                    </w:rPr>
                    <w:t>C.哮喘、慢性支气管炎、肺气肿、胸膜疾病、肺结核、支气管扩张及其它呼吸系统疾病</w:t>
                  </w:r>
                </w:p>
                <w:p>
                  <w:pPr>
                    <w:widowControl/>
                    <w:rPr>
                      <w:rFonts w:hint="eastAsia" w:ascii="仿宋" w:hAnsi="仿宋" w:eastAsia="仿宋" w:cs="仿宋"/>
                      <w:sz w:val="24"/>
                      <w:szCs w:val="24"/>
                    </w:rPr>
                  </w:pPr>
                  <w:r>
                    <w:rPr>
                      <w:rFonts w:hint="eastAsia" w:ascii="仿宋" w:hAnsi="仿宋" w:eastAsia="仿宋" w:cs="仿宋"/>
                      <w:sz w:val="24"/>
                      <w:szCs w:val="24"/>
                      <w:lang w:val="en-US" w:bidi="ar"/>
                    </w:rPr>
                    <w:t>D.高血压、冠心病、风湿性心脏病、先天性心脏病及其它心血管疾病</w:t>
                  </w:r>
                </w:p>
                <w:p>
                  <w:pPr>
                    <w:widowControl/>
                    <w:rPr>
                      <w:rFonts w:hint="eastAsia" w:ascii="仿宋" w:hAnsi="仿宋" w:eastAsia="仿宋" w:cs="仿宋"/>
                      <w:sz w:val="24"/>
                      <w:szCs w:val="24"/>
                    </w:rPr>
                  </w:pPr>
                  <w:r>
                    <w:rPr>
                      <w:rFonts w:hint="eastAsia" w:ascii="仿宋" w:hAnsi="仿宋" w:eastAsia="仿宋" w:cs="仿宋"/>
                      <w:sz w:val="24"/>
                      <w:szCs w:val="24"/>
                      <w:lang w:val="en-US" w:bidi="ar"/>
                    </w:rPr>
                    <w:t>E.食道疾病、胃炎、消化性溃疡、肝炎或病毒携带、肝硬化、胆囊炎、胰腺炎、肠炎及其它消化系统疾病</w:t>
                  </w:r>
                </w:p>
                <w:p>
                  <w:pPr>
                    <w:widowControl/>
                    <w:rPr>
                      <w:rFonts w:hint="eastAsia" w:ascii="仿宋" w:hAnsi="仿宋" w:eastAsia="仿宋" w:cs="仿宋"/>
                      <w:sz w:val="24"/>
                      <w:szCs w:val="24"/>
                    </w:rPr>
                  </w:pPr>
                  <w:r>
                    <w:rPr>
                      <w:rFonts w:hint="eastAsia" w:ascii="仿宋" w:hAnsi="仿宋" w:eastAsia="仿宋" w:cs="仿宋"/>
                      <w:sz w:val="24"/>
                      <w:szCs w:val="24"/>
                      <w:lang w:val="en-US" w:bidi="ar"/>
                    </w:rPr>
                    <w:t>F.肾小球肾炎、肾盂肾炎、肾病综合症、肾功能不全、尿路结石及其它生殖泌尿系统疾病</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人工核保</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pPr>
                    <w:widowControl/>
                    <w:rPr>
                      <w:rFonts w:hint="eastAsia" w:ascii="仿宋" w:hAnsi="仿宋" w:eastAsia="仿宋" w:cs="仿宋"/>
                      <w:sz w:val="24"/>
                      <w:szCs w:val="24"/>
                    </w:rPr>
                  </w:pPr>
                  <w:r>
                    <w:rPr>
                      <w:rFonts w:hint="eastAsia" w:ascii="仿宋" w:hAnsi="仿宋" w:eastAsia="仿宋" w:cs="仿宋"/>
                      <w:sz w:val="24"/>
                      <w:szCs w:val="24"/>
                      <w:lang w:val="en-US" w:bidi="ar"/>
                    </w:rPr>
                    <w:t>A.脑出血、脑梗塞、脑动脉硬化、癫痫病、精神病及其它神经精神系统疾病</w:t>
                  </w:r>
                </w:p>
                <w:p>
                  <w:pPr>
                    <w:widowControl/>
                    <w:rPr>
                      <w:rFonts w:hint="eastAsia" w:ascii="仿宋" w:hAnsi="仿宋" w:eastAsia="仿宋" w:cs="仿宋"/>
                      <w:sz w:val="24"/>
                      <w:szCs w:val="24"/>
                    </w:rPr>
                  </w:pPr>
                  <w:r>
                    <w:rPr>
                      <w:rFonts w:hint="eastAsia" w:ascii="仿宋" w:hAnsi="仿宋" w:eastAsia="仿宋" w:cs="仿宋"/>
                      <w:sz w:val="24"/>
                      <w:szCs w:val="24"/>
                      <w:lang w:val="en-US" w:bidi="ar"/>
                    </w:rPr>
                    <w:t>K.颈椎病、腰椎间盘突出症、骨与关节结核、骨关节病</w:t>
                  </w:r>
                </w:p>
                <w:p>
                  <w:pPr>
                    <w:widowControl/>
                    <w:rPr>
                      <w:rFonts w:hint="eastAsia" w:ascii="仿宋" w:hAnsi="仿宋" w:eastAsia="仿宋" w:cs="仿宋"/>
                      <w:sz w:val="24"/>
                      <w:szCs w:val="24"/>
                    </w:rPr>
                  </w:pPr>
                  <w:r>
                    <w:rPr>
                      <w:rFonts w:hint="eastAsia" w:ascii="仿宋" w:hAnsi="仿宋" w:eastAsia="仿宋" w:cs="仿宋"/>
                      <w:sz w:val="24"/>
                      <w:szCs w:val="24"/>
                      <w:lang w:val="en-US" w:bidi="ar"/>
                    </w:rPr>
                    <w:t>L.恶性肿瘤、良性肿瘤、结节、肿块、包块等占位性病变及不典型增生、新生物等</w:t>
                  </w:r>
                </w:p>
                <w:p>
                  <w:pPr>
                    <w:widowControl/>
                    <w:rPr>
                      <w:rFonts w:hint="eastAsia" w:ascii="仿宋" w:hAnsi="仿宋" w:eastAsia="仿宋" w:cs="仿宋"/>
                      <w:sz w:val="24"/>
                      <w:szCs w:val="24"/>
                    </w:rPr>
                  </w:pPr>
                  <w:r>
                    <w:rPr>
                      <w:rFonts w:hint="eastAsia" w:ascii="仿宋" w:hAnsi="仿宋" w:eastAsia="仿宋" w:cs="仿宋"/>
                      <w:sz w:val="24"/>
                      <w:szCs w:val="24"/>
                      <w:lang w:val="en-US" w:bidi="ar"/>
                    </w:rPr>
                    <w:t>N.任何身体异常、残疾、畸形、缺损、假体、受伤或上面未提到的其他任何疾病</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延期承保</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pPr>
                    <w:widowControl/>
                    <w:rPr>
                      <w:rFonts w:hint="eastAsia" w:ascii="仿宋" w:hAnsi="仿宋" w:eastAsia="仿宋" w:cs="仿宋"/>
                      <w:sz w:val="24"/>
                      <w:szCs w:val="24"/>
                    </w:rPr>
                  </w:pPr>
                  <w:r>
                    <w:rPr>
                      <w:rFonts w:hint="eastAsia" w:ascii="仿宋" w:hAnsi="仿宋" w:eastAsia="仿宋" w:cs="仿宋"/>
                      <w:sz w:val="24"/>
                      <w:szCs w:val="24"/>
                      <w:lang w:val="en-US"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vAlign w:val="center"/>
                </w:tcPr>
                <w:p>
                  <w:pPr>
                    <w:pStyle w:val="10"/>
                    <w:widowControl/>
                    <w:spacing w:before="0" w:beforeAutospacing="0" w:after="0" w:afterAutospacing="0"/>
                    <w:rPr>
                      <w:rFonts w:hint="eastAsia" w:ascii="仿宋" w:hAnsi="仿宋" w:eastAsia="仿宋" w:cs="仿宋"/>
                      <w:szCs w:val="24"/>
                    </w:rPr>
                  </w:pPr>
                  <w:r>
                    <w:rPr>
                      <w:rFonts w:hint="eastAsia" w:ascii="仿宋" w:hAnsi="仿宋" w:eastAsia="仿宋" w:cs="仿宋"/>
                      <w:szCs w:val="24"/>
                      <w:lang w:bidi="ar"/>
                    </w:rPr>
                    <w:t>拒保</w:t>
                  </w:r>
                </w:p>
              </w:tc>
              <w:tc>
                <w:tcPr>
                  <w:tcW w:w="4092" w:type="pct"/>
                  <w:gridSpan w:val="4"/>
                  <w:tcBorders>
                    <w:top w:val="single" w:color="A4A4A4" w:sz="8" w:space="0"/>
                    <w:left w:val="single" w:color="A4A4A4" w:sz="8" w:space="0"/>
                    <w:bottom w:val="single" w:color="A4A4A4" w:sz="8" w:space="0"/>
                    <w:right w:val="single" w:color="A4A4A4" w:sz="8" w:space="0"/>
                  </w:tcBorders>
                  <w:vAlign w:val="center"/>
                </w:tcPr>
                <w:p>
                  <w:pPr>
                    <w:widowControl/>
                    <w:rPr>
                      <w:rFonts w:hint="eastAsia" w:ascii="仿宋" w:hAnsi="仿宋" w:eastAsia="仿宋" w:cs="仿宋"/>
                      <w:sz w:val="24"/>
                      <w:szCs w:val="24"/>
                    </w:rPr>
                  </w:pPr>
                  <w:r>
                    <w:rPr>
                      <w:rFonts w:hint="eastAsia" w:ascii="仿宋" w:hAnsi="仿宋" w:eastAsia="仿宋" w:cs="仿宋"/>
                      <w:sz w:val="24"/>
                      <w:szCs w:val="24"/>
                      <w:lang w:val="en-US" w:bidi="ar"/>
                    </w:rPr>
                    <w:t> </w:t>
                  </w:r>
                </w:p>
              </w:tc>
            </w:tr>
          </w:tbl>
          <w:p>
            <w:pPr>
              <w:pStyle w:val="10"/>
              <w:widowControl/>
              <w:spacing w:before="0" w:beforeAutospacing="0" w:after="0" w:afterAutospacing="0"/>
              <w:ind w:firstLine="480" w:firstLineChars="200"/>
              <w:rPr>
                <w:rFonts w:hint="eastAsia" w:ascii="仿宋" w:hAnsi="仿宋" w:eastAsia="仿宋" w:cs="仿宋"/>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子任务1-1</w:t>
            </w:r>
          </w:p>
        </w:tc>
        <w:tc>
          <w:tcPr>
            <w:tcW w:w="924" w:type="pct"/>
            <w:gridSpan w:val="2"/>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sz w:val="24"/>
                <w:szCs w:val="24"/>
              </w:rPr>
              <w:t>数字医疗与数字健康保险</w:t>
            </w:r>
            <w:r>
              <w:rPr>
                <w:rFonts w:hint="eastAsia" w:ascii="仿宋" w:hAnsi="仿宋" w:eastAsia="仿宋" w:cs="仿宋"/>
                <w:sz w:val="24"/>
                <w:szCs w:val="24"/>
                <w:lang w:val="en-US"/>
              </w:rPr>
              <w:t>投保和理赔</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1.数字健康险投保</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2.核保</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4.就诊</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4.无感理赔</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1.核保流程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2.检查信息填写</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3.诊断信息填写</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4.治疗流程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5.无感理赔流程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运用保险业务综合处理，开展产品设计、</w:t>
            </w:r>
            <w:r>
              <w:rPr>
                <w:rFonts w:hint="eastAsia" w:ascii="仿宋" w:hAnsi="仿宋" w:eastAsia="仿宋" w:cs="仿宋"/>
                <w:sz w:val="24"/>
                <w:szCs w:val="24"/>
                <w:lang w:val="en-US"/>
              </w:rPr>
              <w:t>精准定价、精准营销</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1.产品设计</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2.精准定价</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3.精准营销</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1.保险产品方案信息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2.精准定价流程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3.精准营销流程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子任务1-3</w:t>
            </w:r>
          </w:p>
        </w:tc>
        <w:tc>
          <w:tcPr>
            <w:tcW w:w="924" w:type="pct"/>
            <w:gridSpan w:val="2"/>
            <w:vAlign w:val="center"/>
          </w:tcPr>
          <w:p>
            <w:pPr>
              <w:pStyle w:val="12"/>
              <w:spacing w:after="0"/>
              <w:ind w:left="0" w:leftChars="0" w:firstLine="0" w:firstLineChars="0"/>
              <w:rPr>
                <w:rFonts w:hint="eastAsia" w:ascii="仿宋" w:hAnsi="仿宋" w:eastAsia="仿宋" w:cs="仿宋"/>
                <w:kern w:val="2"/>
                <w:sz w:val="24"/>
                <w:szCs w:val="24"/>
                <w:lang w:val="en-US" w:bidi="ar-SA"/>
              </w:rPr>
            </w:pPr>
            <w:r>
              <w:rPr>
                <w:rFonts w:hint="eastAsia" w:ascii="仿宋" w:hAnsi="仿宋" w:eastAsia="仿宋" w:cs="仿宋"/>
                <w:kern w:val="2"/>
                <w:sz w:val="24"/>
                <w:szCs w:val="24"/>
                <w:lang w:val="en-US" w:bidi="ar-SA"/>
              </w:rPr>
              <w:t>运用金融产品推广与营销技术完成保险产品营销业务</w:t>
            </w:r>
          </w:p>
        </w:tc>
        <w:tc>
          <w:tcPr>
            <w:tcW w:w="808" w:type="pct"/>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用户画像分析</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lang w:val="en-US"/>
              </w:rPr>
              <w:t>2.营销策略制定</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sz w:val="24"/>
                <w:szCs w:val="24"/>
                <w:lang w:val="en-US"/>
              </w:rPr>
              <w:t>3.</w:t>
            </w:r>
            <w:r>
              <w:rPr>
                <w:rFonts w:hint="eastAsia" w:ascii="仿宋" w:hAnsi="仿宋" w:eastAsia="仿宋" w:cs="仿宋"/>
                <w:sz w:val="24"/>
                <w:szCs w:val="24"/>
              </w:rPr>
              <w:t>活动上线实施</w:t>
            </w:r>
          </w:p>
        </w:tc>
        <w:tc>
          <w:tcPr>
            <w:tcW w:w="714"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1.用户画像分析流程</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2.营销策略制定流程</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3.业务营销方案及活动文案撰写</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4.活动上线实施流程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子任务1-4</w:t>
            </w:r>
          </w:p>
        </w:tc>
        <w:tc>
          <w:tcPr>
            <w:tcW w:w="924" w:type="pct"/>
            <w:gridSpan w:val="2"/>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sz w:val="24"/>
                <w:szCs w:val="24"/>
                <w:lang w:val="en-US"/>
              </w:rPr>
              <w:t>运用保险业务综合处理，完成</w:t>
            </w:r>
            <w:r>
              <w:rPr>
                <w:rFonts w:hint="eastAsia" w:ascii="仿宋" w:hAnsi="仿宋" w:eastAsia="仿宋" w:cs="仿宋"/>
                <w:sz w:val="24"/>
                <w:szCs w:val="24"/>
                <w:lang w:val="en-US"/>
              </w:rPr>
              <w:t>风险管理</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1.自动核保</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2.反欺诈识别</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3.自动化理赔</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1.自动核保流程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2.反欺诈识别流程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3.自动化理赔流程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 xml:space="preserve">量身定制保险理财规划、保险产品推广及销售等工作的能力； </w:t>
            </w:r>
          </w:p>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2</w:t>
            </w:r>
            <w:r>
              <w:rPr>
                <w:rFonts w:hint="eastAsia" w:ascii="仿宋" w:hAnsi="仿宋" w:eastAsia="仿宋" w:cs="仿宋"/>
                <w:sz w:val="24"/>
                <w:szCs w:val="24"/>
              </w:rPr>
              <w:t>.风险识别与评估、风险查勘、损失分析与核定、理赔调查等核保理赔能力；</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lang w:val="en-US"/>
              </w:rPr>
              <w:t>3.</w:t>
            </w:r>
            <w:r>
              <w:rPr>
                <w:rFonts w:hint="eastAsia" w:ascii="仿宋" w:hAnsi="仿宋" w:eastAsia="仿宋" w:cs="仿宋"/>
                <w:sz w:val="24"/>
                <w:szCs w:val="24"/>
              </w:rPr>
              <w:t>数字营销方案撰写、活动策划及实施的能力；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1.</w:t>
            </w:r>
            <w:r>
              <w:rPr>
                <w:rFonts w:hint="eastAsia" w:ascii="仿宋" w:hAnsi="仿宋" w:eastAsia="仿宋" w:cs="仿宋"/>
                <w:sz w:val="24"/>
                <w:szCs w:val="24"/>
              </w:rPr>
              <w:t>JR/T 0226—2021</w:t>
            </w:r>
            <w:r>
              <w:rPr>
                <w:rFonts w:hint="eastAsia" w:ascii="仿宋" w:hAnsi="仿宋" w:eastAsia="仿宋" w:cs="仿宋"/>
                <w:sz w:val="24"/>
                <w:szCs w:val="24"/>
                <w:lang w:val="en-US"/>
              </w:rPr>
              <w:t xml:space="preserve">  保险行业信息共享平台数据交换规范</w:t>
            </w:r>
          </w:p>
          <w:p>
            <w:pPr>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JR/T 0224—2021</w:t>
            </w:r>
            <w:r>
              <w:rPr>
                <w:rFonts w:hint="eastAsia" w:ascii="仿宋" w:hAnsi="仿宋" w:eastAsia="仿宋" w:cs="仿宋"/>
                <w:sz w:val="24"/>
                <w:szCs w:val="24"/>
                <w:lang w:val="en-US"/>
              </w:rPr>
              <w:t xml:space="preserve">  保险行业网络建设基本规范</w:t>
            </w:r>
          </w:p>
          <w:p>
            <w:pPr>
              <w:rPr>
                <w:rFonts w:hint="eastAsia" w:ascii="仿宋" w:hAnsi="仿宋" w:eastAsia="仿宋" w:cs="仿宋"/>
                <w:sz w:val="24"/>
                <w:szCs w:val="24"/>
                <w:lang w:val="en-US"/>
              </w:rPr>
            </w:pPr>
            <w:r>
              <w:rPr>
                <w:rFonts w:hint="eastAsia" w:ascii="仿宋" w:hAnsi="仿宋" w:eastAsia="仿宋" w:cs="仿宋"/>
                <w:sz w:val="24"/>
                <w:szCs w:val="24"/>
                <w:lang w:val="en-US"/>
              </w:rPr>
              <w:t>3.</w:t>
            </w:r>
            <w:r>
              <w:rPr>
                <w:rFonts w:hint="eastAsia" w:ascii="仿宋" w:hAnsi="仿宋" w:eastAsia="仿宋" w:cs="仿宋"/>
                <w:sz w:val="24"/>
                <w:szCs w:val="24"/>
              </w:rPr>
              <w:t>JR/T 0165-2018</w:t>
            </w:r>
            <w:r>
              <w:rPr>
                <w:rFonts w:hint="eastAsia" w:ascii="仿宋" w:hAnsi="仿宋" w:eastAsia="仿宋" w:cs="仿宋"/>
                <w:sz w:val="24"/>
                <w:szCs w:val="24"/>
                <w:lang w:val="en-US"/>
              </w:rPr>
              <w:t xml:space="preserve">  保险业车联网基础数据元目录</w:t>
            </w:r>
          </w:p>
          <w:p>
            <w:pPr>
              <w:rPr>
                <w:rFonts w:hint="eastAsia" w:ascii="仿宋" w:hAnsi="仿宋" w:eastAsia="仿宋" w:cs="仿宋"/>
                <w:color w:val="000000"/>
                <w:sz w:val="24"/>
                <w:szCs w:val="24"/>
                <w:lang w:val="en-US"/>
              </w:rPr>
            </w:pPr>
            <w:r>
              <w:rPr>
                <w:rFonts w:hint="eastAsia" w:ascii="仿宋" w:hAnsi="仿宋" w:eastAsia="仿宋" w:cs="仿宋"/>
                <w:sz w:val="24"/>
                <w:szCs w:val="24"/>
                <w:lang w:val="en-US"/>
              </w:rPr>
              <w:t>4.</w:t>
            </w:r>
            <w:r>
              <w:rPr>
                <w:rFonts w:hint="eastAsia" w:ascii="仿宋" w:hAnsi="仿宋" w:eastAsia="仿宋" w:cs="仿宋"/>
                <w:sz w:val="24"/>
                <w:szCs w:val="24"/>
              </w:rPr>
              <w:t>JR/T 0074-2012</w:t>
            </w:r>
            <w:r>
              <w:rPr>
                <w:rFonts w:hint="eastAsia" w:ascii="仿宋" w:hAnsi="仿宋" w:eastAsia="仿宋" w:cs="仿宋"/>
                <w:sz w:val="24"/>
                <w:szCs w:val="24"/>
                <w:lang w:val="en-US"/>
              </w:rPr>
              <w:t xml:space="preserve">  保险业IT服务管理基本规范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p>
        </w:tc>
      </w:tr>
    </w:tbl>
    <w:p>
      <w:pPr>
        <w:pStyle w:val="4"/>
        <w:tabs>
          <w:tab w:val="left" w:pos="0"/>
        </w:tabs>
        <w:spacing w:line="480" w:lineRule="exact"/>
        <w:rPr>
          <w:rFonts w:hint="eastAsia" w:ascii="仿宋" w:hAnsi="仿宋" w:eastAsia="仿宋" w:cs="仿宋"/>
          <w:lang w:val="en-US"/>
        </w:rPr>
      </w:pPr>
      <w:r>
        <w:rPr>
          <w:rFonts w:hint="eastAsia" w:ascii="仿宋" w:hAnsi="仿宋" w:eastAsia="仿宋" w:cs="仿宋"/>
          <w:lang w:val="en-US"/>
        </w:rPr>
        <w:t>金融科技业务创新</w:t>
      </w:r>
    </w:p>
    <w:p>
      <w:pPr>
        <w:spacing w:line="480" w:lineRule="exact"/>
        <w:rPr>
          <w:rFonts w:hint="eastAsia" w:ascii="仿宋" w:hAnsi="仿宋" w:eastAsia="仿宋" w:cs="仿宋"/>
          <w:lang w:val="en-US"/>
        </w:rPr>
      </w:pPr>
      <w:r>
        <w:rPr>
          <w:rFonts w:hint="eastAsia" w:ascii="仿宋" w:hAnsi="仿宋" w:eastAsia="仿宋" w:cs="仿宋"/>
          <w:b/>
          <w:color w:val="000000"/>
          <w:sz w:val="24"/>
          <w:szCs w:val="24"/>
          <w:lang w:val="en-US"/>
        </w:rPr>
        <w:t xml:space="preserve"> 技能模块7任务分解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模块7</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金融科技业务创新</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pPr>
              <w:widowControl/>
              <w:ind w:firstLine="480" w:firstLineChars="200"/>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某供应链核心企业为了进一步的扩大经营范围，在资金使用方面能够加大企业资金的利用率，于是该核心企业在一次商品采购中对上游贸易商北京瑞亚有限公司采用了先款后货的方式进行贸易，并使用本公司承兑的商业承兑汇票的信用结算方式来支付货款，此次采购货款金额为420万元，2023年5月11日，核心企业向有关部门发送以北京瑞亚有限公司为收票人的出票申请，票据期限为五个月，核心企业相关部门审核后，同意了该商业承兑汇票的承兑；在核心企业同意承兑后，北京瑞亚有限公司收到该票据并同意了收票。</w:t>
            </w:r>
          </w:p>
          <w:p>
            <w:pPr>
              <w:widowControl/>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lang w:val="en-US" w:bidi="ar"/>
              </w:rPr>
              <w:t>北京瑞亚有限公司在这样的结算方式下面临较为严重的资金占压，为了企业的进一步发展和现金流的需要，北京瑞亚有限公司决定转让该商业承兑汇票债权以获得330万元融资，2023年5月19日，北京瑞亚有限公司向保理公司申请了“北京供应链保理融资”。核心企业收到通知后为此次保理融资同意了授信；接着保理公司收到了融资申请，审核该公司的信用后同意了该融资申请。</w:t>
            </w:r>
          </w:p>
          <w:p>
            <w:pPr>
              <w:widowControl/>
              <w:ind w:firstLine="480" w:firstLineChars="20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
              </w:rPr>
              <w:t>接着北京瑞亚有限公司向保理公司背书转让了用以获得融资的票据，保理公司在收到背书转让后给北京瑞亚有限公司划转了融资金额。票据到期后保理公司向付款人核心企业发送了到期付款提示，核心企业收到提示后立即支付了票据款项，保理公司扣除保理融资的服务费用后向融资企业支付了票据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pacing w:val="-3"/>
                <w:sz w:val="24"/>
                <w:szCs w:val="24"/>
                <w:lang w:val="en-US"/>
              </w:rPr>
              <w:t>基于供应链金融完成信用结算业务</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1.商票出票</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2.商票承兑</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3.收票</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1.商票出票流程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2.商票出票填写信息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3.商票承兑流程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4.商票收票流程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pacing w:val="-3"/>
                <w:sz w:val="24"/>
                <w:szCs w:val="24"/>
                <w:lang w:val="en-US"/>
              </w:rPr>
              <w:t>基于供应链金融完成保理业务</w:t>
            </w:r>
          </w:p>
        </w:tc>
        <w:tc>
          <w:tcPr>
            <w:tcW w:w="808"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1.申请保理融资</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2.保理合同签订</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3.背书票据</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4.商票付款</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1.保理融资申请流程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2.保理融资申请填写信息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3.保理合同签订流程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4.保理合同填写信息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5.票据背书流程</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6.商票付款流程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pPr>
              <w:pStyle w:val="12"/>
              <w:spacing w:after="0"/>
              <w:ind w:left="0" w:leftChars="0" w:firstLine="0" w:firstLineChars="0"/>
              <w:rPr>
                <w:rFonts w:hint="eastAsia"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 xml:space="preserve">适应金融产业数字化发展需求的信息技术基础知识、专业信息技术能力等 基本数字化技能； </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适应现代金融业的新知识、新技术、新方法、新应用的能力；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pPr>
              <w:rPr>
                <w:rFonts w:hint="eastAsia" w:ascii="仿宋" w:hAnsi="仿宋" w:eastAsia="仿宋" w:cs="仿宋"/>
                <w:sz w:val="24"/>
                <w:szCs w:val="24"/>
                <w:lang w:val="en-US"/>
              </w:rPr>
            </w:pPr>
            <w:r>
              <w:rPr>
                <w:rFonts w:hint="eastAsia" w:ascii="仿宋" w:hAnsi="仿宋" w:eastAsia="仿宋" w:cs="仿宋"/>
                <w:sz w:val="24"/>
                <w:szCs w:val="24"/>
                <w:lang w:val="en-US"/>
              </w:rPr>
              <w:t>1.</w:t>
            </w:r>
            <w:r>
              <w:rPr>
                <w:rFonts w:hint="eastAsia" w:ascii="仿宋" w:hAnsi="仿宋" w:eastAsia="仿宋" w:cs="仿宋"/>
                <w:sz w:val="24"/>
                <w:szCs w:val="24"/>
              </w:rPr>
              <w:t>JR/T 0200-2020</w:t>
            </w:r>
            <w:r>
              <w:rPr>
                <w:rFonts w:hint="eastAsia" w:ascii="仿宋" w:hAnsi="仿宋" w:eastAsia="仿宋" w:cs="仿宋"/>
                <w:sz w:val="24"/>
                <w:szCs w:val="24"/>
                <w:lang w:val="en-US"/>
              </w:rPr>
              <w:t xml:space="preserve">  金融科技创新风险监控规范</w:t>
            </w:r>
          </w:p>
          <w:p>
            <w:pPr>
              <w:rPr>
                <w:rFonts w:hint="eastAsia" w:ascii="仿宋" w:hAnsi="仿宋" w:eastAsia="仿宋" w:cs="仿宋"/>
                <w:color w:val="000000"/>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rPr>
              <w:t>JR/T 0198-2020</w:t>
            </w:r>
            <w:r>
              <w:rPr>
                <w:rFonts w:hint="eastAsia" w:ascii="仿宋" w:hAnsi="仿宋" w:eastAsia="仿宋" w:cs="仿宋"/>
                <w:sz w:val="24"/>
                <w:szCs w:val="24"/>
                <w:lang w:val="en-US"/>
              </w:rPr>
              <w:t xml:space="preserve">  金融科技创新应用测试规范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p>
        </w:tc>
      </w:tr>
    </w:tbl>
    <w:p>
      <w:pPr>
        <w:pStyle w:val="4"/>
        <w:tabs>
          <w:tab w:val="left" w:pos="0"/>
        </w:tabs>
        <w:spacing w:line="480" w:lineRule="exact"/>
        <w:rPr>
          <w:rFonts w:hint="eastAsia" w:ascii="仿宋" w:hAnsi="仿宋" w:eastAsia="仿宋" w:cs="仿宋"/>
          <w:lang w:val="en-US"/>
        </w:rPr>
      </w:pPr>
      <w:r>
        <w:rPr>
          <w:rFonts w:hint="eastAsia" w:ascii="仿宋" w:hAnsi="仿宋" w:eastAsia="仿宋" w:cs="仿宋"/>
          <w:lang w:val="en-US"/>
        </w:rPr>
        <w:t>数字金融业务监管</w:t>
      </w:r>
    </w:p>
    <w:p>
      <w:pPr>
        <w:spacing w:line="480" w:lineRule="exact"/>
        <w:rPr>
          <w:rFonts w:hint="eastAsia" w:ascii="仿宋" w:hAnsi="仿宋" w:eastAsia="仿宋" w:cs="仿宋"/>
          <w:lang w:val="en-US"/>
        </w:rPr>
      </w:pPr>
      <w:r>
        <w:rPr>
          <w:rFonts w:hint="eastAsia" w:ascii="仿宋" w:hAnsi="仿宋" w:eastAsia="仿宋" w:cs="仿宋"/>
          <w:b/>
          <w:color w:val="000000"/>
          <w:sz w:val="24"/>
          <w:szCs w:val="24"/>
          <w:lang w:val="en-US"/>
        </w:rPr>
        <w:t>技能模块8任务分解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模块序号</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模块8</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对应赛项编号</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模块名称</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数字金融业务监管</w:t>
            </w:r>
          </w:p>
        </w:tc>
        <w:tc>
          <w:tcPr>
            <w:tcW w:w="1222"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子任务数量</w:t>
            </w:r>
          </w:p>
        </w:tc>
        <w:tc>
          <w:tcPr>
            <w:tcW w:w="179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竞赛时间</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任务描述</w:t>
            </w:r>
          </w:p>
        </w:tc>
        <w:tc>
          <w:tcPr>
            <w:tcW w:w="4180" w:type="pct"/>
            <w:gridSpan w:val="6"/>
            <w:vAlign w:val="center"/>
          </w:tcPr>
          <w:p>
            <w:pPr>
              <w:pStyle w:val="10"/>
              <w:widowControl/>
              <w:spacing w:before="75" w:beforeAutospacing="0" w:after="75" w:afterAutospacing="0"/>
              <w:ind w:firstLine="480" w:firstLineChars="200"/>
              <w:rPr>
                <w:rFonts w:hint="eastAsia" w:ascii="仿宋" w:hAnsi="仿宋" w:eastAsia="仿宋" w:cs="仿宋"/>
                <w:color w:val="000000"/>
                <w:szCs w:val="24"/>
              </w:rPr>
            </w:pPr>
            <w:r>
              <w:rPr>
                <w:rFonts w:hint="eastAsia" w:ascii="仿宋" w:hAnsi="仿宋" w:eastAsia="仿宋" w:cs="仿宋"/>
              </w:rPr>
              <w:t>中国工商银行股份有限公司</w:t>
            </w:r>
            <w:r>
              <w:rPr>
                <w:rFonts w:hint="eastAsia" w:ascii="仿宋" w:hAnsi="仿宋" w:eastAsia="仿宋" w:cs="仿宋"/>
                <w:color w:val="000000"/>
                <w:szCs w:val="24"/>
                <w:lang w:bidi="ar"/>
              </w:rPr>
              <w:t>为了降低银行业务中的风险，工商银行研制了一套基于物联网的物品溯源认证管理与供应链金融 ，该方案运用物联网+区块链技术提供物品溯源认证服务，将传统的支付、融资等银行金融服务与企业上下游、商品产销全链条结合起来，将供应链金融服务融合到商品产销场景中，方便企业及个人客户自主选用，提供随时、随身、有温度的金融服务，打造产业生态圈。在推向市场之前，为了全方位防范系统性金融风险的发生，工商银行先识别了自身的各方面风险，接着向金融行为监管局申请了沙盒测试；</w:t>
            </w:r>
            <w:r>
              <w:rPr>
                <w:rFonts w:hint="eastAsia" w:ascii="仿宋" w:hAnsi="仿宋" w:eastAsia="仿宋" w:cs="仿宋"/>
                <w:color w:val="000000"/>
                <w:szCs w:val="24"/>
              </w:rPr>
              <w:t>并向金融监督管理局发送了测试声明申请。</w:t>
            </w:r>
          </w:p>
          <w:p>
            <w:pPr>
              <w:widowControl/>
              <w:ind w:firstLine="480" w:firstLineChars="200"/>
              <w:rPr>
                <w:rFonts w:hint="eastAsia" w:ascii="仿宋" w:hAnsi="仿宋" w:eastAsia="仿宋" w:cs="仿宋"/>
                <w:sz w:val="24"/>
                <w:szCs w:val="24"/>
              </w:rPr>
            </w:pPr>
            <w:r>
              <w:rPr>
                <w:rFonts w:hint="eastAsia" w:ascii="仿宋" w:hAnsi="仿宋" w:eastAsia="仿宋" w:cs="仿宋"/>
                <w:color w:val="000000"/>
                <w:sz w:val="24"/>
                <w:szCs w:val="24"/>
                <w:lang w:val="en-US" w:bidi="ar"/>
              </w:rPr>
              <w:t>工商银行财务数据：</w:t>
            </w:r>
          </w:p>
          <w:tbl>
            <w:tblPr>
              <w:tblStyle w:val="13"/>
              <w:tblW w:w="4998"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737"/>
              <w:gridCol w:w="1524"/>
              <w:gridCol w:w="2799"/>
              <w:gridCol w:w="1852"/>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资产总额（万元）</w:t>
                  </w:r>
                </w:p>
              </w:tc>
              <w:tc>
                <w:tcPr>
                  <w:tcW w:w="963"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804288400.00</w:t>
                  </w:r>
                </w:p>
              </w:tc>
              <w:tc>
                <w:tcPr>
                  <w:tcW w:w="1768"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流动资产（万元）</w:t>
                  </w:r>
                </w:p>
              </w:tc>
              <w:tc>
                <w:tcPr>
                  <w:tcW w:w="1170"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800000000.00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净利润（万元）</w:t>
                  </w:r>
                </w:p>
              </w:tc>
              <w:tc>
                <w:tcPr>
                  <w:tcW w:w="963"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5564100.00</w:t>
                  </w:r>
                </w:p>
              </w:tc>
              <w:tc>
                <w:tcPr>
                  <w:tcW w:w="1768"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流动负债（万元）</w:t>
                  </w:r>
                </w:p>
              </w:tc>
              <w:tc>
                <w:tcPr>
                  <w:tcW w:w="1170"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740000000.00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资本充足率（%）</w:t>
                  </w:r>
                </w:p>
              </w:tc>
              <w:tc>
                <w:tcPr>
                  <w:tcW w:w="963"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10.88</w:t>
                  </w:r>
                </w:p>
              </w:tc>
              <w:tc>
                <w:tcPr>
                  <w:tcW w:w="1768"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净资本余额（万元）</w:t>
                  </w:r>
                </w:p>
              </w:tc>
              <w:tc>
                <w:tcPr>
                  <w:tcW w:w="1170"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64262600.00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核心资本充足率（%）</w:t>
                  </w:r>
                </w:p>
              </w:tc>
              <w:tc>
                <w:tcPr>
                  <w:tcW w:w="963"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8.85</w:t>
                  </w:r>
                </w:p>
              </w:tc>
              <w:tc>
                <w:tcPr>
                  <w:tcW w:w="1768"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最大单一客户的贷款余额（万元）</w:t>
                  </w:r>
                </w:p>
              </w:tc>
              <w:tc>
                <w:tcPr>
                  <w:tcW w:w="1170"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790747.32</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贷款（万元）</w:t>
                  </w:r>
                </w:p>
              </w:tc>
              <w:tc>
                <w:tcPr>
                  <w:tcW w:w="963"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486000000.00</w:t>
                  </w:r>
                </w:p>
              </w:tc>
              <w:tc>
                <w:tcPr>
                  <w:tcW w:w="1768"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最大十个贷款人贷款余额（万元）</w:t>
                  </w:r>
                </w:p>
              </w:tc>
              <w:tc>
                <w:tcPr>
                  <w:tcW w:w="1170"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6522653.9</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gridAfter w:val="1"/>
                <w:wAfter w:w="1170" w:type="pct"/>
              </w:trPr>
              <w:tc>
                <w:tcPr>
                  <w:tcW w:w="1097"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存款（万元）</w:t>
                  </w:r>
                </w:p>
              </w:tc>
              <w:tc>
                <w:tcPr>
                  <w:tcW w:w="963" w:type="pct"/>
                  <w:tcBorders>
                    <w:top w:val="single" w:color="A4A4A4" w:sz="8" w:space="0"/>
                    <w:left w:val="single" w:color="A4A4A4" w:sz="8" w:space="0"/>
                    <w:bottom w:val="single" w:color="A4A4A4" w:sz="8" w:space="0"/>
                    <w:right w:val="single" w:color="A4A4A4" w:sz="8" w:space="0"/>
                  </w:tcBorders>
                </w:tcPr>
                <w:p>
                  <w:pPr>
                    <w:widowControl/>
                    <w:spacing w:before="75" w:after="75"/>
                    <w:rPr>
                      <w:rFonts w:hint="eastAsia" w:ascii="仿宋" w:hAnsi="仿宋" w:eastAsia="仿宋" w:cs="仿宋"/>
                      <w:sz w:val="20"/>
                      <w:szCs w:val="20"/>
                    </w:rPr>
                  </w:pPr>
                  <w:r>
                    <w:rPr>
                      <w:rFonts w:hint="eastAsia" w:ascii="仿宋" w:hAnsi="仿宋" w:eastAsia="仿宋" w:cs="仿宋"/>
                      <w:sz w:val="21"/>
                      <w:szCs w:val="21"/>
                      <w:lang w:val="en-US" w:bidi="ar"/>
                    </w:rPr>
                    <w:t>474996900.00</w:t>
                  </w:r>
                </w:p>
              </w:tc>
              <w:tc>
                <w:tcPr>
                  <w:tcW w:w="1768" w:type="pct"/>
                  <w:tcBorders>
                    <w:top w:val="single" w:color="A4A4A4" w:sz="8" w:space="0"/>
                    <w:left w:val="single" w:color="A4A4A4" w:sz="8" w:space="0"/>
                    <w:bottom w:val="single" w:color="A4A4A4" w:sz="8" w:space="0"/>
                    <w:right w:val="single" w:color="A4A4A4" w:sz="8" w:space="0"/>
                  </w:tcBorders>
                </w:tcPr>
                <w:p>
                  <w:pPr>
                    <w:rPr>
                      <w:rFonts w:hint="eastAsia" w:ascii="仿宋" w:hAnsi="仿宋" w:eastAsia="仿宋" w:cs="仿宋"/>
                      <w:sz w:val="15"/>
                      <w:szCs w:val="15"/>
                    </w:rPr>
                  </w:pPr>
                </w:p>
              </w:tc>
            </w:tr>
          </w:tbl>
          <w:p>
            <w:pPr>
              <w:pStyle w:val="10"/>
              <w:widowControl/>
              <w:spacing w:before="75" w:beforeAutospacing="0" w:after="75" w:afterAutospacing="0"/>
              <w:ind w:firstLine="480" w:firstLineChars="200"/>
              <w:rPr>
                <w:rFonts w:hint="eastAsia" w:ascii="仿宋" w:hAnsi="仿宋" w:eastAsia="仿宋" w:cs="仿宋"/>
                <w:szCs w:val="24"/>
              </w:rPr>
            </w:pPr>
            <w:r>
              <w:rPr>
                <w:rFonts w:hint="eastAsia" w:ascii="仿宋" w:hAnsi="仿宋" w:eastAsia="仿宋" w:cs="仿宋"/>
                <w:szCs w:val="24"/>
              </w:rPr>
              <w:t>金融监督管理局在收到工商银行的测试申请后审核了其各方面标准，最终同意工商银行进行沙盒测试，并公示该测试项目；在公示期间公众向工商银行提出了关于“物联网感知设备不齐全”的意见，工商银行对该意见作出了解答；在公示期结束前，工商银行出具了全部的公众意见处理报告并上交自律组织，自律组织通过意见处理结果给出评估意见，评估通过后工商银行登记了项目并发布了自声明；在测试过程中公众投诉“溯源认证结果认可度较低”，工商银行收到投诉后立马处理了这个问题，并对产品做出整改，消除了该项风险。2023年7月14日，自律组织下达给工商银行应用反馈任务，工商银行上报了2023年7月15日至9月15日两个月内的应用情况，在任务期间用户规模为520万，交易量：1200万次，资金量：80000.00万元；自律组织收到任务反馈后评估了工商银行当前的项目风险，认为当前该项目风险较小，并对该项目做出了测试评价，最终通过了测试，金融监督管理局审核测试评价后也通过了测试；工商银行申请退出测试，自律组织受理后完成了项目测试。</w:t>
            </w:r>
          </w:p>
          <w:p>
            <w:pPr>
              <w:pStyle w:val="10"/>
              <w:widowControl/>
              <w:spacing w:before="75" w:beforeAutospacing="0" w:after="75" w:afterAutospacing="0"/>
              <w:ind w:firstLine="480" w:firstLineChars="200"/>
              <w:rPr>
                <w:rFonts w:hint="eastAsia" w:ascii="仿宋" w:hAnsi="仿宋" w:eastAsia="仿宋" w:cs="仿宋"/>
                <w:color w:val="000000"/>
                <w:szCs w:val="24"/>
              </w:rPr>
            </w:pPr>
            <w:r>
              <w:rPr>
                <w:rFonts w:hint="eastAsia" w:ascii="仿宋" w:hAnsi="仿宋" w:eastAsia="仿宋" w:cs="仿宋"/>
                <w:color w:val="000000"/>
                <w:szCs w:val="24"/>
              </w:rPr>
              <w:t>为了明确银行当前的风险状况，工商银行计划委托第三方审计机构在2023年9月24日以非现场审计的方式对公司完成一次其它专项审计，以了解公司当前的风险状况以及财务状况，来判断公司当前的情况是否适合发展新的业务。第三方审计机构和工商银行商定审计费用为293万元，并接受了审计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职业要素</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 xml:space="preserve">基本专业素养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专业实践技能  </w:t>
            </w:r>
            <w:r>
              <w:rPr>
                <w:rFonts w:hint="eastAsia" w:ascii="仿宋" w:hAnsi="仿宋" w:eastAsia="仿宋" w:cs="仿宋"/>
                <w:color w:val="000000"/>
                <w:sz w:val="24"/>
                <w:szCs w:val="24"/>
                <w:lang w:val="en-US"/>
              </w:rPr>
              <w:sym w:font="Wingdings 2" w:char="0052"/>
            </w:r>
            <w:r>
              <w:rPr>
                <w:rFonts w:hint="eastAsia" w:ascii="仿宋" w:hAnsi="仿宋" w:eastAsia="仿宋" w:cs="仿宋"/>
                <w:color w:val="000000"/>
                <w:sz w:val="24"/>
                <w:szCs w:val="24"/>
                <w:lang w:val="en-US"/>
              </w:rPr>
              <w:t xml:space="preserve">协调协作能力  </w:t>
            </w:r>
            <w:r>
              <w:rPr>
                <w:rFonts w:hint="eastAsia" w:ascii="仿宋" w:hAnsi="仿宋" w:eastAsia="仿宋" w:cs="仿宋"/>
                <w:color w:val="000000"/>
                <w:sz w:val="24"/>
                <w:szCs w:val="24"/>
                <w:lang w:val="en-US"/>
              </w:rPr>
              <w:sym w:font="Wingdings 2" w:char="00A3"/>
            </w:r>
            <w:r>
              <w:rPr>
                <w:rFonts w:hint="eastAsia" w:ascii="仿宋" w:hAnsi="仿宋" w:eastAsia="仿宋" w:cs="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具体任务要求</w:t>
            </w:r>
          </w:p>
        </w:tc>
        <w:tc>
          <w:tcPr>
            <w:tcW w:w="652"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子任务序号</w:t>
            </w:r>
          </w:p>
        </w:tc>
        <w:tc>
          <w:tcPr>
            <w:tcW w:w="924" w:type="pct"/>
            <w:gridSpan w:val="2"/>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任务要求</w:t>
            </w:r>
          </w:p>
        </w:tc>
        <w:tc>
          <w:tcPr>
            <w:tcW w:w="808"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操作过程</w:t>
            </w:r>
          </w:p>
        </w:tc>
        <w:tc>
          <w:tcPr>
            <w:tcW w:w="714"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考核点</w:t>
            </w:r>
          </w:p>
        </w:tc>
        <w:tc>
          <w:tcPr>
            <w:tcW w:w="1080"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子任务1-1</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运用金融科技风险控制技术完成金融机构风险识别业务</w:t>
            </w:r>
          </w:p>
        </w:tc>
        <w:tc>
          <w:tcPr>
            <w:tcW w:w="808" w:type="pct"/>
            <w:vAlign w:val="center"/>
          </w:tcPr>
          <w:p>
            <w:pPr>
              <w:pStyle w:val="12"/>
              <w:spacing w:after="0"/>
              <w:ind w:left="0" w:leftChars="0" w:firstLine="0" w:firstLineChars="0"/>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1.识别</w:t>
            </w:r>
            <w:r>
              <w:rPr>
                <w:rFonts w:hint="eastAsia" w:ascii="仿宋" w:hAnsi="仿宋" w:eastAsia="仿宋" w:cs="仿宋"/>
                <w:color w:val="000000"/>
                <w:sz w:val="24"/>
                <w:szCs w:val="24"/>
                <w:lang w:val="en-US"/>
              </w:rPr>
              <w:t>金融</w:t>
            </w:r>
            <w:r>
              <w:rPr>
                <w:rFonts w:hint="eastAsia" w:ascii="仿宋" w:hAnsi="仿宋" w:eastAsia="仿宋" w:cs="仿宋"/>
                <w:spacing w:val="-3"/>
                <w:sz w:val="24"/>
                <w:szCs w:val="24"/>
                <w:lang w:val="en-US"/>
              </w:rPr>
              <w:t>机构风险</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1.金融机构财务信息</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子任务1-2</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使用监管沙盒模式完成金融科技创新项目测试</w:t>
            </w:r>
          </w:p>
        </w:tc>
        <w:tc>
          <w:tcPr>
            <w:tcW w:w="808"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1.发布创新项目试点公告</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2.项目申报</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3.测试声明申请</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4.项目测试审批</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5.项目公示</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6.公众提出意见</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7.金融机构处理意见</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8.出具意见处理报告</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9.登记项目并发布自声明</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10.自律组织监管金融机构</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11.金融机构反馈应用情况</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12.公众提出投诉意见</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13.金融机构处理公众投诉</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14.自律组织处置金融机构风险</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15.自律组织出具测试评价</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16.金融机构申请退出测试</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17.自律组织受理退出测试</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1.金融科技创新项目信息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2.公众意见信息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3.公众投诉意见信息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4.反馈任务信息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5.评估意见信息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6.测试评价信息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7.监管沙盒测试流程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652"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子任务1-3</w:t>
            </w:r>
          </w:p>
        </w:tc>
        <w:tc>
          <w:tcPr>
            <w:tcW w:w="92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运用金融风险控制、企业风险分析技术完成非现场审计业务</w:t>
            </w:r>
          </w:p>
        </w:tc>
        <w:tc>
          <w:tcPr>
            <w:tcW w:w="808" w:type="pct"/>
            <w:vAlign w:val="center"/>
          </w:tcPr>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1.委托第三方审计机构非现场审计</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2.第三方审计机构接受委托</w:t>
            </w:r>
          </w:p>
          <w:p>
            <w:pPr>
              <w:pStyle w:val="12"/>
              <w:spacing w:after="0"/>
              <w:ind w:left="0" w:leftChars="0" w:firstLine="0" w:firstLineChars="0"/>
              <w:rPr>
                <w:rFonts w:hint="eastAsia" w:ascii="仿宋" w:hAnsi="仿宋" w:eastAsia="仿宋" w:cs="仿宋"/>
                <w:color w:val="000000"/>
                <w:kern w:val="2"/>
                <w:sz w:val="24"/>
                <w:szCs w:val="24"/>
                <w:lang w:val="en-US" w:bidi="ar-SA"/>
              </w:rPr>
            </w:pPr>
            <w:r>
              <w:rPr>
                <w:rFonts w:hint="eastAsia" w:ascii="仿宋" w:hAnsi="仿宋" w:eastAsia="仿宋" w:cs="仿宋"/>
                <w:color w:val="000000"/>
                <w:kern w:val="2"/>
                <w:sz w:val="24"/>
                <w:szCs w:val="24"/>
                <w:lang w:val="en-US" w:bidi="ar-SA"/>
              </w:rPr>
              <w:t>3.非现场审计</w:t>
            </w:r>
          </w:p>
        </w:tc>
        <w:tc>
          <w:tcPr>
            <w:tcW w:w="714"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1.审计委托信息</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2.非现场审计流程</w:t>
            </w:r>
          </w:p>
        </w:tc>
        <w:tc>
          <w:tcPr>
            <w:tcW w:w="1080" w:type="pct"/>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1.安全操作规范（0%）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2.专业操作工艺（10%)</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赛项技术规范</w:t>
            </w: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涉及专业教学要求</w:t>
            </w:r>
          </w:p>
        </w:tc>
        <w:tc>
          <w:tcPr>
            <w:tcW w:w="3016" w:type="pct"/>
            <w:gridSpan w:val="4"/>
            <w:vAlign w:val="center"/>
          </w:tcPr>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1.根据相关法律法规和行业规范开展金融服务和业务风险审查的能力；</w:t>
            </w:r>
          </w:p>
          <w:p>
            <w:pPr>
              <w:pStyle w:val="12"/>
              <w:spacing w:after="0"/>
              <w:ind w:left="0" w:leftChars="0"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2.金融数据处理技能和信息技术应用的能力；</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sz w:val="24"/>
                <w:szCs w:val="24"/>
                <w:lang w:val="en-US"/>
              </w:rPr>
              <w:t>3.运用创新意识、互联网思维研究并解决问题的能力；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continue"/>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p>
        </w:tc>
        <w:tc>
          <w:tcPr>
            <w:tcW w:w="1164" w:type="pct"/>
            <w:gridSpan w:val="2"/>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遵循国家标准和行业标准</w:t>
            </w:r>
          </w:p>
        </w:tc>
        <w:tc>
          <w:tcPr>
            <w:tcW w:w="3016" w:type="pct"/>
            <w:gridSpan w:val="4"/>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333333"/>
                <w:sz w:val="24"/>
                <w:szCs w:val="24"/>
                <w:shd w:val="clear" w:color="auto" w:fill="FFFFFF"/>
                <w:lang w:val="en-US"/>
              </w:rPr>
              <w:t>1.</w:t>
            </w:r>
            <w:r>
              <w:rPr>
                <w:rFonts w:hint="eastAsia" w:ascii="仿宋" w:hAnsi="仿宋" w:eastAsia="仿宋" w:cs="仿宋"/>
                <w:color w:val="333333"/>
                <w:sz w:val="24"/>
                <w:szCs w:val="24"/>
                <w:shd w:val="clear" w:color="auto" w:fill="FFFFFF"/>
              </w:rPr>
              <w:t>JR/T 0201-2020</w:t>
            </w:r>
            <w:r>
              <w:rPr>
                <w:rFonts w:hint="eastAsia" w:ascii="仿宋" w:hAnsi="仿宋" w:eastAsia="仿宋" w:cs="仿宋"/>
                <w:color w:val="333333"/>
                <w:sz w:val="24"/>
                <w:szCs w:val="24"/>
                <w:shd w:val="clear" w:color="auto" w:fill="FFFFFF"/>
                <w:lang w:val="en-US"/>
              </w:rPr>
              <w:t xml:space="preserve">  </w:t>
            </w:r>
            <w:r>
              <w:rPr>
                <w:rFonts w:hint="eastAsia" w:ascii="仿宋" w:hAnsi="仿宋" w:eastAsia="仿宋" w:cs="仿宋"/>
                <w:color w:val="000000"/>
                <w:sz w:val="24"/>
                <w:szCs w:val="24"/>
                <w:lang w:val="en-US"/>
              </w:rPr>
              <w:t>金融科技发展指标</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2.</w:t>
            </w:r>
            <w:r>
              <w:rPr>
                <w:rFonts w:hint="eastAsia" w:ascii="仿宋" w:hAnsi="仿宋" w:eastAsia="仿宋" w:cs="仿宋"/>
                <w:sz w:val="24"/>
                <w:szCs w:val="24"/>
              </w:rPr>
              <w:t>JR/T 0200-2020</w:t>
            </w:r>
            <w:r>
              <w:rPr>
                <w:rFonts w:hint="eastAsia" w:ascii="仿宋" w:hAnsi="仿宋" w:eastAsia="仿宋" w:cs="仿宋"/>
                <w:sz w:val="24"/>
                <w:szCs w:val="24"/>
                <w:lang w:val="en-US"/>
              </w:rPr>
              <w:t xml:space="preserve">  </w:t>
            </w:r>
            <w:r>
              <w:rPr>
                <w:rFonts w:hint="eastAsia" w:ascii="仿宋" w:hAnsi="仿宋" w:eastAsia="仿宋" w:cs="仿宋"/>
                <w:color w:val="000000"/>
                <w:sz w:val="24"/>
                <w:szCs w:val="24"/>
                <w:lang w:val="en-US"/>
              </w:rPr>
              <w:t>金融科技创新风险监控规范</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3.</w:t>
            </w:r>
            <w:r>
              <w:rPr>
                <w:rFonts w:hint="eastAsia" w:ascii="仿宋" w:hAnsi="仿宋" w:eastAsia="仿宋" w:cs="仿宋"/>
                <w:sz w:val="24"/>
                <w:szCs w:val="24"/>
              </w:rPr>
              <w:t>JR/T 0199-2020</w:t>
            </w:r>
            <w:r>
              <w:rPr>
                <w:rFonts w:hint="eastAsia" w:ascii="仿宋" w:hAnsi="仿宋" w:eastAsia="仿宋" w:cs="仿宋"/>
                <w:sz w:val="24"/>
                <w:szCs w:val="24"/>
                <w:lang w:val="en-US"/>
              </w:rPr>
              <w:t xml:space="preserve">  </w:t>
            </w:r>
            <w:r>
              <w:rPr>
                <w:rFonts w:hint="eastAsia" w:ascii="仿宋" w:hAnsi="仿宋" w:eastAsia="仿宋" w:cs="仿宋"/>
                <w:color w:val="000000"/>
                <w:sz w:val="24"/>
                <w:szCs w:val="24"/>
                <w:lang w:val="en-US"/>
              </w:rPr>
              <w:t>金融科技创新安全通用规范</w:t>
            </w:r>
          </w:p>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4.</w:t>
            </w:r>
            <w:r>
              <w:rPr>
                <w:rFonts w:hint="eastAsia" w:ascii="仿宋" w:hAnsi="仿宋" w:eastAsia="仿宋" w:cs="仿宋"/>
                <w:color w:val="333333"/>
                <w:sz w:val="24"/>
                <w:szCs w:val="24"/>
                <w:lang w:val="en-US" w:bidi="ar"/>
              </w:rPr>
              <w:t xml:space="preserve">JR/T 0198-2020  </w:t>
            </w:r>
            <w:r>
              <w:rPr>
                <w:rFonts w:hint="eastAsia" w:ascii="仿宋" w:hAnsi="仿宋" w:eastAsia="仿宋" w:cs="仿宋"/>
                <w:color w:val="000000"/>
                <w:sz w:val="24"/>
                <w:szCs w:val="24"/>
                <w:lang w:val="en-US"/>
              </w:rPr>
              <w:t>金融科技创新应用测试规范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赛项赛场准备</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Align w:val="center"/>
          </w:tcPr>
          <w:p>
            <w:pPr>
              <w:pStyle w:val="12"/>
              <w:adjustRightInd w:val="0"/>
              <w:snapToGrid w:val="0"/>
              <w:spacing w:after="0"/>
              <w:ind w:left="0" w:leftChars="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注意事项</w:t>
            </w:r>
          </w:p>
        </w:tc>
        <w:tc>
          <w:tcPr>
            <w:tcW w:w="4180" w:type="pct"/>
            <w:gridSpan w:val="6"/>
            <w:vAlign w:val="center"/>
          </w:tcPr>
          <w:p>
            <w:pPr>
              <w:pStyle w:val="12"/>
              <w:spacing w:after="0"/>
              <w:ind w:left="0" w:leftChars="0" w:firstLine="0" w:firstLineChars="0"/>
              <w:rPr>
                <w:rFonts w:hint="eastAsia" w:ascii="仿宋" w:hAnsi="仿宋" w:eastAsia="仿宋" w:cs="仿宋"/>
                <w:color w:val="000000"/>
                <w:sz w:val="24"/>
                <w:szCs w:val="24"/>
                <w:lang w:val="en-US"/>
              </w:rPr>
            </w:pPr>
          </w:p>
        </w:tc>
      </w:tr>
    </w:tbl>
    <w:p>
      <w:pPr>
        <w:pStyle w:val="18"/>
        <w:tabs>
          <w:tab w:val="left" w:pos="1546"/>
        </w:tabs>
        <w:snapToGrid w:val="0"/>
        <w:spacing w:line="480" w:lineRule="exact"/>
        <w:ind w:left="0" w:firstLine="0"/>
        <w:textAlignment w:val="baseline"/>
        <w:rPr>
          <w:b/>
          <w:sz w:val="32"/>
          <w:szCs w:val="32"/>
          <w:lang w:val="en-US"/>
        </w:rPr>
      </w:pPr>
    </w:p>
    <w:p>
      <w:pPr>
        <w:pStyle w:val="4"/>
        <w:snapToGrid w:val="0"/>
        <w:spacing w:line="480" w:lineRule="exact"/>
        <w:ind w:left="0" w:firstLine="607" w:firstLineChars="200"/>
        <w:textAlignment w:val="baseline"/>
        <w:rPr>
          <w:rFonts w:hint="eastAsia" w:ascii="黑体" w:hAnsi="黑体" w:eastAsia="黑体" w:cs="黑体"/>
          <w:sz w:val="32"/>
          <w:szCs w:val="32"/>
        </w:rPr>
      </w:pPr>
      <w:r>
        <w:rPr>
          <w:rFonts w:hint="eastAsia" w:ascii="黑体" w:hAnsi="黑体" w:eastAsia="黑体" w:cs="黑体"/>
          <w:spacing w:val="-1"/>
          <w:w w:val="95"/>
          <w:sz w:val="32"/>
          <w:szCs w:val="32"/>
          <w:lang w:val="en-US"/>
        </w:rPr>
        <w:t>十</w:t>
      </w:r>
      <w:r>
        <w:rPr>
          <w:rFonts w:hint="eastAsia" w:ascii="黑体" w:hAnsi="黑体" w:eastAsia="黑体" w:cs="黑体"/>
          <w:spacing w:val="-1"/>
          <w:w w:val="95"/>
          <w:sz w:val="32"/>
          <w:szCs w:val="32"/>
        </w:rPr>
        <w:t>、成绩评定</w:t>
      </w:r>
    </w:p>
    <w:p>
      <w:pPr>
        <w:snapToGrid w:val="0"/>
        <w:spacing w:line="480" w:lineRule="exact"/>
        <w:ind w:firstLine="607" w:firstLineChars="200"/>
        <w:textAlignment w:val="baseline"/>
        <w:rPr>
          <w:rFonts w:hint="eastAsia" w:ascii="楷体" w:hAnsi="楷体" w:eastAsia="楷体" w:cs="楷体"/>
          <w:b/>
          <w:sz w:val="32"/>
          <w:szCs w:val="32"/>
        </w:rPr>
      </w:pPr>
      <w:bookmarkStart w:id="8" w:name="（一）评分原则"/>
      <w:bookmarkEnd w:id="8"/>
      <w:r>
        <w:rPr>
          <w:rFonts w:hint="eastAsia" w:ascii="楷体" w:hAnsi="楷体" w:eastAsia="楷体" w:cs="楷体"/>
          <w:b/>
          <w:spacing w:val="-1"/>
          <w:w w:val="95"/>
          <w:sz w:val="32"/>
          <w:szCs w:val="32"/>
        </w:rPr>
        <w:t>（一）</w:t>
      </w:r>
      <w:r>
        <w:rPr>
          <w:rFonts w:hint="eastAsia" w:ascii="楷体" w:hAnsi="楷体" w:eastAsia="楷体" w:cs="楷体"/>
          <w:b/>
          <w:w w:val="95"/>
          <w:sz w:val="32"/>
          <w:szCs w:val="32"/>
        </w:rPr>
        <w:t>评分原则</w:t>
      </w:r>
    </w:p>
    <w:p>
      <w:pPr>
        <w:pStyle w:val="18"/>
        <w:tabs>
          <w:tab w:val="left" w:pos="1260"/>
        </w:tabs>
        <w:snapToGrid w:val="0"/>
        <w:spacing w:line="480" w:lineRule="exact"/>
        <w:ind w:left="0" w:firstLine="604" w:firstLineChars="200"/>
        <w:textAlignment w:val="baseline"/>
        <w:rPr>
          <w:spacing w:val="-9"/>
          <w:sz w:val="32"/>
          <w:szCs w:val="32"/>
        </w:rPr>
      </w:pPr>
      <w:r>
        <w:rPr>
          <w:rFonts w:hint="eastAsia"/>
          <w:spacing w:val="-9"/>
          <w:sz w:val="32"/>
          <w:szCs w:val="32"/>
        </w:rPr>
        <w:t>应遵循“公开、公平、公正”的竞赛原则，科学、客观、严谨的进行赛项评分。</w:t>
      </w:r>
    </w:p>
    <w:p>
      <w:pPr>
        <w:snapToGrid w:val="0"/>
        <w:spacing w:line="480" w:lineRule="exact"/>
        <w:ind w:firstLine="607" w:firstLineChars="200"/>
        <w:textAlignment w:val="baseline"/>
        <w:rPr>
          <w:rFonts w:hint="eastAsia" w:ascii="楷体" w:hAnsi="楷体" w:eastAsia="楷体" w:cs="楷体"/>
          <w:b/>
          <w:spacing w:val="-1"/>
          <w:w w:val="95"/>
          <w:sz w:val="32"/>
          <w:szCs w:val="32"/>
        </w:rPr>
      </w:pPr>
      <w:bookmarkStart w:id="9" w:name="（二）评分方法"/>
      <w:bookmarkEnd w:id="9"/>
      <w:r>
        <w:rPr>
          <w:rFonts w:hint="eastAsia" w:ascii="楷体" w:hAnsi="楷体" w:eastAsia="楷体" w:cs="楷体"/>
          <w:b/>
          <w:spacing w:val="-1"/>
          <w:w w:val="95"/>
          <w:sz w:val="32"/>
          <w:szCs w:val="32"/>
        </w:rPr>
        <w:t>（二）评分方法</w:t>
      </w:r>
    </w:p>
    <w:p>
      <w:pPr>
        <w:widowControl/>
        <w:spacing w:line="480" w:lineRule="exact"/>
        <w:ind w:firstLine="604" w:firstLineChars="200"/>
        <w:rPr>
          <w:spacing w:val="-9"/>
          <w:sz w:val="32"/>
          <w:szCs w:val="32"/>
        </w:rPr>
      </w:pPr>
      <w:bookmarkStart w:id="10" w:name="（三）评分细节"/>
      <w:bookmarkEnd w:id="10"/>
      <w:r>
        <w:rPr>
          <w:rFonts w:hint="eastAsia"/>
          <w:spacing w:val="-9"/>
          <w:sz w:val="32"/>
          <w:szCs w:val="32"/>
          <w:lang w:val="en-US"/>
        </w:rPr>
        <w:t xml:space="preserve">1.“金融职业素养”竞赛成绩评定由“竞赛技术平台”自动评分，其中手工点钞采用计算机系统自动评分与现场裁判评分相结合的评分办法，实行分面额计分制； </w:t>
      </w:r>
    </w:p>
    <w:p>
      <w:pPr>
        <w:widowControl/>
        <w:spacing w:line="480" w:lineRule="exact"/>
        <w:ind w:firstLine="604" w:firstLineChars="200"/>
        <w:rPr>
          <w:spacing w:val="-9"/>
          <w:sz w:val="32"/>
          <w:szCs w:val="32"/>
        </w:rPr>
      </w:pPr>
      <w:r>
        <w:rPr>
          <w:rFonts w:hint="eastAsia"/>
          <w:spacing w:val="-9"/>
          <w:sz w:val="32"/>
          <w:szCs w:val="32"/>
          <w:lang w:val="en-US"/>
        </w:rPr>
        <w:t xml:space="preserve">2.“金融综合技能”竞赛成绩评定由“竞赛技术平台”评分； </w:t>
      </w:r>
    </w:p>
    <w:p>
      <w:pPr>
        <w:widowControl/>
        <w:spacing w:line="480" w:lineRule="exact"/>
        <w:ind w:firstLine="604" w:firstLineChars="200"/>
        <w:rPr>
          <w:spacing w:val="-9"/>
          <w:sz w:val="32"/>
          <w:szCs w:val="32"/>
        </w:rPr>
      </w:pPr>
      <w:r>
        <w:rPr>
          <w:rFonts w:hint="eastAsia"/>
          <w:spacing w:val="-9"/>
          <w:sz w:val="32"/>
          <w:szCs w:val="32"/>
          <w:lang w:val="en-US"/>
        </w:rPr>
        <w:t xml:space="preserve">3.“数字金融业务”竞赛成绩评定“竞赛技术平台”自动评分； </w:t>
      </w:r>
    </w:p>
    <w:p>
      <w:pPr>
        <w:widowControl/>
        <w:spacing w:line="480" w:lineRule="exact"/>
        <w:ind w:firstLine="604" w:firstLineChars="200"/>
        <w:rPr>
          <w:spacing w:val="-9"/>
          <w:sz w:val="32"/>
          <w:szCs w:val="32"/>
        </w:rPr>
      </w:pPr>
      <w:r>
        <w:rPr>
          <w:rFonts w:hint="eastAsia"/>
          <w:spacing w:val="-9"/>
          <w:sz w:val="32"/>
          <w:szCs w:val="32"/>
          <w:lang w:val="en-US"/>
        </w:rPr>
        <w:t>4.团体总成绩由1、2、3项目竞赛得分相加构成。</w:t>
      </w:r>
    </w:p>
    <w:p>
      <w:pPr>
        <w:snapToGrid w:val="0"/>
        <w:spacing w:line="480" w:lineRule="exact"/>
        <w:ind w:firstLine="607" w:firstLineChars="200"/>
        <w:textAlignment w:val="baseline"/>
        <w:rPr>
          <w:rFonts w:hint="eastAsia" w:ascii="楷体" w:hAnsi="楷体" w:eastAsia="楷体" w:cs="楷体"/>
          <w:b/>
          <w:spacing w:val="-1"/>
          <w:w w:val="95"/>
          <w:sz w:val="32"/>
          <w:szCs w:val="32"/>
        </w:rPr>
      </w:pPr>
      <w:r>
        <w:rPr>
          <w:rFonts w:hint="eastAsia" w:ascii="楷体" w:hAnsi="楷体" w:eastAsia="楷体" w:cs="楷体"/>
          <w:b/>
          <w:spacing w:val="-1"/>
          <w:w w:val="95"/>
          <w:sz w:val="32"/>
          <w:szCs w:val="32"/>
        </w:rPr>
        <w:t>（三）评分细节</w:t>
      </w:r>
    </w:p>
    <w:p>
      <w:pPr>
        <w:pStyle w:val="18"/>
        <w:tabs>
          <w:tab w:val="left" w:pos="1260"/>
        </w:tabs>
        <w:snapToGrid w:val="0"/>
        <w:spacing w:line="480" w:lineRule="exact"/>
        <w:ind w:left="440" w:leftChars="200" w:firstLine="0"/>
        <w:textAlignment w:val="baseline"/>
        <w:rPr>
          <w:rFonts w:hint="eastAsia" w:ascii="仿宋" w:hAnsi="仿宋" w:eastAsia="仿宋" w:cs="仿宋"/>
          <w:b/>
          <w:bCs w:val="0"/>
          <w:sz w:val="32"/>
          <w:szCs w:val="32"/>
        </w:rPr>
      </w:pPr>
      <w:r>
        <w:rPr>
          <w:rFonts w:hint="eastAsia" w:ascii="仿宋" w:hAnsi="仿宋" w:eastAsia="仿宋" w:cs="仿宋"/>
          <w:b/>
          <w:bCs w:val="0"/>
          <w:spacing w:val="-1"/>
          <w:sz w:val="32"/>
          <w:szCs w:val="32"/>
          <w:lang w:val="en-US"/>
        </w:rPr>
        <w:t>1.</w:t>
      </w:r>
      <w:r>
        <w:rPr>
          <w:rFonts w:hint="eastAsia" w:ascii="仿宋" w:hAnsi="仿宋" w:eastAsia="仿宋" w:cs="仿宋"/>
          <w:b/>
          <w:bCs w:val="0"/>
          <w:spacing w:val="-1"/>
          <w:sz w:val="32"/>
          <w:szCs w:val="32"/>
        </w:rPr>
        <w:t>业务素养赛项</w:t>
      </w:r>
      <w:r>
        <w:rPr>
          <w:rFonts w:hint="eastAsia" w:ascii="仿宋" w:hAnsi="仿宋" w:eastAsia="仿宋" w:cs="仿宋"/>
          <w:b/>
          <w:bCs w:val="0"/>
          <w:sz w:val="32"/>
          <w:szCs w:val="32"/>
        </w:rPr>
        <w:t>（</w:t>
      </w:r>
      <w:r>
        <w:rPr>
          <w:rFonts w:hint="eastAsia" w:ascii="仿宋" w:hAnsi="仿宋" w:eastAsia="仿宋" w:cs="仿宋"/>
          <w:b/>
          <w:bCs w:val="0"/>
          <w:spacing w:val="-36"/>
          <w:sz w:val="32"/>
          <w:szCs w:val="32"/>
        </w:rPr>
        <w:t>共</w:t>
      </w:r>
      <w:r>
        <w:rPr>
          <w:rFonts w:hint="eastAsia" w:ascii="仿宋" w:hAnsi="仿宋" w:eastAsia="仿宋" w:cs="仿宋"/>
          <w:b/>
          <w:bCs w:val="0"/>
          <w:sz w:val="32"/>
          <w:szCs w:val="32"/>
        </w:rPr>
        <w:t>400</w:t>
      </w:r>
      <w:r>
        <w:rPr>
          <w:rFonts w:hint="eastAsia" w:ascii="仿宋" w:hAnsi="仿宋" w:eastAsia="仿宋" w:cs="仿宋"/>
          <w:b/>
          <w:bCs w:val="0"/>
          <w:spacing w:val="-26"/>
          <w:sz w:val="32"/>
          <w:szCs w:val="32"/>
        </w:rPr>
        <w:t>分。每人</w:t>
      </w:r>
      <w:r>
        <w:rPr>
          <w:rFonts w:hint="eastAsia" w:ascii="仿宋" w:hAnsi="仿宋" w:eastAsia="仿宋" w:cs="仿宋"/>
          <w:b/>
          <w:bCs w:val="0"/>
          <w:sz w:val="32"/>
          <w:szCs w:val="32"/>
        </w:rPr>
        <w:t>100</w:t>
      </w:r>
      <w:r>
        <w:rPr>
          <w:rFonts w:hint="eastAsia" w:ascii="仿宋" w:hAnsi="仿宋" w:eastAsia="仿宋" w:cs="仿宋"/>
          <w:b/>
          <w:bCs w:val="0"/>
          <w:spacing w:val="-25"/>
          <w:sz w:val="32"/>
          <w:szCs w:val="32"/>
        </w:rPr>
        <w:t>分。</w:t>
      </w:r>
      <w:r>
        <w:rPr>
          <w:rFonts w:hint="eastAsia" w:ascii="仿宋" w:hAnsi="仿宋" w:eastAsia="仿宋" w:cs="仿宋"/>
          <w:b/>
          <w:bCs w:val="0"/>
          <w:sz w:val="32"/>
          <w:szCs w:val="32"/>
        </w:rPr>
        <w:t>）</w:t>
      </w:r>
    </w:p>
    <w:tbl>
      <w:tblPr>
        <w:tblStyle w:val="13"/>
        <w:tblW w:w="8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9"/>
        <w:gridCol w:w="4099"/>
        <w:gridCol w:w="1417"/>
        <w:gridCol w:w="12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jc w:val="center"/>
        </w:trPr>
        <w:tc>
          <w:tcPr>
            <w:tcW w:w="1429" w:type="dxa"/>
          </w:tcPr>
          <w:p>
            <w:pPr>
              <w:pStyle w:val="19"/>
              <w:snapToGrid w:val="0"/>
              <w:jc w:val="center"/>
              <w:textAlignment w:val="baseline"/>
              <w:rPr>
                <w:sz w:val="21"/>
                <w:szCs w:val="21"/>
              </w:rPr>
            </w:pPr>
            <w:r>
              <w:rPr>
                <w:rFonts w:hint="eastAsia"/>
                <w:sz w:val="21"/>
                <w:szCs w:val="21"/>
              </w:rPr>
              <w:t>项目</w:t>
            </w:r>
          </w:p>
        </w:tc>
        <w:tc>
          <w:tcPr>
            <w:tcW w:w="4099" w:type="dxa"/>
          </w:tcPr>
          <w:p>
            <w:pPr>
              <w:pStyle w:val="19"/>
              <w:snapToGrid w:val="0"/>
              <w:jc w:val="center"/>
              <w:textAlignment w:val="baseline"/>
              <w:rPr>
                <w:sz w:val="21"/>
                <w:szCs w:val="21"/>
              </w:rPr>
            </w:pPr>
            <w:r>
              <w:rPr>
                <w:rFonts w:hint="eastAsia"/>
                <w:sz w:val="21"/>
                <w:szCs w:val="21"/>
              </w:rPr>
              <w:t>评分细则</w:t>
            </w:r>
          </w:p>
        </w:tc>
        <w:tc>
          <w:tcPr>
            <w:tcW w:w="1417" w:type="dxa"/>
          </w:tcPr>
          <w:p>
            <w:pPr>
              <w:pStyle w:val="19"/>
              <w:snapToGrid w:val="0"/>
              <w:jc w:val="center"/>
              <w:textAlignment w:val="baseline"/>
              <w:rPr>
                <w:sz w:val="21"/>
                <w:szCs w:val="21"/>
              </w:rPr>
            </w:pPr>
            <w:r>
              <w:rPr>
                <w:rFonts w:hint="eastAsia"/>
                <w:sz w:val="21"/>
                <w:szCs w:val="21"/>
              </w:rPr>
              <w:t>分值</w:t>
            </w:r>
          </w:p>
        </w:tc>
        <w:tc>
          <w:tcPr>
            <w:tcW w:w="1272" w:type="dxa"/>
          </w:tcPr>
          <w:p>
            <w:pPr>
              <w:pStyle w:val="19"/>
              <w:snapToGrid w:val="0"/>
              <w:jc w:val="center"/>
              <w:textAlignment w:val="baseline"/>
              <w:rPr>
                <w:sz w:val="21"/>
                <w:szCs w:val="21"/>
              </w:rPr>
            </w:pPr>
            <w:r>
              <w:rPr>
                <w:rFonts w:hint="eastAsia"/>
                <w:sz w:val="21"/>
                <w:szCs w:val="21"/>
              </w:rPr>
              <w:t>评分方法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1429" w:type="dxa"/>
            <w:vMerge w:val="restart"/>
            <w:vAlign w:val="center"/>
          </w:tcPr>
          <w:p>
            <w:pPr>
              <w:pStyle w:val="19"/>
              <w:snapToGrid w:val="0"/>
              <w:ind w:firstLine="420" w:firstLineChars="200"/>
              <w:textAlignment w:val="baseline"/>
              <w:rPr>
                <w:sz w:val="21"/>
                <w:szCs w:val="21"/>
              </w:rPr>
            </w:pPr>
            <w:r>
              <w:rPr>
                <w:rFonts w:hint="eastAsia"/>
                <w:sz w:val="21"/>
                <w:szCs w:val="21"/>
              </w:rPr>
              <w:t>业务素养</w:t>
            </w:r>
          </w:p>
        </w:tc>
        <w:tc>
          <w:tcPr>
            <w:tcW w:w="4099" w:type="dxa"/>
            <w:vAlign w:val="center"/>
          </w:tcPr>
          <w:p>
            <w:pPr>
              <w:pStyle w:val="19"/>
              <w:snapToGrid w:val="0"/>
              <w:jc w:val="center"/>
              <w:textAlignment w:val="baseline"/>
              <w:rPr>
                <w:sz w:val="21"/>
                <w:szCs w:val="21"/>
              </w:rPr>
            </w:pPr>
            <w:r>
              <w:rPr>
                <w:rFonts w:hint="eastAsia"/>
                <w:sz w:val="21"/>
                <w:szCs w:val="21"/>
              </w:rPr>
              <w:t>经济金融理论基础知识、银行业务知识、金融科技理论知识80%</w:t>
            </w:r>
          </w:p>
        </w:tc>
        <w:tc>
          <w:tcPr>
            <w:tcW w:w="1417" w:type="dxa"/>
            <w:vMerge w:val="restart"/>
            <w:vAlign w:val="center"/>
          </w:tcPr>
          <w:p>
            <w:pPr>
              <w:pStyle w:val="19"/>
              <w:snapToGrid w:val="0"/>
              <w:ind w:firstLine="420" w:firstLineChars="200"/>
              <w:textAlignment w:val="baseline"/>
              <w:rPr>
                <w:sz w:val="21"/>
                <w:szCs w:val="21"/>
              </w:rPr>
            </w:pPr>
            <w:r>
              <w:rPr>
                <w:rFonts w:hint="eastAsia"/>
                <w:sz w:val="21"/>
                <w:szCs w:val="21"/>
              </w:rPr>
              <w:t>100分</w:t>
            </w:r>
          </w:p>
        </w:tc>
        <w:tc>
          <w:tcPr>
            <w:tcW w:w="1272" w:type="dxa"/>
            <w:vMerge w:val="restart"/>
            <w:vAlign w:val="center"/>
          </w:tcPr>
          <w:p>
            <w:pPr>
              <w:pStyle w:val="19"/>
              <w:snapToGrid w:val="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jc w:val="center"/>
        </w:trPr>
        <w:tc>
          <w:tcPr>
            <w:tcW w:w="1429" w:type="dxa"/>
            <w:vMerge w:val="continue"/>
            <w:tcBorders>
              <w:top w:val="nil"/>
            </w:tcBorders>
          </w:tcPr>
          <w:p>
            <w:pPr>
              <w:snapToGrid w:val="0"/>
              <w:ind w:firstLine="640" w:firstLineChars="200"/>
              <w:textAlignment w:val="baseline"/>
              <w:rPr>
                <w:sz w:val="32"/>
                <w:szCs w:val="32"/>
              </w:rPr>
            </w:pPr>
          </w:p>
        </w:tc>
        <w:tc>
          <w:tcPr>
            <w:tcW w:w="4099" w:type="dxa"/>
          </w:tcPr>
          <w:p>
            <w:pPr>
              <w:pStyle w:val="19"/>
              <w:snapToGrid w:val="0"/>
              <w:ind w:firstLine="420" w:firstLineChars="200"/>
              <w:textAlignment w:val="baseline"/>
              <w:rPr>
                <w:sz w:val="21"/>
                <w:szCs w:val="21"/>
              </w:rPr>
            </w:pPr>
            <w:r>
              <w:rPr>
                <w:rFonts w:hint="eastAsia"/>
                <w:sz w:val="21"/>
                <w:szCs w:val="21"/>
              </w:rPr>
              <w:t>金融业务法律基础10%</w:t>
            </w:r>
          </w:p>
        </w:tc>
        <w:tc>
          <w:tcPr>
            <w:tcW w:w="1417" w:type="dxa"/>
            <w:vMerge w:val="continue"/>
            <w:tcBorders>
              <w:top w:val="nil"/>
            </w:tcBorders>
          </w:tcPr>
          <w:p>
            <w:pPr>
              <w:snapToGrid w:val="0"/>
              <w:ind w:firstLine="640" w:firstLineChars="200"/>
              <w:textAlignment w:val="baseline"/>
              <w:rPr>
                <w:sz w:val="32"/>
                <w:szCs w:val="32"/>
              </w:rPr>
            </w:pPr>
          </w:p>
        </w:tc>
        <w:tc>
          <w:tcPr>
            <w:tcW w:w="1272" w:type="dxa"/>
            <w:vMerge w:val="continue"/>
            <w:tcBorders>
              <w:top w:val="nil"/>
            </w:tcBorders>
          </w:tcPr>
          <w:p>
            <w:pPr>
              <w:snapToGrid w:val="0"/>
              <w:ind w:firstLine="640" w:firstLineChars="200"/>
              <w:textAlignment w:val="baseline"/>
              <w:rPr>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jc w:val="center"/>
        </w:trPr>
        <w:tc>
          <w:tcPr>
            <w:tcW w:w="1429" w:type="dxa"/>
            <w:vMerge w:val="continue"/>
            <w:tcBorders>
              <w:top w:val="nil"/>
            </w:tcBorders>
          </w:tcPr>
          <w:p>
            <w:pPr>
              <w:snapToGrid w:val="0"/>
              <w:ind w:firstLine="640" w:firstLineChars="200"/>
              <w:textAlignment w:val="baseline"/>
              <w:rPr>
                <w:sz w:val="32"/>
                <w:szCs w:val="32"/>
              </w:rPr>
            </w:pPr>
          </w:p>
        </w:tc>
        <w:tc>
          <w:tcPr>
            <w:tcW w:w="4099" w:type="dxa"/>
          </w:tcPr>
          <w:p>
            <w:pPr>
              <w:pStyle w:val="19"/>
              <w:snapToGrid w:val="0"/>
              <w:ind w:firstLine="420" w:firstLineChars="200"/>
              <w:textAlignment w:val="baseline"/>
              <w:rPr>
                <w:sz w:val="21"/>
                <w:szCs w:val="21"/>
              </w:rPr>
            </w:pPr>
            <w:r>
              <w:rPr>
                <w:rFonts w:hint="eastAsia"/>
                <w:sz w:val="21"/>
                <w:szCs w:val="21"/>
              </w:rPr>
              <w:t>金融从业人员职业行为10%</w:t>
            </w:r>
          </w:p>
        </w:tc>
        <w:tc>
          <w:tcPr>
            <w:tcW w:w="1417" w:type="dxa"/>
            <w:vMerge w:val="continue"/>
            <w:tcBorders>
              <w:top w:val="nil"/>
            </w:tcBorders>
          </w:tcPr>
          <w:p>
            <w:pPr>
              <w:snapToGrid w:val="0"/>
              <w:ind w:firstLine="640" w:firstLineChars="200"/>
              <w:textAlignment w:val="baseline"/>
              <w:rPr>
                <w:sz w:val="32"/>
                <w:szCs w:val="32"/>
              </w:rPr>
            </w:pPr>
          </w:p>
        </w:tc>
        <w:tc>
          <w:tcPr>
            <w:tcW w:w="1272" w:type="dxa"/>
            <w:vMerge w:val="continue"/>
            <w:tcBorders>
              <w:top w:val="nil"/>
            </w:tcBorders>
          </w:tcPr>
          <w:p>
            <w:pPr>
              <w:snapToGrid w:val="0"/>
              <w:ind w:firstLine="640" w:firstLineChars="200"/>
              <w:textAlignment w:val="baseline"/>
              <w:rPr>
                <w:sz w:val="32"/>
                <w:szCs w:val="32"/>
              </w:rPr>
            </w:pPr>
          </w:p>
        </w:tc>
      </w:tr>
    </w:tbl>
    <w:p>
      <w:pPr>
        <w:pStyle w:val="18"/>
        <w:tabs>
          <w:tab w:val="left" w:pos="1260"/>
        </w:tabs>
        <w:snapToGrid w:val="0"/>
        <w:spacing w:line="480" w:lineRule="exact"/>
        <w:ind w:left="440" w:leftChars="200" w:firstLine="0"/>
        <w:textAlignment w:val="baseline"/>
        <w:rPr>
          <w:b/>
          <w:sz w:val="32"/>
          <w:szCs w:val="32"/>
        </w:rPr>
      </w:pPr>
    </w:p>
    <w:p>
      <w:pPr>
        <w:pStyle w:val="18"/>
        <w:tabs>
          <w:tab w:val="left" w:pos="1260"/>
        </w:tabs>
        <w:snapToGrid w:val="0"/>
        <w:spacing w:line="480" w:lineRule="exact"/>
        <w:ind w:left="440" w:leftChars="200" w:firstLine="0"/>
        <w:textAlignment w:val="baseline"/>
        <w:rPr>
          <w:b/>
          <w:sz w:val="32"/>
          <w:szCs w:val="32"/>
        </w:rPr>
      </w:pPr>
    </w:p>
    <w:p>
      <w:pPr>
        <w:pStyle w:val="18"/>
        <w:tabs>
          <w:tab w:val="left" w:pos="1260"/>
        </w:tabs>
        <w:snapToGrid w:val="0"/>
        <w:spacing w:line="480" w:lineRule="exact"/>
        <w:ind w:left="440" w:leftChars="200" w:firstLine="0"/>
        <w:textAlignment w:val="baseline"/>
        <w:rPr>
          <w:b/>
          <w:bCs w:val="0"/>
          <w:sz w:val="32"/>
          <w:szCs w:val="32"/>
        </w:rPr>
      </w:pPr>
      <w:r>
        <w:rPr>
          <w:rFonts w:hint="eastAsia"/>
          <w:b/>
          <w:bCs w:val="0"/>
          <w:sz w:val="32"/>
          <w:szCs w:val="32"/>
          <w:lang w:val="en-US"/>
        </w:rPr>
        <w:t>2.</w:t>
      </w:r>
      <w:r>
        <w:rPr>
          <w:rFonts w:hint="eastAsia"/>
          <w:b/>
          <w:bCs w:val="0"/>
          <w:sz w:val="32"/>
          <w:szCs w:val="32"/>
        </w:rPr>
        <w:t>业务技能赛项（</w:t>
      </w:r>
      <w:r>
        <w:rPr>
          <w:rFonts w:hint="eastAsia"/>
          <w:b/>
          <w:bCs w:val="0"/>
          <w:spacing w:val="-38"/>
          <w:sz w:val="32"/>
          <w:szCs w:val="32"/>
        </w:rPr>
        <w:t>共</w:t>
      </w:r>
      <w:r>
        <w:rPr>
          <w:rFonts w:hint="eastAsia"/>
          <w:b/>
          <w:bCs w:val="0"/>
          <w:sz w:val="32"/>
          <w:szCs w:val="32"/>
        </w:rPr>
        <w:t>800</w:t>
      </w:r>
      <w:r>
        <w:rPr>
          <w:rFonts w:hint="eastAsia"/>
          <w:b/>
          <w:bCs w:val="0"/>
          <w:spacing w:val="-24"/>
          <w:sz w:val="32"/>
          <w:szCs w:val="32"/>
        </w:rPr>
        <w:t>分。</w:t>
      </w:r>
      <w:r>
        <w:rPr>
          <w:rFonts w:hint="eastAsia"/>
          <w:b/>
          <w:bCs w:val="0"/>
          <w:spacing w:val="-16"/>
          <w:sz w:val="32"/>
          <w:szCs w:val="32"/>
        </w:rPr>
        <w:t>每人每项</w:t>
      </w:r>
      <w:r>
        <w:rPr>
          <w:rFonts w:hint="eastAsia"/>
          <w:b/>
          <w:bCs w:val="0"/>
          <w:sz w:val="32"/>
          <w:szCs w:val="32"/>
        </w:rPr>
        <w:t>50</w:t>
      </w:r>
      <w:r>
        <w:rPr>
          <w:rFonts w:hint="eastAsia"/>
          <w:b/>
          <w:bCs w:val="0"/>
          <w:spacing w:val="-26"/>
          <w:sz w:val="32"/>
          <w:szCs w:val="32"/>
        </w:rPr>
        <w:t>分，合计</w:t>
      </w:r>
      <w:r>
        <w:rPr>
          <w:rFonts w:hint="eastAsia"/>
          <w:b/>
          <w:bCs w:val="0"/>
          <w:sz w:val="32"/>
          <w:szCs w:val="32"/>
        </w:rPr>
        <w:t>200</w:t>
      </w:r>
      <w:r>
        <w:rPr>
          <w:rFonts w:hint="eastAsia"/>
          <w:b/>
          <w:bCs w:val="0"/>
          <w:spacing w:val="-25"/>
          <w:sz w:val="32"/>
          <w:szCs w:val="32"/>
        </w:rPr>
        <w:t>分。</w:t>
      </w:r>
      <w:r>
        <w:rPr>
          <w:rFonts w:hint="eastAsia"/>
          <w:b/>
          <w:bCs w:val="0"/>
          <w:sz w:val="32"/>
          <w:szCs w:val="32"/>
        </w:rPr>
        <w:t>）</w:t>
      </w:r>
    </w:p>
    <w:tbl>
      <w:tblPr>
        <w:tblStyle w:val="13"/>
        <w:tblW w:w="8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8"/>
        <w:gridCol w:w="5064"/>
        <w:gridCol w:w="881"/>
        <w:gridCol w:w="12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38" w:type="dxa"/>
            <w:vAlign w:val="center"/>
          </w:tcPr>
          <w:p>
            <w:pPr>
              <w:pStyle w:val="19"/>
              <w:snapToGrid w:val="0"/>
              <w:ind w:firstLine="420" w:firstLineChars="200"/>
              <w:textAlignment w:val="baseline"/>
              <w:rPr>
                <w:sz w:val="21"/>
                <w:szCs w:val="21"/>
              </w:rPr>
            </w:pPr>
            <w:r>
              <w:rPr>
                <w:rFonts w:hint="eastAsia"/>
                <w:sz w:val="21"/>
                <w:szCs w:val="21"/>
              </w:rPr>
              <w:t>项目</w:t>
            </w:r>
          </w:p>
        </w:tc>
        <w:tc>
          <w:tcPr>
            <w:tcW w:w="5064" w:type="dxa"/>
            <w:vAlign w:val="center"/>
          </w:tcPr>
          <w:p>
            <w:pPr>
              <w:pStyle w:val="19"/>
              <w:snapToGrid w:val="0"/>
              <w:ind w:firstLine="420" w:firstLineChars="200"/>
              <w:jc w:val="center"/>
              <w:textAlignment w:val="baseline"/>
              <w:rPr>
                <w:sz w:val="21"/>
                <w:szCs w:val="21"/>
              </w:rPr>
            </w:pPr>
            <w:r>
              <w:rPr>
                <w:rFonts w:hint="eastAsia"/>
                <w:sz w:val="21"/>
                <w:szCs w:val="21"/>
              </w:rPr>
              <w:t>评分细则</w:t>
            </w:r>
          </w:p>
        </w:tc>
        <w:tc>
          <w:tcPr>
            <w:tcW w:w="881" w:type="dxa"/>
            <w:vAlign w:val="center"/>
          </w:tcPr>
          <w:p>
            <w:pPr>
              <w:pStyle w:val="19"/>
              <w:snapToGrid w:val="0"/>
              <w:jc w:val="center"/>
              <w:textAlignment w:val="baseline"/>
              <w:rPr>
                <w:sz w:val="21"/>
                <w:szCs w:val="21"/>
              </w:rPr>
            </w:pPr>
            <w:r>
              <w:rPr>
                <w:rFonts w:hint="eastAsia"/>
                <w:sz w:val="21"/>
                <w:szCs w:val="21"/>
              </w:rPr>
              <w:t>分值</w:t>
            </w:r>
          </w:p>
        </w:tc>
        <w:tc>
          <w:tcPr>
            <w:tcW w:w="1283" w:type="dxa"/>
            <w:vAlign w:val="center"/>
          </w:tcPr>
          <w:p>
            <w:pPr>
              <w:pStyle w:val="19"/>
              <w:snapToGrid w:val="0"/>
              <w:jc w:val="center"/>
              <w:textAlignment w:val="baseline"/>
              <w:rPr>
                <w:sz w:val="21"/>
                <w:szCs w:val="21"/>
              </w:rPr>
            </w:pPr>
            <w:r>
              <w:rPr>
                <w:rFonts w:hint="eastAsia"/>
                <w:sz w:val="21"/>
                <w:szCs w:val="21"/>
              </w:rPr>
              <w:t>评分方法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38" w:type="dxa"/>
            <w:vAlign w:val="center"/>
          </w:tcPr>
          <w:p>
            <w:pPr>
              <w:pStyle w:val="19"/>
              <w:snapToGrid w:val="0"/>
              <w:ind w:firstLine="420" w:firstLineChars="200"/>
              <w:textAlignment w:val="baseline"/>
              <w:rPr>
                <w:sz w:val="21"/>
                <w:szCs w:val="21"/>
              </w:rPr>
            </w:pPr>
          </w:p>
          <w:p>
            <w:pPr>
              <w:pStyle w:val="19"/>
              <w:snapToGrid w:val="0"/>
              <w:textAlignment w:val="baseline"/>
              <w:rPr>
                <w:sz w:val="21"/>
                <w:szCs w:val="21"/>
              </w:rPr>
            </w:pPr>
            <w:r>
              <w:rPr>
                <w:rFonts w:hint="eastAsia"/>
                <w:sz w:val="21"/>
                <w:szCs w:val="21"/>
              </w:rPr>
              <w:t>传票算</w:t>
            </w:r>
          </w:p>
        </w:tc>
        <w:tc>
          <w:tcPr>
            <w:tcW w:w="5064" w:type="dxa"/>
            <w:vAlign w:val="center"/>
          </w:tcPr>
          <w:p>
            <w:pPr>
              <w:pStyle w:val="19"/>
              <w:snapToGrid w:val="0"/>
              <w:ind w:firstLine="420" w:firstLineChars="200"/>
              <w:textAlignment w:val="baseline"/>
              <w:rPr>
                <w:sz w:val="21"/>
                <w:szCs w:val="21"/>
              </w:rPr>
            </w:pPr>
            <w:r>
              <w:rPr>
                <w:rFonts w:hint="eastAsia"/>
                <w:sz w:val="21"/>
                <w:szCs w:val="21"/>
              </w:rPr>
              <w:t>本项目采用计算机系统自动评分，按正确答案数记分；按计算机事先设置的采分点，每提交一个正确数字可得2.5分，提交不正确的不得分。</w:t>
            </w:r>
          </w:p>
          <w:p>
            <w:pPr>
              <w:pStyle w:val="19"/>
              <w:snapToGrid w:val="0"/>
              <w:ind w:firstLine="420" w:firstLineChars="200"/>
              <w:textAlignment w:val="baseline"/>
              <w:rPr>
                <w:sz w:val="21"/>
                <w:szCs w:val="21"/>
              </w:rPr>
            </w:pPr>
            <w:r>
              <w:rPr>
                <w:rFonts w:hint="eastAsia"/>
                <w:sz w:val="21"/>
                <w:szCs w:val="21"/>
              </w:rPr>
              <w:t>根据实际工作中的情况，比赛现场提供电脑Excel表格和计算器两种计算工具供选手自行选用。</w:t>
            </w:r>
          </w:p>
        </w:tc>
        <w:tc>
          <w:tcPr>
            <w:tcW w:w="881" w:type="dxa"/>
            <w:vAlign w:val="center"/>
          </w:tcPr>
          <w:p>
            <w:pPr>
              <w:pStyle w:val="19"/>
              <w:snapToGrid w:val="0"/>
              <w:textAlignment w:val="baseline"/>
              <w:rPr>
                <w:sz w:val="21"/>
                <w:szCs w:val="21"/>
              </w:rPr>
            </w:pPr>
            <w:r>
              <w:rPr>
                <w:rFonts w:hint="eastAsia"/>
                <w:sz w:val="21"/>
                <w:szCs w:val="21"/>
              </w:rPr>
              <w:t>50分</w:t>
            </w:r>
          </w:p>
        </w:tc>
        <w:tc>
          <w:tcPr>
            <w:tcW w:w="1283" w:type="dxa"/>
            <w:vAlign w:val="center"/>
          </w:tcPr>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5" w:hRule="atLeast"/>
          <w:jc w:val="center"/>
        </w:trPr>
        <w:tc>
          <w:tcPr>
            <w:tcW w:w="1138" w:type="dxa"/>
            <w:vAlign w:val="center"/>
          </w:tcPr>
          <w:p>
            <w:pPr>
              <w:pStyle w:val="19"/>
              <w:snapToGrid w:val="0"/>
              <w:ind w:firstLine="420" w:firstLineChars="200"/>
              <w:textAlignment w:val="baseline"/>
              <w:rPr>
                <w:sz w:val="21"/>
                <w:szCs w:val="21"/>
              </w:rPr>
            </w:pPr>
          </w:p>
          <w:p>
            <w:pPr>
              <w:pStyle w:val="19"/>
              <w:snapToGrid w:val="0"/>
              <w:textAlignment w:val="baseline"/>
              <w:rPr>
                <w:sz w:val="21"/>
                <w:szCs w:val="21"/>
              </w:rPr>
            </w:pPr>
            <w:r>
              <w:rPr>
                <w:rFonts w:hint="eastAsia"/>
                <w:sz w:val="21"/>
                <w:szCs w:val="21"/>
              </w:rPr>
              <w:t>字符录入</w:t>
            </w:r>
          </w:p>
        </w:tc>
        <w:tc>
          <w:tcPr>
            <w:tcW w:w="5064" w:type="dxa"/>
            <w:vAlign w:val="center"/>
          </w:tcPr>
          <w:p>
            <w:pPr>
              <w:widowControl/>
              <w:rPr>
                <w:sz w:val="21"/>
                <w:szCs w:val="21"/>
              </w:rPr>
            </w:pPr>
            <w:r>
              <w:rPr>
                <w:rFonts w:hint="eastAsia"/>
                <w:sz w:val="21"/>
                <w:szCs w:val="21"/>
              </w:rPr>
              <w:t>本项目采用计算机系统自动评分办法；选手提交后，按计算机事先设置的采分点，一个正确字符得</w:t>
            </w:r>
            <w:r>
              <w:rPr>
                <w:sz w:val="21"/>
                <w:szCs w:val="21"/>
                <w:lang w:val="en-US"/>
              </w:rPr>
              <w:t>0.03125</w:t>
            </w:r>
            <w:r>
              <w:rPr>
                <w:rFonts w:hint="eastAsia"/>
                <w:sz w:val="21"/>
                <w:szCs w:val="21"/>
              </w:rPr>
              <w:t>分，一个错误字符按该字符分值的3倍扣分（本项目最低为零分，不出现负分）。比赛现场电脑预装极品五笔、搜狗拼音、搜狗五笔、</w:t>
            </w:r>
            <w:r>
              <w:rPr>
                <w:rFonts w:hint="eastAsia"/>
                <w:sz w:val="21"/>
                <w:szCs w:val="21"/>
                <w:lang w:val="en-US"/>
              </w:rPr>
              <w:t>微软全拼、</w:t>
            </w:r>
            <w:r>
              <w:rPr>
                <w:rFonts w:hint="eastAsia"/>
                <w:sz w:val="21"/>
                <w:szCs w:val="21"/>
              </w:rPr>
              <w:t>万能五笔等输入法，竞赛电脑系统中未预装的输入法不得采用。</w:t>
            </w:r>
          </w:p>
        </w:tc>
        <w:tc>
          <w:tcPr>
            <w:tcW w:w="881" w:type="dxa"/>
            <w:vAlign w:val="center"/>
          </w:tcPr>
          <w:p>
            <w:pPr>
              <w:pStyle w:val="19"/>
              <w:snapToGrid w:val="0"/>
              <w:ind w:firstLine="420" w:firstLineChars="200"/>
              <w:textAlignment w:val="baseline"/>
              <w:rPr>
                <w:sz w:val="21"/>
                <w:szCs w:val="21"/>
              </w:rPr>
            </w:pPr>
          </w:p>
          <w:p>
            <w:pPr>
              <w:pStyle w:val="19"/>
              <w:snapToGrid w:val="0"/>
              <w:textAlignment w:val="baseline"/>
              <w:rPr>
                <w:sz w:val="21"/>
                <w:szCs w:val="21"/>
              </w:rPr>
            </w:pPr>
            <w:r>
              <w:rPr>
                <w:rFonts w:hint="eastAsia"/>
                <w:sz w:val="21"/>
                <w:szCs w:val="21"/>
              </w:rPr>
              <w:t>50分</w:t>
            </w:r>
          </w:p>
        </w:tc>
        <w:tc>
          <w:tcPr>
            <w:tcW w:w="1283" w:type="dxa"/>
            <w:vAlign w:val="center"/>
          </w:tcPr>
          <w:p>
            <w:pPr>
              <w:pStyle w:val="19"/>
              <w:snapToGrid w:val="0"/>
              <w:ind w:firstLine="420" w:firstLineChars="200"/>
              <w:textAlignment w:val="baseline"/>
              <w:rPr>
                <w:sz w:val="21"/>
                <w:szCs w:val="21"/>
              </w:rPr>
            </w:pPr>
          </w:p>
          <w:p>
            <w:pPr>
              <w:pStyle w:val="19"/>
              <w:snapToGrid w:val="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8" w:hRule="atLeast"/>
          <w:jc w:val="center"/>
        </w:trPr>
        <w:tc>
          <w:tcPr>
            <w:tcW w:w="1138" w:type="dxa"/>
            <w:vAlign w:val="center"/>
          </w:tcPr>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textAlignment w:val="baseline"/>
              <w:rPr>
                <w:sz w:val="21"/>
                <w:szCs w:val="21"/>
              </w:rPr>
            </w:pPr>
            <w:r>
              <w:rPr>
                <w:rFonts w:hint="eastAsia"/>
                <w:sz w:val="21"/>
                <w:szCs w:val="21"/>
              </w:rPr>
              <w:t>手工点钞</w:t>
            </w:r>
          </w:p>
        </w:tc>
        <w:tc>
          <w:tcPr>
            <w:tcW w:w="5064" w:type="dxa"/>
            <w:vAlign w:val="center"/>
          </w:tcPr>
          <w:p>
            <w:pPr>
              <w:pStyle w:val="19"/>
              <w:snapToGrid w:val="0"/>
              <w:ind w:firstLine="420" w:firstLineChars="200"/>
              <w:textAlignment w:val="baseline"/>
              <w:rPr>
                <w:sz w:val="21"/>
                <w:szCs w:val="21"/>
              </w:rPr>
            </w:pPr>
            <w:r>
              <w:rPr>
                <w:rFonts w:hint="eastAsia"/>
                <w:sz w:val="21"/>
                <w:szCs w:val="21"/>
              </w:rPr>
              <w:t>采用计算机系统自动评分办法。按计算机事先设置的采分点评分，共8种面额钞票，选手清点完并对钞票进行扎把，盖章操作每一种面额钞票后将钞票数量和金额录入到竞赛平台系统中。每种钞票录入数量正确得5分，金额正确得1.25分。选手清点完毕，必须将全部钞票整齐放入筐中，以便裁判人员复核。</w:t>
            </w:r>
          </w:p>
          <w:p>
            <w:pPr>
              <w:pStyle w:val="19"/>
              <w:snapToGrid w:val="0"/>
              <w:ind w:firstLine="420" w:firstLineChars="200"/>
              <w:textAlignment w:val="baseline"/>
              <w:rPr>
                <w:sz w:val="21"/>
                <w:szCs w:val="21"/>
              </w:rPr>
            </w:pPr>
            <w:r>
              <w:rPr>
                <w:rFonts w:hint="eastAsia"/>
                <w:sz w:val="21"/>
                <w:szCs w:val="21"/>
              </w:rPr>
              <w:t>现场裁判评分：</w:t>
            </w:r>
          </w:p>
          <w:p>
            <w:pPr>
              <w:widowControl/>
              <w:rPr>
                <w:sz w:val="21"/>
                <w:szCs w:val="21"/>
              </w:rPr>
            </w:pPr>
            <w:r>
              <w:rPr>
                <w:rFonts w:hint="eastAsia"/>
                <w:sz w:val="21"/>
                <w:szCs w:val="21"/>
              </w:rPr>
              <w:t>①录入和提交正确但未完成捆扎的该面值不得分；②已捆扎的点钞专用券质量不合格的每捆扣1分，</w:t>
            </w:r>
            <w:r>
              <w:rPr>
                <w:rFonts w:hint="eastAsia"/>
                <w:sz w:val="21"/>
                <w:szCs w:val="21"/>
                <w:lang w:val="en-US"/>
              </w:rPr>
              <w:t>每种面额</w:t>
            </w:r>
            <w:r>
              <w:rPr>
                <w:rFonts w:hint="eastAsia"/>
                <w:sz w:val="21"/>
                <w:szCs w:val="21"/>
              </w:rPr>
              <w:t>最多扣</w:t>
            </w:r>
            <w:r>
              <w:rPr>
                <w:rFonts w:hint="eastAsia"/>
                <w:sz w:val="21"/>
                <w:szCs w:val="21"/>
                <w:lang w:val="en-US"/>
              </w:rPr>
              <w:t>3</w:t>
            </w:r>
            <w:r>
              <w:rPr>
                <w:rFonts w:hint="eastAsia"/>
                <w:sz w:val="21"/>
                <w:szCs w:val="21"/>
              </w:rPr>
              <w:t>分；③没有盖章或盖章不清楚的每把扣0.5分，</w:t>
            </w:r>
            <w:r>
              <w:rPr>
                <w:rFonts w:hint="eastAsia"/>
                <w:sz w:val="21"/>
                <w:szCs w:val="21"/>
                <w:lang w:val="en-US"/>
              </w:rPr>
              <w:t>每种面值</w:t>
            </w:r>
            <w:r>
              <w:rPr>
                <w:rFonts w:hint="eastAsia"/>
                <w:sz w:val="21"/>
                <w:szCs w:val="21"/>
              </w:rPr>
              <w:t>最多扣</w:t>
            </w:r>
            <w:r>
              <w:rPr>
                <w:rFonts w:hint="eastAsia"/>
                <w:sz w:val="21"/>
                <w:szCs w:val="21"/>
                <w:lang w:val="en-US"/>
              </w:rPr>
              <w:t>1.5</w:t>
            </w:r>
            <w:r>
              <w:rPr>
                <w:rFonts w:hint="eastAsia"/>
                <w:sz w:val="21"/>
                <w:szCs w:val="21"/>
              </w:rPr>
              <w:t>分；④本项目最低为零分不出现负分，由现场裁判当场评定并填写“点钞扣分记录表”交裁判组汇总。</w:t>
            </w:r>
          </w:p>
        </w:tc>
        <w:tc>
          <w:tcPr>
            <w:tcW w:w="881" w:type="dxa"/>
            <w:vAlign w:val="center"/>
          </w:tcPr>
          <w:p>
            <w:pPr>
              <w:pStyle w:val="19"/>
              <w:snapToGrid w:val="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textAlignment w:val="baseline"/>
              <w:rPr>
                <w:sz w:val="21"/>
                <w:szCs w:val="21"/>
              </w:rPr>
            </w:pPr>
            <w:r>
              <w:rPr>
                <w:rFonts w:hint="eastAsia"/>
                <w:sz w:val="21"/>
                <w:szCs w:val="21"/>
              </w:rPr>
              <w:t>50分</w:t>
            </w:r>
          </w:p>
        </w:tc>
        <w:tc>
          <w:tcPr>
            <w:tcW w:w="1283" w:type="dxa"/>
            <w:vAlign w:val="center"/>
          </w:tcPr>
          <w:p>
            <w:pPr>
              <w:pStyle w:val="19"/>
              <w:snapToGrid w:val="0"/>
              <w:ind w:firstLine="420" w:firstLineChars="200"/>
              <w:textAlignment w:val="baseline"/>
              <w:rPr>
                <w:sz w:val="21"/>
                <w:szCs w:val="21"/>
              </w:rPr>
            </w:pPr>
          </w:p>
          <w:p>
            <w:pPr>
              <w:pStyle w:val="19"/>
              <w:snapToGrid w:val="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textAlignment w:val="baseline"/>
              <w:rPr>
                <w:sz w:val="21"/>
                <w:szCs w:val="21"/>
              </w:rPr>
            </w:pPr>
            <w:r>
              <w:rPr>
                <w:rFonts w:hint="eastAsia"/>
                <w:sz w:val="21"/>
                <w:szCs w:val="21"/>
              </w:rPr>
              <w:t>系统自动评分与现场裁判评分相结合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0" w:hRule="atLeast"/>
          <w:jc w:val="center"/>
        </w:trPr>
        <w:tc>
          <w:tcPr>
            <w:tcW w:w="1138" w:type="dxa"/>
            <w:vAlign w:val="center"/>
          </w:tcPr>
          <w:p>
            <w:pPr>
              <w:pStyle w:val="19"/>
              <w:snapToGrid w:val="0"/>
              <w:textAlignment w:val="baseline"/>
              <w:rPr>
                <w:sz w:val="32"/>
                <w:szCs w:val="32"/>
              </w:rPr>
            </w:pPr>
            <w:r>
              <w:rPr>
                <w:rFonts w:hint="eastAsia"/>
                <w:sz w:val="21"/>
                <w:szCs w:val="21"/>
              </w:rPr>
              <w:t>货币防伪与鉴别</w:t>
            </w:r>
          </w:p>
        </w:tc>
        <w:tc>
          <w:tcPr>
            <w:tcW w:w="5064" w:type="dxa"/>
            <w:vAlign w:val="center"/>
          </w:tcPr>
          <w:p>
            <w:pPr>
              <w:pStyle w:val="19"/>
              <w:snapToGrid w:val="0"/>
              <w:ind w:firstLine="420" w:firstLineChars="200"/>
              <w:textAlignment w:val="baseline"/>
              <w:rPr>
                <w:sz w:val="21"/>
                <w:szCs w:val="21"/>
              </w:rPr>
            </w:pPr>
            <w:r>
              <w:rPr>
                <w:rFonts w:hint="eastAsia"/>
                <w:sz w:val="21"/>
                <w:szCs w:val="21"/>
              </w:rPr>
              <w:t>分单选题（15分）、多选题（15分）、判断题（10分）、实务题（10分）四种题型，根据难度系数不同由系统自动设置采分点和对应的分值。</w:t>
            </w:r>
          </w:p>
        </w:tc>
        <w:tc>
          <w:tcPr>
            <w:tcW w:w="881" w:type="dxa"/>
            <w:vAlign w:val="center"/>
          </w:tcPr>
          <w:p>
            <w:pPr>
              <w:pStyle w:val="19"/>
              <w:snapToGrid w:val="0"/>
              <w:textAlignment w:val="baseline"/>
              <w:rPr>
                <w:sz w:val="21"/>
                <w:szCs w:val="21"/>
              </w:rPr>
            </w:pPr>
            <w:r>
              <w:rPr>
                <w:rFonts w:hint="eastAsia"/>
                <w:sz w:val="21"/>
                <w:szCs w:val="21"/>
              </w:rPr>
              <w:t>50分</w:t>
            </w:r>
          </w:p>
        </w:tc>
        <w:tc>
          <w:tcPr>
            <w:tcW w:w="1283" w:type="dxa"/>
            <w:vAlign w:val="center"/>
          </w:tcPr>
          <w:p>
            <w:pPr>
              <w:pStyle w:val="19"/>
              <w:snapToGrid w:val="0"/>
              <w:textAlignment w:val="baseline"/>
              <w:rPr>
                <w:sz w:val="21"/>
                <w:szCs w:val="21"/>
              </w:rPr>
            </w:pPr>
            <w:r>
              <w:rPr>
                <w:rFonts w:hint="eastAsia"/>
                <w:sz w:val="21"/>
                <w:szCs w:val="21"/>
              </w:rPr>
              <w:t>系统评分</w:t>
            </w:r>
          </w:p>
        </w:tc>
      </w:tr>
    </w:tbl>
    <w:p>
      <w:pPr>
        <w:pStyle w:val="18"/>
        <w:tabs>
          <w:tab w:val="left" w:pos="701"/>
        </w:tabs>
        <w:snapToGrid w:val="0"/>
        <w:spacing w:line="480" w:lineRule="exact"/>
        <w:ind w:left="0" w:firstLine="0"/>
        <w:textAlignment w:val="baseline"/>
        <w:rPr>
          <w:sz w:val="32"/>
          <w:szCs w:val="32"/>
        </w:rPr>
      </w:pPr>
      <w:bookmarkStart w:id="11" w:name="3.银行核心业务岗位操作赛项（共800分。每个岗位200分。）"/>
      <w:bookmarkEnd w:id="11"/>
    </w:p>
    <w:p>
      <w:pPr>
        <w:pStyle w:val="18"/>
        <w:tabs>
          <w:tab w:val="left" w:pos="701"/>
        </w:tabs>
        <w:snapToGrid w:val="0"/>
        <w:spacing w:line="480" w:lineRule="exact"/>
        <w:ind w:left="440" w:leftChars="200" w:firstLine="0"/>
        <w:textAlignment w:val="baseline"/>
        <w:rPr>
          <w:sz w:val="32"/>
          <w:szCs w:val="32"/>
        </w:rPr>
      </w:pPr>
      <w:r>
        <w:rPr>
          <w:rFonts w:hint="eastAsia"/>
          <w:b/>
          <w:sz w:val="32"/>
          <w:szCs w:val="32"/>
          <w:lang w:val="en-US"/>
        </w:rPr>
        <w:t>3.金融综合技能</w:t>
      </w:r>
      <w:r>
        <w:rPr>
          <w:rFonts w:hint="eastAsia"/>
          <w:b/>
          <w:sz w:val="32"/>
          <w:szCs w:val="32"/>
        </w:rPr>
        <w:t>赛项</w:t>
      </w:r>
      <w:r>
        <w:rPr>
          <w:rFonts w:hint="eastAsia"/>
          <w:b/>
          <w:bCs/>
          <w:spacing w:val="-3"/>
          <w:sz w:val="32"/>
          <w:szCs w:val="32"/>
        </w:rPr>
        <w:t>（</w:t>
      </w:r>
      <w:r>
        <w:rPr>
          <w:rFonts w:hint="eastAsia"/>
          <w:b/>
          <w:bCs/>
          <w:spacing w:val="-36"/>
          <w:sz w:val="32"/>
          <w:szCs w:val="32"/>
        </w:rPr>
        <w:t>共</w:t>
      </w:r>
      <w:r>
        <w:rPr>
          <w:rFonts w:hint="eastAsia"/>
          <w:b/>
          <w:bCs/>
          <w:sz w:val="32"/>
          <w:szCs w:val="32"/>
        </w:rPr>
        <w:t>800</w:t>
      </w:r>
      <w:r>
        <w:rPr>
          <w:rFonts w:hint="eastAsia"/>
          <w:b/>
          <w:bCs/>
          <w:spacing w:val="-20"/>
          <w:sz w:val="32"/>
          <w:szCs w:val="32"/>
        </w:rPr>
        <w:t>分。每个岗位</w:t>
      </w:r>
      <w:r>
        <w:rPr>
          <w:rFonts w:hint="eastAsia"/>
          <w:b/>
          <w:bCs/>
          <w:sz w:val="32"/>
          <w:szCs w:val="32"/>
        </w:rPr>
        <w:t>200</w:t>
      </w:r>
      <w:r>
        <w:rPr>
          <w:rFonts w:hint="eastAsia"/>
          <w:b/>
          <w:bCs/>
          <w:spacing w:val="-25"/>
          <w:sz w:val="32"/>
          <w:szCs w:val="32"/>
        </w:rPr>
        <w:t>分。</w:t>
      </w:r>
      <w:r>
        <w:rPr>
          <w:rFonts w:hint="eastAsia"/>
          <w:b/>
          <w:bCs/>
          <w:sz w:val="32"/>
          <w:szCs w:val="32"/>
        </w:rPr>
        <w:t>）</w:t>
      </w:r>
    </w:p>
    <w:p>
      <w:pPr>
        <w:pStyle w:val="2"/>
        <w:snapToGrid w:val="0"/>
        <w:spacing w:line="480" w:lineRule="exact"/>
        <w:ind w:left="0" w:firstLine="640" w:firstLineChars="200"/>
        <w:textAlignment w:val="baseline"/>
        <w:rPr>
          <w:sz w:val="32"/>
          <w:szCs w:val="32"/>
        </w:rPr>
      </w:pPr>
    </w:p>
    <w:tbl>
      <w:tblPr>
        <w:tblStyle w:val="13"/>
        <w:tblW w:w="898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0"/>
        <w:gridCol w:w="2238"/>
        <w:gridCol w:w="1562"/>
        <w:gridCol w:w="1363"/>
        <w:gridCol w:w="19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880" w:type="dxa"/>
          </w:tcPr>
          <w:p>
            <w:pPr>
              <w:pStyle w:val="19"/>
              <w:snapToGrid w:val="0"/>
              <w:ind w:firstLine="420" w:firstLineChars="200"/>
              <w:textAlignment w:val="baseline"/>
              <w:rPr>
                <w:sz w:val="21"/>
                <w:szCs w:val="21"/>
              </w:rPr>
            </w:pPr>
            <w:r>
              <w:rPr>
                <w:rFonts w:hint="eastAsia"/>
                <w:sz w:val="21"/>
                <w:szCs w:val="21"/>
              </w:rPr>
              <w:t>竞赛任务</w:t>
            </w:r>
          </w:p>
        </w:tc>
        <w:tc>
          <w:tcPr>
            <w:tcW w:w="2238" w:type="dxa"/>
          </w:tcPr>
          <w:p>
            <w:pPr>
              <w:pStyle w:val="19"/>
              <w:snapToGrid w:val="0"/>
              <w:ind w:firstLine="420" w:firstLineChars="200"/>
              <w:textAlignment w:val="baseline"/>
              <w:rPr>
                <w:sz w:val="21"/>
                <w:szCs w:val="21"/>
              </w:rPr>
            </w:pPr>
            <w:r>
              <w:rPr>
                <w:rFonts w:hint="eastAsia"/>
                <w:sz w:val="21"/>
                <w:szCs w:val="21"/>
              </w:rPr>
              <w:t>评分细节</w:t>
            </w:r>
          </w:p>
        </w:tc>
        <w:tc>
          <w:tcPr>
            <w:tcW w:w="1562" w:type="dxa"/>
          </w:tcPr>
          <w:p>
            <w:pPr>
              <w:pStyle w:val="19"/>
              <w:snapToGrid w:val="0"/>
              <w:ind w:firstLine="420" w:firstLineChars="200"/>
              <w:textAlignment w:val="baseline"/>
              <w:rPr>
                <w:sz w:val="21"/>
                <w:szCs w:val="21"/>
              </w:rPr>
            </w:pPr>
            <w:r>
              <w:rPr>
                <w:rFonts w:hint="eastAsia"/>
                <w:sz w:val="21"/>
                <w:szCs w:val="21"/>
              </w:rPr>
              <w:t>单项分值</w:t>
            </w:r>
          </w:p>
        </w:tc>
        <w:tc>
          <w:tcPr>
            <w:tcW w:w="1363" w:type="dxa"/>
          </w:tcPr>
          <w:p>
            <w:pPr>
              <w:pStyle w:val="19"/>
              <w:snapToGrid w:val="0"/>
              <w:ind w:firstLine="420" w:firstLineChars="200"/>
              <w:textAlignment w:val="baseline"/>
              <w:rPr>
                <w:sz w:val="21"/>
                <w:szCs w:val="21"/>
              </w:rPr>
            </w:pPr>
            <w:r>
              <w:rPr>
                <w:rFonts w:hint="eastAsia"/>
                <w:sz w:val="21"/>
                <w:szCs w:val="21"/>
              </w:rPr>
              <w:t>总分</w:t>
            </w:r>
          </w:p>
        </w:tc>
        <w:tc>
          <w:tcPr>
            <w:tcW w:w="1937" w:type="dxa"/>
          </w:tcPr>
          <w:p>
            <w:pPr>
              <w:pStyle w:val="19"/>
              <w:snapToGrid w:val="0"/>
              <w:ind w:firstLine="420" w:firstLineChars="200"/>
              <w:textAlignment w:val="baseline"/>
              <w:rPr>
                <w:sz w:val="21"/>
                <w:szCs w:val="21"/>
              </w:rPr>
            </w:pPr>
            <w:r>
              <w:rPr>
                <w:rFonts w:hint="eastAsia"/>
                <w:sz w:val="21"/>
                <w:szCs w:val="21"/>
              </w:rPr>
              <w:t>评分方式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880" w:type="dxa"/>
            <w:vMerge w:val="restart"/>
          </w:tcPr>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textAlignment w:val="baseline"/>
              <w:rPr>
                <w:sz w:val="21"/>
                <w:szCs w:val="21"/>
              </w:rPr>
            </w:pPr>
            <w:r>
              <w:rPr>
                <w:rFonts w:hint="eastAsia"/>
                <w:sz w:val="21"/>
                <w:szCs w:val="21"/>
              </w:rPr>
              <w:t>大堂经理岗</w:t>
            </w:r>
          </w:p>
        </w:tc>
        <w:tc>
          <w:tcPr>
            <w:tcW w:w="2238" w:type="dxa"/>
          </w:tcPr>
          <w:p>
            <w:pPr>
              <w:pStyle w:val="19"/>
              <w:snapToGrid w:val="0"/>
              <w:ind w:firstLine="420" w:firstLineChars="200"/>
              <w:textAlignment w:val="baseline"/>
              <w:rPr>
                <w:sz w:val="21"/>
                <w:szCs w:val="21"/>
              </w:rPr>
            </w:pPr>
            <w:r>
              <w:rPr>
                <w:rFonts w:hint="eastAsia"/>
                <w:sz w:val="21"/>
                <w:szCs w:val="21"/>
              </w:rPr>
              <w:t>服务接待礼仪</w:t>
            </w:r>
          </w:p>
        </w:tc>
        <w:tc>
          <w:tcPr>
            <w:tcW w:w="1562" w:type="dxa"/>
          </w:tcPr>
          <w:p>
            <w:pPr>
              <w:pStyle w:val="19"/>
              <w:snapToGrid w:val="0"/>
              <w:ind w:firstLine="420" w:firstLineChars="200"/>
              <w:textAlignment w:val="baseline"/>
              <w:rPr>
                <w:sz w:val="21"/>
                <w:szCs w:val="21"/>
              </w:rPr>
            </w:pPr>
            <w:r>
              <w:rPr>
                <w:rFonts w:hint="eastAsia"/>
                <w:sz w:val="21"/>
                <w:szCs w:val="21"/>
                <w:lang w:val="en-US"/>
              </w:rPr>
              <w:t>3</w:t>
            </w:r>
            <w:r>
              <w:rPr>
                <w:rFonts w:hint="eastAsia"/>
                <w:sz w:val="21"/>
                <w:szCs w:val="21"/>
              </w:rPr>
              <w:t>0分</w:t>
            </w:r>
          </w:p>
        </w:tc>
        <w:tc>
          <w:tcPr>
            <w:tcW w:w="1363" w:type="dxa"/>
            <w:vMerge w:val="restart"/>
          </w:tcPr>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r>
              <w:rPr>
                <w:rFonts w:hint="eastAsia"/>
                <w:sz w:val="21"/>
                <w:szCs w:val="21"/>
              </w:rPr>
              <w:t>200分</w:t>
            </w: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880" w:type="dxa"/>
            <w:vMerge w:val="continue"/>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疑难投诉处理</w:t>
            </w:r>
          </w:p>
        </w:tc>
        <w:tc>
          <w:tcPr>
            <w:tcW w:w="1562" w:type="dxa"/>
          </w:tcPr>
          <w:p>
            <w:pPr>
              <w:pStyle w:val="19"/>
              <w:snapToGrid w:val="0"/>
              <w:ind w:firstLine="420" w:firstLineChars="200"/>
              <w:textAlignment w:val="baseline"/>
              <w:rPr>
                <w:sz w:val="21"/>
                <w:szCs w:val="21"/>
              </w:rPr>
            </w:pPr>
            <w:r>
              <w:rPr>
                <w:rFonts w:hint="eastAsia"/>
                <w:sz w:val="21"/>
                <w:szCs w:val="21"/>
              </w:rPr>
              <w:t>40分</w:t>
            </w:r>
          </w:p>
        </w:tc>
        <w:tc>
          <w:tcPr>
            <w:tcW w:w="1363" w:type="dxa"/>
            <w:vMerge w:val="continue"/>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880" w:type="dxa"/>
            <w:vMerge w:val="continue"/>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客户分流与引导</w:t>
            </w:r>
          </w:p>
        </w:tc>
        <w:tc>
          <w:tcPr>
            <w:tcW w:w="1562" w:type="dxa"/>
          </w:tcPr>
          <w:p>
            <w:pPr>
              <w:pStyle w:val="19"/>
              <w:snapToGrid w:val="0"/>
              <w:ind w:firstLine="420" w:firstLineChars="200"/>
              <w:textAlignment w:val="baseline"/>
              <w:rPr>
                <w:sz w:val="21"/>
                <w:szCs w:val="21"/>
              </w:rPr>
            </w:pPr>
            <w:r>
              <w:rPr>
                <w:rFonts w:hint="eastAsia"/>
                <w:sz w:val="21"/>
                <w:szCs w:val="21"/>
                <w:lang w:val="en-US"/>
              </w:rPr>
              <w:t>2</w:t>
            </w:r>
            <w:r>
              <w:rPr>
                <w:rFonts w:hint="eastAsia"/>
                <w:sz w:val="21"/>
                <w:szCs w:val="21"/>
              </w:rPr>
              <w:t>0分</w:t>
            </w:r>
          </w:p>
        </w:tc>
        <w:tc>
          <w:tcPr>
            <w:tcW w:w="1363" w:type="dxa"/>
            <w:vMerge w:val="continue"/>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880" w:type="dxa"/>
            <w:vMerge w:val="continue"/>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厅堂业务知识</w:t>
            </w:r>
          </w:p>
        </w:tc>
        <w:tc>
          <w:tcPr>
            <w:tcW w:w="1562" w:type="dxa"/>
          </w:tcPr>
          <w:p>
            <w:pPr>
              <w:pStyle w:val="19"/>
              <w:snapToGrid w:val="0"/>
              <w:ind w:firstLine="420" w:firstLineChars="200"/>
              <w:textAlignment w:val="baseline"/>
              <w:rPr>
                <w:sz w:val="21"/>
                <w:szCs w:val="21"/>
              </w:rPr>
            </w:pPr>
            <w:r>
              <w:rPr>
                <w:rFonts w:hint="eastAsia"/>
                <w:sz w:val="21"/>
                <w:szCs w:val="21"/>
                <w:lang w:val="en-US"/>
              </w:rPr>
              <w:t>3</w:t>
            </w:r>
            <w:r>
              <w:rPr>
                <w:rFonts w:hint="eastAsia"/>
                <w:sz w:val="21"/>
                <w:szCs w:val="21"/>
              </w:rPr>
              <w:t>0分</w:t>
            </w:r>
          </w:p>
        </w:tc>
        <w:tc>
          <w:tcPr>
            <w:tcW w:w="1363" w:type="dxa"/>
            <w:vMerge w:val="continue"/>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1880" w:type="dxa"/>
            <w:vMerge w:val="continue"/>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营销能力</w:t>
            </w:r>
          </w:p>
        </w:tc>
        <w:tc>
          <w:tcPr>
            <w:tcW w:w="1562" w:type="dxa"/>
          </w:tcPr>
          <w:p>
            <w:pPr>
              <w:pStyle w:val="19"/>
              <w:snapToGrid w:val="0"/>
              <w:ind w:firstLine="420" w:firstLineChars="200"/>
              <w:textAlignment w:val="baseline"/>
              <w:rPr>
                <w:sz w:val="21"/>
                <w:szCs w:val="21"/>
              </w:rPr>
            </w:pPr>
            <w:r>
              <w:rPr>
                <w:rFonts w:hint="eastAsia"/>
                <w:sz w:val="21"/>
                <w:szCs w:val="21"/>
              </w:rPr>
              <w:t>40分</w:t>
            </w:r>
          </w:p>
        </w:tc>
        <w:tc>
          <w:tcPr>
            <w:tcW w:w="1363" w:type="dxa"/>
            <w:vMerge w:val="continue"/>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1880" w:type="dxa"/>
            <w:vMerge w:val="continue"/>
          </w:tcPr>
          <w:p>
            <w:pPr>
              <w:pStyle w:val="19"/>
              <w:snapToGrid w:val="0"/>
              <w:ind w:firstLine="420" w:firstLineChars="200"/>
              <w:textAlignment w:val="baseline"/>
              <w:rPr>
                <w:sz w:val="21"/>
                <w:szCs w:val="21"/>
              </w:rPr>
            </w:pPr>
          </w:p>
        </w:tc>
        <w:tc>
          <w:tcPr>
            <w:tcW w:w="2238" w:type="dxa"/>
          </w:tcPr>
          <w:p>
            <w:pPr>
              <w:widowControl/>
              <w:jc w:val="center"/>
              <w:rPr>
                <w:sz w:val="21"/>
                <w:szCs w:val="21"/>
              </w:rPr>
            </w:pPr>
            <w:r>
              <w:rPr>
                <w:rFonts w:hint="eastAsia"/>
                <w:sz w:val="21"/>
                <w:szCs w:val="21"/>
                <w:lang w:val="en-US"/>
              </w:rPr>
              <w:t>智能金融机具实操</w:t>
            </w:r>
          </w:p>
        </w:tc>
        <w:tc>
          <w:tcPr>
            <w:tcW w:w="1562" w:type="dxa"/>
          </w:tcPr>
          <w:p>
            <w:pPr>
              <w:pStyle w:val="19"/>
              <w:snapToGrid w:val="0"/>
              <w:ind w:firstLine="420" w:firstLineChars="200"/>
              <w:textAlignment w:val="baseline"/>
              <w:rPr>
                <w:sz w:val="21"/>
                <w:szCs w:val="21"/>
                <w:lang w:val="en-US"/>
              </w:rPr>
            </w:pPr>
            <w:r>
              <w:rPr>
                <w:rFonts w:hint="eastAsia"/>
                <w:sz w:val="21"/>
                <w:szCs w:val="21"/>
                <w:lang w:val="en-US"/>
              </w:rPr>
              <w:t>40分</w:t>
            </w:r>
          </w:p>
        </w:tc>
        <w:tc>
          <w:tcPr>
            <w:tcW w:w="1363" w:type="dxa"/>
            <w:vMerge w:val="continue"/>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880" w:type="dxa"/>
            <w:vMerge w:val="restart"/>
          </w:tcPr>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r>
              <w:rPr>
                <w:rFonts w:hint="eastAsia"/>
                <w:sz w:val="21"/>
                <w:szCs w:val="21"/>
              </w:rPr>
              <w:t>综合柜员岗</w:t>
            </w:r>
          </w:p>
        </w:tc>
        <w:tc>
          <w:tcPr>
            <w:tcW w:w="2238" w:type="dxa"/>
          </w:tcPr>
          <w:p>
            <w:pPr>
              <w:pStyle w:val="19"/>
              <w:snapToGrid w:val="0"/>
              <w:ind w:firstLine="420" w:firstLineChars="200"/>
              <w:textAlignment w:val="baseline"/>
              <w:rPr>
                <w:sz w:val="21"/>
                <w:szCs w:val="21"/>
              </w:rPr>
            </w:pPr>
            <w:r>
              <w:rPr>
                <w:rFonts w:hint="eastAsia"/>
                <w:sz w:val="21"/>
                <w:szCs w:val="21"/>
              </w:rPr>
              <w:t>通用业务</w:t>
            </w:r>
          </w:p>
        </w:tc>
        <w:tc>
          <w:tcPr>
            <w:tcW w:w="1562" w:type="dxa"/>
          </w:tcPr>
          <w:p>
            <w:pPr>
              <w:pStyle w:val="19"/>
              <w:snapToGrid w:val="0"/>
              <w:ind w:firstLine="420" w:firstLineChars="200"/>
              <w:textAlignment w:val="baseline"/>
              <w:rPr>
                <w:sz w:val="21"/>
                <w:szCs w:val="21"/>
              </w:rPr>
            </w:pPr>
            <w:r>
              <w:rPr>
                <w:rFonts w:hint="eastAsia"/>
                <w:sz w:val="21"/>
                <w:szCs w:val="21"/>
              </w:rPr>
              <w:t>40分</w:t>
            </w:r>
          </w:p>
        </w:tc>
        <w:tc>
          <w:tcPr>
            <w:tcW w:w="1363" w:type="dxa"/>
            <w:vMerge w:val="restart"/>
          </w:tcPr>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r>
              <w:rPr>
                <w:rFonts w:hint="eastAsia"/>
                <w:sz w:val="21"/>
                <w:szCs w:val="21"/>
              </w:rPr>
              <w:t>200分</w:t>
            </w: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880" w:type="dxa"/>
            <w:vMerge w:val="continue"/>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储蓄业务</w:t>
            </w:r>
          </w:p>
        </w:tc>
        <w:tc>
          <w:tcPr>
            <w:tcW w:w="1562" w:type="dxa"/>
          </w:tcPr>
          <w:p>
            <w:pPr>
              <w:pStyle w:val="19"/>
              <w:snapToGrid w:val="0"/>
              <w:ind w:firstLine="420" w:firstLineChars="200"/>
              <w:textAlignment w:val="baseline"/>
              <w:rPr>
                <w:sz w:val="21"/>
                <w:szCs w:val="21"/>
              </w:rPr>
            </w:pPr>
            <w:r>
              <w:rPr>
                <w:rFonts w:hint="eastAsia"/>
                <w:sz w:val="21"/>
                <w:szCs w:val="21"/>
              </w:rPr>
              <w:t>40分</w:t>
            </w:r>
          </w:p>
        </w:tc>
        <w:tc>
          <w:tcPr>
            <w:tcW w:w="1363" w:type="dxa"/>
            <w:vMerge w:val="continue"/>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1880" w:type="dxa"/>
            <w:vMerge w:val="continue"/>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借记卡业务</w:t>
            </w:r>
          </w:p>
        </w:tc>
        <w:tc>
          <w:tcPr>
            <w:tcW w:w="1562" w:type="dxa"/>
          </w:tcPr>
          <w:p>
            <w:pPr>
              <w:pStyle w:val="19"/>
              <w:snapToGrid w:val="0"/>
              <w:ind w:firstLine="420" w:firstLineChars="200"/>
              <w:textAlignment w:val="baseline"/>
              <w:rPr>
                <w:sz w:val="21"/>
                <w:szCs w:val="21"/>
              </w:rPr>
            </w:pPr>
            <w:r>
              <w:rPr>
                <w:rFonts w:hint="eastAsia"/>
                <w:sz w:val="21"/>
                <w:szCs w:val="21"/>
              </w:rPr>
              <w:t>30分</w:t>
            </w:r>
          </w:p>
        </w:tc>
        <w:tc>
          <w:tcPr>
            <w:tcW w:w="1363" w:type="dxa"/>
            <w:vMerge w:val="continue"/>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880" w:type="dxa"/>
            <w:vMerge w:val="continue"/>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查冻扣业务</w:t>
            </w:r>
          </w:p>
        </w:tc>
        <w:tc>
          <w:tcPr>
            <w:tcW w:w="1562" w:type="dxa"/>
          </w:tcPr>
          <w:p>
            <w:pPr>
              <w:pStyle w:val="19"/>
              <w:snapToGrid w:val="0"/>
              <w:ind w:firstLine="420" w:firstLineChars="200"/>
              <w:textAlignment w:val="baseline"/>
              <w:rPr>
                <w:sz w:val="21"/>
                <w:szCs w:val="21"/>
              </w:rPr>
            </w:pPr>
            <w:r>
              <w:rPr>
                <w:rFonts w:hint="eastAsia"/>
                <w:sz w:val="21"/>
                <w:szCs w:val="21"/>
              </w:rPr>
              <w:t>20分</w:t>
            </w:r>
          </w:p>
        </w:tc>
        <w:tc>
          <w:tcPr>
            <w:tcW w:w="1363" w:type="dxa"/>
            <w:vMerge w:val="continue"/>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880" w:type="dxa"/>
            <w:vMerge w:val="continue"/>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代理业务</w:t>
            </w:r>
          </w:p>
        </w:tc>
        <w:tc>
          <w:tcPr>
            <w:tcW w:w="1562" w:type="dxa"/>
          </w:tcPr>
          <w:p>
            <w:pPr>
              <w:pStyle w:val="19"/>
              <w:snapToGrid w:val="0"/>
              <w:ind w:firstLine="420" w:firstLineChars="200"/>
              <w:textAlignment w:val="baseline"/>
              <w:rPr>
                <w:sz w:val="21"/>
                <w:szCs w:val="21"/>
              </w:rPr>
            </w:pPr>
            <w:r>
              <w:rPr>
                <w:rFonts w:hint="eastAsia"/>
                <w:sz w:val="21"/>
                <w:szCs w:val="21"/>
              </w:rPr>
              <w:t>40分</w:t>
            </w:r>
          </w:p>
        </w:tc>
        <w:tc>
          <w:tcPr>
            <w:tcW w:w="1363" w:type="dxa"/>
            <w:vMerge w:val="continue"/>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880" w:type="dxa"/>
            <w:vMerge w:val="continue"/>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公司业务</w:t>
            </w:r>
          </w:p>
        </w:tc>
        <w:tc>
          <w:tcPr>
            <w:tcW w:w="1562" w:type="dxa"/>
          </w:tcPr>
          <w:p>
            <w:pPr>
              <w:pStyle w:val="19"/>
              <w:snapToGrid w:val="0"/>
              <w:ind w:firstLine="420" w:firstLineChars="200"/>
              <w:textAlignment w:val="baseline"/>
              <w:rPr>
                <w:sz w:val="21"/>
                <w:szCs w:val="21"/>
              </w:rPr>
            </w:pPr>
            <w:r>
              <w:rPr>
                <w:rFonts w:hint="eastAsia"/>
                <w:sz w:val="21"/>
                <w:szCs w:val="21"/>
              </w:rPr>
              <w:t>30分</w:t>
            </w:r>
          </w:p>
        </w:tc>
        <w:tc>
          <w:tcPr>
            <w:tcW w:w="1363" w:type="dxa"/>
            <w:vMerge w:val="continue"/>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1880" w:type="dxa"/>
            <w:vMerge w:val="restart"/>
          </w:tcPr>
          <w:p>
            <w:pPr>
              <w:pStyle w:val="19"/>
              <w:snapToGrid w:val="0"/>
              <w:ind w:firstLine="420" w:firstLineChars="200"/>
              <w:textAlignment w:val="baseline"/>
              <w:rPr>
                <w:sz w:val="21"/>
                <w:szCs w:val="21"/>
              </w:rPr>
            </w:pPr>
            <w:r>
              <w:rPr>
                <w:rFonts w:hint="eastAsia"/>
                <w:sz w:val="21"/>
                <w:szCs w:val="21"/>
              </w:rPr>
              <w:t>客户经理岗</w:t>
            </w:r>
          </w:p>
        </w:tc>
        <w:tc>
          <w:tcPr>
            <w:tcW w:w="2238" w:type="dxa"/>
          </w:tcPr>
          <w:p>
            <w:pPr>
              <w:pStyle w:val="19"/>
              <w:snapToGrid w:val="0"/>
              <w:ind w:firstLine="420" w:firstLineChars="200"/>
              <w:textAlignment w:val="baseline"/>
              <w:rPr>
                <w:sz w:val="21"/>
                <w:szCs w:val="21"/>
              </w:rPr>
            </w:pPr>
            <w:r>
              <w:rPr>
                <w:rFonts w:hint="eastAsia"/>
                <w:sz w:val="21"/>
                <w:szCs w:val="21"/>
              </w:rPr>
              <w:t>个人贷款业务</w:t>
            </w:r>
          </w:p>
        </w:tc>
        <w:tc>
          <w:tcPr>
            <w:tcW w:w="1562" w:type="dxa"/>
          </w:tcPr>
          <w:p>
            <w:pPr>
              <w:pStyle w:val="19"/>
              <w:snapToGrid w:val="0"/>
              <w:ind w:firstLine="420" w:firstLineChars="200"/>
              <w:textAlignment w:val="baseline"/>
              <w:rPr>
                <w:sz w:val="21"/>
                <w:szCs w:val="21"/>
              </w:rPr>
            </w:pPr>
            <w:r>
              <w:rPr>
                <w:rFonts w:hint="eastAsia"/>
                <w:sz w:val="21"/>
                <w:szCs w:val="21"/>
              </w:rPr>
              <w:t>100分</w:t>
            </w:r>
          </w:p>
        </w:tc>
        <w:tc>
          <w:tcPr>
            <w:tcW w:w="1363" w:type="dxa"/>
            <w:vMerge w:val="restart"/>
          </w:tcPr>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r>
              <w:rPr>
                <w:rFonts w:hint="eastAsia"/>
                <w:sz w:val="21"/>
                <w:szCs w:val="21"/>
              </w:rPr>
              <w:t>200分</w:t>
            </w: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880" w:type="dxa"/>
            <w:vMerge w:val="continue"/>
            <w:tcBorders>
              <w:top w:val="nil"/>
            </w:tcBorders>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公司贷款业务</w:t>
            </w:r>
          </w:p>
        </w:tc>
        <w:tc>
          <w:tcPr>
            <w:tcW w:w="1562" w:type="dxa"/>
          </w:tcPr>
          <w:p>
            <w:pPr>
              <w:pStyle w:val="19"/>
              <w:snapToGrid w:val="0"/>
              <w:ind w:firstLine="420" w:firstLineChars="200"/>
              <w:textAlignment w:val="baseline"/>
              <w:rPr>
                <w:sz w:val="21"/>
                <w:szCs w:val="21"/>
              </w:rPr>
            </w:pPr>
            <w:r>
              <w:rPr>
                <w:rFonts w:hint="eastAsia"/>
                <w:sz w:val="21"/>
                <w:szCs w:val="21"/>
              </w:rPr>
              <w:t>100分</w:t>
            </w:r>
          </w:p>
        </w:tc>
        <w:tc>
          <w:tcPr>
            <w:tcW w:w="1363" w:type="dxa"/>
            <w:vMerge w:val="continue"/>
            <w:tcBorders>
              <w:top w:val="nil"/>
            </w:tcBorders>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trPr>
        <w:tc>
          <w:tcPr>
            <w:tcW w:w="1880" w:type="dxa"/>
            <w:vMerge w:val="restart"/>
          </w:tcPr>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r>
              <w:rPr>
                <w:rFonts w:hint="eastAsia"/>
                <w:sz w:val="21"/>
                <w:szCs w:val="21"/>
              </w:rPr>
              <w:t>理财经理岗</w:t>
            </w:r>
          </w:p>
        </w:tc>
        <w:tc>
          <w:tcPr>
            <w:tcW w:w="2238" w:type="dxa"/>
          </w:tcPr>
          <w:p>
            <w:pPr>
              <w:pStyle w:val="19"/>
              <w:snapToGrid w:val="0"/>
              <w:ind w:firstLine="420" w:firstLineChars="200"/>
              <w:textAlignment w:val="baseline"/>
              <w:rPr>
                <w:sz w:val="21"/>
                <w:szCs w:val="21"/>
              </w:rPr>
            </w:pPr>
            <w:r>
              <w:rPr>
                <w:rFonts w:hint="eastAsia"/>
                <w:sz w:val="21"/>
                <w:szCs w:val="21"/>
              </w:rPr>
              <w:t>客户信息采集</w:t>
            </w:r>
          </w:p>
        </w:tc>
        <w:tc>
          <w:tcPr>
            <w:tcW w:w="1562" w:type="dxa"/>
          </w:tcPr>
          <w:p>
            <w:pPr>
              <w:pStyle w:val="19"/>
              <w:snapToGrid w:val="0"/>
              <w:ind w:firstLine="420" w:firstLineChars="200"/>
              <w:textAlignment w:val="baseline"/>
              <w:rPr>
                <w:sz w:val="21"/>
                <w:szCs w:val="21"/>
              </w:rPr>
            </w:pPr>
            <w:r>
              <w:rPr>
                <w:rFonts w:hint="eastAsia"/>
                <w:sz w:val="21"/>
                <w:szCs w:val="21"/>
              </w:rPr>
              <w:t>20分</w:t>
            </w:r>
          </w:p>
        </w:tc>
        <w:tc>
          <w:tcPr>
            <w:tcW w:w="1363" w:type="dxa"/>
            <w:vMerge w:val="restart"/>
          </w:tcPr>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p>
          <w:p>
            <w:pPr>
              <w:pStyle w:val="19"/>
              <w:snapToGrid w:val="0"/>
              <w:ind w:firstLine="420" w:firstLineChars="200"/>
              <w:textAlignment w:val="baseline"/>
              <w:rPr>
                <w:sz w:val="21"/>
                <w:szCs w:val="21"/>
              </w:rPr>
            </w:pPr>
            <w:r>
              <w:rPr>
                <w:rFonts w:hint="eastAsia"/>
                <w:sz w:val="21"/>
                <w:szCs w:val="21"/>
              </w:rPr>
              <w:t>200分</w:t>
            </w: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880" w:type="dxa"/>
            <w:vMerge w:val="continue"/>
            <w:tcBorders>
              <w:top w:val="nil"/>
            </w:tcBorders>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客户财务分析</w:t>
            </w:r>
          </w:p>
        </w:tc>
        <w:tc>
          <w:tcPr>
            <w:tcW w:w="1562" w:type="dxa"/>
          </w:tcPr>
          <w:p>
            <w:pPr>
              <w:pStyle w:val="19"/>
              <w:snapToGrid w:val="0"/>
              <w:ind w:firstLine="420" w:firstLineChars="200"/>
              <w:textAlignment w:val="baseline"/>
              <w:rPr>
                <w:sz w:val="21"/>
                <w:szCs w:val="21"/>
              </w:rPr>
            </w:pPr>
            <w:r>
              <w:rPr>
                <w:rFonts w:hint="eastAsia"/>
                <w:sz w:val="21"/>
                <w:szCs w:val="21"/>
              </w:rPr>
              <w:t>40分</w:t>
            </w:r>
          </w:p>
        </w:tc>
        <w:tc>
          <w:tcPr>
            <w:tcW w:w="1363" w:type="dxa"/>
            <w:vMerge w:val="continue"/>
            <w:tcBorders>
              <w:top w:val="nil"/>
            </w:tcBorders>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1880" w:type="dxa"/>
            <w:vMerge w:val="continue"/>
            <w:tcBorders>
              <w:top w:val="nil"/>
            </w:tcBorders>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理财目标分析</w:t>
            </w:r>
          </w:p>
        </w:tc>
        <w:tc>
          <w:tcPr>
            <w:tcW w:w="1562" w:type="dxa"/>
          </w:tcPr>
          <w:p>
            <w:pPr>
              <w:pStyle w:val="19"/>
              <w:snapToGrid w:val="0"/>
              <w:ind w:firstLine="420" w:firstLineChars="200"/>
              <w:textAlignment w:val="baseline"/>
              <w:rPr>
                <w:sz w:val="21"/>
                <w:szCs w:val="21"/>
              </w:rPr>
            </w:pPr>
            <w:r>
              <w:rPr>
                <w:rFonts w:hint="eastAsia"/>
                <w:sz w:val="21"/>
                <w:szCs w:val="21"/>
              </w:rPr>
              <w:t>40分</w:t>
            </w:r>
          </w:p>
        </w:tc>
        <w:tc>
          <w:tcPr>
            <w:tcW w:w="1363" w:type="dxa"/>
            <w:vMerge w:val="continue"/>
            <w:tcBorders>
              <w:top w:val="nil"/>
            </w:tcBorders>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880" w:type="dxa"/>
            <w:vMerge w:val="continue"/>
            <w:tcBorders>
              <w:top w:val="nil"/>
            </w:tcBorders>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风险评估</w:t>
            </w:r>
          </w:p>
        </w:tc>
        <w:tc>
          <w:tcPr>
            <w:tcW w:w="1562" w:type="dxa"/>
          </w:tcPr>
          <w:p>
            <w:pPr>
              <w:pStyle w:val="19"/>
              <w:snapToGrid w:val="0"/>
              <w:ind w:firstLine="420" w:firstLineChars="200"/>
              <w:textAlignment w:val="baseline"/>
              <w:rPr>
                <w:sz w:val="21"/>
                <w:szCs w:val="21"/>
              </w:rPr>
            </w:pPr>
            <w:r>
              <w:rPr>
                <w:rFonts w:hint="eastAsia"/>
                <w:sz w:val="21"/>
                <w:szCs w:val="21"/>
              </w:rPr>
              <w:t>50分</w:t>
            </w:r>
          </w:p>
        </w:tc>
        <w:tc>
          <w:tcPr>
            <w:tcW w:w="1363" w:type="dxa"/>
            <w:vMerge w:val="continue"/>
            <w:tcBorders>
              <w:top w:val="nil"/>
            </w:tcBorders>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1880" w:type="dxa"/>
            <w:vMerge w:val="continue"/>
            <w:tcBorders>
              <w:top w:val="nil"/>
            </w:tcBorders>
          </w:tcPr>
          <w:p>
            <w:pPr>
              <w:pStyle w:val="19"/>
              <w:snapToGrid w:val="0"/>
              <w:ind w:firstLine="420" w:firstLineChars="200"/>
              <w:textAlignment w:val="baseline"/>
              <w:rPr>
                <w:sz w:val="21"/>
                <w:szCs w:val="21"/>
              </w:rPr>
            </w:pPr>
          </w:p>
        </w:tc>
        <w:tc>
          <w:tcPr>
            <w:tcW w:w="2238" w:type="dxa"/>
          </w:tcPr>
          <w:p>
            <w:pPr>
              <w:pStyle w:val="19"/>
              <w:snapToGrid w:val="0"/>
              <w:ind w:firstLine="420" w:firstLineChars="200"/>
              <w:textAlignment w:val="baseline"/>
              <w:rPr>
                <w:sz w:val="21"/>
                <w:szCs w:val="21"/>
              </w:rPr>
            </w:pPr>
            <w:r>
              <w:rPr>
                <w:rFonts w:hint="eastAsia"/>
                <w:sz w:val="21"/>
                <w:szCs w:val="21"/>
              </w:rPr>
              <w:t>理财规划</w:t>
            </w:r>
          </w:p>
        </w:tc>
        <w:tc>
          <w:tcPr>
            <w:tcW w:w="1562" w:type="dxa"/>
          </w:tcPr>
          <w:p>
            <w:pPr>
              <w:pStyle w:val="19"/>
              <w:snapToGrid w:val="0"/>
              <w:ind w:firstLine="420" w:firstLineChars="200"/>
              <w:textAlignment w:val="baseline"/>
              <w:rPr>
                <w:sz w:val="21"/>
                <w:szCs w:val="21"/>
              </w:rPr>
            </w:pPr>
            <w:r>
              <w:rPr>
                <w:rFonts w:hint="eastAsia"/>
                <w:sz w:val="21"/>
                <w:szCs w:val="21"/>
              </w:rPr>
              <w:t>50分</w:t>
            </w:r>
          </w:p>
        </w:tc>
        <w:tc>
          <w:tcPr>
            <w:tcW w:w="1363" w:type="dxa"/>
            <w:vMerge w:val="continue"/>
            <w:tcBorders>
              <w:top w:val="nil"/>
            </w:tcBorders>
          </w:tcPr>
          <w:p>
            <w:pPr>
              <w:pStyle w:val="19"/>
              <w:snapToGrid w:val="0"/>
              <w:ind w:firstLine="420" w:firstLineChars="200"/>
              <w:textAlignment w:val="baseline"/>
              <w:rPr>
                <w:sz w:val="21"/>
                <w:szCs w:val="21"/>
              </w:rPr>
            </w:pPr>
          </w:p>
        </w:tc>
        <w:tc>
          <w:tcPr>
            <w:tcW w:w="1937" w:type="dxa"/>
          </w:tcPr>
          <w:p>
            <w:pPr>
              <w:pStyle w:val="19"/>
              <w:snapToGrid w:val="0"/>
              <w:ind w:firstLine="420" w:firstLineChars="200"/>
              <w:textAlignment w:val="baseline"/>
              <w:rPr>
                <w:sz w:val="21"/>
                <w:szCs w:val="21"/>
              </w:rPr>
            </w:pPr>
            <w:r>
              <w:rPr>
                <w:rFonts w:hint="eastAsia"/>
                <w:sz w:val="21"/>
                <w:szCs w:val="21"/>
              </w:rPr>
              <w:t>系统评分</w:t>
            </w:r>
          </w:p>
        </w:tc>
      </w:tr>
    </w:tbl>
    <w:p>
      <w:pPr>
        <w:pStyle w:val="18"/>
        <w:tabs>
          <w:tab w:val="left" w:pos="701"/>
        </w:tabs>
        <w:snapToGrid w:val="0"/>
        <w:spacing w:line="480" w:lineRule="exact"/>
        <w:ind w:left="0" w:leftChars="0" w:firstLine="0" w:firstLineChars="0"/>
        <w:textAlignment w:val="baseline"/>
        <w:rPr>
          <w:sz w:val="32"/>
          <w:szCs w:val="32"/>
        </w:rPr>
      </w:pPr>
      <w:bookmarkStart w:id="12" w:name="4.数字金融业务操作赛项（共800分。大数据金融和量化金融参赛选手独立完成80*"/>
      <w:bookmarkEnd w:id="12"/>
      <w:r>
        <w:rPr>
          <w:rFonts w:hint="eastAsia"/>
          <w:b/>
          <w:spacing w:val="-5"/>
          <w:sz w:val="32"/>
          <w:szCs w:val="32"/>
          <w:lang w:val="en-US"/>
        </w:rPr>
        <w:t>4.数字金融业务</w:t>
      </w:r>
      <w:r>
        <w:rPr>
          <w:rFonts w:hint="eastAsia"/>
          <w:b/>
          <w:spacing w:val="-5"/>
          <w:sz w:val="32"/>
          <w:szCs w:val="32"/>
        </w:rPr>
        <w:t>赛项</w:t>
      </w:r>
      <w:r>
        <w:rPr>
          <w:rFonts w:hint="eastAsia"/>
          <w:b/>
          <w:bCs/>
          <w:spacing w:val="-3"/>
          <w:sz w:val="32"/>
          <w:szCs w:val="32"/>
        </w:rPr>
        <w:t>（</w:t>
      </w:r>
      <w:r>
        <w:rPr>
          <w:rFonts w:hint="eastAsia"/>
          <w:b/>
          <w:bCs/>
          <w:spacing w:val="-36"/>
          <w:sz w:val="32"/>
          <w:szCs w:val="32"/>
        </w:rPr>
        <w:t>共</w:t>
      </w:r>
      <w:r>
        <w:rPr>
          <w:rFonts w:hint="eastAsia"/>
          <w:b/>
          <w:bCs/>
          <w:spacing w:val="-36"/>
          <w:sz w:val="32"/>
          <w:szCs w:val="32"/>
          <w:lang w:val="en-US"/>
        </w:rPr>
        <w:t>10</w:t>
      </w:r>
      <w:r>
        <w:rPr>
          <w:rFonts w:hint="eastAsia"/>
          <w:b/>
          <w:bCs/>
          <w:sz w:val="32"/>
          <w:szCs w:val="32"/>
        </w:rPr>
        <w:t>00</w:t>
      </w:r>
      <w:r>
        <w:rPr>
          <w:rFonts w:hint="eastAsia"/>
          <w:b/>
          <w:bCs/>
          <w:spacing w:val="-13"/>
          <w:sz w:val="32"/>
          <w:szCs w:val="32"/>
        </w:rPr>
        <w:t>分。</w:t>
      </w:r>
      <w:r>
        <w:rPr>
          <w:rFonts w:hint="eastAsia"/>
          <w:b/>
          <w:bCs/>
          <w:spacing w:val="-8"/>
          <w:sz w:val="32"/>
          <w:szCs w:val="32"/>
        </w:rPr>
        <w:t>由四位选手协作完成</w:t>
      </w:r>
      <w:r>
        <w:rPr>
          <w:rFonts w:hint="eastAsia"/>
          <w:b/>
          <w:bCs/>
          <w:sz w:val="32"/>
          <w:szCs w:val="32"/>
        </w:rPr>
        <w:t>）</w:t>
      </w:r>
    </w:p>
    <w:tbl>
      <w:tblPr>
        <w:tblStyle w:val="13"/>
        <w:tblW w:w="50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273"/>
        <w:gridCol w:w="2049"/>
        <w:gridCol w:w="2607"/>
        <w:gridCol w:w="16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712" w:type="pct"/>
            <w:vAlign w:val="center"/>
          </w:tcPr>
          <w:p>
            <w:pPr>
              <w:widowControl/>
              <w:spacing w:line="280" w:lineRule="exact"/>
              <w:jc w:val="center"/>
              <w:rPr>
                <w:b/>
                <w:bCs/>
                <w:spacing w:val="-4"/>
                <w:sz w:val="21"/>
                <w:szCs w:val="21"/>
                <w:lang w:val="en-US"/>
              </w:rPr>
            </w:pPr>
            <w:r>
              <w:rPr>
                <w:rFonts w:hint="eastAsia"/>
                <w:b/>
                <w:bCs/>
                <w:spacing w:val="-4"/>
                <w:sz w:val="21"/>
                <w:szCs w:val="21"/>
                <w:lang w:val="en-US"/>
              </w:rPr>
              <w:t>竞赛任务</w:t>
            </w:r>
          </w:p>
        </w:tc>
        <w:tc>
          <w:tcPr>
            <w:tcW w:w="1072" w:type="pct"/>
          </w:tcPr>
          <w:p>
            <w:pPr>
              <w:pStyle w:val="19"/>
              <w:snapToGrid w:val="0"/>
              <w:spacing w:line="280" w:lineRule="exact"/>
              <w:ind w:firstLine="843" w:firstLineChars="400"/>
              <w:jc w:val="center"/>
              <w:textAlignment w:val="baseline"/>
              <w:rPr>
                <w:b/>
                <w:bCs/>
                <w:sz w:val="21"/>
                <w:szCs w:val="21"/>
              </w:rPr>
            </w:pPr>
            <w:r>
              <w:rPr>
                <w:rFonts w:hint="eastAsia"/>
                <w:b/>
                <w:bCs/>
                <w:sz w:val="21"/>
                <w:szCs w:val="21"/>
              </w:rPr>
              <w:t>分值</w:t>
            </w:r>
          </w:p>
        </w:tc>
        <w:tc>
          <w:tcPr>
            <w:tcW w:w="1364" w:type="pct"/>
          </w:tcPr>
          <w:p>
            <w:pPr>
              <w:pStyle w:val="19"/>
              <w:snapToGrid w:val="0"/>
              <w:spacing w:line="280" w:lineRule="exact"/>
              <w:ind w:firstLine="843" w:firstLineChars="400"/>
              <w:jc w:val="center"/>
              <w:textAlignment w:val="baseline"/>
              <w:rPr>
                <w:b/>
                <w:bCs/>
                <w:sz w:val="21"/>
                <w:szCs w:val="21"/>
                <w:lang w:val="en-US"/>
              </w:rPr>
            </w:pPr>
            <w:r>
              <w:rPr>
                <w:rFonts w:hint="eastAsia"/>
                <w:b/>
                <w:bCs/>
                <w:sz w:val="21"/>
                <w:szCs w:val="21"/>
                <w:lang w:val="en-US"/>
              </w:rPr>
              <w:t>总分</w:t>
            </w:r>
          </w:p>
        </w:tc>
        <w:tc>
          <w:tcPr>
            <w:tcW w:w="850" w:type="pct"/>
          </w:tcPr>
          <w:p>
            <w:pPr>
              <w:pStyle w:val="19"/>
              <w:snapToGrid w:val="0"/>
              <w:spacing w:line="280" w:lineRule="exact"/>
              <w:ind w:firstLine="422" w:firstLineChars="200"/>
              <w:jc w:val="center"/>
              <w:textAlignment w:val="baseline"/>
              <w:rPr>
                <w:b/>
                <w:bCs/>
                <w:sz w:val="21"/>
                <w:szCs w:val="21"/>
              </w:rPr>
            </w:pPr>
            <w:r>
              <w:rPr>
                <w:rFonts w:hint="eastAsia"/>
                <w:b/>
                <w:bCs/>
                <w:sz w:val="21"/>
                <w:szCs w:val="21"/>
              </w:rPr>
              <w:t>评分方法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712" w:type="pct"/>
            <w:vAlign w:val="center"/>
          </w:tcPr>
          <w:p>
            <w:pPr>
              <w:widowControl/>
              <w:spacing w:line="280" w:lineRule="exact"/>
              <w:jc w:val="center"/>
              <w:rPr>
                <w:sz w:val="21"/>
                <w:szCs w:val="21"/>
              </w:rPr>
            </w:pPr>
            <w:r>
              <w:rPr>
                <w:rFonts w:ascii="FangSong_GB2312" w:hAnsi="FangSong_GB2312" w:eastAsia="FangSong_GB2312" w:cs="FangSong_GB2312"/>
                <w:color w:val="000000"/>
                <w:sz w:val="21"/>
                <w:szCs w:val="21"/>
                <w:lang w:val="en-US" w:bidi="ar"/>
              </w:rPr>
              <w:t>大数据金融业务</w:t>
            </w:r>
          </w:p>
          <w:p>
            <w:pPr>
              <w:widowControl/>
              <w:spacing w:line="280" w:lineRule="exact"/>
              <w:jc w:val="center"/>
              <w:rPr>
                <w:sz w:val="21"/>
                <w:szCs w:val="21"/>
                <w:lang w:val="en-US"/>
              </w:rPr>
            </w:pPr>
          </w:p>
        </w:tc>
        <w:tc>
          <w:tcPr>
            <w:tcW w:w="1072" w:type="pct"/>
            <w:vAlign w:val="center"/>
          </w:tcPr>
          <w:p>
            <w:pPr>
              <w:widowControl/>
              <w:spacing w:line="280" w:lineRule="exact"/>
              <w:jc w:val="center"/>
              <w:rPr>
                <w:sz w:val="21"/>
                <w:szCs w:val="21"/>
              </w:rPr>
            </w:pPr>
            <w:r>
              <w:rPr>
                <w:rFonts w:hint="eastAsia"/>
                <w:spacing w:val="-4"/>
                <w:sz w:val="21"/>
                <w:szCs w:val="21"/>
                <w:lang w:val="en-US"/>
              </w:rPr>
              <w:t>本模块100分</w:t>
            </w:r>
          </w:p>
        </w:tc>
        <w:tc>
          <w:tcPr>
            <w:tcW w:w="1364" w:type="pct"/>
            <w:vMerge w:val="restart"/>
          </w:tcPr>
          <w:p>
            <w:pPr>
              <w:widowControl/>
              <w:spacing w:line="280" w:lineRule="exact"/>
              <w:jc w:val="center"/>
              <w:rPr>
                <w:spacing w:val="-4"/>
                <w:sz w:val="21"/>
                <w:szCs w:val="21"/>
                <w:lang w:val="en-US"/>
              </w:rPr>
            </w:pPr>
          </w:p>
          <w:p>
            <w:pPr>
              <w:widowControl/>
              <w:spacing w:line="280" w:lineRule="exact"/>
              <w:jc w:val="center"/>
              <w:rPr>
                <w:spacing w:val="-4"/>
                <w:sz w:val="21"/>
                <w:szCs w:val="21"/>
                <w:lang w:val="en-US"/>
              </w:rPr>
            </w:pPr>
          </w:p>
          <w:p>
            <w:pPr>
              <w:widowControl/>
              <w:spacing w:line="280" w:lineRule="exact"/>
              <w:jc w:val="center"/>
              <w:rPr>
                <w:spacing w:val="-4"/>
                <w:sz w:val="21"/>
                <w:szCs w:val="21"/>
                <w:lang w:val="en-US"/>
              </w:rPr>
            </w:pPr>
          </w:p>
          <w:p>
            <w:pPr>
              <w:widowControl/>
              <w:spacing w:line="280" w:lineRule="exact"/>
              <w:jc w:val="center"/>
              <w:rPr>
                <w:spacing w:val="-4"/>
                <w:sz w:val="21"/>
                <w:szCs w:val="21"/>
                <w:lang w:val="en-US"/>
              </w:rPr>
            </w:pPr>
            <w:r>
              <w:rPr>
                <w:rFonts w:hint="eastAsia"/>
                <w:spacing w:val="-4"/>
                <w:sz w:val="21"/>
                <w:szCs w:val="21"/>
                <w:lang w:val="en-US"/>
              </w:rPr>
              <w:t>1000分</w:t>
            </w:r>
          </w:p>
        </w:tc>
        <w:tc>
          <w:tcPr>
            <w:tcW w:w="850" w:type="pct"/>
          </w:tcPr>
          <w:p>
            <w:pPr>
              <w:pStyle w:val="19"/>
              <w:snapToGrid w:val="0"/>
              <w:spacing w:line="280" w:lineRule="exact"/>
              <w:ind w:firstLine="420" w:firstLineChars="200"/>
              <w:jc w:val="center"/>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jc w:val="center"/>
        </w:trPr>
        <w:tc>
          <w:tcPr>
            <w:tcW w:w="1712" w:type="pct"/>
            <w:vAlign w:val="center"/>
          </w:tcPr>
          <w:p>
            <w:pPr>
              <w:widowControl/>
              <w:spacing w:line="280" w:lineRule="exact"/>
              <w:jc w:val="center"/>
              <w:rPr>
                <w:sz w:val="21"/>
                <w:szCs w:val="21"/>
              </w:rPr>
            </w:pPr>
            <w:r>
              <w:rPr>
                <w:rFonts w:ascii="FangSong_GB2312" w:hAnsi="FangSong_GB2312" w:eastAsia="FangSong_GB2312" w:cs="FangSong_GB2312"/>
                <w:color w:val="000000"/>
                <w:sz w:val="21"/>
                <w:szCs w:val="21"/>
                <w:lang w:val="en-US" w:bidi="ar"/>
              </w:rPr>
              <w:t>区块链金融业务</w:t>
            </w:r>
          </w:p>
          <w:p>
            <w:pPr>
              <w:widowControl/>
              <w:spacing w:line="280" w:lineRule="exact"/>
              <w:jc w:val="center"/>
              <w:rPr>
                <w:sz w:val="21"/>
                <w:szCs w:val="21"/>
              </w:rPr>
            </w:pPr>
          </w:p>
        </w:tc>
        <w:tc>
          <w:tcPr>
            <w:tcW w:w="1072" w:type="pct"/>
            <w:vAlign w:val="center"/>
          </w:tcPr>
          <w:p>
            <w:pPr>
              <w:widowControl/>
              <w:spacing w:line="280" w:lineRule="exact"/>
              <w:jc w:val="center"/>
              <w:rPr>
                <w:sz w:val="21"/>
                <w:szCs w:val="21"/>
                <w:lang w:val="en-US"/>
              </w:rPr>
            </w:pPr>
            <w:r>
              <w:rPr>
                <w:rFonts w:hint="eastAsia"/>
                <w:spacing w:val="-4"/>
                <w:sz w:val="21"/>
                <w:szCs w:val="21"/>
                <w:lang w:val="en-US"/>
              </w:rPr>
              <w:t>本模块150分</w:t>
            </w:r>
          </w:p>
        </w:tc>
        <w:tc>
          <w:tcPr>
            <w:tcW w:w="1364" w:type="pct"/>
            <w:vMerge w:val="continue"/>
          </w:tcPr>
          <w:p>
            <w:pPr>
              <w:widowControl/>
              <w:spacing w:line="280" w:lineRule="exact"/>
              <w:jc w:val="center"/>
              <w:rPr>
                <w:spacing w:val="-4"/>
                <w:sz w:val="21"/>
                <w:szCs w:val="21"/>
                <w:lang w:val="en-US"/>
              </w:rPr>
            </w:pPr>
          </w:p>
        </w:tc>
        <w:tc>
          <w:tcPr>
            <w:tcW w:w="850" w:type="pct"/>
          </w:tcPr>
          <w:p>
            <w:pPr>
              <w:pStyle w:val="19"/>
              <w:snapToGrid w:val="0"/>
              <w:spacing w:line="280" w:lineRule="exact"/>
              <w:ind w:firstLine="420" w:firstLineChars="200"/>
              <w:jc w:val="center"/>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jc w:val="center"/>
        </w:trPr>
        <w:tc>
          <w:tcPr>
            <w:tcW w:w="1712" w:type="pct"/>
            <w:vAlign w:val="center"/>
          </w:tcPr>
          <w:p>
            <w:pPr>
              <w:widowControl/>
              <w:spacing w:line="280" w:lineRule="exact"/>
              <w:jc w:val="center"/>
              <w:rPr>
                <w:sz w:val="21"/>
                <w:szCs w:val="21"/>
              </w:rPr>
            </w:pPr>
            <w:r>
              <w:rPr>
                <w:rFonts w:ascii="FangSong_GB2312" w:hAnsi="FangSong_GB2312" w:eastAsia="FangSong_GB2312" w:cs="FangSong_GB2312"/>
                <w:color w:val="000000"/>
                <w:sz w:val="21"/>
                <w:szCs w:val="21"/>
                <w:lang w:val="en-US" w:bidi="ar"/>
              </w:rPr>
              <w:t>支付业务数字化</w:t>
            </w:r>
          </w:p>
          <w:p>
            <w:pPr>
              <w:pStyle w:val="19"/>
              <w:snapToGrid w:val="0"/>
              <w:spacing w:line="280" w:lineRule="exact"/>
              <w:ind w:firstLine="420" w:firstLineChars="200"/>
              <w:jc w:val="center"/>
              <w:textAlignment w:val="baseline"/>
              <w:rPr>
                <w:sz w:val="21"/>
                <w:szCs w:val="21"/>
              </w:rPr>
            </w:pPr>
          </w:p>
        </w:tc>
        <w:tc>
          <w:tcPr>
            <w:tcW w:w="1072" w:type="pct"/>
            <w:vAlign w:val="center"/>
          </w:tcPr>
          <w:p>
            <w:pPr>
              <w:snapToGrid w:val="0"/>
              <w:spacing w:line="280" w:lineRule="exact"/>
              <w:jc w:val="center"/>
              <w:textAlignment w:val="baseline"/>
              <w:rPr>
                <w:sz w:val="21"/>
                <w:szCs w:val="21"/>
              </w:rPr>
            </w:pPr>
            <w:r>
              <w:rPr>
                <w:rFonts w:hint="eastAsia"/>
                <w:spacing w:val="-4"/>
                <w:sz w:val="21"/>
                <w:szCs w:val="21"/>
                <w:lang w:val="en-US"/>
              </w:rPr>
              <w:t>本模块150分</w:t>
            </w:r>
          </w:p>
        </w:tc>
        <w:tc>
          <w:tcPr>
            <w:tcW w:w="1364" w:type="pct"/>
            <w:vMerge w:val="continue"/>
          </w:tcPr>
          <w:p>
            <w:pPr>
              <w:snapToGrid w:val="0"/>
              <w:spacing w:line="280" w:lineRule="exact"/>
              <w:jc w:val="center"/>
              <w:textAlignment w:val="baseline"/>
              <w:rPr>
                <w:spacing w:val="-4"/>
                <w:sz w:val="21"/>
                <w:szCs w:val="21"/>
                <w:lang w:val="en-US"/>
              </w:rPr>
            </w:pPr>
          </w:p>
        </w:tc>
        <w:tc>
          <w:tcPr>
            <w:tcW w:w="850" w:type="pct"/>
          </w:tcPr>
          <w:p>
            <w:pPr>
              <w:snapToGrid w:val="0"/>
              <w:spacing w:line="280" w:lineRule="exact"/>
              <w:ind w:firstLine="420" w:firstLineChars="200"/>
              <w:jc w:val="center"/>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jc w:val="center"/>
        </w:trPr>
        <w:tc>
          <w:tcPr>
            <w:tcW w:w="1712" w:type="pct"/>
            <w:vAlign w:val="center"/>
          </w:tcPr>
          <w:p>
            <w:pPr>
              <w:widowControl/>
              <w:spacing w:line="280" w:lineRule="exact"/>
              <w:jc w:val="center"/>
              <w:rPr>
                <w:sz w:val="21"/>
                <w:szCs w:val="21"/>
              </w:rPr>
            </w:pPr>
            <w:r>
              <w:rPr>
                <w:rFonts w:ascii="FangSong_GB2312" w:hAnsi="FangSong_GB2312" w:eastAsia="FangSong_GB2312" w:cs="FangSong_GB2312"/>
                <w:color w:val="000000"/>
                <w:sz w:val="21"/>
                <w:szCs w:val="21"/>
                <w:lang w:val="en-US" w:bidi="ar"/>
              </w:rPr>
              <w:t>银行业务数字化</w:t>
            </w:r>
          </w:p>
          <w:p>
            <w:pPr>
              <w:pStyle w:val="19"/>
              <w:snapToGrid w:val="0"/>
              <w:spacing w:line="280" w:lineRule="exact"/>
              <w:ind w:firstLine="420" w:firstLineChars="200"/>
              <w:jc w:val="center"/>
              <w:textAlignment w:val="baseline"/>
              <w:rPr>
                <w:sz w:val="21"/>
                <w:szCs w:val="21"/>
              </w:rPr>
            </w:pPr>
          </w:p>
        </w:tc>
        <w:tc>
          <w:tcPr>
            <w:tcW w:w="1072" w:type="pct"/>
            <w:vAlign w:val="center"/>
          </w:tcPr>
          <w:p>
            <w:pPr>
              <w:snapToGrid w:val="0"/>
              <w:spacing w:line="280" w:lineRule="exact"/>
              <w:jc w:val="center"/>
              <w:textAlignment w:val="baseline"/>
              <w:rPr>
                <w:sz w:val="21"/>
                <w:szCs w:val="21"/>
              </w:rPr>
            </w:pPr>
            <w:r>
              <w:rPr>
                <w:rFonts w:hint="eastAsia"/>
                <w:spacing w:val="-4"/>
                <w:sz w:val="21"/>
                <w:szCs w:val="21"/>
                <w:lang w:val="en-US"/>
              </w:rPr>
              <w:t>本模块150分</w:t>
            </w:r>
          </w:p>
        </w:tc>
        <w:tc>
          <w:tcPr>
            <w:tcW w:w="1364" w:type="pct"/>
            <w:vMerge w:val="continue"/>
          </w:tcPr>
          <w:p>
            <w:pPr>
              <w:snapToGrid w:val="0"/>
              <w:spacing w:line="280" w:lineRule="exact"/>
              <w:jc w:val="center"/>
              <w:textAlignment w:val="baseline"/>
              <w:rPr>
                <w:spacing w:val="-4"/>
                <w:sz w:val="21"/>
                <w:szCs w:val="21"/>
                <w:lang w:val="en-US"/>
              </w:rPr>
            </w:pPr>
          </w:p>
        </w:tc>
        <w:tc>
          <w:tcPr>
            <w:tcW w:w="850" w:type="pct"/>
          </w:tcPr>
          <w:p>
            <w:pPr>
              <w:snapToGrid w:val="0"/>
              <w:spacing w:line="280" w:lineRule="exact"/>
              <w:ind w:firstLine="420" w:firstLineChars="200"/>
              <w:jc w:val="center"/>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jc w:val="center"/>
        </w:trPr>
        <w:tc>
          <w:tcPr>
            <w:tcW w:w="1712" w:type="pct"/>
            <w:vAlign w:val="center"/>
          </w:tcPr>
          <w:p>
            <w:pPr>
              <w:widowControl/>
              <w:spacing w:line="280" w:lineRule="exact"/>
              <w:jc w:val="center"/>
              <w:rPr>
                <w:sz w:val="21"/>
                <w:szCs w:val="21"/>
              </w:rPr>
            </w:pPr>
            <w:r>
              <w:rPr>
                <w:rFonts w:ascii="FangSong_GB2312" w:hAnsi="FangSong_GB2312" w:eastAsia="FangSong_GB2312" w:cs="FangSong_GB2312"/>
                <w:color w:val="000000"/>
                <w:sz w:val="21"/>
                <w:szCs w:val="21"/>
                <w:lang w:val="en-US" w:bidi="ar"/>
              </w:rPr>
              <w:t>证券业务数字化</w:t>
            </w:r>
          </w:p>
          <w:p>
            <w:pPr>
              <w:widowControl/>
              <w:spacing w:line="280" w:lineRule="exact"/>
              <w:jc w:val="center"/>
              <w:rPr>
                <w:sz w:val="21"/>
                <w:szCs w:val="21"/>
              </w:rPr>
            </w:pPr>
          </w:p>
        </w:tc>
        <w:tc>
          <w:tcPr>
            <w:tcW w:w="1072" w:type="pct"/>
            <w:vAlign w:val="center"/>
          </w:tcPr>
          <w:p>
            <w:pPr>
              <w:snapToGrid w:val="0"/>
              <w:spacing w:line="280" w:lineRule="exact"/>
              <w:jc w:val="center"/>
              <w:textAlignment w:val="baseline"/>
              <w:rPr>
                <w:sz w:val="21"/>
                <w:szCs w:val="21"/>
              </w:rPr>
            </w:pPr>
            <w:r>
              <w:rPr>
                <w:rFonts w:hint="eastAsia"/>
                <w:spacing w:val="-4"/>
                <w:sz w:val="21"/>
                <w:szCs w:val="21"/>
                <w:lang w:val="en-US"/>
              </w:rPr>
              <w:t>本模块200分</w:t>
            </w:r>
          </w:p>
        </w:tc>
        <w:tc>
          <w:tcPr>
            <w:tcW w:w="1364" w:type="pct"/>
            <w:vMerge w:val="continue"/>
          </w:tcPr>
          <w:p>
            <w:pPr>
              <w:snapToGrid w:val="0"/>
              <w:spacing w:line="280" w:lineRule="exact"/>
              <w:jc w:val="center"/>
              <w:textAlignment w:val="baseline"/>
              <w:rPr>
                <w:spacing w:val="-4"/>
                <w:sz w:val="21"/>
                <w:szCs w:val="21"/>
                <w:lang w:val="en-US"/>
              </w:rPr>
            </w:pPr>
          </w:p>
        </w:tc>
        <w:tc>
          <w:tcPr>
            <w:tcW w:w="850" w:type="pct"/>
          </w:tcPr>
          <w:p>
            <w:pPr>
              <w:snapToGrid w:val="0"/>
              <w:spacing w:line="280" w:lineRule="exact"/>
              <w:ind w:firstLine="420" w:firstLineChars="200"/>
              <w:jc w:val="center"/>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jc w:val="center"/>
        </w:trPr>
        <w:tc>
          <w:tcPr>
            <w:tcW w:w="1712" w:type="pct"/>
            <w:vAlign w:val="center"/>
          </w:tcPr>
          <w:p>
            <w:pPr>
              <w:widowControl/>
              <w:spacing w:line="280" w:lineRule="exact"/>
              <w:jc w:val="center"/>
              <w:rPr>
                <w:sz w:val="21"/>
                <w:szCs w:val="21"/>
              </w:rPr>
            </w:pPr>
            <w:r>
              <w:rPr>
                <w:rFonts w:ascii="FangSong_GB2312" w:hAnsi="FangSong_GB2312" w:eastAsia="FangSong_GB2312" w:cs="FangSong_GB2312"/>
                <w:color w:val="000000"/>
                <w:sz w:val="21"/>
                <w:szCs w:val="21"/>
                <w:lang w:val="en-US" w:bidi="ar"/>
              </w:rPr>
              <w:t>保险业业务数字化</w:t>
            </w:r>
          </w:p>
          <w:p>
            <w:pPr>
              <w:pStyle w:val="19"/>
              <w:snapToGrid w:val="0"/>
              <w:spacing w:line="280" w:lineRule="exact"/>
              <w:ind w:firstLine="420" w:firstLineChars="200"/>
              <w:jc w:val="center"/>
              <w:textAlignment w:val="baseline"/>
              <w:rPr>
                <w:sz w:val="21"/>
                <w:szCs w:val="21"/>
              </w:rPr>
            </w:pPr>
          </w:p>
        </w:tc>
        <w:tc>
          <w:tcPr>
            <w:tcW w:w="1072" w:type="pct"/>
            <w:vAlign w:val="center"/>
          </w:tcPr>
          <w:p>
            <w:pPr>
              <w:snapToGrid w:val="0"/>
              <w:spacing w:line="280" w:lineRule="exact"/>
              <w:jc w:val="center"/>
              <w:textAlignment w:val="baseline"/>
              <w:rPr>
                <w:sz w:val="21"/>
                <w:szCs w:val="21"/>
              </w:rPr>
            </w:pPr>
            <w:r>
              <w:rPr>
                <w:rFonts w:hint="eastAsia"/>
                <w:spacing w:val="-4"/>
                <w:sz w:val="21"/>
                <w:szCs w:val="21"/>
                <w:lang w:val="en-US"/>
              </w:rPr>
              <w:t>本模块150分</w:t>
            </w:r>
          </w:p>
        </w:tc>
        <w:tc>
          <w:tcPr>
            <w:tcW w:w="1364" w:type="pct"/>
            <w:vMerge w:val="continue"/>
          </w:tcPr>
          <w:p>
            <w:pPr>
              <w:snapToGrid w:val="0"/>
              <w:spacing w:line="280" w:lineRule="exact"/>
              <w:jc w:val="center"/>
              <w:textAlignment w:val="baseline"/>
              <w:rPr>
                <w:spacing w:val="-4"/>
                <w:sz w:val="21"/>
                <w:szCs w:val="21"/>
                <w:lang w:val="en-US"/>
              </w:rPr>
            </w:pPr>
          </w:p>
        </w:tc>
        <w:tc>
          <w:tcPr>
            <w:tcW w:w="850" w:type="pct"/>
          </w:tcPr>
          <w:p>
            <w:pPr>
              <w:snapToGrid w:val="0"/>
              <w:spacing w:line="280" w:lineRule="exact"/>
              <w:ind w:firstLine="420" w:firstLineChars="200"/>
              <w:jc w:val="center"/>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712" w:type="pct"/>
            <w:vAlign w:val="center"/>
          </w:tcPr>
          <w:p>
            <w:pPr>
              <w:widowControl/>
              <w:spacing w:line="280" w:lineRule="exact"/>
              <w:jc w:val="center"/>
              <w:rPr>
                <w:sz w:val="21"/>
                <w:szCs w:val="21"/>
              </w:rPr>
            </w:pPr>
            <w:r>
              <w:rPr>
                <w:rFonts w:ascii="FangSong_GB2312" w:hAnsi="FangSong_GB2312" w:eastAsia="FangSong_GB2312" w:cs="FangSong_GB2312"/>
                <w:color w:val="000000"/>
                <w:sz w:val="21"/>
                <w:szCs w:val="21"/>
                <w:lang w:val="en-US" w:bidi="ar"/>
              </w:rPr>
              <w:t>金融科技业务创新</w:t>
            </w:r>
          </w:p>
          <w:p>
            <w:pPr>
              <w:pStyle w:val="19"/>
              <w:snapToGrid w:val="0"/>
              <w:spacing w:line="280" w:lineRule="exact"/>
              <w:ind w:firstLine="420" w:firstLineChars="200"/>
              <w:jc w:val="center"/>
              <w:textAlignment w:val="baseline"/>
              <w:rPr>
                <w:sz w:val="21"/>
                <w:szCs w:val="21"/>
              </w:rPr>
            </w:pPr>
          </w:p>
        </w:tc>
        <w:tc>
          <w:tcPr>
            <w:tcW w:w="1072" w:type="pct"/>
            <w:vAlign w:val="center"/>
          </w:tcPr>
          <w:p>
            <w:pPr>
              <w:snapToGrid w:val="0"/>
              <w:spacing w:line="280" w:lineRule="exact"/>
              <w:jc w:val="center"/>
              <w:textAlignment w:val="baseline"/>
              <w:rPr>
                <w:sz w:val="21"/>
                <w:szCs w:val="21"/>
              </w:rPr>
            </w:pPr>
            <w:r>
              <w:rPr>
                <w:rFonts w:hint="eastAsia"/>
                <w:spacing w:val="-4"/>
                <w:sz w:val="21"/>
                <w:szCs w:val="21"/>
                <w:lang w:val="en-US"/>
              </w:rPr>
              <w:t>本模块50分</w:t>
            </w:r>
          </w:p>
        </w:tc>
        <w:tc>
          <w:tcPr>
            <w:tcW w:w="1364" w:type="pct"/>
            <w:vMerge w:val="continue"/>
          </w:tcPr>
          <w:p>
            <w:pPr>
              <w:snapToGrid w:val="0"/>
              <w:spacing w:line="280" w:lineRule="exact"/>
              <w:jc w:val="center"/>
              <w:textAlignment w:val="baseline"/>
              <w:rPr>
                <w:spacing w:val="-4"/>
                <w:sz w:val="21"/>
                <w:szCs w:val="21"/>
                <w:lang w:val="en-US"/>
              </w:rPr>
            </w:pPr>
          </w:p>
        </w:tc>
        <w:tc>
          <w:tcPr>
            <w:tcW w:w="850" w:type="pct"/>
          </w:tcPr>
          <w:p>
            <w:pPr>
              <w:snapToGrid w:val="0"/>
              <w:spacing w:line="280" w:lineRule="exact"/>
              <w:ind w:firstLine="420" w:firstLineChars="200"/>
              <w:jc w:val="center"/>
              <w:textAlignment w:val="baseline"/>
              <w:rPr>
                <w:sz w:val="21"/>
                <w:szCs w:val="21"/>
              </w:rPr>
            </w:pPr>
            <w:r>
              <w:rPr>
                <w:rFonts w:hint="eastAsia"/>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jc w:val="center"/>
        </w:trPr>
        <w:tc>
          <w:tcPr>
            <w:tcW w:w="1712" w:type="pct"/>
            <w:vAlign w:val="center"/>
          </w:tcPr>
          <w:p>
            <w:pPr>
              <w:widowControl/>
              <w:spacing w:line="280" w:lineRule="exact"/>
              <w:jc w:val="center"/>
              <w:rPr>
                <w:sz w:val="21"/>
                <w:szCs w:val="21"/>
              </w:rPr>
            </w:pPr>
            <w:r>
              <w:rPr>
                <w:rFonts w:ascii="FangSong_GB2312" w:hAnsi="FangSong_GB2312" w:eastAsia="FangSong_GB2312" w:cs="FangSong_GB2312"/>
                <w:color w:val="000000"/>
                <w:sz w:val="21"/>
                <w:szCs w:val="21"/>
                <w:lang w:val="en-US" w:bidi="ar"/>
              </w:rPr>
              <w:t>数字金融业务监管</w:t>
            </w:r>
          </w:p>
          <w:p>
            <w:pPr>
              <w:pStyle w:val="19"/>
              <w:snapToGrid w:val="0"/>
              <w:spacing w:line="280" w:lineRule="exact"/>
              <w:ind w:firstLine="420" w:firstLineChars="200"/>
              <w:jc w:val="center"/>
              <w:textAlignment w:val="baseline"/>
              <w:rPr>
                <w:sz w:val="21"/>
                <w:szCs w:val="21"/>
              </w:rPr>
            </w:pPr>
          </w:p>
        </w:tc>
        <w:tc>
          <w:tcPr>
            <w:tcW w:w="1072" w:type="pct"/>
            <w:vAlign w:val="center"/>
          </w:tcPr>
          <w:p>
            <w:pPr>
              <w:snapToGrid w:val="0"/>
              <w:spacing w:line="280" w:lineRule="exact"/>
              <w:jc w:val="center"/>
              <w:textAlignment w:val="baseline"/>
              <w:rPr>
                <w:sz w:val="21"/>
                <w:szCs w:val="21"/>
              </w:rPr>
            </w:pPr>
            <w:r>
              <w:rPr>
                <w:rFonts w:hint="eastAsia"/>
                <w:spacing w:val="-4"/>
                <w:sz w:val="21"/>
                <w:szCs w:val="21"/>
                <w:lang w:val="en-US"/>
              </w:rPr>
              <w:t>本模块50分</w:t>
            </w:r>
          </w:p>
        </w:tc>
        <w:tc>
          <w:tcPr>
            <w:tcW w:w="1364" w:type="pct"/>
            <w:vMerge w:val="continue"/>
          </w:tcPr>
          <w:p>
            <w:pPr>
              <w:snapToGrid w:val="0"/>
              <w:spacing w:line="280" w:lineRule="exact"/>
              <w:jc w:val="center"/>
              <w:textAlignment w:val="baseline"/>
              <w:rPr>
                <w:spacing w:val="-4"/>
                <w:sz w:val="21"/>
                <w:szCs w:val="21"/>
                <w:lang w:val="en-US"/>
              </w:rPr>
            </w:pPr>
          </w:p>
        </w:tc>
        <w:tc>
          <w:tcPr>
            <w:tcW w:w="850" w:type="pct"/>
          </w:tcPr>
          <w:p>
            <w:pPr>
              <w:snapToGrid w:val="0"/>
              <w:spacing w:line="280" w:lineRule="exact"/>
              <w:ind w:firstLine="420" w:firstLineChars="200"/>
              <w:jc w:val="center"/>
              <w:textAlignment w:val="baseline"/>
              <w:rPr>
                <w:sz w:val="21"/>
                <w:szCs w:val="21"/>
              </w:rPr>
            </w:pPr>
            <w:r>
              <w:rPr>
                <w:rFonts w:hint="eastAsia"/>
                <w:sz w:val="21"/>
                <w:szCs w:val="21"/>
              </w:rPr>
              <w:t>系统评分</w:t>
            </w:r>
          </w:p>
        </w:tc>
      </w:tr>
    </w:tbl>
    <w:p>
      <w:pPr>
        <w:pStyle w:val="2"/>
        <w:snapToGrid w:val="0"/>
        <w:spacing w:line="480" w:lineRule="exact"/>
        <w:ind w:left="0" w:firstLine="640" w:firstLineChars="200"/>
        <w:textAlignment w:val="baseline"/>
        <w:rPr>
          <w:sz w:val="32"/>
          <w:szCs w:val="32"/>
        </w:rPr>
      </w:pPr>
    </w:p>
    <w:p>
      <w:pPr>
        <w:pStyle w:val="4"/>
        <w:numPr>
          <w:ilvl w:val="0"/>
          <w:numId w:val="4"/>
        </w:numPr>
        <w:snapToGrid w:val="0"/>
        <w:spacing w:line="480" w:lineRule="exact"/>
        <w:ind w:left="0" w:firstLine="643" w:firstLineChars="200"/>
        <w:textAlignment w:val="baseline"/>
        <w:rPr>
          <w:rFonts w:hint="eastAsia" w:ascii="楷体" w:hAnsi="楷体" w:eastAsia="楷体" w:cs="楷体"/>
          <w:sz w:val="32"/>
          <w:szCs w:val="32"/>
        </w:rPr>
      </w:pPr>
      <w:r>
        <w:rPr>
          <w:rFonts w:hint="eastAsia" w:ascii="楷体" w:hAnsi="楷体" w:eastAsia="楷体" w:cs="楷体"/>
          <w:sz w:val="32"/>
          <w:szCs w:val="32"/>
        </w:rPr>
        <w:t>分值统计</w:t>
      </w:r>
    </w:p>
    <w:p>
      <w:pPr>
        <w:pStyle w:val="4"/>
        <w:snapToGrid w:val="0"/>
        <w:spacing w:line="480" w:lineRule="exact"/>
        <w:ind w:left="440" w:leftChars="200"/>
        <w:textAlignment w:val="baseline"/>
        <w:rPr>
          <w:sz w:val="32"/>
          <w:szCs w:val="32"/>
        </w:rPr>
      </w:pPr>
      <w:r>
        <w:rPr>
          <w:rFonts w:hint="eastAsia"/>
          <w:b w:val="0"/>
          <w:bCs w:val="0"/>
          <w:spacing w:val="-13"/>
          <w:sz w:val="32"/>
          <w:szCs w:val="32"/>
        </w:rPr>
        <w:t>“业务素养”赛项团队分值</w:t>
      </w:r>
      <w:r>
        <w:rPr>
          <w:rFonts w:hint="eastAsia"/>
          <w:b w:val="0"/>
          <w:bCs w:val="0"/>
          <w:sz w:val="32"/>
          <w:szCs w:val="32"/>
        </w:rPr>
        <w:t>400</w:t>
      </w:r>
      <w:r>
        <w:rPr>
          <w:rFonts w:hint="eastAsia"/>
          <w:b w:val="0"/>
          <w:bCs w:val="0"/>
          <w:spacing w:val="-15"/>
          <w:sz w:val="32"/>
          <w:szCs w:val="32"/>
        </w:rPr>
        <w:t>分、“业务技能”赛项团队分值</w:t>
      </w:r>
      <w:r>
        <w:rPr>
          <w:rFonts w:hint="eastAsia"/>
          <w:b w:val="0"/>
          <w:bCs w:val="0"/>
          <w:sz w:val="32"/>
          <w:szCs w:val="32"/>
        </w:rPr>
        <w:t>800</w:t>
      </w:r>
      <w:r>
        <w:rPr>
          <w:rFonts w:hint="eastAsia"/>
          <w:b w:val="0"/>
          <w:bCs w:val="0"/>
          <w:spacing w:val="-13"/>
          <w:sz w:val="32"/>
          <w:szCs w:val="32"/>
        </w:rPr>
        <w:t>分、“</w:t>
      </w:r>
      <w:r>
        <w:rPr>
          <w:rFonts w:hint="eastAsia"/>
          <w:b w:val="0"/>
          <w:bCs w:val="0"/>
          <w:spacing w:val="-13"/>
          <w:sz w:val="32"/>
          <w:szCs w:val="32"/>
          <w:lang w:val="en-US"/>
        </w:rPr>
        <w:t>金融综合技能</w:t>
      </w:r>
      <w:r>
        <w:rPr>
          <w:rFonts w:hint="eastAsia"/>
          <w:b w:val="0"/>
          <w:bCs w:val="0"/>
          <w:spacing w:val="-13"/>
          <w:sz w:val="32"/>
          <w:szCs w:val="32"/>
        </w:rPr>
        <w:t>”赛项团队分值</w:t>
      </w:r>
      <w:r>
        <w:rPr>
          <w:rFonts w:hint="eastAsia"/>
          <w:b w:val="0"/>
          <w:bCs w:val="0"/>
          <w:sz w:val="32"/>
          <w:szCs w:val="32"/>
        </w:rPr>
        <w:t>800</w:t>
      </w:r>
      <w:r>
        <w:rPr>
          <w:rFonts w:hint="eastAsia"/>
          <w:b w:val="0"/>
          <w:bCs w:val="0"/>
          <w:spacing w:val="-13"/>
          <w:sz w:val="32"/>
          <w:szCs w:val="32"/>
        </w:rPr>
        <w:t>分、“</w:t>
      </w:r>
      <w:r>
        <w:rPr>
          <w:rFonts w:hint="eastAsia"/>
          <w:b w:val="0"/>
          <w:bCs w:val="0"/>
          <w:spacing w:val="-13"/>
          <w:sz w:val="32"/>
          <w:szCs w:val="32"/>
          <w:lang w:val="en-US"/>
        </w:rPr>
        <w:t>数字金融业务</w:t>
      </w:r>
      <w:r>
        <w:rPr>
          <w:rFonts w:hint="eastAsia"/>
          <w:b w:val="0"/>
          <w:bCs w:val="0"/>
          <w:sz w:val="32"/>
          <w:szCs w:val="32"/>
        </w:rPr>
        <w:t>”赛项团队分值</w:t>
      </w:r>
      <w:r>
        <w:rPr>
          <w:rFonts w:hint="eastAsia"/>
          <w:b w:val="0"/>
          <w:bCs w:val="0"/>
          <w:sz w:val="32"/>
          <w:szCs w:val="32"/>
          <w:lang w:val="en-US"/>
        </w:rPr>
        <w:t>10</w:t>
      </w:r>
      <w:r>
        <w:rPr>
          <w:rFonts w:hint="eastAsia"/>
          <w:b w:val="0"/>
          <w:bCs w:val="0"/>
          <w:sz w:val="32"/>
          <w:szCs w:val="32"/>
        </w:rPr>
        <w:t>00分。上述四项合计团队总分为</w:t>
      </w:r>
      <w:r>
        <w:rPr>
          <w:rFonts w:hint="eastAsia"/>
          <w:b w:val="0"/>
          <w:bCs w:val="0"/>
          <w:sz w:val="32"/>
          <w:szCs w:val="32"/>
          <w:lang w:val="en-US"/>
        </w:rPr>
        <w:t>30</w:t>
      </w:r>
      <w:r>
        <w:rPr>
          <w:rFonts w:hint="eastAsia"/>
          <w:b w:val="0"/>
          <w:bCs w:val="0"/>
          <w:sz w:val="32"/>
          <w:szCs w:val="32"/>
        </w:rPr>
        <w:t>00分。成绩审核无误后转换成百分制进行公示、上报。</w:t>
      </w:r>
    </w:p>
    <w:p>
      <w:pPr>
        <w:snapToGrid w:val="0"/>
        <w:spacing w:line="480" w:lineRule="exact"/>
        <w:ind w:firstLine="643" w:firstLineChars="200"/>
        <w:textAlignment w:val="baseline"/>
        <w:rPr>
          <w:rFonts w:hint="eastAsia" w:ascii="楷体" w:hAnsi="楷体" w:eastAsia="楷体" w:cs="楷体"/>
          <w:b/>
          <w:sz w:val="32"/>
          <w:szCs w:val="32"/>
        </w:rPr>
      </w:pPr>
      <w:r>
        <w:rPr>
          <w:rFonts w:hint="eastAsia" w:ascii="楷体" w:hAnsi="楷体" w:eastAsia="楷体" w:cs="楷体"/>
          <w:b/>
          <w:sz w:val="32"/>
          <w:szCs w:val="32"/>
        </w:rPr>
        <w:t>（</w:t>
      </w:r>
      <w:r>
        <w:rPr>
          <w:rFonts w:hint="eastAsia" w:ascii="楷体" w:hAnsi="楷体" w:eastAsia="楷体" w:cs="楷体"/>
          <w:b/>
          <w:sz w:val="32"/>
          <w:szCs w:val="32"/>
          <w:lang w:val="en-US"/>
        </w:rPr>
        <w:t>五</w:t>
      </w:r>
      <w:r>
        <w:rPr>
          <w:rFonts w:hint="eastAsia" w:ascii="楷体" w:hAnsi="楷体" w:eastAsia="楷体" w:cs="楷体"/>
          <w:b/>
          <w:sz w:val="32"/>
          <w:szCs w:val="32"/>
        </w:rPr>
        <w:t>）成绩复核</w:t>
      </w:r>
    </w:p>
    <w:p>
      <w:pPr>
        <w:pStyle w:val="2"/>
        <w:snapToGrid w:val="0"/>
        <w:spacing w:line="480" w:lineRule="exact"/>
        <w:ind w:left="0" w:firstLine="640" w:firstLineChars="200"/>
        <w:textAlignment w:val="baseline"/>
        <w:rPr>
          <w:sz w:val="32"/>
          <w:szCs w:val="32"/>
        </w:rPr>
      </w:pPr>
      <w:r>
        <w:rPr>
          <w:rFonts w:hint="eastAsia"/>
          <w:sz w:val="32"/>
          <w:szCs w:val="32"/>
        </w:rPr>
        <w:t>为保障成绩评判的准确性，监督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pPr>
        <w:snapToGrid w:val="0"/>
        <w:spacing w:line="480" w:lineRule="exact"/>
        <w:ind w:firstLine="643" w:firstLineChars="200"/>
        <w:textAlignment w:val="baseline"/>
        <w:rPr>
          <w:rFonts w:hint="eastAsia" w:ascii="楷体" w:hAnsi="楷体" w:eastAsia="楷体" w:cs="楷体"/>
          <w:b/>
          <w:sz w:val="32"/>
          <w:szCs w:val="32"/>
        </w:rPr>
      </w:pPr>
      <w:r>
        <w:rPr>
          <w:rFonts w:hint="eastAsia" w:ascii="楷体" w:hAnsi="楷体" w:eastAsia="楷体" w:cs="楷体"/>
          <w:b/>
          <w:sz w:val="32"/>
          <w:szCs w:val="32"/>
        </w:rPr>
        <w:t>（</w:t>
      </w:r>
      <w:r>
        <w:rPr>
          <w:rFonts w:hint="eastAsia" w:ascii="楷体" w:hAnsi="楷体" w:eastAsia="楷体" w:cs="楷体"/>
          <w:b/>
          <w:sz w:val="32"/>
          <w:szCs w:val="32"/>
          <w:lang w:val="en-US"/>
        </w:rPr>
        <w:t>六</w:t>
      </w:r>
      <w:r>
        <w:rPr>
          <w:rFonts w:hint="eastAsia" w:ascii="楷体" w:hAnsi="楷体" w:eastAsia="楷体" w:cs="楷体"/>
          <w:b/>
          <w:sz w:val="32"/>
          <w:szCs w:val="32"/>
        </w:rPr>
        <w:t>）成绩公布</w:t>
      </w:r>
    </w:p>
    <w:p>
      <w:pPr>
        <w:pStyle w:val="2"/>
        <w:snapToGrid w:val="0"/>
        <w:spacing w:line="480" w:lineRule="exact"/>
        <w:ind w:left="0" w:firstLine="640" w:firstLineChars="200"/>
        <w:textAlignment w:val="baseline"/>
        <w:rPr>
          <w:sz w:val="32"/>
          <w:szCs w:val="32"/>
          <w:lang w:val="en-US"/>
        </w:rPr>
      </w:pPr>
      <w:r>
        <w:rPr>
          <w:rFonts w:hint="eastAsia"/>
          <w:sz w:val="32"/>
          <w:szCs w:val="32"/>
        </w:rPr>
        <w:t>竞赛成绩复核无误后，经裁判长、监督组签字后进行公示。公示</w:t>
      </w:r>
      <w:r>
        <w:rPr>
          <w:rFonts w:hint="eastAsia"/>
          <w:spacing w:val="-18"/>
          <w:sz w:val="32"/>
          <w:szCs w:val="32"/>
        </w:rPr>
        <w:t>时间为</w:t>
      </w:r>
      <w:r>
        <w:rPr>
          <w:rFonts w:hint="eastAsia"/>
          <w:sz w:val="32"/>
          <w:szCs w:val="32"/>
          <w:lang w:val="en-US"/>
        </w:rPr>
        <w:t>1</w:t>
      </w:r>
      <w:r>
        <w:rPr>
          <w:rFonts w:hint="eastAsia"/>
          <w:spacing w:val="-15"/>
          <w:sz w:val="32"/>
          <w:szCs w:val="32"/>
        </w:rPr>
        <w:t>小时。成绩公示无异议后，由仲裁长和监督组长在成绩单上</w:t>
      </w:r>
      <w:r>
        <w:rPr>
          <w:rFonts w:hint="eastAsia"/>
          <w:sz w:val="32"/>
          <w:szCs w:val="32"/>
          <w:lang w:val="en-US"/>
        </w:rPr>
        <w:t>签字。</w:t>
      </w:r>
    </w:p>
    <w:p>
      <w:pPr>
        <w:pStyle w:val="2"/>
        <w:snapToGrid w:val="0"/>
        <w:spacing w:line="480" w:lineRule="exact"/>
        <w:ind w:left="0" w:firstLine="640" w:firstLineChars="200"/>
        <w:textAlignment w:val="baseline"/>
        <w:rPr>
          <w:sz w:val="32"/>
          <w:szCs w:val="32"/>
          <w:lang w:val="en-US"/>
        </w:rPr>
      </w:pPr>
      <w:r>
        <w:rPr>
          <w:rFonts w:hint="eastAsia"/>
          <w:sz w:val="32"/>
          <w:szCs w:val="32"/>
          <w:lang w:val="en-US"/>
        </w:rPr>
        <w:t>1.</w:t>
      </w:r>
      <w:r>
        <w:rPr>
          <w:rFonts w:hint="eastAsia"/>
          <w:sz w:val="32"/>
          <w:szCs w:val="32"/>
        </w:rPr>
        <w:t>本赛</w:t>
      </w:r>
      <w:r>
        <w:rPr>
          <w:rFonts w:hint="eastAsia"/>
          <w:sz w:val="32"/>
          <w:szCs w:val="32"/>
          <w:lang w:val="en-US"/>
        </w:rPr>
        <w:t>项只设参赛团体奖；</w:t>
      </w:r>
    </w:p>
    <w:p>
      <w:pPr>
        <w:pStyle w:val="2"/>
        <w:snapToGrid w:val="0"/>
        <w:spacing w:line="480" w:lineRule="exact"/>
        <w:ind w:left="0" w:firstLine="640" w:firstLineChars="200"/>
        <w:textAlignment w:val="baseline"/>
        <w:rPr>
          <w:sz w:val="32"/>
          <w:szCs w:val="32"/>
          <w:lang w:val="en-US"/>
        </w:rPr>
      </w:pPr>
      <w:r>
        <w:rPr>
          <w:rFonts w:hint="eastAsia"/>
          <w:sz w:val="32"/>
          <w:szCs w:val="32"/>
          <w:lang w:val="en-US"/>
        </w:rPr>
        <w:t>2.奖项设置参照省教育厅技能大赛文件执行。</w:t>
      </w:r>
    </w:p>
    <w:p>
      <w:pPr>
        <w:pStyle w:val="3"/>
        <w:snapToGrid w:val="0"/>
        <w:spacing w:before="0" w:line="480" w:lineRule="exact"/>
        <w:ind w:left="0" w:firstLine="643" w:firstLineChars="200"/>
        <w:textAlignment w:val="baseline"/>
        <w:rPr>
          <w:rFonts w:hint="eastAsia" w:ascii="黑体" w:hAnsi="黑体" w:eastAsia="黑体" w:cs="黑体"/>
          <w:sz w:val="32"/>
          <w:szCs w:val="32"/>
        </w:rPr>
      </w:pPr>
      <w:r>
        <w:rPr>
          <w:rFonts w:hint="eastAsia" w:ascii="黑体" w:hAnsi="黑体" w:eastAsia="黑体" w:cs="黑体"/>
          <w:sz w:val="32"/>
          <w:szCs w:val="32"/>
          <w:lang w:val="en-US"/>
        </w:rPr>
        <w:t xml:space="preserve">十一、赛项预案 </w:t>
      </w:r>
    </w:p>
    <w:p>
      <w:pPr>
        <w:widowControl/>
        <w:spacing w:line="480" w:lineRule="exact"/>
        <w:ind w:firstLine="640" w:firstLineChars="200"/>
        <w:rPr>
          <w:sz w:val="32"/>
          <w:szCs w:val="32"/>
        </w:rPr>
      </w:pPr>
      <w:r>
        <w:rPr>
          <w:rFonts w:hint="eastAsia"/>
          <w:sz w:val="32"/>
          <w:szCs w:val="32"/>
          <w:lang w:val="en-US"/>
        </w:rPr>
        <w:t xml:space="preserve">为保障技能竞赛有序进行，保障参赛选手的身体健康与生命财产安全，应对各种突发事件。根据《全国职业院校技能大赛安全管理规定》，结合赛场实际，特制定如下应急预案： </w:t>
      </w:r>
    </w:p>
    <w:p>
      <w:pPr>
        <w:widowControl/>
        <w:spacing w:line="48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lang w:val="en-US"/>
        </w:rPr>
        <w:t xml:space="preserve">（一）指导思想 </w:t>
      </w:r>
    </w:p>
    <w:p>
      <w:pPr>
        <w:widowControl/>
        <w:spacing w:line="480" w:lineRule="exact"/>
        <w:ind w:firstLine="640" w:firstLineChars="200"/>
        <w:rPr>
          <w:sz w:val="32"/>
          <w:szCs w:val="32"/>
        </w:rPr>
      </w:pPr>
      <w:r>
        <w:rPr>
          <w:rFonts w:hint="eastAsia"/>
          <w:sz w:val="32"/>
          <w:szCs w:val="32"/>
          <w:lang w:val="en-US"/>
        </w:rPr>
        <w:t xml:space="preserve">预防为主，防范各类安全事故发生，并在事故突发时能够快速、及时、妥善处置，最大限度降低安全事故危害。 </w:t>
      </w:r>
    </w:p>
    <w:p>
      <w:pPr>
        <w:widowControl/>
        <w:spacing w:line="48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lang w:val="en-US"/>
        </w:rPr>
        <w:t xml:space="preserve">（二）工作原则 </w:t>
      </w:r>
    </w:p>
    <w:p>
      <w:pPr>
        <w:widowControl/>
        <w:spacing w:line="480" w:lineRule="exact"/>
        <w:ind w:firstLine="640" w:firstLineChars="200"/>
        <w:rPr>
          <w:sz w:val="32"/>
          <w:szCs w:val="32"/>
        </w:rPr>
      </w:pPr>
      <w:r>
        <w:rPr>
          <w:rFonts w:hint="eastAsia"/>
          <w:sz w:val="32"/>
          <w:szCs w:val="32"/>
          <w:lang w:val="en-US"/>
        </w:rPr>
        <w:t xml:space="preserve">1．以人为本、快速反应。突发事件的处置实行首遇责任制，首先发现情况的工作人员必须在第一时间报告相关领导，相关人员到达现场后及时做好交接，并积极协同处理有关事务，直至事态基本平稳后方可离开。应急处置的各环节都要坚持把保障健康和生命安全作为首要任务。在此前提下，工作人员迅速按照应急预案开展工作，最大限度地减少危害和影响。 </w:t>
      </w:r>
    </w:p>
    <w:p>
      <w:pPr>
        <w:widowControl/>
        <w:spacing w:line="480" w:lineRule="exact"/>
        <w:ind w:firstLine="640" w:firstLineChars="200"/>
        <w:rPr>
          <w:sz w:val="32"/>
          <w:szCs w:val="32"/>
        </w:rPr>
      </w:pPr>
      <w:r>
        <w:rPr>
          <w:rFonts w:hint="eastAsia"/>
          <w:sz w:val="32"/>
          <w:szCs w:val="32"/>
          <w:lang w:val="en-US"/>
        </w:rPr>
        <w:t xml:space="preserve">2．服从指挥、分工负责。在赛项执委会的领导下，由赛项专家联合承办校成立赛项应急保障小组，负责现场控制、后勤保障、医疗救援、信息资料等，工作人员各负其责、齐心协力、密切配合、共同做好突发事件的处置工作。 </w:t>
      </w:r>
    </w:p>
    <w:p>
      <w:pPr>
        <w:widowControl/>
        <w:spacing w:line="480" w:lineRule="exact"/>
        <w:ind w:firstLine="640" w:firstLineChars="200"/>
        <w:rPr>
          <w:sz w:val="32"/>
          <w:szCs w:val="32"/>
        </w:rPr>
      </w:pPr>
      <w:r>
        <w:rPr>
          <w:rFonts w:hint="eastAsia"/>
          <w:sz w:val="32"/>
          <w:szCs w:val="32"/>
          <w:lang w:val="en-US"/>
        </w:rPr>
        <w:t xml:space="preserve">３．防范为主、上下联动。加强宣传，提高自我防范、自救互救等能力。突发事件发生后，要在专业人员的指导下，采取切实可行的措施控制现场、维护秩序，防止事故的蔓延和扩大。 </w:t>
      </w:r>
    </w:p>
    <w:p>
      <w:pPr>
        <w:widowControl/>
        <w:spacing w:line="480" w:lineRule="exact"/>
        <w:ind w:firstLine="643" w:firstLineChars="200"/>
        <w:rPr>
          <w:b/>
          <w:bCs/>
          <w:sz w:val="32"/>
          <w:szCs w:val="32"/>
        </w:rPr>
      </w:pPr>
      <w:r>
        <w:rPr>
          <w:rFonts w:hint="eastAsia" w:ascii="楷体" w:hAnsi="楷体" w:eastAsia="楷体" w:cs="楷体"/>
          <w:b/>
          <w:bCs/>
          <w:sz w:val="32"/>
          <w:szCs w:val="32"/>
          <w:lang w:val="en-US"/>
        </w:rPr>
        <w:t>（三）组织管理</w:t>
      </w:r>
      <w:r>
        <w:rPr>
          <w:rFonts w:hint="eastAsia"/>
          <w:b/>
          <w:bCs/>
          <w:sz w:val="32"/>
          <w:szCs w:val="32"/>
          <w:lang w:val="en-US"/>
        </w:rPr>
        <w:t xml:space="preserve"> </w:t>
      </w:r>
    </w:p>
    <w:p>
      <w:pPr>
        <w:widowControl/>
        <w:spacing w:line="480" w:lineRule="exact"/>
        <w:ind w:firstLine="640" w:firstLineChars="200"/>
      </w:pPr>
      <w:r>
        <w:rPr>
          <w:rFonts w:hint="eastAsia"/>
          <w:sz w:val="32"/>
          <w:szCs w:val="32"/>
          <w:lang w:val="en-US"/>
        </w:rPr>
        <w:t>赛场成立赛项安全工作领导小组，赛项安全工作领导小组总揽赛项安全工作，建立与公安、交通、消防、卫生、防疫、食品等相关职 能部门的协调预警机制。赛项安全工作领导小组下设七个工作专班：疫情防控专班、现场安保专班、车辆安全专班、食品安全专班、特情处置专班、设备保障专班、电力保障专班。明确人员分工，落实岗位职责，着力抓细抓实。各工作专班负责制定出符合相关部门要求的《疫情防控应急预案》《伤害事故紧急处理预案》《车辆安全措施应急预案》《食品安全措施应急预案》《消防安全事故紧急处理预案》《设备事故紧急处理预案》《电力供应事故紧急处理预案》《地震灾害紧急处理预案》和《疾病防控应急预案》等预案。赛前组织相关工作组人员进行培训，提高他们的业务素质和处置能力，同时举行火灾、地震和洪水等灾害的应急疏散演练，以及相关设施设备的安全检查。</w:t>
      </w:r>
      <w:r>
        <w:rPr>
          <w:rFonts w:ascii="FangSong_GB2312" w:hAnsi="FangSong_GB2312" w:eastAsia="FangSong_GB2312" w:cs="FangSong_GB2312"/>
          <w:color w:val="000000"/>
          <w:sz w:val="28"/>
          <w:szCs w:val="28"/>
          <w:lang w:val="en-US" w:bidi="ar"/>
        </w:rPr>
        <w:t xml:space="preserve"> </w:t>
      </w:r>
    </w:p>
    <w:p>
      <w:pPr>
        <w:widowControl/>
        <w:spacing w:line="48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lang w:val="en-US"/>
        </w:rPr>
        <w:t xml:space="preserve">（四）疫情防控 </w:t>
      </w:r>
    </w:p>
    <w:p>
      <w:pPr>
        <w:widowControl/>
        <w:spacing w:line="480" w:lineRule="exact"/>
        <w:ind w:firstLine="640" w:firstLineChars="200"/>
        <w:rPr>
          <w:sz w:val="32"/>
          <w:szCs w:val="32"/>
        </w:rPr>
      </w:pPr>
      <w:r>
        <w:rPr>
          <w:rFonts w:hint="eastAsia"/>
          <w:sz w:val="32"/>
          <w:szCs w:val="32"/>
          <w:lang w:val="en-US"/>
        </w:rPr>
        <w:t xml:space="preserve">根据当地疫情防控部门的工作要求，制定科学可行的防控方案，并征得当地疫情防控部门的同意方可进行相关工作。 </w:t>
      </w:r>
    </w:p>
    <w:p>
      <w:pPr>
        <w:widowControl/>
        <w:spacing w:line="480" w:lineRule="exact"/>
        <w:ind w:firstLine="720" w:firstLineChars="0"/>
        <w:rPr>
          <w:rFonts w:hint="eastAsia" w:ascii="楷体" w:hAnsi="楷体" w:eastAsia="楷体" w:cs="楷体"/>
          <w:b/>
          <w:bCs/>
          <w:sz w:val="32"/>
          <w:szCs w:val="32"/>
        </w:rPr>
      </w:pPr>
      <w:r>
        <w:rPr>
          <w:rFonts w:hint="eastAsia" w:ascii="楷体" w:hAnsi="楷体" w:eastAsia="楷体" w:cs="楷体"/>
          <w:b/>
          <w:bCs/>
          <w:sz w:val="32"/>
          <w:szCs w:val="32"/>
          <w:lang w:val="en-US"/>
        </w:rPr>
        <w:t xml:space="preserve">（五）竞赛期间应急工作处理预案 </w:t>
      </w:r>
    </w:p>
    <w:p>
      <w:pPr>
        <w:widowControl/>
        <w:spacing w:line="480" w:lineRule="exact"/>
        <w:ind w:firstLine="643" w:firstLineChars="200"/>
        <w:rPr>
          <w:sz w:val="32"/>
          <w:szCs w:val="32"/>
        </w:rPr>
      </w:pPr>
      <w:r>
        <w:rPr>
          <w:rFonts w:hint="eastAsia"/>
          <w:b/>
          <w:bCs/>
          <w:sz w:val="32"/>
          <w:szCs w:val="32"/>
          <w:lang w:val="en-US"/>
        </w:rPr>
        <w:t>1.突发停水、停电应急预案</w:t>
      </w:r>
      <w:r>
        <w:rPr>
          <w:rFonts w:hint="eastAsia"/>
          <w:sz w:val="32"/>
          <w:szCs w:val="32"/>
          <w:lang w:val="en-US"/>
        </w:rPr>
        <w:t xml:space="preserve"> </w:t>
      </w:r>
    </w:p>
    <w:p>
      <w:pPr>
        <w:widowControl/>
        <w:spacing w:line="480" w:lineRule="exact"/>
        <w:ind w:firstLine="640" w:firstLineChars="200"/>
        <w:rPr>
          <w:sz w:val="32"/>
          <w:szCs w:val="32"/>
        </w:rPr>
      </w:pPr>
      <w:r>
        <w:rPr>
          <w:rFonts w:hint="eastAsia"/>
          <w:sz w:val="32"/>
          <w:szCs w:val="32"/>
          <w:lang w:val="en-US"/>
        </w:rPr>
        <w:t xml:space="preserve">承办学校后勤部门要关注停水、停电信息公告，并与供电、供水部门协商，保证竞赛期间供电、供水正常。工作人员定期巡检供水、 供电设施，保障安全运行。遇停电及时启用自备电源（或租赁发电机）供电，保证竞赛设备用电正常。 </w:t>
      </w:r>
    </w:p>
    <w:p>
      <w:pPr>
        <w:widowControl/>
        <w:spacing w:line="480" w:lineRule="exact"/>
        <w:ind w:firstLine="643" w:firstLineChars="200"/>
        <w:rPr>
          <w:sz w:val="32"/>
          <w:szCs w:val="32"/>
        </w:rPr>
      </w:pPr>
      <w:r>
        <w:rPr>
          <w:rFonts w:hint="eastAsia"/>
          <w:b/>
          <w:bCs/>
          <w:sz w:val="32"/>
          <w:szCs w:val="32"/>
          <w:lang w:val="en-US"/>
        </w:rPr>
        <w:t>2.突发网络故障应急预案</w:t>
      </w:r>
      <w:r>
        <w:rPr>
          <w:rFonts w:hint="eastAsia"/>
          <w:sz w:val="32"/>
          <w:szCs w:val="32"/>
          <w:lang w:val="en-US"/>
        </w:rPr>
        <w:t xml:space="preserve"> </w:t>
      </w:r>
    </w:p>
    <w:p>
      <w:pPr>
        <w:widowControl/>
        <w:spacing w:line="480" w:lineRule="exact"/>
        <w:ind w:firstLine="640" w:firstLineChars="200"/>
        <w:rPr>
          <w:sz w:val="32"/>
          <w:szCs w:val="32"/>
        </w:rPr>
      </w:pPr>
      <w:r>
        <w:rPr>
          <w:rFonts w:hint="eastAsia"/>
          <w:sz w:val="32"/>
          <w:szCs w:val="32"/>
          <w:lang w:val="en-US"/>
        </w:rPr>
        <w:t xml:space="preserve">承办学校信息中心或相关部门要保障网络正常运行，安排技术人员及时处理网络中断等问题。 </w:t>
      </w:r>
    </w:p>
    <w:p>
      <w:pPr>
        <w:widowControl/>
        <w:spacing w:line="480" w:lineRule="exact"/>
        <w:ind w:firstLine="643" w:firstLineChars="200"/>
        <w:rPr>
          <w:sz w:val="32"/>
          <w:szCs w:val="32"/>
        </w:rPr>
      </w:pPr>
      <w:r>
        <w:rPr>
          <w:rFonts w:hint="eastAsia"/>
          <w:b/>
          <w:bCs/>
          <w:sz w:val="32"/>
          <w:szCs w:val="32"/>
          <w:lang w:val="en-US"/>
        </w:rPr>
        <w:t>3.参赛选手发病、受伤或意外伤害应急预案</w:t>
      </w:r>
      <w:r>
        <w:rPr>
          <w:rFonts w:hint="eastAsia"/>
          <w:sz w:val="32"/>
          <w:szCs w:val="32"/>
          <w:lang w:val="en-US"/>
        </w:rPr>
        <w:t xml:space="preserve"> </w:t>
      </w:r>
    </w:p>
    <w:p>
      <w:pPr>
        <w:widowControl/>
        <w:spacing w:line="480" w:lineRule="exact"/>
        <w:ind w:firstLine="640" w:firstLineChars="200"/>
        <w:rPr>
          <w:sz w:val="32"/>
          <w:szCs w:val="32"/>
        </w:rPr>
      </w:pPr>
      <w:r>
        <w:rPr>
          <w:rFonts w:hint="eastAsia"/>
          <w:sz w:val="32"/>
          <w:szCs w:val="32"/>
          <w:lang w:val="en-US"/>
        </w:rPr>
        <w:t xml:space="preserve">竞赛期间，承办校医务室安排 2 名医生在现场值班，学校安排一辆车随时待命，及时处理选手发病医疗问题，如病情严重，应协助参赛队领队立即将病人送医院治疗。对于突现低温天气，校医须采取防 </w:t>
      </w:r>
    </w:p>
    <w:p>
      <w:pPr>
        <w:widowControl/>
        <w:spacing w:line="480" w:lineRule="exact"/>
        <w:rPr>
          <w:sz w:val="32"/>
          <w:szCs w:val="32"/>
        </w:rPr>
      </w:pPr>
      <w:r>
        <w:rPr>
          <w:rFonts w:hint="eastAsia"/>
          <w:sz w:val="32"/>
          <w:szCs w:val="32"/>
          <w:lang w:val="en-US"/>
        </w:rPr>
        <w:t xml:space="preserve">寒措施，准备必要防寒药物与物资。 </w:t>
      </w:r>
    </w:p>
    <w:p>
      <w:pPr>
        <w:widowControl/>
        <w:spacing w:line="480" w:lineRule="exact"/>
        <w:ind w:firstLine="640" w:firstLineChars="200"/>
        <w:rPr>
          <w:sz w:val="32"/>
          <w:szCs w:val="32"/>
        </w:rPr>
      </w:pPr>
      <w:r>
        <w:rPr>
          <w:rFonts w:hint="eastAsia"/>
          <w:sz w:val="32"/>
          <w:szCs w:val="32"/>
          <w:lang w:val="en-US"/>
        </w:rPr>
        <w:t xml:space="preserve">比赛过程中，如发生人员受伤、触电等伤害，现场医务人员要给予及时的救助；发生较严重的伤害及故障，除现场及时采取救助措施外，要及时通知救护中心到赛区实施抢救；发生意外伤害及故障，后勤保卫部门和承办学校办公室要共同维护好现场秩序。比赛过程中使用的设备设施，如发生故障，必须请专业人员进行故障排除。参赛选手不得自行对设备故障进行排除，以免发生意外。如参赛设备短时间可排除故障，选手可继续使用此设备参赛，如故障不能及时排除，应及时更换设备，保证选手的正常参赛。 </w:t>
      </w:r>
    </w:p>
    <w:p>
      <w:pPr>
        <w:widowControl/>
        <w:spacing w:line="480" w:lineRule="exact"/>
        <w:ind w:firstLine="643" w:firstLineChars="200"/>
        <w:rPr>
          <w:b/>
          <w:bCs/>
          <w:sz w:val="32"/>
          <w:szCs w:val="32"/>
        </w:rPr>
      </w:pPr>
      <w:r>
        <w:rPr>
          <w:rFonts w:hint="eastAsia"/>
          <w:b/>
          <w:bCs/>
          <w:sz w:val="32"/>
          <w:szCs w:val="32"/>
          <w:lang w:val="en-US"/>
        </w:rPr>
        <w:t xml:space="preserve">4.突发治安事件应急预案 </w:t>
      </w:r>
    </w:p>
    <w:p>
      <w:pPr>
        <w:widowControl/>
        <w:spacing w:line="480" w:lineRule="exact"/>
        <w:ind w:firstLine="640" w:firstLineChars="200"/>
        <w:rPr>
          <w:sz w:val="32"/>
          <w:szCs w:val="32"/>
        </w:rPr>
      </w:pPr>
      <w:r>
        <w:rPr>
          <w:rFonts w:hint="eastAsia"/>
          <w:sz w:val="32"/>
          <w:szCs w:val="32"/>
          <w:lang w:val="en-US"/>
        </w:rPr>
        <w:t xml:space="preserve">规范竞赛秩序，加强法制和安全教育，增强选手法制意识。对发现有情绪异常、行为过激的选手或发现有可能引发矛盾激化的苗头，及时与竞赛领队沟通联系，做好劝导和化解工作。发生暴力事件，第一发现人应立即向应急保障小组联系人和承办学校保卫处报告，保安人员应立即赶赴现场，同时全力保护好现场和附近的其他人员，情况紧急应向公安机关和上级报告。 </w:t>
      </w:r>
    </w:p>
    <w:p>
      <w:pPr>
        <w:widowControl/>
        <w:spacing w:line="480" w:lineRule="exact"/>
        <w:ind w:firstLine="640" w:firstLineChars="200"/>
        <w:rPr>
          <w:sz w:val="32"/>
          <w:szCs w:val="32"/>
        </w:rPr>
      </w:pPr>
      <w:r>
        <w:rPr>
          <w:rFonts w:hint="eastAsia"/>
          <w:sz w:val="32"/>
          <w:szCs w:val="32"/>
          <w:lang w:val="en-US"/>
        </w:rPr>
        <w:t xml:space="preserve">5.火情应急预案 </w:t>
      </w:r>
    </w:p>
    <w:p>
      <w:pPr>
        <w:widowControl/>
        <w:spacing w:line="480" w:lineRule="exact"/>
        <w:rPr>
          <w:sz w:val="32"/>
          <w:szCs w:val="32"/>
        </w:rPr>
      </w:pPr>
      <w:r>
        <w:rPr>
          <w:rFonts w:hint="eastAsia"/>
          <w:sz w:val="32"/>
          <w:szCs w:val="32"/>
          <w:lang w:val="en-US"/>
        </w:rPr>
        <w:t xml:space="preserve">发现火情，现场值班人员及老师应及时通知保卫部门和值班校领 </w:t>
      </w:r>
    </w:p>
    <w:p>
      <w:pPr>
        <w:widowControl/>
        <w:spacing w:line="480" w:lineRule="exact"/>
        <w:rPr>
          <w:sz w:val="32"/>
          <w:szCs w:val="32"/>
          <w:lang w:val="en-US"/>
        </w:rPr>
      </w:pPr>
      <w:r>
        <w:rPr>
          <w:rFonts w:hint="eastAsia"/>
          <w:sz w:val="32"/>
          <w:szCs w:val="32"/>
          <w:lang w:val="en-US"/>
        </w:rPr>
        <w:t xml:space="preserve">导，并积极组织扑救。安全领导小组人员应立即赶赴现场，根据火情状况，决定是否组织人员疏散，是否切断电源和光源，以及决定是否需要报警。 </w:t>
      </w:r>
    </w:p>
    <w:p>
      <w:pPr>
        <w:pStyle w:val="2"/>
        <w:rPr>
          <w:lang w:val="en-US"/>
        </w:rPr>
      </w:pPr>
    </w:p>
    <w:p>
      <w:pPr>
        <w:tabs>
          <w:tab w:val="left" w:pos="1546"/>
        </w:tabs>
        <w:snapToGrid w:val="0"/>
        <w:spacing w:line="480" w:lineRule="exact"/>
        <w:textAlignment w:val="baseline"/>
        <w:rPr>
          <w:rFonts w:hint="eastAsia" w:ascii="黑体" w:hAnsi="黑体" w:eastAsia="黑体" w:cs="黑体"/>
          <w:b/>
          <w:sz w:val="32"/>
          <w:szCs w:val="32"/>
          <w:lang w:val="en-US"/>
        </w:rPr>
      </w:pPr>
      <w:r>
        <w:rPr>
          <w:rFonts w:hint="eastAsia"/>
          <w:b/>
          <w:sz w:val="32"/>
          <w:szCs w:val="32"/>
          <w:lang w:val="en-US"/>
        </w:rPr>
        <w:t xml:space="preserve"> </w:t>
      </w:r>
      <w:r>
        <w:rPr>
          <w:b/>
          <w:sz w:val="32"/>
          <w:szCs w:val="32"/>
          <w:lang w:val="en-US"/>
        </w:rPr>
        <w:t xml:space="preserve">   </w:t>
      </w:r>
      <w:r>
        <w:rPr>
          <w:rFonts w:hint="eastAsia" w:ascii="黑体" w:hAnsi="黑体" w:eastAsia="黑体" w:cs="黑体"/>
          <w:b/>
          <w:sz w:val="32"/>
          <w:szCs w:val="32"/>
          <w:lang w:val="en-US"/>
        </w:rPr>
        <w:t>十二、赛项安全</w:t>
      </w:r>
    </w:p>
    <w:p>
      <w:pPr>
        <w:widowControl/>
        <w:spacing w:line="480" w:lineRule="exact"/>
        <w:ind w:firstLine="604" w:firstLineChars="200"/>
        <w:rPr>
          <w:spacing w:val="-9"/>
          <w:sz w:val="32"/>
          <w:szCs w:val="32"/>
        </w:rPr>
      </w:pPr>
      <w:r>
        <w:rPr>
          <w:rFonts w:hint="eastAsia"/>
          <w:spacing w:val="-9"/>
          <w:sz w:val="32"/>
          <w:szCs w:val="32"/>
          <w:lang w:val="en-US"/>
        </w:rPr>
        <w:t xml:space="preserve">赛事安全是技能竞赛一切工作顺利开展的先决条件，是赛事筹备和运行工作必须考虑的核心问题。赛项执委会采取切实有效措施保证大赛期间参赛选手、指导教师、裁判员、工作人员及观众的人身安全。 </w:t>
      </w:r>
    </w:p>
    <w:p>
      <w:pPr>
        <w:widowControl/>
        <w:spacing w:line="480" w:lineRule="exact"/>
        <w:ind w:firstLine="607" w:firstLineChars="200"/>
        <w:rPr>
          <w:b/>
          <w:bCs/>
          <w:spacing w:val="-9"/>
          <w:sz w:val="32"/>
          <w:szCs w:val="32"/>
        </w:rPr>
      </w:pPr>
      <w:r>
        <w:rPr>
          <w:rFonts w:hint="eastAsia" w:ascii="楷体" w:hAnsi="楷体" w:eastAsia="楷体" w:cs="楷体"/>
          <w:b/>
          <w:bCs/>
          <w:spacing w:val="-9"/>
          <w:sz w:val="32"/>
          <w:szCs w:val="32"/>
          <w:lang w:val="en-US"/>
        </w:rPr>
        <w:t>（一）组织管理</w:t>
      </w:r>
      <w:r>
        <w:rPr>
          <w:rFonts w:hint="eastAsia"/>
          <w:b/>
          <w:bCs/>
          <w:spacing w:val="-9"/>
          <w:sz w:val="32"/>
          <w:szCs w:val="32"/>
          <w:lang w:val="en-US"/>
        </w:rPr>
        <w:t xml:space="preserve"> </w:t>
      </w:r>
    </w:p>
    <w:p>
      <w:pPr>
        <w:widowControl/>
        <w:spacing w:line="480" w:lineRule="exact"/>
        <w:ind w:firstLine="604" w:firstLineChars="200"/>
        <w:rPr>
          <w:spacing w:val="-9"/>
          <w:sz w:val="32"/>
          <w:szCs w:val="32"/>
        </w:rPr>
      </w:pPr>
      <w:r>
        <w:rPr>
          <w:rFonts w:hint="eastAsia"/>
          <w:spacing w:val="-9"/>
          <w:sz w:val="32"/>
          <w:szCs w:val="32"/>
          <w:lang w:val="en-US"/>
        </w:rPr>
        <w:t xml:space="preserve">1.成立由赛项执委会主任担任组长的安全管理专班，负责赛项安全。 </w:t>
      </w:r>
    </w:p>
    <w:p>
      <w:pPr>
        <w:widowControl/>
        <w:spacing w:line="480" w:lineRule="exact"/>
        <w:ind w:firstLine="604" w:firstLineChars="200"/>
        <w:rPr>
          <w:spacing w:val="-9"/>
          <w:sz w:val="32"/>
          <w:szCs w:val="32"/>
        </w:rPr>
      </w:pPr>
      <w:r>
        <w:rPr>
          <w:rFonts w:hint="eastAsia"/>
          <w:spacing w:val="-9"/>
          <w:sz w:val="32"/>
          <w:szCs w:val="32"/>
          <w:lang w:val="en-US"/>
        </w:rPr>
        <w:t xml:space="preserve">2.疫情防控专班建立与卫生、疾病防疫等部门的协调机制，制定应急预案、处置突发事件，保证赛区及其赛项的疫情防控安全工作。 </w:t>
      </w:r>
    </w:p>
    <w:p>
      <w:pPr>
        <w:widowControl/>
        <w:spacing w:line="480" w:lineRule="exact"/>
        <w:ind w:firstLine="604" w:firstLineChars="200"/>
        <w:rPr>
          <w:spacing w:val="-9"/>
          <w:sz w:val="32"/>
          <w:szCs w:val="32"/>
        </w:rPr>
      </w:pPr>
      <w:r>
        <w:rPr>
          <w:rFonts w:hint="eastAsia"/>
          <w:spacing w:val="-9"/>
          <w:sz w:val="32"/>
          <w:szCs w:val="32"/>
          <w:lang w:val="en-US"/>
        </w:rPr>
        <w:t xml:space="preserve">3.安全管理专班制定应急预案、处置突发事件，保证赛区及其赛项的安全。 </w:t>
      </w:r>
    </w:p>
    <w:p>
      <w:pPr>
        <w:widowControl/>
        <w:spacing w:line="480" w:lineRule="exact"/>
        <w:ind w:firstLine="604" w:firstLineChars="200"/>
        <w:rPr>
          <w:spacing w:val="-9"/>
          <w:sz w:val="32"/>
          <w:szCs w:val="32"/>
        </w:rPr>
      </w:pPr>
      <w:r>
        <w:rPr>
          <w:rFonts w:hint="eastAsia"/>
          <w:spacing w:val="-9"/>
          <w:sz w:val="32"/>
          <w:szCs w:val="32"/>
          <w:lang w:val="en-US"/>
        </w:rPr>
        <w:t xml:space="preserve">4.安全管理专班指定工作人员对赛场供电线路、消防设施、比赛设备，在赛前一周，进行安全检查，提出整改要求。赛前一天，对赛场进行安全验收，各项指标合格，在验收书签字确认并交付使用。签字验收的工作人员，对赛场的供电线路、消防设施、比赛设备的安全负责。 </w:t>
      </w:r>
    </w:p>
    <w:p>
      <w:pPr>
        <w:widowControl/>
        <w:spacing w:line="480" w:lineRule="exact"/>
        <w:ind w:firstLine="607" w:firstLineChars="200"/>
        <w:rPr>
          <w:rFonts w:hint="eastAsia" w:ascii="楷体" w:hAnsi="楷体" w:eastAsia="楷体" w:cs="楷体"/>
          <w:b/>
          <w:bCs/>
          <w:spacing w:val="-9"/>
          <w:sz w:val="32"/>
          <w:szCs w:val="32"/>
        </w:rPr>
      </w:pPr>
      <w:r>
        <w:rPr>
          <w:rFonts w:hint="eastAsia" w:ascii="楷体" w:hAnsi="楷体" w:eastAsia="楷体" w:cs="楷体"/>
          <w:b/>
          <w:bCs/>
          <w:spacing w:val="-9"/>
          <w:sz w:val="32"/>
          <w:szCs w:val="32"/>
          <w:lang w:val="en-US"/>
        </w:rPr>
        <w:t xml:space="preserve">（二）比赛环境 </w:t>
      </w:r>
    </w:p>
    <w:p>
      <w:pPr>
        <w:widowControl/>
        <w:spacing w:line="480" w:lineRule="exact"/>
        <w:ind w:firstLine="604" w:firstLineChars="200"/>
        <w:rPr>
          <w:spacing w:val="-9"/>
          <w:sz w:val="32"/>
          <w:szCs w:val="32"/>
        </w:rPr>
      </w:pPr>
      <w:r>
        <w:rPr>
          <w:rFonts w:hint="eastAsia"/>
          <w:spacing w:val="-9"/>
          <w:sz w:val="32"/>
          <w:szCs w:val="32"/>
          <w:lang w:val="en-US"/>
        </w:rPr>
        <w:t xml:space="preserve">1.赛场的布置，赛场内的器材、设备，应符合国家有关安全规定。如有必要，也可进行赛场仿真模拟测试，以发现可能出现的问题。承办单位赛前须按照执委会要求排除安全隐患。 </w:t>
      </w:r>
    </w:p>
    <w:p>
      <w:pPr>
        <w:widowControl/>
        <w:spacing w:line="480" w:lineRule="exact"/>
        <w:ind w:firstLine="604" w:firstLineChars="200"/>
        <w:rPr>
          <w:spacing w:val="-9"/>
          <w:sz w:val="32"/>
          <w:szCs w:val="32"/>
        </w:rPr>
      </w:pPr>
      <w:r>
        <w:rPr>
          <w:rFonts w:hint="eastAsia"/>
          <w:spacing w:val="-9"/>
          <w:sz w:val="32"/>
          <w:szCs w:val="32"/>
          <w:lang w:val="en-US"/>
        </w:rPr>
        <w:t xml:space="preserve">2.赛场周围要设立警戒线，要求所有参赛人员必须凭执委会印发的有效证件进入场地，防止无关人员进入发生意外事件。比赛现场内应参照相关职业岗位的要求为选手提供必要的劳动保护。在具有危险性的操作环节，裁判员要严防选手出现错误操作。 </w:t>
      </w:r>
    </w:p>
    <w:p>
      <w:pPr>
        <w:widowControl/>
        <w:spacing w:line="480" w:lineRule="exact"/>
        <w:ind w:firstLine="604" w:firstLineChars="200"/>
        <w:rPr>
          <w:spacing w:val="-9"/>
          <w:sz w:val="32"/>
          <w:szCs w:val="32"/>
        </w:rPr>
      </w:pPr>
      <w:r>
        <w:rPr>
          <w:rFonts w:hint="eastAsia"/>
          <w:spacing w:val="-9"/>
          <w:sz w:val="32"/>
          <w:szCs w:val="32"/>
          <w:lang w:val="en-US"/>
        </w:rPr>
        <w:t xml:space="preserve">3.严格控制与参赛无关的易燃易爆以及各类危险品进入比赛场地，不许随便携带书包进入赛场。 </w:t>
      </w:r>
    </w:p>
    <w:p>
      <w:pPr>
        <w:widowControl/>
        <w:spacing w:line="480" w:lineRule="exact"/>
        <w:ind w:firstLine="604" w:firstLineChars="200"/>
        <w:rPr>
          <w:spacing w:val="-9"/>
          <w:sz w:val="32"/>
          <w:szCs w:val="32"/>
        </w:rPr>
      </w:pPr>
      <w:r>
        <w:rPr>
          <w:rFonts w:hint="eastAsia"/>
          <w:spacing w:val="-9"/>
          <w:sz w:val="32"/>
          <w:szCs w:val="32"/>
          <w:lang w:val="en-US"/>
        </w:rPr>
        <w:t xml:space="preserve">4.大赛现场需对赛场进行网络安全控制，以免场内外信息交互，充分体现大赛的严肃、公平和公正性。 </w:t>
      </w:r>
    </w:p>
    <w:p>
      <w:pPr>
        <w:widowControl/>
        <w:spacing w:line="480" w:lineRule="exact"/>
        <w:ind w:firstLine="604" w:firstLineChars="200"/>
        <w:rPr>
          <w:spacing w:val="-9"/>
          <w:sz w:val="32"/>
          <w:szCs w:val="32"/>
        </w:rPr>
      </w:pPr>
      <w:r>
        <w:rPr>
          <w:rFonts w:hint="eastAsia"/>
          <w:spacing w:val="-9"/>
          <w:sz w:val="32"/>
          <w:szCs w:val="32"/>
          <w:lang w:val="en-US"/>
        </w:rPr>
        <w:t xml:space="preserve">5.执委会须会同承办单位制定开放赛场和体验区的人员疏导方案。赛场环境中存在人员密集、车流人流交错的区域，除了设置齐全的指示标志外，须增加引导人员，并开辟备用通道。 </w:t>
      </w:r>
    </w:p>
    <w:p>
      <w:pPr>
        <w:widowControl/>
        <w:spacing w:line="480" w:lineRule="exact"/>
        <w:ind w:firstLine="604" w:firstLineChars="200"/>
        <w:rPr>
          <w:b/>
          <w:bCs/>
          <w:spacing w:val="-9"/>
          <w:sz w:val="32"/>
          <w:szCs w:val="32"/>
        </w:rPr>
      </w:pPr>
      <w:r>
        <w:rPr>
          <w:rFonts w:hint="eastAsia"/>
          <w:spacing w:val="-9"/>
          <w:sz w:val="32"/>
          <w:szCs w:val="32"/>
          <w:lang w:val="en-US"/>
        </w:rPr>
        <w:t xml:space="preserve">6.大赛期间，承办单位须在赛场管理的关键岗位，增加力量，建立安全管理日志。 </w:t>
      </w:r>
    </w:p>
    <w:p>
      <w:pPr>
        <w:widowControl/>
        <w:spacing w:line="480" w:lineRule="exact"/>
        <w:ind w:firstLine="607" w:firstLineChars="200"/>
        <w:rPr>
          <w:rFonts w:hint="eastAsia" w:ascii="楷体" w:hAnsi="楷体" w:eastAsia="楷体" w:cs="楷体"/>
          <w:b/>
          <w:bCs/>
          <w:spacing w:val="-9"/>
          <w:sz w:val="32"/>
          <w:szCs w:val="32"/>
        </w:rPr>
      </w:pPr>
      <w:r>
        <w:rPr>
          <w:rFonts w:hint="eastAsia" w:ascii="楷体" w:hAnsi="楷体" w:eastAsia="楷体" w:cs="楷体"/>
          <w:b/>
          <w:bCs/>
          <w:spacing w:val="-9"/>
          <w:sz w:val="32"/>
          <w:szCs w:val="32"/>
          <w:lang w:val="en-US"/>
        </w:rPr>
        <w:t xml:space="preserve">（三）组队责任 </w:t>
      </w:r>
    </w:p>
    <w:p>
      <w:pPr>
        <w:widowControl/>
        <w:spacing w:line="480" w:lineRule="exact"/>
        <w:ind w:firstLine="604" w:firstLineChars="200"/>
        <w:rPr>
          <w:spacing w:val="-9"/>
          <w:sz w:val="32"/>
          <w:szCs w:val="32"/>
        </w:rPr>
      </w:pPr>
      <w:r>
        <w:rPr>
          <w:rFonts w:hint="eastAsia"/>
          <w:spacing w:val="-9"/>
          <w:sz w:val="32"/>
          <w:szCs w:val="32"/>
          <w:lang w:val="en-US"/>
        </w:rPr>
        <w:t xml:space="preserve">1.各学校组织代表队时，须安排为参赛选手购买大赛期间的人身意外伤害保险。 </w:t>
      </w:r>
    </w:p>
    <w:p>
      <w:pPr>
        <w:widowControl/>
        <w:spacing w:line="480" w:lineRule="exact"/>
        <w:ind w:firstLine="604" w:firstLineChars="200"/>
        <w:rPr>
          <w:spacing w:val="-9"/>
          <w:sz w:val="32"/>
          <w:szCs w:val="32"/>
        </w:rPr>
      </w:pPr>
      <w:r>
        <w:rPr>
          <w:rFonts w:hint="eastAsia"/>
          <w:spacing w:val="-9"/>
          <w:sz w:val="32"/>
          <w:szCs w:val="32"/>
          <w:lang w:val="en-US"/>
        </w:rPr>
        <w:t xml:space="preserve">2.各学校代表队组成后，须制定相关管理制度，并对所有选手、指导教师进行安全教育。 </w:t>
      </w:r>
    </w:p>
    <w:p>
      <w:pPr>
        <w:widowControl/>
        <w:spacing w:line="480" w:lineRule="exact"/>
        <w:ind w:firstLine="604" w:firstLineChars="200"/>
        <w:rPr>
          <w:spacing w:val="-9"/>
          <w:sz w:val="32"/>
          <w:szCs w:val="32"/>
        </w:rPr>
      </w:pPr>
      <w:r>
        <w:rPr>
          <w:rFonts w:hint="eastAsia"/>
          <w:spacing w:val="-9"/>
          <w:sz w:val="32"/>
          <w:szCs w:val="32"/>
          <w:lang w:val="en-US"/>
        </w:rPr>
        <w:t xml:space="preserve">3.各参赛队伍须加强对参与比赛人员的安全管理，实现与赛场安全管理的对接。 </w:t>
      </w:r>
    </w:p>
    <w:p>
      <w:pPr>
        <w:widowControl/>
        <w:spacing w:line="480" w:lineRule="exact"/>
        <w:ind w:firstLine="607" w:firstLineChars="200"/>
        <w:rPr>
          <w:rFonts w:hint="eastAsia" w:ascii="楷体" w:hAnsi="楷体" w:eastAsia="楷体" w:cs="楷体"/>
          <w:b/>
          <w:bCs/>
          <w:spacing w:val="-9"/>
          <w:sz w:val="32"/>
          <w:szCs w:val="32"/>
        </w:rPr>
      </w:pPr>
      <w:r>
        <w:rPr>
          <w:rFonts w:hint="eastAsia" w:ascii="楷体" w:hAnsi="楷体" w:eastAsia="楷体" w:cs="楷体"/>
          <w:b/>
          <w:bCs/>
          <w:spacing w:val="-9"/>
          <w:sz w:val="32"/>
          <w:szCs w:val="32"/>
          <w:lang w:val="en-US"/>
        </w:rPr>
        <w:t xml:space="preserve">（四）应急处理 </w:t>
      </w:r>
    </w:p>
    <w:p>
      <w:pPr>
        <w:widowControl/>
        <w:spacing w:line="480" w:lineRule="exact"/>
        <w:ind w:firstLine="604" w:firstLineChars="200"/>
        <w:rPr>
          <w:spacing w:val="-9"/>
          <w:sz w:val="32"/>
          <w:szCs w:val="32"/>
        </w:rPr>
      </w:pPr>
      <w:r>
        <w:rPr>
          <w:rFonts w:hint="eastAsia"/>
          <w:spacing w:val="-9"/>
          <w:sz w:val="32"/>
          <w:szCs w:val="32"/>
          <w:lang w:val="en-US"/>
        </w:rPr>
        <w:t xml:space="preserve">比赛期间发生意外事故，发现者应第一时间报告执委会，同时采取措施避免事态扩大。执委会应立即启动预案予以解决并报告组委会。 </w:t>
      </w:r>
    </w:p>
    <w:p>
      <w:pPr>
        <w:widowControl/>
        <w:spacing w:line="480" w:lineRule="exact"/>
        <w:ind w:firstLine="604" w:firstLineChars="200"/>
        <w:rPr>
          <w:spacing w:val="-9"/>
          <w:sz w:val="32"/>
          <w:szCs w:val="32"/>
        </w:rPr>
      </w:pPr>
      <w:r>
        <w:rPr>
          <w:rFonts w:hint="eastAsia"/>
          <w:spacing w:val="-9"/>
          <w:sz w:val="32"/>
          <w:szCs w:val="32"/>
          <w:lang w:val="en-US"/>
        </w:rPr>
        <w:t xml:space="preserve">赛项出现重大安全问题可以停赛，是否停赛由执委会决定。事后，执委会应向组委会报告详细情况。 </w:t>
      </w:r>
    </w:p>
    <w:p>
      <w:pPr>
        <w:widowControl/>
        <w:spacing w:line="480" w:lineRule="exact"/>
        <w:ind w:firstLine="607" w:firstLineChars="200"/>
        <w:rPr>
          <w:rFonts w:hint="eastAsia" w:ascii="楷体" w:hAnsi="楷体" w:eastAsia="楷体" w:cs="楷体"/>
          <w:b/>
          <w:bCs/>
          <w:spacing w:val="-9"/>
          <w:sz w:val="32"/>
          <w:szCs w:val="32"/>
        </w:rPr>
      </w:pPr>
      <w:r>
        <w:rPr>
          <w:rFonts w:hint="eastAsia" w:ascii="楷体" w:hAnsi="楷体" w:eastAsia="楷体" w:cs="楷体"/>
          <w:b/>
          <w:bCs/>
          <w:spacing w:val="-9"/>
          <w:sz w:val="32"/>
          <w:szCs w:val="32"/>
          <w:lang w:val="en-US"/>
        </w:rPr>
        <w:t xml:space="preserve">（五）处罚措施 </w:t>
      </w:r>
    </w:p>
    <w:p>
      <w:pPr>
        <w:widowControl/>
        <w:spacing w:line="480" w:lineRule="exact"/>
        <w:ind w:firstLine="604" w:firstLineChars="200"/>
        <w:rPr>
          <w:spacing w:val="-9"/>
          <w:sz w:val="32"/>
          <w:szCs w:val="32"/>
        </w:rPr>
      </w:pPr>
      <w:r>
        <w:rPr>
          <w:rFonts w:hint="eastAsia"/>
          <w:spacing w:val="-9"/>
          <w:sz w:val="32"/>
          <w:szCs w:val="32"/>
          <w:lang w:val="en-US"/>
        </w:rPr>
        <w:t xml:space="preserve">1.因参赛队伍原因造成重大安全事故的，取消其获奖资格。 </w:t>
      </w:r>
    </w:p>
    <w:p>
      <w:pPr>
        <w:widowControl/>
        <w:spacing w:line="480" w:lineRule="exact"/>
        <w:ind w:firstLine="604" w:firstLineChars="200"/>
        <w:rPr>
          <w:spacing w:val="-9"/>
          <w:sz w:val="32"/>
          <w:szCs w:val="32"/>
        </w:rPr>
      </w:pPr>
      <w:r>
        <w:rPr>
          <w:rFonts w:hint="eastAsia"/>
          <w:spacing w:val="-9"/>
          <w:sz w:val="32"/>
          <w:szCs w:val="32"/>
          <w:lang w:val="en-US"/>
        </w:rPr>
        <w:t xml:space="preserve">2.参赛队伍有发生重大安全事故隐患，经赛场工作人员提示、警告无效的，可取消其继续比赛的资格。 </w:t>
      </w:r>
    </w:p>
    <w:p>
      <w:pPr>
        <w:widowControl/>
        <w:spacing w:line="480" w:lineRule="exact"/>
        <w:ind w:firstLine="604" w:firstLineChars="200"/>
        <w:rPr>
          <w:spacing w:val="-9"/>
          <w:sz w:val="32"/>
          <w:szCs w:val="32"/>
          <w:lang w:val="en-US"/>
        </w:rPr>
      </w:pPr>
      <w:r>
        <w:rPr>
          <w:rFonts w:hint="eastAsia"/>
          <w:spacing w:val="-9"/>
          <w:sz w:val="32"/>
          <w:szCs w:val="32"/>
          <w:lang w:val="en-US"/>
        </w:rPr>
        <w:t>3.赛事工作人员违规的，按照相应的制度追究责任。情节恶劣并造成重大安全事故的，由司法机关追究相应法律责任。</w:t>
      </w:r>
      <w:bookmarkStart w:id="13" w:name="___（一）服务器、计算机、数据库及网络设备等要求"/>
      <w:bookmarkEnd w:id="13"/>
    </w:p>
    <w:p>
      <w:pPr>
        <w:pStyle w:val="2"/>
        <w:rPr>
          <w:lang w:val="en-US"/>
        </w:rPr>
      </w:pPr>
    </w:p>
    <w:p>
      <w:pPr>
        <w:pStyle w:val="3"/>
        <w:snapToGrid w:val="0"/>
        <w:spacing w:before="0" w:line="480" w:lineRule="exact"/>
        <w:ind w:left="0" w:firstLine="643" w:firstLineChars="200"/>
        <w:textAlignment w:val="baseline"/>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rPr>
        <w:t>三</w:t>
      </w:r>
      <w:r>
        <w:rPr>
          <w:rFonts w:hint="eastAsia" w:ascii="黑体" w:hAnsi="黑体" w:eastAsia="黑体" w:cs="黑体"/>
          <w:sz w:val="32"/>
          <w:szCs w:val="32"/>
        </w:rPr>
        <w:t>、竞赛须知</w:t>
      </w:r>
    </w:p>
    <w:p>
      <w:pPr>
        <w:pStyle w:val="2"/>
        <w:snapToGrid w:val="0"/>
        <w:spacing w:line="480" w:lineRule="exact"/>
        <w:ind w:left="0" w:firstLine="639" w:firstLineChars="200"/>
        <w:textAlignment w:val="baseline"/>
        <w:rPr>
          <w:rFonts w:hint="eastAsia" w:ascii="楷体" w:hAnsi="楷体" w:eastAsia="楷体" w:cs="楷体"/>
          <w:b/>
          <w:bCs/>
          <w:sz w:val="32"/>
          <w:szCs w:val="32"/>
        </w:rPr>
      </w:pPr>
      <w:r>
        <w:rPr>
          <w:rFonts w:hint="eastAsia" w:ascii="楷体" w:hAnsi="楷体" w:eastAsia="楷体" w:cs="楷体"/>
          <w:b/>
          <w:bCs/>
          <w:spacing w:val="-1"/>
          <w:sz w:val="32"/>
          <w:szCs w:val="32"/>
        </w:rPr>
        <w:t>（</w:t>
      </w:r>
      <w:r>
        <w:rPr>
          <w:rFonts w:hint="eastAsia" w:ascii="楷体" w:hAnsi="楷体" w:eastAsia="楷体" w:cs="楷体"/>
          <w:b/>
          <w:bCs/>
          <w:spacing w:val="-3"/>
          <w:sz w:val="32"/>
          <w:szCs w:val="32"/>
        </w:rPr>
        <w:t>一</w:t>
      </w:r>
      <w:r>
        <w:rPr>
          <w:rFonts w:hint="eastAsia" w:ascii="楷体" w:hAnsi="楷体" w:eastAsia="楷体" w:cs="楷体"/>
          <w:b/>
          <w:bCs/>
          <w:spacing w:val="-1"/>
          <w:sz w:val="32"/>
          <w:szCs w:val="32"/>
        </w:rPr>
        <w:t>）</w:t>
      </w:r>
      <w:r>
        <w:rPr>
          <w:rFonts w:hint="eastAsia" w:ascii="楷体" w:hAnsi="楷体" w:eastAsia="楷体" w:cs="楷体"/>
          <w:b/>
          <w:bCs/>
          <w:spacing w:val="-2"/>
          <w:sz w:val="32"/>
          <w:szCs w:val="32"/>
        </w:rPr>
        <w:t>参赛队须知</w:t>
      </w:r>
    </w:p>
    <w:p>
      <w:pPr>
        <w:pStyle w:val="18"/>
        <w:tabs>
          <w:tab w:val="left" w:pos="1260"/>
        </w:tabs>
        <w:snapToGrid w:val="0"/>
        <w:spacing w:line="480" w:lineRule="exact"/>
        <w:ind w:left="0" w:firstLine="604" w:firstLineChars="200"/>
        <w:textAlignment w:val="baseline"/>
        <w:rPr>
          <w:sz w:val="32"/>
          <w:szCs w:val="32"/>
        </w:rPr>
      </w:pPr>
      <w:r>
        <w:rPr>
          <w:rFonts w:hint="eastAsia"/>
          <w:spacing w:val="-9"/>
          <w:sz w:val="32"/>
          <w:szCs w:val="32"/>
          <w:lang w:val="en-US"/>
        </w:rPr>
        <w:t>1.</w:t>
      </w:r>
      <w:r>
        <w:rPr>
          <w:rFonts w:hint="eastAsia"/>
          <w:spacing w:val="-9"/>
          <w:sz w:val="32"/>
          <w:szCs w:val="32"/>
        </w:rPr>
        <w:t>参赛队名称统一使用各院代表队名称，不得使用其他组织或团</w:t>
      </w:r>
      <w:r>
        <w:rPr>
          <w:rFonts w:hint="eastAsia"/>
          <w:spacing w:val="-3"/>
          <w:sz w:val="32"/>
          <w:szCs w:val="32"/>
        </w:rPr>
        <w:t>体名称；不接受跨院组队报名；</w:t>
      </w:r>
    </w:p>
    <w:p>
      <w:pPr>
        <w:pStyle w:val="18"/>
        <w:tabs>
          <w:tab w:val="left" w:pos="1260"/>
        </w:tabs>
        <w:snapToGrid w:val="0"/>
        <w:spacing w:line="480" w:lineRule="exact"/>
        <w:ind w:left="0" w:firstLine="596" w:firstLineChars="200"/>
        <w:textAlignment w:val="baseline"/>
        <w:rPr>
          <w:sz w:val="32"/>
          <w:szCs w:val="32"/>
        </w:rPr>
      </w:pPr>
      <w:r>
        <w:rPr>
          <w:rFonts w:hint="eastAsia"/>
          <w:spacing w:val="-11"/>
          <w:sz w:val="32"/>
          <w:szCs w:val="32"/>
          <w:lang w:val="en-US"/>
        </w:rPr>
        <w:t>2.</w:t>
      </w:r>
      <w:r>
        <w:rPr>
          <w:rFonts w:hint="eastAsia"/>
          <w:spacing w:val="-11"/>
          <w:sz w:val="32"/>
          <w:szCs w:val="32"/>
        </w:rPr>
        <w:t>参赛队按照大赛赛程安排，凭赛项组委会颁发的相关证件参加</w:t>
      </w:r>
      <w:r>
        <w:rPr>
          <w:rFonts w:hint="eastAsia"/>
          <w:spacing w:val="-5"/>
          <w:sz w:val="32"/>
          <w:szCs w:val="32"/>
        </w:rPr>
        <w:t>竞赛及相关活动；</w:t>
      </w:r>
    </w:p>
    <w:p>
      <w:pPr>
        <w:pStyle w:val="18"/>
        <w:tabs>
          <w:tab w:val="left" w:pos="1260"/>
        </w:tabs>
        <w:snapToGrid w:val="0"/>
        <w:spacing w:line="480" w:lineRule="exact"/>
        <w:ind w:left="0" w:firstLine="628" w:firstLineChars="200"/>
        <w:textAlignment w:val="baseline"/>
        <w:rPr>
          <w:sz w:val="32"/>
          <w:szCs w:val="32"/>
        </w:rPr>
      </w:pPr>
      <w:r>
        <w:rPr>
          <w:rFonts w:hint="eastAsia"/>
          <w:spacing w:val="-3"/>
          <w:sz w:val="32"/>
          <w:szCs w:val="32"/>
          <w:lang w:val="en-US"/>
        </w:rPr>
        <w:t>3.</w:t>
      </w:r>
      <w:r>
        <w:rPr>
          <w:rFonts w:hint="eastAsia"/>
          <w:spacing w:val="-3"/>
          <w:sz w:val="32"/>
          <w:szCs w:val="32"/>
        </w:rPr>
        <w:t>参赛队须为参赛师生购买人身意外保险。</w:t>
      </w:r>
    </w:p>
    <w:p>
      <w:pPr>
        <w:pStyle w:val="2"/>
        <w:snapToGrid w:val="0"/>
        <w:spacing w:line="480" w:lineRule="exact"/>
        <w:ind w:left="0" w:firstLine="643" w:firstLineChars="200"/>
        <w:textAlignment w:val="baseline"/>
        <w:rPr>
          <w:rFonts w:hint="eastAsia"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val="en-US"/>
        </w:rPr>
        <w:t>二</w:t>
      </w:r>
      <w:r>
        <w:rPr>
          <w:rFonts w:hint="eastAsia" w:ascii="楷体" w:hAnsi="楷体" w:eastAsia="楷体" w:cs="楷体"/>
          <w:b/>
          <w:bCs/>
          <w:sz w:val="32"/>
          <w:szCs w:val="32"/>
        </w:rPr>
        <w:t>）参赛选手须知</w:t>
      </w:r>
    </w:p>
    <w:p>
      <w:pPr>
        <w:pStyle w:val="18"/>
        <w:tabs>
          <w:tab w:val="left" w:pos="1260"/>
        </w:tabs>
        <w:snapToGrid w:val="0"/>
        <w:spacing w:line="480" w:lineRule="exact"/>
        <w:ind w:left="0" w:firstLine="628" w:firstLineChars="200"/>
        <w:textAlignment w:val="baseline"/>
        <w:rPr>
          <w:sz w:val="32"/>
          <w:szCs w:val="32"/>
        </w:rPr>
      </w:pPr>
      <w:r>
        <w:rPr>
          <w:rFonts w:hint="eastAsia"/>
          <w:spacing w:val="-3"/>
          <w:sz w:val="32"/>
          <w:szCs w:val="32"/>
          <w:lang w:val="en-US"/>
        </w:rPr>
        <w:t>1.</w:t>
      </w:r>
      <w:r>
        <w:rPr>
          <w:rFonts w:hint="eastAsia"/>
          <w:spacing w:val="-3"/>
          <w:sz w:val="32"/>
          <w:szCs w:val="32"/>
        </w:rPr>
        <w:t>参赛选手需在报到时提供学生证明及身份证明；</w:t>
      </w:r>
    </w:p>
    <w:p>
      <w:pPr>
        <w:pStyle w:val="18"/>
        <w:tabs>
          <w:tab w:val="left" w:pos="1260"/>
        </w:tabs>
        <w:snapToGrid w:val="0"/>
        <w:spacing w:line="480" w:lineRule="exact"/>
        <w:ind w:left="0" w:firstLine="604" w:firstLineChars="200"/>
        <w:textAlignment w:val="baseline"/>
        <w:rPr>
          <w:sz w:val="32"/>
          <w:szCs w:val="32"/>
        </w:rPr>
      </w:pPr>
      <w:r>
        <w:rPr>
          <w:rFonts w:hint="eastAsia"/>
          <w:spacing w:val="-9"/>
          <w:sz w:val="32"/>
          <w:szCs w:val="32"/>
          <w:lang w:val="en-US"/>
        </w:rPr>
        <w:t>2.</w:t>
      </w:r>
      <w:r>
        <w:rPr>
          <w:rFonts w:hint="eastAsia"/>
          <w:spacing w:val="-9"/>
          <w:sz w:val="32"/>
          <w:szCs w:val="32"/>
        </w:rPr>
        <w:t>参赛选手凭参赛证进入竞赛场地，竞赛期间应始终佩戴参赛证</w:t>
      </w:r>
      <w:r>
        <w:rPr>
          <w:rFonts w:hint="eastAsia"/>
          <w:spacing w:val="-3"/>
          <w:sz w:val="32"/>
          <w:szCs w:val="32"/>
        </w:rPr>
        <w:t>以备检查；</w:t>
      </w:r>
    </w:p>
    <w:p>
      <w:pPr>
        <w:pStyle w:val="18"/>
        <w:tabs>
          <w:tab w:val="left" w:pos="1260"/>
        </w:tabs>
        <w:snapToGrid w:val="0"/>
        <w:spacing w:line="480" w:lineRule="exact"/>
        <w:ind w:left="0" w:firstLine="604" w:firstLineChars="200"/>
        <w:textAlignment w:val="baseline"/>
        <w:rPr>
          <w:sz w:val="32"/>
          <w:szCs w:val="32"/>
        </w:rPr>
      </w:pPr>
      <w:r>
        <w:rPr>
          <w:rFonts w:hint="eastAsia"/>
          <w:spacing w:val="-9"/>
          <w:sz w:val="32"/>
          <w:szCs w:val="32"/>
          <w:lang w:val="en-US"/>
        </w:rPr>
        <w:t>3.</w:t>
      </w:r>
      <w:r>
        <w:rPr>
          <w:rFonts w:hint="eastAsia"/>
          <w:spacing w:val="-9"/>
          <w:sz w:val="32"/>
          <w:szCs w:val="32"/>
        </w:rPr>
        <w:t>参赛选手不允许携带任何纸质资料、通讯工具和电子设备进入</w:t>
      </w:r>
      <w:r>
        <w:rPr>
          <w:rFonts w:hint="eastAsia"/>
          <w:spacing w:val="-3"/>
          <w:sz w:val="32"/>
          <w:szCs w:val="32"/>
        </w:rPr>
        <w:t>竞赛场地；</w:t>
      </w:r>
    </w:p>
    <w:p>
      <w:pPr>
        <w:pStyle w:val="18"/>
        <w:tabs>
          <w:tab w:val="left" w:pos="1260"/>
        </w:tabs>
        <w:snapToGrid w:val="0"/>
        <w:spacing w:line="480" w:lineRule="exact"/>
        <w:ind w:left="0" w:firstLine="600" w:firstLineChars="200"/>
        <w:textAlignment w:val="baseline"/>
        <w:rPr>
          <w:sz w:val="32"/>
          <w:szCs w:val="32"/>
        </w:rPr>
      </w:pPr>
      <w:r>
        <w:rPr>
          <w:rFonts w:hint="eastAsia"/>
          <w:spacing w:val="-10"/>
          <w:sz w:val="32"/>
          <w:szCs w:val="32"/>
          <w:lang w:val="en-US"/>
        </w:rPr>
        <w:t>4.</w:t>
      </w:r>
      <w:r>
        <w:rPr>
          <w:rFonts w:hint="eastAsia"/>
          <w:spacing w:val="-10"/>
          <w:sz w:val="32"/>
          <w:szCs w:val="32"/>
        </w:rPr>
        <w:t>参赛选手在候赛室、备赛室和赛场内须服从工作人员调度，遵</w:t>
      </w:r>
      <w:r>
        <w:rPr>
          <w:rFonts w:hint="eastAsia"/>
          <w:spacing w:val="-4"/>
          <w:sz w:val="32"/>
          <w:szCs w:val="32"/>
        </w:rPr>
        <w:t>守赛场纪律，不得擅自离开指定区域；</w:t>
      </w:r>
    </w:p>
    <w:p>
      <w:pPr>
        <w:pStyle w:val="18"/>
        <w:tabs>
          <w:tab w:val="left" w:pos="1260"/>
        </w:tabs>
        <w:snapToGrid w:val="0"/>
        <w:spacing w:line="480" w:lineRule="exact"/>
        <w:ind w:left="0" w:firstLine="596" w:firstLineChars="200"/>
        <w:textAlignment w:val="baseline"/>
        <w:rPr>
          <w:sz w:val="32"/>
          <w:szCs w:val="32"/>
        </w:rPr>
      </w:pPr>
      <w:r>
        <w:rPr>
          <w:rFonts w:hint="eastAsia"/>
          <w:spacing w:val="-11"/>
          <w:sz w:val="32"/>
          <w:szCs w:val="32"/>
          <w:lang w:val="en-US"/>
        </w:rPr>
        <w:t>5.</w:t>
      </w:r>
      <w:r>
        <w:rPr>
          <w:rFonts w:hint="eastAsia"/>
          <w:spacing w:val="-11"/>
          <w:sz w:val="32"/>
          <w:szCs w:val="32"/>
        </w:rPr>
        <w:t>在竞赛过程中，如有疑问，参赛选手应举手示意，裁判人员应予以解答，但选手不得对业务技能相关知识和操作询问裁判人员。确</w:t>
      </w:r>
      <w:r>
        <w:rPr>
          <w:rFonts w:hint="eastAsia"/>
          <w:spacing w:val="-10"/>
          <w:sz w:val="32"/>
          <w:szCs w:val="32"/>
        </w:rPr>
        <w:t>因计算机软件或硬件及竞赛用具故障，致使操作无法继续的，经裁判</w:t>
      </w:r>
      <w:r>
        <w:rPr>
          <w:rFonts w:hint="eastAsia"/>
          <w:spacing w:val="-4"/>
          <w:sz w:val="32"/>
          <w:szCs w:val="32"/>
        </w:rPr>
        <w:t>人员确认同意后，予以启用备用设备；</w:t>
      </w:r>
    </w:p>
    <w:p>
      <w:pPr>
        <w:pStyle w:val="18"/>
        <w:tabs>
          <w:tab w:val="left" w:pos="1260"/>
        </w:tabs>
        <w:snapToGrid w:val="0"/>
        <w:spacing w:line="480" w:lineRule="exact"/>
        <w:ind w:left="0" w:firstLine="628" w:firstLineChars="200"/>
        <w:textAlignment w:val="baseline"/>
        <w:rPr>
          <w:sz w:val="32"/>
          <w:szCs w:val="32"/>
        </w:rPr>
      </w:pPr>
      <w:r>
        <w:rPr>
          <w:rFonts w:hint="eastAsia"/>
          <w:spacing w:val="-3"/>
          <w:sz w:val="32"/>
          <w:szCs w:val="32"/>
          <w:lang w:val="en-US"/>
        </w:rPr>
        <w:t>6.</w:t>
      </w:r>
      <w:r>
        <w:rPr>
          <w:rFonts w:hint="eastAsia"/>
          <w:spacing w:val="-3"/>
          <w:sz w:val="32"/>
          <w:szCs w:val="32"/>
        </w:rPr>
        <w:t>每一项竞赛环节，未经裁判员许可，参赛选手不得中途离场；</w:t>
      </w:r>
      <w:r>
        <w:rPr>
          <w:rFonts w:hint="eastAsia"/>
          <w:spacing w:val="-12"/>
          <w:sz w:val="32"/>
          <w:szCs w:val="32"/>
        </w:rPr>
        <w:t>比赛时间到，参赛选手应立即停止比赛。现场裁判可根据违规实际采</w:t>
      </w:r>
      <w:r>
        <w:rPr>
          <w:rFonts w:hint="eastAsia"/>
          <w:spacing w:val="-5"/>
          <w:sz w:val="32"/>
          <w:szCs w:val="32"/>
        </w:rPr>
        <w:t>取处罚措施;</w:t>
      </w:r>
    </w:p>
    <w:p>
      <w:pPr>
        <w:pStyle w:val="18"/>
        <w:tabs>
          <w:tab w:val="left" w:pos="1265"/>
        </w:tabs>
        <w:snapToGrid w:val="0"/>
        <w:spacing w:line="480" w:lineRule="exact"/>
        <w:ind w:left="0" w:firstLine="652" w:firstLineChars="200"/>
        <w:textAlignment w:val="baseline"/>
        <w:rPr>
          <w:sz w:val="32"/>
          <w:szCs w:val="32"/>
        </w:rPr>
      </w:pPr>
      <w:r>
        <w:rPr>
          <w:rFonts w:hint="eastAsia"/>
          <w:spacing w:val="3"/>
          <w:sz w:val="32"/>
          <w:szCs w:val="32"/>
          <w:lang w:val="en-US"/>
        </w:rPr>
        <w:t>7.</w:t>
      </w:r>
      <w:r>
        <w:rPr>
          <w:rFonts w:hint="eastAsia"/>
          <w:spacing w:val="3"/>
          <w:sz w:val="32"/>
          <w:szCs w:val="32"/>
        </w:rPr>
        <w:t>参赛选手每环节竞赛结束，离开赛场时不得带走任何赛场物</w:t>
      </w:r>
      <w:r>
        <w:rPr>
          <w:rFonts w:hint="eastAsia"/>
          <w:sz w:val="32"/>
          <w:szCs w:val="32"/>
        </w:rPr>
        <w:t>品；</w:t>
      </w:r>
    </w:p>
    <w:p>
      <w:pPr>
        <w:pStyle w:val="18"/>
        <w:tabs>
          <w:tab w:val="left" w:pos="1260"/>
        </w:tabs>
        <w:snapToGrid w:val="0"/>
        <w:spacing w:line="480" w:lineRule="exact"/>
        <w:ind w:left="0" w:firstLine="604" w:firstLineChars="200"/>
        <w:textAlignment w:val="baseline"/>
        <w:rPr>
          <w:sz w:val="32"/>
          <w:szCs w:val="32"/>
        </w:rPr>
      </w:pPr>
      <w:r>
        <w:rPr>
          <w:rFonts w:hint="eastAsia"/>
          <w:spacing w:val="-9"/>
          <w:sz w:val="32"/>
          <w:szCs w:val="32"/>
          <w:lang w:val="en-US"/>
        </w:rPr>
        <w:t>8.</w:t>
      </w:r>
      <w:r>
        <w:rPr>
          <w:rFonts w:hint="eastAsia"/>
          <w:spacing w:val="-9"/>
          <w:sz w:val="32"/>
          <w:szCs w:val="32"/>
        </w:rPr>
        <w:t>参赛选手应尊重裁判，尊重对手，应服从裁判组的评判。对竞</w:t>
      </w:r>
      <w:r>
        <w:rPr>
          <w:rFonts w:hint="eastAsia"/>
          <w:spacing w:val="-11"/>
          <w:sz w:val="32"/>
          <w:szCs w:val="32"/>
        </w:rPr>
        <w:t>赛过程或结果如有异议，应由领队按规范程序和方式向赛项仲裁工作</w:t>
      </w:r>
      <w:r>
        <w:rPr>
          <w:rFonts w:hint="eastAsia"/>
          <w:spacing w:val="-5"/>
          <w:sz w:val="32"/>
          <w:szCs w:val="32"/>
        </w:rPr>
        <w:t>组提出；</w:t>
      </w:r>
    </w:p>
    <w:p>
      <w:pPr>
        <w:pStyle w:val="18"/>
        <w:tabs>
          <w:tab w:val="left" w:pos="1260"/>
        </w:tabs>
        <w:snapToGrid w:val="0"/>
        <w:spacing w:line="480" w:lineRule="exact"/>
        <w:ind w:left="0" w:firstLine="608" w:firstLineChars="200"/>
        <w:textAlignment w:val="baseline"/>
        <w:rPr>
          <w:spacing w:val="-3"/>
          <w:sz w:val="32"/>
          <w:szCs w:val="32"/>
        </w:rPr>
      </w:pPr>
      <w:r>
        <w:rPr>
          <w:rFonts w:hint="eastAsia"/>
          <w:spacing w:val="-8"/>
          <w:sz w:val="32"/>
          <w:szCs w:val="32"/>
          <w:lang w:val="en-US"/>
        </w:rPr>
        <w:t>9.</w:t>
      </w:r>
      <w:r>
        <w:rPr>
          <w:rFonts w:hint="eastAsia"/>
          <w:spacing w:val="-8"/>
          <w:sz w:val="32"/>
          <w:szCs w:val="32"/>
        </w:rPr>
        <w:t>参赛选手在竞赛期间未经赛项组委会批准，不得随意接受任何</w:t>
      </w:r>
      <w:r>
        <w:rPr>
          <w:rFonts w:hint="eastAsia"/>
          <w:spacing w:val="-9"/>
          <w:sz w:val="32"/>
          <w:szCs w:val="32"/>
        </w:rPr>
        <w:t>单位或个人进行的与竞赛相关的采访，不得私自公开竞赛的相关情况</w:t>
      </w:r>
      <w:r>
        <w:rPr>
          <w:rFonts w:hint="eastAsia"/>
          <w:spacing w:val="-3"/>
          <w:sz w:val="32"/>
          <w:szCs w:val="32"/>
        </w:rPr>
        <w:t>和资料。</w:t>
      </w:r>
    </w:p>
    <w:p>
      <w:pPr>
        <w:pStyle w:val="2"/>
        <w:snapToGrid w:val="0"/>
        <w:spacing w:line="480" w:lineRule="exact"/>
        <w:ind w:left="0" w:firstLine="643" w:firstLineChars="200"/>
        <w:textAlignment w:val="baseline"/>
        <w:rPr>
          <w:rFonts w:hint="eastAsia"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val="en-US"/>
        </w:rPr>
        <w:t>三</w:t>
      </w:r>
      <w:r>
        <w:rPr>
          <w:rFonts w:hint="eastAsia" w:ascii="楷体" w:hAnsi="楷体" w:eastAsia="楷体" w:cs="楷体"/>
          <w:b/>
          <w:bCs/>
          <w:sz w:val="32"/>
          <w:szCs w:val="32"/>
        </w:rPr>
        <w:t>）指导教师须知</w:t>
      </w:r>
    </w:p>
    <w:p>
      <w:pPr>
        <w:pStyle w:val="18"/>
        <w:tabs>
          <w:tab w:val="left" w:pos="1260"/>
        </w:tabs>
        <w:snapToGrid w:val="0"/>
        <w:spacing w:line="480" w:lineRule="exact"/>
        <w:ind w:left="0" w:firstLine="640" w:firstLineChars="200"/>
        <w:textAlignment w:val="baseline"/>
        <w:rPr>
          <w:sz w:val="32"/>
          <w:szCs w:val="32"/>
        </w:rPr>
      </w:pPr>
      <w:r>
        <w:rPr>
          <w:rFonts w:hint="eastAsia"/>
          <w:sz w:val="32"/>
          <w:szCs w:val="32"/>
          <w:lang w:val="en-US"/>
        </w:rPr>
        <w:t>1.</w:t>
      </w:r>
      <w:r>
        <w:rPr>
          <w:rFonts w:hint="eastAsia"/>
          <w:sz w:val="32"/>
          <w:szCs w:val="32"/>
        </w:rPr>
        <w:t>领队、指导教师</w:t>
      </w:r>
      <w:r>
        <w:rPr>
          <w:rFonts w:hint="eastAsia"/>
          <w:kern w:val="2"/>
          <w:sz w:val="32"/>
          <w:szCs w:val="32"/>
        </w:rPr>
        <w:t>须认真阅读相关文件精神，</w:t>
      </w:r>
      <w:r>
        <w:rPr>
          <w:rFonts w:hint="eastAsia"/>
          <w:spacing w:val="-17"/>
          <w:sz w:val="32"/>
          <w:szCs w:val="32"/>
        </w:rPr>
        <w:t>对选手竞赛进行专业指导和心理疏导；</w:t>
      </w:r>
    </w:p>
    <w:p>
      <w:pPr>
        <w:pStyle w:val="18"/>
        <w:tabs>
          <w:tab w:val="left" w:pos="1260"/>
        </w:tabs>
        <w:snapToGrid w:val="0"/>
        <w:spacing w:line="480" w:lineRule="exact"/>
        <w:ind w:left="0" w:firstLine="628" w:firstLineChars="200"/>
        <w:textAlignment w:val="baseline"/>
        <w:rPr>
          <w:sz w:val="32"/>
          <w:szCs w:val="32"/>
        </w:rPr>
      </w:pPr>
      <w:r>
        <w:rPr>
          <w:rFonts w:hint="eastAsia"/>
          <w:spacing w:val="-3"/>
          <w:sz w:val="32"/>
          <w:szCs w:val="32"/>
          <w:lang w:val="en-US"/>
        </w:rPr>
        <w:t>2.</w:t>
      </w:r>
      <w:r>
        <w:rPr>
          <w:rFonts w:hint="eastAsia"/>
          <w:spacing w:val="-3"/>
          <w:sz w:val="32"/>
          <w:szCs w:val="32"/>
        </w:rPr>
        <w:t>领队、指导教师须严格遵守赛场纪律，服从裁判，文明竞赛；</w:t>
      </w:r>
    </w:p>
    <w:p>
      <w:pPr>
        <w:pStyle w:val="18"/>
        <w:tabs>
          <w:tab w:val="left" w:pos="1260"/>
        </w:tabs>
        <w:snapToGrid w:val="0"/>
        <w:spacing w:line="480" w:lineRule="exact"/>
        <w:ind w:left="0" w:firstLine="596" w:firstLineChars="200"/>
        <w:textAlignment w:val="baseline"/>
        <w:rPr>
          <w:sz w:val="32"/>
          <w:szCs w:val="32"/>
        </w:rPr>
      </w:pPr>
      <w:r>
        <w:rPr>
          <w:rFonts w:hint="eastAsia"/>
          <w:spacing w:val="-11"/>
          <w:sz w:val="32"/>
          <w:szCs w:val="32"/>
          <w:lang w:val="en-US"/>
        </w:rPr>
        <w:t>3.</w:t>
      </w:r>
      <w:r>
        <w:rPr>
          <w:rFonts w:hint="eastAsia"/>
          <w:spacing w:val="-11"/>
          <w:sz w:val="32"/>
          <w:szCs w:val="32"/>
        </w:rPr>
        <w:t>竞赛期间，指导教师不得进入候赛室、备赛室或赛场内进行指导；</w:t>
      </w:r>
    </w:p>
    <w:p>
      <w:pPr>
        <w:pStyle w:val="18"/>
        <w:tabs>
          <w:tab w:val="left" w:pos="1260"/>
        </w:tabs>
        <w:snapToGrid w:val="0"/>
        <w:spacing w:line="480" w:lineRule="exact"/>
        <w:ind w:left="0" w:firstLine="628" w:firstLineChars="200"/>
        <w:textAlignment w:val="baseline"/>
        <w:rPr>
          <w:sz w:val="32"/>
          <w:szCs w:val="32"/>
        </w:rPr>
      </w:pPr>
      <w:r>
        <w:rPr>
          <w:rFonts w:hint="eastAsia"/>
          <w:spacing w:val="-3"/>
          <w:sz w:val="32"/>
          <w:szCs w:val="32"/>
          <w:lang w:val="en-US"/>
        </w:rPr>
        <w:t>4.</w:t>
      </w:r>
      <w:r>
        <w:rPr>
          <w:rFonts w:hint="eastAsia"/>
          <w:spacing w:val="-3"/>
          <w:sz w:val="32"/>
          <w:szCs w:val="32"/>
        </w:rPr>
        <w:t>正式报名的领队、指导教师原则上不得更换；</w:t>
      </w:r>
    </w:p>
    <w:p>
      <w:pPr>
        <w:pStyle w:val="18"/>
        <w:tabs>
          <w:tab w:val="left" w:pos="1265"/>
        </w:tabs>
        <w:snapToGrid w:val="0"/>
        <w:spacing w:line="480" w:lineRule="exact"/>
        <w:ind w:left="0" w:firstLine="652" w:firstLineChars="200"/>
        <w:textAlignment w:val="baseline"/>
        <w:rPr>
          <w:sz w:val="32"/>
          <w:szCs w:val="32"/>
        </w:rPr>
      </w:pPr>
      <w:r>
        <w:rPr>
          <w:rFonts w:hint="eastAsia"/>
          <w:spacing w:val="3"/>
          <w:sz w:val="32"/>
          <w:szCs w:val="32"/>
          <w:lang w:val="en-US"/>
        </w:rPr>
        <w:t>5.</w:t>
      </w:r>
      <w:r>
        <w:rPr>
          <w:rFonts w:hint="eastAsia"/>
          <w:spacing w:val="3"/>
          <w:sz w:val="32"/>
          <w:szCs w:val="32"/>
        </w:rPr>
        <w:t>竞赛期间各参赛队不得以任何形式向裁判透露参赛信息或沟</w:t>
      </w:r>
      <w:r>
        <w:rPr>
          <w:rFonts w:hint="eastAsia"/>
          <w:spacing w:val="-12"/>
          <w:sz w:val="32"/>
          <w:szCs w:val="32"/>
        </w:rPr>
        <w:t>通竞赛事宜，有关竞赛所有问题须由领队按规范要求向赛项执委会或</w:t>
      </w:r>
      <w:r>
        <w:rPr>
          <w:rFonts w:hint="eastAsia"/>
          <w:spacing w:val="-5"/>
          <w:sz w:val="32"/>
          <w:szCs w:val="32"/>
        </w:rPr>
        <w:t>仲裁组反映或协商。</w:t>
      </w:r>
    </w:p>
    <w:p>
      <w:pPr>
        <w:widowControl/>
        <w:spacing w:line="48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lang w:val="en-US"/>
        </w:rPr>
        <w:t xml:space="preserve">（四）工作人员须知 </w:t>
      </w:r>
    </w:p>
    <w:p>
      <w:pPr>
        <w:widowControl/>
        <w:spacing w:line="480" w:lineRule="exact"/>
        <w:ind w:firstLine="652" w:firstLineChars="200"/>
        <w:rPr>
          <w:spacing w:val="3"/>
          <w:sz w:val="32"/>
          <w:szCs w:val="32"/>
        </w:rPr>
      </w:pPr>
      <w:r>
        <w:rPr>
          <w:rFonts w:hint="eastAsia"/>
          <w:spacing w:val="3"/>
          <w:sz w:val="32"/>
          <w:szCs w:val="32"/>
          <w:lang w:val="en-US"/>
        </w:rPr>
        <w:t xml:space="preserve">1.大赛期间，工作人员须佩戴组委会核发的证件进入赛场，并遵守赛场相关规定。新闻媒体等进入赛场必须经执委会允许，由专人陪同并且听从现场工作人员的安排和管理，不能影响比赛进行； </w:t>
      </w:r>
    </w:p>
    <w:p>
      <w:pPr>
        <w:widowControl/>
        <w:spacing w:line="480" w:lineRule="exact"/>
        <w:ind w:firstLine="652" w:firstLineChars="200"/>
        <w:rPr>
          <w:spacing w:val="3"/>
          <w:sz w:val="32"/>
          <w:szCs w:val="32"/>
        </w:rPr>
      </w:pPr>
      <w:r>
        <w:rPr>
          <w:rFonts w:hint="eastAsia"/>
          <w:spacing w:val="3"/>
          <w:sz w:val="32"/>
          <w:szCs w:val="32"/>
          <w:lang w:val="en-US"/>
        </w:rPr>
        <w:t xml:space="preserve">2.在选手比赛时，工作人员及赛场所有人员必须保持安静，不得 随意走动、喧哗、提示或出现对选手有影响的动作。除经特别允许，工作人员进入赛场后请关闭手机； </w:t>
      </w:r>
    </w:p>
    <w:p>
      <w:pPr>
        <w:widowControl/>
        <w:spacing w:line="480" w:lineRule="exact"/>
        <w:ind w:firstLine="652" w:firstLineChars="200"/>
        <w:rPr>
          <w:spacing w:val="3"/>
          <w:sz w:val="32"/>
          <w:szCs w:val="32"/>
          <w:lang w:val="en-US"/>
        </w:rPr>
      </w:pPr>
      <w:r>
        <w:rPr>
          <w:rFonts w:hint="eastAsia"/>
          <w:spacing w:val="3"/>
          <w:sz w:val="32"/>
          <w:szCs w:val="32"/>
          <w:lang w:val="en-US"/>
        </w:rPr>
        <w:t>3.比赛期间，由赛项执委会负责处理突发事件，由仲裁组人员处理申诉事项，由监督人员对裁判人员和现场评分员进行监督，工作人员不得私自处理有关选手比赛成绩的相关事件。</w:t>
      </w:r>
    </w:p>
    <w:p>
      <w:pPr>
        <w:pStyle w:val="2"/>
        <w:rPr>
          <w:lang w:val="en-US"/>
        </w:rPr>
      </w:pPr>
    </w:p>
    <w:p>
      <w:pPr>
        <w:pStyle w:val="3"/>
        <w:snapToGrid w:val="0"/>
        <w:spacing w:before="0" w:line="480" w:lineRule="exact"/>
        <w:ind w:left="0" w:firstLine="643" w:firstLineChars="200"/>
        <w:textAlignment w:val="baseline"/>
        <w:rPr>
          <w:rFonts w:hint="eastAsia" w:ascii="黑体" w:hAnsi="黑体" w:eastAsia="黑体" w:cs="黑体"/>
          <w:sz w:val="32"/>
          <w:szCs w:val="32"/>
        </w:rPr>
      </w:pPr>
      <w:r>
        <w:rPr>
          <w:rFonts w:hint="eastAsia" w:ascii="黑体" w:hAnsi="黑体" w:eastAsia="黑体" w:cs="黑体"/>
          <w:sz w:val="32"/>
          <w:szCs w:val="32"/>
        </w:rPr>
        <w:t>十</w:t>
      </w:r>
      <w:r>
        <w:rPr>
          <w:rFonts w:hint="eastAsia" w:ascii="黑体" w:hAnsi="黑体" w:eastAsia="黑体" w:cs="黑体"/>
          <w:sz w:val="32"/>
          <w:szCs w:val="32"/>
          <w:lang w:val="en-US"/>
        </w:rPr>
        <w:t>四</w:t>
      </w:r>
      <w:r>
        <w:rPr>
          <w:rFonts w:hint="eastAsia" w:ascii="黑体" w:hAnsi="黑体" w:eastAsia="黑体" w:cs="黑体"/>
          <w:sz w:val="32"/>
          <w:szCs w:val="32"/>
        </w:rPr>
        <w:t>、申诉与仲裁</w:t>
      </w:r>
    </w:p>
    <w:p>
      <w:pPr>
        <w:pStyle w:val="18"/>
        <w:tabs>
          <w:tab w:val="left" w:pos="1260"/>
        </w:tabs>
        <w:snapToGrid w:val="0"/>
        <w:spacing w:line="480" w:lineRule="exact"/>
        <w:ind w:left="0" w:firstLine="628" w:firstLineChars="200"/>
        <w:textAlignment w:val="baseline"/>
        <w:rPr>
          <w:sz w:val="32"/>
          <w:szCs w:val="32"/>
        </w:rPr>
      </w:pPr>
      <w:r>
        <w:rPr>
          <w:rFonts w:hint="eastAsia"/>
          <w:spacing w:val="-3"/>
          <w:sz w:val="32"/>
          <w:szCs w:val="32"/>
          <w:lang w:val="en-US"/>
        </w:rPr>
        <w:t>1.</w:t>
      </w:r>
      <w:r>
        <w:rPr>
          <w:rFonts w:hint="eastAsia"/>
          <w:spacing w:val="-3"/>
          <w:sz w:val="32"/>
          <w:szCs w:val="32"/>
        </w:rPr>
        <w:t>各参赛队对不符合大赛和赛项规程规定的仪器、设备、工装、</w:t>
      </w:r>
      <w:r>
        <w:rPr>
          <w:rFonts w:hint="eastAsia"/>
          <w:spacing w:val="-10"/>
          <w:sz w:val="32"/>
          <w:szCs w:val="32"/>
        </w:rPr>
        <w:t>材料、物件、计算机软硬件、竞赛使用工具、用品，竞赛执裁、赛场</w:t>
      </w:r>
      <w:r>
        <w:rPr>
          <w:rFonts w:hint="eastAsia"/>
          <w:spacing w:val="-18"/>
          <w:sz w:val="32"/>
          <w:szCs w:val="32"/>
        </w:rPr>
        <w:t>管理，以及工作人员的不规范行为等，可向赛项监督仲裁组提出申诉。</w:t>
      </w:r>
      <w:r>
        <w:rPr>
          <w:rFonts w:hint="eastAsia"/>
          <w:spacing w:val="-5"/>
          <w:sz w:val="32"/>
          <w:szCs w:val="32"/>
        </w:rPr>
        <w:t>申诉主体为参赛队领队。</w:t>
      </w:r>
    </w:p>
    <w:p>
      <w:pPr>
        <w:pStyle w:val="18"/>
        <w:tabs>
          <w:tab w:val="left" w:pos="1260"/>
        </w:tabs>
        <w:snapToGrid w:val="0"/>
        <w:spacing w:line="480" w:lineRule="exact"/>
        <w:ind w:left="0" w:firstLine="596" w:firstLineChars="200"/>
        <w:textAlignment w:val="baseline"/>
        <w:rPr>
          <w:sz w:val="32"/>
          <w:szCs w:val="32"/>
        </w:rPr>
      </w:pPr>
      <w:r>
        <w:rPr>
          <w:rFonts w:hint="eastAsia"/>
          <w:spacing w:val="-11"/>
          <w:sz w:val="32"/>
          <w:szCs w:val="32"/>
          <w:lang w:val="en-US"/>
        </w:rPr>
        <w:t>2.</w:t>
      </w:r>
      <w:r>
        <w:rPr>
          <w:rFonts w:hint="eastAsia"/>
          <w:spacing w:val="-11"/>
          <w:sz w:val="32"/>
          <w:szCs w:val="32"/>
        </w:rPr>
        <w:t>监督仲裁人员的姓名、联系方式、工作地点应该在竞赛期间向</w:t>
      </w:r>
      <w:r>
        <w:rPr>
          <w:rFonts w:hint="eastAsia"/>
          <w:spacing w:val="-5"/>
          <w:sz w:val="32"/>
          <w:szCs w:val="32"/>
        </w:rPr>
        <w:t>参赛队和工作人员公示，确保信息畅通并同时接受大众监督。</w:t>
      </w:r>
    </w:p>
    <w:p>
      <w:pPr>
        <w:pStyle w:val="18"/>
        <w:tabs>
          <w:tab w:val="left" w:pos="1260"/>
        </w:tabs>
        <w:snapToGrid w:val="0"/>
        <w:spacing w:line="480" w:lineRule="exact"/>
        <w:ind w:left="0" w:firstLine="592" w:firstLineChars="200"/>
        <w:textAlignment w:val="baseline"/>
        <w:rPr>
          <w:spacing w:val="-12"/>
          <w:sz w:val="32"/>
          <w:szCs w:val="32"/>
        </w:rPr>
      </w:pPr>
      <w:r>
        <w:rPr>
          <w:rFonts w:hint="eastAsia"/>
          <w:spacing w:val="-12"/>
          <w:sz w:val="32"/>
          <w:szCs w:val="32"/>
          <w:lang w:val="en-US"/>
        </w:rPr>
        <w:t>3.</w:t>
      </w:r>
      <w:r>
        <w:rPr>
          <w:rFonts w:hint="eastAsia"/>
          <w:spacing w:val="-12"/>
          <w:sz w:val="32"/>
          <w:szCs w:val="32"/>
        </w:rPr>
        <w:t>申诉启动时，由参赛队领队向赛项仲裁组递交亲笔签字同意的书面申诉报告。申诉报告应对申诉事件的现象、发生时间、涉及人员、申诉依据等进行充分、实事求是的叙述。非书面申诉不予受理。</w:t>
      </w:r>
    </w:p>
    <w:p>
      <w:pPr>
        <w:pStyle w:val="18"/>
        <w:tabs>
          <w:tab w:val="left" w:pos="1265"/>
        </w:tabs>
        <w:snapToGrid w:val="0"/>
        <w:spacing w:line="480" w:lineRule="exact"/>
        <w:ind w:left="0" w:firstLine="656" w:firstLineChars="200"/>
        <w:textAlignment w:val="baseline"/>
        <w:rPr>
          <w:sz w:val="32"/>
          <w:szCs w:val="32"/>
        </w:rPr>
      </w:pPr>
      <w:r>
        <w:rPr>
          <w:rFonts w:hint="eastAsia"/>
          <w:spacing w:val="4"/>
          <w:sz w:val="32"/>
          <w:szCs w:val="32"/>
          <w:lang w:val="en-US"/>
        </w:rPr>
        <w:t>4.</w:t>
      </w:r>
      <w:r>
        <w:rPr>
          <w:rFonts w:hint="eastAsia"/>
          <w:spacing w:val="4"/>
          <w:sz w:val="32"/>
          <w:szCs w:val="32"/>
        </w:rPr>
        <w:t>提出申诉的时间应在比赛结束后</w:t>
      </w:r>
      <w:r>
        <w:rPr>
          <w:rFonts w:hint="eastAsia"/>
          <w:spacing w:val="7"/>
          <w:sz w:val="32"/>
          <w:szCs w:val="32"/>
        </w:rPr>
        <w:t>（</w:t>
      </w:r>
      <w:r>
        <w:rPr>
          <w:rFonts w:hint="eastAsia"/>
          <w:spacing w:val="3"/>
          <w:sz w:val="32"/>
          <w:szCs w:val="32"/>
        </w:rPr>
        <w:t>选手赛场比赛内容全部完</w:t>
      </w:r>
      <w:r>
        <w:rPr>
          <w:rFonts w:hint="eastAsia"/>
          <w:sz w:val="32"/>
          <w:szCs w:val="32"/>
        </w:rPr>
        <w:t>成）2</w:t>
      </w:r>
      <w:r>
        <w:rPr>
          <w:rFonts w:hint="eastAsia"/>
          <w:spacing w:val="-10"/>
          <w:sz w:val="32"/>
          <w:szCs w:val="32"/>
        </w:rPr>
        <w:t>小时内。超过时效不予受理。</w:t>
      </w:r>
    </w:p>
    <w:p>
      <w:pPr>
        <w:pStyle w:val="18"/>
        <w:tabs>
          <w:tab w:val="left" w:pos="1260"/>
        </w:tabs>
        <w:snapToGrid w:val="0"/>
        <w:spacing w:line="480" w:lineRule="exact"/>
        <w:ind w:left="0" w:firstLine="612" w:firstLineChars="200"/>
        <w:textAlignment w:val="baseline"/>
        <w:rPr>
          <w:sz w:val="32"/>
          <w:szCs w:val="32"/>
        </w:rPr>
      </w:pPr>
      <w:r>
        <w:rPr>
          <w:rFonts w:hint="eastAsia"/>
          <w:spacing w:val="-7"/>
          <w:sz w:val="32"/>
          <w:szCs w:val="32"/>
          <w:lang w:val="en-US"/>
        </w:rPr>
        <w:t>5.</w:t>
      </w:r>
      <w:r>
        <w:rPr>
          <w:rFonts w:hint="eastAsia"/>
          <w:spacing w:val="-7"/>
          <w:sz w:val="32"/>
          <w:szCs w:val="32"/>
        </w:rPr>
        <w:t>赛项仲裁组在接到申诉报告后的</w:t>
      </w:r>
      <w:r>
        <w:rPr>
          <w:rFonts w:hint="eastAsia"/>
          <w:sz w:val="32"/>
          <w:szCs w:val="32"/>
        </w:rPr>
        <w:t>2</w:t>
      </w:r>
      <w:r>
        <w:rPr>
          <w:rFonts w:hint="eastAsia"/>
          <w:spacing w:val="-17"/>
          <w:sz w:val="32"/>
          <w:szCs w:val="32"/>
        </w:rPr>
        <w:t>小时内组织复议，并及</w:t>
      </w:r>
      <w:r>
        <w:rPr>
          <w:rFonts w:hint="eastAsia"/>
          <w:spacing w:val="-3"/>
          <w:sz w:val="32"/>
          <w:szCs w:val="32"/>
        </w:rPr>
        <w:t>时将复议结果以书面形式告知申诉方。申诉方对复议结果仍有异议，</w:t>
      </w:r>
      <w:r>
        <w:rPr>
          <w:rFonts w:hint="eastAsia"/>
          <w:spacing w:val="-8"/>
          <w:sz w:val="32"/>
          <w:szCs w:val="32"/>
        </w:rPr>
        <w:t>可由参赛队领队向赛区仲裁委员会提出申诉。赛区仲裁委员会的仲裁</w:t>
      </w:r>
      <w:r>
        <w:rPr>
          <w:rFonts w:hint="eastAsia"/>
          <w:spacing w:val="-3"/>
          <w:sz w:val="32"/>
          <w:szCs w:val="32"/>
        </w:rPr>
        <w:t>结果为最终结果。</w:t>
      </w:r>
    </w:p>
    <w:p>
      <w:pPr>
        <w:pStyle w:val="18"/>
        <w:tabs>
          <w:tab w:val="left" w:pos="1260"/>
        </w:tabs>
        <w:snapToGrid w:val="0"/>
        <w:spacing w:line="480" w:lineRule="exact"/>
        <w:ind w:left="0" w:firstLine="600" w:firstLineChars="200"/>
        <w:textAlignment w:val="baseline"/>
        <w:rPr>
          <w:sz w:val="32"/>
          <w:szCs w:val="32"/>
        </w:rPr>
      </w:pPr>
      <w:r>
        <w:rPr>
          <w:rFonts w:hint="eastAsia"/>
          <w:spacing w:val="-10"/>
          <w:sz w:val="32"/>
          <w:szCs w:val="32"/>
          <w:lang w:val="en-US"/>
        </w:rPr>
        <w:t>6.</w:t>
      </w:r>
      <w:r>
        <w:rPr>
          <w:rFonts w:hint="eastAsia"/>
          <w:spacing w:val="-10"/>
          <w:sz w:val="32"/>
          <w:szCs w:val="32"/>
        </w:rPr>
        <w:t>仲裁结果由申诉人签收，不能代收，如在约定时间和地点申诉</w:t>
      </w:r>
      <w:r>
        <w:rPr>
          <w:rFonts w:hint="eastAsia"/>
          <w:spacing w:val="-4"/>
          <w:sz w:val="32"/>
          <w:szCs w:val="32"/>
        </w:rPr>
        <w:t>人离开，视为自行放弃申诉。</w:t>
      </w:r>
    </w:p>
    <w:p>
      <w:pPr>
        <w:pStyle w:val="18"/>
        <w:tabs>
          <w:tab w:val="left" w:pos="1260"/>
        </w:tabs>
        <w:snapToGrid w:val="0"/>
        <w:spacing w:line="480" w:lineRule="exact"/>
        <w:ind w:left="0" w:firstLine="628" w:firstLineChars="200"/>
        <w:textAlignment w:val="baseline"/>
        <w:rPr>
          <w:sz w:val="32"/>
          <w:szCs w:val="32"/>
        </w:rPr>
      </w:pPr>
      <w:r>
        <w:rPr>
          <w:rFonts w:hint="eastAsia"/>
          <w:spacing w:val="-3"/>
          <w:sz w:val="32"/>
          <w:szCs w:val="32"/>
          <w:lang w:val="en-US"/>
        </w:rPr>
        <w:t>7.</w:t>
      </w:r>
      <w:r>
        <w:rPr>
          <w:rFonts w:hint="eastAsia"/>
          <w:spacing w:val="-3"/>
          <w:sz w:val="32"/>
          <w:szCs w:val="32"/>
        </w:rPr>
        <w:t>申诉方可随时提出放弃申诉。</w:t>
      </w:r>
    </w:p>
    <w:p>
      <w:pPr>
        <w:pStyle w:val="18"/>
        <w:tabs>
          <w:tab w:val="left" w:pos="1260"/>
        </w:tabs>
        <w:snapToGrid w:val="0"/>
        <w:spacing w:line="480" w:lineRule="exact"/>
        <w:ind w:left="0" w:firstLine="612" w:firstLineChars="200"/>
        <w:textAlignment w:val="baseline"/>
        <w:rPr>
          <w:spacing w:val="-3"/>
          <w:sz w:val="32"/>
          <w:szCs w:val="32"/>
        </w:rPr>
      </w:pPr>
      <w:r>
        <w:rPr>
          <w:rFonts w:hint="eastAsia"/>
          <w:spacing w:val="-7"/>
          <w:sz w:val="32"/>
          <w:szCs w:val="32"/>
          <w:lang w:val="en-US"/>
        </w:rPr>
        <w:t>8.</w:t>
      </w:r>
      <w:r>
        <w:rPr>
          <w:rFonts w:hint="eastAsia"/>
          <w:spacing w:val="-7"/>
          <w:sz w:val="32"/>
          <w:szCs w:val="32"/>
        </w:rPr>
        <w:t>申诉方必须提供真实的申诉信息并严格遵守申诉程序，不得以</w:t>
      </w:r>
      <w:r>
        <w:rPr>
          <w:rFonts w:hint="eastAsia"/>
          <w:spacing w:val="-3"/>
          <w:sz w:val="32"/>
          <w:szCs w:val="32"/>
        </w:rPr>
        <w:t>任何理由采取过激行为扰乱赛场秩序。</w:t>
      </w:r>
    </w:p>
    <w:p>
      <w:pPr>
        <w:pStyle w:val="18"/>
        <w:tabs>
          <w:tab w:val="left" w:pos="1260"/>
        </w:tabs>
        <w:snapToGrid w:val="0"/>
        <w:spacing w:line="480" w:lineRule="exact"/>
        <w:ind w:left="0" w:firstLine="628" w:firstLineChars="200"/>
        <w:textAlignment w:val="baseline"/>
        <w:rPr>
          <w:spacing w:val="-3"/>
          <w:sz w:val="32"/>
          <w:szCs w:val="32"/>
        </w:rPr>
      </w:pPr>
    </w:p>
    <w:p>
      <w:pPr>
        <w:widowControl/>
        <w:spacing w:line="480" w:lineRule="exact"/>
        <w:ind w:firstLine="643" w:firstLineChars="200"/>
        <w:rPr>
          <w:rFonts w:hint="eastAsia" w:ascii="黑体" w:hAnsi="黑体" w:eastAsia="黑体" w:cs="黑体"/>
          <w:b/>
          <w:bCs/>
          <w:sz w:val="32"/>
          <w:szCs w:val="32"/>
        </w:rPr>
      </w:pPr>
      <w:r>
        <w:rPr>
          <w:rFonts w:hint="eastAsia" w:ascii="黑体" w:hAnsi="黑体" w:eastAsia="黑体" w:cs="黑体"/>
          <w:b/>
          <w:bCs/>
          <w:sz w:val="32"/>
          <w:szCs w:val="32"/>
          <w:lang w:val="en-US"/>
        </w:rPr>
        <w:t xml:space="preserve">十五、竞赛观摩 </w:t>
      </w:r>
    </w:p>
    <w:p>
      <w:pPr>
        <w:snapToGrid w:val="0"/>
        <w:spacing w:line="480" w:lineRule="exact"/>
        <w:ind w:firstLine="612" w:firstLineChars="200"/>
        <w:textAlignment w:val="baseline"/>
        <w:rPr>
          <w:spacing w:val="-7"/>
          <w:sz w:val="32"/>
          <w:szCs w:val="32"/>
        </w:rPr>
      </w:pPr>
      <w:r>
        <w:rPr>
          <w:rFonts w:hint="eastAsia"/>
          <w:spacing w:val="-7"/>
          <w:sz w:val="32"/>
          <w:szCs w:val="32"/>
        </w:rPr>
        <w:t>1.由于赛项特点及赛场条件限制，本赛项不设置现场观摩环节。</w:t>
      </w:r>
    </w:p>
    <w:p>
      <w:pPr>
        <w:snapToGrid w:val="0"/>
        <w:spacing w:line="480" w:lineRule="exact"/>
        <w:ind w:firstLine="612" w:firstLineChars="200"/>
        <w:textAlignment w:val="baseline"/>
        <w:rPr>
          <w:spacing w:val="-7"/>
          <w:sz w:val="32"/>
          <w:szCs w:val="32"/>
        </w:rPr>
      </w:pPr>
      <w:r>
        <w:rPr>
          <w:rFonts w:hint="eastAsia"/>
          <w:spacing w:val="-7"/>
          <w:sz w:val="32"/>
          <w:szCs w:val="32"/>
        </w:rPr>
        <w:t>2.</w:t>
      </w:r>
      <w:r>
        <w:rPr>
          <w:rFonts w:hint="eastAsia"/>
          <w:spacing w:val="-7"/>
          <w:sz w:val="32"/>
          <w:szCs w:val="32"/>
          <w:lang w:val="en-US"/>
        </w:rPr>
        <w:t>摄影摄像</w:t>
      </w:r>
      <w:r>
        <w:rPr>
          <w:rFonts w:hint="eastAsia"/>
          <w:spacing w:val="-7"/>
          <w:sz w:val="32"/>
          <w:szCs w:val="32"/>
        </w:rPr>
        <w:t>等进入赛场必须经过大赛执委会允许，由专人陪同并听从现场工作人员的安排和管理，不能影响比赛进行。</w:t>
      </w:r>
    </w:p>
    <w:p>
      <w:pPr>
        <w:pStyle w:val="2"/>
        <w:snapToGrid w:val="0"/>
        <w:spacing w:line="480" w:lineRule="exact"/>
        <w:ind w:left="0" w:firstLine="612" w:firstLineChars="200"/>
        <w:textAlignment w:val="baseline"/>
        <w:rPr>
          <w:spacing w:val="-7"/>
          <w:sz w:val="32"/>
          <w:szCs w:val="32"/>
          <w:lang w:val="en-US"/>
        </w:rPr>
      </w:pPr>
    </w:p>
    <w:sectPr>
      <w:footerReference r:id="rId4" w:type="default"/>
      <w:pgSz w:w="11910" w:h="16840"/>
      <w:pgMar w:top="1340" w:right="1020" w:bottom="1160" w:left="1380" w:header="0" w:footer="97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FangSong_GB2312">
    <w:altName w:val="仿宋"/>
    <w:panose1 w:val="020B0604020202020204"/>
    <w:charset w:val="00"/>
    <w:family w:val="auto"/>
    <w:pitch w:val="default"/>
    <w:sig w:usb0="00000000" w:usb1="00000000" w:usb2="00000000" w:usb3="00000000" w:csb0="00000000" w:csb1="00000000"/>
  </w:font>
  <w:font w:name="Wingdings 2">
    <w:panose1 w:val="05020102010507070707"/>
    <w:charset w:val="02"/>
    <w:family w:val="decorative"/>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ind w:left="0"/>
      <w:rPr>
        <w:sz w:val="20"/>
      </w:rPr>
    </w:pPr>
    <w:r>
      <mc:AlternateContent>
        <mc:Choice Requires="wps">
          <w:drawing>
            <wp:anchor distT="0" distB="0" distL="114300" distR="114300" simplePos="0" relativeHeight="251659264" behindDoc="1" locked="0" layoutInCell="1" allowOverlap="1">
              <wp:simplePos x="0" y="0"/>
              <wp:positionH relativeFrom="page">
                <wp:posOffset>3724910</wp:posOffset>
              </wp:positionH>
              <wp:positionV relativeFrom="page">
                <wp:posOffset>9932670</wp:posOffset>
              </wp:positionV>
              <wp:extent cx="109220" cy="1397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09220" cy="139700"/>
                      </a:xfrm>
                      <a:prstGeom prst="rect">
                        <a:avLst/>
                      </a:prstGeom>
                      <a:noFill/>
                      <a:ln>
                        <a:noFill/>
                      </a:ln>
                    </wps:spPr>
                    <wps:txbx>
                      <w:txbxContent>
                        <w:p>
                          <w:pPr>
                            <w:spacing w:line="203" w:lineRule="exact"/>
                            <w:ind w:left="40"/>
                            <w:rPr>
                              <w:rFonts w:ascii="Calibri"/>
                              <w:sz w:val="18"/>
                            </w:rPr>
                          </w:pPr>
                          <w:r>
                            <w:fldChar w:fldCharType="begin"/>
                          </w:r>
                          <w:r>
                            <w:rPr>
                              <w:rFonts w:ascii="Calibri"/>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1" o:spid="_x0000_s1026" o:spt="202" type="#_x0000_t202" style="position:absolute;left:0pt;margin-left:293.3pt;margin-top:782.1pt;height:11pt;width:8.6pt;mso-position-horizontal-relative:page;mso-position-vertical-relative:page;z-index:-251657216;mso-width-relative:page;mso-height-relative:page;" filled="f" stroked="f" coordsize="21600,21600" o:gfxdata="UEsDBAoAAAAAAIdO4kAAAAAAAAAAAAAAAAAEAAAAZHJzL1BLAwQUAAAACACHTuJA7mrTHtoAAAAN&#10;AQAADwAAAGRycy9kb3ducmV2LnhtbE2PzU7DMBCE70i8g7VI3KjdQK0Q4lQIwQkJkYYDRyd2E6vx&#10;OsTuD2/P9lSOO/NpdqZcn/zIDnaOLqCC5UIAs9gF47BX8NW83eXAYtJo9BjQKvi1EdbV9VWpCxOO&#10;WNvDJvWMQjAWWsGQ0lRwHrvBeh0XYbJI3jbMXic6556bWR8p3I88E0Jyrx3Sh0FP9mWw3W6z9wqe&#10;v7F+dT8f7We9rV3TPAp8lzulbm+W4glYsqd0geFcn6pDRZ3asEcT2ahglUtJKBkr+ZABI0SKe1rT&#10;nqVcZsCrkv9fUf0BUEsDBBQAAAAIAIdO4kC5zBL7uQEAAHEDAAAOAAAAZHJzL2Uyb0RvYy54bWyt&#10;U0tu2zAQ3RfIHQjuY8oq0DaC5QCFkSBA0RZIcwCaIi0C/GFIW/IF2ht01U33PZfP0SFtOW2yySIb&#10;ajgzfHzvDbW4Hq0hOwlRe9fS+ayiRDrhO+02LX34dnP5gZKYuOu48U62dC8jvV5evFkMoZG1773p&#10;JBAEcbEZQkv7lELDWBS9tDzOfJAOi8qD5Qm3sGEd8AHRrWF1Vb1jg4cugBcyRsyujkV6QoSXAHql&#10;tJArL7ZWunREBWl4Qkmx1yHSZWGrlBTpi1JRJmJaikpTWfESjNd5ZcsFbzbAQ6/FiQJ/CYUnmizX&#10;Di89Q6144mQL+hmU1QJ89CrNhLfsKKQ4girm1RNv7nseZNGCVsdwNj2+Hqz4vPsKRHctrSlx3OLA&#10;Dz9/HH79Ofz+TubZniHEBrvuA/al8aMf8dFM+YjJrHpUYPMX9RCso7n7s7lyTETkQ9VVXWNFYGn+&#10;9up9Vcxnj4cDxHQrvSU5aCng7IqlfPcpJiSCrVNLvsv5G21MmZ9x/yWwMWdYZn5kmKM0rseTnLXv&#10;9qjG3Dl0Mr+KKYApWE/BNoDe9EinaC6QOIlC5vRq8qj/3ZeLH/+U5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uatMe2gAAAA0BAAAPAAAAAAAAAAEAIAAAACIAAABkcnMvZG93bnJldi54bWxQSwEC&#10;FAAUAAAACACHTuJAucwS+7kBAABxAwAADgAAAAAAAAABACAAAAApAQAAZHJzL2Uyb0RvYy54bWxQ&#10;SwUGAAAAAAYABgBZAQAAVAUAAAAA&#10;">
              <v:fill on="f" focussize="0,0"/>
              <v:stroke on="f"/>
              <v:imagedata o:title=""/>
              <o:lock v:ext="edit" aspectratio="f"/>
              <v:textbox inset="0mm,0mm,0mm,0mm">
                <w:txbxContent>
                  <w:p>
                    <w:pPr>
                      <w:spacing w:line="203" w:lineRule="exact"/>
                      <w:ind w:left="40"/>
                      <w:rPr>
                        <w:rFonts w:ascii="Calibri"/>
                        <w:sz w:val="18"/>
                      </w:rPr>
                    </w:pPr>
                    <w:r>
                      <w:fldChar w:fldCharType="begin"/>
                    </w:r>
                    <w:r>
                      <w:rPr>
                        <w:rFonts w:ascii="Calibri"/>
                        <w:sz w:val="18"/>
                      </w:rPr>
                      <w:instrText xml:space="preserve"> PAGE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ind w:left="0"/>
      <w:rPr>
        <w:sz w:val="20"/>
      </w:rPr>
    </w:pPr>
    <w:r>
      <mc:AlternateContent>
        <mc:Choice Requires="wps">
          <w:drawing>
            <wp:anchor distT="0" distB="0" distL="114300" distR="114300" simplePos="0" relativeHeight="251660288" behindDoc="1" locked="0" layoutInCell="1" allowOverlap="1">
              <wp:simplePos x="0" y="0"/>
              <wp:positionH relativeFrom="page">
                <wp:posOffset>3695700</wp:posOffset>
              </wp:positionH>
              <wp:positionV relativeFrom="page">
                <wp:posOffset>9932670</wp:posOffset>
              </wp:positionV>
              <wp:extent cx="167005" cy="139700"/>
              <wp:effectExtent l="0" t="0" r="0" b="0"/>
              <wp:wrapNone/>
              <wp:docPr id="5" name="文本框 8"/>
              <wp:cNvGraphicFramePr/>
              <a:graphic xmlns:a="http://schemas.openxmlformats.org/drawingml/2006/main">
                <a:graphicData uri="http://schemas.microsoft.com/office/word/2010/wordprocessingShape">
                  <wps:wsp>
                    <wps:cNvSpPr txBox="1"/>
                    <wps:spPr>
                      <a:xfrm>
                        <a:off x="0" y="0"/>
                        <a:ext cx="167005" cy="139700"/>
                      </a:xfrm>
                      <a:prstGeom prst="rect">
                        <a:avLst/>
                      </a:prstGeom>
                      <a:noFill/>
                      <a:ln>
                        <a:noFill/>
                      </a:ln>
                    </wps:spPr>
                    <wps:txbx>
                      <w:txbxContent>
                        <w:p>
                          <w:pPr>
                            <w:spacing w:line="203" w:lineRule="exact"/>
                            <w:ind w:left="40"/>
                            <w:rPr>
                              <w:rFonts w:ascii="Calibri"/>
                              <w:sz w:val="18"/>
                            </w:rPr>
                          </w:pPr>
                          <w:r>
                            <w:fldChar w:fldCharType="begin"/>
                          </w:r>
                          <w:r>
                            <w:rPr>
                              <w:rFonts w:ascii="Calibri"/>
                              <w:sz w:val="18"/>
                            </w:rPr>
                            <w:instrText xml:space="preserve"> PAGE </w:instrText>
                          </w:r>
                          <w:r>
                            <w:fldChar w:fldCharType="separate"/>
                          </w:r>
                          <w:r>
                            <w:t>70</w:t>
                          </w:r>
                          <w:r>
                            <w:fldChar w:fldCharType="end"/>
                          </w:r>
                        </w:p>
                      </w:txbxContent>
                    </wps:txbx>
                    <wps:bodyPr lIns="0" tIns="0" rIns="0" bIns="0" upright="1"/>
                  </wps:wsp>
                </a:graphicData>
              </a:graphic>
            </wp:anchor>
          </w:drawing>
        </mc:Choice>
        <mc:Fallback>
          <w:pict>
            <v:shape id="文本框 8" o:spid="_x0000_s1026" o:spt="202" type="#_x0000_t202" style="position:absolute;left:0pt;margin-left:291pt;margin-top:782.1pt;height:11pt;width:13.15pt;mso-position-horizontal-relative:page;mso-position-vertical-relative:page;z-index:-251656192;mso-width-relative:page;mso-height-relative:page;" filled="f" stroked="f" coordsize="21600,21600" o:gfxdata="UEsDBAoAAAAAAIdO4kAAAAAAAAAAAAAAAAAEAAAAZHJzL1BLAwQUAAAACACHTuJAfiOHtNoAAAAN&#10;AQAADwAAAGRycy9kb3ducmV2LnhtbE2PzU7DMBCE70i8g7VI3KjdQK0Q4lQIwQkJkYYDRyd2E6vx&#10;OsTuD2/P9lSOOzOa/aZcn/zIDnaOLqCC5UIAs9gF47BX8NW83eXAYtJo9BjQKvi1EdbV9VWpCxOO&#10;WNvDJvWMSjAWWsGQ0lRwHrvBeh0XYbJI3jbMXic6556bWR+p3I88E0Jyrx3Sh0FP9mWw3W6z9wqe&#10;v7F+dT8f7We9rV3TPAp8lzulbm+W4glYsqd0CcMZn9ChIqY27NFENipY5RltSWSs5EMGjCJS5PfA&#10;2rOUywx4VfL/K6o/UEsDBBQAAAAIAIdO4kBflolLtwEAAHEDAAAOAAAAZHJzL2Uyb0RvYy54bWyt&#10;U0tu2zAQ3RfIHQjuY8opmiaC5QCFkaJA0RZIcgCaIi0C/GFIW/IF2ht01U33PZfP0SFlOW2yySIb&#10;an58M+8NtbgZrCE7CVF719D5rKJEOuFb7TYNfbi/Pb+iJCbuWm68kw3dy0hvlmdvFn2o5YXvvGkl&#10;EARxse5DQ7uUQs1YFJ20PM58kA6TyoPlCV3YsBZ4j+jWsIuqumS9hzaAFzJGjK7GJD0iwksAvVJa&#10;yJUXWytdGlFBGp6QUux0iHRZplVKivRVqSgTMQ1Fpqmc2ATtdT7ZcsHrDfDQaXEcgb9khCecLNcO&#10;m56gVjxxsgX9DMpqAT56lWbCWzYSKYogi3n1RJu7jgdZuKDUMZxEj68HK77svgHRbUPfUeK4xYUf&#10;fv44/Ppz+P2dXGV5+hBrrLoLWJeGD37ARzPFIwYz60GBzV/kQzCP4u5P4sohEZEvXb6vKmwiMDV/&#10;e41ORmGPlwPE9FF6S7LRUMDdFUn57nNMY+lUkns5f6uNKfsz7r8AYuYIy5OPE2YrDevhSGft2z2y&#10;MZ8cKplfxWTAZKwnYxtAbzocp3AukLiJMvfx1eRV/+uXxo9/yvI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iOHtNoAAAANAQAADwAAAAAAAAABACAAAAAiAAAAZHJzL2Rvd25yZXYueG1sUEsBAhQA&#10;FAAAAAgAh07iQF+WiUu3AQAAcQMAAA4AAAAAAAAAAQAgAAAAKQEAAGRycy9lMm9Eb2MueG1sUEsF&#10;BgAAAAAGAAYAWQEAAFIFAAAAAA==&#10;">
              <v:fill on="f" focussize="0,0"/>
              <v:stroke on="f"/>
              <v:imagedata o:title=""/>
              <o:lock v:ext="edit" aspectratio="f"/>
              <v:textbox inset="0mm,0mm,0mm,0mm">
                <w:txbxContent>
                  <w:p>
                    <w:pPr>
                      <w:spacing w:line="203" w:lineRule="exact"/>
                      <w:ind w:left="40"/>
                      <w:rPr>
                        <w:rFonts w:ascii="Calibri"/>
                        <w:sz w:val="18"/>
                      </w:rPr>
                    </w:pPr>
                    <w:r>
                      <w:fldChar w:fldCharType="begin"/>
                    </w:r>
                    <w:r>
                      <w:rPr>
                        <w:rFonts w:ascii="Calibri"/>
                        <w:sz w:val="18"/>
                      </w:rPr>
                      <w:instrText xml:space="preserve"> PAGE </w:instrText>
                    </w:r>
                    <w:r>
                      <w:fldChar w:fldCharType="separate"/>
                    </w:r>
                    <w:r>
                      <w:t>70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82B3AD"/>
    <w:multiLevelType w:val="singleLevel"/>
    <w:tmpl w:val="2B82B3AD"/>
    <w:lvl w:ilvl="0" w:tentative="0">
      <w:start w:val="2"/>
      <w:numFmt w:val="decimal"/>
      <w:lvlText w:val="%1."/>
      <w:lvlJc w:val="left"/>
      <w:pPr>
        <w:tabs>
          <w:tab w:val="left" w:pos="312"/>
        </w:tabs>
      </w:pPr>
    </w:lvl>
  </w:abstractNum>
  <w:abstractNum w:abstractNumId="1">
    <w:nsid w:val="3A70F118"/>
    <w:multiLevelType w:val="singleLevel"/>
    <w:tmpl w:val="3A70F118"/>
    <w:lvl w:ilvl="0" w:tentative="0">
      <w:start w:val="4"/>
      <w:numFmt w:val="chineseCounting"/>
      <w:suff w:val="nothing"/>
      <w:lvlText w:val="（%1）"/>
      <w:lvlJc w:val="left"/>
      <w:rPr>
        <w:rFonts w:hint="eastAsia"/>
      </w:rPr>
    </w:lvl>
  </w:abstractNum>
  <w:abstractNum w:abstractNumId="2">
    <w:nsid w:val="5129CD2A"/>
    <w:multiLevelType w:val="singleLevel"/>
    <w:tmpl w:val="5129CD2A"/>
    <w:lvl w:ilvl="0" w:tentative="0">
      <w:start w:val="6"/>
      <w:numFmt w:val="chineseCounting"/>
      <w:suff w:val="nothing"/>
      <w:lvlText w:val="%1、"/>
      <w:lvlJc w:val="left"/>
      <w:rPr>
        <w:rFonts w:hint="eastAsia" w:ascii="黑体" w:hAnsi="黑体" w:eastAsia="黑体" w:cs="黑体"/>
      </w:rPr>
    </w:lvl>
  </w:abstractNum>
  <w:abstractNum w:abstractNumId="3">
    <w:nsid w:val="62B96381"/>
    <w:multiLevelType w:val="singleLevel"/>
    <w:tmpl w:val="62B96381"/>
    <w:lvl w:ilvl="0" w:tentative="0">
      <w:start w:val="1"/>
      <w:numFmt w:val="decimal"/>
      <w:lvlText w:val="%1."/>
      <w:lvlJc w:val="left"/>
      <w:pPr>
        <w:tabs>
          <w:tab w:val="left" w:pos="312"/>
        </w:tabs>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hideSpellingErrors/>
  <w:hideGrammaticalErrors/>
  <w:documentProtection w:enforcement="0"/>
  <w:defaultTabStop w:val="720"/>
  <w:drawingGridHorizontalSpacing w:val="110"/>
  <w:noPunctuationKerning w:val="1"/>
  <w:characterSpacingControl w:val="doNotCompress"/>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NzhhMDRiM2RiNDQyMTJjMWZlZTRjN2E0NzU1MTYifQ=="/>
  </w:docVars>
  <w:rsids>
    <w:rsidRoot w:val="003322E1"/>
    <w:rsid w:val="0001390C"/>
    <w:rsid w:val="00123836"/>
    <w:rsid w:val="00225731"/>
    <w:rsid w:val="003322E1"/>
    <w:rsid w:val="00566D49"/>
    <w:rsid w:val="006D0458"/>
    <w:rsid w:val="008E41A2"/>
    <w:rsid w:val="00960954"/>
    <w:rsid w:val="009B2791"/>
    <w:rsid w:val="00B1366A"/>
    <w:rsid w:val="00BA4DE7"/>
    <w:rsid w:val="00D35A08"/>
    <w:rsid w:val="00DB1F04"/>
    <w:rsid w:val="00EC762D"/>
    <w:rsid w:val="03981E84"/>
    <w:rsid w:val="03BF74AE"/>
    <w:rsid w:val="041D215D"/>
    <w:rsid w:val="076C5EEF"/>
    <w:rsid w:val="0BAA4002"/>
    <w:rsid w:val="0F427E3B"/>
    <w:rsid w:val="0FC167BA"/>
    <w:rsid w:val="135C3C38"/>
    <w:rsid w:val="153F2520"/>
    <w:rsid w:val="1B4E1A74"/>
    <w:rsid w:val="1BA87992"/>
    <w:rsid w:val="217446E6"/>
    <w:rsid w:val="218E7F3E"/>
    <w:rsid w:val="23D557D6"/>
    <w:rsid w:val="28B43C59"/>
    <w:rsid w:val="2D100E81"/>
    <w:rsid w:val="2FC772B8"/>
    <w:rsid w:val="31051D15"/>
    <w:rsid w:val="32760EE5"/>
    <w:rsid w:val="34733C1B"/>
    <w:rsid w:val="3B0A1899"/>
    <w:rsid w:val="3E2845B1"/>
    <w:rsid w:val="3F49664C"/>
    <w:rsid w:val="45012722"/>
    <w:rsid w:val="45034578"/>
    <w:rsid w:val="48FC21D7"/>
    <w:rsid w:val="4C0D459D"/>
    <w:rsid w:val="4D572E6D"/>
    <w:rsid w:val="4F492A91"/>
    <w:rsid w:val="4FCA5783"/>
    <w:rsid w:val="50212CC2"/>
    <w:rsid w:val="50570C06"/>
    <w:rsid w:val="51FB1E56"/>
    <w:rsid w:val="55C2601D"/>
    <w:rsid w:val="5A1B1DAA"/>
    <w:rsid w:val="5A5973C2"/>
    <w:rsid w:val="6031670E"/>
    <w:rsid w:val="659A79E5"/>
    <w:rsid w:val="6A7E79FB"/>
    <w:rsid w:val="6AD04EC4"/>
    <w:rsid w:val="6E9756A5"/>
    <w:rsid w:val="737202FE"/>
    <w:rsid w:val="7A7C0656"/>
    <w:rsid w:val="7C7B6F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paragraph" w:styleId="3">
    <w:name w:val="heading 1"/>
    <w:basedOn w:val="1"/>
    <w:next w:val="1"/>
    <w:qFormat/>
    <w:uiPriority w:val="1"/>
    <w:pPr>
      <w:spacing w:before="16"/>
      <w:ind w:left="1036"/>
      <w:outlineLvl w:val="0"/>
    </w:pPr>
    <w:rPr>
      <w:rFonts w:ascii="Microsoft JhengHei" w:hAnsi="Microsoft JhengHei" w:eastAsia="Microsoft JhengHei" w:cs="Microsoft JhengHei"/>
      <w:b/>
      <w:bCs/>
      <w:sz w:val="30"/>
      <w:szCs w:val="30"/>
    </w:rPr>
  </w:style>
  <w:style w:type="paragraph" w:styleId="4">
    <w:name w:val="heading 2"/>
    <w:basedOn w:val="1"/>
    <w:next w:val="1"/>
    <w:qFormat/>
    <w:uiPriority w:val="1"/>
    <w:pPr>
      <w:ind w:left="417"/>
      <w:outlineLvl w:val="1"/>
    </w:pPr>
    <w:rPr>
      <w:b/>
      <w:bCs/>
      <w:sz w:val="28"/>
      <w:szCs w:val="28"/>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2">
    <w:name w:val="Body Text"/>
    <w:basedOn w:val="1"/>
    <w:link w:val="21"/>
    <w:qFormat/>
    <w:uiPriority w:val="1"/>
    <w:pPr>
      <w:ind w:left="417"/>
    </w:pPr>
    <w:rPr>
      <w:sz w:val="28"/>
      <w:szCs w:val="28"/>
    </w:rPr>
  </w:style>
  <w:style w:type="paragraph" w:styleId="5">
    <w:name w:val="Normal Indent"/>
    <w:basedOn w:val="1"/>
    <w:qFormat/>
    <w:uiPriority w:val="0"/>
    <w:pPr>
      <w:ind w:firstLine="420" w:firstLineChars="200"/>
    </w:pPr>
  </w:style>
  <w:style w:type="paragraph" w:styleId="6">
    <w:name w:val="Body Text Indent"/>
    <w:basedOn w:val="1"/>
    <w:unhideWhenUsed/>
    <w:qFormat/>
    <w:uiPriority w:val="99"/>
    <w:pPr>
      <w:spacing w:after="120"/>
      <w:ind w:left="420" w:leftChars="200"/>
    </w:pPr>
    <w:rPr>
      <w:rFonts w:eastAsia="宋体"/>
      <w:sz w:val="21"/>
    </w:rPr>
  </w:style>
  <w:style w:type="paragraph" w:styleId="7">
    <w:name w:val="Plain Text"/>
    <w:basedOn w:val="1"/>
    <w:unhideWhenUsed/>
    <w:qFormat/>
    <w:uiPriority w:val="99"/>
    <w:pPr>
      <w:autoSpaceDE/>
      <w:autoSpaceDN/>
      <w:jc w:val="both"/>
    </w:pPr>
    <w:rPr>
      <w:rFonts w:ascii="等线" w:hAnsi="Courier New" w:eastAsia="等线" w:cs="Courier New"/>
      <w:kern w:val="2"/>
      <w:sz w:val="21"/>
      <w:lang w:val="en-US" w:bidi="ar-SA"/>
    </w:rPr>
  </w:style>
  <w:style w:type="paragraph" w:styleId="8">
    <w:name w:val="footer"/>
    <w:basedOn w:val="1"/>
    <w:qFormat/>
    <w:uiPriority w:val="99"/>
    <w:pPr>
      <w:tabs>
        <w:tab w:val="center" w:pos="4153"/>
        <w:tab w:val="right" w:pos="8306"/>
      </w:tabs>
      <w:snapToGrid w:val="0"/>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0">
    <w:name w:val="Normal (Web)"/>
    <w:basedOn w:val="1"/>
    <w:qFormat/>
    <w:uiPriority w:val="0"/>
    <w:pPr>
      <w:spacing w:before="100" w:beforeAutospacing="1" w:after="100" w:afterAutospacing="1"/>
    </w:pPr>
    <w:rPr>
      <w:rFonts w:cs="Times New Roman"/>
      <w:sz w:val="24"/>
      <w:lang w:val="en-US" w:bidi="ar-SA"/>
    </w:rPr>
  </w:style>
  <w:style w:type="paragraph" w:styleId="11">
    <w:name w:val="Body Text First Indent"/>
    <w:basedOn w:val="2"/>
    <w:qFormat/>
    <w:uiPriority w:val="0"/>
    <w:pPr>
      <w:spacing w:line="360" w:lineRule="auto"/>
      <w:ind w:firstLine="420" w:firstLineChars="100"/>
    </w:pPr>
    <w:rPr>
      <w:rFonts w:ascii="微软雅黑" w:hAnsi="微软雅黑" w:eastAsia="微软雅黑" w:cs="微软雅黑"/>
    </w:rPr>
  </w:style>
  <w:style w:type="paragraph" w:styleId="12">
    <w:name w:val="Body Text First Indent 2"/>
    <w:basedOn w:val="6"/>
    <w:unhideWhenUsed/>
    <w:qFormat/>
    <w:uiPriority w:val="99"/>
    <w:pPr>
      <w:ind w:firstLine="420" w:firstLine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正文首行缩进 21"/>
    <w:basedOn w:val="6"/>
    <w:semiHidden/>
    <w:qFormat/>
    <w:uiPriority w:val="0"/>
    <w:pPr>
      <w:spacing w:before="100" w:beforeAutospacing="1" w:after="0"/>
      <w:ind w:firstLine="420" w:firstLineChars="200"/>
    </w:pPr>
    <w:rPr>
      <w:szCs w:val="21"/>
    </w:rPr>
  </w:style>
  <w:style w:type="table" w:customStyle="1" w:styleId="17">
    <w:name w:val="Table Normal1"/>
    <w:semiHidden/>
    <w:unhideWhenUsed/>
    <w:qFormat/>
    <w:uiPriority w:val="2"/>
    <w:tblPr>
      <w:tblCellMar>
        <w:top w:w="0" w:type="dxa"/>
        <w:left w:w="0" w:type="dxa"/>
        <w:bottom w:w="0" w:type="dxa"/>
        <w:right w:w="0" w:type="dxa"/>
      </w:tblCellMar>
    </w:tblPr>
  </w:style>
  <w:style w:type="paragraph" w:styleId="18">
    <w:name w:val="List Paragraph"/>
    <w:basedOn w:val="1"/>
    <w:qFormat/>
    <w:uiPriority w:val="1"/>
    <w:pPr>
      <w:ind w:left="417" w:firstLine="559"/>
    </w:pPr>
  </w:style>
  <w:style w:type="paragraph" w:customStyle="1" w:styleId="19">
    <w:name w:val="Table Paragraph"/>
    <w:basedOn w:val="1"/>
    <w:qFormat/>
    <w:uiPriority w:val="1"/>
  </w:style>
  <w:style w:type="paragraph" w:customStyle="1" w:styleId="20">
    <w:name w:val="_Style 3"/>
    <w:basedOn w:val="1"/>
    <w:qFormat/>
    <w:uiPriority w:val="0"/>
    <w:pPr>
      <w:ind w:firstLine="420" w:firstLineChars="200"/>
    </w:pPr>
  </w:style>
  <w:style w:type="character" w:customStyle="1" w:styleId="21">
    <w:name w:val="Body Text Char"/>
    <w:basedOn w:val="15"/>
    <w:link w:val="2"/>
    <w:qFormat/>
    <w:uiPriority w:val="0"/>
    <w:rPr>
      <w:kern w:val="2"/>
      <w:sz w:val="21"/>
      <w:szCs w:val="21"/>
    </w:rPr>
  </w:style>
  <w:style w:type="paragraph" w:customStyle="1" w:styleId="22">
    <w:name w:val="Normal1"/>
    <w:qFormat/>
    <w:uiPriority w:val="0"/>
    <w:pPr>
      <w:jc w:val="both"/>
    </w:pPr>
    <w:rPr>
      <w:rFonts w:ascii="宋体" w:hAnsi="宋体" w:eastAsia="宋体" w:cs="宋体"/>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46476</Words>
  <Characters>50802</Characters>
  <Lines>390</Lines>
  <Paragraphs>109</Paragraphs>
  <TotalTime>17</TotalTime>
  <ScaleCrop>false</ScaleCrop>
  <LinksUpToDate>false</LinksUpToDate>
  <CharactersWithSpaces>51451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2021-06-28T08:18:00Z</dcterms:created>
  <dc:creator>RZ</dc:creator>
  <cp:lastModifiedBy>李娜</cp:lastModifiedBy>
  <dcterms:modified xsi:type="dcterms:W3CDTF">2024-07-28T03:01:51Z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2021-04-01T00:00:00Z</vt:filetime>
  </property>
  <property fmtid="{D5CDD505-2E9C-101B-9397-08002B2CF9AE}" pid="3" name="Creator">
    <vt:lpwstr>WPS 文字</vt:lpwstr>
  </property>
  <property fmtid="{D5CDD505-2E9C-101B-9397-08002B2CF9AE}" pid="4" name="LastSaved">
    <vt:filetime>2021-06-28T00:00:00Z</vt:filetime>
  </property>
  <property fmtid="{D5CDD505-2E9C-101B-9397-08002B2CF9AE}" pid="5" name="KSOProductBuildVer">
    <vt:lpwstr>2052-12.1.0.16929</vt:lpwstr>
  </property>
  <property fmtid="{D5CDD505-2E9C-101B-9397-08002B2CF9AE}" pid="6" name="ICV">
    <vt:lpwstr>0FFE254460FE404495C8431AB9F8A5A4_13</vt:lpwstr>
  </property>
</Properties>
</file>