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2025 年海南省职业院校技能大赛（高职组）</w:t>
      </w:r>
    </w:p>
    <w:p>
      <w:pPr>
        <w:pStyle w:val="2"/>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建筑工程识图</w:t>
      </w:r>
      <w:r>
        <w:rPr>
          <w:rFonts w:hint="eastAsia" w:ascii="方正小标宋简体" w:hAnsi="方正小标宋简体" w:eastAsia="方正小标宋简体" w:cs="方正小标宋简体"/>
          <w:b w:val="0"/>
          <w:bCs w:val="0"/>
          <w:sz w:val="44"/>
          <w:szCs w:val="44"/>
        </w:rPr>
        <w:t>赛项规程</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黑体" w:hAnsi="黑体" w:eastAsia="黑体" w:cs="黑体"/>
          <w:b w:val="0"/>
          <w:bCs w:val="0"/>
          <w:sz w:val="28"/>
          <w:szCs w:val="28"/>
        </w:rPr>
      </w:pP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一、赛项名称</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赛项名称：建筑工程识图</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赛项组别：高职组</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赛项归属产业：建筑业</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赛项定位：融合设计、建模、管理全流程能力考核</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二、竞赛目标</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Times New Roman Regular" w:hAnsi="Times New Roman Regular" w:eastAsia="宋体" w:cs="Times New Roman Regular"/>
          <w:sz w:val="28"/>
          <w:szCs w:val="28"/>
        </w:rPr>
      </w:pPr>
      <w:r>
        <w:rPr>
          <w:rFonts w:hint="default" w:ascii="仿宋_GB2312" w:hAnsi="仿宋_GB2312" w:eastAsia="仿宋_GB2312" w:cs="仿宋_GB2312"/>
          <w:sz w:val="28"/>
          <w:szCs w:val="28"/>
        </w:rPr>
        <w:t>紧扣国家 “新型城镇化” 战略与 “双碳” 目标，聚焦建筑设计数字化、施工管理智能化、工程运维绿色化前沿方向，推动职业教育与产业需求深度融合。通过模拟国际赛事标准的竞赛模式，激发学生对土木建筑全流程技术的学习热情，提升其方案设计、BIM 建模等核心能力，培养契合行业一线需求的 “懂设计、精技术、善管理、能创新” 高素质技术技能人才，为海南建筑业高质量发展及国际赛事人才储备提供支撑</w:t>
      </w:r>
      <w:r>
        <w:rPr>
          <w:rFonts w:hint="default" w:ascii="Times New Roman Regular" w:hAnsi="Times New Roman Regular" w:eastAsia="宋体" w:cs="Times New Roman Regular"/>
          <w:sz w:val="28"/>
          <w:szCs w:val="28"/>
        </w:rPr>
        <w:t>。</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三、竞赛内容</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rPr>
        <w:t>依据国家职业技能等级标准及</w:t>
      </w:r>
      <w:r>
        <w:rPr>
          <w:rFonts w:hint="eastAsia" w:ascii="仿宋_GB2312" w:hAnsi="仿宋_GB2312" w:eastAsia="仿宋_GB2312" w:cs="仿宋_GB2312"/>
          <w:sz w:val="28"/>
          <w:szCs w:val="28"/>
          <w:lang w:val="en-US" w:eastAsia="zh-CN"/>
        </w:rPr>
        <w:t>国家</w:t>
      </w:r>
      <w:r>
        <w:rPr>
          <w:rFonts w:hint="default" w:ascii="仿宋_GB2312" w:hAnsi="仿宋_GB2312" w:eastAsia="仿宋_GB2312" w:cs="仿宋_GB2312"/>
          <w:sz w:val="28"/>
          <w:szCs w:val="28"/>
        </w:rPr>
        <w:t>建筑行业规范</w:t>
      </w:r>
      <w:r>
        <w:rPr>
          <w:rFonts w:hint="eastAsia" w:ascii="仿宋_GB2312" w:hAnsi="仿宋_GB2312" w:eastAsia="仿宋_GB2312" w:cs="仿宋_GB2312"/>
          <w:sz w:val="28"/>
          <w:szCs w:val="28"/>
          <w:lang w:val="en-US" w:eastAsia="zh-CN"/>
        </w:rPr>
        <w:t>以一套典型建筑工程案例图纸为载体，以学生初始职业岗位对建筑工程识图及绘图知识与技能的要求为标准，以实际工作程序和任务为序列，以现行国家规范及标准为依据，以专业绘图平台软件为工具，用个人与团队结合的方式开展竞赛</w:t>
      </w:r>
      <w:r>
        <w:rPr>
          <w:rFonts w:hint="default"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团队成员分工完成模块一、模块二。</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60" w:firstLineChars="200"/>
        <w:textAlignment w:val="auto"/>
        <w:rPr>
          <w:rFonts w:hint="eastAsia" w:ascii="楷体_GB2312" w:hAnsi="楷体_GB2312" w:eastAsia="楷体_GB2312" w:cs="楷体_GB2312"/>
          <w:b w:val="0"/>
          <w:bCs w:val="0"/>
          <w:sz w:val="28"/>
          <w:szCs w:val="28"/>
          <w:lang w:val="en-US" w:eastAsia="zh-CN"/>
        </w:rPr>
      </w:pPr>
      <w:r>
        <w:rPr>
          <w:rFonts w:hint="eastAsia" w:ascii="楷体_GB2312" w:hAnsi="楷体_GB2312" w:eastAsia="楷体_GB2312" w:cs="楷体_GB2312"/>
          <w:b w:val="0"/>
          <w:bCs w:val="0"/>
          <w:sz w:val="28"/>
          <w:szCs w:val="28"/>
          <w:lang w:val="en-US" w:eastAsia="zh-CN"/>
        </w:rPr>
        <w:t>（一）建筑工程施工图绘图：</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A参赛选手在规定时间内完成以下任务：严格依据所提供的建筑工程施工图纸及相关资料，运用指定的计算机辅助设计（CAD）软件，完成比赛指定建筑专业施工图的绘制工作。在此过程中，重点考核以下几个方面：</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CAD软件操作熟练度与绘图效率：参赛选手需展现对CAD软件的娴熟操作能力，包括常用快捷键运用、绘图工具精准选择、命令高效执行等技巧，同时需在规定时间内完成绘图任务，体现专业的绘图速度与工作效率。</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图纸绘制的准确性：选手需确保所绘施工图的各类要素准确无误，包括但不限于尺寸标注精准匹配原图、标高数值清晰无误、构造节点细节完整还原，以及轴线编号、图例符号等与提供资料保持高度一致。</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图纸的规范性与完整性：选手需严格遵循建筑制图行业规范及标准，保证图纸图层划分有序、线型线宽使用规范、文字标注清晰统一；同时确保绘图内容完整，无漏绘关键部位、缺项核心信息等问题，全面展现扎实的专业基础。</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560" w:firstLineChars="200"/>
        <w:textAlignment w:val="auto"/>
        <w:rPr>
          <w:rFonts w:hint="eastAsia" w:ascii="楷体_GB2312" w:hAnsi="楷体_GB2312" w:eastAsia="楷体_GB2312" w:cs="楷体_GB2312"/>
          <w:b w:val="0"/>
          <w:bCs w:val="0"/>
          <w:sz w:val="28"/>
          <w:szCs w:val="28"/>
          <w:lang w:val="en-US" w:eastAsia="zh-CN"/>
        </w:rPr>
      </w:pPr>
      <w:r>
        <w:rPr>
          <w:rFonts w:hint="eastAsia" w:ascii="楷体_GB2312" w:hAnsi="楷体_GB2312" w:eastAsia="楷体_GB2312" w:cs="楷体_GB2312"/>
          <w:b w:val="0"/>
          <w:bCs w:val="0"/>
          <w:sz w:val="28"/>
          <w:szCs w:val="28"/>
          <w:lang w:val="en-US" w:eastAsia="zh-CN"/>
        </w:rPr>
        <w:t>（二）建筑图纸 BIM 建模：</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B参赛选手在规定时间内完成以下任务：根据提供的建筑专业施工图纸，包括平面图、立面图、剖面图以及节点详图，并结合详细的设计说明，运用指定的BIM软件进行建筑三维模型的搭建工作。在此过程中，重点考核以下几个方面：</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1. BIM软件操作熟练度与建模效率：参赛选手需展现出对BIM软件的高水平操作能力，包括快捷键使用、工具选择、命令执行等，同时需在有限时间内高效完成模型的搭建，体现其建模速度与效率。</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2. 模型构件布置、尺寸标注、材质定义的准确性：选手需精确布置各类模型构件，如墙体、门窗、楼板、楼梯、屋顶等，并确保这些构件的尺寸标注与实际设计一致，同时正确定义各构件的材质属性，以保证模型的真实性和可靠性。</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3. 模型与图纸的一致性：参赛选手需确保所搭建的三维模型与提供的施工图纸高度一致，包括但不限于标高的精确匹配、构造细节的完整还原，以及各部分之间的逻辑关系和空间位置的准确对应。</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4. 模型命名、图层管理、视图设置的规范性：选手在建模过程中需遵循行业规范和标准，对模型进行合理的命名，对图层进行有序的管理，并设置清晰的视图，以便于后续的模型审查、修改和使用，体现其专业素养和规范性操作。</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通过两大核心模块的激烈竞赛，全面而深入地检验选手在“理论认知与理解 - 实操应用与落地”这一完整职业能力链条上的综合表现，同时，细致评估他们在独立思考与分析、高效团队协作与沟通、以及面对复杂问题时迅速而精准的解决能力等关键职业素养方面的实际水平。</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四、竞赛方式</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楷体_GB2312" w:hAnsi="楷体_GB2312" w:eastAsia="楷体_GB2312" w:cs="楷体_GB2312"/>
          <w:b w:val="0"/>
          <w:bCs w:val="0"/>
          <w:sz w:val="28"/>
          <w:szCs w:val="28"/>
        </w:rPr>
        <w:t>（一）竞赛类型</w:t>
      </w:r>
      <w:r>
        <w:rPr>
          <w:rFonts w:hint="eastAsia" w:ascii="楷体_GB2312" w:hAnsi="楷体_GB2312" w:eastAsia="楷体_GB2312" w:cs="楷体_GB2312"/>
          <w:b w:val="0"/>
          <w:bCs w:val="0"/>
          <w:sz w:val="28"/>
          <w:szCs w:val="28"/>
          <w:lang w:val="en-US" w:eastAsia="zh-CN"/>
        </w:rPr>
        <w:t>为团体赛</w:t>
      </w:r>
      <w:r>
        <w:rPr>
          <w:rFonts w:hint="default" w:ascii="仿宋_GB2312" w:hAnsi="仿宋_GB2312" w:eastAsia="仿宋_GB2312" w:cs="仿宋_GB2312"/>
          <w:sz w:val="28"/>
          <w:szCs w:val="28"/>
          <w:lang w:val="en-US" w:eastAsia="zh-CN"/>
        </w:rPr>
        <w:t>。</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（二）参赛要求</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 </w:t>
      </w:r>
      <w:r>
        <w:rPr>
          <w:rFonts w:hint="default" w:ascii="仿宋_GB2312" w:hAnsi="仿宋_GB2312" w:eastAsia="仿宋_GB2312" w:cs="仿宋_GB2312"/>
          <w:sz w:val="28"/>
          <w:szCs w:val="28"/>
          <w:lang w:val="en-US" w:eastAsia="zh-CN"/>
        </w:rPr>
        <w:t>每支参赛队由 2名选手组成（分工</w:t>
      </w:r>
      <w:r>
        <w:rPr>
          <w:rFonts w:hint="eastAsia" w:ascii="仿宋_GB2312" w:hAnsi="仿宋_GB2312" w:eastAsia="仿宋_GB2312" w:cs="仿宋_GB2312"/>
          <w:sz w:val="28"/>
          <w:szCs w:val="28"/>
          <w:lang w:val="en-US" w:eastAsia="zh-CN"/>
        </w:rPr>
        <w:t>CAD图纸抄绘、BIM建模</w:t>
      </w:r>
      <w:r>
        <w:rPr>
          <w:rFonts w:hint="default" w:ascii="仿宋_GB2312" w:hAnsi="仿宋_GB2312" w:eastAsia="仿宋_GB2312" w:cs="仿宋_GB2312"/>
          <w:sz w:val="28"/>
          <w:szCs w:val="28"/>
          <w:lang w:val="en-US" w:eastAsia="zh-CN"/>
        </w:rPr>
        <w:t>），性别、年级不限，不得跨校组队；</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w:t>
      </w:r>
      <w:r>
        <w:rPr>
          <w:rFonts w:hint="default" w:ascii="仿宋_GB2312" w:hAnsi="仿宋_GB2312" w:eastAsia="仿宋_GB2312" w:cs="仿宋_GB2312"/>
          <w:sz w:val="28"/>
          <w:szCs w:val="28"/>
          <w:lang w:val="en-US" w:eastAsia="zh-CN"/>
        </w:rPr>
        <w:t>每支队伍配备 1-2 名指导教师，须为本校专兼职教师（提供教师资格证或企业高级技术人员聘书）；</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 </w:t>
      </w:r>
      <w:r>
        <w:rPr>
          <w:rFonts w:hint="default" w:ascii="仿宋_GB2312" w:hAnsi="仿宋_GB2312" w:eastAsia="仿宋_GB2312" w:cs="仿宋_GB2312"/>
          <w:sz w:val="28"/>
          <w:szCs w:val="28"/>
          <w:lang w:val="en-US" w:eastAsia="zh-CN"/>
        </w:rPr>
        <w:t>每所院校限报 6 组，参赛选手须为普通高职院校全日制</w:t>
      </w:r>
      <w:r>
        <w:rPr>
          <w:rFonts w:hint="eastAsia" w:ascii="仿宋_GB2312" w:hAnsi="仿宋_GB2312" w:eastAsia="仿宋_GB2312" w:cs="仿宋_GB2312"/>
          <w:sz w:val="28"/>
          <w:szCs w:val="28"/>
          <w:lang w:val="en-US" w:eastAsia="zh-CN"/>
        </w:rPr>
        <w:t>正式学籍的</w:t>
      </w:r>
      <w:bookmarkStart w:id="0" w:name="_GoBack"/>
      <w:bookmarkEnd w:id="0"/>
      <w:r>
        <w:rPr>
          <w:rFonts w:hint="default" w:ascii="仿宋_GB2312" w:hAnsi="仿宋_GB2312" w:eastAsia="仿宋_GB2312" w:cs="仿宋_GB2312"/>
          <w:sz w:val="28"/>
          <w:szCs w:val="28"/>
          <w:lang w:val="en-US" w:eastAsia="zh-CN"/>
        </w:rPr>
        <w:t>专科生，或本科院校高职类全日制</w:t>
      </w:r>
      <w:r>
        <w:rPr>
          <w:rFonts w:hint="eastAsia" w:ascii="仿宋_GB2312" w:hAnsi="仿宋_GB2312" w:eastAsia="仿宋_GB2312" w:cs="仿宋_GB2312"/>
          <w:sz w:val="28"/>
          <w:szCs w:val="28"/>
          <w:lang w:val="en-US" w:eastAsia="zh-CN"/>
        </w:rPr>
        <w:t>正式学籍的在校生</w:t>
      </w:r>
      <w:r>
        <w:rPr>
          <w:rFonts w:hint="default"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五年制学生报名参赛的，四，五年级学生可参加本次大赛。</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eastAsia" w:ascii="仿宋_GB2312" w:hAnsi="仿宋_GB2312" w:eastAsia="仿宋_GB2312" w:cs="仿宋_GB2312"/>
          <w:sz w:val="28"/>
          <w:szCs w:val="28"/>
          <w:lang w:val="en-US" w:eastAsia="zh-CN"/>
        </w:rPr>
        <w:t>4. 根据2026年世界职业院校技能大赛选拔参赛选手的要求，参赛选手年龄不超过25周岁(即2001年5月1日及以后出生)。在近两年世界职业院校技能大赛中获金奖的学生，不再参加同一项目(同一组别)的全省竞赛。</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黑体" w:hAnsi="黑体" w:eastAsia="黑体" w:cs="黑体"/>
          <w:b w:val="0"/>
          <w:bCs w:val="0"/>
          <w:sz w:val="28"/>
          <w:szCs w:val="28"/>
          <w:lang w:val="en-US" w:eastAsia="zh-CN"/>
        </w:rPr>
      </w:pPr>
      <w:r>
        <w:rPr>
          <w:rFonts w:hint="default" w:ascii="黑体" w:hAnsi="黑体" w:eastAsia="黑体" w:cs="黑体"/>
          <w:b w:val="0"/>
          <w:bCs w:val="0"/>
          <w:sz w:val="28"/>
          <w:szCs w:val="28"/>
        </w:rPr>
        <w:t>五、竞赛流</w:t>
      </w:r>
      <w:r>
        <w:rPr>
          <w:rFonts w:hint="eastAsia" w:ascii="黑体" w:hAnsi="黑体" w:eastAsia="黑体" w:cs="黑体"/>
          <w:b w:val="0"/>
          <w:bCs w:val="0"/>
          <w:sz w:val="28"/>
          <w:szCs w:val="28"/>
          <w:lang w:val="en-US" w:eastAsia="zh-CN"/>
        </w:rPr>
        <w:t>程</w:t>
      </w:r>
    </w:p>
    <w:tbl>
      <w:tblPr>
        <w:tblStyle w:val="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871"/>
        <w:gridCol w:w="4183"/>
        <w:gridCol w:w="3205"/>
      </w:tblGrid>
      <w:t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ind w:firstLine="280" w:firstLineChars="1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时间节点</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ind w:firstLine="1120" w:firstLineChars="4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流程内容</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备注</w:t>
            </w:r>
          </w:p>
        </w:tc>
      </w:tr>
      <w:tr>
        <w:trPr>
          <w:trHeight w:val="1295" w:hRule="atLeast"/>
        </w:trP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竞赛前 1 天</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14：00-16：00</w:t>
            </w:r>
            <w:r>
              <w:rPr>
                <w:rFonts w:hint="default" w:ascii="仿宋_GB2312" w:hAnsi="仿宋_GB2312" w:eastAsia="仿宋_GB2312" w:cs="仿宋_GB2312"/>
                <w:sz w:val="28"/>
                <w:szCs w:val="28"/>
                <w:lang w:val="en-US" w:eastAsia="zh-CN"/>
              </w:rPr>
              <w:t>报到审核→赛项说明会→赛场熟悉</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审核身份资质，讲解规则，开放设备测试</w:t>
            </w:r>
          </w:p>
        </w:tc>
      </w:tr>
      <w:tr>
        <w:trPr>
          <w:trHeight w:val="1487" w:hRule="atLeast"/>
        </w:trP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竞赛第一天</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8：00抽签确定比赛顺序</w:t>
            </w:r>
            <w:r>
              <w:rPr>
                <w:rFonts w:hint="default"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8</w:t>
            </w:r>
            <w:r>
              <w:rPr>
                <w:rFonts w:hint="default" w:ascii="仿宋_GB2312" w:hAnsi="仿宋_GB2312" w:eastAsia="仿宋_GB2312" w:cs="仿宋_GB2312"/>
                <w:sz w:val="28"/>
                <w:szCs w:val="28"/>
                <w:lang w:val="en-US" w:eastAsia="zh-CN"/>
              </w:rPr>
              <w:t>:30～</w:t>
            </w:r>
            <w:r>
              <w:rPr>
                <w:rFonts w:hint="eastAsia" w:ascii="仿宋_GB2312" w:hAnsi="仿宋_GB2312" w:eastAsia="仿宋_GB2312" w:cs="仿宋_GB2312"/>
                <w:sz w:val="28"/>
                <w:szCs w:val="28"/>
                <w:lang w:val="en-US" w:eastAsia="zh-CN"/>
              </w:rPr>
              <w:t>9</w:t>
            </w:r>
            <w:r>
              <w:rPr>
                <w:rFonts w:hint="default" w:ascii="仿宋_GB2312" w:hAnsi="仿宋_GB2312" w:eastAsia="仿宋_GB2312" w:cs="仿宋_GB2312"/>
                <w:sz w:val="28"/>
                <w:szCs w:val="28"/>
                <w:lang w:val="en-US" w:eastAsia="zh-CN"/>
              </w:rPr>
              <w:t>:00赛前</w:t>
            </w:r>
            <w:r>
              <w:rPr>
                <w:rFonts w:hint="eastAsia" w:ascii="仿宋_GB2312" w:hAnsi="仿宋_GB2312" w:eastAsia="仿宋_GB2312" w:cs="仿宋_GB2312"/>
                <w:sz w:val="28"/>
                <w:szCs w:val="28"/>
                <w:lang w:val="en-US" w:eastAsia="zh-CN"/>
              </w:rPr>
              <w:t>准备及检录入场</w:t>
            </w:r>
            <w:r>
              <w:rPr>
                <w:rFonts w:hint="default"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val="en-US" w:eastAsia="zh-CN"/>
              </w:rPr>
              <w:t>9：00~12：00比赛</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模块一模块二团队</w:t>
            </w:r>
            <w:r>
              <w:rPr>
                <w:rFonts w:hint="default" w:ascii="仿宋_GB2312" w:hAnsi="仿宋_GB2312" w:eastAsia="仿宋_GB2312" w:cs="仿宋_GB2312"/>
                <w:sz w:val="28"/>
                <w:szCs w:val="28"/>
                <w:lang w:val="en-US" w:eastAsia="zh-CN"/>
              </w:rPr>
              <w:t>实操环节</w:t>
            </w:r>
            <w:r>
              <w:rPr>
                <w:rFonts w:hint="eastAsia" w:ascii="仿宋_GB2312" w:hAnsi="仿宋_GB2312" w:eastAsia="仿宋_GB2312" w:cs="仿宋_GB2312"/>
                <w:sz w:val="28"/>
                <w:szCs w:val="28"/>
                <w:lang w:val="en-US" w:eastAsia="zh-CN"/>
              </w:rPr>
              <w:t>同时</w:t>
            </w:r>
            <w:r>
              <w:rPr>
                <w:rFonts w:hint="default" w:ascii="仿宋_GB2312" w:hAnsi="仿宋_GB2312" w:eastAsia="仿宋_GB2312" w:cs="仿宋_GB2312"/>
                <w:sz w:val="28"/>
                <w:szCs w:val="28"/>
                <w:lang w:val="en-US" w:eastAsia="zh-CN"/>
              </w:rPr>
              <w:t>进行</w:t>
            </w:r>
          </w:p>
        </w:tc>
      </w:tr>
      <w:tr>
        <w:trPr>
          <w:trHeight w:val="1517" w:hRule="atLeast"/>
        </w:trPr>
        <w:tc>
          <w:tcPr>
            <w:tcW w:w="101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 xml:space="preserve">竞赛后 </w:t>
            </w:r>
          </w:p>
        </w:tc>
        <w:tc>
          <w:tcPr>
            <w:tcW w:w="2258"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成绩公示→申诉处理→闭幕式与颁奖</w:t>
            </w:r>
          </w:p>
        </w:tc>
        <w:tc>
          <w:tcPr>
            <w:tcW w:w="1730" w:type="pct"/>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pPr>
              <w:pStyle w:val="19"/>
              <w:keepNext w:val="0"/>
              <w:keepLines w:val="0"/>
              <w:pageBreakBefore w:val="0"/>
              <w:widowControl/>
              <w:kinsoku/>
              <w:wordWrap/>
              <w:overflowPunct/>
              <w:topLinePunct w:val="0"/>
              <w:autoSpaceDE/>
              <w:autoSpaceDN/>
              <w:bidi w:val="0"/>
              <w:adjustRightInd/>
              <w:snapToGrid/>
              <w:spacing w:before="0" w:after="0" w:line="576" w:lineRule="exact"/>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公示期 24 小时，接受书面申诉并优先处理</w:t>
            </w:r>
          </w:p>
        </w:tc>
      </w:tr>
    </w:tbl>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六、竞赛规则</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（一）赛项组织机构</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承办院校遵守省赛制度，服从202</w:t>
      </w:r>
      <w:r>
        <w:rPr>
          <w:rFonts w:hint="eastAsia" w:ascii="仿宋_GB2312" w:hAnsi="仿宋_GB2312" w:eastAsia="仿宋_GB2312" w:cs="仿宋_GB2312"/>
          <w:sz w:val="28"/>
          <w:szCs w:val="28"/>
          <w:lang w:val="en-US" w:eastAsia="zh-CN"/>
        </w:rPr>
        <w:t>5</w:t>
      </w:r>
      <w:r>
        <w:rPr>
          <w:rFonts w:hint="default" w:ascii="仿宋_GB2312" w:hAnsi="仿宋_GB2312" w:eastAsia="仿宋_GB2312" w:cs="仿宋_GB2312"/>
          <w:sz w:val="28"/>
          <w:szCs w:val="28"/>
          <w:lang w:val="en-US" w:eastAsia="zh-CN"/>
        </w:rPr>
        <w:t>年海南省职业院校职业技能大赛竞赛组织委员会的领导和监督，负责竞赛的基础设施筹备与组织工作。</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（二）裁判工作</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 </w:t>
      </w:r>
      <w:r>
        <w:rPr>
          <w:rFonts w:hint="default" w:ascii="仿宋_GB2312" w:hAnsi="仿宋_GB2312" w:eastAsia="仿宋_GB2312" w:cs="仿宋_GB2312"/>
          <w:sz w:val="28"/>
          <w:szCs w:val="28"/>
          <w:lang w:val="en-US" w:eastAsia="zh-CN"/>
        </w:rPr>
        <w:t>承办院校服从海南省职业院校技能大赛组委会领导，负责竞赛场地、设备、后勤保障等筹备工作；</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w:t>
      </w:r>
      <w:r>
        <w:rPr>
          <w:rFonts w:hint="default" w:ascii="仿宋_GB2312" w:hAnsi="仿宋_GB2312" w:eastAsia="仿宋_GB2312" w:cs="仿宋_GB2312"/>
          <w:sz w:val="28"/>
          <w:szCs w:val="28"/>
          <w:lang w:val="en-US" w:eastAsia="zh-CN"/>
        </w:rPr>
        <w:t>专家工作组由建筑行业专家、职业院校骨干教师组成，负责赛项技术文件编撰、命题、裁判遴选、赛事技术指导等工作；</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3. </w:t>
      </w:r>
      <w:r>
        <w:rPr>
          <w:rFonts w:hint="default" w:ascii="仿宋_GB2312" w:hAnsi="仿宋_GB2312" w:eastAsia="仿宋_GB2312" w:cs="仿宋_GB2312"/>
          <w:sz w:val="28"/>
          <w:szCs w:val="28"/>
          <w:lang w:val="en-US" w:eastAsia="zh-CN"/>
        </w:rPr>
        <w:t>严格执行公开、公平、公正原则，所有竞赛环节全程录像监控。</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（三）参赛纪律</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参赛选手须凭借身份证进入赛场，并按照抽签确定的组号区域就座。</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严禁携带任何通讯设备及参考资料，不得自行携带电脑及具备储存功能的设备。 </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七、技术规范</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sz w:val="28"/>
          <w:szCs w:val="28"/>
        </w:rPr>
      </w:pPr>
      <w:r>
        <w:rPr>
          <w:rFonts w:hint="eastAsia" w:ascii="楷体_GB2312" w:hAnsi="楷体_GB2312" w:eastAsia="楷体_GB2312" w:cs="楷体_GB2312"/>
          <w:b w:val="0"/>
          <w:bCs w:val="0"/>
          <w:sz w:val="28"/>
          <w:szCs w:val="28"/>
        </w:rPr>
        <w:t>（一）标准与规范</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1.《房屋建筑制图统一标准》GB/T 50001-2017；</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2.《总图制图标准》GB/T 50103-2010；</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3.《建筑制图标准》GB/T 50104-2010；</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 xml:space="preserve">4.《建筑结构制图标准》GB/T 50105-2010； </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5.《混凝土结构施工图平面整体表示方法制图规则和构造详图（现浇混凝土框架、剪力墙、梁、板）》22G101-1；</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6.《混凝土结构施工图平面整体表示方法制图规则和构造详图（现浇混凝土板式楼梯）》22G101-2；</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7.《混凝土结构施工图平面整体表示方法制图规则和构造详图（独立基础、条形基础、筏型基础及桩基承台）》22G101-3。</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8. 与建筑识图、建筑制图、建筑功能、建筑构造、建筑结构有关的其他规范、标准。</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（二）软件与工具</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在使用CAD绘图软件时，应选用中望CAD，严格禁止使用绘图插件以及PDF转换CAD插件。</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建模模块：采用AutoDesk Revit软件进行建模。 </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八、技术环境</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（一）竞赛场地</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技能竞赛应安排在计算机绘图实训室或其他符合竞赛要求的室内场所进行，赛场布置和机位布置应符合竞赛要求。同一参赛队 2 名选手机位相邻布置，以便于选手合作参赛。竞赛时每位参赛选手配置 1 台计算机，所有计算机设备应为相同（或相近）配置，赛场应按 1/2 的比例配置备用机，备用机配置应与竞赛机配置完全相同。</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（二）设备配置</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赛场</w:t>
      </w:r>
      <w:r>
        <w:rPr>
          <w:rFonts w:hint="default" w:ascii="仿宋_GB2312" w:hAnsi="仿宋_GB2312" w:eastAsia="仿宋_GB2312" w:cs="仿宋_GB2312"/>
          <w:sz w:val="28"/>
          <w:szCs w:val="28"/>
          <w:lang w:val="en-US" w:eastAsia="zh-CN"/>
        </w:rPr>
        <w:t>配备高性能计算机：CPU i</w:t>
      </w:r>
      <w:r>
        <w:rPr>
          <w:rFonts w:hint="eastAsia" w:ascii="仿宋_GB2312" w:hAnsi="仿宋_GB2312" w:eastAsia="仿宋_GB2312" w:cs="仿宋_GB2312"/>
          <w:sz w:val="28"/>
          <w:szCs w:val="28"/>
          <w:lang w:val="en-US" w:eastAsia="zh-CN"/>
        </w:rPr>
        <w:t>7</w:t>
      </w:r>
      <w:r>
        <w:rPr>
          <w:rFonts w:hint="default" w:ascii="仿宋_GB2312" w:hAnsi="仿宋_GB2312" w:eastAsia="仿宋_GB2312" w:cs="仿宋_GB2312"/>
          <w:sz w:val="28"/>
          <w:szCs w:val="28"/>
          <w:lang w:val="en-US" w:eastAsia="zh-CN"/>
        </w:rPr>
        <w:t xml:space="preserve"> 及以上，内存 32GB 及以上，显卡 RTX 3070 及以上；</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比赛场地全程配备</w:t>
      </w:r>
      <w:r>
        <w:rPr>
          <w:rFonts w:hint="default" w:ascii="仿宋_GB2312" w:hAnsi="仿宋_GB2312" w:eastAsia="仿宋_GB2312" w:cs="仿宋_GB2312"/>
          <w:sz w:val="28"/>
          <w:szCs w:val="28"/>
          <w:lang w:val="en-US" w:eastAsia="zh-CN"/>
        </w:rPr>
        <w:t>高清摄像机与录音设备。</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（三）软件环境</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1. </w:t>
      </w:r>
      <w:r>
        <w:rPr>
          <w:rFonts w:hint="default" w:ascii="仿宋_GB2312" w:hAnsi="仿宋_GB2312" w:eastAsia="仿宋_GB2312" w:cs="仿宋_GB2312"/>
          <w:sz w:val="28"/>
          <w:szCs w:val="28"/>
          <w:lang w:val="en-US" w:eastAsia="zh-CN"/>
        </w:rPr>
        <w:t>预装 Windows 1</w:t>
      </w:r>
      <w:r>
        <w:rPr>
          <w:rFonts w:hint="eastAsia" w:ascii="仿宋_GB2312" w:hAnsi="仿宋_GB2312" w:eastAsia="仿宋_GB2312" w:cs="仿宋_GB2312"/>
          <w:sz w:val="28"/>
          <w:szCs w:val="28"/>
          <w:lang w:val="en-US" w:eastAsia="zh-CN"/>
        </w:rPr>
        <w:t>1</w:t>
      </w:r>
      <w:r>
        <w:rPr>
          <w:rFonts w:hint="default" w:ascii="仿宋_GB2312" w:hAnsi="仿宋_GB2312" w:eastAsia="仿宋_GB2312" w:cs="仿宋_GB2312"/>
          <w:sz w:val="28"/>
          <w:szCs w:val="28"/>
          <w:lang w:val="en-US" w:eastAsia="zh-CN"/>
        </w:rPr>
        <w:t>专业版操作系统，安装指定设计、建模</w:t>
      </w:r>
      <w:r>
        <w:rPr>
          <w:rFonts w:hint="eastAsia" w:ascii="仿宋_GB2312" w:hAnsi="仿宋_GB2312" w:eastAsia="仿宋_GB2312" w:cs="仿宋_GB2312"/>
          <w:sz w:val="28"/>
          <w:szCs w:val="28"/>
          <w:lang w:val="en-US" w:eastAsia="zh-CN"/>
        </w:rPr>
        <w:t>软件</w:t>
      </w:r>
      <w:r>
        <w:rPr>
          <w:rFonts w:hint="default" w:ascii="仿宋_GB2312" w:hAnsi="仿宋_GB2312" w:eastAsia="仿宋_GB2312" w:cs="仿宋_GB2312"/>
          <w:sz w:val="28"/>
          <w:szCs w:val="28"/>
          <w:lang w:val="en-US" w:eastAsia="zh-CN"/>
        </w:rPr>
        <w:t>；</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2. </w:t>
      </w:r>
      <w:r>
        <w:rPr>
          <w:rFonts w:hint="default" w:ascii="仿宋_GB2312" w:hAnsi="仿宋_GB2312" w:eastAsia="仿宋_GB2312" w:cs="仿宋_GB2312"/>
          <w:sz w:val="28"/>
          <w:szCs w:val="28"/>
          <w:lang w:val="en-US" w:eastAsia="zh-CN"/>
        </w:rPr>
        <w:t>防止文件丢失；关闭系统自动更新与后台弹窗。</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九、竞赛模块分值与时长</w:t>
      </w:r>
    </w:p>
    <w:tbl>
      <w:tblPr>
        <w:tblStyle w:val="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196"/>
        <w:gridCol w:w="2031"/>
        <w:gridCol w:w="1649"/>
        <w:gridCol w:w="1301"/>
        <w:gridCol w:w="1418"/>
        <w:gridCol w:w="1664"/>
      </w:tblGrid>
      <w:tr>
        <w:trPr>
          <w:trHeight w:val="749" w:hRule="atLeast"/>
        </w:trPr>
        <w:tc>
          <w:tcPr>
            <w:tcW w:w="64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模块</w:t>
            </w:r>
          </w:p>
        </w:tc>
        <w:tc>
          <w:tcPr>
            <w:tcW w:w="109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核心任务</w:t>
            </w:r>
          </w:p>
        </w:tc>
        <w:tc>
          <w:tcPr>
            <w:tcW w:w="890"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比赛时长</w:t>
            </w:r>
          </w:p>
        </w:tc>
        <w:tc>
          <w:tcPr>
            <w:tcW w:w="702"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分值</w:t>
            </w:r>
          </w:p>
        </w:tc>
        <w:tc>
          <w:tcPr>
            <w:tcW w:w="765"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分值权重</w:t>
            </w:r>
          </w:p>
        </w:tc>
        <w:tc>
          <w:tcPr>
            <w:tcW w:w="898"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考核形式</w:t>
            </w:r>
          </w:p>
        </w:tc>
      </w:tr>
      <w:tr>
        <w:trPr>
          <w:trHeight w:val="1077" w:hRule="atLeast"/>
        </w:trPr>
        <w:tc>
          <w:tcPr>
            <w:tcW w:w="64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模块</w:t>
            </w:r>
            <w:r>
              <w:rPr>
                <w:rFonts w:hint="eastAsia" w:ascii="仿宋_GB2312" w:hAnsi="仿宋_GB2312" w:eastAsia="仿宋_GB2312" w:cs="仿宋_GB2312"/>
                <w:sz w:val="28"/>
                <w:szCs w:val="28"/>
                <w:lang w:val="en-US" w:eastAsia="zh-CN"/>
              </w:rPr>
              <w:t>一</w:t>
            </w:r>
          </w:p>
        </w:tc>
        <w:tc>
          <w:tcPr>
            <w:tcW w:w="109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建筑施工图CAD抄绘图纸</w:t>
            </w:r>
          </w:p>
        </w:tc>
        <w:tc>
          <w:tcPr>
            <w:tcW w:w="890"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180</w:t>
            </w:r>
            <w:r>
              <w:rPr>
                <w:rFonts w:hint="eastAsia" w:ascii="仿宋_GB2312" w:hAnsi="仿宋_GB2312" w:eastAsia="仿宋_GB2312" w:cs="仿宋_GB2312"/>
                <w:sz w:val="28"/>
                <w:szCs w:val="28"/>
              </w:rPr>
              <w:t>分钟</w:t>
            </w:r>
          </w:p>
        </w:tc>
        <w:tc>
          <w:tcPr>
            <w:tcW w:w="702"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100</w:t>
            </w:r>
            <w:r>
              <w:rPr>
                <w:rFonts w:hint="eastAsia" w:ascii="仿宋_GB2312" w:hAnsi="仿宋_GB2312" w:eastAsia="仿宋_GB2312" w:cs="仿宋_GB2312"/>
                <w:sz w:val="28"/>
                <w:szCs w:val="28"/>
              </w:rPr>
              <w:t>分</w:t>
            </w:r>
          </w:p>
        </w:tc>
        <w:tc>
          <w:tcPr>
            <w:tcW w:w="765"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50%</w:t>
            </w:r>
          </w:p>
        </w:tc>
        <w:tc>
          <w:tcPr>
            <w:tcW w:w="898"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使用中望CAD绘制建筑施工图</w:t>
            </w:r>
          </w:p>
        </w:tc>
      </w:tr>
      <w:tr>
        <w:trPr>
          <w:trHeight w:val="1077" w:hRule="atLeast"/>
        </w:trPr>
        <w:tc>
          <w:tcPr>
            <w:tcW w:w="64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模块</w:t>
            </w:r>
            <w:r>
              <w:rPr>
                <w:rFonts w:hint="eastAsia" w:ascii="仿宋_GB2312" w:hAnsi="仿宋_GB2312" w:eastAsia="仿宋_GB2312" w:cs="仿宋_GB2312"/>
                <w:sz w:val="28"/>
                <w:szCs w:val="28"/>
                <w:lang w:val="en-US" w:eastAsia="zh-CN"/>
              </w:rPr>
              <w:t>二</w:t>
            </w:r>
          </w:p>
        </w:tc>
        <w:tc>
          <w:tcPr>
            <w:tcW w:w="1096"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sz w:val="28"/>
                <w:szCs w:val="28"/>
                <w:lang w:val="en-US" w:eastAsia="zh-CN"/>
              </w:rPr>
              <w:t>建筑施工图BIM模型建模</w:t>
            </w:r>
          </w:p>
        </w:tc>
        <w:tc>
          <w:tcPr>
            <w:tcW w:w="890"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180分钟</w:t>
            </w:r>
          </w:p>
        </w:tc>
        <w:tc>
          <w:tcPr>
            <w:tcW w:w="702"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100</w:t>
            </w:r>
            <w:r>
              <w:rPr>
                <w:rFonts w:hint="eastAsia" w:ascii="仿宋_GB2312" w:hAnsi="仿宋_GB2312" w:eastAsia="仿宋_GB2312" w:cs="仿宋_GB2312"/>
                <w:sz w:val="28"/>
                <w:szCs w:val="28"/>
              </w:rPr>
              <w:t xml:space="preserve"> 分</w:t>
            </w:r>
          </w:p>
        </w:tc>
        <w:tc>
          <w:tcPr>
            <w:tcW w:w="765"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50%</w:t>
            </w:r>
          </w:p>
        </w:tc>
        <w:tc>
          <w:tcPr>
            <w:tcW w:w="898" w:type="pct"/>
            <w:tcMar>
              <w:top w:w="60" w:type="dxa"/>
              <w:left w:w="120" w:type="dxa"/>
              <w:bottom w:w="30" w:type="dxa"/>
              <w:right w:w="120" w:type="dxa"/>
            </w:tcMar>
            <w:vAlign w:val="center"/>
          </w:tcPr>
          <w:p>
            <w:pPr>
              <w:pStyle w:val="19"/>
              <w:keepNext w:val="0"/>
              <w:keepLines w:val="0"/>
              <w:pageBreakBefore w:val="0"/>
              <w:widowControl/>
              <w:kinsoku/>
              <w:wordWrap/>
              <w:overflowPunct/>
              <w:topLinePunct w:val="0"/>
              <w:autoSpaceDE/>
              <w:autoSpaceDN/>
              <w:bidi w:val="0"/>
              <w:adjustRightInd/>
              <w:snapToGrid/>
              <w:spacing w:before="0" w:after="0" w:line="576" w:lineRule="exact"/>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使用BIM软件完成建筑模型</w:t>
            </w:r>
          </w:p>
        </w:tc>
      </w:tr>
    </w:tbl>
    <w:p>
      <w:pPr>
        <w:pStyle w:val="19"/>
        <w:keepNext w:val="0"/>
        <w:keepLines w:val="0"/>
        <w:pageBreakBefore w:val="0"/>
        <w:widowControl/>
        <w:kinsoku/>
        <w:wordWrap/>
        <w:overflowPunct/>
        <w:topLinePunct w:val="0"/>
        <w:autoSpaceDE/>
        <w:autoSpaceDN/>
        <w:bidi w:val="0"/>
        <w:adjustRightInd/>
        <w:snapToGrid/>
        <w:spacing w:before="0" w:after="0" w:line="576" w:lineRule="exact"/>
        <w:ind w:firstLine="482" w:firstLineChars="200"/>
        <w:textAlignment w:val="auto"/>
        <w:rPr>
          <w:rFonts w:hint="default" w:ascii="仿宋_GB2312" w:hAnsi="仿宋_GB2312" w:eastAsia="仿宋_GB2312" w:cs="仿宋_GB2312"/>
          <w:b/>
          <w:bCs/>
          <w:sz w:val="24"/>
          <w:szCs w:val="24"/>
          <w:lang w:val="en-US" w:eastAsia="zh-CN"/>
        </w:rPr>
      </w:pPr>
      <w:r>
        <w:rPr>
          <w:rFonts w:hint="default" w:ascii="仿宋_GB2312" w:hAnsi="仿宋_GB2312" w:eastAsia="仿宋_GB2312" w:cs="仿宋_GB2312"/>
          <w:b/>
          <w:bCs/>
          <w:sz w:val="24"/>
          <w:szCs w:val="24"/>
          <w:lang w:val="en-US" w:eastAsia="zh-CN"/>
        </w:rPr>
        <w:t>注：</w:t>
      </w:r>
      <w:r>
        <w:rPr>
          <w:rFonts w:hint="eastAsia" w:ascii="仿宋_GB2312" w:hAnsi="仿宋_GB2312" w:eastAsia="仿宋_GB2312" w:cs="仿宋_GB2312"/>
          <w:b/>
          <w:bCs/>
          <w:sz w:val="24"/>
          <w:szCs w:val="24"/>
          <w:lang w:val="en-US" w:eastAsia="zh-CN"/>
        </w:rPr>
        <w:t>模块一和模块二同时进行，A选手完成模块一，B选手完成模块二，</w:t>
      </w:r>
      <w:r>
        <w:rPr>
          <w:rFonts w:hint="default" w:ascii="仿宋_GB2312" w:hAnsi="仿宋_GB2312" w:eastAsia="仿宋_GB2312" w:cs="仿宋_GB2312"/>
          <w:b/>
          <w:bCs/>
          <w:sz w:val="24"/>
          <w:szCs w:val="24"/>
          <w:lang w:val="en-US" w:eastAsia="zh-CN"/>
        </w:rPr>
        <w:t>评分细则以赛前发布的竞赛手册为准.</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十、成绩评定</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（一）评定原则</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遵循 “标准统一、量化精准” 原则，参照 “技能水平 + 职业素养 ” 评价体系。每个模块由 3 名及以上裁判员独立评分，去掉极值后取平均分；总分保留 2 位小数，确保精度。</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w:t>
      </w:r>
      <w:r>
        <w:rPr>
          <w:rFonts w:hint="eastAsia" w:ascii="楷体_GB2312" w:hAnsi="楷体_GB2312" w:eastAsia="楷体_GB2312" w:cs="楷体_GB2312"/>
          <w:b w:val="0"/>
          <w:bCs w:val="0"/>
          <w:sz w:val="28"/>
          <w:szCs w:val="28"/>
          <w:lang w:val="en-US" w:eastAsia="zh-CN"/>
        </w:rPr>
        <w:t>二</w:t>
      </w:r>
      <w:r>
        <w:rPr>
          <w:rFonts w:hint="default" w:ascii="楷体_GB2312" w:hAnsi="楷体_GB2312" w:eastAsia="楷体_GB2312" w:cs="楷体_GB2312"/>
          <w:b w:val="0"/>
          <w:bCs w:val="0"/>
          <w:sz w:val="28"/>
          <w:szCs w:val="28"/>
        </w:rPr>
        <w:t>）成绩排名</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按总分从高到低排名，每个参赛小组取平均分排名。</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十一、赛场预案</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按照有关规章制度，在赛区组委会及赛项执委会的指导下制定有关安全工作预案。</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制定赛场、交流区及体验区的人员疏导方案。《入场须知》和应急疏散图应作为《竞赛手册》的必备内容，并在赛区及赛场张贴，要求选手认真阅读。</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竞赛涉及的计算机设备需符合国家有关安全规定。</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4. </w:t>
      </w:r>
      <w:r>
        <w:rPr>
          <w:rFonts w:hint="default" w:ascii="仿宋_GB2312" w:hAnsi="仿宋_GB2312" w:eastAsia="仿宋_GB2312" w:cs="仿宋_GB2312"/>
          <w:sz w:val="28"/>
          <w:szCs w:val="28"/>
          <w:lang w:val="en-US" w:eastAsia="zh-CN"/>
        </w:rPr>
        <w:t xml:space="preserve">设备故障处理：硬件故障 10 分钟内更换备用机，软件故障 5 分钟内恢复系统，延误时间予以补时（最长 </w:t>
      </w:r>
      <w:r>
        <w:rPr>
          <w:rFonts w:hint="eastAsia" w:ascii="仿宋_GB2312" w:hAnsi="仿宋_GB2312" w:eastAsia="仿宋_GB2312" w:cs="仿宋_GB2312"/>
          <w:sz w:val="28"/>
          <w:szCs w:val="28"/>
          <w:lang w:val="en-US" w:eastAsia="zh-CN"/>
        </w:rPr>
        <w:t>30</w:t>
      </w:r>
      <w:r>
        <w:rPr>
          <w:rFonts w:hint="default" w:ascii="仿宋_GB2312" w:hAnsi="仿宋_GB2312" w:eastAsia="仿宋_GB2312" w:cs="仿宋_GB2312"/>
          <w:sz w:val="28"/>
          <w:szCs w:val="28"/>
          <w:lang w:val="en-US" w:eastAsia="zh-CN"/>
        </w:rPr>
        <w:t>分钟）</w:t>
      </w:r>
      <w:r>
        <w:rPr>
          <w:rFonts w:hint="eastAsia" w:ascii="仿宋_GB2312" w:hAnsi="仿宋_GB2312" w:eastAsia="仿宋_GB2312" w:cs="仿宋_GB2312"/>
          <w:sz w:val="28"/>
          <w:szCs w:val="28"/>
          <w:lang w:val="en-US" w:eastAsia="zh-CN"/>
        </w:rPr>
        <w:t>。</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5.赛场严禁无关人员携带通讯、照相摄录设备进入。赛场配置安检设备，对进入赛场重要区域的人员进行安检。</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黑体" w:hAnsi="黑体" w:eastAsia="黑体" w:cs="黑体"/>
          <w:b w:val="0"/>
          <w:bCs w:val="0"/>
          <w:sz w:val="28"/>
          <w:szCs w:val="28"/>
        </w:rPr>
      </w:pPr>
      <w:r>
        <w:rPr>
          <w:rFonts w:hint="default" w:ascii="黑体" w:hAnsi="黑体" w:eastAsia="黑体" w:cs="黑体"/>
          <w:b w:val="0"/>
          <w:bCs w:val="0"/>
          <w:sz w:val="28"/>
          <w:szCs w:val="28"/>
        </w:rPr>
        <w:t>十二、赛项安全</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（一）场地安全</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赛场布局合理，桌椅稳固，通道宽度不低于 1.2 米，无杂物堆积；</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保持良好通风，避免强光直射屏幕；</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配备足量灭火器、应急灯等消防设施，确保完好有效。</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（二）设备安全</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电源插座、线路符合安全标准，布线整齐，配备过载保护装置；</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赛前逐机检查计算机，测试网络、软件运行状态；</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比赛期间技术人员全程值守，遇设备故障立即更换备用机，保障竞赛连续性。</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楷体_GB2312" w:hAnsi="楷体_GB2312" w:eastAsia="楷体_GB2312" w:cs="楷体_GB2312"/>
          <w:b w:val="0"/>
          <w:bCs w:val="0"/>
          <w:sz w:val="28"/>
          <w:szCs w:val="28"/>
        </w:rPr>
      </w:pPr>
      <w:r>
        <w:rPr>
          <w:rFonts w:hint="default" w:ascii="楷体_GB2312" w:hAnsi="楷体_GB2312" w:eastAsia="楷体_GB2312" w:cs="楷体_GB2312"/>
          <w:b w:val="0"/>
          <w:bCs w:val="0"/>
          <w:sz w:val="28"/>
          <w:szCs w:val="28"/>
        </w:rPr>
        <w:t>（三）人员安全</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参赛选手、工作人员需遵守赛场纪律，禁止违规操作设备；</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赛场配备急救箱，含常用药品及急救器材，医护人员随时待命；</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val="en-US" w:eastAsia="zh-CN"/>
        </w:rPr>
        <w:t xml:space="preserve"> </w:t>
      </w:r>
      <w:r>
        <w:rPr>
          <w:rFonts w:hint="default" w:ascii="仿宋_GB2312" w:hAnsi="仿宋_GB2312" w:eastAsia="仿宋_GB2312" w:cs="仿宋_GB2312"/>
          <w:sz w:val="28"/>
          <w:szCs w:val="28"/>
          <w:lang w:val="en-US" w:eastAsia="zh-CN"/>
        </w:rPr>
        <w:t>根据实际情况采取必要防疫措施，如提供消毒用品、控制人员密度等。</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十三、竞赛须知</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（一）参赛队须知</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按规定时间完成报名及资格审核，提交选手身份证、学生证、指导教师资质证明等材料；</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赛前组织选手熟悉竞赛规程、技术规范及赛场环境，避免违规；</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服从组委会安排，尊重裁判裁决，文明参赛。</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（二）参赛选手须知</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凭有效证件入场，按要求存放个人物品，仅携带组委会允许的文具；</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严格遵守竞赛时间，迟到 15 分钟以上不得入场；</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爱护赛场设备，如有损坏需承担相应责任；</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竞赛结束后立即离场，不得在赛场逗留或查阅资料。</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（三）指导教</w:t>
      </w:r>
      <w:r>
        <w:rPr>
          <w:rFonts w:hint="eastAsia" w:ascii="楷体_GB2312" w:hAnsi="楷体_GB2312" w:eastAsia="楷体_GB2312" w:cs="楷体_GB2312"/>
          <w:b w:val="0"/>
          <w:bCs w:val="0"/>
          <w:sz w:val="28"/>
          <w:szCs w:val="28"/>
        </w:rPr>
        <w:t>师须知</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负责选手备赛辅导，聚焦建筑施工图CAD绘制与 BIM 建模核心技能，不得提供违规资料；</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协助选手完成报名、资格审核及赛前准备，不得干预竞赛过程；</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比赛期间不得进入赛场，需在指定区域等候，保持通讯畅通；</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引导选手正确对待竞赛结果，如有异议按规定程序申诉。</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（四）工作人员须知</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赛前参加培训，明确工作职责，熟悉竞赛流程及安全预案；</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按要求布置赛场、调试设备、准备竞赛资料，确保竞赛顺利开展；</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赛中严格执行赛场纪律，做好签到引导、秩序维护、技术支持等工作；</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赛后及时收集、整理竞赛作品（CAD文件和建模文件），清理赛场，确保设备完好；</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 严守保密纪律，不得泄露赛题、评分标准等敏感信息，公正履职。</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十四、申诉与仲裁</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（一）申诉</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参赛队对竞赛结果有异议，需在成绩公示后 24 小时内提交书面申诉，注明申诉理由、证据及诉求，由指导教师签字并加盖院校公章；</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申诉需提交原件及复印件，逾期或未按要求提交视为无效。</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（二）仲裁</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仲裁委员会由 3-5 名行业专家、高校教授组成，独立开展仲裁工作；</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仲裁委员会在收到申诉后 48 小时内完成调查核实，给出书面处理意见；</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仲裁过程中可要求申诉方、裁判组补充说明，必要时重新核查建模作品。</w:t>
      </w:r>
    </w:p>
    <w:p>
      <w:pPr>
        <w:pStyle w:val="4"/>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楷体_GB2312" w:hAnsi="楷体_GB2312" w:eastAsia="楷体_GB2312" w:cs="楷体_GB2312"/>
          <w:b w:val="0"/>
          <w:bCs w:val="0"/>
          <w:color w:val="auto"/>
          <w:sz w:val="28"/>
          <w:szCs w:val="28"/>
        </w:rPr>
      </w:pPr>
      <w:r>
        <w:rPr>
          <w:rFonts w:hint="eastAsia" w:ascii="楷体_GB2312" w:hAnsi="楷体_GB2312" w:eastAsia="楷体_GB2312" w:cs="楷体_GB2312"/>
          <w:b w:val="0"/>
          <w:bCs w:val="0"/>
          <w:color w:val="auto"/>
          <w:sz w:val="28"/>
          <w:szCs w:val="28"/>
        </w:rPr>
        <w:t>（三）最终决定</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仲裁委员会的处理结果为最终裁决，参赛队需服从，不得再次申诉。</w:t>
      </w:r>
    </w:p>
    <w:p>
      <w:pPr>
        <w:pStyle w:val="3"/>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rPr>
        <w:t>十五、竞赛观摩</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 大赛期间，允许企业、行业协会、院校组织带队老师观摩，需提前向组委会申请；</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 观摩人员按指定时间、路线进入观摩区，每组不超过 10 人，观摩时长不超过 20 分钟；</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观摩人员需遵守观摩纪律，保持安静，不得与选手、裁判交流，不得拍照、摄像或干扰竞赛；</w:t>
      </w:r>
    </w:p>
    <w:p>
      <w:pPr>
        <w:pStyle w:val="19"/>
        <w:keepNext w:val="0"/>
        <w:keepLines w:val="0"/>
        <w:pageBreakBefore w:val="0"/>
        <w:widowControl/>
        <w:kinsoku/>
        <w:wordWrap/>
        <w:overflowPunct/>
        <w:topLinePunct w:val="0"/>
        <w:autoSpaceDE/>
        <w:autoSpaceDN/>
        <w:bidi w:val="0"/>
        <w:adjustRightInd/>
        <w:snapToGrid/>
        <w:spacing w:before="0" w:after="0" w:line="576" w:lineRule="exact"/>
        <w:ind w:firstLine="560" w:firstLineChars="200"/>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违反观摩规定者，立即取消观摩资格，情节严重者追究相关责任。</w:t>
      </w:r>
    </w:p>
    <w:sectPr>
      <w:footerReference r:id="rId3" w:type="default"/>
      <w:pgSz w:w="11906" w:h="16838"/>
      <w:pgMar w:top="1440" w:right="1440" w:bottom="1440" w:left="1440" w:header="708" w:footer="708" w:gutter="0"/>
      <w:pgNumType w:fmt="numberInDash"/>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_GB2312">
    <w:altName w:val="方正仿宋_GBK"/>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楷体_GB2312">
    <w:altName w:val="汉仪楷体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汉仪楷体简">
    <w:panose1 w:val="02010600000101010101"/>
    <w:charset w:val="86"/>
    <w:family w:val="auto"/>
    <w:pitch w:val="default"/>
    <w:sig w:usb0="00000001" w:usb1="080E0800" w:usb2="00000002" w:usb3="00000000" w:csb0="00040000" w:csb1="00000000"/>
  </w:font>
  <w:font w:name="汉仪中等线KW">
    <w:panose1 w:val="01010104010101010101"/>
    <w:charset w:val="86"/>
    <w:family w:val="auto"/>
    <w:pitch w:val="default"/>
    <w:sig w:usb0="800002BF" w:usb1="004F7CFA" w:usb2="00000000" w:usb3="00000000" w:csb0="00040001"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isplayBackgroundShape w:val="1"/>
  <w:embedSystemFonts/>
  <w:documentProtection w:enforcement="0"/>
  <w:compat>
    <w:useFELayout/>
    <w:compatSetting w:name="compatibilityMode" w:uri="http://schemas.microsoft.com/office/word" w:val="15"/>
  </w:compat>
  <w:rsids>
    <w:rsidRoot w:val="00000000"/>
    <w:rsid w:val="02CFCCB7"/>
    <w:rsid w:val="0E7F6AD2"/>
    <w:rsid w:val="1DED9D45"/>
    <w:rsid w:val="1E6B1D37"/>
    <w:rsid w:val="1E796DF9"/>
    <w:rsid w:val="1EFE16E1"/>
    <w:rsid w:val="1F7AB65F"/>
    <w:rsid w:val="1FB7B135"/>
    <w:rsid w:val="1FFB35C5"/>
    <w:rsid w:val="1FFB902F"/>
    <w:rsid w:val="253988B5"/>
    <w:rsid w:val="26FF0008"/>
    <w:rsid w:val="27DDB1D9"/>
    <w:rsid w:val="27DFD98A"/>
    <w:rsid w:val="29F97691"/>
    <w:rsid w:val="2F4F91C1"/>
    <w:rsid w:val="2FC58F07"/>
    <w:rsid w:val="2FE9A766"/>
    <w:rsid w:val="31DF8083"/>
    <w:rsid w:val="36B7888A"/>
    <w:rsid w:val="36CB2B56"/>
    <w:rsid w:val="37654D26"/>
    <w:rsid w:val="3765613D"/>
    <w:rsid w:val="379FD7ED"/>
    <w:rsid w:val="37FD41FC"/>
    <w:rsid w:val="37FFCB9A"/>
    <w:rsid w:val="38F1F704"/>
    <w:rsid w:val="3BEF0AE4"/>
    <w:rsid w:val="3DBFFD18"/>
    <w:rsid w:val="3DF7D590"/>
    <w:rsid w:val="3E7F579D"/>
    <w:rsid w:val="3EDF5BE5"/>
    <w:rsid w:val="3EE77A40"/>
    <w:rsid w:val="3EEF2ACE"/>
    <w:rsid w:val="3EFA6E5B"/>
    <w:rsid w:val="3F6E4E5B"/>
    <w:rsid w:val="3F7F2111"/>
    <w:rsid w:val="3FAFC09F"/>
    <w:rsid w:val="3FD61557"/>
    <w:rsid w:val="3FF71B0A"/>
    <w:rsid w:val="3FF97652"/>
    <w:rsid w:val="3FFDB07E"/>
    <w:rsid w:val="437FC088"/>
    <w:rsid w:val="43FFCB93"/>
    <w:rsid w:val="45FF7336"/>
    <w:rsid w:val="46FED5F3"/>
    <w:rsid w:val="4A8FF279"/>
    <w:rsid w:val="4D6FE37C"/>
    <w:rsid w:val="4E4FA21D"/>
    <w:rsid w:val="4F7FE115"/>
    <w:rsid w:val="4FAEE8F4"/>
    <w:rsid w:val="537F37A0"/>
    <w:rsid w:val="53CEDE21"/>
    <w:rsid w:val="53EF9F95"/>
    <w:rsid w:val="56AAC785"/>
    <w:rsid w:val="56EFBAE2"/>
    <w:rsid w:val="575E55AF"/>
    <w:rsid w:val="57FA1C4E"/>
    <w:rsid w:val="595BA026"/>
    <w:rsid w:val="59FDDBC3"/>
    <w:rsid w:val="5BDB656B"/>
    <w:rsid w:val="5BDFB7CA"/>
    <w:rsid w:val="5BEEABAD"/>
    <w:rsid w:val="5D6F87C8"/>
    <w:rsid w:val="5E779792"/>
    <w:rsid w:val="5E7FD0C1"/>
    <w:rsid w:val="5EDA24BE"/>
    <w:rsid w:val="5EEBAB63"/>
    <w:rsid w:val="5EFB2DAA"/>
    <w:rsid w:val="5EFD14C8"/>
    <w:rsid w:val="5F7F3EE8"/>
    <w:rsid w:val="5FE59F54"/>
    <w:rsid w:val="5FFB9038"/>
    <w:rsid w:val="5FFBE28E"/>
    <w:rsid w:val="5FFFD465"/>
    <w:rsid w:val="635E0F48"/>
    <w:rsid w:val="646EDE6A"/>
    <w:rsid w:val="67EF81F5"/>
    <w:rsid w:val="67EFAA57"/>
    <w:rsid w:val="6A7E7EB2"/>
    <w:rsid w:val="6B6F7A48"/>
    <w:rsid w:val="6BDFEA22"/>
    <w:rsid w:val="6BF48592"/>
    <w:rsid w:val="6BF5D427"/>
    <w:rsid w:val="6DE3C73C"/>
    <w:rsid w:val="6E5FE9D2"/>
    <w:rsid w:val="6EFB4FE9"/>
    <w:rsid w:val="6EFC8B19"/>
    <w:rsid w:val="6F7F537D"/>
    <w:rsid w:val="6FAF2AAA"/>
    <w:rsid w:val="6FBDAC5D"/>
    <w:rsid w:val="6FFF6082"/>
    <w:rsid w:val="71FD6BA1"/>
    <w:rsid w:val="72BF21E5"/>
    <w:rsid w:val="72EB5C1F"/>
    <w:rsid w:val="7373E009"/>
    <w:rsid w:val="753B50CF"/>
    <w:rsid w:val="75EFCD58"/>
    <w:rsid w:val="76A7F80E"/>
    <w:rsid w:val="76E9CEB1"/>
    <w:rsid w:val="777EB79A"/>
    <w:rsid w:val="777F1EF5"/>
    <w:rsid w:val="777F6ADB"/>
    <w:rsid w:val="779F4FB3"/>
    <w:rsid w:val="77A67FB0"/>
    <w:rsid w:val="77DB9DCA"/>
    <w:rsid w:val="77FDFD91"/>
    <w:rsid w:val="787B2BE2"/>
    <w:rsid w:val="796B01A9"/>
    <w:rsid w:val="79AF9865"/>
    <w:rsid w:val="7AF10624"/>
    <w:rsid w:val="7B2F9CBD"/>
    <w:rsid w:val="7B75FCAA"/>
    <w:rsid w:val="7B9F19E2"/>
    <w:rsid w:val="7B9F85E0"/>
    <w:rsid w:val="7BADD1E5"/>
    <w:rsid w:val="7BEFA567"/>
    <w:rsid w:val="7BF75278"/>
    <w:rsid w:val="7BFFC5C2"/>
    <w:rsid w:val="7CEC8BAA"/>
    <w:rsid w:val="7CFFF38A"/>
    <w:rsid w:val="7D1AF550"/>
    <w:rsid w:val="7D2AEB75"/>
    <w:rsid w:val="7D4EEE13"/>
    <w:rsid w:val="7DAF1096"/>
    <w:rsid w:val="7DD0442A"/>
    <w:rsid w:val="7DF1FC39"/>
    <w:rsid w:val="7DFE65B4"/>
    <w:rsid w:val="7DFEF40C"/>
    <w:rsid w:val="7E7356B8"/>
    <w:rsid w:val="7E9B7799"/>
    <w:rsid w:val="7ECDAFF9"/>
    <w:rsid w:val="7EDECA4B"/>
    <w:rsid w:val="7EFFA250"/>
    <w:rsid w:val="7F0F73A8"/>
    <w:rsid w:val="7F310E42"/>
    <w:rsid w:val="7F3D6A3B"/>
    <w:rsid w:val="7F76D787"/>
    <w:rsid w:val="7F970E52"/>
    <w:rsid w:val="7FABBB01"/>
    <w:rsid w:val="7FB7032F"/>
    <w:rsid w:val="7FD7C568"/>
    <w:rsid w:val="7FDB8061"/>
    <w:rsid w:val="7FE77431"/>
    <w:rsid w:val="7FEB6B08"/>
    <w:rsid w:val="7FEE326B"/>
    <w:rsid w:val="7FEFF8EB"/>
    <w:rsid w:val="7FF7533B"/>
    <w:rsid w:val="7FFA8ED5"/>
    <w:rsid w:val="7FFADCF1"/>
    <w:rsid w:val="7FFBA773"/>
    <w:rsid w:val="7FFD2D02"/>
    <w:rsid w:val="7FFE6F3C"/>
    <w:rsid w:val="7FFF70E3"/>
    <w:rsid w:val="7FFFBEF2"/>
    <w:rsid w:val="7FFFCB1F"/>
    <w:rsid w:val="8D5F511E"/>
    <w:rsid w:val="8DCE6FCF"/>
    <w:rsid w:val="93F9E5DF"/>
    <w:rsid w:val="96FF098F"/>
    <w:rsid w:val="99FFE2B0"/>
    <w:rsid w:val="9BFBAEC7"/>
    <w:rsid w:val="9DBE70B9"/>
    <w:rsid w:val="9F60AE7D"/>
    <w:rsid w:val="9F7BD8D1"/>
    <w:rsid w:val="9F7D8DF4"/>
    <w:rsid w:val="9F828D60"/>
    <w:rsid w:val="9FBFF3E2"/>
    <w:rsid w:val="9FC31129"/>
    <w:rsid w:val="9FFBD0AF"/>
    <w:rsid w:val="AA5D322B"/>
    <w:rsid w:val="ACBB9CA7"/>
    <w:rsid w:val="ADCACCCD"/>
    <w:rsid w:val="ADD563A8"/>
    <w:rsid w:val="AEFE4B0A"/>
    <w:rsid w:val="B1BDDE7C"/>
    <w:rsid w:val="B3D7DCEA"/>
    <w:rsid w:val="B3F71503"/>
    <w:rsid w:val="B5BE9CD6"/>
    <w:rsid w:val="B7C7C9F4"/>
    <w:rsid w:val="B9FF8293"/>
    <w:rsid w:val="BA7FC5FE"/>
    <w:rsid w:val="BC9CC510"/>
    <w:rsid w:val="BCDB8B13"/>
    <w:rsid w:val="BCF4207F"/>
    <w:rsid w:val="BCFBF08C"/>
    <w:rsid w:val="BDEEB0AE"/>
    <w:rsid w:val="BDEF379F"/>
    <w:rsid w:val="BDFAB466"/>
    <w:rsid w:val="BDFF0E86"/>
    <w:rsid w:val="BE7BE85E"/>
    <w:rsid w:val="BEBF8102"/>
    <w:rsid w:val="BEFF5CD5"/>
    <w:rsid w:val="BF2E2201"/>
    <w:rsid w:val="BF3D01EE"/>
    <w:rsid w:val="BF8D2F9F"/>
    <w:rsid w:val="BF9B026A"/>
    <w:rsid w:val="BFB57F4D"/>
    <w:rsid w:val="BFBF19FB"/>
    <w:rsid w:val="BFDF3135"/>
    <w:rsid w:val="BFFB9370"/>
    <w:rsid w:val="BFFE3E62"/>
    <w:rsid w:val="C38AFAEF"/>
    <w:rsid w:val="C5FBB838"/>
    <w:rsid w:val="C9B962BD"/>
    <w:rsid w:val="CADF0189"/>
    <w:rsid w:val="CBBD2631"/>
    <w:rsid w:val="CFDC25EB"/>
    <w:rsid w:val="D33EB123"/>
    <w:rsid w:val="D37F4887"/>
    <w:rsid w:val="D3FB3A0B"/>
    <w:rsid w:val="D5DED2F1"/>
    <w:rsid w:val="D65DD33F"/>
    <w:rsid w:val="D6EF9C2B"/>
    <w:rsid w:val="D75F7194"/>
    <w:rsid w:val="D7E5BD25"/>
    <w:rsid w:val="D7ED571B"/>
    <w:rsid w:val="D7FF742F"/>
    <w:rsid w:val="DBC7EE02"/>
    <w:rsid w:val="DBFBD532"/>
    <w:rsid w:val="DCBDB72F"/>
    <w:rsid w:val="DD9F5F6F"/>
    <w:rsid w:val="DEB73F86"/>
    <w:rsid w:val="DF7A610A"/>
    <w:rsid w:val="DFBABF3F"/>
    <w:rsid w:val="DFBF5615"/>
    <w:rsid w:val="DFD8EEA6"/>
    <w:rsid w:val="DFDE2354"/>
    <w:rsid w:val="DFF9E52B"/>
    <w:rsid w:val="DFFF57FD"/>
    <w:rsid w:val="DFFF8DB9"/>
    <w:rsid w:val="E2BDDB92"/>
    <w:rsid w:val="E3F9DA41"/>
    <w:rsid w:val="E5FFBA9A"/>
    <w:rsid w:val="E7363F96"/>
    <w:rsid w:val="E73F46A0"/>
    <w:rsid w:val="E77F7E15"/>
    <w:rsid w:val="E7AF4729"/>
    <w:rsid w:val="E7F84482"/>
    <w:rsid w:val="E95B856D"/>
    <w:rsid w:val="E99DDBF1"/>
    <w:rsid w:val="EABF4729"/>
    <w:rsid w:val="EAFBE67B"/>
    <w:rsid w:val="EBBFFAD5"/>
    <w:rsid w:val="EBE7CB6B"/>
    <w:rsid w:val="EBFE54C5"/>
    <w:rsid w:val="EBFF06E6"/>
    <w:rsid w:val="EDCFB022"/>
    <w:rsid w:val="EEDFFD15"/>
    <w:rsid w:val="EF379F3B"/>
    <w:rsid w:val="EF6D5FAD"/>
    <w:rsid w:val="EFBF8315"/>
    <w:rsid w:val="EFDBAF26"/>
    <w:rsid w:val="EFEB462B"/>
    <w:rsid w:val="EFEBB4B5"/>
    <w:rsid w:val="EFEE2700"/>
    <w:rsid w:val="EFF61DF1"/>
    <w:rsid w:val="EFFD7A14"/>
    <w:rsid w:val="EFFF8D26"/>
    <w:rsid w:val="F1BF2848"/>
    <w:rsid w:val="F28685A8"/>
    <w:rsid w:val="F3B36DB1"/>
    <w:rsid w:val="F3CD6975"/>
    <w:rsid w:val="F3F9959E"/>
    <w:rsid w:val="F57F1982"/>
    <w:rsid w:val="F5F8C777"/>
    <w:rsid w:val="F75BDCD4"/>
    <w:rsid w:val="F76F791F"/>
    <w:rsid w:val="F77DC944"/>
    <w:rsid w:val="F7CB3373"/>
    <w:rsid w:val="F7D66CC7"/>
    <w:rsid w:val="F7E53255"/>
    <w:rsid w:val="F7E777BF"/>
    <w:rsid w:val="F7EF13B1"/>
    <w:rsid w:val="F7EF825A"/>
    <w:rsid w:val="F7F512B2"/>
    <w:rsid w:val="F7FF054F"/>
    <w:rsid w:val="F9E547B0"/>
    <w:rsid w:val="F9E8BA66"/>
    <w:rsid w:val="FAC73A59"/>
    <w:rsid w:val="FB7FB64D"/>
    <w:rsid w:val="FBDE1AED"/>
    <w:rsid w:val="FBE64D70"/>
    <w:rsid w:val="FBE9B65D"/>
    <w:rsid w:val="FBF96042"/>
    <w:rsid w:val="FBFD8793"/>
    <w:rsid w:val="FBFF5D16"/>
    <w:rsid w:val="FC7D0738"/>
    <w:rsid w:val="FCBD5BE4"/>
    <w:rsid w:val="FD3D8EBF"/>
    <w:rsid w:val="FDAD1DB9"/>
    <w:rsid w:val="FDBE2788"/>
    <w:rsid w:val="FDEF2F5A"/>
    <w:rsid w:val="FDF58DB5"/>
    <w:rsid w:val="FDF9A6E3"/>
    <w:rsid w:val="FDFB6BC2"/>
    <w:rsid w:val="FDFFA04E"/>
    <w:rsid w:val="FE17CF48"/>
    <w:rsid w:val="FE3B8DE9"/>
    <w:rsid w:val="FE4AC8EB"/>
    <w:rsid w:val="FE7DEC1B"/>
    <w:rsid w:val="FECBD6D6"/>
    <w:rsid w:val="FEED9AF6"/>
    <w:rsid w:val="FEEF38B5"/>
    <w:rsid w:val="FEF59E53"/>
    <w:rsid w:val="FEF5E15C"/>
    <w:rsid w:val="FF3F3AD2"/>
    <w:rsid w:val="FF6B5660"/>
    <w:rsid w:val="FF7D321B"/>
    <w:rsid w:val="FF7F8315"/>
    <w:rsid w:val="FF7FA24E"/>
    <w:rsid w:val="FF9D11F7"/>
    <w:rsid w:val="FFAE741E"/>
    <w:rsid w:val="FFAFD995"/>
    <w:rsid w:val="FFB6A043"/>
    <w:rsid w:val="FFCA10FF"/>
    <w:rsid w:val="FFCDE905"/>
    <w:rsid w:val="FFCF596C"/>
    <w:rsid w:val="FFD5D913"/>
    <w:rsid w:val="FFEF738F"/>
    <w:rsid w:val="FFF74E65"/>
    <w:rsid w:val="FFFA3EFA"/>
    <w:rsid w:val="FFFA6E2A"/>
    <w:rsid w:val="FFFB2E9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4">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8">
    <w:name w:val="footer"/>
    <w:basedOn w:val="1"/>
    <w:uiPriority w:val="0"/>
    <w:pPr>
      <w:tabs>
        <w:tab w:val="center" w:pos="4153"/>
        <w:tab w:val="right" w:pos="8306"/>
      </w:tabs>
      <w:snapToGrid w:val="0"/>
      <w:jc w:val="left"/>
    </w:pPr>
    <w:rPr>
      <w:sz w:val="18"/>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footnote text"/>
    <w:link w:val="18"/>
    <w:semiHidden/>
    <w:unhideWhenUsed/>
    <w:uiPriority w:val="99"/>
    <w:pPr>
      <w:spacing w:after="0" w:line="240" w:lineRule="auto"/>
    </w:pPr>
    <w:rPr>
      <w:rFonts w:asciiTheme="minorHAnsi" w:hAnsiTheme="minorHAnsi" w:eastAsiaTheme="minorEastAsia" w:cstheme="minorBidi"/>
      <w:sz w:val="20"/>
      <w:szCs w:val="20"/>
    </w:rPr>
  </w:style>
  <w:style w:type="paragraph" w:styleId="11">
    <w:name w:val="Title"/>
    <w:qFormat/>
    <w:uiPriority w:val="0"/>
    <w:pPr>
      <w:spacing w:before="480" w:after="480" w:line="288" w:lineRule="auto"/>
      <w:ind w:left="0"/>
    </w:pPr>
    <w:rPr>
      <w:rFonts w:ascii="Arial" w:hAnsi="Arial" w:eastAsia="等线" w:cs="Arial"/>
      <w:b/>
      <w:bCs/>
      <w:sz w:val="52"/>
      <w:szCs w:val="52"/>
    </w:rPr>
  </w:style>
  <w:style w:type="table" w:styleId="13">
    <w:name w:val="Table Grid"/>
    <w:basedOn w:val="12"/>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unhideWhenUsed/>
    <w:uiPriority w:val="99"/>
    <w:rPr>
      <w:color w:val="0563C1"/>
      <w:u w:val="single"/>
    </w:rPr>
  </w:style>
  <w:style w:type="character" w:styleId="16">
    <w:name w:val="footnote reference"/>
    <w:semiHidden/>
    <w:unhideWhenUsed/>
    <w:uiPriority w:val="99"/>
    <w:rPr>
      <w:vertAlign w:val="superscript"/>
    </w:rPr>
  </w:style>
  <w:style w:type="paragraph" w:styleId="17">
    <w:name w:val="List Paragraph"/>
    <w:qFormat/>
    <w:uiPriority w:val="0"/>
    <w:rPr>
      <w:rFonts w:asciiTheme="minorHAnsi" w:hAnsiTheme="minorHAnsi" w:eastAsiaTheme="minorEastAsia" w:cstheme="minorBidi"/>
      <w:sz w:val="21"/>
      <w:szCs w:val="22"/>
    </w:rPr>
  </w:style>
  <w:style w:type="character" w:customStyle="1" w:styleId="18">
    <w:name w:val="Footnote Text Char"/>
    <w:link w:val="10"/>
    <w:semiHidden/>
    <w:unhideWhenUsed/>
    <w:uiPriority w:val="99"/>
    <w:rPr>
      <w:sz w:val="20"/>
      <w:szCs w:val="20"/>
    </w:rPr>
  </w:style>
  <w:style w:type="paragraph" w:customStyle="1" w:styleId="19">
    <w:name w:val="_Style 13"/>
    <w:uiPriority w:val="0"/>
    <w:pPr>
      <w:spacing w:before="120" w:after="120" w:line="288" w:lineRule="auto"/>
      <w:ind w:left="0"/>
      <w:jc w:val="left"/>
    </w:pPr>
    <w:rPr>
      <w:rFonts w:ascii="Arial" w:hAnsi="Arial" w:eastAsia="等线" w:cs="Arial"/>
      <w:sz w:val="22"/>
      <w:szCs w:val="22"/>
    </w:rPr>
  </w:style>
  <w:style w:type="paragraph" w:customStyle="1" w:styleId="20">
    <w:name w:val="_Style 14"/>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3900</Words>
  <Characters>4157</Characters>
  <TotalTime>0</TotalTime>
  <ScaleCrop>false</ScaleCrop>
  <LinksUpToDate>false</LinksUpToDate>
  <CharactersWithSpaces>4354</CharactersWithSpaces>
  <Application>WPS Office_6.7.1.8828_F1E327BC-269C-435d-A152-05C5408002CA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Un-named</dc:creator>
  <cp:lastModifiedBy>符策竿</cp:lastModifiedBy>
  <dcterms:modified xsi:type="dcterms:W3CDTF">2025-11-18T17:22:37Z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47EDA7703E3970AC668F14690E189267_43</vt:lpwstr>
  </property>
</Properties>
</file>