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2DBD0F2">
      <w:pPr>
        <w:keepNext w:val="0"/>
        <w:keepLines w:val="0"/>
        <w:pageBreakBefore w:val="0"/>
        <w:widowControl w:val="0"/>
        <w:kinsoku/>
        <w:wordWrap/>
        <w:overflowPunct/>
        <w:topLinePunct w:val="0"/>
        <w:autoSpaceDE/>
        <w:autoSpaceDN/>
        <w:bidi w:val="0"/>
        <w:adjustRightInd/>
        <w:spacing w:line="800" w:lineRule="exact"/>
        <w:jc w:val="center"/>
        <w:textAlignment w:val="auto"/>
        <w:outlineLvl w:val="0"/>
        <w:rPr>
          <w:rFonts w:ascii="Times New Roman" w:hAnsi="Times New Roman" w:eastAsia="方正小标宋简体" w:cs="Times New Roman"/>
          <w:sz w:val="32"/>
          <w:szCs w:val="32"/>
        </w:rPr>
      </w:pPr>
      <w:r>
        <w:rPr>
          <w:rFonts w:hint="eastAsia" w:ascii="Times New Roman" w:hAnsi="Times New Roman" w:eastAsia="方正小标宋简体"/>
          <w:sz w:val="48"/>
          <w:szCs w:val="48"/>
          <w:lang w:val="en-US" w:eastAsia="zh-CN"/>
        </w:rPr>
        <w:t>2025年海南省高等</w:t>
      </w:r>
      <w:r>
        <w:rPr>
          <w:rFonts w:ascii="Times New Roman" w:hAnsi="Times New Roman" w:eastAsia="方正小标宋简体"/>
          <w:sz w:val="48"/>
          <w:szCs w:val="48"/>
        </w:rPr>
        <w:t>职业院校技能大赛</w:t>
      </w:r>
    </w:p>
    <w:p w14:paraId="67F5135F">
      <w:pPr>
        <w:keepNext w:val="0"/>
        <w:keepLines w:val="0"/>
        <w:pageBreakBefore w:val="0"/>
        <w:widowControl w:val="0"/>
        <w:kinsoku/>
        <w:wordWrap/>
        <w:overflowPunct/>
        <w:topLinePunct w:val="0"/>
        <w:autoSpaceDE/>
        <w:autoSpaceDN/>
        <w:bidi w:val="0"/>
        <w:adjustRightInd/>
        <w:snapToGrid w:val="0"/>
        <w:spacing w:line="800" w:lineRule="exact"/>
        <w:jc w:val="center"/>
        <w:textAlignment w:val="auto"/>
        <w:outlineLvl w:val="0"/>
        <w:rPr>
          <w:rFonts w:hint="eastAsia" w:ascii="Times New Roman" w:hAnsi="Times New Roman" w:eastAsia="方正小标宋简体" w:cs="Times New Roman"/>
          <w:sz w:val="32"/>
          <w:szCs w:val="32"/>
        </w:rPr>
      </w:pPr>
      <w:r>
        <w:rPr>
          <w:rFonts w:hint="eastAsia" w:ascii="Times New Roman" w:hAnsi="Times New Roman" w:eastAsia="方正小标宋简体" w:cs="Times New Roman"/>
          <w:sz w:val="48"/>
          <w:szCs w:val="48"/>
          <w:lang w:val="en-US" w:eastAsia="zh-CN"/>
        </w:rPr>
        <w:t>船舶航行安全管理技术赛项规程</w:t>
      </w:r>
    </w:p>
    <w:p w14:paraId="75851520">
      <w:pPr>
        <w:snapToGrid w:val="0"/>
        <w:spacing w:line="600" w:lineRule="exact"/>
        <w:jc w:val="center"/>
        <w:rPr>
          <w:rFonts w:hint="eastAsia" w:ascii="Times New Roman" w:hAnsi="Times New Roman" w:eastAsia="方正小标宋简体" w:cs="Times New Roman"/>
          <w:sz w:val="32"/>
          <w:szCs w:val="32"/>
        </w:rPr>
      </w:pPr>
    </w:p>
    <w:p w14:paraId="7BAD940E">
      <w:pPr>
        <w:snapToGrid w:val="0"/>
        <w:spacing w:line="600" w:lineRule="exact"/>
        <w:jc w:val="center"/>
        <w:rPr>
          <w:rFonts w:hint="eastAsia" w:ascii="Times New Roman" w:hAnsi="Times New Roman" w:eastAsia="方正小标宋简体" w:cs="Times New Roman"/>
          <w:sz w:val="32"/>
          <w:szCs w:val="32"/>
        </w:rPr>
      </w:pPr>
    </w:p>
    <w:p w14:paraId="7E39FD1E">
      <w:pPr>
        <w:snapToGrid w:val="0"/>
        <w:spacing w:line="600" w:lineRule="exact"/>
        <w:jc w:val="center"/>
        <w:rPr>
          <w:rFonts w:hint="eastAsia" w:ascii="Times New Roman" w:hAnsi="Times New Roman" w:eastAsia="方正小标宋简体" w:cs="Times New Roman"/>
          <w:sz w:val="32"/>
          <w:szCs w:val="32"/>
        </w:rPr>
      </w:pPr>
    </w:p>
    <w:p w14:paraId="40821FB5">
      <w:pPr>
        <w:snapToGrid w:val="0"/>
        <w:spacing w:line="600" w:lineRule="exact"/>
        <w:jc w:val="center"/>
        <w:rPr>
          <w:rFonts w:hint="eastAsia" w:ascii="Times New Roman" w:hAnsi="Times New Roman" w:eastAsia="方正小标宋简体" w:cs="Times New Roman"/>
          <w:sz w:val="32"/>
          <w:szCs w:val="32"/>
        </w:rPr>
      </w:pPr>
    </w:p>
    <w:p w14:paraId="2BCDB74D">
      <w:pPr>
        <w:snapToGrid w:val="0"/>
        <w:spacing w:line="600" w:lineRule="exact"/>
        <w:jc w:val="center"/>
        <w:rPr>
          <w:rFonts w:hint="eastAsia" w:ascii="Times New Roman" w:hAnsi="Times New Roman" w:eastAsia="方正小标宋简体" w:cs="Times New Roman"/>
          <w:sz w:val="32"/>
          <w:szCs w:val="32"/>
        </w:rPr>
      </w:pPr>
    </w:p>
    <w:p w14:paraId="2B9D8FEB">
      <w:pPr>
        <w:snapToGrid w:val="0"/>
        <w:spacing w:line="600" w:lineRule="exact"/>
        <w:jc w:val="center"/>
        <w:rPr>
          <w:rFonts w:hint="eastAsia" w:ascii="Times New Roman" w:hAnsi="Times New Roman" w:eastAsia="方正小标宋简体" w:cs="Times New Roman"/>
          <w:sz w:val="32"/>
          <w:szCs w:val="32"/>
        </w:rPr>
      </w:pPr>
    </w:p>
    <w:p w14:paraId="4E572099">
      <w:pPr>
        <w:snapToGrid w:val="0"/>
        <w:spacing w:line="600" w:lineRule="exact"/>
        <w:jc w:val="center"/>
        <w:rPr>
          <w:rFonts w:hint="eastAsia" w:ascii="Times New Roman" w:hAnsi="Times New Roman" w:eastAsia="方正小标宋简体" w:cs="Times New Roman"/>
          <w:sz w:val="32"/>
          <w:szCs w:val="32"/>
        </w:rPr>
      </w:pPr>
    </w:p>
    <w:p w14:paraId="62361530">
      <w:pPr>
        <w:snapToGrid w:val="0"/>
        <w:spacing w:line="600" w:lineRule="exact"/>
        <w:jc w:val="center"/>
        <w:rPr>
          <w:rFonts w:hint="eastAsia" w:ascii="Times New Roman" w:hAnsi="Times New Roman" w:eastAsia="方正小标宋简体" w:cs="Times New Roman"/>
          <w:sz w:val="32"/>
          <w:szCs w:val="32"/>
        </w:rPr>
      </w:pPr>
    </w:p>
    <w:p w14:paraId="4AA42E00">
      <w:pPr>
        <w:snapToGrid w:val="0"/>
        <w:spacing w:line="600" w:lineRule="exact"/>
        <w:jc w:val="center"/>
        <w:rPr>
          <w:rFonts w:hint="eastAsia" w:ascii="Times New Roman" w:hAnsi="Times New Roman" w:eastAsia="方正小标宋简体" w:cs="Times New Roman"/>
          <w:sz w:val="32"/>
          <w:szCs w:val="32"/>
        </w:rPr>
      </w:pPr>
    </w:p>
    <w:p w14:paraId="7D7E4CB8">
      <w:pPr>
        <w:snapToGrid w:val="0"/>
        <w:spacing w:line="600" w:lineRule="exact"/>
        <w:jc w:val="center"/>
        <w:rPr>
          <w:rFonts w:hint="eastAsia" w:ascii="Times New Roman" w:hAnsi="Times New Roman" w:eastAsia="方正小标宋简体" w:cs="Times New Roman"/>
          <w:sz w:val="32"/>
          <w:szCs w:val="32"/>
        </w:rPr>
      </w:pPr>
    </w:p>
    <w:p w14:paraId="653CDDA6">
      <w:pPr>
        <w:snapToGrid w:val="0"/>
        <w:spacing w:line="600" w:lineRule="exact"/>
        <w:jc w:val="center"/>
        <w:rPr>
          <w:rFonts w:hint="eastAsia" w:ascii="Times New Roman" w:hAnsi="Times New Roman" w:eastAsia="方正小标宋简体" w:cs="Times New Roman"/>
          <w:sz w:val="32"/>
          <w:szCs w:val="32"/>
        </w:rPr>
      </w:pPr>
    </w:p>
    <w:p w14:paraId="0256527F">
      <w:pPr>
        <w:snapToGrid w:val="0"/>
        <w:spacing w:line="600" w:lineRule="exact"/>
        <w:jc w:val="center"/>
        <w:rPr>
          <w:rFonts w:hint="eastAsia" w:ascii="Times New Roman" w:hAnsi="Times New Roman" w:eastAsia="方正小标宋简体" w:cs="Times New Roman"/>
          <w:sz w:val="32"/>
          <w:szCs w:val="32"/>
        </w:rPr>
      </w:pPr>
    </w:p>
    <w:p w14:paraId="708EDD94">
      <w:pPr>
        <w:snapToGrid w:val="0"/>
        <w:spacing w:line="600" w:lineRule="exact"/>
        <w:jc w:val="center"/>
        <w:rPr>
          <w:rFonts w:hint="eastAsia" w:ascii="Times New Roman" w:hAnsi="Times New Roman" w:eastAsia="方正小标宋简体" w:cs="Times New Roman"/>
          <w:sz w:val="32"/>
          <w:szCs w:val="32"/>
        </w:rPr>
      </w:pPr>
    </w:p>
    <w:p w14:paraId="660CD7D1">
      <w:pPr>
        <w:snapToGrid w:val="0"/>
        <w:spacing w:line="600" w:lineRule="exact"/>
        <w:jc w:val="center"/>
        <w:rPr>
          <w:rFonts w:hint="eastAsia" w:ascii="Times New Roman" w:hAnsi="Times New Roman" w:eastAsia="方正小标宋简体" w:cs="Times New Roman"/>
          <w:sz w:val="32"/>
          <w:szCs w:val="32"/>
        </w:rPr>
      </w:pPr>
    </w:p>
    <w:p w14:paraId="1D8A7F49">
      <w:pPr>
        <w:snapToGrid w:val="0"/>
        <w:spacing w:line="600" w:lineRule="exact"/>
        <w:jc w:val="center"/>
        <w:rPr>
          <w:rFonts w:hint="eastAsia" w:ascii="Times New Roman" w:hAnsi="Times New Roman" w:eastAsia="方正小标宋简体" w:cs="Times New Roman"/>
          <w:sz w:val="32"/>
          <w:szCs w:val="32"/>
        </w:rPr>
      </w:pPr>
    </w:p>
    <w:p w14:paraId="0695B546">
      <w:pPr>
        <w:snapToGrid w:val="0"/>
        <w:spacing w:line="600" w:lineRule="exact"/>
        <w:jc w:val="center"/>
        <w:rPr>
          <w:rFonts w:hint="eastAsia" w:ascii="Times New Roman" w:hAnsi="Times New Roman" w:eastAsia="方正小标宋简体" w:cs="Times New Roman"/>
          <w:sz w:val="32"/>
          <w:szCs w:val="32"/>
        </w:rPr>
      </w:pPr>
    </w:p>
    <w:p w14:paraId="7DF5A055">
      <w:pPr>
        <w:snapToGrid w:val="0"/>
        <w:spacing w:line="600" w:lineRule="exact"/>
        <w:jc w:val="center"/>
        <w:rPr>
          <w:rFonts w:hint="eastAsia" w:ascii="Times New Roman" w:hAnsi="Times New Roman" w:eastAsia="方正小标宋简体" w:cs="Times New Roman"/>
          <w:sz w:val="32"/>
          <w:szCs w:val="32"/>
        </w:rPr>
      </w:pPr>
    </w:p>
    <w:p w14:paraId="43839066">
      <w:pPr>
        <w:snapToGrid w:val="0"/>
        <w:spacing w:line="600" w:lineRule="exact"/>
        <w:jc w:val="center"/>
        <w:rPr>
          <w:rFonts w:hint="eastAsia" w:ascii="Times New Roman" w:hAnsi="Times New Roman" w:eastAsia="方正小标宋简体" w:cs="Times New Roman"/>
          <w:sz w:val="32"/>
          <w:szCs w:val="32"/>
        </w:rPr>
      </w:pPr>
    </w:p>
    <w:p w14:paraId="577F7D72">
      <w:pPr>
        <w:keepNext w:val="0"/>
        <w:keepLines w:val="0"/>
        <w:pageBreakBefore w:val="0"/>
        <w:widowControl w:val="0"/>
        <w:kinsoku/>
        <w:wordWrap/>
        <w:overflowPunct/>
        <w:topLinePunct w:val="0"/>
        <w:autoSpaceDE/>
        <w:autoSpaceDN/>
        <w:bidi w:val="0"/>
        <w:adjustRightInd w:val="0"/>
        <w:snapToGrid w:val="0"/>
        <w:spacing w:before="157" w:beforeLines="50" w:after="157" w:afterLines="50" w:line="240" w:lineRule="auto"/>
        <w:textAlignment w:val="auto"/>
        <w:outlineLvl w:val="0"/>
        <w:rPr>
          <w:rFonts w:hint="eastAsia" w:ascii="Times New Roman" w:hAnsi="Times New Roman" w:eastAsia="黑体" w:cs="Times New Roman"/>
          <w:sz w:val="24"/>
          <w:szCs w:val="24"/>
        </w:rPr>
      </w:pPr>
      <w:r>
        <w:rPr>
          <w:rFonts w:hint="eastAsia" w:ascii="Times New Roman" w:hAnsi="Times New Roman" w:eastAsia="黑体" w:cs="Times New Roman"/>
          <w:sz w:val="24"/>
          <w:szCs w:val="24"/>
        </w:rPr>
        <w:t>一、赛项名称</w:t>
      </w:r>
    </w:p>
    <w:p w14:paraId="44A39C8B">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rPr>
        <w:t>赛项名称：</w:t>
      </w:r>
      <w:r>
        <w:rPr>
          <w:rFonts w:hint="eastAsia" w:ascii="仿宋_GB2312" w:hAnsi="仿宋_GB2312" w:eastAsia="仿宋_GB2312" w:cs="仿宋_GB2312"/>
          <w:sz w:val="24"/>
          <w:szCs w:val="24"/>
          <w:lang w:val="en-US" w:eastAsia="zh-CN"/>
        </w:rPr>
        <w:t>船舶安全航行管理技术</w:t>
      </w:r>
    </w:p>
    <w:p w14:paraId="5B318818">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英文名称：Safety Management Technology of Ship Navigation</w:t>
      </w:r>
    </w:p>
    <w:p w14:paraId="637E84D6">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赛项组别：高职组</w:t>
      </w:r>
    </w:p>
    <w:p w14:paraId="3123EDF0">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default"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赛道组别：航海技术</w:t>
      </w:r>
    </w:p>
    <w:p w14:paraId="17742EE6">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赛项归属：</w:t>
      </w:r>
      <w:r>
        <w:rPr>
          <w:rFonts w:hint="eastAsia" w:ascii="仿宋_GB2312" w:hAnsi="仿宋_GB2312" w:eastAsia="仿宋_GB2312" w:cs="仿宋_GB2312"/>
          <w:sz w:val="24"/>
          <w:szCs w:val="24"/>
          <w:lang w:val="en-US" w:eastAsia="zh-CN"/>
        </w:rPr>
        <w:t>水上运输</w:t>
      </w:r>
      <w:r>
        <w:rPr>
          <w:rFonts w:hint="eastAsia" w:ascii="仿宋_GB2312" w:hAnsi="仿宋_GB2312" w:eastAsia="仿宋_GB2312" w:cs="仿宋_GB2312"/>
          <w:sz w:val="24"/>
          <w:szCs w:val="24"/>
        </w:rPr>
        <w:t>类</w:t>
      </w:r>
    </w:p>
    <w:p w14:paraId="325AC61F">
      <w:pPr>
        <w:keepNext w:val="0"/>
        <w:keepLines w:val="0"/>
        <w:pageBreakBefore w:val="0"/>
        <w:widowControl w:val="0"/>
        <w:kinsoku/>
        <w:wordWrap/>
        <w:overflowPunct/>
        <w:topLinePunct w:val="0"/>
        <w:autoSpaceDE/>
        <w:autoSpaceDN/>
        <w:bidi w:val="0"/>
        <w:adjustRightInd w:val="0"/>
        <w:snapToGrid w:val="0"/>
        <w:spacing w:before="157" w:beforeLines="50" w:after="157" w:afterLines="50" w:line="240" w:lineRule="auto"/>
        <w:textAlignment w:val="auto"/>
        <w:outlineLvl w:val="0"/>
        <w:rPr>
          <w:rFonts w:hint="eastAsia" w:ascii="Times New Roman" w:hAnsi="Times New Roman" w:eastAsia="黑体" w:cs="Times New Roman"/>
          <w:sz w:val="24"/>
          <w:szCs w:val="24"/>
        </w:rPr>
      </w:pPr>
      <w:r>
        <w:rPr>
          <w:rFonts w:hint="eastAsia" w:ascii="Times New Roman" w:hAnsi="Times New Roman" w:eastAsia="黑体" w:cs="Times New Roman"/>
          <w:sz w:val="24"/>
          <w:szCs w:val="24"/>
        </w:rPr>
        <w:t>二、竞赛目的</w:t>
      </w:r>
    </w:p>
    <w:p w14:paraId="7204EB58">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通过竞赛，检验、展示</w:t>
      </w:r>
      <w:r>
        <w:rPr>
          <w:rFonts w:hint="eastAsia" w:ascii="仿宋_GB2312" w:hAnsi="仿宋_GB2312" w:eastAsia="仿宋_GB2312" w:cs="仿宋_GB2312"/>
          <w:sz w:val="24"/>
          <w:szCs w:val="24"/>
          <w:lang w:val="en-US" w:eastAsia="zh-CN"/>
        </w:rPr>
        <w:t>海南省</w:t>
      </w:r>
      <w:r>
        <w:rPr>
          <w:rFonts w:hint="eastAsia" w:ascii="仿宋_GB2312" w:hAnsi="仿宋_GB2312" w:eastAsia="仿宋_GB2312" w:cs="仿宋_GB2312"/>
          <w:sz w:val="24"/>
          <w:szCs w:val="24"/>
        </w:rPr>
        <w:t>高职院校水上运输类相关专业教学改革成果以及学生岗位通用技能与职业能力，引领和促进院校相关专业教学改革，充分发挥大赛对职业教育“树旗、导航、定标、催化”作用，激发和调动行业、企业关注和参与职业教育的主动性和积极性，提升职业教育的吸引力和人才培养水平。</w:t>
      </w:r>
    </w:p>
    <w:p w14:paraId="42B6BA3A">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本项竞赛，重点检验参赛选手货物配载方案编制、航海图书管理、航行路线绘制</w:t>
      </w:r>
      <w:r>
        <w:rPr>
          <w:rFonts w:hint="eastAsia" w:ascii="仿宋_GB2312" w:hAnsi="仿宋_GB2312" w:eastAsia="仿宋_GB2312" w:cs="仿宋_GB2312"/>
          <w:sz w:val="24"/>
          <w:szCs w:val="24"/>
          <w:lang w:val="en-US" w:eastAsia="zh-CN"/>
        </w:rPr>
        <w:t>等</w:t>
      </w:r>
      <w:r>
        <w:rPr>
          <w:rFonts w:hint="eastAsia" w:ascii="仿宋_GB2312" w:hAnsi="仿宋_GB2312" w:eastAsia="仿宋_GB2312" w:cs="仿宋_GB2312"/>
          <w:sz w:val="24"/>
          <w:szCs w:val="24"/>
        </w:rPr>
        <w:t>职业技能、团队协作能力和航海职业素养。同时，考核参赛选手统筹交通状况、水文气象等综合因素的分析能力和工作效率，提升参赛选手安全意识、环保意识和规则意识等职业素养。引领</w:t>
      </w:r>
      <w:r>
        <w:rPr>
          <w:rFonts w:hint="eastAsia" w:ascii="仿宋_GB2312" w:hAnsi="仿宋_GB2312" w:eastAsia="仿宋_GB2312" w:cs="仿宋_GB2312"/>
          <w:sz w:val="24"/>
          <w:szCs w:val="24"/>
          <w:lang w:val="en-US" w:eastAsia="zh-CN"/>
        </w:rPr>
        <w:t>海南省</w:t>
      </w:r>
      <w:r>
        <w:rPr>
          <w:rFonts w:hint="eastAsia" w:ascii="仿宋_GB2312" w:hAnsi="仿宋_GB2312" w:eastAsia="仿宋_GB2312" w:cs="仿宋_GB2312"/>
          <w:sz w:val="24"/>
          <w:szCs w:val="24"/>
        </w:rPr>
        <w:t>高职院校水上运输类专业建设、实训基地建设，提升师资队伍能力，优化课程教学改革，促进岗课赛证、工学结合人才培养模式的深入推广，提升水上运输类专业学生实践动手能力，促进船舶安全生产管理精通、专业实践技能娴熟、善于创新的高素质现代航运技术技能型人才的培养。</w:t>
      </w:r>
    </w:p>
    <w:p w14:paraId="5FB3372A">
      <w:pPr>
        <w:keepNext w:val="0"/>
        <w:keepLines w:val="0"/>
        <w:pageBreakBefore w:val="0"/>
        <w:widowControl w:val="0"/>
        <w:kinsoku/>
        <w:wordWrap/>
        <w:overflowPunct/>
        <w:topLinePunct w:val="0"/>
        <w:autoSpaceDE/>
        <w:autoSpaceDN/>
        <w:bidi w:val="0"/>
        <w:adjustRightInd w:val="0"/>
        <w:snapToGrid w:val="0"/>
        <w:spacing w:before="157" w:beforeLines="50" w:after="157" w:afterLines="50" w:line="240" w:lineRule="auto"/>
        <w:textAlignment w:val="auto"/>
        <w:outlineLvl w:val="0"/>
        <w:rPr>
          <w:rFonts w:hint="eastAsia" w:ascii="Times New Roman" w:hAnsi="Times New Roman" w:eastAsia="黑体" w:cs="Times New Roman"/>
          <w:sz w:val="24"/>
          <w:szCs w:val="24"/>
        </w:rPr>
      </w:pPr>
      <w:r>
        <w:rPr>
          <w:rFonts w:hint="eastAsia" w:ascii="Times New Roman" w:hAnsi="Times New Roman" w:eastAsia="黑体" w:cs="Times New Roman"/>
          <w:sz w:val="24"/>
          <w:szCs w:val="24"/>
        </w:rPr>
        <w:t>三、竞赛内容</w:t>
      </w:r>
    </w:p>
    <w:p w14:paraId="629561C2">
      <w:pPr>
        <w:keepNext w:val="0"/>
        <w:keepLines w:val="0"/>
        <w:pageBreakBefore w:val="0"/>
        <w:widowControl w:val="0"/>
        <w:kinsoku/>
        <w:wordWrap/>
        <w:overflowPunct/>
        <w:topLinePunct w:val="0"/>
        <w:autoSpaceDE/>
        <w:autoSpaceDN/>
        <w:bidi w:val="0"/>
        <w:adjustRightInd w:val="0"/>
        <w:snapToGrid w:val="0"/>
        <w:spacing w:before="157" w:beforeLines="50" w:after="157" w:afterLines="50" w:line="240" w:lineRule="auto"/>
        <w:ind w:firstLine="482" w:firstLineChars="200"/>
        <w:textAlignment w:val="auto"/>
        <w:outlineLvl w:val="1"/>
        <w:rPr>
          <w:rFonts w:hint="eastAsia" w:ascii="仿宋_GB2312" w:hAnsi="仿宋_GB2312" w:eastAsia="仿宋_GB2312" w:cs="仿宋_GB2312"/>
          <w:b/>
          <w:bCs/>
          <w:color w:val="auto"/>
          <w:sz w:val="24"/>
          <w:szCs w:val="28"/>
          <w:highlight w:val="none"/>
        </w:rPr>
      </w:pPr>
      <w:r>
        <w:rPr>
          <w:rFonts w:hint="eastAsia" w:ascii="仿宋_GB2312" w:hAnsi="仿宋_GB2312" w:eastAsia="仿宋_GB2312" w:cs="仿宋_GB2312"/>
          <w:b/>
          <w:bCs/>
          <w:color w:val="auto"/>
          <w:sz w:val="24"/>
          <w:szCs w:val="28"/>
          <w:highlight w:val="none"/>
        </w:rPr>
        <w:t>（一）配载计划编制</w:t>
      </w:r>
    </w:p>
    <w:p w14:paraId="5372AD25">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1.货物资料收集与分析：能根据船舶资料，判断船舶容重性能和静水力性能，能根据货物资料，判断货物特性，并核算船舶载货能力。</w:t>
      </w:r>
    </w:p>
    <w:p w14:paraId="05E23757">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2.拟定配载方案：按舱容比分配各舱货物重量，正确安排各票货物的舱位和货位，保证货物运输质量。</w:t>
      </w:r>
    </w:p>
    <w:p w14:paraId="38C549D5">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3.船舶稳性核算：能计算船舶初稳性的衡量指标GM，并判断是否符合稳性规则对初稳性的要求；能正确判断自由液面、载荷移动、重量增减、货物悬挂对船舶初稳性的影响；能保证整个航次中稳性状况始终处在安全限度之内。</w:t>
      </w:r>
    </w:p>
    <w:p w14:paraId="2ABD6DD7">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4.船舶强度核算：能正确判断货物操作对船舶总纵强度的影响；能正确判断货物操作对船舶局部强度的影响。</w:t>
      </w:r>
    </w:p>
    <w:p w14:paraId="5C4304B0">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default"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5.船舶吃水差核算：能正确计算吃水差，能通过调整货物或加压载水的方法，使船舶的纵向浮态满足一定的要求。</w:t>
      </w:r>
    </w:p>
    <w:p w14:paraId="5D96FB9F">
      <w:pPr>
        <w:keepNext w:val="0"/>
        <w:keepLines w:val="0"/>
        <w:pageBreakBefore w:val="0"/>
        <w:widowControl w:val="0"/>
        <w:kinsoku/>
        <w:wordWrap/>
        <w:overflowPunct/>
        <w:topLinePunct w:val="0"/>
        <w:autoSpaceDE/>
        <w:autoSpaceDN/>
        <w:bidi w:val="0"/>
        <w:adjustRightInd w:val="0"/>
        <w:snapToGrid w:val="0"/>
        <w:spacing w:before="157" w:beforeLines="50" w:after="157" w:afterLines="50" w:line="240" w:lineRule="auto"/>
        <w:ind w:firstLine="482" w:firstLineChars="200"/>
        <w:textAlignment w:val="auto"/>
        <w:outlineLvl w:val="1"/>
        <w:rPr>
          <w:rFonts w:hint="eastAsia" w:ascii="仿宋_GB2312" w:hAnsi="仿宋_GB2312" w:eastAsia="仿宋_GB2312" w:cs="仿宋_GB2312"/>
          <w:b/>
          <w:bCs/>
          <w:color w:val="auto"/>
          <w:sz w:val="24"/>
          <w:szCs w:val="28"/>
          <w:highlight w:val="none"/>
        </w:rPr>
      </w:pPr>
      <w:r>
        <w:rPr>
          <w:rFonts w:hint="eastAsia" w:ascii="仿宋_GB2312" w:hAnsi="仿宋_GB2312" w:eastAsia="仿宋_GB2312" w:cs="仿宋_GB2312"/>
          <w:b/>
          <w:bCs/>
          <w:color w:val="auto"/>
          <w:sz w:val="24"/>
          <w:szCs w:val="28"/>
          <w:highlight w:val="none"/>
        </w:rPr>
        <w:t>（二）航行计划编制</w:t>
      </w:r>
    </w:p>
    <w:p w14:paraId="4DEB449A">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1.航线规划：根据航次任务、船舶条件、水文气象因素合理规划航线；能抽选航海图书资料和海图，并检验其有效性。</w:t>
      </w:r>
    </w:p>
    <w:p w14:paraId="292AB76F">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2.航行信息获取：能从航海图书资料及海图中准确获取、分析本航次所需要的航行信息。</w:t>
      </w:r>
    </w:p>
    <w:p w14:paraId="3A28414F">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3.航线绘制：能综合运用水文气象、航路特征、船舶条件等因素合理绘制安全、经济的计划航线。</w:t>
      </w:r>
    </w:p>
    <w:p w14:paraId="3BEC1A57">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4.编制航行用表：根据ISM规则要求，合理进行航次风险识别与控制，并编制航行用表。</w:t>
      </w:r>
    </w:p>
    <w:p w14:paraId="7CE5FF5E">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赛项各模块设置、竞赛内容、比赛时间和分值占比如下：</w:t>
      </w:r>
    </w:p>
    <w:tbl>
      <w:tblPr>
        <w:tblStyle w:val="5"/>
        <w:tblW w:w="4834"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264"/>
        <w:gridCol w:w="1202"/>
        <w:gridCol w:w="4297"/>
        <w:gridCol w:w="1247"/>
        <w:gridCol w:w="970"/>
      </w:tblGrid>
      <w:tr w14:paraId="10E517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94" w:hRule="atLeast"/>
          <w:jc w:val="center"/>
        </w:trPr>
        <w:tc>
          <w:tcPr>
            <w:tcW w:w="1373" w:type="pct"/>
            <w:gridSpan w:val="2"/>
            <w:noWrap w:val="0"/>
            <w:vAlign w:val="center"/>
          </w:tcPr>
          <w:p w14:paraId="21D34055">
            <w:pPr>
              <w:adjustRightInd w:val="0"/>
              <w:snapToGrid w:val="0"/>
              <w:jc w:val="center"/>
              <w:rPr>
                <w:rFonts w:hint="eastAsia" w:ascii="仿宋_GB2312" w:hAnsi="仿宋_GB2312" w:eastAsia="仿宋_GB2312" w:cs="仿宋_GB2312"/>
                <w:b/>
                <w:sz w:val="24"/>
                <w:szCs w:val="28"/>
              </w:rPr>
            </w:pPr>
            <w:r>
              <w:rPr>
                <w:rFonts w:hint="eastAsia" w:ascii="仿宋_GB2312" w:hAnsi="仿宋_GB2312" w:eastAsia="仿宋_GB2312" w:cs="仿宋_GB2312"/>
                <w:b/>
                <w:sz w:val="24"/>
                <w:szCs w:val="28"/>
              </w:rPr>
              <w:t>模块</w:t>
            </w:r>
          </w:p>
        </w:tc>
        <w:tc>
          <w:tcPr>
            <w:tcW w:w="2392" w:type="pct"/>
            <w:noWrap w:val="0"/>
            <w:vAlign w:val="center"/>
          </w:tcPr>
          <w:p w14:paraId="2117B1C4">
            <w:pPr>
              <w:adjustRightInd w:val="0"/>
              <w:snapToGrid w:val="0"/>
              <w:jc w:val="center"/>
              <w:rPr>
                <w:rFonts w:hint="eastAsia" w:ascii="仿宋_GB2312" w:hAnsi="仿宋_GB2312" w:eastAsia="仿宋_GB2312" w:cs="仿宋_GB2312"/>
                <w:b/>
                <w:sz w:val="24"/>
                <w:szCs w:val="28"/>
              </w:rPr>
            </w:pPr>
            <w:r>
              <w:rPr>
                <w:rFonts w:hint="eastAsia" w:ascii="仿宋_GB2312" w:hAnsi="仿宋_GB2312" w:eastAsia="仿宋_GB2312" w:cs="仿宋_GB2312"/>
                <w:b/>
                <w:sz w:val="24"/>
                <w:szCs w:val="28"/>
              </w:rPr>
              <w:t>主要内容</w:t>
            </w:r>
          </w:p>
        </w:tc>
        <w:tc>
          <w:tcPr>
            <w:tcW w:w="694" w:type="pct"/>
            <w:noWrap w:val="0"/>
            <w:vAlign w:val="center"/>
          </w:tcPr>
          <w:p w14:paraId="0BB7BD2A">
            <w:pPr>
              <w:adjustRightInd w:val="0"/>
              <w:snapToGrid w:val="0"/>
              <w:jc w:val="center"/>
              <w:rPr>
                <w:rFonts w:hint="eastAsia" w:ascii="仿宋_GB2312" w:hAnsi="仿宋_GB2312" w:eastAsia="仿宋_GB2312" w:cs="仿宋_GB2312"/>
                <w:b/>
                <w:sz w:val="24"/>
                <w:szCs w:val="28"/>
              </w:rPr>
            </w:pPr>
            <w:r>
              <w:rPr>
                <w:rFonts w:hint="eastAsia" w:ascii="仿宋_GB2312" w:hAnsi="仿宋_GB2312" w:eastAsia="仿宋_GB2312" w:cs="仿宋_GB2312"/>
                <w:b/>
                <w:sz w:val="24"/>
                <w:szCs w:val="28"/>
              </w:rPr>
              <w:t>比赛时长</w:t>
            </w:r>
          </w:p>
        </w:tc>
        <w:tc>
          <w:tcPr>
            <w:tcW w:w="540" w:type="pct"/>
            <w:noWrap w:val="0"/>
            <w:vAlign w:val="center"/>
          </w:tcPr>
          <w:p w14:paraId="06B3CD5B">
            <w:pPr>
              <w:adjustRightInd w:val="0"/>
              <w:snapToGrid w:val="0"/>
              <w:jc w:val="center"/>
              <w:rPr>
                <w:rFonts w:hint="eastAsia" w:ascii="仿宋_GB2312" w:hAnsi="仿宋_GB2312" w:eastAsia="仿宋_GB2312" w:cs="仿宋_GB2312"/>
                <w:b/>
                <w:sz w:val="24"/>
                <w:szCs w:val="28"/>
              </w:rPr>
            </w:pPr>
            <w:r>
              <w:rPr>
                <w:rFonts w:hint="eastAsia" w:ascii="仿宋_GB2312" w:hAnsi="仿宋_GB2312" w:eastAsia="仿宋_GB2312" w:cs="仿宋_GB2312"/>
                <w:b/>
                <w:sz w:val="24"/>
                <w:szCs w:val="28"/>
              </w:rPr>
              <w:t>分值</w:t>
            </w:r>
          </w:p>
        </w:tc>
      </w:tr>
      <w:tr w14:paraId="480DB4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701" w:hRule="atLeast"/>
          <w:jc w:val="center"/>
        </w:trPr>
        <w:tc>
          <w:tcPr>
            <w:tcW w:w="704" w:type="pct"/>
            <w:noWrap w:val="0"/>
            <w:vAlign w:val="center"/>
          </w:tcPr>
          <w:p w14:paraId="0B1E140B">
            <w:pPr>
              <w:adjustRightInd w:val="0"/>
              <w:snapToGrid w:val="0"/>
              <w:spacing w:line="360" w:lineRule="auto"/>
              <w:jc w:val="center"/>
              <w:rPr>
                <w:rFonts w:hint="eastAsia" w:ascii="仿宋_GB2312" w:hAnsi="仿宋_GB2312" w:eastAsia="仿宋_GB2312" w:cs="仿宋_GB2312"/>
                <w:b/>
                <w:sz w:val="24"/>
              </w:rPr>
            </w:pPr>
            <w:r>
              <w:rPr>
                <w:rFonts w:hint="eastAsia" w:ascii="仿宋_GB2312" w:hAnsi="仿宋_GB2312" w:eastAsia="仿宋_GB2312" w:cs="仿宋_GB2312"/>
                <w:b/>
                <w:sz w:val="24"/>
              </w:rPr>
              <w:t>模块一</w:t>
            </w:r>
          </w:p>
        </w:tc>
        <w:tc>
          <w:tcPr>
            <w:tcW w:w="669" w:type="pct"/>
            <w:noWrap w:val="0"/>
            <w:vAlign w:val="center"/>
          </w:tcPr>
          <w:p w14:paraId="3FF14482">
            <w:pPr>
              <w:spacing w:line="0" w:lineRule="atLeast"/>
              <w:jc w:val="center"/>
              <w:rPr>
                <w:rFonts w:hint="eastAsia" w:ascii="仿宋_GB2312" w:hAnsi="仿宋_GB2312" w:eastAsia="仿宋_GB2312" w:cs="仿宋_GB2312"/>
                <w:sz w:val="24"/>
              </w:rPr>
            </w:pPr>
            <w:r>
              <w:rPr>
                <w:rFonts w:hint="eastAsia" w:ascii="仿宋_GB2312" w:hAnsi="仿宋_GB2312" w:eastAsia="仿宋_GB2312" w:cs="仿宋_GB2312"/>
                <w:sz w:val="24"/>
              </w:rPr>
              <w:t>商船货物配载</w:t>
            </w:r>
          </w:p>
        </w:tc>
        <w:tc>
          <w:tcPr>
            <w:tcW w:w="2392" w:type="pct"/>
            <w:noWrap w:val="0"/>
            <w:vAlign w:val="center"/>
          </w:tcPr>
          <w:p w14:paraId="59F893DC">
            <w:pPr>
              <w:spacing w:line="0" w:lineRule="atLeast"/>
              <w:rPr>
                <w:rFonts w:hint="eastAsia" w:ascii="仿宋_GB2312" w:hAnsi="仿宋_GB2312" w:eastAsia="仿宋_GB2312" w:cs="仿宋_GB2312"/>
                <w:sz w:val="24"/>
              </w:rPr>
            </w:pPr>
            <w:r>
              <w:rPr>
                <w:rFonts w:hint="eastAsia" w:ascii="仿宋_GB2312" w:hAnsi="仿宋_GB2312" w:eastAsia="仿宋_GB2312" w:cs="仿宋_GB2312"/>
                <w:sz w:val="24"/>
              </w:rPr>
              <w:t>核算船舶载货能力；按舱容比分配各舱货物重量；拟定初配方案；全面检查初配方案；核算船舶稳性、吃水差和纵强度；绘制正式配载图等</w:t>
            </w:r>
          </w:p>
        </w:tc>
        <w:tc>
          <w:tcPr>
            <w:tcW w:w="694" w:type="pct"/>
            <w:noWrap w:val="0"/>
            <w:vAlign w:val="center"/>
          </w:tcPr>
          <w:p w14:paraId="61A1C19D">
            <w:pPr>
              <w:spacing w:line="0" w:lineRule="atLeast"/>
              <w:jc w:val="center"/>
              <w:rPr>
                <w:rFonts w:hint="eastAsia" w:ascii="仿宋_GB2312" w:hAnsi="仿宋_GB2312" w:eastAsia="仿宋_GB2312" w:cs="仿宋_GB2312"/>
                <w:sz w:val="24"/>
              </w:rPr>
            </w:pPr>
            <w:r>
              <w:rPr>
                <w:rFonts w:hint="eastAsia" w:ascii="仿宋_GB2312" w:hAnsi="仿宋_GB2312" w:eastAsia="仿宋_GB2312" w:cs="仿宋_GB2312"/>
                <w:sz w:val="24"/>
              </w:rPr>
              <w:t>4h</w:t>
            </w:r>
          </w:p>
        </w:tc>
        <w:tc>
          <w:tcPr>
            <w:tcW w:w="540" w:type="pct"/>
            <w:noWrap w:val="0"/>
            <w:vAlign w:val="center"/>
          </w:tcPr>
          <w:p w14:paraId="1FFD5092">
            <w:pPr>
              <w:spacing w:line="0" w:lineRule="atLeast"/>
              <w:jc w:val="center"/>
              <w:rPr>
                <w:rFonts w:hint="eastAsia" w:ascii="仿宋_GB2312" w:hAnsi="仿宋_GB2312" w:eastAsia="仿宋_GB2312" w:cs="仿宋_GB2312"/>
                <w:sz w:val="24"/>
              </w:rPr>
            </w:pPr>
            <w:r>
              <w:rPr>
                <w:rFonts w:hint="eastAsia" w:ascii="仿宋_GB2312" w:hAnsi="仿宋_GB2312" w:eastAsia="仿宋_GB2312" w:cs="仿宋_GB2312"/>
                <w:sz w:val="24"/>
                <w:lang w:val="en-US" w:eastAsia="zh-CN"/>
              </w:rPr>
              <w:t>5</w:t>
            </w:r>
            <w:r>
              <w:rPr>
                <w:rFonts w:hint="eastAsia" w:ascii="仿宋_GB2312" w:hAnsi="仿宋_GB2312" w:eastAsia="仿宋_GB2312" w:cs="仿宋_GB2312"/>
                <w:sz w:val="24"/>
              </w:rPr>
              <w:t>0</w:t>
            </w:r>
          </w:p>
        </w:tc>
      </w:tr>
      <w:tr w14:paraId="1C2993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77" w:hRule="atLeast"/>
          <w:jc w:val="center"/>
        </w:trPr>
        <w:tc>
          <w:tcPr>
            <w:tcW w:w="704" w:type="pct"/>
            <w:noWrap w:val="0"/>
            <w:vAlign w:val="center"/>
          </w:tcPr>
          <w:p w14:paraId="6C507526">
            <w:pPr>
              <w:adjustRightInd w:val="0"/>
              <w:snapToGrid w:val="0"/>
              <w:spacing w:line="360" w:lineRule="auto"/>
              <w:jc w:val="center"/>
              <w:rPr>
                <w:rFonts w:hint="eastAsia" w:ascii="仿宋_GB2312" w:hAnsi="仿宋_GB2312" w:eastAsia="仿宋_GB2312" w:cs="仿宋_GB2312"/>
                <w:b/>
                <w:sz w:val="24"/>
              </w:rPr>
            </w:pPr>
            <w:r>
              <w:rPr>
                <w:rFonts w:hint="eastAsia" w:ascii="仿宋_GB2312" w:hAnsi="仿宋_GB2312" w:eastAsia="仿宋_GB2312" w:cs="仿宋_GB2312"/>
                <w:b/>
                <w:sz w:val="24"/>
              </w:rPr>
              <w:t>模块二</w:t>
            </w:r>
          </w:p>
        </w:tc>
        <w:tc>
          <w:tcPr>
            <w:tcW w:w="669" w:type="pct"/>
            <w:noWrap w:val="0"/>
            <w:vAlign w:val="center"/>
          </w:tcPr>
          <w:p w14:paraId="7B52F562">
            <w:pPr>
              <w:spacing w:line="0" w:lineRule="atLeast"/>
              <w:jc w:val="center"/>
              <w:rPr>
                <w:rFonts w:hint="eastAsia" w:ascii="仿宋_GB2312" w:hAnsi="仿宋_GB2312" w:eastAsia="仿宋_GB2312" w:cs="仿宋_GB2312"/>
                <w:sz w:val="24"/>
              </w:rPr>
            </w:pPr>
            <w:r>
              <w:rPr>
                <w:rFonts w:hint="eastAsia" w:ascii="仿宋_GB2312" w:hAnsi="仿宋_GB2312" w:eastAsia="仿宋_GB2312" w:cs="仿宋_GB2312"/>
                <w:sz w:val="24"/>
              </w:rPr>
              <w:t>航行路线设计</w:t>
            </w:r>
          </w:p>
        </w:tc>
        <w:tc>
          <w:tcPr>
            <w:tcW w:w="2392" w:type="pct"/>
            <w:noWrap w:val="0"/>
            <w:vAlign w:val="center"/>
          </w:tcPr>
          <w:p w14:paraId="0C0F8F9E">
            <w:pPr>
              <w:spacing w:line="0" w:lineRule="atLeast"/>
              <w:rPr>
                <w:rFonts w:hint="eastAsia" w:ascii="仿宋_GB2312" w:hAnsi="仿宋_GB2312" w:eastAsia="仿宋_GB2312" w:cs="仿宋_GB2312"/>
                <w:sz w:val="24"/>
              </w:rPr>
            </w:pPr>
            <w:r>
              <w:rPr>
                <w:rFonts w:hint="eastAsia" w:ascii="仿宋_GB2312" w:hAnsi="仿宋_GB2312" w:eastAsia="仿宋_GB2312" w:cs="仿宋_GB2312"/>
                <w:sz w:val="24"/>
              </w:rPr>
              <w:t>航行信息获取；航线规划；航线绘制；编制航行用表等</w:t>
            </w:r>
          </w:p>
        </w:tc>
        <w:tc>
          <w:tcPr>
            <w:tcW w:w="694" w:type="pct"/>
            <w:noWrap w:val="0"/>
            <w:vAlign w:val="center"/>
          </w:tcPr>
          <w:p w14:paraId="69A5FDA0">
            <w:pPr>
              <w:spacing w:line="0" w:lineRule="atLeast"/>
              <w:jc w:val="center"/>
              <w:rPr>
                <w:rFonts w:hint="eastAsia" w:ascii="仿宋_GB2312" w:hAnsi="仿宋_GB2312" w:eastAsia="仿宋_GB2312" w:cs="仿宋_GB2312"/>
                <w:sz w:val="24"/>
              </w:rPr>
            </w:pPr>
            <w:r>
              <w:rPr>
                <w:rFonts w:hint="eastAsia" w:ascii="仿宋_GB2312" w:hAnsi="仿宋_GB2312" w:eastAsia="仿宋_GB2312" w:cs="仿宋_GB2312"/>
                <w:sz w:val="24"/>
              </w:rPr>
              <w:t>4h</w:t>
            </w:r>
          </w:p>
        </w:tc>
        <w:tc>
          <w:tcPr>
            <w:tcW w:w="540" w:type="pct"/>
            <w:noWrap w:val="0"/>
            <w:vAlign w:val="center"/>
          </w:tcPr>
          <w:p w14:paraId="5E67DE4C">
            <w:pPr>
              <w:spacing w:line="0" w:lineRule="atLeast"/>
              <w:jc w:val="center"/>
              <w:rPr>
                <w:rFonts w:hint="eastAsia" w:ascii="仿宋_GB2312" w:hAnsi="仿宋_GB2312" w:eastAsia="仿宋_GB2312" w:cs="仿宋_GB2312"/>
                <w:sz w:val="24"/>
              </w:rPr>
            </w:pPr>
            <w:r>
              <w:rPr>
                <w:rFonts w:hint="eastAsia" w:ascii="仿宋_GB2312" w:hAnsi="仿宋_GB2312" w:eastAsia="仿宋_GB2312" w:cs="仿宋_GB2312"/>
                <w:sz w:val="24"/>
                <w:lang w:val="en-US" w:eastAsia="zh-CN"/>
              </w:rPr>
              <w:t>5</w:t>
            </w:r>
            <w:r>
              <w:rPr>
                <w:rFonts w:hint="eastAsia" w:ascii="仿宋_GB2312" w:hAnsi="仿宋_GB2312" w:eastAsia="仿宋_GB2312" w:cs="仿宋_GB2312"/>
                <w:sz w:val="24"/>
              </w:rPr>
              <w:t>0</w:t>
            </w:r>
          </w:p>
        </w:tc>
      </w:tr>
    </w:tbl>
    <w:p w14:paraId="457D1AEE">
      <w:pPr>
        <w:keepNext w:val="0"/>
        <w:keepLines w:val="0"/>
        <w:pageBreakBefore w:val="0"/>
        <w:widowControl w:val="0"/>
        <w:kinsoku/>
        <w:wordWrap/>
        <w:overflowPunct/>
        <w:topLinePunct w:val="0"/>
        <w:autoSpaceDE/>
        <w:autoSpaceDN/>
        <w:bidi w:val="0"/>
        <w:adjustRightInd w:val="0"/>
        <w:snapToGrid w:val="0"/>
        <w:spacing w:before="157" w:beforeLines="50" w:after="157" w:afterLines="50" w:line="240" w:lineRule="auto"/>
        <w:textAlignment w:val="auto"/>
        <w:outlineLvl w:val="0"/>
        <w:rPr>
          <w:rFonts w:hint="eastAsia" w:ascii="Times New Roman" w:hAnsi="Times New Roman" w:eastAsia="黑体" w:cs="Times New Roman"/>
          <w:sz w:val="24"/>
          <w:szCs w:val="24"/>
        </w:rPr>
      </w:pPr>
      <w:r>
        <w:rPr>
          <w:rFonts w:hint="eastAsia" w:ascii="Times New Roman" w:hAnsi="Times New Roman" w:eastAsia="黑体" w:cs="Times New Roman"/>
          <w:sz w:val="24"/>
          <w:szCs w:val="24"/>
        </w:rPr>
        <w:t>四、竞赛方式</w:t>
      </w:r>
    </w:p>
    <w:p w14:paraId="431A3427">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本赛项为团体赛，由2名学生选手组成。每个参赛队必须参加2个模块竞赛，其中，模块一：商船货物配载由2名选手同时参赛；模块二：航行路线设计由2名同时选手参赛。所有模块均采用线下实操方式进行比赛，各模块参赛赛位采用抽签方式确定，所有参赛队先进行模块一比赛，中场休息后再进行模块二比赛。</w:t>
      </w:r>
    </w:p>
    <w:p w14:paraId="596DD53E">
      <w:pPr>
        <w:keepNext w:val="0"/>
        <w:keepLines w:val="0"/>
        <w:pageBreakBefore w:val="0"/>
        <w:widowControl w:val="0"/>
        <w:kinsoku/>
        <w:wordWrap/>
        <w:overflowPunct/>
        <w:topLinePunct w:val="0"/>
        <w:autoSpaceDE/>
        <w:autoSpaceDN/>
        <w:bidi w:val="0"/>
        <w:adjustRightInd w:val="0"/>
        <w:snapToGrid w:val="0"/>
        <w:spacing w:before="157" w:beforeLines="50" w:after="157" w:afterLines="50" w:line="240" w:lineRule="auto"/>
        <w:textAlignment w:val="auto"/>
        <w:outlineLvl w:val="0"/>
        <w:rPr>
          <w:rFonts w:hint="eastAsia" w:ascii="Times New Roman" w:hAnsi="Times New Roman" w:eastAsia="黑体" w:cs="Times New Roman"/>
          <w:sz w:val="24"/>
          <w:szCs w:val="24"/>
        </w:rPr>
      </w:pPr>
      <w:r>
        <w:rPr>
          <w:rFonts w:hint="eastAsia" w:ascii="Times New Roman" w:hAnsi="Times New Roman" w:eastAsia="黑体" w:cs="Times New Roman"/>
          <w:sz w:val="24"/>
          <w:szCs w:val="24"/>
        </w:rPr>
        <w:t>五、竞赛流程</w:t>
      </w:r>
    </w:p>
    <w:p w14:paraId="34963A65">
      <w:pPr>
        <w:keepNext w:val="0"/>
        <w:keepLines w:val="0"/>
        <w:pageBreakBefore w:val="0"/>
        <w:widowControl w:val="0"/>
        <w:kinsoku/>
        <w:wordWrap/>
        <w:overflowPunct/>
        <w:topLinePunct w:val="0"/>
        <w:autoSpaceDE/>
        <w:autoSpaceDN/>
        <w:bidi w:val="0"/>
        <w:adjustRightInd w:val="0"/>
        <w:snapToGrid w:val="0"/>
        <w:spacing w:before="157" w:beforeLines="50" w:after="157" w:afterLines="50" w:line="240" w:lineRule="auto"/>
        <w:ind w:firstLine="482" w:firstLineChars="200"/>
        <w:textAlignment w:val="auto"/>
        <w:outlineLvl w:val="1"/>
        <w:rPr>
          <w:rFonts w:hint="eastAsia" w:ascii="仿宋_GB2312" w:hAnsi="仿宋_GB2312" w:eastAsia="仿宋_GB2312" w:cs="仿宋_GB2312"/>
          <w:b/>
          <w:bCs/>
          <w:color w:val="auto"/>
          <w:sz w:val="24"/>
          <w:szCs w:val="28"/>
          <w:highlight w:val="none"/>
        </w:rPr>
      </w:pPr>
      <w:r>
        <w:rPr>
          <w:rFonts w:hint="eastAsia" w:ascii="仿宋_GB2312" w:hAnsi="仿宋_GB2312" w:eastAsia="仿宋_GB2312" w:cs="仿宋_GB2312"/>
          <w:b/>
          <w:bCs/>
          <w:color w:val="auto"/>
          <w:sz w:val="24"/>
          <w:szCs w:val="28"/>
          <w:highlight w:val="none"/>
        </w:rPr>
        <w:t>（一）竞赛日程与场次安排</w:t>
      </w:r>
    </w:p>
    <w:tbl>
      <w:tblPr>
        <w:tblStyle w:val="5"/>
        <w:tblW w:w="502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1794"/>
        <w:gridCol w:w="1913"/>
        <w:gridCol w:w="3728"/>
        <w:gridCol w:w="1698"/>
      </w:tblGrid>
      <w:tr w14:paraId="17C12A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blHeader/>
          <w:jc w:val="center"/>
        </w:trPr>
        <w:tc>
          <w:tcPr>
            <w:tcW w:w="982" w:type="pct"/>
            <w:noWrap w:val="0"/>
            <w:vAlign w:val="center"/>
          </w:tcPr>
          <w:p w14:paraId="268CC66F">
            <w:pPr>
              <w:spacing w:line="0" w:lineRule="atLeast"/>
              <w:jc w:val="center"/>
              <w:rPr>
                <w:rFonts w:hint="eastAsia" w:ascii="仿宋_GB2312" w:hAnsi="仿宋_GB2312" w:eastAsia="仿宋_GB2312" w:cs="仿宋_GB2312"/>
                <w:b/>
                <w:bCs/>
                <w:sz w:val="24"/>
                <w:lang w:eastAsia="zh-CN"/>
              </w:rPr>
            </w:pPr>
            <w:r>
              <w:rPr>
                <w:rFonts w:hint="eastAsia" w:ascii="仿宋_GB2312" w:hAnsi="仿宋_GB2312" w:eastAsia="仿宋_GB2312" w:cs="仿宋_GB2312"/>
                <w:b/>
                <w:bCs/>
                <w:sz w:val="24"/>
              </w:rPr>
              <w:t>日</w:t>
            </w:r>
            <w:r>
              <w:rPr>
                <w:rFonts w:hint="eastAsia" w:ascii="仿宋_GB2312" w:hAnsi="仿宋_GB2312" w:eastAsia="仿宋_GB2312" w:cs="仿宋_GB2312"/>
                <w:b/>
                <w:bCs/>
                <w:sz w:val="24"/>
                <w:lang w:val="en-US" w:eastAsia="zh-CN"/>
              </w:rPr>
              <w:t>期</w:t>
            </w:r>
          </w:p>
        </w:tc>
        <w:tc>
          <w:tcPr>
            <w:tcW w:w="1047" w:type="pct"/>
            <w:noWrap w:val="0"/>
            <w:vAlign w:val="center"/>
          </w:tcPr>
          <w:p w14:paraId="5F079D5B">
            <w:pPr>
              <w:spacing w:line="0" w:lineRule="atLeast"/>
              <w:jc w:val="center"/>
              <w:rPr>
                <w:rFonts w:hint="eastAsia" w:ascii="仿宋_GB2312" w:hAnsi="仿宋_GB2312" w:eastAsia="仿宋_GB2312" w:cs="仿宋_GB2312"/>
                <w:b/>
                <w:bCs/>
                <w:sz w:val="24"/>
              </w:rPr>
            </w:pPr>
            <w:r>
              <w:rPr>
                <w:rFonts w:hint="eastAsia" w:ascii="仿宋_GB2312" w:hAnsi="仿宋_GB2312" w:eastAsia="仿宋_GB2312" w:cs="仿宋_GB2312"/>
                <w:b/>
                <w:bCs/>
                <w:sz w:val="24"/>
              </w:rPr>
              <w:t>时间</w:t>
            </w:r>
          </w:p>
        </w:tc>
        <w:tc>
          <w:tcPr>
            <w:tcW w:w="2040" w:type="pct"/>
            <w:noWrap w:val="0"/>
            <w:vAlign w:val="center"/>
          </w:tcPr>
          <w:p w14:paraId="1A6B9900">
            <w:pPr>
              <w:spacing w:line="0" w:lineRule="atLeast"/>
              <w:jc w:val="center"/>
              <w:rPr>
                <w:rFonts w:hint="eastAsia" w:ascii="仿宋_GB2312" w:hAnsi="仿宋_GB2312" w:eastAsia="仿宋_GB2312" w:cs="仿宋_GB2312"/>
                <w:b/>
                <w:bCs/>
                <w:sz w:val="24"/>
              </w:rPr>
            </w:pPr>
            <w:r>
              <w:rPr>
                <w:rFonts w:hint="eastAsia" w:ascii="仿宋_GB2312" w:hAnsi="仿宋_GB2312" w:eastAsia="仿宋_GB2312" w:cs="仿宋_GB2312"/>
                <w:b/>
                <w:bCs/>
                <w:sz w:val="24"/>
              </w:rPr>
              <w:t>内容</w:t>
            </w:r>
          </w:p>
        </w:tc>
        <w:tc>
          <w:tcPr>
            <w:tcW w:w="929" w:type="pct"/>
            <w:noWrap w:val="0"/>
            <w:vAlign w:val="center"/>
          </w:tcPr>
          <w:p w14:paraId="6F11E73D">
            <w:pPr>
              <w:spacing w:line="0" w:lineRule="atLeast"/>
              <w:jc w:val="center"/>
              <w:rPr>
                <w:rFonts w:hint="eastAsia" w:ascii="仿宋_GB2312" w:hAnsi="仿宋_GB2312" w:eastAsia="仿宋_GB2312" w:cs="仿宋_GB2312"/>
                <w:b/>
                <w:bCs/>
                <w:sz w:val="24"/>
              </w:rPr>
            </w:pPr>
            <w:r>
              <w:rPr>
                <w:rFonts w:hint="eastAsia" w:ascii="仿宋_GB2312" w:hAnsi="仿宋_GB2312" w:eastAsia="仿宋_GB2312" w:cs="仿宋_GB2312"/>
                <w:b/>
                <w:bCs/>
                <w:sz w:val="24"/>
              </w:rPr>
              <w:t>地点</w:t>
            </w:r>
          </w:p>
        </w:tc>
      </w:tr>
      <w:tr w14:paraId="330B2E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982" w:type="pct"/>
            <w:vMerge w:val="restart"/>
            <w:noWrap w:val="0"/>
            <w:vAlign w:val="center"/>
          </w:tcPr>
          <w:p w14:paraId="31579DE3">
            <w:pPr>
              <w:spacing w:line="0" w:lineRule="atLeast"/>
              <w:jc w:val="center"/>
              <w:rPr>
                <w:rFonts w:hint="eastAsia" w:ascii="仿宋_GB2312" w:hAnsi="仿宋_GB2312" w:eastAsia="仿宋_GB2312" w:cs="仿宋_GB2312"/>
                <w:sz w:val="24"/>
                <w:lang w:val="en-US" w:eastAsia="zh-CN"/>
              </w:rPr>
            </w:pPr>
            <w:r>
              <w:rPr>
                <w:rFonts w:hint="eastAsia" w:ascii="仿宋_GB2312" w:hAnsi="仿宋_GB2312" w:eastAsia="仿宋_GB2312" w:cs="仿宋_GB2312"/>
                <w:sz w:val="24"/>
                <w:lang w:val="en-US" w:eastAsia="zh-CN"/>
              </w:rPr>
              <w:t>第一天</w:t>
            </w:r>
          </w:p>
        </w:tc>
        <w:tc>
          <w:tcPr>
            <w:tcW w:w="1047" w:type="pct"/>
            <w:noWrap w:val="0"/>
            <w:vAlign w:val="center"/>
          </w:tcPr>
          <w:p w14:paraId="68A81549">
            <w:pPr>
              <w:spacing w:line="0" w:lineRule="atLeast"/>
              <w:jc w:val="center"/>
              <w:rPr>
                <w:rFonts w:hint="eastAsia" w:ascii="仿宋_GB2312" w:hAnsi="仿宋_GB2312" w:eastAsia="仿宋_GB2312" w:cs="仿宋_GB2312"/>
                <w:sz w:val="24"/>
              </w:rPr>
            </w:pPr>
            <w:r>
              <w:rPr>
                <w:rFonts w:hint="eastAsia" w:ascii="仿宋_GB2312" w:hAnsi="仿宋_GB2312" w:eastAsia="仿宋_GB2312" w:cs="仿宋_GB2312"/>
                <w:sz w:val="24"/>
              </w:rPr>
              <w:t>08:30-12:00</w:t>
            </w:r>
          </w:p>
        </w:tc>
        <w:tc>
          <w:tcPr>
            <w:tcW w:w="2040" w:type="pct"/>
            <w:noWrap w:val="0"/>
            <w:vAlign w:val="center"/>
          </w:tcPr>
          <w:p w14:paraId="2D84E8CF">
            <w:pPr>
              <w:spacing w:line="0" w:lineRule="atLeast"/>
              <w:jc w:val="center"/>
              <w:rPr>
                <w:rFonts w:hint="eastAsia" w:ascii="仿宋_GB2312" w:hAnsi="仿宋_GB2312" w:eastAsia="仿宋_GB2312" w:cs="仿宋_GB2312"/>
                <w:sz w:val="24"/>
              </w:rPr>
            </w:pPr>
            <w:r>
              <w:rPr>
                <w:rFonts w:hint="eastAsia" w:ascii="仿宋_GB2312" w:hAnsi="仿宋_GB2312" w:eastAsia="仿宋_GB2312" w:cs="仿宋_GB2312"/>
                <w:sz w:val="24"/>
              </w:rPr>
              <w:t>裁判培训</w:t>
            </w:r>
          </w:p>
        </w:tc>
        <w:tc>
          <w:tcPr>
            <w:tcW w:w="929" w:type="pct"/>
            <w:noWrap w:val="0"/>
            <w:vAlign w:val="center"/>
          </w:tcPr>
          <w:p w14:paraId="69F04CA3">
            <w:pPr>
              <w:spacing w:line="0" w:lineRule="atLeast"/>
              <w:jc w:val="center"/>
              <w:rPr>
                <w:rFonts w:hint="eastAsia" w:ascii="仿宋_GB2312" w:hAnsi="仿宋_GB2312" w:eastAsia="仿宋_GB2312" w:cs="仿宋_GB2312"/>
                <w:sz w:val="24"/>
              </w:rPr>
            </w:pPr>
            <w:r>
              <w:rPr>
                <w:rFonts w:hint="eastAsia" w:ascii="仿宋_GB2312" w:hAnsi="仿宋_GB2312" w:eastAsia="仿宋_GB2312" w:cs="仿宋_GB2312"/>
                <w:sz w:val="24"/>
              </w:rPr>
              <w:t>指定地点</w:t>
            </w:r>
          </w:p>
        </w:tc>
      </w:tr>
      <w:tr w14:paraId="4985EC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982" w:type="pct"/>
            <w:vMerge w:val="continue"/>
            <w:noWrap w:val="0"/>
            <w:vAlign w:val="center"/>
          </w:tcPr>
          <w:p w14:paraId="631967C5">
            <w:pPr>
              <w:spacing w:line="0" w:lineRule="atLeast"/>
              <w:jc w:val="center"/>
              <w:rPr>
                <w:rFonts w:hint="eastAsia" w:ascii="仿宋_GB2312" w:hAnsi="仿宋_GB2312" w:eastAsia="仿宋_GB2312" w:cs="仿宋_GB2312"/>
                <w:sz w:val="24"/>
              </w:rPr>
            </w:pPr>
          </w:p>
        </w:tc>
        <w:tc>
          <w:tcPr>
            <w:tcW w:w="1047" w:type="pct"/>
            <w:noWrap w:val="0"/>
            <w:vAlign w:val="center"/>
          </w:tcPr>
          <w:p w14:paraId="4A99176A">
            <w:pPr>
              <w:spacing w:line="0" w:lineRule="atLeast"/>
              <w:jc w:val="center"/>
              <w:rPr>
                <w:rFonts w:hint="eastAsia" w:ascii="仿宋_GB2312" w:hAnsi="仿宋_GB2312" w:eastAsia="仿宋_GB2312" w:cs="仿宋_GB2312"/>
                <w:sz w:val="24"/>
              </w:rPr>
            </w:pPr>
            <w:r>
              <w:rPr>
                <w:rFonts w:hint="eastAsia" w:ascii="仿宋_GB2312" w:hAnsi="仿宋_GB2312" w:eastAsia="仿宋_GB2312" w:cs="仿宋_GB2312"/>
                <w:sz w:val="24"/>
              </w:rPr>
              <w:t>13:30-15:30</w:t>
            </w:r>
          </w:p>
        </w:tc>
        <w:tc>
          <w:tcPr>
            <w:tcW w:w="2040" w:type="pct"/>
            <w:noWrap w:val="0"/>
            <w:vAlign w:val="center"/>
          </w:tcPr>
          <w:p w14:paraId="6B5A2F97">
            <w:pPr>
              <w:spacing w:line="0" w:lineRule="atLeast"/>
              <w:jc w:val="center"/>
              <w:rPr>
                <w:rFonts w:hint="eastAsia" w:ascii="仿宋_GB2312" w:hAnsi="仿宋_GB2312" w:eastAsia="仿宋_GB2312" w:cs="仿宋_GB2312"/>
                <w:sz w:val="24"/>
              </w:rPr>
            </w:pPr>
            <w:r>
              <w:rPr>
                <w:rFonts w:hint="eastAsia" w:ascii="仿宋_GB2312" w:hAnsi="仿宋_GB2312" w:eastAsia="仿宋_GB2312" w:cs="仿宋_GB2312"/>
                <w:sz w:val="24"/>
              </w:rPr>
              <w:t>赛场检查</w:t>
            </w:r>
          </w:p>
        </w:tc>
        <w:tc>
          <w:tcPr>
            <w:tcW w:w="929" w:type="pct"/>
            <w:noWrap w:val="0"/>
            <w:vAlign w:val="center"/>
          </w:tcPr>
          <w:p w14:paraId="010AC599">
            <w:pPr>
              <w:spacing w:line="0" w:lineRule="atLeast"/>
              <w:jc w:val="center"/>
              <w:rPr>
                <w:rFonts w:hint="eastAsia" w:ascii="仿宋_GB2312" w:hAnsi="仿宋_GB2312" w:eastAsia="仿宋_GB2312" w:cs="仿宋_GB2312"/>
                <w:sz w:val="24"/>
              </w:rPr>
            </w:pPr>
            <w:r>
              <w:rPr>
                <w:rFonts w:hint="eastAsia" w:ascii="仿宋_GB2312" w:hAnsi="仿宋_GB2312" w:eastAsia="仿宋_GB2312" w:cs="仿宋_GB2312"/>
                <w:sz w:val="24"/>
              </w:rPr>
              <w:t>赛场</w:t>
            </w:r>
          </w:p>
        </w:tc>
      </w:tr>
      <w:tr w14:paraId="674C5F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982" w:type="pct"/>
            <w:vMerge w:val="continue"/>
            <w:noWrap w:val="0"/>
            <w:vAlign w:val="center"/>
          </w:tcPr>
          <w:p w14:paraId="37532844">
            <w:pPr>
              <w:spacing w:line="0" w:lineRule="atLeast"/>
              <w:jc w:val="center"/>
              <w:rPr>
                <w:rFonts w:hint="eastAsia" w:ascii="仿宋_GB2312" w:hAnsi="仿宋_GB2312" w:eastAsia="仿宋_GB2312" w:cs="仿宋_GB2312"/>
                <w:sz w:val="24"/>
              </w:rPr>
            </w:pPr>
          </w:p>
        </w:tc>
        <w:tc>
          <w:tcPr>
            <w:tcW w:w="1047" w:type="pct"/>
            <w:noWrap w:val="0"/>
            <w:vAlign w:val="center"/>
          </w:tcPr>
          <w:p w14:paraId="497B9D97">
            <w:pPr>
              <w:spacing w:line="0" w:lineRule="atLeast"/>
              <w:jc w:val="center"/>
              <w:rPr>
                <w:rFonts w:hint="eastAsia" w:ascii="仿宋_GB2312" w:hAnsi="仿宋_GB2312" w:eastAsia="仿宋_GB2312" w:cs="仿宋_GB2312"/>
                <w:sz w:val="24"/>
              </w:rPr>
            </w:pPr>
            <w:r>
              <w:rPr>
                <w:rFonts w:hint="eastAsia" w:ascii="仿宋_GB2312" w:hAnsi="仿宋_GB2312" w:eastAsia="仿宋_GB2312" w:cs="仿宋_GB2312"/>
                <w:sz w:val="24"/>
              </w:rPr>
              <w:t>15:40前</w:t>
            </w:r>
          </w:p>
        </w:tc>
        <w:tc>
          <w:tcPr>
            <w:tcW w:w="2040" w:type="pct"/>
            <w:noWrap w:val="0"/>
            <w:vAlign w:val="center"/>
          </w:tcPr>
          <w:p w14:paraId="0266B13E">
            <w:pPr>
              <w:spacing w:line="0" w:lineRule="atLeast"/>
              <w:jc w:val="center"/>
              <w:rPr>
                <w:rFonts w:hint="eastAsia" w:ascii="仿宋_GB2312" w:hAnsi="仿宋_GB2312" w:eastAsia="仿宋_GB2312" w:cs="仿宋_GB2312"/>
                <w:sz w:val="24"/>
              </w:rPr>
            </w:pPr>
            <w:r>
              <w:rPr>
                <w:rFonts w:hint="eastAsia" w:ascii="仿宋_GB2312" w:hAnsi="仿宋_GB2312" w:eastAsia="仿宋_GB2312" w:cs="仿宋_GB2312"/>
                <w:sz w:val="24"/>
              </w:rPr>
              <w:t>参赛队报到</w:t>
            </w:r>
          </w:p>
        </w:tc>
        <w:tc>
          <w:tcPr>
            <w:tcW w:w="929" w:type="pct"/>
            <w:noWrap w:val="0"/>
            <w:vAlign w:val="center"/>
          </w:tcPr>
          <w:p w14:paraId="543065A6">
            <w:pPr>
              <w:spacing w:line="0" w:lineRule="atLeast"/>
              <w:jc w:val="center"/>
              <w:rPr>
                <w:rFonts w:hint="eastAsia" w:ascii="仿宋_GB2312" w:hAnsi="仿宋_GB2312" w:eastAsia="仿宋_GB2312" w:cs="仿宋_GB2312"/>
                <w:sz w:val="24"/>
              </w:rPr>
            </w:pPr>
            <w:r>
              <w:rPr>
                <w:rFonts w:hint="eastAsia" w:ascii="仿宋_GB2312" w:hAnsi="仿宋_GB2312" w:eastAsia="仿宋_GB2312" w:cs="仿宋_GB2312"/>
                <w:sz w:val="24"/>
              </w:rPr>
              <w:t>酒店</w:t>
            </w:r>
          </w:p>
        </w:tc>
      </w:tr>
      <w:tr w14:paraId="22E004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982" w:type="pct"/>
            <w:vMerge w:val="continue"/>
            <w:noWrap w:val="0"/>
            <w:vAlign w:val="center"/>
          </w:tcPr>
          <w:p w14:paraId="5857A262">
            <w:pPr>
              <w:spacing w:line="0" w:lineRule="atLeast"/>
              <w:jc w:val="center"/>
              <w:rPr>
                <w:rFonts w:hint="eastAsia" w:ascii="仿宋_GB2312" w:hAnsi="仿宋_GB2312" w:eastAsia="仿宋_GB2312" w:cs="仿宋_GB2312"/>
                <w:sz w:val="24"/>
              </w:rPr>
            </w:pPr>
          </w:p>
        </w:tc>
        <w:tc>
          <w:tcPr>
            <w:tcW w:w="1047" w:type="pct"/>
            <w:noWrap w:val="0"/>
            <w:vAlign w:val="center"/>
          </w:tcPr>
          <w:p w14:paraId="741A0455">
            <w:pPr>
              <w:spacing w:line="0" w:lineRule="atLeast"/>
              <w:jc w:val="center"/>
              <w:rPr>
                <w:rFonts w:hint="eastAsia" w:ascii="仿宋_GB2312" w:hAnsi="仿宋_GB2312" w:eastAsia="仿宋_GB2312" w:cs="仿宋_GB2312"/>
                <w:sz w:val="24"/>
              </w:rPr>
            </w:pPr>
            <w:r>
              <w:rPr>
                <w:rFonts w:hint="eastAsia" w:ascii="仿宋_GB2312" w:hAnsi="仿宋_GB2312" w:eastAsia="仿宋_GB2312" w:cs="仿宋_GB2312"/>
                <w:sz w:val="24"/>
              </w:rPr>
              <w:t>16:00-17:00</w:t>
            </w:r>
          </w:p>
        </w:tc>
        <w:tc>
          <w:tcPr>
            <w:tcW w:w="2040" w:type="pct"/>
            <w:noWrap w:val="0"/>
            <w:vAlign w:val="center"/>
          </w:tcPr>
          <w:p w14:paraId="10EAE5B6">
            <w:pPr>
              <w:spacing w:line="0" w:lineRule="atLeast"/>
              <w:jc w:val="center"/>
              <w:rPr>
                <w:rFonts w:hint="eastAsia" w:ascii="仿宋_GB2312" w:hAnsi="仿宋_GB2312" w:eastAsia="仿宋_GB2312" w:cs="仿宋_GB2312"/>
                <w:sz w:val="24"/>
              </w:rPr>
            </w:pPr>
            <w:r>
              <w:rPr>
                <w:rFonts w:hint="eastAsia" w:ascii="仿宋_GB2312" w:hAnsi="仿宋_GB2312" w:eastAsia="仿宋_GB2312" w:cs="仿宋_GB2312"/>
                <w:sz w:val="24"/>
              </w:rPr>
              <w:t>领队会（赛前说明、抽检录号、分组号及组内检录号）</w:t>
            </w:r>
          </w:p>
        </w:tc>
        <w:tc>
          <w:tcPr>
            <w:tcW w:w="929" w:type="pct"/>
            <w:noWrap w:val="0"/>
            <w:vAlign w:val="center"/>
          </w:tcPr>
          <w:p w14:paraId="7C4B3948">
            <w:pPr>
              <w:spacing w:line="0" w:lineRule="atLeast"/>
              <w:jc w:val="center"/>
              <w:rPr>
                <w:rFonts w:hint="eastAsia" w:ascii="仿宋_GB2312" w:hAnsi="仿宋_GB2312" w:eastAsia="仿宋_GB2312" w:cs="仿宋_GB2312"/>
                <w:sz w:val="24"/>
              </w:rPr>
            </w:pPr>
            <w:r>
              <w:rPr>
                <w:rFonts w:hint="eastAsia" w:ascii="仿宋_GB2312" w:hAnsi="仿宋_GB2312" w:eastAsia="仿宋_GB2312" w:cs="仿宋_GB2312"/>
                <w:sz w:val="24"/>
              </w:rPr>
              <w:t>领队会会场</w:t>
            </w:r>
          </w:p>
        </w:tc>
      </w:tr>
      <w:tr w14:paraId="42030C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982" w:type="pct"/>
            <w:vMerge w:val="continue"/>
            <w:noWrap w:val="0"/>
            <w:vAlign w:val="center"/>
          </w:tcPr>
          <w:p w14:paraId="36B82CAB">
            <w:pPr>
              <w:spacing w:line="0" w:lineRule="atLeast"/>
              <w:jc w:val="center"/>
              <w:rPr>
                <w:rFonts w:hint="eastAsia" w:ascii="仿宋_GB2312" w:hAnsi="仿宋_GB2312" w:eastAsia="仿宋_GB2312" w:cs="仿宋_GB2312"/>
                <w:sz w:val="24"/>
              </w:rPr>
            </w:pPr>
          </w:p>
        </w:tc>
        <w:tc>
          <w:tcPr>
            <w:tcW w:w="1047" w:type="pct"/>
            <w:noWrap w:val="0"/>
            <w:vAlign w:val="center"/>
          </w:tcPr>
          <w:p w14:paraId="4562EB5E">
            <w:pPr>
              <w:spacing w:line="0" w:lineRule="atLeast"/>
              <w:jc w:val="center"/>
              <w:rPr>
                <w:rFonts w:hint="eastAsia" w:ascii="仿宋_GB2312" w:hAnsi="仿宋_GB2312" w:eastAsia="仿宋_GB2312" w:cs="仿宋_GB2312"/>
                <w:sz w:val="24"/>
              </w:rPr>
            </w:pPr>
            <w:r>
              <w:rPr>
                <w:rFonts w:hint="eastAsia" w:ascii="仿宋_GB2312" w:hAnsi="仿宋_GB2312" w:eastAsia="仿宋_GB2312" w:cs="仿宋_GB2312"/>
                <w:sz w:val="24"/>
              </w:rPr>
              <w:t>16:00-18:30</w:t>
            </w:r>
          </w:p>
        </w:tc>
        <w:tc>
          <w:tcPr>
            <w:tcW w:w="2040" w:type="pct"/>
            <w:noWrap w:val="0"/>
            <w:vAlign w:val="center"/>
          </w:tcPr>
          <w:p w14:paraId="31278389">
            <w:pPr>
              <w:spacing w:line="0" w:lineRule="atLeast"/>
              <w:jc w:val="center"/>
              <w:rPr>
                <w:rFonts w:hint="eastAsia" w:ascii="仿宋_GB2312" w:hAnsi="仿宋_GB2312" w:eastAsia="仿宋_GB2312" w:cs="仿宋_GB2312"/>
                <w:sz w:val="24"/>
              </w:rPr>
            </w:pPr>
            <w:r>
              <w:rPr>
                <w:rFonts w:hint="eastAsia" w:ascii="仿宋_GB2312" w:hAnsi="仿宋_GB2312" w:eastAsia="仿宋_GB2312" w:cs="仿宋_GB2312"/>
                <w:sz w:val="24"/>
              </w:rPr>
              <w:t>熟悉赛场</w:t>
            </w:r>
          </w:p>
        </w:tc>
        <w:tc>
          <w:tcPr>
            <w:tcW w:w="929" w:type="pct"/>
            <w:noWrap w:val="0"/>
            <w:vAlign w:val="center"/>
          </w:tcPr>
          <w:p w14:paraId="1EB1A29D">
            <w:pPr>
              <w:spacing w:line="0" w:lineRule="atLeast"/>
              <w:jc w:val="center"/>
              <w:rPr>
                <w:rFonts w:hint="eastAsia" w:ascii="仿宋_GB2312" w:hAnsi="仿宋_GB2312" w:eastAsia="仿宋_GB2312" w:cs="仿宋_GB2312"/>
                <w:sz w:val="24"/>
              </w:rPr>
            </w:pPr>
            <w:r>
              <w:rPr>
                <w:rFonts w:hint="eastAsia" w:ascii="仿宋_GB2312" w:hAnsi="仿宋_GB2312" w:eastAsia="仿宋_GB2312" w:cs="仿宋_GB2312"/>
                <w:sz w:val="24"/>
              </w:rPr>
              <w:t>赛场</w:t>
            </w:r>
          </w:p>
        </w:tc>
      </w:tr>
      <w:tr w14:paraId="458C65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982" w:type="pct"/>
            <w:vMerge w:val="restart"/>
            <w:noWrap w:val="0"/>
            <w:vAlign w:val="center"/>
          </w:tcPr>
          <w:p w14:paraId="197C9107">
            <w:pPr>
              <w:spacing w:line="0" w:lineRule="atLeast"/>
              <w:jc w:val="center"/>
              <w:rPr>
                <w:rFonts w:hint="eastAsia" w:ascii="仿宋_GB2312" w:hAnsi="仿宋_GB2312" w:eastAsia="仿宋_GB2312" w:cs="仿宋_GB2312"/>
                <w:sz w:val="24"/>
                <w:lang w:val="en-US"/>
              </w:rPr>
            </w:pPr>
            <w:r>
              <w:rPr>
                <w:rFonts w:hint="eastAsia" w:ascii="仿宋_GB2312" w:hAnsi="仿宋_GB2312" w:eastAsia="仿宋_GB2312" w:cs="仿宋_GB2312"/>
                <w:sz w:val="24"/>
                <w:lang w:val="en-US" w:eastAsia="zh-CN"/>
              </w:rPr>
              <w:t>第二天</w:t>
            </w:r>
          </w:p>
        </w:tc>
        <w:tc>
          <w:tcPr>
            <w:tcW w:w="1047" w:type="pct"/>
            <w:noWrap w:val="0"/>
            <w:vAlign w:val="center"/>
          </w:tcPr>
          <w:p w14:paraId="1400D07B">
            <w:pPr>
              <w:spacing w:line="0" w:lineRule="atLeast"/>
              <w:jc w:val="center"/>
              <w:rPr>
                <w:rFonts w:hint="eastAsia" w:ascii="仿宋_GB2312" w:hAnsi="仿宋_GB2312" w:eastAsia="仿宋_GB2312" w:cs="仿宋_GB2312"/>
                <w:sz w:val="24"/>
              </w:rPr>
            </w:pPr>
            <w:r>
              <w:rPr>
                <w:rFonts w:hint="eastAsia" w:ascii="仿宋_GB2312" w:hAnsi="仿宋_GB2312" w:eastAsia="仿宋_GB2312" w:cs="仿宋_GB2312"/>
                <w:sz w:val="24"/>
              </w:rPr>
              <w:t>0</w:t>
            </w:r>
            <w:r>
              <w:rPr>
                <w:rFonts w:hint="eastAsia" w:ascii="仿宋_GB2312" w:hAnsi="仿宋_GB2312" w:eastAsia="仿宋_GB2312" w:cs="仿宋_GB2312"/>
                <w:sz w:val="24"/>
                <w:lang w:val="en-US" w:eastAsia="zh-CN"/>
              </w:rPr>
              <w:t>8</w:t>
            </w:r>
            <w:r>
              <w:rPr>
                <w:rFonts w:hint="eastAsia" w:ascii="仿宋_GB2312" w:hAnsi="仿宋_GB2312" w:eastAsia="仿宋_GB2312" w:cs="仿宋_GB2312"/>
                <w:sz w:val="24"/>
              </w:rPr>
              <w:t>:</w:t>
            </w:r>
            <w:r>
              <w:rPr>
                <w:rFonts w:hint="eastAsia" w:ascii="仿宋_GB2312" w:hAnsi="仿宋_GB2312" w:eastAsia="仿宋_GB2312" w:cs="仿宋_GB2312"/>
                <w:sz w:val="24"/>
                <w:lang w:val="en-US" w:eastAsia="zh-CN"/>
              </w:rPr>
              <w:t>30</w:t>
            </w:r>
            <w:r>
              <w:rPr>
                <w:rFonts w:hint="eastAsia" w:ascii="仿宋_GB2312" w:hAnsi="仿宋_GB2312" w:eastAsia="仿宋_GB2312" w:cs="仿宋_GB2312"/>
                <w:sz w:val="24"/>
              </w:rPr>
              <w:t>-09:</w:t>
            </w:r>
            <w:r>
              <w:rPr>
                <w:rFonts w:hint="eastAsia" w:ascii="仿宋_GB2312" w:hAnsi="仿宋_GB2312" w:eastAsia="仿宋_GB2312" w:cs="仿宋_GB2312"/>
                <w:sz w:val="24"/>
                <w:lang w:val="en-US" w:eastAsia="zh-CN"/>
              </w:rPr>
              <w:t>0</w:t>
            </w:r>
            <w:r>
              <w:rPr>
                <w:rFonts w:hint="eastAsia" w:ascii="仿宋_GB2312" w:hAnsi="仿宋_GB2312" w:eastAsia="仿宋_GB2312" w:cs="仿宋_GB2312"/>
                <w:sz w:val="24"/>
              </w:rPr>
              <w:t>0</w:t>
            </w:r>
          </w:p>
        </w:tc>
        <w:tc>
          <w:tcPr>
            <w:tcW w:w="2040" w:type="pct"/>
            <w:noWrap w:val="0"/>
            <w:vAlign w:val="center"/>
          </w:tcPr>
          <w:p w14:paraId="388C6A04">
            <w:pPr>
              <w:spacing w:line="0" w:lineRule="atLeast"/>
              <w:jc w:val="center"/>
              <w:rPr>
                <w:rFonts w:hint="eastAsia" w:ascii="仿宋_GB2312" w:hAnsi="仿宋_GB2312" w:eastAsia="仿宋_GB2312" w:cs="仿宋_GB2312"/>
                <w:sz w:val="24"/>
              </w:rPr>
            </w:pPr>
            <w:r>
              <w:rPr>
                <w:rFonts w:hint="eastAsia" w:ascii="仿宋_GB2312" w:hAnsi="仿宋_GB2312" w:eastAsia="仿宋_GB2312" w:cs="仿宋_GB2312"/>
                <w:sz w:val="24"/>
              </w:rPr>
              <w:t>开幕式</w:t>
            </w:r>
          </w:p>
        </w:tc>
        <w:tc>
          <w:tcPr>
            <w:tcW w:w="929" w:type="pct"/>
            <w:noWrap w:val="0"/>
            <w:vAlign w:val="center"/>
          </w:tcPr>
          <w:p w14:paraId="7050B9CA">
            <w:pPr>
              <w:spacing w:line="0" w:lineRule="atLeast"/>
              <w:jc w:val="center"/>
              <w:rPr>
                <w:rFonts w:hint="eastAsia" w:ascii="仿宋_GB2312" w:hAnsi="仿宋_GB2312" w:eastAsia="仿宋_GB2312" w:cs="仿宋_GB2312"/>
                <w:sz w:val="24"/>
              </w:rPr>
            </w:pPr>
            <w:r>
              <w:rPr>
                <w:rFonts w:hint="eastAsia" w:ascii="仿宋_GB2312" w:hAnsi="仿宋_GB2312" w:eastAsia="仿宋_GB2312" w:cs="仿宋_GB2312"/>
                <w:sz w:val="24"/>
              </w:rPr>
              <w:t>开幕式会场</w:t>
            </w:r>
          </w:p>
        </w:tc>
      </w:tr>
      <w:tr w14:paraId="675608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982" w:type="pct"/>
            <w:vMerge w:val="continue"/>
            <w:noWrap w:val="0"/>
            <w:vAlign w:val="center"/>
          </w:tcPr>
          <w:p w14:paraId="5ABE02FC">
            <w:pPr>
              <w:spacing w:line="0" w:lineRule="atLeast"/>
              <w:jc w:val="center"/>
              <w:rPr>
                <w:rFonts w:hint="eastAsia" w:ascii="仿宋_GB2312" w:hAnsi="仿宋_GB2312" w:eastAsia="仿宋_GB2312" w:cs="仿宋_GB2312"/>
                <w:sz w:val="24"/>
              </w:rPr>
            </w:pPr>
          </w:p>
        </w:tc>
        <w:tc>
          <w:tcPr>
            <w:tcW w:w="1047" w:type="pct"/>
            <w:noWrap w:val="0"/>
            <w:vAlign w:val="center"/>
          </w:tcPr>
          <w:p w14:paraId="40BC0EBF">
            <w:pPr>
              <w:spacing w:line="0" w:lineRule="atLeast"/>
              <w:jc w:val="center"/>
              <w:rPr>
                <w:rFonts w:hint="eastAsia" w:ascii="仿宋_GB2312" w:hAnsi="仿宋_GB2312" w:eastAsia="仿宋_GB2312" w:cs="仿宋_GB2312"/>
                <w:sz w:val="24"/>
              </w:rPr>
            </w:pPr>
            <w:r>
              <w:rPr>
                <w:rFonts w:hint="eastAsia" w:ascii="仿宋_GB2312" w:hAnsi="仿宋_GB2312" w:eastAsia="仿宋_GB2312" w:cs="仿宋_GB2312"/>
                <w:sz w:val="24"/>
              </w:rPr>
              <w:t>09:</w:t>
            </w:r>
            <w:r>
              <w:rPr>
                <w:rFonts w:hint="eastAsia" w:ascii="仿宋_GB2312" w:hAnsi="仿宋_GB2312" w:eastAsia="仿宋_GB2312" w:cs="仿宋_GB2312"/>
                <w:sz w:val="24"/>
                <w:lang w:val="en-US" w:eastAsia="zh-CN"/>
              </w:rPr>
              <w:t>00</w:t>
            </w:r>
            <w:r>
              <w:rPr>
                <w:rFonts w:hint="eastAsia" w:ascii="仿宋_GB2312" w:hAnsi="仿宋_GB2312" w:eastAsia="仿宋_GB2312" w:cs="仿宋_GB2312"/>
                <w:sz w:val="24"/>
              </w:rPr>
              <w:t>-09:</w:t>
            </w:r>
            <w:r>
              <w:rPr>
                <w:rFonts w:hint="eastAsia" w:ascii="仿宋_GB2312" w:hAnsi="仿宋_GB2312" w:eastAsia="仿宋_GB2312" w:cs="仿宋_GB2312"/>
                <w:sz w:val="24"/>
                <w:lang w:val="en-US" w:eastAsia="zh-CN"/>
              </w:rPr>
              <w:t>3</w:t>
            </w:r>
            <w:r>
              <w:rPr>
                <w:rFonts w:hint="eastAsia" w:ascii="仿宋_GB2312" w:hAnsi="仿宋_GB2312" w:eastAsia="仿宋_GB2312" w:cs="仿宋_GB2312"/>
                <w:sz w:val="24"/>
              </w:rPr>
              <w:t>0</w:t>
            </w:r>
          </w:p>
        </w:tc>
        <w:tc>
          <w:tcPr>
            <w:tcW w:w="2040" w:type="pct"/>
            <w:noWrap w:val="0"/>
            <w:vAlign w:val="center"/>
          </w:tcPr>
          <w:p w14:paraId="7F4E099E">
            <w:pPr>
              <w:spacing w:line="0" w:lineRule="atLeast"/>
              <w:jc w:val="center"/>
              <w:rPr>
                <w:rFonts w:hint="eastAsia" w:ascii="仿宋_GB2312" w:hAnsi="仿宋_GB2312" w:eastAsia="仿宋_GB2312" w:cs="仿宋_GB2312"/>
                <w:sz w:val="24"/>
              </w:rPr>
            </w:pPr>
            <w:r>
              <w:rPr>
                <w:rFonts w:hint="eastAsia" w:ascii="仿宋_GB2312" w:hAnsi="仿宋_GB2312" w:eastAsia="仿宋_GB2312" w:cs="仿宋_GB2312"/>
                <w:sz w:val="24"/>
              </w:rPr>
              <w:t>选手检录、两次加密</w:t>
            </w:r>
          </w:p>
        </w:tc>
        <w:tc>
          <w:tcPr>
            <w:tcW w:w="929" w:type="pct"/>
            <w:noWrap w:val="0"/>
            <w:vAlign w:val="center"/>
          </w:tcPr>
          <w:p w14:paraId="43BF8D37">
            <w:pPr>
              <w:spacing w:line="0" w:lineRule="atLeast"/>
              <w:jc w:val="center"/>
              <w:rPr>
                <w:rFonts w:hint="eastAsia" w:ascii="仿宋_GB2312" w:hAnsi="仿宋_GB2312" w:eastAsia="仿宋_GB2312" w:cs="仿宋_GB2312"/>
                <w:sz w:val="24"/>
              </w:rPr>
            </w:pPr>
            <w:r>
              <w:rPr>
                <w:rFonts w:hint="eastAsia" w:ascii="仿宋_GB2312" w:hAnsi="仿宋_GB2312" w:eastAsia="仿宋_GB2312" w:cs="仿宋_GB2312"/>
                <w:sz w:val="24"/>
              </w:rPr>
              <w:t>检录室</w:t>
            </w:r>
          </w:p>
        </w:tc>
      </w:tr>
      <w:tr w14:paraId="2E469E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982" w:type="pct"/>
            <w:vMerge w:val="continue"/>
            <w:noWrap w:val="0"/>
            <w:vAlign w:val="center"/>
          </w:tcPr>
          <w:p w14:paraId="7B43E692">
            <w:pPr>
              <w:spacing w:line="0" w:lineRule="atLeast"/>
              <w:jc w:val="center"/>
              <w:rPr>
                <w:rFonts w:hint="eastAsia" w:ascii="仿宋_GB2312" w:hAnsi="仿宋_GB2312" w:eastAsia="仿宋_GB2312" w:cs="仿宋_GB2312"/>
                <w:sz w:val="24"/>
              </w:rPr>
            </w:pPr>
          </w:p>
        </w:tc>
        <w:tc>
          <w:tcPr>
            <w:tcW w:w="1047" w:type="pct"/>
            <w:noWrap w:val="0"/>
            <w:vAlign w:val="center"/>
          </w:tcPr>
          <w:p w14:paraId="7ADAA39A">
            <w:pPr>
              <w:spacing w:line="0" w:lineRule="atLeast"/>
              <w:jc w:val="center"/>
              <w:rPr>
                <w:rFonts w:hint="eastAsia" w:ascii="仿宋_GB2312" w:hAnsi="仿宋_GB2312" w:eastAsia="仿宋_GB2312" w:cs="仿宋_GB2312"/>
                <w:sz w:val="24"/>
              </w:rPr>
            </w:pPr>
            <w:r>
              <w:rPr>
                <w:rFonts w:hint="eastAsia" w:ascii="仿宋_GB2312" w:hAnsi="仿宋_GB2312" w:eastAsia="仿宋_GB2312" w:cs="仿宋_GB2312"/>
                <w:sz w:val="24"/>
                <w:lang w:val="en-US" w:eastAsia="zh-CN"/>
              </w:rPr>
              <w:t>09</w:t>
            </w:r>
            <w:r>
              <w:rPr>
                <w:rFonts w:hint="eastAsia" w:ascii="仿宋_GB2312" w:hAnsi="仿宋_GB2312" w:eastAsia="仿宋_GB2312" w:cs="仿宋_GB2312"/>
                <w:sz w:val="24"/>
              </w:rPr>
              <w:t>:</w:t>
            </w:r>
            <w:r>
              <w:rPr>
                <w:rFonts w:hint="eastAsia" w:ascii="仿宋_GB2312" w:hAnsi="仿宋_GB2312" w:eastAsia="仿宋_GB2312" w:cs="仿宋_GB2312"/>
                <w:sz w:val="24"/>
                <w:lang w:val="en-US" w:eastAsia="zh-CN"/>
              </w:rPr>
              <w:t>30</w:t>
            </w:r>
            <w:r>
              <w:rPr>
                <w:rFonts w:hint="eastAsia" w:ascii="仿宋_GB2312" w:hAnsi="仿宋_GB2312" w:eastAsia="仿宋_GB2312" w:cs="仿宋_GB2312"/>
                <w:sz w:val="24"/>
              </w:rPr>
              <w:t>-1</w:t>
            </w:r>
            <w:r>
              <w:rPr>
                <w:rFonts w:hint="eastAsia" w:ascii="仿宋_GB2312" w:hAnsi="仿宋_GB2312" w:eastAsia="仿宋_GB2312" w:cs="仿宋_GB2312"/>
                <w:sz w:val="24"/>
                <w:lang w:val="en-US" w:eastAsia="zh-CN"/>
              </w:rPr>
              <w:t>3</w:t>
            </w:r>
            <w:r>
              <w:rPr>
                <w:rFonts w:hint="eastAsia" w:ascii="仿宋_GB2312" w:hAnsi="仿宋_GB2312" w:eastAsia="仿宋_GB2312" w:cs="仿宋_GB2312"/>
                <w:sz w:val="24"/>
              </w:rPr>
              <w:t>:</w:t>
            </w:r>
            <w:r>
              <w:rPr>
                <w:rFonts w:hint="eastAsia" w:ascii="仿宋_GB2312" w:hAnsi="仿宋_GB2312" w:eastAsia="仿宋_GB2312" w:cs="仿宋_GB2312"/>
                <w:sz w:val="24"/>
                <w:lang w:val="en-US" w:eastAsia="zh-CN"/>
              </w:rPr>
              <w:t>3</w:t>
            </w:r>
            <w:r>
              <w:rPr>
                <w:rFonts w:hint="eastAsia" w:ascii="仿宋_GB2312" w:hAnsi="仿宋_GB2312" w:eastAsia="仿宋_GB2312" w:cs="仿宋_GB2312"/>
                <w:sz w:val="24"/>
              </w:rPr>
              <w:t>0</w:t>
            </w:r>
          </w:p>
        </w:tc>
        <w:tc>
          <w:tcPr>
            <w:tcW w:w="2040" w:type="pct"/>
            <w:noWrap w:val="0"/>
            <w:vAlign w:val="center"/>
          </w:tcPr>
          <w:p w14:paraId="7C1B74D0">
            <w:pPr>
              <w:spacing w:line="0" w:lineRule="atLeast"/>
              <w:jc w:val="center"/>
              <w:rPr>
                <w:rFonts w:hint="eastAsia" w:ascii="仿宋_GB2312" w:hAnsi="仿宋_GB2312" w:eastAsia="仿宋_GB2312" w:cs="仿宋_GB2312"/>
                <w:sz w:val="24"/>
              </w:rPr>
            </w:pPr>
            <w:r>
              <w:rPr>
                <w:rFonts w:hint="eastAsia" w:ascii="仿宋_GB2312" w:hAnsi="仿宋_GB2312" w:eastAsia="仿宋_GB2312" w:cs="仿宋_GB2312"/>
                <w:sz w:val="24"/>
              </w:rPr>
              <w:t>模块一竞赛</w:t>
            </w:r>
          </w:p>
        </w:tc>
        <w:tc>
          <w:tcPr>
            <w:tcW w:w="929" w:type="pct"/>
            <w:noWrap w:val="0"/>
            <w:vAlign w:val="center"/>
          </w:tcPr>
          <w:p w14:paraId="1FD90227">
            <w:pPr>
              <w:spacing w:line="0" w:lineRule="atLeast"/>
              <w:jc w:val="center"/>
              <w:rPr>
                <w:rFonts w:hint="eastAsia" w:ascii="仿宋_GB2312" w:hAnsi="仿宋_GB2312" w:eastAsia="仿宋_GB2312" w:cs="仿宋_GB2312"/>
                <w:sz w:val="24"/>
              </w:rPr>
            </w:pPr>
            <w:r>
              <w:rPr>
                <w:rFonts w:hint="eastAsia" w:ascii="仿宋_GB2312" w:hAnsi="仿宋_GB2312" w:eastAsia="仿宋_GB2312" w:cs="仿宋_GB2312"/>
                <w:sz w:val="24"/>
              </w:rPr>
              <w:t>赛场</w:t>
            </w:r>
          </w:p>
        </w:tc>
      </w:tr>
      <w:tr w14:paraId="1A0817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982" w:type="pct"/>
            <w:vMerge w:val="continue"/>
            <w:noWrap w:val="0"/>
            <w:vAlign w:val="center"/>
          </w:tcPr>
          <w:p w14:paraId="32E8925C">
            <w:pPr>
              <w:spacing w:line="0" w:lineRule="atLeast"/>
              <w:jc w:val="center"/>
              <w:rPr>
                <w:rFonts w:hint="eastAsia" w:ascii="仿宋_GB2312" w:hAnsi="仿宋_GB2312" w:eastAsia="仿宋_GB2312" w:cs="仿宋_GB2312"/>
                <w:sz w:val="24"/>
              </w:rPr>
            </w:pPr>
          </w:p>
        </w:tc>
        <w:tc>
          <w:tcPr>
            <w:tcW w:w="1047" w:type="pct"/>
            <w:noWrap w:val="0"/>
            <w:vAlign w:val="center"/>
          </w:tcPr>
          <w:p w14:paraId="10F034A4">
            <w:pPr>
              <w:spacing w:line="0" w:lineRule="atLeast"/>
              <w:jc w:val="center"/>
              <w:rPr>
                <w:rFonts w:hint="eastAsia" w:ascii="仿宋_GB2312" w:hAnsi="仿宋_GB2312" w:eastAsia="仿宋_GB2312" w:cs="仿宋_GB2312"/>
                <w:sz w:val="24"/>
              </w:rPr>
            </w:pPr>
            <w:r>
              <w:rPr>
                <w:rFonts w:hint="eastAsia" w:ascii="仿宋_GB2312" w:hAnsi="仿宋_GB2312" w:eastAsia="仿宋_GB2312" w:cs="仿宋_GB2312"/>
                <w:sz w:val="24"/>
              </w:rPr>
              <w:t>1</w:t>
            </w:r>
            <w:r>
              <w:rPr>
                <w:rFonts w:hint="eastAsia" w:ascii="仿宋_GB2312" w:hAnsi="仿宋_GB2312" w:eastAsia="仿宋_GB2312" w:cs="仿宋_GB2312"/>
                <w:sz w:val="24"/>
                <w:lang w:val="en-US" w:eastAsia="zh-CN"/>
              </w:rPr>
              <w:t>5</w:t>
            </w:r>
            <w:r>
              <w:rPr>
                <w:rFonts w:hint="eastAsia" w:ascii="仿宋_GB2312" w:hAnsi="仿宋_GB2312" w:eastAsia="仿宋_GB2312" w:cs="仿宋_GB2312"/>
                <w:sz w:val="24"/>
              </w:rPr>
              <w:t>:</w:t>
            </w:r>
            <w:r>
              <w:rPr>
                <w:rFonts w:hint="eastAsia" w:ascii="仿宋_GB2312" w:hAnsi="仿宋_GB2312" w:eastAsia="仿宋_GB2312" w:cs="仿宋_GB2312"/>
                <w:sz w:val="24"/>
                <w:lang w:val="en-US" w:eastAsia="zh-CN"/>
              </w:rPr>
              <w:t>0</w:t>
            </w:r>
            <w:r>
              <w:rPr>
                <w:rFonts w:hint="eastAsia" w:ascii="仿宋_GB2312" w:hAnsi="仿宋_GB2312" w:eastAsia="仿宋_GB2312" w:cs="仿宋_GB2312"/>
                <w:sz w:val="24"/>
              </w:rPr>
              <w:t>0-1</w:t>
            </w:r>
            <w:r>
              <w:rPr>
                <w:rFonts w:hint="eastAsia" w:ascii="仿宋_GB2312" w:hAnsi="仿宋_GB2312" w:eastAsia="仿宋_GB2312" w:cs="仿宋_GB2312"/>
                <w:sz w:val="24"/>
                <w:lang w:val="en-US" w:eastAsia="zh-CN"/>
              </w:rPr>
              <w:t>9</w:t>
            </w:r>
            <w:r>
              <w:rPr>
                <w:rFonts w:hint="eastAsia" w:ascii="仿宋_GB2312" w:hAnsi="仿宋_GB2312" w:eastAsia="仿宋_GB2312" w:cs="仿宋_GB2312"/>
                <w:sz w:val="24"/>
              </w:rPr>
              <w:t>:00</w:t>
            </w:r>
          </w:p>
        </w:tc>
        <w:tc>
          <w:tcPr>
            <w:tcW w:w="2040" w:type="pct"/>
            <w:noWrap w:val="0"/>
            <w:vAlign w:val="center"/>
          </w:tcPr>
          <w:p w14:paraId="1FF353CE">
            <w:pPr>
              <w:spacing w:line="0" w:lineRule="atLeast"/>
              <w:jc w:val="center"/>
              <w:rPr>
                <w:rFonts w:hint="default" w:ascii="仿宋_GB2312" w:hAnsi="仿宋_GB2312" w:eastAsia="仿宋_GB2312" w:cs="仿宋_GB2312"/>
                <w:sz w:val="24"/>
                <w:lang w:val="en-US" w:eastAsia="zh-CN"/>
              </w:rPr>
            </w:pPr>
            <w:r>
              <w:rPr>
                <w:rFonts w:hint="eastAsia" w:ascii="仿宋_GB2312" w:hAnsi="仿宋_GB2312" w:eastAsia="仿宋_GB2312" w:cs="仿宋_GB2312"/>
                <w:sz w:val="24"/>
              </w:rPr>
              <w:t>模块二</w:t>
            </w:r>
            <w:r>
              <w:rPr>
                <w:rFonts w:hint="eastAsia" w:ascii="仿宋_GB2312" w:hAnsi="仿宋_GB2312" w:eastAsia="仿宋_GB2312" w:cs="仿宋_GB2312"/>
                <w:sz w:val="24"/>
                <w:lang w:val="en-US" w:eastAsia="zh-CN"/>
              </w:rPr>
              <w:t>竞赛</w:t>
            </w:r>
          </w:p>
        </w:tc>
        <w:tc>
          <w:tcPr>
            <w:tcW w:w="929" w:type="pct"/>
            <w:noWrap w:val="0"/>
            <w:vAlign w:val="center"/>
          </w:tcPr>
          <w:p w14:paraId="74DCC323">
            <w:pPr>
              <w:spacing w:line="0" w:lineRule="atLeast"/>
              <w:jc w:val="center"/>
              <w:rPr>
                <w:rFonts w:hint="eastAsia" w:ascii="仿宋_GB2312" w:hAnsi="仿宋_GB2312" w:eastAsia="仿宋_GB2312" w:cs="仿宋_GB2312"/>
                <w:sz w:val="24"/>
              </w:rPr>
            </w:pPr>
            <w:r>
              <w:rPr>
                <w:rFonts w:hint="eastAsia" w:ascii="仿宋_GB2312" w:hAnsi="仿宋_GB2312" w:eastAsia="仿宋_GB2312" w:cs="仿宋_GB2312"/>
                <w:sz w:val="24"/>
              </w:rPr>
              <w:t>赛场</w:t>
            </w:r>
          </w:p>
        </w:tc>
      </w:tr>
      <w:tr w14:paraId="11BC2E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982" w:type="pct"/>
            <w:vMerge w:val="continue"/>
            <w:noWrap w:val="0"/>
            <w:vAlign w:val="center"/>
          </w:tcPr>
          <w:p w14:paraId="650C9132">
            <w:pPr>
              <w:spacing w:line="0" w:lineRule="atLeast"/>
              <w:jc w:val="center"/>
              <w:rPr>
                <w:rFonts w:hint="eastAsia" w:ascii="仿宋_GB2312" w:hAnsi="仿宋_GB2312" w:eastAsia="仿宋_GB2312" w:cs="仿宋_GB2312"/>
                <w:sz w:val="24"/>
              </w:rPr>
            </w:pPr>
          </w:p>
        </w:tc>
        <w:tc>
          <w:tcPr>
            <w:tcW w:w="1047" w:type="pct"/>
            <w:noWrap w:val="0"/>
            <w:vAlign w:val="center"/>
          </w:tcPr>
          <w:p w14:paraId="5C5C4376">
            <w:pPr>
              <w:spacing w:line="0" w:lineRule="atLeast"/>
              <w:jc w:val="center"/>
              <w:rPr>
                <w:rFonts w:hint="default" w:ascii="仿宋_GB2312" w:hAnsi="仿宋_GB2312" w:eastAsia="仿宋_GB2312" w:cs="仿宋_GB2312"/>
                <w:sz w:val="24"/>
                <w:lang w:val="en-US" w:eastAsia="zh-CN"/>
              </w:rPr>
            </w:pPr>
            <w:r>
              <w:rPr>
                <w:rFonts w:hint="eastAsia" w:ascii="仿宋_GB2312" w:hAnsi="仿宋_GB2312" w:eastAsia="仿宋_GB2312" w:cs="仿宋_GB2312"/>
                <w:sz w:val="24"/>
                <w:lang w:val="en-US" w:eastAsia="zh-CN"/>
              </w:rPr>
              <w:t>19:20</w:t>
            </w:r>
          </w:p>
        </w:tc>
        <w:tc>
          <w:tcPr>
            <w:tcW w:w="2040" w:type="pct"/>
            <w:noWrap w:val="0"/>
            <w:vAlign w:val="center"/>
          </w:tcPr>
          <w:p w14:paraId="4613ABEF">
            <w:pPr>
              <w:spacing w:line="0" w:lineRule="atLeast"/>
              <w:jc w:val="center"/>
              <w:rPr>
                <w:rFonts w:hint="eastAsia" w:ascii="仿宋_GB2312" w:hAnsi="仿宋_GB2312" w:eastAsia="仿宋_GB2312" w:cs="仿宋_GB2312"/>
                <w:sz w:val="24"/>
              </w:rPr>
            </w:pPr>
            <w:r>
              <w:rPr>
                <w:rFonts w:hint="eastAsia" w:ascii="仿宋_GB2312" w:hAnsi="仿宋_GB2312" w:eastAsia="仿宋_GB2312" w:cs="仿宋_GB2312"/>
                <w:sz w:val="24"/>
              </w:rPr>
              <w:t>成绩评定</w:t>
            </w:r>
            <w:r>
              <w:rPr>
                <w:rFonts w:hint="eastAsia" w:ascii="仿宋_GB2312" w:hAnsi="仿宋_GB2312" w:eastAsia="仿宋_GB2312" w:cs="仿宋_GB2312"/>
                <w:sz w:val="24"/>
                <w:lang w:val="en-US" w:eastAsia="zh-CN"/>
              </w:rPr>
              <w:t>并公布成绩</w:t>
            </w:r>
          </w:p>
        </w:tc>
        <w:tc>
          <w:tcPr>
            <w:tcW w:w="929" w:type="pct"/>
            <w:noWrap w:val="0"/>
            <w:vAlign w:val="center"/>
          </w:tcPr>
          <w:p w14:paraId="7E517631">
            <w:pPr>
              <w:spacing w:line="0" w:lineRule="atLeast"/>
              <w:jc w:val="center"/>
              <w:rPr>
                <w:rFonts w:hint="eastAsia" w:ascii="仿宋_GB2312" w:hAnsi="仿宋_GB2312" w:eastAsia="仿宋_GB2312" w:cs="仿宋_GB2312"/>
                <w:sz w:val="24"/>
                <w:lang w:val="en-US" w:eastAsia="zh-CN"/>
              </w:rPr>
            </w:pPr>
            <w:r>
              <w:rPr>
                <w:rFonts w:hint="eastAsia" w:ascii="仿宋_GB2312" w:hAnsi="仿宋_GB2312" w:eastAsia="仿宋_GB2312" w:cs="仿宋_GB2312"/>
                <w:sz w:val="24"/>
                <w:lang w:val="en-US" w:eastAsia="zh-CN"/>
              </w:rPr>
              <w:t>赛场</w:t>
            </w:r>
          </w:p>
        </w:tc>
      </w:tr>
    </w:tbl>
    <w:p w14:paraId="140C0FB0">
      <w:pPr>
        <w:keepNext w:val="0"/>
        <w:keepLines w:val="0"/>
        <w:pageBreakBefore w:val="0"/>
        <w:widowControl w:val="0"/>
        <w:kinsoku/>
        <w:wordWrap/>
        <w:overflowPunct/>
        <w:topLinePunct w:val="0"/>
        <w:autoSpaceDE/>
        <w:autoSpaceDN/>
        <w:bidi w:val="0"/>
        <w:adjustRightInd w:val="0"/>
        <w:snapToGrid w:val="0"/>
        <w:spacing w:before="157" w:beforeLines="50" w:after="157" w:afterLines="50" w:line="240" w:lineRule="auto"/>
        <w:ind w:firstLine="482" w:firstLineChars="200"/>
        <w:textAlignment w:val="auto"/>
        <w:outlineLvl w:val="1"/>
        <w:rPr>
          <w:rFonts w:hint="eastAsia" w:ascii="仿宋_GB2312" w:hAnsi="仿宋_GB2312" w:eastAsia="仿宋_GB2312" w:cs="仿宋_GB2312"/>
          <w:b/>
          <w:bCs/>
          <w:color w:val="auto"/>
          <w:sz w:val="24"/>
          <w:szCs w:val="28"/>
          <w:highlight w:val="none"/>
        </w:rPr>
      </w:pPr>
      <w:r>
        <w:rPr>
          <w:rFonts w:hint="eastAsia" w:ascii="仿宋_GB2312" w:hAnsi="仿宋_GB2312" w:eastAsia="仿宋_GB2312" w:cs="仿宋_GB2312"/>
          <w:b/>
          <w:bCs/>
          <w:color w:val="auto"/>
          <w:sz w:val="24"/>
          <w:szCs w:val="28"/>
          <w:highlight w:val="none"/>
        </w:rPr>
        <w:t>（二）参赛选手竞赛过程</w:t>
      </w:r>
    </w:p>
    <w:tbl>
      <w:tblPr>
        <w:tblStyle w:val="5"/>
        <w:tblW w:w="500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727"/>
        <w:gridCol w:w="1386"/>
        <w:gridCol w:w="2055"/>
        <w:gridCol w:w="2944"/>
        <w:gridCol w:w="1975"/>
      </w:tblGrid>
      <w:tr w14:paraId="7799EA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blHeader/>
          <w:jc w:val="center"/>
        </w:trPr>
        <w:tc>
          <w:tcPr>
            <w:tcW w:w="400" w:type="pct"/>
            <w:noWrap w:val="0"/>
            <w:vAlign w:val="center"/>
          </w:tcPr>
          <w:p w14:paraId="7A64E055">
            <w:pPr>
              <w:spacing w:line="0" w:lineRule="atLeast"/>
              <w:jc w:val="center"/>
              <w:rPr>
                <w:rFonts w:hint="eastAsia" w:ascii="仿宋_GB2312" w:hAnsi="仿宋_GB2312" w:eastAsia="仿宋_GB2312" w:cs="仿宋_GB2312"/>
                <w:b/>
                <w:bCs/>
                <w:sz w:val="24"/>
                <w:szCs w:val="28"/>
              </w:rPr>
            </w:pPr>
            <w:r>
              <w:rPr>
                <w:rFonts w:hint="eastAsia" w:ascii="仿宋_GB2312" w:hAnsi="仿宋_GB2312" w:eastAsia="仿宋_GB2312" w:cs="仿宋_GB2312"/>
                <w:b/>
                <w:bCs/>
                <w:sz w:val="24"/>
                <w:szCs w:val="28"/>
              </w:rPr>
              <w:t>序号</w:t>
            </w:r>
          </w:p>
        </w:tc>
        <w:tc>
          <w:tcPr>
            <w:tcW w:w="762" w:type="pct"/>
            <w:noWrap w:val="0"/>
            <w:vAlign w:val="center"/>
          </w:tcPr>
          <w:p w14:paraId="6B49A59D">
            <w:pPr>
              <w:spacing w:line="0" w:lineRule="atLeast"/>
              <w:jc w:val="center"/>
              <w:rPr>
                <w:rFonts w:hint="eastAsia" w:ascii="仿宋_GB2312" w:hAnsi="仿宋_GB2312" w:eastAsia="仿宋_GB2312" w:cs="仿宋_GB2312"/>
                <w:b/>
                <w:bCs/>
                <w:sz w:val="24"/>
                <w:szCs w:val="28"/>
              </w:rPr>
            </w:pPr>
            <w:r>
              <w:rPr>
                <w:rFonts w:hint="eastAsia" w:ascii="仿宋_GB2312" w:hAnsi="仿宋_GB2312" w:eastAsia="仿宋_GB2312" w:cs="仿宋_GB2312"/>
                <w:b/>
                <w:bCs/>
                <w:sz w:val="24"/>
                <w:szCs w:val="28"/>
              </w:rPr>
              <w:t>时间</w:t>
            </w:r>
          </w:p>
        </w:tc>
        <w:tc>
          <w:tcPr>
            <w:tcW w:w="1130" w:type="pct"/>
            <w:noWrap w:val="0"/>
            <w:vAlign w:val="center"/>
          </w:tcPr>
          <w:p w14:paraId="48F369E0">
            <w:pPr>
              <w:spacing w:line="0" w:lineRule="atLeast"/>
              <w:jc w:val="center"/>
              <w:rPr>
                <w:rFonts w:hint="eastAsia" w:ascii="仿宋_GB2312" w:hAnsi="仿宋_GB2312" w:eastAsia="仿宋_GB2312" w:cs="仿宋_GB2312"/>
                <w:b/>
                <w:bCs/>
                <w:sz w:val="24"/>
                <w:szCs w:val="28"/>
              </w:rPr>
            </w:pPr>
            <w:r>
              <w:rPr>
                <w:rFonts w:hint="eastAsia" w:ascii="仿宋_GB2312" w:hAnsi="仿宋_GB2312" w:eastAsia="仿宋_GB2312" w:cs="仿宋_GB2312"/>
                <w:b/>
                <w:bCs/>
                <w:sz w:val="24"/>
                <w:szCs w:val="28"/>
              </w:rPr>
              <w:t>事项</w:t>
            </w:r>
          </w:p>
        </w:tc>
        <w:tc>
          <w:tcPr>
            <w:tcW w:w="1619" w:type="pct"/>
            <w:noWrap w:val="0"/>
            <w:vAlign w:val="center"/>
          </w:tcPr>
          <w:p w14:paraId="19628B57">
            <w:pPr>
              <w:spacing w:line="0" w:lineRule="atLeast"/>
              <w:jc w:val="center"/>
              <w:rPr>
                <w:rFonts w:hint="eastAsia" w:ascii="仿宋_GB2312" w:hAnsi="仿宋_GB2312" w:eastAsia="仿宋_GB2312" w:cs="仿宋_GB2312"/>
                <w:b/>
                <w:bCs/>
                <w:sz w:val="24"/>
                <w:szCs w:val="28"/>
              </w:rPr>
            </w:pPr>
            <w:r>
              <w:rPr>
                <w:rFonts w:hint="eastAsia" w:ascii="仿宋_GB2312" w:hAnsi="仿宋_GB2312" w:eastAsia="仿宋_GB2312" w:cs="仿宋_GB2312"/>
                <w:b/>
                <w:bCs/>
                <w:sz w:val="24"/>
                <w:szCs w:val="28"/>
              </w:rPr>
              <w:t>内容</w:t>
            </w:r>
          </w:p>
        </w:tc>
        <w:tc>
          <w:tcPr>
            <w:tcW w:w="1086" w:type="pct"/>
            <w:noWrap w:val="0"/>
            <w:vAlign w:val="center"/>
          </w:tcPr>
          <w:p w14:paraId="3C6D7D28">
            <w:pPr>
              <w:spacing w:line="0" w:lineRule="atLeast"/>
              <w:jc w:val="center"/>
              <w:rPr>
                <w:rFonts w:hint="eastAsia" w:ascii="仿宋_GB2312" w:hAnsi="仿宋_GB2312" w:eastAsia="仿宋_GB2312" w:cs="仿宋_GB2312"/>
                <w:b/>
                <w:bCs/>
                <w:sz w:val="24"/>
                <w:szCs w:val="28"/>
              </w:rPr>
            </w:pPr>
            <w:r>
              <w:rPr>
                <w:rFonts w:hint="eastAsia" w:ascii="仿宋_GB2312" w:hAnsi="仿宋_GB2312" w:eastAsia="仿宋_GB2312" w:cs="仿宋_GB2312"/>
                <w:b/>
                <w:bCs/>
                <w:sz w:val="24"/>
                <w:szCs w:val="28"/>
              </w:rPr>
              <w:t>说明</w:t>
            </w:r>
          </w:p>
        </w:tc>
      </w:tr>
      <w:tr w14:paraId="70855B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400" w:type="pct"/>
            <w:noWrap w:val="0"/>
            <w:vAlign w:val="center"/>
          </w:tcPr>
          <w:p w14:paraId="7EBC9307">
            <w:pPr>
              <w:spacing w:line="0" w:lineRule="atLeast"/>
              <w:jc w:val="center"/>
              <w:rPr>
                <w:rFonts w:hint="eastAsia" w:ascii="仿宋_GB2312" w:hAnsi="仿宋_GB2312" w:eastAsia="仿宋_GB2312" w:cs="仿宋_GB2312"/>
                <w:sz w:val="24"/>
              </w:rPr>
            </w:pPr>
            <w:r>
              <w:rPr>
                <w:rFonts w:hint="eastAsia" w:ascii="仿宋_GB2312" w:hAnsi="仿宋_GB2312" w:eastAsia="仿宋_GB2312" w:cs="仿宋_GB2312"/>
                <w:sz w:val="24"/>
              </w:rPr>
              <w:t>1</w:t>
            </w:r>
          </w:p>
        </w:tc>
        <w:tc>
          <w:tcPr>
            <w:tcW w:w="762" w:type="pct"/>
            <w:vMerge w:val="restart"/>
            <w:noWrap w:val="0"/>
            <w:vAlign w:val="center"/>
          </w:tcPr>
          <w:p w14:paraId="213026A6">
            <w:pPr>
              <w:spacing w:line="0" w:lineRule="atLeast"/>
              <w:jc w:val="center"/>
              <w:rPr>
                <w:rFonts w:hint="eastAsia" w:ascii="仿宋_GB2312" w:hAnsi="仿宋_GB2312" w:eastAsia="仿宋_GB2312" w:cs="仿宋_GB2312"/>
                <w:sz w:val="24"/>
                <w:lang w:val="en-US" w:eastAsia="zh-CN"/>
              </w:rPr>
            </w:pPr>
            <w:r>
              <w:rPr>
                <w:rFonts w:hint="eastAsia" w:ascii="仿宋_GB2312" w:hAnsi="仿宋_GB2312" w:eastAsia="仿宋_GB2312" w:cs="仿宋_GB2312"/>
                <w:sz w:val="24"/>
                <w:lang w:val="en-US" w:eastAsia="zh-CN"/>
              </w:rPr>
              <w:t>第二天</w:t>
            </w:r>
          </w:p>
        </w:tc>
        <w:tc>
          <w:tcPr>
            <w:tcW w:w="1130" w:type="pct"/>
            <w:noWrap w:val="0"/>
            <w:vAlign w:val="center"/>
          </w:tcPr>
          <w:p w14:paraId="1772E6D3">
            <w:pPr>
              <w:spacing w:line="0" w:lineRule="atLeast"/>
              <w:jc w:val="center"/>
              <w:rPr>
                <w:rFonts w:hint="eastAsia" w:ascii="仿宋_GB2312" w:hAnsi="仿宋_GB2312" w:eastAsia="仿宋_GB2312" w:cs="仿宋_GB2312"/>
                <w:sz w:val="24"/>
              </w:rPr>
            </w:pPr>
            <w:r>
              <w:rPr>
                <w:rFonts w:hint="eastAsia" w:ascii="仿宋_GB2312" w:hAnsi="仿宋_GB2312" w:eastAsia="仿宋_GB2312" w:cs="仿宋_GB2312"/>
                <w:sz w:val="24"/>
              </w:rPr>
              <w:t>选手检录、模块一与模块二加密</w:t>
            </w:r>
          </w:p>
        </w:tc>
        <w:tc>
          <w:tcPr>
            <w:tcW w:w="1619" w:type="pct"/>
            <w:noWrap w:val="0"/>
            <w:vAlign w:val="center"/>
          </w:tcPr>
          <w:p w14:paraId="4301B02A">
            <w:pPr>
              <w:spacing w:line="0" w:lineRule="atLeast"/>
              <w:jc w:val="center"/>
              <w:rPr>
                <w:rFonts w:hint="eastAsia" w:ascii="仿宋_GB2312" w:hAnsi="仿宋_GB2312" w:eastAsia="仿宋_GB2312" w:cs="仿宋_GB2312"/>
                <w:sz w:val="24"/>
              </w:rPr>
            </w:pPr>
            <w:r>
              <w:rPr>
                <w:rFonts w:hint="eastAsia" w:ascii="仿宋_GB2312" w:hAnsi="仿宋_GB2312" w:eastAsia="仿宋_GB2312" w:cs="仿宋_GB2312"/>
                <w:sz w:val="24"/>
              </w:rPr>
              <w:t>凭组委会规定有效证件检录、两次加密</w:t>
            </w:r>
          </w:p>
        </w:tc>
        <w:tc>
          <w:tcPr>
            <w:tcW w:w="1086" w:type="pct"/>
            <w:noWrap w:val="0"/>
            <w:vAlign w:val="center"/>
          </w:tcPr>
          <w:p w14:paraId="35F1CEB0">
            <w:pPr>
              <w:spacing w:line="0" w:lineRule="atLeast"/>
              <w:jc w:val="center"/>
              <w:rPr>
                <w:rFonts w:hint="eastAsia" w:ascii="仿宋_GB2312" w:hAnsi="仿宋_GB2312" w:eastAsia="仿宋_GB2312" w:cs="仿宋_GB2312"/>
                <w:sz w:val="24"/>
              </w:rPr>
            </w:pPr>
            <w:r>
              <w:rPr>
                <w:rFonts w:hint="eastAsia" w:ascii="仿宋_GB2312" w:hAnsi="仿宋_GB2312" w:eastAsia="仿宋_GB2312" w:cs="仿宋_GB2312"/>
                <w:sz w:val="24"/>
              </w:rPr>
              <w:t>开赛前10分钟截止</w:t>
            </w:r>
          </w:p>
        </w:tc>
      </w:tr>
      <w:tr w14:paraId="78F63C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400" w:type="pct"/>
            <w:noWrap w:val="0"/>
            <w:vAlign w:val="center"/>
          </w:tcPr>
          <w:p w14:paraId="5B5FD095">
            <w:pPr>
              <w:spacing w:line="0" w:lineRule="atLeast"/>
              <w:jc w:val="center"/>
              <w:rPr>
                <w:rFonts w:hint="eastAsia" w:ascii="仿宋_GB2312" w:hAnsi="仿宋_GB2312" w:eastAsia="仿宋_GB2312" w:cs="仿宋_GB2312"/>
                <w:sz w:val="24"/>
              </w:rPr>
            </w:pPr>
            <w:r>
              <w:rPr>
                <w:rFonts w:hint="eastAsia" w:ascii="仿宋_GB2312" w:hAnsi="仿宋_GB2312" w:eastAsia="仿宋_GB2312" w:cs="仿宋_GB2312"/>
                <w:sz w:val="24"/>
              </w:rPr>
              <w:t>2</w:t>
            </w:r>
          </w:p>
        </w:tc>
        <w:tc>
          <w:tcPr>
            <w:tcW w:w="762" w:type="pct"/>
            <w:vMerge w:val="continue"/>
            <w:noWrap w:val="0"/>
            <w:vAlign w:val="center"/>
          </w:tcPr>
          <w:p w14:paraId="103D61C2">
            <w:pPr>
              <w:spacing w:line="0" w:lineRule="atLeast"/>
              <w:jc w:val="center"/>
              <w:rPr>
                <w:rFonts w:hint="eastAsia" w:ascii="仿宋_GB2312" w:hAnsi="仿宋_GB2312" w:eastAsia="仿宋_GB2312" w:cs="仿宋_GB2312"/>
                <w:sz w:val="24"/>
              </w:rPr>
            </w:pPr>
          </w:p>
        </w:tc>
        <w:tc>
          <w:tcPr>
            <w:tcW w:w="1130" w:type="pct"/>
            <w:noWrap w:val="0"/>
            <w:vAlign w:val="center"/>
          </w:tcPr>
          <w:p w14:paraId="76B27B45">
            <w:pPr>
              <w:spacing w:line="0" w:lineRule="atLeast"/>
              <w:jc w:val="center"/>
              <w:rPr>
                <w:rFonts w:hint="eastAsia" w:ascii="仿宋_GB2312" w:hAnsi="仿宋_GB2312" w:eastAsia="仿宋_GB2312" w:cs="仿宋_GB2312"/>
                <w:sz w:val="24"/>
              </w:rPr>
            </w:pPr>
            <w:r>
              <w:rPr>
                <w:rFonts w:hint="eastAsia" w:ascii="仿宋_GB2312" w:hAnsi="仿宋_GB2312" w:eastAsia="仿宋_GB2312" w:cs="仿宋_GB2312"/>
                <w:sz w:val="24"/>
              </w:rPr>
              <w:t>模块一、模块二竞赛</w:t>
            </w:r>
          </w:p>
        </w:tc>
        <w:tc>
          <w:tcPr>
            <w:tcW w:w="1619" w:type="pct"/>
            <w:noWrap w:val="0"/>
            <w:vAlign w:val="center"/>
          </w:tcPr>
          <w:p w14:paraId="23913EF1">
            <w:pPr>
              <w:spacing w:line="0" w:lineRule="atLeast"/>
              <w:jc w:val="center"/>
              <w:rPr>
                <w:rFonts w:hint="eastAsia" w:ascii="仿宋_GB2312" w:hAnsi="仿宋_GB2312" w:eastAsia="仿宋_GB2312" w:cs="仿宋_GB2312"/>
                <w:sz w:val="24"/>
              </w:rPr>
            </w:pPr>
            <w:r>
              <w:rPr>
                <w:rFonts w:hint="eastAsia" w:ascii="仿宋_GB2312" w:hAnsi="仿宋_GB2312" w:eastAsia="仿宋_GB2312" w:cs="仿宋_GB2312"/>
                <w:sz w:val="24"/>
              </w:rPr>
              <w:t>依据二次加密号进入指定赛位，规定时间内完成竞赛</w:t>
            </w:r>
          </w:p>
        </w:tc>
        <w:tc>
          <w:tcPr>
            <w:tcW w:w="1086" w:type="pct"/>
            <w:noWrap w:val="0"/>
            <w:vAlign w:val="center"/>
          </w:tcPr>
          <w:p w14:paraId="544AFF85">
            <w:pPr>
              <w:spacing w:line="0" w:lineRule="atLeast"/>
              <w:jc w:val="center"/>
              <w:rPr>
                <w:rFonts w:hint="eastAsia" w:ascii="仿宋_GB2312" w:hAnsi="仿宋_GB2312" w:eastAsia="仿宋_GB2312" w:cs="仿宋_GB2312"/>
                <w:sz w:val="24"/>
              </w:rPr>
            </w:pPr>
          </w:p>
        </w:tc>
      </w:tr>
      <w:tr w14:paraId="457F5E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400" w:type="pct"/>
            <w:noWrap w:val="0"/>
            <w:vAlign w:val="center"/>
          </w:tcPr>
          <w:p w14:paraId="6896AA7C">
            <w:pPr>
              <w:spacing w:line="0" w:lineRule="atLeast"/>
              <w:jc w:val="center"/>
              <w:rPr>
                <w:rFonts w:hint="eastAsia" w:ascii="仿宋_GB2312" w:hAnsi="仿宋_GB2312" w:eastAsia="仿宋_GB2312" w:cs="仿宋_GB2312"/>
                <w:sz w:val="24"/>
              </w:rPr>
            </w:pPr>
            <w:r>
              <w:rPr>
                <w:rFonts w:hint="eastAsia" w:ascii="仿宋_GB2312" w:hAnsi="仿宋_GB2312" w:eastAsia="仿宋_GB2312" w:cs="仿宋_GB2312"/>
                <w:sz w:val="24"/>
              </w:rPr>
              <w:t>3</w:t>
            </w:r>
          </w:p>
        </w:tc>
        <w:tc>
          <w:tcPr>
            <w:tcW w:w="762" w:type="pct"/>
            <w:vMerge w:val="continue"/>
            <w:noWrap w:val="0"/>
            <w:vAlign w:val="center"/>
          </w:tcPr>
          <w:p w14:paraId="75C8FA54">
            <w:pPr>
              <w:spacing w:line="0" w:lineRule="atLeast"/>
              <w:jc w:val="center"/>
              <w:rPr>
                <w:rFonts w:hint="eastAsia" w:ascii="仿宋_GB2312" w:hAnsi="仿宋_GB2312" w:eastAsia="仿宋_GB2312" w:cs="仿宋_GB2312"/>
                <w:sz w:val="24"/>
              </w:rPr>
            </w:pPr>
          </w:p>
        </w:tc>
        <w:tc>
          <w:tcPr>
            <w:tcW w:w="1130" w:type="pct"/>
            <w:noWrap w:val="0"/>
            <w:vAlign w:val="center"/>
          </w:tcPr>
          <w:p w14:paraId="09083316">
            <w:pPr>
              <w:spacing w:line="0" w:lineRule="atLeast"/>
              <w:jc w:val="center"/>
              <w:rPr>
                <w:rFonts w:hint="eastAsia" w:ascii="仿宋_GB2312" w:hAnsi="仿宋_GB2312" w:eastAsia="仿宋_GB2312" w:cs="仿宋_GB2312"/>
                <w:sz w:val="24"/>
              </w:rPr>
            </w:pPr>
            <w:r>
              <w:rPr>
                <w:rFonts w:hint="eastAsia" w:ascii="仿宋_GB2312" w:hAnsi="仿宋_GB2312" w:eastAsia="仿宋_GB2312" w:cs="仿宋_GB2312"/>
                <w:sz w:val="24"/>
              </w:rPr>
              <w:t>结束</w:t>
            </w:r>
          </w:p>
        </w:tc>
        <w:tc>
          <w:tcPr>
            <w:tcW w:w="1619" w:type="pct"/>
            <w:noWrap w:val="0"/>
            <w:vAlign w:val="center"/>
          </w:tcPr>
          <w:p w14:paraId="481AB8A8">
            <w:pPr>
              <w:spacing w:line="0" w:lineRule="atLeast"/>
              <w:jc w:val="center"/>
              <w:rPr>
                <w:rFonts w:hint="eastAsia" w:ascii="仿宋_GB2312" w:hAnsi="仿宋_GB2312" w:eastAsia="仿宋_GB2312" w:cs="仿宋_GB2312"/>
                <w:sz w:val="24"/>
              </w:rPr>
            </w:pPr>
            <w:r>
              <w:rPr>
                <w:rFonts w:hint="eastAsia" w:ascii="仿宋_GB2312" w:hAnsi="仿宋_GB2312" w:eastAsia="仿宋_GB2312" w:cs="仿宋_GB2312"/>
                <w:sz w:val="24"/>
              </w:rPr>
              <w:t>领取有效证件</w:t>
            </w:r>
          </w:p>
        </w:tc>
        <w:tc>
          <w:tcPr>
            <w:tcW w:w="1086" w:type="pct"/>
            <w:noWrap w:val="0"/>
            <w:vAlign w:val="center"/>
          </w:tcPr>
          <w:p w14:paraId="2E703141">
            <w:pPr>
              <w:spacing w:line="0" w:lineRule="atLeast"/>
              <w:jc w:val="center"/>
              <w:rPr>
                <w:rFonts w:hint="eastAsia" w:ascii="仿宋_GB2312" w:hAnsi="仿宋_GB2312" w:eastAsia="仿宋_GB2312" w:cs="仿宋_GB2312"/>
                <w:sz w:val="24"/>
              </w:rPr>
            </w:pPr>
          </w:p>
        </w:tc>
      </w:tr>
    </w:tbl>
    <w:p w14:paraId="7F0A625B">
      <w:pPr>
        <w:keepNext w:val="0"/>
        <w:keepLines w:val="0"/>
        <w:pageBreakBefore w:val="0"/>
        <w:widowControl w:val="0"/>
        <w:kinsoku/>
        <w:wordWrap/>
        <w:overflowPunct/>
        <w:topLinePunct w:val="0"/>
        <w:autoSpaceDE/>
        <w:autoSpaceDN/>
        <w:bidi w:val="0"/>
        <w:adjustRightInd w:val="0"/>
        <w:snapToGrid w:val="0"/>
        <w:spacing w:before="157" w:beforeLines="50" w:after="157" w:afterLines="50" w:line="240" w:lineRule="auto"/>
        <w:textAlignment w:val="auto"/>
        <w:outlineLvl w:val="0"/>
        <w:rPr>
          <w:rFonts w:hint="eastAsia" w:ascii="Times New Roman" w:hAnsi="Times New Roman" w:eastAsia="黑体" w:cs="Times New Roman"/>
          <w:sz w:val="24"/>
          <w:szCs w:val="24"/>
        </w:rPr>
      </w:pPr>
      <w:r>
        <w:rPr>
          <w:rFonts w:hint="eastAsia" w:ascii="Times New Roman" w:hAnsi="Times New Roman" w:eastAsia="黑体" w:cs="Times New Roman"/>
          <w:sz w:val="24"/>
          <w:szCs w:val="24"/>
        </w:rPr>
        <w:t>六、竞赛命题</w:t>
      </w:r>
    </w:p>
    <w:p w14:paraId="62E42C5A">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Times New Roman" w:hAnsi="Times New Roman" w:eastAsia="黑体" w:cs="Times New Roman"/>
          <w:sz w:val="24"/>
          <w:szCs w:val="24"/>
        </w:rPr>
      </w:pPr>
      <w:r>
        <w:rPr>
          <w:rFonts w:hint="eastAsia" w:ascii="仿宋_GB2312" w:hAnsi="仿宋_GB2312" w:eastAsia="仿宋_GB2312" w:cs="仿宋_GB2312"/>
          <w:sz w:val="24"/>
          <w:szCs w:val="24"/>
          <w:lang w:val="en-US" w:eastAsia="zh-CN"/>
        </w:rPr>
        <w:t>赛项采用公开试题。试题于竞赛前两周发布。</w:t>
      </w:r>
    </w:p>
    <w:p w14:paraId="0E16482D">
      <w:pPr>
        <w:keepNext w:val="0"/>
        <w:keepLines w:val="0"/>
        <w:pageBreakBefore w:val="0"/>
        <w:widowControl w:val="0"/>
        <w:kinsoku/>
        <w:wordWrap/>
        <w:overflowPunct/>
        <w:topLinePunct w:val="0"/>
        <w:autoSpaceDE/>
        <w:autoSpaceDN/>
        <w:bidi w:val="0"/>
        <w:adjustRightInd w:val="0"/>
        <w:snapToGrid w:val="0"/>
        <w:spacing w:before="157" w:beforeLines="50" w:after="157" w:afterLines="50" w:line="240" w:lineRule="auto"/>
        <w:textAlignment w:val="auto"/>
        <w:outlineLvl w:val="0"/>
        <w:rPr>
          <w:rFonts w:hint="eastAsia" w:ascii="Times New Roman" w:hAnsi="Times New Roman" w:eastAsia="黑体" w:cs="Times New Roman"/>
          <w:sz w:val="24"/>
          <w:szCs w:val="24"/>
        </w:rPr>
      </w:pPr>
      <w:r>
        <w:rPr>
          <w:rFonts w:hint="eastAsia" w:ascii="Times New Roman" w:hAnsi="Times New Roman" w:eastAsia="黑体" w:cs="Times New Roman"/>
          <w:sz w:val="24"/>
          <w:szCs w:val="24"/>
        </w:rPr>
        <w:t>七、竞赛规则</w:t>
      </w:r>
    </w:p>
    <w:p w14:paraId="15C942FC">
      <w:pPr>
        <w:keepNext w:val="0"/>
        <w:keepLines w:val="0"/>
        <w:pageBreakBefore w:val="0"/>
        <w:widowControl w:val="0"/>
        <w:kinsoku/>
        <w:wordWrap/>
        <w:overflowPunct/>
        <w:topLinePunct w:val="0"/>
        <w:autoSpaceDE/>
        <w:autoSpaceDN/>
        <w:bidi w:val="0"/>
        <w:adjustRightInd w:val="0"/>
        <w:snapToGrid w:val="0"/>
        <w:spacing w:before="157" w:beforeLines="50" w:after="157" w:afterLines="50" w:line="240" w:lineRule="auto"/>
        <w:ind w:firstLine="482" w:firstLineChars="200"/>
        <w:textAlignment w:val="auto"/>
        <w:outlineLvl w:val="1"/>
        <w:rPr>
          <w:rFonts w:hint="eastAsia" w:ascii="仿宋_GB2312" w:hAnsi="仿宋_GB2312" w:eastAsia="仿宋_GB2312" w:cs="仿宋_GB2312"/>
          <w:b/>
          <w:bCs/>
          <w:color w:val="auto"/>
          <w:sz w:val="24"/>
          <w:szCs w:val="28"/>
          <w:highlight w:val="none"/>
        </w:rPr>
      </w:pPr>
      <w:r>
        <w:rPr>
          <w:rFonts w:hint="eastAsia" w:ascii="仿宋_GB2312" w:hAnsi="仿宋_GB2312" w:eastAsia="仿宋_GB2312" w:cs="仿宋_GB2312"/>
          <w:b/>
          <w:bCs/>
          <w:color w:val="auto"/>
          <w:sz w:val="24"/>
          <w:szCs w:val="28"/>
          <w:highlight w:val="none"/>
        </w:rPr>
        <w:t>（一）选手报名</w:t>
      </w:r>
    </w:p>
    <w:p w14:paraId="53F8C119">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default" w:ascii="仿宋_GB2312" w:hAnsi="仿宋_GB2312" w:eastAsia="仿宋_GB2312" w:cs="仿宋_GB2312"/>
          <w:color w:val="000000" w:themeColor="text1"/>
          <w:sz w:val="24"/>
          <w:szCs w:val="24"/>
          <w:lang w:val="en-US" w:eastAsia="zh-CN"/>
          <w14:textFill>
            <w14:solidFill>
              <w14:schemeClr w14:val="tx1"/>
            </w14:solidFill>
          </w14:textFill>
        </w:rPr>
      </w:pPr>
      <w:r>
        <w:rPr>
          <w:rFonts w:hint="eastAsia" w:ascii="仿宋_GB2312" w:hAnsi="仿宋_GB2312" w:eastAsia="仿宋_GB2312" w:cs="仿宋_GB2312"/>
          <w:color w:val="auto"/>
          <w:sz w:val="24"/>
          <w:szCs w:val="24"/>
          <w:lang w:val="en-US" w:eastAsia="zh-CN"/>
        </w:rPr>
        <w:t>参赛选手须为高等职业学校（含本科职业院校）全日制在籍学生。参赛选手年龄不超过25周岁（即2001年5月1日及以后出生）</w:t>
      </w:r>
      <w:r>
        <w:rPr>
          <w:rFonts w:hint="eastAsia" w:ascii="仿宋_GB2312" w:hAnsi="仿宋_GB2312" w:eastAsia="仿宋_GB2312" w:cs="仿宋_GB2312"/>
          <w:color w:val="000000" w:themeColor="text1"/>
          <w:sz w:val="24"/>
          <w:szCs w:val="24"/>
          <w:lang w:val="en-US" w:eastAsia="zh-CN"/>
          <w14:textFill>
            <w14:solidFill>
              <w14:schemeClr w14:val="tx1"/>
            </w14:solidFill>
          </w14:textFill>
        </w:rPr>
        <w:t>。五年制学生报名参赛的，四、五年级学生可参加本次大赛，所有参赛选手必须为在籍学生。</w:t>
      </w:r>
    </w:p>
    <w:p w14:paraId="19EFEABF">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_GB2312" w:hAnsi="仿宋_GB2312" w:eastAsia="仿宋_GB2312" w:cs="仿宋_GB2312"/>
          <w:color w:val="000000" w:themeColor="text1"/>
          <w:sz w:val="24"/>
          <w:szCs w:val="24"/>
          <w:lang w:val="en-US" w:eastAsia="zh-CN"/>
          <w14:textFill>
            <w14:solidFill>
              <w14:schemeClr w14:val="tx1"/>
            </w14:solidFill>
          </w14:textFill>
        </w:rPr>
      </w:pPr>
      <w:r>
        <w:rPr>
          <w:rFonts w:hint="eastAsia" w:ascii="仿宋_GB2312" w:hAnsi="仿宋_GB2312" w:eastAsia="仿宋_GB2312" w:cs="仿宋_GB2312"/>
          <w:color w:val="000000" w:themeColor="text1"/>
          <w:sz w:val="24"/>
          <w:szCs w:val="24"/>
          <w:lang w:val="en-US" w:eastAsia="zh-CN"/>
          <w14:textFill>
            <w14:solidFill>
              <w14:schemeClr w14:val="tx1"/>
            </w14:solidFill>
          </w14:textFill>
        </w:rPr>
        <w:t>同一学校相同赛项参赛队不超过3队，团体赛不得跨校组队。凡在往届全国、全省职业院校技能大赛中获一等奖的选手，不得再参加同一项目相同组别的比赛。</w:t>
      </w:r>
    </w:p>
    <w:p w14:paraId="506C47D4">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_GB2312" w:hAnsi="仿宋_GB2312" w:eastAsia="仿宋_GB2312" w:cs="仿宋_GB2312"/>
          <w:color w:val="000000" w:themeColor="text1"/>
          <w:sz w:val="24"/>
          <w:szCs w:val="24"/>
          <w:lang w:val="en-US" w:eastAsia="zh-CN"/>
          <w14:textFill>
            <w14:solidFill>
              <w14:schemeClr w14:val="tx1"/>
            </w14:solidFill>
          </w14:textFill>
        </w:rPr>
      </w:pPr>
      <w:r>
        <w:rPr>
          <w:rFonts w:hint="eastAsia" w:ascii="仿宋_GB2312" w:hAnsi="仿宋_GB2312" w:eastAsia="仿宋_GB2312" w:cs="仿宋_GB2312"/>
          <w:color w:val="000000" w:themeColor="text1"/>
          <w:sz w:val="24"/>
          <w:szCs w:val="24"/>
          <w:lang w:val="en-US" w:eastAsia="zh-CN"/>
          <w14:textFill>
            <w14:solidFill>
              <w14:schemeClr w14:val="tx1"/>
            </w14:solidFill>
          </w14:textFill>
        </w:rPr>
        <w:t>学生赛可设指导教师，指导教师须为本校专兼职教师，团体赛每队限报2名指导教师。</w:t>
      </w:r>
    </w:p>
    <w:p w14:paraId="17966728">
      <w:pPr>
        <w:keepNext w:val="0"/>
        <w:keepLines w:val="0"/>
        <w:pageBreakBefore w:val="0"/>
        <w:widowControl w:val="0"/>
        <w:kinsoku/>
        <w:wordWrap/>
        <w:overflowPunct/>
        <w:topLinePunct w:val="0"/>
        <w:autoSpaceDE/>
        <w:autoSpaceDN/>
        <w:bidi w:val="0"/>
        <w:adjustRightInd w:val="0"/>
        <w:snapToGrid w:val="0"/>
        <w:spacing w:before="157" w:beforeLines="50" w:after="157" w:afterLines="50" w:line="240" w:lineRule="auto"/>
        <w:ind w:firstLine="482" w:firstLineChars="200"/>
        <w:textAlignment w:val="auto"/>
        <w:outlineLvl w:val="1"/>
        <w:rPr>
          <w:rFonts w:hint="eastAsia" w:ascii="仿宋_GB2312" w:hAnsi="仿宋_GB2312" w:eastAsia="仿宋_GB2312" w:cs="仿宋_GB2312"/>
          <w:b/>
          <w:bCs/>
          <w:color w:val="auto"/>
          <w:sz w:val="24"/>
          <w:szCs w:val="28"/>
          <w:highlight w:val="none"/>
        </w:rPr>
      </w:pPr>
      <w:r>
        <w:rPr>
          <w:rFonts w:hint="eastAsia" w:ascii="仿宋_GB2312" w:hAnsi="仿宋_GB2312" w:eastAsia="仿宋_GB2312" w:cs="仿宋_GB2312"/>
          <w:b/>
          <w:bCs/>
          <w:color w:val="auto"/>
          <w:sz w:val="24"/>
          <w:szCs w:val="28"/>
          <w:highlight w:val="none"/>
        </w:rPr>
        <w:t>（二）熟悉场地</w:t>
      </w:r>
    </w:p>
    <w:p w14:paraId="6A0AB2AD">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赛项承办方将安排各参赛队统一有序</w:t>
      </w:r>
      <w:r>
        <w:rPr>
          <w:rFonts w:hint="eastAsia" w:ascii="仿宋_GB2312" w:hAnsi="仿宋_GB2312" w:eastAsia="仿宋_GB2312" w:cs="仿宋_GB2312"/>
          <w:sz w:val="24"/>
          <w:szCs w:val="24"/>
          <w:u w:val="none"/>
          <w:lang w:val="en-US" w:eastAsia="zh-CN"/>
        </w:rPr>
        <w:t>的</w:t>
      </w:r>
      <w:r>
        <w:rPr>
          <w:rFonts w:hint="eastAsia" w:ascii="仿宋_GB2312" w:hAnsi="仿宋_GB2312" w:eastAsia="仿宋_GB2312" w:cs="仿宋_GB2312"/>
          <w:sz w:val="24"/>
          <w:szCs w:val="24"/>
          <w:lang w:val="en-US" w:eastAsia="zh-CN"/>
        </w:rPr>
        <w:t>熟悉场地，熟悉场地时，须在指定区域内；熟悉场地严格遵守大赛各种制度，不发表有损大赛整体形象的言论，严禁拥挤、喧哗，以免发生意外事故。</w:t>
      </w:r>
    </w:p>
    <w:p w14:paraId="05D7AC63">
      <w:pPr>
        <w:keepNext w:val="0"/>
        <w:keepLines w:val="0"/>
        <w:pageBreakBefore w:val="0"/>
        <w:widowControl w:val="0"/>
        <w:kinsoku/>
        <w:wordWrap/>
        <w:overflowPunct/>
        <w:topLinePunct w:val="0"/>
        <w:autoSpaceDE/>
        <w:autoSpaceDN/>
        <w:bidi w:val="0"/>
        <w:adjustRightInd w:val="0"/>
        <w:snapToGrid w:val="0"/>
        <w:spacing w:before="157" w:beforeLines="50" w:after="157" w:afterLines="50" w:line="240" w:lineRule="auto"/>
        <w:ind w:firstLine="482" w:firstLineChars="200"/>
        <w:textAlignment w:val="auto"/>
        <w:outlineLvl w:val="1"/>
        <w:rPr>
          <w:rFonts w:hint="eastAsia" w:ascii="仿宋_GB2312" w:hAnsi="仿宋_GB2312" w:eastAsia="仿宋_GB2312" w:cs="仿宋_GB2312"/>
          <w:b/>
          <w:bCs/>
          <w:color w:val="auto"/>
          <w:sz w:val="24"/>
          <w:szCs w:val="28"/>
          <w:highlight w:val="none"/>
        </w:rPr>
      </w:pPr>
      <w:r>
        <w:rPr>
          <w:rFonts w:hint="eastAsia" w:ascii="仿宋_GB2312" w:hAnsi="仿宋_GB2312" w:eastAsia="仿宋_GB2312" w:cs="仿宋_GB2312"/>
          <w:b/>
          <w:bCs/>
          <w:color w:val="auto"/>
          <w:sz w:val="24"/>
          <w:szCs w:val="28"/>
          <w:highlight w:val="none"/>
        </w:rPr>
        <w:t>（三）入场规则</w:t>
      </w:r>
    </w:p>
    <w:p w14:paraId="7A3FF011">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选手需在模块开始前10分钟完成检录、加密，进入赛场须按照二次加密号进入指定赛位。比赛开始10分钟后，迟到选手不得入场。参赛选手不允许携带任何通讯及存储设备、纸质材料等物品进入赛场，赛场内提供比赛必备用品（纸、笔、饮用水和食物等）。</w:t>
      </w:r>
    </w:p>
    <w:p w14:paraId="1A004400">
      <w:pPr>
        <w:keepNext w:val="0"/>
        <w:keepLines w:val="0"/>
        <w:pageBreakBefore w:val="0"/>
        <w:widowControl w:val="0"/>
        <w:kinsoku/>
        <w:wordWrap/>
        <w:overflowPunct/>
        <w:topLinePunct w:val="0"/>
        <w:autoSpaceDE/>
        <w:autoSpaceDN/>
        <w:bidi w:val="0"/>
        <w:adjustRightInd w:val="0"/>
        <w:snapToGrid w:val="0"/>
        <w:spacing w:before="157" w:beforeLines="50" w:after="157" w:afterLines="50" w:line="240" w:lineRule="auto"/>
        <w:ind w:firstLine="482" w:firstLineChars="200"/>
        <w:textAlignment w:val="auto"/>
        <w:outlineLvl w:val="1"/>
        <w:rPr>
          <w:rFonts w:hint="eastAsia" w:ascii="仿宋_GB2312" w:hAnsi="仿宋_GB2312" w:eastAsia="仿宋_GB2312" w:cs="仿宋_GB2312"/>
          <w:b/>
          <w:bCs/>
          <w:color w:val="auto"/>
          <w:sz w:val="24"/>
          <w:szCs w:val="28"/>
          <w:highlight w:val="none"/>
        </w:rPr>
      </w:pPr>
      <w:r>
        <w:rPr>
          <w:rFonts w:hint="eastAsia" w:ascii="仿宋_GB2312" w:hAnsi="仿宋_GB2312" w:eastAsia="仿宋_GB2312" w:cs="仿宋_GB2312"/>
          <w:b/>
          <w:bCs/>
          <w:color w:val="auto"/>
          <w:sz w:val="24"/>
          <w:szCs w:val="28"/>
          <w:highlight w:val="none"/>
        </w:rPr>
        <w:t>（四）赛场规则</w:t>
      </w:r>
    </w:p>
    <w:p w14:paraId="223BEC22">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选手进入赛场赛位后，必须听从现场裁判员的统一指挥，对比赛用品要进行确认，如有问题及时向裁判员报告。比赛开始，裁判员将下发赛题，参赛队自行安排选手分工、工作流程和时间安排，在裁判员指令下“开始”“结束”比赛，赛场设有计时装置，用于选手了解比赛用时。比赛过程中，须严格遵守比赛规程，因个人误操作造成设备故障时，裁判长有权终止该队比赛，如非选手个人原因出现的设备故障而无法比赛时，由裁判长视情况做出裁决；选手不得随意离开赛位，不得与其他队选手交流，遇到问题可举手向裁判员示意询问处理，否则按照作弊处理。比赛结束后，需对本队比赛用品进行整理。比赛过程中，除裁判员、工作人员外的其余人员未经组委会同意不得进入场地。</w:t>
      </w:r>
    </w:p>
    <w:p w14:paraId="2750E5BA">
      <w:pPr>
        <w:keepNext w:val="0"/>
        <w:keepLines w:val="0"/>
        <w:pageBreakBefore w:val="0"/>
        <w:widowControl w:val="0"/>
        <w:kinsoku/>
        <w:wordWrap/>
        <w:overflowPunct/>
        <w:topLinePunct w:val="0"/>
        <w:autoSpaceDE/>
        <w:autoSpaceDN/>
        <w:bidi w:val="0"/>
        <w:adjustRightInd w:val="0"/>
        <w:snapToGrid w:val="0"/>
        <w:spacing w:before="157" w:beforeLines="50" w:after="157" w:afterLines="50" w:line="240" w:lineRule="auto"/>
        <w:ind w:firstLine="482" w:firstLineChars="200"/>
        <w:textAlignment w:val="auto"/>
        <w:outlineLvl w:val="1"/>
        <w:rPr>
          <w:rFonts w:hint="eastAsia" w:ascii="仿宋_GB2312" w:hAnsi="仿宋_GB2312" w:eastAsia="仿宋_GB2312" w:cs="仿宋_GB2312"/>
          <w:b/>
          <w:bCs/>
          <w:color w:val="auto"/>
          <w:sz w:val="24"/>
          <w:szCs w:val="28"/>
          <w:highlight w:val="none"/>
        </w:rPr>
      </w:pPr>
      <w:r>
        <w:rPr>
          <w:rFonts w:hint="eastAsia" w:ascii="仿宋_GB2312" w:hAnsi="仿宋_GB2312" w:eastAsia="仿宋_GB2312" w:cs="仿宋_GB2312"/>
          <w:b/>
          <w:bCs/>
          <w:color w:val="auto"/>
          <w:sz w:val="24"/>
          <w:szCs w:val="28"/>
          <w:highlight w:val="none"/>
        </w:rPr>
        <w:t>（五）离场规则</w:t>
      </w:r>
    </w:p>
    <w:p w14:paraId="7DC1AC50">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裁判员宣布“结束”指令后，所有参赛队立即停止操作，参赛队须与裁判员签字（签署赛位号）确认，并提交赛卷，裁判员检查确认后，参赛队方可离场。参赛队若提前结束比赛，应由参赛队向裁判员举手示意，竞赛终止情况由裁判员和参赛队（签署赛位号）共同签署记录，参赛队结束比赛后不得再进行任何操作，不允许提前离场。</w:t>
      </w:r>
    </w:p>
    <w:p w14:paraId="32673EC5">
      <w:pPr>
        <w:keepNext w:val="0"/>
        <w:keepLines w:val="0"/>
        <w:pageBreakBefore w:val="0"/>
        <w:widowControl w:val="0"/>
        <w:kinsoku/>
        <w:wordWrap/>
        <w:overflowPunct/>
        <w:topLinePunct w:val="0"/>
        <w:autoSpaceDE/>
        <w:autoSpaceDN/>
        <w:bidi w:val="0"/>
        <w:adjustRightInd w:val="0"/>
        <w:snapToGrid w:val="0"/>
        <w:spacing w:before="157" w:beforeLines="50" w:after="157" w:afterLines="50" w:line="240" w:lineRule="auto"/>
        <w:ind w:firstLine="482" w:firstLineChars="200"/>
        <w:textAlignment w:val="auto"/>
        <w:outlineLvl w:val="1"/>
        <w:rPr>
          <w:rFonts w:hint="eastAsia" w:ascii="仿宋_GB2312" w:hAnsi="仿宋_GB2312" w:eastAsia="仿宋_GB2312" w:cs="仿宋_GB2312"/>
          <w:b/>
          <w:bCs/>
          <w:color w:val="auto"/>
          <w:sz w:val="24"/>
          <w:szCs w:val="28"/>
          <w:highlight w:val="none"/>
        </w:rPr>
      </w:pPr>
      <w:r>
        <w:rPr>
          <w:rFonts w:hint="eastAsia" w:ascii="仿宋_GB2312" w:hAnsi="仿宋_GB2312" w:eastAsia="仿宋_GB2312" w:cs="仿宋_GB2312"/>
          <w:b/>
          <w:bCs/>
          <w:color w:val="auto"/>
          <w:sz w:val="24"/>
          <w:szCs w:val="28"/>
          <w:highlight w:val="none"/>
        </w:rPr>
        <w:t>（</w:t>
      </w:r>
      <w:r>
        <w:rPr>
          <w:rFonts w:hint="eastAsia" w:ascii="仿宋_GB2312" w:hAnsi="仿宋_GB2312" w:eastAsia="仿宋_GB2312" w:cs="仿宋_GB2312"/>
          <w:b/>
          <w:bCs/>
          <w:color w:val="auto"/>
          <w:sz w:val="24"/>
          <w:szCs w:val="28"/>
          <w:highlight w:val="none"/>
          <w:lang w:val="en-US" w:eastAsia="zh-CN"/>
        </w:rPr>
        <w:t>六</w:t>
      </w:r>
      <w:r>
        <w:rPr>
          <w:rFonts w:hint="eastAsia" w:ascii="仿宋_GB2312" w:hAnsi="仿宋_GB2312" w:eastAsia="仿宋_GB2312" w:cs="仿宋_GB2312"/>
          <w:b/>
          <w:bCs/>
          <w:color w:val="auto"/>
          <w:sz w:val="24"/>
          <w:szCs w:val="28"/>
          <w:highlight w:val="none"/>
        </w:rPr>
        <w:t>）成绩评定</w:t>
      </w:r>
    </w:p>
    <w:p w14:paraId="0C5AF5E3">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竞赛2个模块均以百分计，各模块均由评分裁判依据各模块评分标准，对参赛队提交结果进行综合性评价，各队所得成绩直接计入总成绩。各项成绩经核对无误后，均需裁判长、监督仲裁组人员签字确认。成绩抽查复核将遵照大赛相关规定执行。</w:t>
      </w:r>
    </w:p>
    <w:p w14:paraId="65222178">
      <w:pPr>
        <w:keepNext w:val="0"/>
        <w:keepLines w:val="0"/>
        <w:pageBreakBefore w:val="0"/>
        <w:widowControl w:val="0"/>
        <w:kinsoku/>
        <w:wordWrap/>
        <w:overflowPunct/>
        <w:topLinePunct w:val="0"/>
        <w:autoSpaceDE/>
        <w:autoSpaceDN/>
        <w:bidi w:val="0"/>
        <w:adjustRightInd w:val="0"/>
        <w:snapToGrid w:val="0"/>
        <w:spacing w:before="157" w:beforeLines="50" w:after="157" w:afterLines="50" w:line="240" w:lineRule="auto"/>
        <w:ind w:firstLine="482" w:firstLineChars="200"/>
        <w:textAlignment w:val="auto"/>
        <w:outlineLvl w:val="1"/>
        <w:rPr>
          <w:rFonts w:hint="eastAsia" w:ascii="仿宋_GB2312" w:hAnsi="仿宋_GB2312" w:eastAsia="仿宋_GB2312" w:cs="仿宋_GB2312"/>
          <w:b/>
          <w:bCs/>
          <w:color w:val="auto"/>
          <w:sz w:val="24"/>
          <w:szCs w:val="28"/>
          <w:highlight w:val="none"/>
        </w:rPr>
      </w:pPr>
      <w:r>
        <w:rPr>
          <w:rFonts w:hint="eastAsia" w:ascii="仿宋_GB2312" w:hAnsi="仿宋_GB2312" w:eastAsia="仿宋_GB2312" w:cs="仿宋_GB2312"/>
          <w:b/>
          <w:bCs/>
          <w:color w:val="auto"/>
          <w:sz w:val="24"/>
          <w:szCs w:val="28"/>
          <w:highlight w:val="none"/>
        </w:rPr>
        <w:t>（</w:t>
      </w:r>
      <w:r>
        <w:rPr>
          <w:rFonts w:hint="eastAsia" w:ascii="仿宋_GB2312" w:hAnsi="仿宋_GB2312" w:eastAsia="仿宋_GB2312" w:cs="仿宋_GB2312"/>
          <w:b/>
          <w:bCs/>
          <w:color w:val="auto"/>
          <w:sz w:val="24"/>
          <w:szCs w:val="28"/>
          <w:highlight w:val="none"/>
          <w:lang w:val="en-US" w:eastAsia="zh-CN"/>
        </w:rPr>
        <w:t>七</w:t>
      </w:r>
      <w:r>
        <w:rPr>
          <w:rFonts w:hint="eastAsia" w:ascii="仿宋_GB2312" w:hAnsi="仿宋_GB2312" w:eastAsia="仿宋_GB2312" w:cs="仿宋_GB2312"/>
          <w:b/>
          <w:bCs/>
          <w:color w:val="auto"/>
          <w:sz w:val="24"/>
          <w:szCs w:val="28"/>
          <w:highlight w:val="none"/>
        </w:rPr>
        <w:t>）结果公布</w:t>
      </w:r>
    </w:p>
    <w:p w14:paraId="72B2736A">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记分员将解密后的各队成绩进行汇总，经裁判长、监督仲裁组签字后，公布比赛结果。公示2小时无异议后，将赛项总成绩的最终结果公布，经裁判长、监督仲裁组组长在成绩单上审核签字后，在闭幕式上宣布。</w:t>
      </w:r>
    </w:p>
    <w:p w14:paraId="54FDCCAA">
      <w:pPr>
        <w:keepNext w:val="0"/>
        <w:keepLines w:val="0"/>
        <w:pageBreakBefore w:val="0"/>
        <w:widowControl w:val="0"/>
        <w:kinsoku/>
        <w:wordWrap/>
        <w:overflowPunct/>
        <w:topLinePunct w:val="0"/>
        <w:autoSpaceDE/>
        <w:autoSpaceDN/>
        <w:bidi w:val="0"/>
        <w:adjustRightInd w:val="0"/>
        <w:snapToGrid w:val="0"/>
        <w:spacing w:before="157" w:beforeLines="50" w:after="157" w:afterLines="50" w:line="240" w:lineRule="auto"/>
        <w:textAlignment w:val="auto"/>
        <w:outlineLvl w:val="0"/>
        <w:rPr>
          <w:rFonts w:hint="eastAsia" w:ascii="Times New Roman" w:hAnsi="Times New Roman" w:eastAsia="黑体" w:cs="Times New Roman"/>
          <w:sz w:val="24"/>
          <w:szCs w:val="24"/>
        </w:rPr>
      </w:pPr>
      <w:r>
        <w:rPr>
          <w:rFonts w:hint="eastAsia" w:ascii="Times New Roman" w:hAnsi="Times New Roman" w:eastAsia="黑体" w:cs="Times New Roman"/>
          <w:sz w:val="24"/>
          <w:szCs w:val="24"/>
        </w:rPr>
        <w:t>八、竞赛环境</w:t>
      </w:r>
    </w:p>
    <w:p w14:paraId="02E6DAD1">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outlineLvl w:val="1"/>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1.商船货物配载赛场情况</w:t>
      </w:r>
    </w:p>
    <w:p w14:paraId="0E5CBBE4">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default"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（1）模块一赛场在18-506，候赛区在18-501。</w:t>
      </w:r>
    </w:p>
    <w:p w14:paraId="55A888FE">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（2）工位可以满足20个团队同时比赛。</w:t>
      </w:r>
    </w:p>
    <w:p w14:paraId="07ADD736">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outlineLvl w:val="1"/>
        <w:rPr>
          <w:rFonts w:hint="default"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2.航行路线设计赛场情况</w:t>
      </w:r>
    </w:p>
    <w:p w14:paraId="4431ABE1">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default"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（1）模块二赛场在18-1107，候赛区在18-502。</w:t>
      </w:r>
    </w:p>
    <w:p w14:paraId="65C3E63B">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（2）工位可以满足20个团队同时比赛。</w:t>
      </w:r>
    </w:p>
    <w:p w14:paraId="15D8AAFA">
      <w:pPr>
        <w:keepNext w:val="0"/>
        <w:keepLines w:val="0"/>
        <w:pageBreakBefore w:val="0"/>
        <w:widowControl w:val="0"/>
        <w:kinsoku/>
        <w:wordWrap/>
        <w:overflowPunct/>
        <w:topLinePunct w:val="0"/>
        <w:autoSpaceDE/>
        <w:autoSpaceDN/>
        <w:bidi w:val="0"/>
        <w:adjustRightInd w:val="0"/>
        <w:snapToGrid w:val="0"/>
        <w:spacing w:before="157" w:beforeLines="50" w:after="157" w:afterLines="50" w:line="240" w:lineRule="auto"/>
        <w:textAlignment w:val="auto"/>
        <w:outlineLvl w:val="0"/>
        <w:rPr>
          <w:rFonts w:hint="eastAsia" w:ascii="Times New Roman" w:hAnsi="Times New Roman" w:eastAsia="黑体" w:cs="Times New Roman"/>
          <w:sz w:val="24"/>
          <w:szCs w:val="24"/>
        </w:rPr>
      </w:pPr>
      <w:r>
        <w:rPr>
          <w:rFonts w:hint="eastAsia" w:ascii="Times New Roman" w:hAnsi="Times New Roman" w:eastAsia="黑体" w:cs="Times New Roman"/>
          <w:sz w:val="24"/>
          <w:szCs w:val="24"/>
        </w:rPr>
        <w:t>九、技术规范</w:t>
      </w:r>
    </w:p>
    <w:p w14:paraId="1CB8F840">
      <w:pPr>
        <w:keepNext w:val="0"/>
        <w:keepLines w:val="0"/>
        <w:pageBreakBefore w:val="0"/>
        <w:widowControl w:val="0"/>
        <w:kinsoku/>
        <w:wordWrap/>
        <w:overflowPunct/>
        <w:topLinePunct w:val="0"/>
        <w:autoSpaceDE/>
        <w:autoSpaceDN/>
        <w:bidi w:val="0"/>
        <w:adjustRightInd w:val="0"/>
        <w:snapToGrid w:val="0"/>
        <w:spacing w:before="157" w:beforeLines="50" w:after="157" w:afterLines="50" w:line="240" w:lineRule="auto"/>
        <w:ind w:firstLine="482" w:firstLineChars="200"/>
        <w:textAlignment w:val="auto"/>
        <w:outlineLvl w:val="1"/>
        <w:rPr>
          <w:rFonts w:hint="eastAsia" w:ascii="仿宋_GB2312" w:hAnsi="仿宋_GB2312" w:eastAsia="仿宋_GB2312" w:cs="仿宋_GB2312"/>
          <w:b/>
          <w:bCs/>
          <w:color w:val="auto"/>
          <w:sz w:val="24"/>
          <w:szCs w:val="28"/>
          <w:highlight w:val="none"/>
        </w:rPr>
      </w:pPr>
      <w:r>
        <w:rPr>
          <w:rFonts w:hint="eastAsia" w:ascii="仿宋_GB2312" w:hAnsi="仿宋_GB2312" w:eastAsia="仿宋_GB2312" w:cs="仿宋_GB2312"/>
          <w:b/>
          <w:bCs/>
          <w:color w:val="auto"/>
          <w:sz w:val="24"/>
          <w:szCs w:val="28"/>
          <w:highlight w:val="none"/>
        </w:rPr>
        <w:t>（一）操作规范与标准</w:t>
      </w:r>
    </w:p>
    <w:p w14:paraId="2145541A">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比赛中各项操作及评分按照行业通行的技术规范和职业标准执行，具体如表所示。</w:t>
      </w:r>
    </w:p>
    <w:tbl>
      <w:tblPr>
        <w:tblStyle w:val="5"/>
        <w:tblW w:w="846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655"/>
        <w:gridCol w:w="2764"/>
        <w:gridCol w:w="4044"/>
      </w:tblGrid>
      <w:tr w14:paraId="0608B2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blHeader/>
          <w:jc w:val="center"/>
        </w:trPr>
        <w:tc>
          <w:tcPr>
            <w:tcW w:w="1655" w:type="dxa"/>
            <w:noWrap w:val="0"/>
            <w:vAlign w:val="center"/>
          </w:tcPr>
          <w:p w14:paraId="17A1E1E7">
            <w:pPr>
              <w:autoSpaceDE w:val="0"/>
              <w:autoSpaceDN w:val="0"/>
              <w:adjustRightInd w:val="0"/>
              <w:snapToGrid w:val="0"/>
              <w:jc w:val="center"/>
              <w:rPr>
                <w:rFonts w:hint="eastAsia" w:ascii="仿宋_GB2312" w:hAnsi="仿宋_GB2312" w:eastAsia="仿宋_GB2312" w:cs="仿宋_GB2312"/>
                <w:b/>
                <w:bCs/>
                <w:sz w:val="24"/>
                <w:szCs w:val="28"/>
                <w:highlight w:val="none"/>
              </w:rPr>
            </w:pPr>
            <w:r>
              <w:rPr>
                <w:rFonts w:hint="eastAsia" w:ascii="仿宋_GB2312" w:hAnsi="仿宋_GB2312" w:eastAsia="仿宋_GB2312" w:cs="仿宋_GB2312"/>
                <w:b/>
                <w:bCs/>
                <w:sz w:val="24"/>
                <w:szCs w:val="28"/>
                <w:highlight w:val="none"/>
              </w:rPr>
              <w:t>模块</w:t>
            </w:r>
          </w:p>
        </w:tc>
        <w:tc>
          <w:tcPr>
            <w:tcW w:w="2764" w:type="dxa"/>
            <w:noWrap w:val="0"/>
            <w:vAlign w:val="center"/>
          </w:tcPr>
          <w:p w14:paraId="3DDA7E2E">
            <w:pPr>
              <w:autoSpaceDE w:val="0"/>
              <w:autoSpaceDN w:val="0"/>
              <w:adjustRightInd w:val="0"/>
              <w:snapToGrid w:val="0"/>
              <w:jc w:val="center"/>
              <w:rPr>
                <w:rFonts w:hint="eastAsia" w:ascii="仿宋_GB2312" w:hAnsi="仿宋_GB2312" w:eastAsia="仿宋_GB2312" w:cs="仿宋_GB2312"/>
                <w:b/>
                <w:bCs/>
                <w:sz w:val="24"/>
                <w:szCs w:val="28"/>
                <w:highlight w:val="none"/>
              </w:rPr>
            </w:pPr>
            <w:r>
              <w:rPr>
                <w:rFonts w:hint="eastAsia" w:ascii="仿宋_GB2312" w:hAnsi="仿宋_GB2312" w:eastAsia="仿宋_GB2312" w:cs="仿宋_GB2312"/>
                <w:b/>
                <w:bCs/>
                <w:sz w:val="24"/>
                <w:szCs w:val="28"/>
                <w:highlight w:val="none"/>
              </w:rPr>
              <w:t>竞赛内容</w:t>
            </w:r>
          </w:p>
        </w:tc>
        <w:tc>
          <w:tcPr>
            <w:tcW w:w="4044" w:type="dxa"/>
            <w:noWrap w:val="0"/>
            <w:vAlign w:val="center"/>
          </w:tcPr>
          <w:p w14:paraId="1E0C76CF">
            <w:pPr>
              <w:autoSpaceDE w:val="0"/>
              <w:autoSpaceDN w:val="0"/>
              <w:adjustRightInd w:val="0"/>
              <w:snapToGrid w:val="0"/>
              <w:jc w:val="center"/>
              <w:rPr>
                <w:rFonts w:hint="eastAsia" w:ascii="仿宋_GB2312" w:hAnsi="仿宋_GB2312" w:eastAsia="仿宋_GB2312" w:cs="仿宋_GB2312"/>
                <w:b/>
                <w:bCs/>
                <w:sz w:val="24"/>
                <w:szCs w:val="28"/>
                <w:highlight w:val="none"/>
              </w:rPr>
            </w:pPr>
            <w:r>
              <w:rPr>
                <w:rFonts w:hint="eastAsia" w:ascii="仿宋_GB2312" w:hAnsi="仿宋_GB2312" w:eastAsia="仿宋_GB2312" w:cs="仿宋_GB2312"/>
                <w:b/>
                <w:bCs/>
                <w:sz w:val="24"/>
                <w:szCs w:val="28"/>
                <w:highlight w:val="none"/>
              </w:rPr>
              <w:t>操作规范与标准</w:t>
            </w:r>
          </w:p>
        </w:tc>
      </w:tr>
      <w:tr w14:paraId="393D37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 w:hRule="atLeast"/>
          <w:jc w:val="center"/>
        </w:trPr>
        <w:tc>
          <w:tcPr>
            <w:tcW w:w="1655" w:type="dxa"/>
            <w:noWrap w:val="0"/>
            <w:vAlign w:val="center"/>
          </w:tcPr>
          <w:p w14:paraId="5ECE2260">
            <w:pPr>
              <w:autoSpaceDE w:val="0"/>
              <w:autoSpaceDN w:val="0"/>
              <w:adjustRightInd w:val="0"/>
              <w:snapToGrid w:val="0"/>
              <w:jc w:val="center"/>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模块一：</w:t>
            </w:r>
          </w:p>
          <w:p w14:paraId="5E86B2C3">
            <w:pPr>
              <w:autoSpaceDE w:val="0"/>
              <w:autoSpaceDN w:val="0"/>
              <w:adjustRightInd w:val="0"/>
              <w:snapToGrid w:val="0"/>
              <w:jc w:val="center"/>
              <w:rPr>
                <w:rFonts w:hint="eastAsia" w:ascii="仿宋_GB2312" w:hAnsi="仿宋_GB2312" w:eastAsia="仿宋_GB2312" w:cs="仿宋_GB2312"/>
                <w:sz w:val="24"/>
              </w:rPr>
            </w:pPr>
            <w:r>
              <w:rPr>
                <w:rFonts w:hint="eastAsia" w:ascii="仿宋_GB2312" w:hAnsi="仿宋_GB2312" w:eastAsia="仿宋_GB2312" w:cs="仿宋_GB2312"/>
                <w:color w:val="000000"/>
                <w:sz w:val="24"/>
              </w:rPr>
              <w:t>商船货物配载</w:t>
            </w:r>
          </w:p>
        </w:tc>
        <w:tc>
          <w:tcPr>
            <w:tcW w:w="2764" w:type="dxa"/>
            <w:noWrap w:val="0"/>
            <w:vAlign w:val="center"/>
          </w:tcPr>
          <w:p w14:paraId="3D8BE4D6">
            <w:pPr>
              <w:autoSpaceDE w:val="0"/>
              <w:autoSpaceDN w:val="0"/>
              <w:adjustRightInd w:val="0"/>
              <w:snapToGrid w:val="0"/>
              <w:jc w:val="both"/>
              <w:rPr>
                <w:rFonts w:hint="eastAsia" w:ascii="仿宋_GB2312" w:hAnsi="仿宋_GB2312" w:eastAsia="仿宋_GB2312" w:cs="仿宋_GB2312"/>
                <w:sz w:val="24"/>
              </w:rPr>
            </w:pPr>
            <w:r>
              <w:rPr>
                <w:rFonts w:hint="eastAsia" w:ascii="仿宋_GB2312" w:hAnsi="仿宋_GB2312" w:eastAsia="仿宋_GB2312" w:cs="仿宋_GB2312"/>
                <w:color w:val="000000"/>
                <w:sz w:val="24"/>
              </w:rPr>
              <w:t>核算船舶载货能力；按舱容比分配各舱货物重量；拟定初配方案；全面检查初配方案；核算船舶稳性、吃水差和纵强度；绘制正式配载图</w:t>
            </w:r>
          </w:p>
        </w:tc>
        <w:tc>
          <w:tcPr>
            <w:tcW w:w="4044" w:type="dxa"/>
            <w:noWrap w:val="0"/>
            <w:vAlign w:val="center"/>
          </w:tcPr>
          <w:p w14:paraId="7ED4CB3F">
            <w:pPr>
              <w:autoSpaceDE w:val="0"/>
              <w:autoSpaceDN w:val="0"/>
              <w:adjustRightInd w:val="0"/>
              <w:snapToGrid w:val="0"/>
              <w:jc w:val="both"/>
              <w:rPr>
                <w:rFonts w:hint="eastAsia" w:ascii="仿宋_GB2312" w:hAnsi="仿宋_GB2312" w:eastAsia="仿宋_GB2312" w:cs="仿宋_GB2312"/>
                <w:color w:val="000000"/>
                <w:sz w:val="24"/>
              </w:rPr>
            </w:pPr>
            <w:bookmarkStart w:id="0" w:name="_Hlk132369194"/>
            <w:r>
              <w:rPr>
                <w:rFonts w:hint="eastAsia" w:ascii="仿宋_GB2312" w:hAnsi="仿宋_GB2312" w:eastAsia="仿宋_GB2312" w:cs="仿宋_GB2312"/>
                <w:color w:val="000000"/>
                <w:sz w:val="24"/>
              </w:rPr>
              <w:t>1.《货物积载和系固安全操作规则》</w:t>
            </w:r>
            <w:bookmarkEnd w:id="0"/>
            <w:r>
              <w:rPr>
                <w:rFonts w:hint="eastAsia" w:ascii="仿宋_GB2312" w:hAnsi="仿宋_GB2312" w:eastAsia="仿宋_GB2312" w:cs="仿宋_GB2312"/>
                <w:color w:val="000000"/>
                <w:sz w:val="24"/>
              </w:rPr>
              <w:t>；</w:t>
            </w:r>
          </w:p>
          <w:p w14:paraId="53D69AEE">
            <w:pPr>
              <w:autoSpaceDE w:val="0"/>
              <w:autoSpaceDN w:val="0"/>
              <w:adjustRightInd w:val="0"/>
              <w:snapToGrid w:val="0"/>
              <w:jc w:val="both"/>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2.《1974年国际海上人命与安全公约》（SOLAS公约）；</w:t>
            </w:r>
          </w:p>
          <w:p w14:paraId="5B524E84">
            <w:pPr>
              <w:autoSpaceDE w:val="0"/>
              <w:autoSpaceDN w:val="0"/>
              <w:adjustRightInd w:val="0"/>
              <w:snapToGrid w:val="0"/>
              <w:jc w:val="both"/>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3.稳性计算书使用说明；</w:t>
            </w:r>
          </w:p>
          <w:p w14:paraId="7B2BFF29">
            <w:pPr>
              <w:autoSpaceDE w:val="0"/>
              <w:autoSpaceDN w:val="0"/>
              <w:adjustRightInd w:val="0"/>
              <w:snapToGrid w:val="0"/>
              <w:jc w:val="both"/>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4.《海船船员培训大纲（2021版）》；</w:t>
            </w:r>
          </w:p>
          <w:p w14:paraId="03A88BA5">
            <w:pPr>
              <w:autoSpaceDE w:val="0"/>
              <w:autoSpaceDN w:val="0"/>
              <w:adjustRightInd w:val="0"/>
              <w:snapToGrid w:val="0"/>
              <w:jc w:val="both"/>
              <w:rPr>
                <w:rFonts w:hint="eastAsia" w:ascii="仿宋_GB2312" w:hAnsi="仿宋_GB2312" w:eastAsia="仿宋_GB2312" w:cs="仿宋_GB2312"/>
                <w:color w:val="FF0000"/>
                <w:sz w:val="24"/>
              </w:rPr>
            </w:pPr>
            <w:r>
              <w:rPr>
                <w:rFonts w:hint="eastAsia" w:ascii="仿宋_GB2312" w:hAnsi="仿宋_GB2312" w:eastAsia="仿宋_GB2312" w:cs="仿宋_GB2312"/>
                <w:color w:val="000000"/>
                <w:sz w:val="24"/>
              </w:rPr>
              <w:t>5.《海船船员考试大纲（2022版）》</w:t>
            </w:r>
          </w:p>
        </w:tc>
      </w:tr>
      <w:tr w14:paraId="1AAE89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 w:hRule="atLeast"/>
          <w:jc w:val="center"/>
        </w:trPr>
        <w:tc>
          <w:tcPr>
            <w:tcW w:w="1655" w:type="dxa"/>
            <w:noWrap w:val="0"/>
            <w:vAlign w:val="center"/>
          </w:tcPr>
          <w:p w14:paraId="50E74322">
            <w:pPr>
              <w:autoSpaceDE w:val="0"/>
              <w:autoSpaceDN w:val="0"/>
              <w:adjustRightInd w:val="0"/>
              <w:snapToGrid w:val="0"/>
              <w:jc w:val="center"/>
              <w:rPr>
                <w:rFonts w:hint="eastAsia" w:ascii="仿宋_GB2312" w:hAnsi="仿宋_GB2312" w:eastAsia="仿宋_GB2312" w:cs="仿宋_GB2312"/>
                <w:sz w:val="24"/>
              </w:rPr>
            </w:pPr>
            <w:r>
              <w:rPr>
                <w:rFonts w:hint="eastAsia" w:ascii="仿宋_GB2312" w:hAnsi="仿宋_GB2312" w:eastAsia="仿宋_GB2312" w:cs="仿宋_GB2312"/>
                <w:sz w:val="24"/>
              </w:rPr>
              <w:t>模块二：</w:t>
            </w:r>
          </w:p>
          <w:p w14:paraId="4D128036">
            <w:pPr>
              <w:autoSpaceDE w:val="0"/>
              <w:autoSpaceDN w:val="0"/>
              <w:adjustRightInd w:val="0"/>
              <w:snapToGrid w:val="0"/>
              <w:jc w:val="center"/>
              <w:rPr>
                <w:rFonts w:hint="eastAsia" w:ascii="仿宋_GB2312" w:hAnsi="仿宋_GB2312" w:eastAsia="仿宋_GB2312" w:cs="仿宋_GB2312"/>
                <w:sz w:val="24"/>
              </w:rPr>
            </w:pPr>
            <w:r>
              <w:rPr>
                <w:rFonts w:hint="eastAsia" w:ascii="仿宋_GB2312" w:hAnsi="仿宋_GB2312" w:eastAsia="仿宋_GB2312" w:cs="仿宋_GB2312"/>
                <w:sz w:val="24"/>
              </w:rPr>
              <w:t>航行路线设计</w:t>
            </w:r>
          </w:p>
        </w:tc>
        <w:tc>
          <w:tcPr>
            <w:tcW w:w="2764" w:type="dxa"/>
            <w:noWrap w:val="0"/>
            <w:vAlign w:val="center"/>
          </w:tcPr>
          <w:p w14:paraId="6FBF5C19">
            <w:pPr>
              <w:autoSpaceDE w:val="0"/>
              <w:autoSpaceDN w:val="0"/>
              <w:adjustRightInd w:val="0"/>
              <w:snapToGrid w:val="0"/>
              <w:jc w:val="both"/>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选取本航次所需航海图书资料和海图，并判断适用性；在海图上绘制从起点至终点连续不断的计划航线，并标注出航路点编号、经纬度，航向、航程，接图点、换图标注提示和其他标注；在航线表中填写航路点编号、坐标、航向、航程等信息；识别航次风险，编制航行用表</w:t>
            </w:r>
          </w:p>
        </w:tc>
        <w:tc>
          <w:tcPr>
            <w:tcW w:w="4044" w:type="dxa"/>
            <w:noWrap w:val="0"/>
            <w:vAlign w:val="top"/>
          </w:tcPr>
          <w:p w14:paraId="6868749F">
            <w:pPr>
              <w:autoSpaceDE w:val="0"/>
              <w:autoSpaceDN w:val="0"/>
              <w:adjustRightInd w:val="0"/>
              <w:snapToGrid w:val="0"/>
              <w:jc w:val="both"/>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1.《海船船员培训大纲（2021版）》；</w:t>
            </w:r>
          </w:p>
          <w:p w14:paraId="22B081A6">
            <w:pPr>
              <w:autoSpaceDE w:val="0"/>
              <w:autoSpaceDN w:val="0"/>
              <w:adjustRightInd w:val="0"/>
              <w:snapToGrid w:val="0"/>
              <w:jc w:val="both"/>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2.《海船船员考试大纲（2022版）》；</w:t>
            </w:r>
          </w:p>
          <w:p w14:paraId="46EED429">
            <w:pPr>
              <w:autoSpaceDE w:val="0"/>
              <w:autoSpaceDN w:val="0"/>
              <w:adjustRightInd w:val="0"/>
              <w:snapToGrid w:val="0"/>
              <w:jc w:val="both"/>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3.交通部海图作业试行规则；</w:t>
            </w:r>
          </w:p>
          <w:p w14:paraId="0F4997D1">
            <w:pPr>
              <w:autoSpaceDE w:val="0"/>
              <w:autoSpaceDN w:val="0"/>
              <w:adjustRightInd w:val="0"/>
              <w:snapToGrid w:val="0"/>
              <w:jc w:val="both"/>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4.《中华人民共和国海船船员值班规则》；</w:t>
            </w:r>
          </w:p>
          <w:p w14:paraId="12C05C3C">
            <w:pPr>
              <w:autoSpaceDE w:val="0"/>
              <w:autoSpaceDN w:val="0"/>
              <w:adjustRightInd w:val="0"/>
              <w:snapToGrid w:val="0"/>
              <w:jc w:val="both"/>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5.《驾驶台规则》；</w:t>
            </w:r>
          </w:p>
          <w:p w14:paraId="35C0AB5A">
            <w:pPr>
              <w:autoSpaceDE w:val="0"/>
              <w:autoSpaceDN w:val="0"/>
              <w:adjustRightInd w:val="0"/>
              <w:snapToGrid w:val="0"/>
              <w:jc w:val="both"/>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6.国内外船舶海上交通安全管理规定</w:t>
            </w:r>
          </w:p>
        </w:tc>
      </w:tr>
    </w:tbl>
    <w:p w14:paraId="0C2A6018">
      <w:pPr>
        <w:keepNext w:val="0"/>
        <w:keepLines w:val="0"/>
        <w:pageBreakBefore w:val="0"/>
        <w:widowControl w:val="0"/>
        <w:kinsoku/>
        <w:wordWrap/>
        <w:overflowPunct/>
        <w:topLinePunct w:val="0"/>
        <w:autoSpaceDE/>
        <w:autoSpaceDN/>
        <w:bidi w:val="0"/>
        <w:adjustRightInd w:val="0"/>
        <w:snapToGrid w:val="0"/>
        <w:spacing w:before="157" w:beforeLines="50" w:after="157" w:afterLines="50" w:line="240" w:lineRule="auto"/>
        <w:ind w:firstLine="482" w:firstLineChars="200"/>
        <w:textAlignment w:val="auto"/>
        <w:outlineLvl w:val="1"/>
        <w:rPr>
          <w:rFonts w:hint="eastAsia" w:ascii="仿宋_GB2312" w:hAnsi="仿宋_GB2312" w:eastAsia="仿宋_GB2312" w:cs="仿宋_GB2312"/>
          <w:b/>
          <w:bCs/>
          <w:color w:val="auto"/>
          <w:sz w:val="24"/>
          <w:szCs w:val="28"/>
          <w:highlight w:val="none"/>
        </w:rPr>
      </w:pPr>
      <w:r>
        <w:rPr>
          <w:rFonts w:hint="eastAsia" w:ascii="仿宋_GB2312" w:hAnsi="仿宋_GB2312" w:eastAsia="仿宋_GB2312" w:cs="仿宋_GB2312"/>
          <w:b/>
          <w:bCs/>
          <w:color w:val="auto"/>
          <w:sz w:val="24"/>
          <w:szCs w:val="28"/>
          <w:highlight w:val="none"/>
        </w:rPr>
        <w:t>（二）专业知识要求</w:t>
      </w:r>
    </w:p>
    <w:p w14:paraId="7F1A9AB5">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本赛项包括</w:t>
      </w:r>
      <w:bookmarkStart w:id="1" w:name="_Hlk132315471"/>
      <w:r>
        <w:rPr>
          <w:rFonts w:hint="eastAsia" w:ascii="仿宋_GB2312" w:hAnsi="仿宋_GB2312" w:eastAsia="仿宋_GB2312" w:cs="仿宋_GB2312"/>
          <w:sz w:val="24"/>
          <w:szCs w:val="24"/>
          <w:lang w:val="en-US" w:eastAsia="zh-CN"/>
        </w:rPr>
        <w:t>商船货物配载和航行路线设计两个模块</w:t>
      </w:r>
      <w:bookmarkEnd w:id="1"/>
      <w:r>
        <w:rPr>
          <w:rFonts w:hint="eastAsia" w:ascii="仿宋_GB2312" w:hAnsi="仿宋_GB2312" w:eastAsia="仿宋_GB2312" w:cs="仿宋_GB2312"/>
          <w:sz w:val="24"/>
          <w:szCs w:val="24"/>
          <w:lang w:val="en-US" w:eastAsia="zh-CN"/>
        </w:rPr>
        <w:t>，参赛选手应具备船舶货物运输、航线航法等专业知识。</w:t>
      </w:r>
    </w:p>
    <w:p w14:paraId="31C9E675">
      <w:pPr>
        <w:keepNext w:val="0"/>
        <w:keepLines w:val="0"/>
        <w:pageBreakBefore w:val="0"/>
        <w:widowControl w:val="0"/>
        <w:kinsoku/>
        <w:wordWrap/>
        <w:overflowPunct/>
        <w:topLinePunct w:val="0"/>
        <w:autoSpaceDE/>
        <w:autoSpaceDN/>
        <w:bidi w:val="0"/>
        <w:adjustRightInd w:val="0"/>
        <w:snapToGrid w:val="0"/>
        <w:spacing w:before="157" w:beforeLines="50" w:after="157" w:afterLines="50" w:line="240" w:lineRule="auto"/>
        <w:ind w:firstLine="482" w:firstLineChars="200"/>
        <w:textAlignment w:val="auto"/>
        <w:outlineLvl w:val="1"/>
        <w:rPr>
          <w:rFonts w:hint="eastAsia" w:ascii="仿宋_GB2312" w:hAnsi="仿宋_GB2312" w:eastAsia="仿宋_GB2312" w:cs="仿宋_GB2312"/>
          <w:b/>
          <w:bCs/>
          <w:color w:val="auto"/>
          <w:sz w:val="24"/>
          <w:szCs w:val="28"/>
          <w:highlight w:val="none"/>
        </w:rPr>
      </w:pPr>
      <w:r>
        <w:rPr>
          <w:rFonts w:hint="eastAsia" w:ascii="仿宋_GB2312" w:hAnsi="仿宋_GB2312" w:eastAsia="仿宋_GB2312" w:cs="仿宋_GB2312"/>
          <w:b/>
          <w:bCs/>
          <w:color w:val="auto"/>
          <w:sz w:val="24"/>
          <w:szCs w:val="28"/>
          <w:highlight w:val="none"/>
        </w:rPr>
        <w:t>（三）专业技能要求</w:t>
      </w:r>
    </w:p>
    <w:p w14:paraId="442DC3A6">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本赛项包括商船货物配载和航行路线设计两个模块，参赛选手应具备货物配载、海图作业、航线设计、绘制航线等专业技能。</w:t>
      </w:r>
    </w:p>
    <w:p w14:paraId="4A7C1499">
      <w:pPr>
        <w:keepNext w:val="0"/>
        <w:keepLines w:val="0"/>
        <w:pageBreakBefore w:val="0"/>
        <w:widowControl w:val="0"/>
        <w:kinsoku/>
        <w:wordWrap/>
        <w:overflowPunct/>
        <w:topLinePunct w:val="0"/>
        <w:autoSpaceDE/>
        <w:autoSpaceDN/>
        <w:bidi w:val="0"/>
        <w:adjustRightInd w:val="0"/>
        <w:snapToGrid w:val="0"/>
        <w:spacing w:before="157" w:beforeLines="50" w:after="157" w:afterLines="50" w:line="240" w:lineRule="auto"/>
        <w:textAlignment w:val="auto"/>
        <w:outlineLvl w:val="0"/>
        <w:rPr>
          <w:rFonts w:hint="eastAsia" w:ascii="Times New Roman" w:hAnsi="Times New Roman" w:eastAsia="黑体" w:cs="Times New Roman"/>
          <w:sz w:val="24"/>
          <w:szCs w:val="24"/>
        </w:rPr>
      </w:pPr>
      <w:r>
        <w:rPr>
          <w:rFonts w:hint="eastAsia" w:ascii="Times New Roman" w:hAnsi="Times New Roman" w:eastAsia="黑体" w:cs="Times New Roman"/>
          <w:sz w:val="24"/>
          <w:szCs w:val="24"/>
        </w:rPr>
        <w:t>十、技术平台</w:t>
      </w:r>
    </w:p>
    <w:p w14:paraId="10E0B543">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比赛使用设备由承办单位筹备。包括所有海图、资料、仪器、设备及比赛用品</w:t>
      </w:r>
    </w:p>
    <w:p w14:paraId="3AF379AF">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outlineLvl w:val="1"/>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1.商船货物配载</w:t>
      </w:r>
    </w:p>
    <w:p w14:paraId="6AD2843A">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每个参赛队：计算器2个，中性笔2支，铅笔4支，削笔刀1个，橡皮1块，船舶资料一套。</w:t>
      </w:r>
    </w:p>
    <w:p w14:paraId="1C6586F8">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outlineLvl w:val="1"/>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2.航行路线设计</w:t>
      </w:r>
    </w:p>
    <w:p w14:paraId="09BE6FFC">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每个参赛队：计算器2个，中性笔2支，铅笔4支，削笔刀1个，橡皮1块，平行尺1把，航海三角板一套，圆规一个，分规一个，相关海图，图书资料。</w:t>
      </w:r>
    </w:p>
    <w:p w14:paraId="1D837A84">
      <w:pPr>
        <w:keepNext w:val="0"/>
        <w:keepLines w:val="0"/>
        <w:pageBreakBefore w:val="0"/>
        <w:widowControl w:val="0"/>
        <w:kinsoku/>
        <w:wordWrap/>
        <w:overflowPunct/>
        <w:topLinePunct w:val="0"/>
        <w:autoSpaceDE/>
        <w:autoSpaceDN/>
        <w:bidi w:val="0"/>
        <w:adjustRightInd w:val="0"/>
        <w:snapToGrid w:val="0"/>
        <w:spacing w:before="157" w:beforeLines="50" w:after="157" w:afterLines="50" w:line="240" w:lineRule="auto"/>
        <w:textAlignment w:val="auto"/>
        <w:outlineLvl w:val="0"/>
        <w:rPr>
          <w:rFonts w:hint="eastAsia" w:ascii="Times New Roman" w:hAnsi="Times New Roman" w:eastAsia="黑体" w:cs="Times New Roman"/>
          <w:sz w:val="24"/>
          <w:szCs w:val="24"/>
        </w:rPr>
      </w:pPr>
      <w:r>
        <w:rPr>
          <w:rFonts w:hint="eastAsia" w:ascii="Times New Roman" w:hAnsi="Times New Roman" w:eastAsia="黑体" w:cs="Times New Roman"/>
          <w:sz w:val="24"/>
          <w:szCs w:val="24"/>
        </w:rPr>
        <w:t>十一、成绩评定</w:t>
      </w:r>
    </w:p>
    <w:p w14:paraId="488C767B">
      <w:pPr>
        <w:keepNext w:val="0"/>
        <w:keepLines w:val="0"/>
        <w:pageBreakBefore w:val="0"/>
        <w:widowControl w:val="0"/>
        <w:kinsoku/>
        <w:wordWrap/>
        <w:overflowPunct/>
        <w:topLinePunct w:val="0"/>
        <w:autoSpaceDE/>
        <w:autoSpaceDN/>
        <w:bidi w:val="0"/>
        <w:adjustRightInd w:val="0"/>
        <w:snapToGrid w:val="0"/>
        <w:spacing w:before="157" w:beforeLines="50" w:after="157" w:afterLines="50" w:line="240" w:lineRule="auto"/>
        <w:ind w:firstLine="482" w:firstLineChars="200"/>
        <w:textAlignment w:val="auto"/>
        <w:outlineLvl w:val="1"/>
        <w:rPr>
          <w:rFonts w:hint="eastAsia" w:ascii="仿宋_GB2312" w:hAnsi="仿宋_GB2312" w:eastAsia="仿宋_GB2312" w:cs="仿宋_GB2312"/>
          <w:b/>
          <w:bCs/>
          <w:color w:val="auto"/>
          <w:sz w:val="24"/>
          <w:szCs w:val="28"/>
          <w:highlight w:val="none"/>
        </w:rPr>
      </w:pPr>
      <w:r>
        <w:rPr>
          <w:rFonts w:hint="eastAsia" w:ascii="仿宋_GB2312" w:hAnsi="仿宋_GB2312" w:eastAsia="仿宋_GB2312" w:cs="仿宋_GB2312"/>
          <w:b/>
          <w:bCs/>
          <w:color w:val="auto"/>
          <w:sz w:val="24"/>
          <w:szCs w:val="28"/>
          <w:highlight w:val="none"/>
        </w:rPr>
        <w:t>（一）评分标准制订原则</w:t>
      </w:r>
    </w:p>
    <w:p w14:paraId="3C500792">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1.竞赛题目以实际项目为基础，注重知识、技能并重，重点考核货物配载、航线设计等相关理论知识与技能，侧重专业技能的综合运用，符合船舶甲板部技术人员、船舶业务员培养需求的特点。</w:t>
      </w:r>
    </w:p>
    <w:p w14:paraId="60B272DE">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2.成绩评定的评判标准，参考行业国际通行技术规范和职业标准。</w:t>
      </w:r>
    </w:p>
    <w:p w14:paraId="6BC37E13">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3.在高职组赛事裁判委员会领导下，赛项裁判组负责赛项成绩评定工作。</w:t>
      </w:r>
    </w:p>
    <w:p w14:paraId="58BDBB4C">
      <w:pPr>
        <w:keepNext w:val="0"/>
        <w:keepLines w:val="0"/>
        <w:pageBreakBefore w:val="0"/>
        <w:widowControl w:val="0"/>
        <w:kinsoku/>
        <w:wordWrap/>
        <w:overflowPunct/>
        <w:topLinePunct w:val="0"/>
        <w:autoSpaceDE/>
        <w:autoSpaceDN/>
        <w:bidi w:val="0"/>
        <w:adjustRightInd w:val="0"/>
        <w:snapToGrid w:val="0"/>
        <w:spacing w:before="157" w:beforeLines="50" w:after="157" w:afterLines="50" w:line="240" w:lineRule="auto"/>
        <w:ind w:firstLine="482" w:firstLineChars="200"/>
        <w:textAlignment w:val="auto"/>
        <w:outlineLvl w:val="1"/>
        <w:rPr>
          <w:rFonts w:hint="eastAsia" w:ascii="仿宋_GB2312" w:hAnsi="仿宋_GB2312" w:eastAsia="仿宋_GB2312" w:cs="仿宋_GB2312"/>
          <w:b/>
          <w:bCs/>
          <w:color w:val="auto"/>
          <w:sz w:val="24"/>
          <w:szCs w:val="28"/>
          <w:highlight w:val="none"/>
        </w:rPr>
      </w:pPr>
      <w:r>
        <w:rPr>
          <w:rFonts w:hint="eastAsia" w:ascii="仿宋_GB2312" w:hAnsi="仿宋_GB2312" w:eastAsia="仿宋_GB2312" w:cs="仿宋_GB2312"/>
          <w:b/>
          <w:bCs/>
          <w:color w:val="auto"/>
          <w:sz w:val="24"/>
          <w:szCs w:val="28"/>
          <w:highlight w:val="none"/>
        </w:rPr>
        <w:t>（二）评分标准</w:t>
      </w:r>
    </w:p>
    <w:p w14:paraId="3EFDB817">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赛项成绩按照所设竞赛模块进行分配，各模块占比与各模块评价指标占比如下：</w:t>
      </w:r>
    </w:p>
    <w:tbl>
      <w:tblPr>
        <w:tblStyle w:val="5"/>
        <w:tblW w:w="860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646"/>
        <w:gridCol w:w="850"/>
        <w:gridCol w:w="709"/>
        <w:gridCol w:w="3713"/>
        <w:gridCol w:w="709"/>
        <w:gridCol w:w="977"/>
      </w:tblGrid>
      <w:tr w14:paraId="47E850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blHeader/>
          <w:jc w:val="center"/>
        </w:trPr>
        <w:tc>
          <w:tcPr>
            <w:tcW w:w="1646" w:type="dxa"/>
            <w:noWrap w:val="0"/>
            <w:vAlign w:val="center"/>
          </w:tcPr>
          <w:p w14:paraId="100BB83A">
            <w:pPr>
              <w:keepNext w:val="0"/>
              <w:keepLines w:val="0"/>
              <w:pageBreakBefore w:val="0"/>
              <w:widowControl w:val="0"/>
              <w:kinsoku/>
              <w:wordWrap/>
              <w:overflowPunct/>
              <w:topLinePunct w:val="0"/>
              <w:autoSpaceDE/>
              <w:autoSpaceDN/>
              <w:bidi w:val="0"/>
              <w:adjustRightInd/>
              <w:snapToGrid/>
              <w:spacing w:line="0" w:lineRule="atLeast"/>
              <w:jc w:val="center"/>
              <w:textAlignment w:val="auto"/>
              <w:rPr>
                <w:rFonts w:hint="eastAsia" w:ascii="仿宋_GB2312" w:hAnsi="仿宋_GB2312" w:eastAsia="仿宋_GB2312" w:cs="仿宋_GB2312"/>
                <w:b/>
                <w:sz w:val="24"/>
              </w:rPr>
            </w:pPr>
            <w:r>
              <w:rPr>
                <w:rFonts w:hint="eastAsia" w:ascii="仿宋_GB2312" w:hAnsi="仿宋_GB2312" w:eastAsia="仿宋_GB2312" w:cs="仿宋_GB2312"/>
                <w:b/>
                <w:sz w:val="24"/>
              </w:rPr>
              <w:t>赛项模块</w:t>
            </w:r>
          </w:p>
        </w:tc>
        <w:tc>
          <w:tcPr>
            <w:tcW w:w="850" w:type="dxa"/>
            <w:noWrap w:val="0"/>
            <w:vAlign w:val="center"/>
          </w:tcPr>
          <w:p w14:paraId="529F1B2F">
            <w:pPr>
              <w:keepNext w:val="0"/>
              <w:keepLines w:val="0"/>
              <w:pageBreakBefore w:val="0"/>
              <w:widowControl w:val="0"/>
              <w:kinsoku/>
              <w:wordWrap/>
              <w:overflowPunct/>
              <w:topLinePunct w:val="0"/>
              <w:autoSpaceDE/>
              <w:autoSpaceDN/>
              <w:bidi w:val="0"/>
              <w:adjustRightInd/>
              <w:snapToGrid/>
              <w:spacing w:line="0" w:lineRule="atLeast"/>
              <w:jc w:val="center"/>
              <w:textAlignment w:val="auto"/>
              <w:rPr>
                <w:rFonts w:hint="eastAsia" w:ascii="仿宋_GB2312" w:hAnsi="仿宋_GB2312" w:eastAsia="仿宋_GB2312" w:cs="仿宋_GB2312"/>
                <w:b/>
                <w:sz w:val="24"/>
              </w:rPr>
            </w:pPr>
            <w:r>
              <w:rPr>
                <w:rFonts w:hint="eastAsia" w:ascii="仿宋_GB2312" w:hAnsi="仿宋_GB2312" w:eastAsia="仿宋_GB2312" w:cs="仿宋_GB2312"/>
                <w:b/>
                <w:sz w:val="24"/>
              </w:rPr>
              <w:t>竞赛</w:t>
            </w:r>
          </w:p>
          <w:p w14:paraId="2DED5970">
            <w:pPr>
              <w:keepNext w:val="0"/>
              <w:keepLines w:val="0"/>
              <w:pageBreakBefore w:val="0"/>
              <w:widowControl w:val="0"/>
              <w:kinsoku/>
              <w:wordWrap/>
              <w:overflowPunct/>
              <w:topLinePunct w:val="0"/>
              <w:autoSpaceDE/>
              <w:autoSpaceDN/>
              <w:bidi w:val="0"/>
              <w:adjustRightInd/>
              <w:snapToGrid/>
              <w:spacing w:line="0" w:lineRule="atLeast"/>
              <w:jc w:val="center"/>
              <w:textAlignment w:val="auto"/>
              <w:rPr>
                <w:rFonts w:hint="eastAsia" w:ascii="仿宋_GB2312" w:hAnsi="仿宋_GB2312" w:eastAsia="仿宋_GB2312" w:cs="仿宋_GB2312"/>
                <w:b/>
                <w:sz w:val="24"/>
              </w:rPr>
            </w:pPr>
            <w:r>
              <w:rPr>
                <w:rFonts w:hint="eastAsia" w:ascii="仿宋_GB2312" w:hAnsi="仿宋_GB2312" w:eastAsia="仿宋_GB2312" w:cs="仿宋_GB2312"/>
                <w:b/>
                <w:sz w:val="24"/>
              </w:rPr>
              <w:t>时长</w:t>
            </w:r>
          </w:p>
        </w:tc>
        <w:tc>
          <w:tcPr>
            <w:tcW w:w="709" w:type="dxa"/>
            <w:noWrap w:val="0"/>
            <w:vAlign w:val="center"/>
          </w:tcPr>
          <w:p w14:paraId="2DA07559">
            <w:pPr>
              <w:keepNext w:val="0"/>
              <w:keepLines w:val="0"/>
              <w:pageBreakBefore w:val="0"/>
              <w:widowControl w:val="0"/>
              <w:kinsoku/>
              <w:wordWrap/>
              <w:overflowPunct/>
              <w:topLinePunct w:val="0"/>
              <w:autoSpaceDE/>
              <w:autoSpaceDN/>
              <w:bidi w:val="0"/>
              <w:adjustRightInd/>
              <w:snapToGrid/>
              <w:spacing w:line="0" w:lineRule="atLeast"/>
              <w:jc w:val="center"/>
              <w:textAlignment w:val="auto"/>
              <w:rPr>
                <w:rFonts w:hint="eastAsia" w:ascii="仿宋_GB2312" w:hAnsi="仿宋_GB2312" w:eastAsia="仿宋_GB2312" w:cs="仿宋_GB2312"/>
                <w:b/>
                <w:sz w:val="24"/>
              </w:rPr>
            </w:pPr>
            <w:r>
              <w:rPr>
                <w:rFonts w:hint="eastAsia" w:ascii="仿宋_GB2312" w:hAnsi="仿宋_GB2312" w:eastAsia="仿宋_GB2312" w:cs="仿宋_GB2312"/>
                <w:b/>
                <w:sz w:val="24"/>
              </w:rPr>
              <w:t>单项总分</w:t>
            </w:r>
          </w:p>
        </w:tc>
        <w:tc>
          <w:tcPr>
            <w:tcW w:w="3713" w:type="dxa"/>
            <w:noWrap w:val="0"/>
            <w:vAlign w:val="center"/>
          </w:tcPr>
          <w:p w14:paraId="04CC3739">
            <w:pPr>
              <w:keepNext w:val="0"/>
              <w:keepLines w:val="0"/>
              <w:pageBreakBefore w:val="0"/>
              <w:widowControl w:val="0"/>
              <w:kinsoku/>
              <w:wordWrap/>
              <w:overflowPunct/>
              <w:topLinePunct w:val="0"/>
              <w:autoSpaceDE/>
              <w:autoSpaceDN/>
              <w:bidi w:val="0"/>
              <w:adjustRightInd/>
              <w:snapToGrid/>
              <w:spacing w:line="0" w:lineRule="atLeast"/>
              <w:jc w:val="center"/>
              <w:textAlignment w:val="auto"/>
              <w:rPr>
                <w:rFonts w:hint="eastAsia" w:ascii="仿宋_GB2312" w:hAnsi="仿宋_GB2312" w:eastAsia="仿宋_GB2312" w:cs="仿宋_GB2312"/>
                <w:b/>
                <w:sz w:val="24"/>
              </w:rPr>
            </w:pPr>
            <w:r>
              <w:rPr>
                <w:rFonts w:hint="eastAsia" w:ascii="仿宋_GB2312" w:hAnsi="仿宋_GB2312" w:eastAsia="仿宋_GB2312" w:cs="仿宋_GB2312"/>
                <w:b/>
                <w:sz w:val="24"/>
              </w:rPr>
              <w:t>评价指标</w:t>
            </w:r>
          </w:p>
        </w:tc>
        <w:tc>
          <w:tcPr>
            <w:tcW w:w="709" w:type="dxa"/>
            <w:noWrap w:val="0"/>
            <w:vAlign w:val="center"/>
          </w:tcPr>
          <w:p w14:paraId="2EFDBF87">
            <w:pPr>
              <w:keepNext w:val="0"/>
              <w:keepLines w:val="0"/>
              <w:pageBreakBefore w:val="0"/>
              <w:widowControl w:val="0"/>
              <w:kinsoku/>
              <w:wordWrap/>
              <w:overflowPunct/>
              <w:topLinePunct w:val="0"/>
              <w:autoSpaceDE/>
              <w:autoSpaceDN/>
              <w:bidi w:val="0"/>
              <w:adjustRightInd/>
              <w:snapToGrid/>
              <w:spacing w:line="0" w:lineRule="atLeast"/>
              <w:jc w:val="center"/>
              <w:textAlignment w:val="auto"/>
              <w:rPr>
                <w:rFonts w:hint="eastAsia" w:ascii="仿宋_GB2312" w:hAnsi="仿宋_GB2312" w:eastAsia="仿宋_GB2312" w:cs="仿宋_GB2312"/>
                <w:b/>
                <w:sz w:val="24"/>
              </w:rPr>
            </w:pPr>
            <w:r>
              <w:rPr>
                <w:rFonts w:hint="eastAsia" w:ascii="仿宋_GB2312" w:hAnsi="仿宋_GB2312" w:eastAsia="仿宋_GB2312" w:cs="仿宋_GB2312"/>
                <w:b/>
                <w:sz w:val="24"/>
              </w:rPr>
              <w:t>分值</w:t>
            </w:r>
          </w:p>
        </w:tc>
        <w:tc>
          <w:tcPr>
            <w:tcW w:w="977" w:type="dxa"/>
            <w:noWrap w:val="0"/>
            <w:vAlign w:val="center"/>
          </w:tcPr>
          <w:p w14:paraId="6BEC4357">
            <w:pPr>
              <w:keepNext w:val="0"/>
              <w:keepLines w:val="0"/>
              <w:pageBreakBefore w:val="0"/>
              <w:widowControl w:val="0"/>
              <w:kinsoku/>
              <w:wordWrap/>
              <w:overflowPunct/>
              <w:topLinePunct w:val="0"/>
              <w:autoSpaceDE/>
              <w:autoSpaceDN/>
              <w:bidi w:val="0"/>
              <w:adjustRightInd/>
              <w:snapToGrid/>
              <w:spacing w:line="0" w:lineRule="atLeast"/>
              <w:jc w:val="center"/>
              <w:textAlignment w:val="auto"/>
              <w:rPr>
                <w:rFonts w:hint="eastAsia" w:ascii="仿宋_GB2312" w:hAnsi="仿宋_GB2312" w:eastAsia="仿宋_GB2312" w:cs="仿宋_GB2312"/>
                <w:b/>
                <w:sz w:val="24"/>
              </w:rPr>
            </w:pPr>
            <w:r>
              <w:rPr>
                <w:rFonts w:hint="eastAsia" w:ascii="仿宋_GB2312" w:hAnsi="仿宋_GB2312" w:eastAsia="仿宋_GB2312" w:cs="仿宋_GB2312"/>
                <w:b/>
                <w:sz w:val="24"/>
              </w:rPr>
              <w:t>总分占比</w:t>
            </w:r>
          </w:p>
        </w:tc>
      </w:tr>
      <w:tr w14:paraId="08814F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646" w:type="dxa"/>
            <w:vMerge w:val="restart"/>
            <w:noWrap w:val="0"/>
            <w:vAlign w:val="center"/>
          </w:tcPr>
          <w:p w14:paraId="0049788C">
            <w:pPr>
              <w:keepNext w:val="0"/>
              <w:keepLines w:val="0"/>
              <w:pageBreakBefore w:val="0"/>
              <w:widowControl w:val="0"/>
              <w:kinsoku/>
              <w:wordWrap/>
              <w:overflowPunct/>
              <w:topLinePunct w:val="0"/>
              <w:autoSpaceDE/>
              <w:autoSpaceDN/>
              <w:bidi w:val="0"/>
              <w:adjustRightInd/>
              <w:snapToGrid/>
              <w:spacing w:line="0" w:lineRule="atLeast"/>
              <w:jc w:val="center"/>
              <w:textAlignment w:val="auto"/>
              <w:rPr>
                <w:rFonts w:hint="eastAsia" w:ascii="仿宋_GB2312" w:hAnsi="仿宋_GB2312" w:eastAsia="仿宋_GB2312" w:cs="仿宋_GB2312"/>
                <w:bCs/>
                <w:color w:val="000000"/>
                <w:sz w:val="24"/>
              </w:rPr>
            </w:pPr>
            <w:r>
              <w:rPr>
                <w:rFonts w:hint="eastAsia" w:ascii="仿宋_GB2312" w:hAnsi="仿宋_GB2312" w:eastAsia="仿宋_GB2312" w:cs="仿宋_GB2312"/>
                <w:bCs/>
                <w:color w:val="000000"/>
                <w:sz w:val="24"/>
              </w:rPr>
              <w:t>模块一：</w:t>
            </w:r>
          </w:p>
          <w:p w14:paraId="34F2B23F">
            <w:pPr>
              <w:keepNext w:val="0"/>
              <w:keepLines w:val="0"/>
              <w:pageBreakBefore w:val="0"/>
              <w:widowControl w:val="0"/>
              <w:kinsoku/>
              <w:wordWrap/>
              <w:overflowPunct/>
              <w:topLinePunct w:val="0"/>
              <w:autoSpaceDE/>
              <w:autoSpaceDN/>
              <w:bidi w:val="0"/>
              <w:adjustRightInd/>
              <w:snapToGrid/>
              <w:spacing w:line="0" w:lineRule="atLeast"/>
              <w:jc w:val="center"/>
              <w:textAlignment w:val="auto"/>
              <w:rPr>
                <w:rFonts w:hint="eastAsia" w:ascii="仿宋_GB2312" w:hAnsi="仿宋_GB2312" w:eastAsia="仿宋_GB2312" w:cs="仿宋_GB2312"/>
                <w:bCs/>
                <w:color w:val="000000"/>
                <w:sz w:val="24"/>
              </w:rPr>
            </w:pPr>
            <w:r>
              <w:rPr>
                <w:rFonts w:hint="eastAsia" w:ascii="仿宋_GB2312" w:hAnsi="仿宋_GB2312" w:eastAsia="仿宋_GB2312" w:cs="仿宋_GB2312"/>
                <w:bCs/>
                <w:color w:val="000000"/>
                <w:sz w:val="24"/>
              </w:rPr>
              <w:t>商船货物配资</w:t>
            </w:r>
          </w:p>
        </w:tc>
        <w:tc>
          <w:tcPr>
            <w:tcW w:w="850" w:type="dxa"/>
            <w:vMerge w:val="restart"/>
            <w:noWrap w:val="0"/>
            <w:vAlign w:val="center"/>
          </w:tcPr>
          <w:p w14:paraId="4E8401C3">
            <w:pPr>
              <w:keepNext w:val="0"/>
              <w:keepLines w:val="0"/>
              <w:pageBreakBefore w:val="0"/>
              <w:widowControl w:val="0"/>
              <w:kinsoku/>
              <w:wordWrap/>
              <w:overflowPunct/>
              <w:topLinePunct w:val="0"/>
              <w:autoSpaceDE/>
              <w:autoSpaceDN/>
              <w:bidi w:val="0"/>
              <w:adjustRightInd/>
              <w:snapToGrid/>
              <w:spacing w:line="0" w:lineRule="atLeast"/>
              <w:jc w:val="center"/>
              <w:textAlignment w:val="auto"/>
              <w:rPr>
                <w:rFonts w:hint="eastAsia" w:ascii="仿宋_GB2312" w:hAnsi="仿宋_GB2312" w:eastAsia="仿宋_GB2312" w:cs="仿宋_GB2312"/>
                <w:bCs/>
                <w:color w:val="000000"/>
                <w:sz w:val="24"/>
              </w:rPr>
            </w:pPr>
            <w:r>
              <w:rPr>
                <w:rFonts w:hint="eastAsia" w:ascii="仿宋_GB2312" w:hAnsi="仿宋_GB2312" w:eastAsia="仿宋_GB2312" w:cs="仿宋_GB2312"/>
                <w:bCs/>
                <w:color w:val="000000"/>
                <w:sz w:val="24"/>
              </w:rPr>
              <w:t>4h</w:t>
            </w:r>
          </w:p>
        </w:tc>
        <w:tc>
          <w:tcPr>
            <w:tcW w:w="709" w:type="dxa"/>
            <w:vMerge w:val="restart"/>
            <w:noWrap w:val="0"/>
            <w:vAlign w:val="center"/>
          </w:tcPr>
          <w:p w14:paraId="709818F8">
            <w:pPr>
              <w:keepNext w:val="0"/>
              <w:keepLines w:val="0"/>
              <w:pageBreakBefore w:val="0"/>
              <w:widowControl w:val="0"/>
              <w:kinsoku/>
              <w:wordWrap/>
              <w:overflowPunct/>
              <w:topLinePunct w:val="0"/>
              <w:autoSpaceDE/>
              <w:autoSpaceDN/>
              <w:bidi w:val="0"/>
              <w:adjustRightInd/>
              <w:snapToGrid/>
              <w:spacing w:line="0" w:lineRule="atLeast"/>
              <w:jc w:val="center"/>
              <w:textAlignment w:val="auto"/>
              <w:rPr>
                <w:rFonts w:hint="eastAsia" w:ascii="仿宋_GB2312" w:hAnsi="仿宋_GB2312" w:eastAsia="仿宋_GB2312" w:cs="仿宋_GB2312"/>
                <w:bCs/>
                <w:color w:val="000000"/>
                <w:sz w:val="24"/>
              </w:rPr>
            </w:pPr>
            <w:r>
              <w:rPr>
                <w:rFonts w:hint="eastAsia" w:ascii="仿宋_GB2312" w:hAnsi="仿宋_GB2312" w:eastAsia="仿宋_GB2312" w:cs="仿宋_GB2312"/>
                <w:bCs/>
                <w:color w:val="000000"/>
                <w:sz w:val="24"/>
              </w:rPr>
              <w:t>100</w:t>
            </w:r>
          </w:p>
        </w:tc>
        <w:tc>
          <w:tcPr>
            <w:tcW w:w="3713" w:type="dxa"/>
            <w:noWrap w:val="0"/>
            <w:vAlign w:val="center"/>
          </w:tcPr>
          <w:p w14:paraId="01187198">
            <w:pPr>
              <w:keepNext w:val="0"/>
              <w:keepLines w:val="0"/>
              <w:pageBreakBefore w:val="0"/>
              <w:widowControl w:val="0"/>
              <w:kinsoku/>
              <w:wordWrap/>
              <w:overflowPunct/>
              <w:topLinePunct w:val="0"/>
              <w:autoSpaceDE/>
              <w:autoSpaceDN/>
              <w:bidi w:val="0"/>
              <w:adjustRightInd/>
              <w:snapToGrid/>
              <w:spacing w:line="0" w:lineRule="atLeast"/>
              <w:textAlignment w:val="auto"/>
              <w:rPr>
                <w:rFonts w:hint="eastAsia" w:ascii="仿宋_GB2312" w:hAnsi="仿宋_GB2312" w:eastAsia="仿宋_GB2312" w:cs="仿宋_GB2312"/>
                <w:bCs/>
                <w:color w:val="000000"/>
                <w:sz w:val="24"/>
              </w:rPr>
            </w:pPr>
            <w:r>
              <w:rPr>
                <w:rFonts w:hint="eastAsia" w:ascii="仿宋_GB2312" w:hAnsi="仿宋_GB2312" w:eastAsia="仿宋_GB2312" w:cs="仿宋_GB2312"/>
                <w:bCs/>
                <w:color w:val="000000"/>
                <w:sz w:val="24"/>
              </w:rPr>
              <w:t>核算船舶载货能力</w:t>
            </w:r>
          </w:p>
        </w:tc>
        <w:tc>
          <w:tcPr>
            <w:tcW w:w="709" w:type="dxa"/>
            <w:noWrap w:val="0"/>
            <w:vAlign w:val="center"/>
          </w:tcPr>
          <w:p w14:paraId="7D109128">
            <w:pPr>
              <w:keepNext w:val="0"/>
              <w:keepLines w:val="0"/>
              <w:pageBreakBefore w:val="0"/>
              <w:widowControl w:val="0"/>
              <w:kinsoku/>
              <w:wordWrap/>
              <w:overflowPunct/>
              <w:topLinePunct w:val="0"/>
              <w:autoSpaceDE/>
              <w:autoSpaceDN/>
              <w:bidi w:val="0"/>
              <w:adjustRightInd/>
              <w:snapToGrid/>
              <w:spacing w:line="0" w:lineRule="atLeast"/>
              <w:jc w:val="center"/>
              <w:textAlignment w:val="auto"/>
              <w:rPr>
                <w:rFonts w:hint="eastAsia" w:ascii="仿宋_GB2312" w:hAnsi="仿宋_GB2312" w:eastAsia="仿宋_GB2312" w:cs="仿宋_GB2312"/>
                <w:bCs/>
                <w:color w:val="000000"/>
                <w:sz w:val="24"/>
              </w:rPr>
            </w:pPr>
            <w:r>
              <w:rPr>
                <w:rFonts w:hint="eastAsia" w:ascii="仿宋_GB2312" w:hAnsi="仿宋_GB2312" w:eastAsia="仿宋_GB2312" w:cs="仿宋_GB2312"/>
                <w:bCs/>
                <w:color w:val="000000"/>
                <w:sz w:val="24"/>
              </w:rPr>
              <w:t>10</w:t>
            </w:r>
          </w:p>
        </w:tc>
        <w:tc>
          <w:tcPr>
            <w:tcW w:w="977" w:type="dxa"/>
            <w:vMerge w:val="restart"/>
            <w:noWrap w:val="0"/>
            <w:vAlign w:val="center"/>
          </w:tcPr>
          <w:p w14:paraId="1EDBEB1D">
            <w:pPr>
              <w:keepNext w:val="0"/>
              <w:keepLines w:val="0"/>
              <w:pageBreakBefore w:val="0"/>
              <w:widowControl w:val="0"/>
              <w:kinsoku/>
              <w:wordWrap/>
              <w:overflowPunct/>
              <w:topLinePunct w:val="0"/>
              <w:autoSpaceDE/>
              <w:autoSpaceDN/>
              <w:bidi w:val="0"/>
              <w:adjustRightInd/>
              <w:snapToGrid/>
              <w:spacing w:line="0" w:lineRule="atLeast"/>
              <w:jc w:val="center"/>
              <w:textAlignment w:val="auto"/>
              <w:rPr>
                <w:rFonts w:hint="eastAsia" w:ascii="仿宋_GB2312" w:hAnsi="仿宋_GB2312" w:eastAsia="仿宋_GB2312" w:cs="仿宋_GB2312"/>
                <w:bCs/>
                <w:color w:val="000000"/>
                <w:sz w:val="24"/>
              </w:rPr>
            </w:pPr>
            <w:r>
              <w:rPr>
                <w:rFonts w:hint="eastAsia" w:ascii="仿宋_GB2312" w:hAnsi="仿宋_GB2312" w:eastAsia="仿宋_GB2312" w:cs="仿宋_GB2312"/>
                <w:bCs/>
                <w:color w:val="000000"/>
                <w:sz w:val="24"/>
                <w:lang w:val="en-US" w:eastAsia="zh-CN"/>
              </w:rPr>
              <w:t>5</w:t>
            </w:r>
            <w:r>
              <w:rPr>
                <w:rFonts w:hint="eastAsia" w:ascii="仿宋_GB2312" w:hAnsi="仿宋_GB2312" w:eastAsia="仿宋_GB2312" w:cs="仿宋_GB2312"/>
                <w:bCs/>
                <w:color w:val="000000"/>
                <w:sz w:val="24"/>
              </w:rPr>
              <w:t>0%</w:t>
            </w:r>
          </w:p>
        </w:tc>
      </w:tr>
      <w:tr w14:paraId="1A5142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646" w:type="dxa"/>
            <w:vMerge w:val="continue"/>
            <w:noWrap w:val="0"/>
            <w:vAlign w:val="center"/>
          </w:tcPr>
          <w:p w14:paraId="2C1C5A1E">
            <w:pPr>
              <w:keepNext w:val="0"/>
              <w:keepLines w:val="0"/>
              <w:pageBreakBefore w:val="0"/>
              <w:widowControl w:val="0"/>
              <w:kinsoku/>
              <w:wordWrap/>
              <w:overflowPunct/>
              <w:topLinePunct w:val="0"/>
              <w:autoSpaceDE/>
              <w:autoSpaceDN/>
              <w:bidi w:val="0"/>
              <w:adjustRightInd/>
              <w:snapToGrid/>
              <w:spacing w:line="0" w:lineRule="atLeast"/>
              <w:jc w:val="center"/>
              <w:textAlignment w:val="auto"/>
              <w:rPr>
                <w:rFonts w:hint="eastAsia" w:ascii="仿宋_GB2312" w:hAnsi="仿宋_GB2312" w:eastAsia="仿宋_GB2312" w:cs="仿宋_GB2312"/>
                <w:bCs/>
                <w:color w:val="000000"/>
                <w:sz w:val="24"/>
              </w:rPr>
            </w:pPr>
          </w:p>
        </w:tc>
        <w:tc>
          <w:tcPr>
            <w:tcW w:w="850" w:type="dxa"/>
            <w:vMerge w:val="continue"/>
            <w:noWrap w:val="0"/>
            <w:vAlign w:val="center"/>
          </w:tcPr>
          <w:p w14:paraId="6295994C">
            <w:pPr>
              <w:keepNext w:val="0"/>
              <w:keepLines w:val="0"/>
              <w:pageBreakBefore w:val="0"/>
              <w:widowControl w:val="0"/>
              <w:kinsoku/>
              <w:wordWrap/>
              <w:overflowPunct/>
              <w:topLinePunct w:val="0"/>
              <w:autoSpaceDE/>
              <w:autoSpaceDN/>
              <w:bidi w:val="0"/>
              <w:adjustRightInd/>
              <w:snapToGrid/>
              <w:spacing w:line="0" w:lineRule="atLeast"/>
              <w:jc w:val="center"/>
              <w:textAlignment w:val="auto"/>
              <w:rPr>
                <w:rFonts w:hint="eastAsia" w:ascii="仿宋_GB2312" w:hAnsi="仿宋_GB2312" w:eastAsia="仿宋_GB2312" w:cs="仿宋_GB2312"/>
                <w:bCs/>
                <w:color w:val="000000"/>
                <w:sz w:val="24"/>
              </w:rPr>
            </w:pPr>
          </w:p>
        </w:tc>
        <w:tc>
          <w:tcPr>
            <w:tcW w:w="709" w:type="dxa"/>
            <w:vMerge w:val="continue"/>
            <w:noWrap w:val="0"/>
            <w:vAlign w:val="center"/>
          </w:tcPr>
          <w:p w14:paraId="5561F029">
            <w:pPr>
              <w:keepNext w:val="0"/>
              <w:keepLines w:val="0"/>
              <w:pageBreakBefore w:val="0"/>
              <w:widowControl w:val="0"/>
              <w:kinsoku/>
              <w:wordWrap/>
              <w:overflowPunct/>
              <w:topLinePunct w:val="0"/>
              <w:autoSpaceDE/>
              <w:autoSpaceDN/>
              <w:bidi w:val="0"/>
              <w:adjustRightInd/>
              <w:snapToGrid/>
              <w:spacing w:line="0" w:lineRule="atLeast"/>
              <w:jc w:val="center"/>
              <w:textAlignment w:val="auto"/>
              <w:rPr>
                <w:rFonts w:hint="eastAsia" w:ascii="仿宋_GB2312" w:hAnsi="仿宋_GB2312" w:eastAsia="仿宋_GB2312" w:cs="仿宋_GB2312"/>
                <w:bCs/>
                <w:color w:val="000000"/>
                <w:sz w:val="24"/>
              </w:rPr>
            </w:pPr>
          </w:p>
        </w:tc>
        <w:tc>
          <w:tcPr>
            <w:tcW w:w="3713" w:type="dxa"/>
            <w:noWrap w:val="0"/>
            <w:vAlign w:val="center"/>
          </w:tcPr>
          <w:p w14:paraId="1474390B">
            <w:pPr>
              <w:keepNext w:val="0"/>
              <w:keepLines w:val="0"/>
              <w:pageBreakBefore w:val="0"/>
              <w:widowControl w:val="0"/>
              <w:kinsoku/>
              <w:wordWrap/>
              <w:overflowPunct/>
              <w:topLinePunct w:val="0"/>
              <w:autoSpaceDE/>
              <w:autoSpaceDN/>
              <w:bidi w:val="0"/>
              <w:adjustRightInd/>
              <w:snapToGrid/>
              <w:spacing w:line="0" w:lineRule="atLeast"/>
              <w:textAlignment w:val="auto"/>
              <w:rPr>
                <w:rFonts w:hint="eastAsia" w:ascii="仿宋_GB2312" w:hAnsi="仿宋_GB2312" w:eastAsia="仿宋_GB2312" w:cs="仿宋_GB2312"/>
                <w:bCs/>
                <w:color w:val="000000"/>
                <w:sz w:val="24"/>
              </w:rPr>
            </w:pPr>
            <w:r>
              <w:rPr>
                <w:rFonts w:hint="eastAsia" w:ascii="仿宋_GB2312" w:hAnsi="仿宋_GB2312" w:eastAsia="仿宋_GB2312" w:cs="仿宋_GB2312"/>
                <w:bCs/>
                <w:color w:val="000000"/>
                <w:sz w:val="24"/>
              </w:rPr>
              <w:t>分配各舱货物重量</w:t>
            </w:r>
          </w:p>
        </w:tc>
        <w:tc>
          <w:tcPr>
            <w:tcW w:w="709" w:type="dxa"/>
            <w:noWrap w:val="0"/>
            <w:vAlign w:val="center"/>
          </w:tcPr>
          <w:p w14:paraId="09CEFD70">
            <w:pPr>
              <w:keepNext w:val="0"/>
              <w:keepLines w:val="0"/>
              <w:pageBreakBefore w:val="0"/>
              <w:widowControl w:val="0"/>
              <w:kinsoku/>
              <w:wordWrap/>
              <w:overflowPunct/>
              <w:topLinePunct w:val="0"/>
              <w:autoSpaceDE/>
              <w:autoSpaceDN/>
              <w:bidi w:val="0"/>
              <w:adjustRightInd/>
              <w:snapToGrid/>
              <w:spacing w:line="0" w:lineRule="atLeast"/>
              <w:jc w:val="center"/>
              <w:textAlignment w:val="auto"/>
              <w:rPr>
                <w:rFonts w:hint="eastAsia" w:ascii="仿宋_GB2312" w:hAnsi="仿宋_GB2312" w:eastAsia="仿宋_GB2312" w:cs="仿宋_GB2312"/>
                <w:bCs/>
                <w:color w:val="000000"/>
                <w:sz w:val="24"/>
              </w:rPr>
            </w:pPr>
            <w:r>
              <w:rPr>
                <w:rFonts w:hint="eastAsia" w:ascii="仿宋_GB2312" w:hAnsi="仿宋_GB2312" w:eastAsia="仿宋_GB2312" w:cs="仿宋_GB2312"/>
                <w:bCs/>
                <w:color w:val="000000"/>
                <w:sz w:val="24"/>
              </w:rPr>
              <w:t>10</w:t>
            </w:r>
          </w:p>
        </w:tc>
        <w:tc>
          <w:tcPr>
            <w:tcW w:w="977" w:type="dxa"/>
            <w:vMerge w:val="continue"/>
            <w:noWrap w:val="0"/>
            <w:vAlign w:val="center"/>
          </w:tcPr>
          <w:p w14:paraId="5C0EA9D1">
            <w:pPr>
              <w:keepNext w:val="0"/>
              <w:keepLines w:val="0"/>
              <w:pageBreakBefore w:val="0"/>
              <w:widowControl w:val="0"/>
              <w:kinsoku/>
              <w:wordWrap/>
              <w:overflowPunct/>
              <w:topLinePunct w:val="0"/>
              <w:autoSpaceDE/>
              <w:autoSpaceDN/>
              <w:bidi w:val="0"/>
              <w:adjustRightInd/>
              <w:snapToGrid/>
              <w:spacing w:line="0" w:lineRule="atLeast"/>
              <w:textAlignment w:val="auto"/>
              <w:rPr>
                <w:rFonts w:hint="eastAsia" w:ascii="仿宋_GB2312" w:hAnsi="仿宋_GB2312" w:eastAsia="仿宋_GB2312" w:cs="仿宋_GB2312"/>
                <w:bCs/>
                <w:color w:val="000000"/>
                <w:sz w:val="24"/>
              </w:rPr>
            </w:pPr>
          </w:p>
        </w:tc>
      </w:tr>
      <w:tr w14:paraId="5EB01E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646" w:type="dxa"/>
            <w:vMerge w:val="continue"/>
            <w:noWrap w:val="0"/>
            <w:vAlign w:val="center"/>
          </w:tcPr>
          <w:p w14:paraId="02EE4598">
            <w:pPr>
              <w:keepNext w:val="0"/>
              <w:keepLines w:val="0"/>
              <w:pageBreakBefore w:val="0"/>
              <w:widowControl w:val="0"/>
              <w:kinsoku/>
              <w:wordWrap/>
              <w:overflowPunct/>
              <w:topLinePunct w:val="0"/>
              <w:autoSpaceDE/>
              <w:autoSpaceDN/>
              <w:bidi w:val="0"/>
              <w:adjustRightInd/>
              <w:snapToGrid/>
              <w:spacing w:line="0" w:lineRule="atLeast"/>
              <w:jc w:val="center"/>
              <w:textAlignment w:val="auto"/>
              <w:rPr>
                <w:rFonts w:hint="eastAsia" w:ascii="仿宋_GB2312" w:hAnsi="仿宋_GB2312" w:eastAsia="仿宋_GB2312" w:cs="仿宋_GB2312"/>
                <w:bCs/>
                <w:color w:val="000000"/>
                <w:sz w:val="24"/>
              </w:rPr>
            </w:pPr>
          </w:p>
        </w:tc>
        <w:tc>
          <w:tcPr>
            <w:tcW w:w="850" w:type="dxa"/>
            <w:vMerge w:val="continue"/>
            <w:noWrap w:val="0"/>
            <w:vAlign w:val="center"/>
          </w:tcPr>
          <w:p w14:paraId="1B574F28">
            <w:pPr>
              <w:keepNext w:val="0"/>
              <w:keepLines w:val="0"/>
              <w:pageBreakBefore w:val="0"/>
              <w:widowControl w:val="0"/>
              <w:kinsoku/>
              <w:wordWrap/>
              <w:overflowPunct/>
              <w:topLinePunct w:val="0"/>
              <w:autoSpaceDE/>
              <w:autoSpaceDN/>
              <w:bidi w:val="0"/>
              <w:adjustRightInd/>
              <w:snapToGrid/>
              <w:spacing w:line="0" w:lineRule="atLeast"/>
              <w:jc w:val="center"/>
              <w:textAlignment w:val="auto"/>
              <w:rPr>
                <w:rFonts w:hint="eastAsia" w:ascii="仿宋_GB2312" w:hAnsi="仿宋_GB2312" w:eastAsia="仿宋_GB2312" w:cs="仿宋_GB2312"/>
                <w:bCs/>
                <w:color w:val="000000"/>
                <w:sz w:val="24"/>
              </w:rPr>
            </w:pPr>
          </w:p>
        </w:tc>
        <w:tc>
          <w:tcPr>
            <w:tcW w:w="709" w:type="dxa"/>
            <w:vMerge w:val="continue"/>
            <w:noWrap w:val="0"/>
            <w:vAlign w:val="center"/>
          </w:tcPr>
          <w:p w14:paraId="0827DD35">
            <w:pPr>
              <w:keepNext w:val="0"/>
              <w:keepLines w:val="0"/>
              <w:pageBreakBefore w:val="0"/>
              <w:widowControl w:val="0"/>
              <w:kinsoku/>
              <w:wordWrap/>
              <w:overflowPunct/>
              <w:topLinePunct w:val="0"/>
              <w:autoSpaceDE/>
              <w:autoSpaceDN/>
              <w:bidi w:val="0"/>
              <w:adjustRightInd/>
              <w:snapToGrid/>
              <w:spacing w:line="0" w:lineRule="atLeast"/>
              <w:jc w:val="center"/>
              <w:textAlignment w:val="auto"/>
              <w:rPr>
                <w:rFonts w:hint="eastAsia" w:ascii="仿宋_GB2312" w:hAnsi="仿宋_GB2312" w:eastAsia="仿宋_GB2312" w:cs="仿宋_GB2312"/>
                <w:bCs/>
                <w:color w:val="000000"/>
                <w:sz w:val="24"/>
              </w:rPr>
            </w:pPr>
          </w:p>
        </w:tc>
        <w:tc>
          <w:tcPr>
            <w:tcW w:w="3713" w:type="dxa"/>
            <w:noWrap w:val="0"/>
            <w:vAlign w:val="center"/>
          </w:tcPr>
          <w:p w14:paraId="5E6FA3DB">
            <w:pPr>
              <w:keepNext w:val="0"/>
              <w:keepLines w:val="0"/>
              <w:pageBreakBefore w:val="0"/>
              <w:widowControl w:val="0"/>
              <w:kinsoku/>
              <w:wordWrap/>
              <w:overflowPunct/>
              <w:topLinePunct w:val="0"/>
              <w:autoSpaceDE/>
              <w:autoSpaceDN/>
              <w:bidi w:val="0"/>
              <w:adjustRightInd/>
              <w:snapToGrid/>
              <w:spacing w:line="0" w:lineRule="atLeast"/>
              <w:textAlignment w:val="auto"/>
              <w:rPr>
                <w:rFonts w:hint="eastAsia" w:ascii="仿宋_GB2312" w:hAnsi="仿宋_GB2312" w:eastAsia="仿宋_GB2312" w:cs="仿宋_GB2312"/>
                <w:bCs/>
                <w:color w:val="000000"/>
                <w:sz w:val="24"/>
              </w:rPr>
            </w:pPr>
            <w:r>
              <w:rPr>
                <w:rFonts w:hint="eastAsia" w:ascii="仿宋_GB2312" w:hAnsi="仿宋_GB2312" w:eastAsia="仿宋_GB2312" w:cs="仿宋_GB2312"/>
                <w:bCs/>
                <w:color w:val="000000"/>
                <w:sz w:val="24"/>
              </w:rPr>
              <w:t>拟定初配方案</w:t>
            </w:r>
          </w:p>
        </w:tc>
        <w:tc>
          <w:tcPr>
            <w:tcW w:w="709" w:type="dxa"/>
            <w:noWrap w:val="0"/>
            <w:vAlign w:val="center"/>
          </w:tcPr>
          <w:p w14:paraId="34A52615">
            <w:pPr>
              <w:keepNext w:val="0"/>
              <w:keepLines w:val="0"/>
              <w:pageBreakBefore w:val="0"/>
              <w:widowControl w:val="0"/>
              <w:kinsoku/>
              <w:wordWrap/>
              <w:overflowPunct/>
              <w:topLinePunct w:val="0"/>
              <w:autoSpaceDE/>
              <w:autoSpaceDN/>
              <w:bidi w:val="0"/>
              <w:adjustRightInd/>
              <w:snapToGrid/>
              <w:spacing w:line="0" w:lineRule="atLeast"/>
              <w:jc w:val="center"/>
              <w:textAlignment w:val="auto"/>
              <w:rPr>
                <w:rFonts w:hint="eastAsia" w:ascii="仿宋_GB2312" w:hAnsi="仿宋_GB2312" w:eastAsia="仿宋_GB2312" w:cs="仿宋_GB2312"/>
                <w:bCs/>
                <w:color w:val="000000"/>
                <w:sz w:val="24"/>
              </w:rPr>
            </w:pPr>
            <w:r>
              <w:rPr>
                <w:rFonts w:hint="eastAsia" w:ascii="仿宋_GB2312" w:hAnsi="仿宋_GB2312" w:eastAsia="仿宋_GB2312" w:cs="仿宋_GB2312"/>
                <w:bCs/>
                <w:color w:val="000000"/>
                <w:sz w:val="24"/>
              </w:rPr>
              <w:t>20</w:t>
            </w:r>
          </w:p>
        </w:tc>
        <w:tc>
          <w:tcPr>
            <w:tcW w:w="977" w:type="dxa"/>
            <w:vMerge w:val="continue"/>
            <w:noWrap w:val="0"/>
            <w:vAlign w:val="center"/>
          </w:tcPr>
          <w:p w14:paraId="38C443B9">
            <w:pPr>
              <w:keepNext w:val="0"/>
              <w:keepLines w:val="0"/>
              <w:pageBreakBefore w:val="0"/>
              <w:widowControl w:val="0"/>
              <w:kinsoku/>
              <w:wordWrap/>
              <w:overflowPunct/>
              <w:topLinePunct w:val="0"/>
              <w:autoSpaceDE/>
              <w:autoSpaceDN/>
              <w:bidi w:val="0"/>
              <w:adjustRightInd/>
              <w:snapToGrid/>
              <w:spacing w:line="0" w:lineRule="atLeast"/>
              <w:textAlignment w:val="auto"/>
              <w:rPr>
                <w:rFonts w:hint="eastAsia" w:ascii="仿宋_GB2312" w:hAnsi="仿宋_GB2312" w:eastAsia="仿宋_GB2312" w:cs="仿宋_GB2312"/>
                <w:bCs/>
                <w:color w:val="000000"/>
                <w:sz w:val="24"/>
              </w:rPr>
            </w:pPr>
          </w:p>
        </w:tc>
      </w:tr>
      <w:tr w14:paraId="77D1F8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646" w:type="dxa"/>
            <w:vMerge w:val="continue"/>
            <w:noWrap w:val="0"/>
            <w:vAlign w:val="center"/>
          </w:tcPr>
          <w:p w14:paraId="1F472EC0">
            <w:pPr>
              <w:keepNext w:val="0"/>
              <w:keepLines w:val="0"/>
              <w:pageBreakBefore w:val="0"/>
              <w:widowControl w:val="0"/>
              <w:kinsoku/>
              <w:wordWrap/>
              <w:overflowPunct/>
              <w:topLinePunct w:val="0"/>
              <w:autoSpaceDE/>
              <w:autoSpaceDN/>
              <w:bidi w:val="0"/>
              <w:adjustRightInd/>
              <w:snapToGrid/>
              <w:spacing w:line="0" w:lineRule="atLeast"/>
              <w:jc w:val="center"/>
              <w:textAlignment w:val="auto"/>
              <w:rPr>
                <w:rFonts w:hint="eastAsia" w:ascii="仿宋_GB2312" w:hAnsi="仿宋_GB2312" w:eastAsia="仿宋_GB2312" w:cs="仿宋_GB2312"/>
                <w:bCs/>
                <w:color w:val="000000"/>
                <w:sz w:val="24"/>
              </w:rPr>
            </w:pPr>
          </w:p>
        </w:tc>
        <w:tc>
          <w:tcPr>
            <w:tcW w:w="850" w:type="dxa"/>
            <w:vMerge w:val="continue"/>
            <w:noWrap w:val="0"/>
            <w:vAlign w:val="center"/>
          </w:tcPr>
          <w:p w14:paraId="3C1BBE91">
            <w:pPr>
              <w:keepNext w:val="0"/>
              <w:keepLines w:val="0"/>
              <w:pageBreakBefore w:val="0"/>
              <w:widowControl w:val="0"/>
              <w:kinsoku/>
              <w:wordWrap/>
              <w:overflowPunct/>
              <w:topLinePunct w:val="0"/>
              <w:autoSpaceDE/>
              <w:autoSpaceDN/>
              <w:bidi w:val="0"/>
              <w:adjustRightInd/>
              <w:snapToGrid/>
              <w:spacing w:line="0" w:lineRule="atLeast"/>
              <w:jc w:val="center"/>
              <w:textAlignment w:val="auto"/>
              <w:rPr>
                <w:rFonts w:hint="eastAsia" w:ascii="仿宋_GB2312" w:hAnsi="仿宋_GB2312" w:eastAsia="仿宋_GB2312" w:cs="仿宋_GB2312"/>
                <w:bCs/>
                <w:color w:val="000000"/>
                <w:sz w:val="24"/>
              </w:rPr>
            </w:pPr>
          </w:p>
        </w:tc>
        <w:tc>
          <w:tcPr>
            <w:tcW w:w="709" w:type="dxa"/>
            <w:vMerge w:val="continue"/>
            <w:noWrap w:val="0"/>
            <w:vAlign w:val="center"/>
          </w:tcPr>
          <w:p w14:paraId="67549B01">
            <w:pPr>
              <w:keepNext w:val="0"/>
              <w:keepLines w:val="0"/>
              <w:pageBreakBefore w:val="0"/>
              <w:widowControl w:val="0"/>
              <w:kinsoku/>
              <w:wordWrap/>
              <w:overflowPunct/>
              <w:topLinePunct w:val="0"/>
              <w:autoSpaceDE/>
              <w:autoSpaceDN/>
              <w:bidi w:val="0"/>
              <w:adjustRightInd/>
              <w:snapToGrid/>
              <w:spacing w:line="0" w:lineRule="atLeast"/>
              <w:jc w:val="center"/>
              <w:textAlignment w:val="auto"/>
              <w:rPr>
                <w:rFonts w:hint="eastAsia" w:ascii="仿宋_GB2312" w:hAnsi="仿宋_GB2312" w:eastAsia="仿宋_GB2312" w:cs="仿宋_GB2312"/>
                <w:bCs/>
                <w:color w:val="000000"/>
                <w:sz w:val="24"/>
              </w:rPr>
            </w:pPr>
          </w:p>
        </w:tc>
        <w:tc>
          <w:tcPr>
            <w:tcW w:w="3713" w:type="dxa"/>
            <w:noWrap w:val="0"/>
            <w:vAlign w:val="center"/>
          </w:tcPr>
          <w:p w14:paraId="2E412A34">
            <w:pPr>
              <w:keepNext w:val="0"/>
              <w:keepLines w:val="0"/>
              <w:pageBreakBefore w:val="0"/>
              <w:widowControl w:val="0"/>
              <w:kinsoku/>
              <w:wordWrap/>
              <w:overflowPunct/>
              <w:topLinePunct w:val="0"/>
              <w:autoSpaceDE/>
              <w:autoSpaceDN/>
              <w:bidi w:val="0"/>
              <w:adjustRightInd/>
              <w:snapToGrid/>
              <w:spacing w:line="0" w:lineRule="atLeast"/>
              <w:textAlignment w:val="auto"/>
              <w:rPr>
                <w:rFonts w:hint="eastAsia" w:ascii="仿宋_GB2312" w:hAnsi="仿宋_GB2312" w:eastAsia="仿宋_GB2312" w:cs="仿宋_GB2312"/>
                <w:bCs/>
                <w:color w:val="000000"/>
                <w:sz w:val="24"/>
              </w:rPr>
            </w:pPr>
            <w:r>
              <w:rPr>
                <w:rFonts w:hint="eastAsia" w:ascii="仿宋_GB2312" w:hAnsi="仿宋_GB2312" w:eastAsia="仿宋_GB2312" w:cs="仿宋_GB2312"/>
                <w:bCs/>
                <w:color w:val="000000"/>
                <w:sz w:val="24"/>
              </w:rPr>
              <w:t>全面检查初配方案</w:t>
            </w:r>
          </w:p>
        </w:tc>
        <w:tc>
          <w:tcPr>
            <w:tcW w:w="709" w:type="dxa"/>
            <w:noWrap w:val="0"/>
            <w:vAlign w:val="center"/>
          </w:tcPr>
          <w:p w14:paraId="10EC1EF6">
            <w:pPr>
              <w:keepNext w:val="0"/>
              <w:keepLines w:val="0"/>
              <w:pageBreakBefore w:val="0"/>
              <w:widowControl w:val="0"/>
              <w:kinsoku/>
              <w:wordWrap/>
              <w:overflowPunct/>
              <w:topLinePunct w:val="0"/>
              <w:autoSpaceDE/>
              <w:autoSpaceDN/>
              <w:bidi w:val="0"/>
              <w:adjustRightInd/>
              <w:snapToGrid/>
              <w:spacing w:line="0" w:lineRule="atLeast"/>
              <w:jc w:val="center"/>
              <w:textAlignment w:val="auto"/>
              <w:rPr>
                <w:rFonts w:hint="eastAsia" w:ascii="仿宋_GB2312" w:hAnsi="仿宋_GB2312" w:eastAsia="仿宋_GB2312" w:cs="仿宋_GB2312"/>
                <w:bCs/>
                <w:color w:val="000000"/>
                <w:sz w:val="24"/>
              </w:rPr>
            </w:pPr>
            <w:r>
              <w:rPr>
                <w:rFonts w:hint="eastAsia" w:ascii="仿宋_GB2312" w:hAnsi="仿宋_GB2312" w:eastAsia="仿宋_GB2312" w:cs="仿宋_GB2312"/>
                <w:bCs/>
                <w:color w:val="000000"/>
                <w:sz w:val="24"/>
              </w:rPr>
              <w:t>10</w:t>
            </w:r>
          </w:p>
        </w:tc>
        <w:tc>
          <w:tcPr>
            <w:tcW w:w="977" w:type="dxa"/>
            <w:vMerge w:val="continue"/>
            <w:noWrap w:val="0"/>
            <w:vAlign w:val="center"/>
          </w:tcPr>
          <w:p w14:paraId="2DE1765B">
            <w:pPr>
              <w:keepNext w:val="0"/>
              <w:keepLines w:val="0"/>
              <w:pageBreakBefore w:val="0"/>
              <w:widowControl w:val="0"/>
              <w:kinsoku/>
              <w:wordWrap/>
              <w:overflowPunct/>
              <w:topLinePunct w:val="0"/>
              <w:autoSpaceDE/>
              <w:autoSpaceDN/>
              <w:bidi w:val="0"/>
              <w:adjustRightInd/>
              <w:snapToGrid/>
              <w:spacing w:line="0" w:lineRule="atLeast"/>
              <w:textAlignment w:val="auto"/>
              <w:rPr>
                <w:rFonts w:hint="eastAsia" w:ascii="仿宋_GB2312" w:hAnsi="仿宋_GB2312" w:eastAsia="仿宋_GB2312" w:cs="仿宋_GB2312"/>
                <w:bCs/>
                <w:color w:val="000000"/>
                <w:sz w:val="24"/>
              </w:rPr>
            </w:pPr>
          </w:p>
        </w:tc>
      </w:tr>
      <w:tr w14:paraId="09B974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646" w:type="dxa"/>
            <w:vMerge w:val="continue"/>
            <w:noWrap w:val="0"/>
            <w:vAlign w:val="center"/>
          </w:tcPr>
          <w:p w14:paraId="517A551C">
            <w:pPr>
              <w:keepNext w:val="0"/>
              <w:keepLines w:val="0"/>
              <w:pageBreakBefore w:val="0"/>
              <w:widowControl w:val="0"/>
              <w:kinsoku/>
              <w:wordWrap/>
              <w:overflowPunct/>
              <w:topLinePunct w:val="0"/>
              <w:autoSpaceDE/>
              <w:autoSpaceDN/>
              <w:bidi w:val="0"/>
              <w:adjustRightInd/>
              <w:snapToGrid/>
              <w:spacing w:line="0" w:lineRule="atLeast"/>
              <w:jc w:val="center"/>
              <w:textAlignment w:val="auto"/>
              <w:rPr>
                <w:rFonts w:hint="eastAsia" w:ascii="仿宋_GB2312" w:hAnsi="仿宋_GB2312" w:eastAsia="仿宋_GB2312" w:cs="仿宋_GB2312"/>
                <w:bCs/>
                <w:color w:val="000000"/>
                <w:sz w:val="24"/>
              </w:rPr>
            </w:pPr>
          </w:p>
        </w:tc>
        <w:tc>
          <w:tcPr>
            <w:tcW w:w="850" w:type="dxa"/>
            <w:vMerge w:val="continue"/>
            <w:noWrap w:val="0"/>
            <w:vAlign w:val="center"/>
          </w:tcPr>
          <w:p w14:paraId="1D943400">
            <w:pPr>
              <w:keepNext w:val="0"/>
              <w:keepLines w:val="0"/>
              <w:pageBreakBefore w:val="0"/>
              <w:widowControl w:val="0"/>
              <w:kinsoku/>
              <w:wordWrap/>
              <w:overflowPunct/>
              <w:topLinePunct w:val="0"/>
              <w:autoSpaceDE/>
              <w:autoSpaceDN/>
              <w:bidi w:val="0"/>
              <w:adjustRightInd/>
              <w:snapToGrid/>
              <w:spacing w:line="0" w:lineRule="atLeast"/>
              <w:jc w:val="center"/>
              <w:textAlignment w:val="auto"/>
              <w:rPr>
                <w:rFonts w:hint="eastAsia" w:ascii="仿宋_GB2312" w:hAnsi="仿宋_GB2312" w:eastAsia="仿宋_GB2312" w:cs="仿宋_GB2312"/>
                <w:bCs/>
                <w:color w:val="000000"/>
                <w:sz w:val="24"/>
              </w:rPr>
            </w:pPr>
          </w:p>
        </w:tc>
        <w:tc>
          <w:tcPr>
            <w:tcW w:w="709" w:type="dxa"/>
            <w:vMerge w:val="continue"/>
            <w:noWrap w:val="0"/>
            <w:vAlign w:val="center"/>
          </w:tcPr>
          <w:p w14:paraId="0E16E1C9">
            <w:pPr>
              <w:keepNext w:val="0"/>
              <w:keepLines w:val="0"/>
              <w:pageBreakBefore w:val="0"/>
              <w:widowControl w:val="0"/>
              <w:kinsoku/>
              <w:wordWrap/>
              <w:overflowPunct/>
              <w:topLinePunct w:val="0"/>
              <w:autoSpaceDE/>
              <w:autoSpaceDN/>
              <w:bidi w:val="0"/>
              <w:adjustRightInd/>
              <w:snapToGrid/>
              <w:spacing w:line="0" w:lineRule="atLeast"/>
              <w:jc w:val="center"/>
              <w:textAlignment w:val="auto"/>
              <w:rPr>
                <w:rFonts w:hint="eastAsia" w:ascii="仿宋_GB2312" w:hAnsi="仿宋_GB2312" w:eastAsia="仿宋_GB2312" w:cs="仿宋_GB2312"/>
                <w:bCs/>
                <w:color w:val="000000"/>
                <w:sz w:val="24"/>
              </w:rPr>
            </w:pPr>
          </w:p>
        </w:tc>
        <w:tc>
          <w:tcPr>
            <w:tcW w:w="3713" w:type="dxa"/>
            <w:noWrap w:val="0"/>
            <w:vAlign w:val="center"/>
          </w:tcPr>
          <w:p w14:paraId="0E7CD6A1">
            <w:pPr>
              <w:keepNext w:val="0"/>
              <w:keepLines w:val="0"/>
              <w:pageBreakBefore w:val="0"/>
              <w:widowControl w:val="0"/>
              <w:kinsoku/>
              <w:wordWrap/>
              <w:overflowPunct/>
              <w:topLinePunct w:val="0"/>
              <w:autoSpaceDE/>
              <w:autoSpaceDN/>
              <w:bidi w:val="0"/>
              <w:adjustRightInd/>
              <w:snapToGrid/>
              <w:spacing w:line="0" w:lineRule="atLeast"/>
              <w:textAlignment w:val="auto"/>
              <w:rPr>
                <w:rFonts w:hint="eastAsia" w:ascii="仿宋_GB2312" w:hAnsi="仿宋_GB2312" w:eastAsia="仿宋_GB2312" w:cs="仿宋_GB2312"/>
                <w:bCs/>
                <w:color w:val="000000"/>
                <w:sz w:val="24"/>
              </w:rPr>
            </w:pPr>
            <w:r>
              <w:rPr>
                <w:rFonts w:hint="eastAsia" w:ascii="仿宋_GB2312" w:hAnsi="仿宋_GB2312" w:eastAsia="仿宋_GB2312" w:cs="仿宋_GB2312"/>
                <w:bCs/>
                <w:color w:val="000000"/>
                <w:sz w:val="24"/>
              </w:rPr>
              <w:t>核算船舶稳性、吃水差和纵强度</w:t>
            </w:r>
          </w:p>
        </w:tc>
        <w:tc>
          <w:tcPr>
            <w:tcW w:w="709" w:type="dxa"/>
            <w:noWrap w:val="0"/>
            <w:vAlign w:val="center"/>
          </w:tcPr>
          <w:p w14:paraId="57F2B411">
            <w:pPr>
              <w:keepNext w:val="0"/>
              <w:keepLines w:val="0"/>
              <w:pageBreakBefore w:val="0"/>
              <w:widowControl w:val="0"/>
              <w:kinsoku/>
              <w:wordWrap/>
              <w:overflowPunct/>
              <w:topLinePunct w:val="0"/>
              <w:autoSpaceDE/>
              <w:autoSpaceDN/>
              <w:bidi w:val="0"/>
              <w:adjustRightInd/>
              <w:snapToGrid/>
              <w:spacing w:line="0" w:lineRule="atLeast"/>
              <w:jc w:val="center"/>
              <w:textAlignment w:val="auto"/>
              <w:rPr>
                <w:rFonts w:hint="eastAsia" w:ascii="仿宋_GB2312" w:hAnsi="仿宋_GB2312" w:eastAsia="仿宋_GB2312" w:cs="仿宋_GB2312"/>
                <w:bCs/>
                <w:color w:val="000000"/>
                <w:sz w:val="24"/>
              </w:rPr>
            </w:pPr>
            <w:r>
              <w:rPr>
                <w:rFonts w:hint="eastAsia" w:ascii="仿宋_GB2312" w:hAnsi="仿宋_GB2312" w:eastAsia="仿宋_GB2312" w:cs="仿宋_GB2312"/>
                <w:bCs/>
                <w:color w:val="000000"/>
                <w:sz w:val="24"/>
              </w:rPr>
              <w:t>40</w:t>
            </w:r>
          </w:p>
        </w:tc>
        <w:tc>
          <w:tcPr>
            <w:tcW w:w="977" w:type="dxa"/>
            <w:vMerge w:val="continue"/>
            <w:noWrap w:val="0"/>
            <w:vAlign w:val="center"/>
          </w:tcPr>
          <w:p w14:paraId="436942E1">
            <w:pPr>
              <w:keepNext w:val="0"/>
              <w:keepLines w:val="0"/>
              <w:pageBreakBefore w:val="0"/>
              <w:widowControl w:val="0"/>
              <w:kinsoku/>
              <w:wordWrap/>
              <w:overflowPunct/>
              <w:topLinePunct w:val="0"/>
              <w:autoSpaceDE/>
              <w:autoSpaceDN/>
              <w:bidi w:val="0"/>
              <w:adjustRightInd/>
              <w:snapToGrid/>
              <w:spacing w:line="0" w:lineRule="atLeast"/>
              <w:textAlignment w:val="auto"/>
              <w:rPr>
                <w:rFonts w:hint="eastAsia" w:ascii="仿宋_GB2312" w:hAnsi="仿宋_GB2312" w:eastAsia="仿宋_GB2312" w:cs="仿宋_GB2312"/>
                <w:bCs/>
                <w:color w:val="000000"/>
                <w:sz w:val="24"/>
              </w:rPr>
            </w:pPr>
          </w:p>
        </w:tc>
      </w:tr>
      <w:tr w14:paraId="70D9F5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646" w:type="dxa"/>
            <w:vMerge w:val="continue"/>
            <w:noWrap w:val="0"/>
            <w:vAlign w:val="center"/>
          </w:tcPr>
          <w:p w14:paraId="473DD876">
            <w:pPr>
              <w:keepNext w:val="0"/>
              <w:keepLines w:val="0"/>
              <w:pageBreakBefore w:val="0"/>
              <w:widowControl w:val="0"/>
              <w:kinsoku/>
              <w:wordWrap/>
              <w:overflowPunct/>
              <w:topLinePunct w:val="0"/>
              <w:autoSpaceDE/>
              <w:autoSpaceDN/>
              <w:bidi w:val="0"/>
              <w:adjustRightInd/>
              <w:snapToGrid/>
              <w:spacing w:line="0" w:lineRule="atLeast"/>
              <w:jc w:val="center"/>
              <w:textAlignment w:val="auto"/>
              <w:rPr>
                <w:rFonts w:hint="eastAsia" w:ascii="仿宋_GB2312" w:hAnsi="仿宋_GB2312" w:eastAsia="仿宋_GB2312" w:cs="仿宋_GB2312"/>
                <w:bCs/>
                <w:color w:val="000000"/>
                <w:sz w:val="24"/>
              </w:rPr>
            </w:pPr>
          </w:p>
        </w:tc>
        <w:tc>
          <w:tcPr>
            <w:tcW w:w="850" w:type="dxa"/>
            <w:vMerge w:val="continue"/>
            <w:noWrap w:val="0"/>
            <w:vAlign w:val="center"/>
          </w:tcPr>
          <w:p w14:paraId="157B87D2">
            <w:pPr>
              <w:keepNext w:val="0"/>
              <w:keepLines w:val="0"/>
              <w:pageBreakBefore w:val="0"/>
              <w:widowControl w:val="0"/>
              <w:kinsoku/>
              <w:wordWrap/>
              <w:overflowPunct/>
              <w:topLinePunct w:val="0"/>
              <w:autoSpaceDE/>
              <w:autoSpaceDN/>
              <w:bidi w:val="0"/>
              <w:adjustRightInd/>
              <w:snapToGrid/>
              <w:spacing w:line="0" w:lineRule="atLeast"/>
              <w:jc w:val="center"/>
              <w:textAlignment w:val="auto"/>
              <w:rPr>
                <w:rFonts w:hint="eastAsia" w:ascii="仿宋_GB2312" w:hAnsi="仿宋_GB2312" w:eastAsia="仿宋_GB2312" w:cs="仿宋_GB2312"/>
                <w:bCs/>
                <w:color w:val="000000"/>
                <w:sz w:val="24"/>
              </w:rPr>
            </w:pPr>
          </w:p>
        </w:tc>
        <w:tc>
          <w:tcPr>
            <w:tcW w:w="709" w:type="dxa"/>
            <w:vMerge w:val="continue"/>
            <w:noWrap w:val="0"/>
            <w:vAlign w:val="center"/>
          </w:tcPr>
          <w:p w14:paraId="4FC8AD85">
            <w:pPr>
              <w:keepNext w:val="0"/>
              <w:keepLines w:val="0"/>
              <w:pageBreakBefore w:val="0"/>
              <w:widowControl w:val="0"/>
              <w:kinsoku/>
              <w:wordWrap/>
              <w:overflowPunct/>
              <w:topLinePunct w:val="0"/>
              <w:autoSpaceDE/>
              <w:autoSpaceDN/>
              <w:bidi w:val="0"/>
              <w:adjustRightInd/>
              <w:snapToGrid/>
              <w:spacing w:line="0" w:lineRule="atLeast"/>
              <w:jc w:val="center"/>
              <w:textAlignment w:val="auto"/>
              <w:rPr>
                <w:rFonts w:hint="eastAsia" w:ascii="仿宋_GB2312" w:hAnsi="仿宋_GB2312" w:eastAsia="仿宋_GB2312" w:cs="仿宋_GB2312"/>
                <w:bCs/>
                <w:color w:val="000000"/>
                <w:sz w:val="24"/>
              </w:rPr>
            </w:pPr>
          </w:p>
        </w:tc>
        <w:tc>
          <w:tcPr>
            <w:tcW w:w="3713" w:type="dxa"/>
            <w:noWrap w:val="0"/>
            <w:vAlign w:val="center"/>
          </w:tcPr>
          <w:p w14:paraId="194F07D0">
            <w:pPr>
              <w:keepNext w:val="0"/>
              <w:keepLines w:val="0"/>
              <w:pageBreakBefore w:val="0"/>
              <w:widowControl w:val="0"/>
              <w:kinsoku/>
              <w:wordWrap/>
              <w:overflowPunct/>
              <w:topLinePunct w:val="0"/>
              <w:autoSpaceDE/>
              <w:autoSpaceDN/>
              <w:bidi w:val="0"/>
              <w:adjustRightInd/>
              <w:snapToGrid/>
              <w:spacing w:line="0" w:lineRule="atLeast"/>
              <w:textAlignment w:val="auto"/>
              <w:rPr>
                <w:rFonts w:hint="eastAsia" w:ascii="仿宋_GB2312" w:hAnsi="仿宋_GB2312" w:eastAsia="仿宋_GB2312" w:cs="仿宋_GB2312"/>
                <w:bCs/>
                <w:color w:val="000000"/>
                <w:sz w:val="24"/>
              </w:rPr>
            </w:pPr>
            <w:r>
              <w:rPr>
                <w:rFonts w:hint="eastAsia" w:ascii="仿宋_GB2312" w:hAnsi="仿宋_GB2312" w:eastAsia="仿宋_GB2312" w:cs="仿宋_GB2312"/>
                <w:bCs/>
                <w:color w:val="000000"/>
                <w:sz w:val="24"/>
              </w:rPr>
              <w:t>绘制正式配载图</w:t>
            </w:r>
          </w:p>
        </w:tc>
        <w:tc>
          <w:tcPr>
            <w:tcW w:w="709" w:type="dxa"/>
            <w:noWrap w:val="0"/>
            <w:vAlign w:val="center"/>
          </w:tcPr>
          <w:p w14:paraId="7A2EE2EE">
            <w:pPr>
              <w:keepNext w:val="0"/>
              <w:keepLines w:val="0"/>
              <w:pageBreakBefore w:val="0"/>
              <w:widowControl w:val="0"/>
              <w:kinsoku/>
              <w:wordWrap/>
              <w:overflowPunct/>
              <w:topLinePunct w:val="0"/>
              <w:autoSpaceDE/>
              <w:autoSpaceDN/>
              <w:bidi w:val="0"/>
              <w:adjustRightInd/>
              <w:snapToGrid/>
              <w:spacing w:line="0" w:lineRule="atLeast"/>
              <w:jc w:val="center"/>
              <w:textAlignment w:val="auto"/>
              <w:rPr>
                <w:rFonts w:hint="eastAsia" w:ascii="仿宋_GB2312" w:hAnsi="仿宋_GB2312" w:eastAsia="仿宋_GB2312" w:cs="仿宋_GB2312"/>
                <w:bCs/>
                <w:color w:val="000000"/>
                <w:sz w:val="24"/>
              </w:rPr>
            </w:pPr>
            <w:r>
              <w:rPr>
                <w:rFonts w:hint="eastAsia" w:ascii="仿宋_GB2312" w:hAnsi="仿宋_GB2312" w:eastAsia="仿宋_GB2312" w:cs="仿宋_GB2312"/>
                <w:bCs/>
                <w:color w:val="000000"/>
                <w:sz w:val="24"/>
              </w:rPr>
              <w:t>10</w:t>
            </w:r>
          </w:p>
        </w:tc>
        <w:tc>
          <w:tcPr>
            <w:tcW w:w="977" w:type="dxa"/>
            <w:vMerge w:val="continue"/>
            <w:noWrap w:val="0"/>
            <w:vAlign w:val="center"/>
          </w:tcPr>
          <w:p w14:paraId="115797A4">
            <w:pPr>
              <w:keepNext w:val="0"/>
              <w:keepLines w:val="0"/>
              <w:pageBreakBefore w:val="0"/>
              <w:widowControl w:val="0"/>
              <w:kinsoku/>
              <w:wordWrap/>
              <w:overflowPunct/>
              <w:topLinePunct w:val="0"/>
              <w:autoSpaceDE/>
              <w:autoSpaceDN/>
              <w:bidi w:val="0"/>
              <w:adjustRightInd/>
              <w:snapToGrid/>
              <w:spacing w:line="0" w:lineRule="atLeast"/>
              <w:textAlignment w:val="auto"/>
              <w:rPr>
                <w:rFonts w:hint="eastAsia" w:ascii="仿宋_GB2312" w:hAnsi="仿宋_GB2312" w:eastAsia="仿宋_GB2312" w:cs="仿宋_GB2312"/>
                <w:bCs/>
                <w:color w:val="000000"/>
                <w:sz w:val="24"/>
              </w:rPr>
            </w:pPr>
          </w:p>
        </w:tc>
      </w:tr>
      <w:tr w14:paraId="2F8297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646" w:type="dxa"/>
            <w:vMerge w:val="restart"/>
            <w:noWrap w:val="0"/>
            <w:vAlign w:val="center"/>
          </w:tcPr>
          <w:p w14:paraId="73452759">
            <w:pPr>
              <w:keepNext w:val="0"/>
              <w:keepLines w:val="0"/>
              <w:pageBreakBefore w:val="0"/>
              <w:widowControl w:val="0"/>
              <w:kinsoku/>
              <w:wordWrap/>
              <w:overflowPunct/>
              <w:topLinePunct w:val="0"/>
              <w:autoSpaceDE/>
              <w:autoSpaceDN/>
              <w:bidi w:val="0"/>
              <w:adjustRightInd/>
              <w:snapToGrid/>
              <w:spacing w:line="0" w:lineRule="atLeast"/>
              <w:jc w:val="center"/>
              <w:textAlignment w:val="auto"/>
              <w:rPr>
                <w:rFonts w:hint="eastAsia" w:ascii="仿宋_GB2312" w:hAnsi="仿宋_GB2312" w:eastAsia="仿宋_GB2312" w:cs="仿宋_GB2312"/>
                <w:bCs/>
                <w:color w:val="000000"/>
                <w:sz w:val="24"/>
              </w:rPr>
            </w:pPr>
            <w:r>
              <w:rPr>
                <w:rFonts w:hint="eastAsia" w:ascii="仿宋_GB2312" w:hAnsi="仿宋_GB2312" w:eastAsia="仿宋_GB2312" w:cs="仿宋_GB2312"/>
                <w:bCs/>
                <w:color w:val="000000"/>
                <w:sz w:val="24"/>
              </w:rPr>
              <w:t>模块二：</w:t>
            </w:r>
          </w:p>
          <w:p w14:paraId="348ADD47">
            <w:pPr>
              <w:keepNext w:val="0"/>
              <w:keepLines w:val="0"/>
              <w:pageBreakBefore w:val="0"/>
              <w:widowControl w:val="0"/>
              <w:kinsoku/>
              <w:wordWrap/>
              <w:overflowPunct/>
              <w:topLinePunct w:val="0"/>
              <w:autoSpaceDE/>
              <w:autoSpaceDN/>
              <w:bidi w:val="0"/>
              <w:adjustRightInd/>
              <w:snapToGrid/>
              <w:spacing w:line="0" w:lineRule="atLeast"/>
              <w:jc w:val="center"/>
              <w:textAlignment w:val="auto"/>
              <w:rPr>
                <w:rFonts w:hint="eastAsia" w:ascii="仿宋_GB2312" w:hAnsi="仿宋_GB2312" w:eastAsia="仿宋_GB2312" w:cs="仿宋_GB2312"/>
                <w:bCs/>
                <w:color w:val="000000"/>
                <w:sz w:val="24"/>
              </w:rPr>
            </w:pPr>
            <w:r>
              <w:rPr>
                <w:rFonts w:hint="eastAsia" w:ascii="仿宋_GB2312" w:hAnsi="仿宋_GB2312" w:eastAsia="仿宋_GB2312" w:cs="仿宋_GB2312"/>
                <w:bCs/>
                <w:color w:val="000000"/>
                <w:sz w:val="24"/>
              </w:rPr>
              <w:t>航行路线设计</w:t>
            </w:r>
          </w:p>
        </w:tc>
        <w:tc>
          <w:tcPr>
            <w:tcW w:w="850" w:type="dxa"/>
            <w:vMerge w:val="restart"/>
            <w:noWrap w:val="0"/>
            <w:vAlign w:val="center"/>
          </w:tcPr>
          <w:p w14:paraId="03881BE4">
            <w:pPr>
              <w:keepNext w:val="0"/>
              <w:keepLines w:val="0"/>
              <w:pageBreakBefore w:val="0"/>
              <w:widowControl w:val="0"/>
              <w:kinsoku/>
              <w:wordWrap/>
              <w:overflowPunct/>
              <w:topLinePunct w:val="0"/>
              <w:autoSpaceDE/>
              <w:autoSpaceDN/>
              <w:bidi w:val="0"/>
              <w:adjustRightInd/>
              <w:snapToGrid/>
              <w:spacing w:line="0" w:lineRule="atLeast"/>
              <w:jc w:val="center"/>
              <w:textAlignment w:val="auto"/>
              <w:rPr>
                <w:rFonts w:hint="eastAsia" w:ascii="仿宋_GB2312" w:hAnsi="仿宋_GB2312" w:eastAsia="仿宋_GB2312" w:cs="仿宋_GB2312"/>
                <w:bCs/>
                <w:color w:val="000000"/>
                <w:sz w:val="24"/>
              </w:rPr>
            </w:pPr>
            <w:r>
              <w:rPr>
                <w:rFonts w:hint="eastAsia" w:ascii="仿宋_GB2312" w:hAnsi="仿宋_GB2312" w:eastAsia="仿宋_GB2312" w:cs="仿宋_GB2312"/>
                <w:bCs/>
                <w:color w:val="000000"/>
                <w:sz w:val="24"/>
              </w:rPr>
              <w:t>4h</w:t>
            </w:r>
          </w:p>
        </w:tc>
        <w:tc>
          <w:tcPr>
            <w:tcW w:w="709" w:type="dxa"/>
            <w:vMerge w:val="restart"/>
            <w:noWrap w:val="0"/>
            <w:vAlign w:val="center"/>
          </w:tcPr>
          <w:p w14:paraId="0AD30AFA">
            <w:pPr>
              <w:keepNext w:val="0"/>
              <w:keepLines w:val="0"/>
              <w:pageBreakBefore w:val="0"/>
              <w:widowControl w:val="0"/>
              <w:kinsoku/>
              <w:wordWrap/>
              <w:overflowPunct/>
              <w:topLinePunct w:val="0"/>
              <w:autoSpaceDE/>
              <w:autoSpaceDN/>
              <w:bidi w:val="0"/>
              <w:adjustRightInd/>
              <w:snapToGrid/>
              <w:spacing w:line="0" w:lineRule="atLeast"/>
              <w:jc w:val="center"/>
              <w:textAlignment w:val="auto"/>
              <w:rPr>
                <w:rFonts w:hint="eastAsia" w:ascii="仿宋_GB2312" w:hAnsi="仿宋_GB2312" w:eastAsia="仿宋_GB2312" w:cs="仿宋_GB2312"/>
                <w:bCs/>
                <w:color w:val="000000"/>
                <w:sz w:val="24"/>
              </w:rPr>
            </w:pPr>
            <w:r>
              <w:rPr>
                <w:rFonts w:hint="eastAsia" w:ascii="仿宋_GB2312" w:hAnsi="仿宋_GB2312" w:eastAsia="仿宋_GB2312" w:cs="仿宋_GB2312"/>
                <w:bCs/>
                <w:color w:val="000000"/>
                <w:sz w:val="24"/>
              </w:rPr>
              <w:t>100</w:t>
            </w:r>
          </w:p>
        </w:tc>
        <w:tc>
          <w:tcPr>
            <w:tcW w:w="3713" w:type="dxa"/>
            <w:noWrap w:val="0"/>
            <w:vAlign w:val="center"/>
          </w:tcPr>
          <w:p w14:paraId="6185CB93">
            <w:pPr>
              <w:keepNext w:val="0"/>
              <w:keepLines w:val="0"/>
              <w:pageBreakBefore w:val="0"/>
              <w:widowControl w:val="0"/>
              <w:kinsoku/>
              <w:wordWrap/>
              <w:overflowPunct/>
              <w:topLinePunct w:val="0"/>
              <w:autoSpaceDE/>
              <w:autoSpaceDN/>
              <w:bidi w:val="0"/>
              <w:adjustRightInd/>
              <w:snapToGrid/>
              <w:spacing w:line="0" w:lineRule="atLeast"/>
              <w:textAlignment w:val="auto"/>
              <w:rPr>
                <w:rFonts w:hint="eastAsia" w:ascii="仿宋_GB2312" w:hAnsi="仿宋_GB2312" w:eastAsia="仿宋_GB2312" w:cs="仿宋_GB2312"/>
                <w:bCs/>
                <w:color w:val="000000"/>
                <w:sz w:val="24"/>
              </w:rPr>
            </w:pPr>
            <w:r>
              <w:rPr>
                <w:rFonts w:hint="eastAsia" w:ascii="仿宋_GB2312" w:hAnsi="仿宋_GB2312" w:eastAsia="仿宋_GB2312" w:cs="仿宋_GB2312"/>
                <w:bCs/>
                <w:color w:val="000000"/>
                <w:sz w:val="24"/>
              </w:rPr>
              <w:t>选取航次所需图书资料</w:t>
            </w:r>
          </w:p>
        </w:tc>
        <w:tc>
          <w:tcPr>
            <w:tcW w:w="709" w:type="dxa"/>
            <w:noWrap w:val="0"/>
            <w:vAlign w:val="center"/>
          </w:tcPr>
          <w:p w14:paraId="481CD994">
            <w:pPr>
              <w:keepNext w:val="0"/>
              <w:keepLines w:val="0"/>
              <w:pageBreakBefore w:val="0"/>
              <w:widowControl w:val="0"/>
              <w:kinsoku/>
              <w:wordWrap/>
              <w:overflowPunct/>
              <w:topLinePunct w:val="0"/>
              <w:autoSpaceDE/>
              <w:autoSpaceDN/>
              <w:bidi w:val="0"/>
              <w:adjustRightInd/>
              <w:snapToGrid/>
              <w:spacing w:line="0" w:lineRule="atLeast"/>
              <w:jc w:val="center"/>
              <w:textAlignment w:val="auto"/>
              <w:rPr>
                <w:rFonts w:hint="eastAsia" w:ascii="仿宋_GB2312" w:hAnsi="仿宋_GB2312" w:eastAsia="仿宋_GB2312" w:cs="仿宋_GB2312"/>
                <w:bCs/>
                <w:color w:val="000000"/>
                <w:sz w:val="24"/>
              </w:rPr>
            </w:pPr>
            <w:r>
              <w:rPr>
                <w:rFonts w:hint="eastAsia" w:ascii="仿宋_GB2312" w:hAnsi="仿宋_GB2312" w:eastAsia="仿宋_GB2312" w:cs="仿宋_GB2312"/>
                <w:bCs/>
                <w:color w:val="000000"/>
                <w:sz w:val="24"/>
              </w:rPr>
              <w:t>5</w:t>
            </w:r>
          </w:p>
        </w:tc>
        <w:tc>
          <w:tcPr>
            <w:tcW w:w="977" w:type="dxa"/>
            <w:vMerge w:val="restart"/>
            <w:noWrap w:val="0"/>
            <w:vAlign w:val="center"/>
          </w:tcPr>
          <w:p w14:paraId="10FCF041">
            <w:pPr>
              <w:keepNext w:val="0"/>
              <w:keepLines w:val="0"/>
              <w:pageBreakBefore w:val="0"/>
              <w:widowControl w:val="0"/>
              <w:kinsoku/>
              <w:wordWrap/>
              <w:overflowPunct/>
              <w:topLinePunct w:val="0"/>
              <w:autoSpaceDE/>
              <w:autoSpaceDN/>
              <w:bidi w:val="0"/>
              <w:adjustRightInd/>
              <w:snapToGrid/>
              <w:spacing w:line="0" w:lineRule="atLeast"/>
              <w:jc w:val="center"/>
              <w:textAlignment w:val="auto"/>
              <w:rPr>
                <w:rFonts w:hint="eastAsia" w:ascii="仿宋_GB2312" w:hAnsi="仿宋_GB2312" w:eastAsia="仿宋_GB2312" w:cs="仿宋_GB2312"/>
                <w:bCs/>
                <w:color w:val="000000"/>
                <w:sz w:val="24"/>
              </w:rPr>
            </w:pPr>
            <w:r>
              <w:rPr>
                <w:rFonts w:hint="eastAsia" w:ascii="仿宋_GB2312" w:hAnsi="仿宋_GB2312" w:eastAsia="仿宋_GB2312" w:cs="仿宋_GB2312"/>
                <w:bCs/>
                <w:color w:val="000000"/>
                <w:sz w:val="24"/>
                <w:lang w:val="en-US" w:eastAsia="zh-CN"/>
              </w:rPr>
              <w:t>5</w:t>
            </w:r>
            <w:r>
              <w:rPr>
                <w:rFonts w:hint="eastAsia" w:ascii="仿宋_GB2312" w:hAnsi="仿宋_GB2312" w:eastAsia="仿宋_GB2312" w:cs="仿宋_GB2312"/>
                <w:bCs/>
                <w:color w:val="000000"/>
                <w:sz w:val="24"/>
              </w:rPr>
              <w:t>0%</w:t>
            </w:r>
          </w:p>
        </w:tc>
      </w:tr>
      <w:tr w14:paraId="2B10D1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646" w:type="dxa"/>
            <w:vMerge w:val="continue"/>
            <w:noWrap w:val="0"/>
            <w:vAlign w:val="center"/>
          </w:tcPr>
          <w:p w14:paraId="1F08FF4E">
            <w:pPr>
              <w:keepNext w:val="0"/>
              <w:keepLines w:val="0"/>
              <w:pageBreakBefore w:val="0"/>
              <w:widowControl w:val="0"/>
              <w:kinsoku/>
              <w:wordWrap/>
              <w:overflowPunct/>
              <w:topLinePunct w:val="0"/>
              <w:autoSpaceDE/>
              <w:autoSpaceDN/>
              <w:bidi w:val="0"/>
              <w:adjustRightInd/>
              <w:snapToGrid/>
              <w:spacing w:line="0" w:lineRule="atLeast"/>
              <w:jc w:val="center"/>
              <w:textAlignment w:val="auto"/>
              <w:rPr>
                <w:rFonts w:hint="eastAsia" w:ascii="仿宋_GB2312" w:hAnsi="仿宋_GB2312" w:eastAsia="仿宋_GB2312" w:cs="仿宋_GB2312"/>
                <w:bCs/>
                <w:color w:val="000000"/>
                <w:sz w:val="24"/>
              </w:rPr>
            </w:pPr>
          </w:p>
        </w:tc>
        <w:tc>
          <w:tcPr>
            <w:tcW w:w="850" w:type="dxa"/>
            <w:vMerge w:val="continue"/>
            <w:noWrap w:val="0"/>
            <w:vAlign w:val="center"/>
          </w:tcPr>
          <w:p w14:paraId="0A5A2807">
            <w:pPr>
              <w:keepNext w:val="0"/>
              <w:keepLines w:val="0"/>
              <w:pageBreakBefore w:val="0"/>
              <w:widowControl w:val="0"/>
              <w:kinsoku/>
              <w:wordWrap/>
              <w:overflowPunct/>
              <w:topLinePunct w:val="0"/>
              <w:autoSpaceDE/>
              <w:autoSpaceDN/>
              <w:bidi w:val="0"/>
              <w:adjustRightInd/>
              <w:snapToGrid/>
              <w:spacing w:line="0" w:lineRule="atLeast"/>
              <w:jc w:val="center"/>
              <w:textAlignment w:val="auto"/>
              <w:rPr>
                <w:rFonts w:hint="eastAsia" w:ascii="仿宋_GB2312" w:hAnsi="仿宋_GB2312" w:eastAsia="仿宋_GB2312" w:cs="仿宋_GB2312"/>
                <w:bCs/>
                <w:color w:val="000000"/>
                <w:sz w:val="24"/>
              </w:rPr>
            </w:pPr>
          </w:p>
        </w:tc>
        <w:tc>
          <w:tcPr>
            <w:tcW w:w="709" w:type="dxa"/>
            <w:vMerge w:val="continue"/>
            <w:noWrap w:val="0"/>
            <w:vAlign w:val="center"/>
          </w:tcPr>
          <w:p w14:paraId="2866CA3A">
            <w:pPr>
              <w:keepNext w:val="0"/>
              <w:keepLines w:val="0"/>
              <w:pageBreakBefore w:val="0"/>
              <w:widowControl w:val="0"/>
              <w:kinsoku/>
              <w:wordWrap/>
              <w:overflowPunct/>
              <w:topLinePunct w:val="0"/>
              <w:autoSpaceDE/>
              <w:autoSpaceDN/>
              <w:bidi w:val="0"/>
              <w:adjustRightInd/>
              <w:snapToGrid/>
              <w:spacing w:line="0" w:lineRule="atLeast"/>
              <w:jc w:val="center"/>
              <w:textAlignment w:val="auto"/>
              <w:rPr>
                <w:rFonts w:hint="eastAsia" w:ascii="仿宋_GB2312" w:hAnsi="仿宋_GB2312" w:eastAsia="仿宋_GB2312" w:cs="仿宋_GB2312"/>
                <w:bCs/>
                <w:color w:val="000000"/>
                <w:sz w:val="24"/>
              </w:rPr>
            </w:pPr>
          </w:p>
        </w:tc>
        <w:tc>
          <w:tcPr>
            <w:tcW w:w="3713" w:type="dxa"/>
            <w:noWrap w:val="0"/>
            <w:vAlign w:val="center"/>
          </w:tcPr>
          <w:p w14:paraId="0BC3F476">
            <w:pPr>
              <w:keepNext w:val="0"/>
              <w:keepLines w:val="0"/>
              <w:pageBreakBefore w:val="0"/>
              <w:widowControl w:val="0"/>
              <w:kinsoku/>
              <w:wordWrap/>
              <w:overflowPunct/>
              <w:topLinePunct w:val="0"/>
              <w:autoSpaceDE/>
              <w:autoSpaceDN/>
              <w:bidi w:val="0"/>
              <w:adjustRightInd/>
              <w:snapToGrid/>
              <w:spacing w:line="0" w:lineRule="atLeast"/>
              <w:textAlignment w:val="auto"/>
              <w:rPr>
                <w:rFonts w:hint="eastAsia" w:ascii="仿宋_GB2312" w:hAnsi="仿宋_GB2312" w:eastAsia="仿宋_GB2312" w:cs="仿宋_GB2312"/>
                <w:bCs/>
                <w:color w:val="000000"/>
                <w:sz w:val="24"/>
              </w:rPr>
            </w:pPr>
            <w:r>
              <w:rPr>
                <w:rFonts w:hint="eastAsia" w:ascii="仿宋_GB2312" w:hAnsi="仿宋_GB2312" w:eastAsia="仿宋_GB2312" w:cs="仿宋_GB2312"/>
                <w:bCs/>
                <w:color w:val="000000"/>
                <w:sz w:val="24"/>
              </w:rPr>
              <w:t>选取航次所需海图</w:t>
            </w:r>
          </w:p>
        </w:tc>
        <w:tc>
          <w:tcPr>
            <w:tcW w:w="709" w:type="dxa"/>
            <w:noWrap w:val="0"/>
            <w:vAlign w:val="center"/>
          </w:tcPr>
          <w:p w14:paraId="74FCBD06">
            <w:pPr>
              <w:keepNext w:val="0"/>
              <w:keepLines w:val="0"/>
              <w:pageBreakBefore w:val="0"/>
              <w:widowControl w:val="0"/>
              <w:kinsoku/>
              <w:wordWrap/>
              <w:overflowPunct/>
              <w:topLinePunct w:val="0"/>
              <w:autoSpaceDE/>
              <w:autoSpaceDN/>
              <w:bidi w:val="0"/>
              <w:adjustRightInd/>
              <w:snapToGrid/>
              <w:spacing w:line="0" w:lineRule="atLeast"/>
              <w:jc w:val="center"/>
              <w:textAlignment w:val="auto"/>
              <w:rPr>
                <w:rFonts w:hint="eastAsia" w:ascii="仿宋_GB2312" w:hAnsi="仿宋_GB2312" w:eastAsia="仿宋_GB2312" w:cs="仿宋_GB2312"/>
                <w:bCs/>
                <w:color w:val="000000"/>
                <w:sz w:val="24"/>
              </w:rPr>
            </w:pPr>
            <w:r>
              <w:rPr>
                <w:rFonts w:hint="eastAsia" w:ascii="仿宋_GB2312" w:hAnsi="仿宋_GB2312" w:eastAsia="仿宋_GB2312" w:cs="仿宋_GB2312"/>
                <w:bCs/>
                <w:color w:val="000000"/>
                <w:sz w:val="24"/>
              </w:rPr>
              <w:t>5</w:t>
            </w:r>
          </w:p>
        </w:tc>
        <w:tc>
          <w:tcPr>
            <w:tcW w:w="977" w:type="dxa"/>
            <w:vMerge w:val="continue"/>
            <w:noWrap w:val="0"/>
            <w:vAlign w:val="center"/>
          </w:tcPr>
          <w:p w14:paraId="6AEB56FD">
            <w:pPr>
              <w:keepNext w:val="0"/>
              <w:keepLines w:val="0"/>
              <w:pageBreakBefore w:val="0"/>
              <w:widowControl w:val="0"/>
              <w:kinsoku/>
              <w:wordWrap/>
              <w:overflowPunct/>
              <w:topLinePunct w:val="0"/>
              <w:autoSpaceDE/>
              <w:autoSpaceDN/>
              <w:bidi w:val="0"/>
              <w:adjustRightInd/>
              <w:snapToGrid/>
              <w:spacing w:line="0" w:lineRule="atLeast"/>
              <w:textAlignment w:val="auto"/>
              <w:rPr>
                <w:rFonts w:hint="eastAsia" w:ascii="仿宋_GB2312" w:hAnsi="仿宋_GB2312" w:eastAsia="仿宋_GB2312" w:cs="仿宋_GB2312"/>
                <w:bCs/>
                <w:color w:val="000000"/>
                <w:sz w:val="24"/>
              </w:rPr>
            </w:pPr>
          </w:p>
        </w:tc>
      </w:tr>
      <w:tr w14:paraId="6864E4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646" w:type="dxa"/>
            <w:vMerge w:val="continue"/>
            <w:noWrap w:val="0"/>
            <w:vAlign w:val="center"/>
          </w:tcPr>
          <w:p w14:paraId="351F82FA">
            <w:pPr>
              <w:keepNext w:val="0"/>
              <w:keepLines w:val="0"/>
              <w:pageBreakBefore w:val="0"/>
              <w:widowControl w:val="0"/>
              <w:kinsoku/>
              <w:wordWrap/>
              <w:overflowPunct/>
              <w:topLinePunct w:val="0"/>
              <w:autoSpaceDE/>
              <w:autoSpaceDN/>
              <w:bidi w:val="0"/>
              <w:adjustRightInd/>
              <w:snapToGrid/>
              <w:spacing w:line="0" w:lineRule="atLeast"/>
              <w:jc w:val="center"/>
              <w:textAlignment w:val="auto"/>
              <w:rPr>
                <w:rFonts w:hint="eastAsia" w:ascii="仿宋_GB2312" w:hAnsi="仿宋_GB2312" w:eastAsia="仿宋_GB2312" w:cs="仿宋_GB2312"/>
                <w:bCs/>
                <w:color w:val="000000"/>
                <w:sz w:val="24"/>
              </w:rPr>
            </w:pPr>
          </w:p>
        </w:tc>
        <w:tc>
          <w:tcPr>
            <w:tcW w:w="850" w:type="dxa"/>
            <w:vMerge w:val="continue"/>
            <w:noWrap w:val="0"/>
            <w:vAlign w:val="center"/>
          </w:tcPr>
          <w:p w14:paraId="4201808D">
            <w:pPr>
              <w:keepNext w:val="0"/>
              <w:keepLines w:val="0"/>
              <w:pageBreakBefore w:val="0"/>
              <w:widowControl w:val="0"/>
              <w:kinsoku/>
              <w:wordWrap/>
              <w:overflowPunct/>
              <w:topLinePunct w:val="0"/>
              <w:autoSpaceDE/>
              <w:autoSpaceDN/>
              <w:bidi w:val="0"/>
              <w:adjustRightInd/>
              <w:snapToGrid/>
              <w:spacing w:line="0" w:lineRule="atLeast"/>
              <w:jc w:val="center"/>
              <w:textAlignment w:val="auto"/>
              <w:rPr>
                <w:rFonts w:hint="eastAsia" w:ascii="仿宋_GB2312" w:hAnsi="仿宋_GB2312" w:eastAsia="仿宋_GB2312" w:cs="仿宋_GB2312"/>
                <w:bCs/>
                <w:color w:val="000000"/>
                <w:sz w:val="24"/>
              </w:rPr>
            </w:pPr>
          </w:p>
        </w:tc>
        <w:tc>
          <w:tcPr>
            <w:tcW w:w="709" w:type="dxa"/>
            <w:vMerge w:val="continue"/>
            <w:noWrap w:val="0"/>
            <w:vAlign w:val="center"/>
          </w:tcPr>
          <w:p w14:paraId="2F53871A">
            <w:pPr>
              <w:keepNext w:val="0"/>
              <w:keepLines w:val="0"/>
              <w:pageBreakBefore w:val="0"/>
              <w:widowControl w:val="0"/>
              <w:kinsoku/>
              <w:wordWrap/>
              <w:overflowPunct/>
              <w:topLinePunct w:val="0"/>
              <w:autoSpaceDE/>
              <w:autoSpaceDN/>
              <w:bidi w:val="0"/>
              <w:adjustRightInd/>
              <w:snapToGrid/>
              <w:spacing w:line="0" w:lineRule="atLeast"/>
              <w:jc w:val="center"/>
              <w:textAlignment w:val="auto"/>
              <w:rPr>
                <w:rFonts w:hint="eastAsia" w:ascii="仿宋_GB2312" w:hAnsi="仿宋_GB2312" w:eastAsia="仿宋_GB2312" w:cs="仿宋_GB2312"/>
                <w:bCs/>
                <w:color w:val="000000"/>
                <w:sz w:val="24"/>
              </w:rPr>
            </w:pPr>
          </w:p>
        </w:tc>
        <w:tc>
          <w:tcPr>
            <w:tcW w:w="3713" w:type="dxa"/>
            <w:noWrap w:val="0"/>
            <w:vAlign w:val="center"/>
          </w:tcPr>
          <w:p w14:paraId="004735B1">
            <w:pPr>
              <w:keepNext w:val="0"/>
              <w:keepLines w:val="0"/>
              <w:pageBreakBefore w:val="0"/>
              <w:widowControl w:val="0"/>
              <w:kinsoku/>
              <w:wordWrap/>
              <w:overflowPunct/>
              <w:topLinePunct w:val="0"/>
              <w:autoSpaceDE/>
              <w:autoSpaceDN/>
              <w:bidi w:val="0"/>
              <w:adjustRightInd/>
              <w:snapToGrid/>
              <w:spacing w:line="0" w:lineRule="atLeast"/>
              <w:textAlignment w:val="auto"/>
              <w:rPr>
                <w:rFonts w:hint="eastAsia" w:ascii="仿宋_GB2312" w:hAnsi="仿宋_GB2312" w:eastAsia="仿宋_GB2312" w:cs="仿宋_GB2312"/>
                <w:bCs/>
                <w:color w:val="000000"/>
                <w:sz w:val="24"/>
              </w:rPr>
            </w:pPr>
            <w:r>
              <w:rPr>
                <w:rFonts w:hint="eastAsia" w:ascii="仿宋_GB2312" w:hAnsi="仿宋_GB2312" w:eastAsia="仿宋_GB2312" w:cs="仿宋_GB2312"/>
                <w:bCs/>
                <w:color w:val="000000"/>
                <w:sz w:val="24"/>
              </w:rPr>
              <w:t>绘制计划航线</w:t>
            </w:r>
          </w:p>
        </w:tc>
        <w:tc>
          <w:tcPr>
            <w:tcW w:w="709" w:type="dxa"/>
            <w:noWrap w:val="0"/>
            <w:vAlign w:val="center"/>
          </w:tcPr>
          <w:p w14:paraId="568E888A">
            <w:pPr>
              <w:keepNext w:val="0"/>
              <w:keepLines w:val="0"/>
              <w:pageBreakBefore w:val="0"/>
              <w:widowControl w:val="0"/>
              <w:kinsoku/>
              <w:wordWrap/>
              <w:overflowPunct/>
              <w:topLinePunct w:val="0"/>
              <w:autoSpaceDE/>
              <w:autoSpaceDN/>
              <w:bidi w:val="0"/>
              <w:adjustRightInd/>
              <w:snapToGrid/>
              <w:spacing w:line="0" w:lineRule="atLeast"/>
              <w:jc w:val="center"/>
              <w:textAlignment w:val="auto"/>
              <w:rPr>
                <w:rFonts w:hint="eastAsia" w:ascii="仿宋_GB2312" w:hAnsi="仿宋_GB2312" w:eastAsia="仿宋_GB2312" w:cs="仿宋_GB2312"/>
                <w:bCs/>
                <w:color w:val="000000"/>
                <w:sz w:val="24"/>
              </w:rPr>
            </w:pPr>
            <w:r>
              <w:rPr>
                <w:rFonts w:hint="eastAsia" w:ascii="仿宋_GB2312" w:hAnsi="仿宋_GB2312" w:eastAsia="仿宋_GB2312" w:cs="仿宋_GB2312"/>
                <w:bCs/>
                <w:color w:val="000000"/>
                <w:sz w:val="24"/>
              </w:rPr>
              <w:t>40</w:t>
            </w:r>
          </w:p>
        </w:tc>
        <w:tc>
          <w:tcPr>
            <w:tcW w:w="977" w:type="dxa"/>
            <w:vMerge w:val="continue"/>
            <w:noWrap w:val="0"/>
            <w:vAlign w:val="center"/>
          </w:tcPr>
          <w:p w14:paraId="0D3958D6">
            <w:pPr>
              <w:keepNext w:val="0"/>
              <w:keepLines w:val="0"/>
              <w:pageBreakBefore w:val="0"/>
              <w:widowControl w:val="0"/>
              <w:kinsoku/>
              <w:wordWrap/>
              <w:overflowPunct/>
              <w:topLinePunct w:val="0"/>
              <w:autoSpaceDE/>
              <w:autoSpaceDN/>
              <w:bidi w:val="0"/>
              <w:adjustRightInd/>
              <w:snapToGrid/>
              <w:spacing w:line="0" w:lineRule="atLeast"/>
              <w:textAlignment w:val="auto"/>
              <w:rPr>
                <w:rFonts w:hint="eastAsia" w:ascii="仿宋_GB2312" w:hAnsi="仿宋_GB2312" w:eastAsia="仿宋_GB2312" w:cs="仿宋_GB2312"/>
                <w:bCs/>
                <w:color w:val="000000"/>
                <w:sz w:val="24"/>
              </w:rPr>
            </w:pPr>
          </w:p>
        </w:tc>
      </w:tr>
      <w:tr w14:paraId="27E891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646" w:type="dxa"/>
            <w:vMerge w:val="continue"/>
            <w:noWrap w:val="0"/>
            <w:vAlign w:val="center"/>
          </w:tcPr>
          <w:p w14:paraId="28EC5C97">
            <w:pPr>
              <w:keepNext w:val="0"/>
              <w:keepLines w:val="0"/>
              <w:pageBreakBefore w:val="0"/>
              <w:widowControl w:val="0"/>
              <w:kinsoku/>
              <w:wordWrap/>
              <w:overflowPunct/>
              <w:topLinePunct w:val="0"/>
              <w:autoSpaceDE/>
              <w:autoSpaceDN/>
              <w:bidi w:val="0"/>
              <w:adjustRightInd/>
              <w:snapToGrid/>
              <w:spacing w:line="0" w:lineRule="atLeast"/>
              <w:jc w:val="center"/>
              <w:textAlignment w:val="auto"/>
              <w:rPr>
                <w:rFonts w:hint="eastAsia" w:ascii="仿宋_GB2312" w:hAnsi="仿宋_GB2312" w:eastAsia="仿宋_GB2312" w:cs="仿宋_GB2312"/>
                <w:bCs/>
                <w:color w:val="000000"/>
                <w:sz w:val="24"/>
              </w:rPr>
            </w:pPr>
          </w:p>
        </w:tc>
        <w:tc>
          <w:tcPr>
            <w:tcW w:w="850" w:type="dxa"/>
            <w:vMerge w:val="continue"/>
            <w:noWrap w:val="0"/>
            <w:vAlign w:val="center"/>
          </w:tcPr>
          <w:p w14:paraId="27C2C1DC">
            <w:pPr>
              <w:keepNext w:val="0"/>
              <w:keepLines w:val="0"/>
              <w:pageBreakBefore w:val="0"/>
              <w:widowControl w:val="0"/>
              <w:kinsoku/>
              <w:wordWrap/>
              <w:overflowPunct/>
              <w:topLinePunct w:val="0"/>
              <w:autoSpaceDE/>
              <w:autoSpaceDN/>
              <w:bidi w:val="0"/>
              <w:adjustRightInd/>
              <w:snapToGrid/>
              <w:spacing w:line="0" w:lineRule="atLeast"/>
              <w:jc w:val="center"/>
              <w:textAlignment w:val="auto"/>
              <w:rPr>
                <w:rFonts w:hint="eastAsia" w:ascii="仿宋_GB2312" w:hAnsi="仿宋_GB2312" w:eastAsia="仿宋_GB2312" w:cs="仿宋_GB2312"/>
                <w:bCs/>
                <w:color w:val="000000"/>
                <w:sz w:val="24"/>
              </w:rPr>
            </w:pPr>
          </w:p>
        </w:tc>
        <w:tc>
          <w:tcPr>
            <w:tcW w:w="709" w:type="dxa"/>
            <w:vMerge w:val="continue"/>
            <w:noWrap w:val="0"/>
            <w:vAlign w:val="center"/>
          </w:tcPr>
          <w:p w14:paraId="390AFEF9">
            <w:pPr>
              <w:keepNext w:val="0"/>
              <w:keepLines w:val="0"/>
              <w:pageBreakBefore w:val="0"/>
              <w:widowControl w:val="0"/>
              <w:kinsoku/>
              <w:wordWrap/>
              <w:overflowPunct/>
              <w:topLinePunct w:val="0"/>
              <w:autoSpaceDE/>
              <w:autoSpaceDN/>
              <w:bidi w:val="0"/>
              <w:adjustRightInd/>
              <w:snapToGrid/>
              <w:spacing w:line="0" w:lineRule="atLeast"/>
              <w:jc w:val="center"/>
              <w:textAlignment w:val="auto"/>
              <w:rPr>
                <w:rFonts w:hint="eastAsia" w:ascii="仿宋_GB2312" w:hAnsi="仿宋_GB2312" w:eastAsia="仿宋_GB2312" w:cs="仿宋_GB2312"/>
                <w:bCs/>
                <w:color w:val="000000"/>
                <w:sz w:val="24"/>
              </w:rPr>
            </w:pPr>
          </w:p>
        </w:tc>
        <w:tc>
          <w:tcPr>
            <w:tcW w:w="3713" w:type="dxa"/>
            <w:noWrap w:val="0"/>
            <w:vAlign w:val="center"/>
          </w:tcPr>
          <w:p w14:paraId="720741A2">
            <w:pPr>
              <w:keepNext w:val="0"/>
              <w:keepLines w:val="0"/>
              <w:pageBreakBefore w:val="0"/>
              <w:widowControl w:val="0"/>
              <w:kinsoku/>
              <w:wordWrap/>
              <w:overflowPunct/>
              <w:topLinePunct w:val="0"/>
              <w:autoSpaceDE/>
              <w:autoSpaceDN/>
              <w:bidi w:val="0"/>
              <w:adjustRightInd/>
              <w:snapToGrid/>
              <w:spacing w:line="0" w:lineRule="atLeast"/>
              <w:textAlignment w:val="auto"/>
              <w:rPr>
                <w:rFonts w:hint="eastAsia" w:ascii="仿宋_GB2312" w:hAnsi="仿宋_GB2312" w:eastAsia="仿宋_GB2312" w:cs="仿宋_GB2312"/>
                <w:bCs/>
                <w:color w:val="000000"/>
                <w:sz w:val="24"/>
              </w:rPr>
            </w:pPr>
            <w:r>
              <w:rPr>
                <w:rFonts w:hint="eastAsia" w:ascii="仿宋_GB2312" w:hAnsi="仿宋_GB2312" w:eastAsia="仿宋_GB2312" w:cs="仿宋_GB2312"/>
                <w:bCs/>
                <w:color w:val="000000"/>
                <w:sz w:val="24"/>
              </w:rPr>
              <w:t>航线标注</w:t>
            </w:r>
          </w:p>
        </w:tc>
        <w:tc>
          <w:tcPr>
            <w:tcW w:w="709" w:type="dxa"/>
            <w:noWrap w:val="0"/>
            <w:vAlign w:val="center"/>
          </w:tcPr>
          <w:p w14:paraId="4B8E00F1">
            <w:pPr>
              <w:keepNext w:val="0"/>
              <w:keepLines w:val="0"/>
              <w:pageBreakBefore w:val="0"/>
              <w:widowControl w:val="0"/>
              <w:kinsoku/>
              <w:wordWrap/>
              <w:overflowPunct/>
              <w:topLinePunct w:val="0"/>
              <w:autoSpaceDE/>
              <w:autoSpaceDN/>
              <w:bidi w:val="0"/>
              <w:adjustRightInd/>
              <w:snapToGrid/>
              <w:spacing w:line="0" w:lineRule="atLeast"/>
              <w:jc w:val="center"/>
              <w:textAlignment w:val="auto"/>
              <w:rPr>
                <w:rFonts w:hint="eastAsia" w:ascii="仿宋_GB2312" w:hAnsi="仿宋_GB2312" w:eastAsia="仿宋_GB2312" w:cs="仿宋_GB2312"/>
                <w:bCs/>
                <w:color w:val="000000"/>
                <w:sz w:val="24"/>
              </w:rPr>
            </w:pPr>
            <w:r>
              <w:rPr>
                <w:rFonts w:hint="eastAsia" w:ascii="仿宋_GB2312" w:hAnsi="仿宋_GB2312" w:eastAsia="仿宋_GB2312" w:cs="仿宋_GB2312"/>
                <w:bCs/>
                <w:color w:val="000000"/>
                <w:sz w:val="24"/>
              </w:rPr>
              <w:t>25</w:t>
            </w:r>
          </w:p>
        </w:tc>
        <w:tc>
          <w:tcPr>
            <w:tcW w:w="977" w:type="dxa"/>
            <w:vMerge w:val="continue"/>
            <w:noWrap w:val="0"/>
            <w:vAlign w:val="center"/>
          </w:tcPr>
          <w:p w14:paraId="1F5C9250">
            <w:pPr>
              <w:keepNext w:val="0"/>
              <w:keepLines w:val="0"/>
              <w:pageBreakBefore w:val="0"/>
              <w:widowControl w:val="0"/>
              <w:kinsoku/>
              <w:wordWrap/>
              <w:overflowPunct/>
              <w:topLinePunct w:val="0"/>
              <w:autoSpaceDE/>
              <w:autoSpaceDN/>
              <w:bidi w:val="0"/>
              <w:adjustRightInd/>
              <w:snapToGrid/>
              <w:spacing w:line="0" w:lineRule="atLeast"/>
              <w:textAlignment w:val="auto"/>
              <w:rPr>
                <w:rFonts w:hint="eastAsia" w:ascii="仿宋_GB2312" w:hAnsi="仿宋_GB2312" w:eastAsia="仿宋_GB2312" w:cs="仿宋_GB2312"/>
                <w:bCs/>
                <w:color w:val="000000"/>
                <w:sz w:val="24"/>
              </w:rPr>
            </w:pPr>
          </w:p>
        </w:tc>
      </w:tr>
      <w:tr w14:paraId="55B5E8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646" w:type="dxa"/>
            <w:vMerge w:val="continue"/>
            <w:noWrap w:val="0"/>
            <w:vAlign w:val="center"/>
          </w:tcPr>
          <w:p w14:paraId="3999B3CA">
            <w:pPr>
              <w:keepNext w:val="0"/>
              <w:keepLines w:val="0"/>
              <w:pageBreakBefore w:val="0"/>
              <w:widowControl w:val="0"/>
              <w:kinsoku/>
              <w:wordWrap/>
              <w:overflowPunct/>
              <w:topLinePunct w:val="0"/>
              <w:autoSpaceDE/>
              <w:autoSpaceDN/>
              <w:bidi w:val="0"/>
              <w:adjustRightInd/>
              <w:snapToGrid/>
              <w:spacing w:line="0" w:lineRule="atLeast"/>
              <w:jc w:val="center"/>
              <w:textAlignment w:val="auto"/>
              <w:rPr>
                <w:rFonts w:hint="eastAsia" w:ascii="仿宋_GB2312" w:hAnsi="仿宋_GB2312" w:eastAsia="仿宋_GB2312" w:cs="仿宋_GB2312"/>
                <w:bCs/>
                <w:color w:val="000000"/>
                <w:sz w:val="24"/>
              </w:rPr>
            </w:pPr>
          </w:p>
        </w:tc>
        <w:tc>
          <w:tcPr>
            <w:tcW w:w="850" w:type="dxa"/>
            <w:vMerge w:val="continue"/>
            <w:noWrap w:val="0"/>
            <w:vAlign w:val="center"/>
          </w:tcPr>
          <w:p w14:paraId="5881FA80">
            <w:pPr>
              <w:keepNext w:val="0"/>
              <w:keepLines w:val="0"/>
              <w:pageBreakBefore w:val="0"/>
              <w:widowControl w:val="0"/>
              <w:kinsoku/>
              <w:wordWrap/>
              <w:overflowPunct/>
              <w:topLinePunct w:val="0"/>
              <w:autoSpaceDE/>
              <w:autoSpaceDN/>
              <w:bidi w:val="0"/>
              <w:adjustRightInd/>
              <w:snapToGrid/>
              <w:spacing w:line="0" w:lineRule="atLeast"/>
              <w:jc w:val="center"/>
              <w:textAlignment w:val="auto"/>
              <w:rPr>
                <w:rFonts w:hint="eastAsia" w:ascii="仿宋_GB2312" w:hAnsi="仿宋_GB2312" w:eastAsia="仿宋_GB2312" w:cs="仿宋_GB2312"/>
                <w:bCs/>
                <w:color w:val="000000"/>
                <w:sz w:val="24"/>
              </w:rPr>
            </w:pPr>
          </w:p>
        </w:tc>
        <w:tc>
          <w:tcPr>
            <w:tcW w:w="709" w:type="dxa"/>
            <w:vMerge w:val="continue"/>
            <w:noWrap w:val="0"/>
            <w:vAlign w:val="center"/>
          </w:tcPr>
          <w:p w14:paraId="3D7E1A68">
            <w:pPr>
              <w:keepNext w:val="0"/>
              <w:keepLines w:val="0"/>
              <w:pageBreakBefore w:val="0"/>
              <w:widowControl w:val="0"/>
              <w:kinsoku/>
              <w:wordWrap/>
              <w:overflowPunct/>
              <w:topLinePunct w:val="0"/>
              <w:autoSpaceDE/>
              <w:autoSpaceDN/>
              <w:bidi w:val="0"/>
              <w:adjustRightInd/>
              <w:snapToGrid/>
              <w:spacing w:line="0" w:lineRule="atLeast"/>
              <w:jc w:val="center"/>
              <w:textAlignment w:val="auto"/>
              <w:rPr>
                <w:rFonts w:hint="eastAsia" w:ascii="仿宋_GB2312" w:hAnsi="仿宋_GB2312" w:eastAsia="仿宋_GB2312" w:cs="仿宋_GB2312"/>
                <w:bCs/>
                <w:color w:val="000000"/>
                <w:sz w:val="24"/>
              </w:rPr>
            </w:pPr>
          </w:p>
        </w:tc>
        <w:tc>
          <w:tcPr>
            <w:tcW w:w="3713" w:type="dxa"/>
            <w:noWrap w:val="0"/>
            <w:vAlign w:val="center"/>
          </w:tcPr>
          <w:p w14:paraId="36970F64">
            <w:pPr>
              <w:keepNext w:val="0"/>
              <w:keepLines w:val="0"/>
              <w:pageBreakBefore w:val="0"/>
              <w:widowControl w:val="0"/>
              <w:kinsoku/>
              <w:wordWrap/>
              <w:overflowPunct/>
              <w:topLinePunct w:val="0"/>
              <w:autoSpaceDE/>
              <w:autoSpaceDN/>
              <w:bidi w:val="0"/>
              <w:adjustRightInd/>
              <w:snapToGrid/>
              <w:spacing w:line="0" w:lineRule="atLeast"/>
              <w:textAlignment w:val="auto"/>
              <w:rPr>
                <w:rFonts w:hint="eastAsia" w:ascii="仿宋_GB2312" w:hAnsi="仿宋_GB2312" w:eastAsia="仿宋_GB2312" w:cs="仿宋_GB2312"/>
                <w:bCs/>
                <w:color w:val="000000"/>
                <w:sz w:val="24"/>
              </w:rPr>
            </w:pPr>
            <w:r>
              <w:rPr>
                <w:rFonts w:hint="eastAsia" w:ascii="仿宋_GB2312" w:hAnsi="仿宋_GB2312" w:eastAsia="仿宋_GB2312" w:cs="仿宋_GB2312"/>
                <w:bCs/>
                <w:color w:val="000000"/>
                <w:sz w:val="24"/>
              </w:rPr>
              <w:t>填写航线用表</w:t>
            </w:r>
          </w:p>
        </w:tc>
        <w:tc>
          <w:tcPr>
            <w:tcW w:w="709" w:type="dxa"/>
            <w:noWrap w:val="0"/>
            <w:vAlign w:val="center"/>
          </w:tcPr>
          <w:p w14:paraId="5C8741B3">
            <w:pPr>
              <w:keepNext w:val="0"/>
              <w:keepLines w:val="0"/>
              <w:pageBreakBefore w:val="0"/>
              <w:widowControl w:val="0"/>
              <w:kinsoku/>
              <w:wordWrap/>
              <w:overflowPunct/>
              <w:topLinePunct w:val="0"/>
              <w:autoSpaceDE/>
              <w:autoSpaceDN/>
              <w:bidi w:val="0"/>
              <w:adjustRightInd/>
              <w:snapToGrid/>
              <w:spacing w:line="0" w:lineRule="atLeast"/>
              <w:jc w:val="center"/>
              <w:textAlignment w:val="auto"/>
              <w:rPr>
                <w:rFonts w:hint="eastAsia" w:ascii="仿宋_GB2312" w:hAnsi="仿宋_GB2312" w:eastAsia="仿宋_GB2312" w:cs="仿宋_GB2312"/>
                <w:bCs/>
                <w:color w:val="000000"/>
                <w:sz w:val="24"/>
              </w:rPr>
            </w:pPr>
            <w:r>
              <w:rPr>
                <w:rFonts w:hint="eastAsia" w:ascii="仿宋_GB2312" w:hAnsi="仿宋_GB2312" w:eastAsia="仿宋_GB2312" w:cs="仿宋_GB2312"/>
                <w:bCs/>
                <w:color w:val="000000"/>
                <w:sz w:val="24"/>
              </w:rPr>
              <w:t>5</w:t>
            </w:r>
          </w:p>
        </w:tc>
        <w:tc>
          <w:tcPr>
            <w:tcW w:w="977" w:type="dxa"/>
            <w:vMerge w:val="continue"/>
            <w:noWrap w:val="0"/>
            <w:vAlign w:val="center"/>
          </w:tcPr>
          <w:p w14:paraId="43235594">
            <w:pPr>
              <w:keepNext w:val="0"/>
              <w:keepLines w:val="0"/>
              <w:pageBreakBefore w:val="0"/>
              <w:widowControl w:val="0"/>
              <w:kinsoku/>
              <w:wordWrap/>
              <w:overflowPunct/>
              <w:topLinePunct w:val="0"/>
              <w:autoSpaceDE/>
              <w:autoSpaceDN/>
              <w:bidi w:val="0"/>
              <w:adjustRightInd/>
              <w:snapToGrid/>
              <w:spacing w:line="0" w:lineRule="atLeast"/>
              <w:textAlignment w:val="auto"/>
              <w:rPr>
                <w:rFonts w:hint="eastAsia" w:ascii="仿宋_GB2312" w:hAnsi="仿宋_GB2312" w:eastAsia="仿宋_GB2312" w:cs="仿宋_GB2312"/>
                <w:bCs/>
                <w:color w:val="000000"/>
                <w:sz w:val="24"/>
              </w:rPr>
            </w:pPr>
          </w:p>
        </w:tc>
      </w:tr>
      <w:tr w14:paraId="2B3C51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646" w:type="dxa"/>
            <w:vMerge w:val="continue"/>
            <w:noWrap w:val="0"/>
            <w:vAlign w:val="center"/>
          </w:tcPr>
          <w:p w14:paraId="4E2962CF">
            <w:pPr>
              <w:keepNext w:val="0"/>
              <w:keepLines w:val="0"/>
              <w:pageBreakBefore w:val="0"/>
              <w:widowControl w:val="0"/>
              <w:kinsoku/>
              <w:wordWrap/>
              <w:overflowPunct/>
              <w:topLinePunct w:val="0"/>
              <w:autoSpaceDE/>
              <w:autoSpaceDN/>
              <w:bidi w:val="0"/>
              <w:adjustRightInd/>
              <w:snapToGrid/>
              <w:spacing w:line="0" w:lineRule="atLeast"/>
              <w:jc w:val="center"/>
              <w:textAlignment w:val="auto"/>
              <w:rPr>
                <w:rFonts w:hint="eastAsia" w:ascii="仿宋_GB2312" w:hAnsi="仿宋_GB2312" w:eastAsia="仿宋_GB2312" w:cs="仿宋_GB2312"/>
                <w:bCs/>
                <w:color w:val="000000"/>
                <w:sz w:val="24"/>
              </w:rPr>
            </w:pPr>
          </w:p>
        </w:tc>
        <w:tc>
          <w:tcPr>
            <w:tcW w:w="850" w:type="dxa"/>
            <w:vMerge w:val="continue"/>
            <w:noWrap w:val="0"/>
            <w:vAlign w:val="center"/>
          </w:tcPr>
          <w:p w14:paraId="1DBE3FB7">
            <w:pPr>
              <w:keepNext w:val="0"/>
              <w:keepLines w:val="0"/>
              <w:pageBreakBefore w:val="0"/>
              <w:widowControl w:val="0"/>
              <w:kinsoku/>
              <w:wordWrap/>
              <w:overflowPunct/>
              <w:topLinePunct w:val="0"/>
              <w:autoSpaceDE/>
              <w:autoSpaceDN/>
              <w:bidi w:val="0"/>
              <w:adjustRightInd/>
              <w:snapToGrid/>
              <w:spacing w:line="0" w:lineRule="atLeast"/>
              <w:jc w:val="center"/>
              <w:textAlignment w:val="auto"/>
              <w:rPr>
                <w:rFonts w:hint="eastAsia" w:ascii="仿宋_GB2312" w:hAnsi="仿宋_GB2312" w:eastAsia="仿宋_GB2312" w:cs="仿宋_GB2312"/>
                <w:bCs/>
                <w:color w:val="000000"/>
                <w:sz w:val="24"/>
              </w:rPr>
            </w:pPr>
          </w:p>
        </w:tc>
        <w:tc>
          <w:tcPr>
            <w:tcW w:w="709" w:type="dxa"/>
            <w:vMerge w:val="continue"/>
            <w:noWrap w:val="0"/>
            <w:vAlign w:val="center"/>
          </w:tcPr>
          <w:p w14:paraId="4C565DB1">
            <w:pPr>
              <w:keepNext w:val="0"/>
              <w:keepLines w:val="0"/>
              <w:pageBreakBefore w:val="0"/>
              <w:widowControl w:val="0"/>
              <w:kinsoku/>
              <w:wordWrap/>
              <w:overflowPunct/>
              <w:topLinePunct w:val="0"/>
              <w:autoSpaceDE/>
              <w:autoSpaceDN/>
              <w:bidi w:val="0"/>
              <w:adjustRightInd/>
              <w:snapToGrid/>
              <w:spacing w:line="0" w:lineRule="atLeast"/>
              <w:jc w:val="center"/>
              <w:textAlignment w:val="auto"/>
              <w:rPr>
                <w:rFonts w:hint="eastAsia" w:ascii="仿宋_GB2312" w:hAnsi="仿宋_GB2312" w:eastAsia="仿宋_GB2312" w:cs="仿宋_GB2312"/>
                <w:bCs/>
                <w:color w:val="000000"/>
                <w:sz w:val="24"/>
              </w:rPr>
            </w:pPr>
          </w:p>
        </w:tc>
        <w:tc>
          <w:tcPr>
            <w:tcW w:w="3713" w:type="dxa"/>
            <w:noWrap w:val="0"/>
            <w:vAlign w:val="center"/>
          </w:tcPr>
          <w:p w14:paraId="5E0F37A9">
            <w:pPr>
              <w:keepNext w:val="0"/>
              <w:keepLines w:val="0"/>
              <w:pageBreakBefore w:val="0"/>
              <w:widowControl w:val="0"/>
              <w:kinsoku/>
              <w:wordWrap/>
              <w:overflowPunct/>
              <w:topLinePunct w:val="0"/>
              <w:autoSpaceDE/>
              <w:autoSpaceDN/>
              <w:bidi w:val="0"/>
              <w:adjustRightInd/>
              <w:snapToGrid/>
              <w:spacing w:line="0" w:lineRule="atLeast"/>
              <w:textAlignment w:val="auto"/>
              <w:rPr>
                <w:rFonts w:hint="eastAsia" w:ascii="仿宋_GB2312" w:hAnsi="仿宋_GB2312" w:eastAsia="仿宋_GB2312" w:cs="仿宋_GB2312"/>
                <w:bCs/>
                <w:color w:val="000000"/>
                <w:sz w:val="24"/>
              </w:rPr>
            </w:pPr>
            <w:r>
              <w:rPr>
                <w:rFonts w:hint="eastAsia" w:ascii="仿宋_GB2312" w:hAnsi="仿宋_GB2312" w:eastAsia="仿宋_GB2312" w:cs="仿宋_GB2312"/>
                <w:bCs/>
                <w:color w:val="000000"/>
                <w:sz w:val="24"/>
              </w:rPr>
              <w:t>航次风险识别</w:t>
            </w:r>
          </w:p>
        </w:tc>
        <w:tc>
          <w:tcPr>
            <w:tcW w:w="709" w:type="dxa"/>
            <w:noWrap w:val="0"/>
            <w:vAlign w:val="center"/>
          </w:tcPr>
          <w:p w14:paraId="51F33AE5">
            <w:pPr>
              <w:keepNext w:val="0"/>
              <w:keepLines w:val="0"/>
              <w:pageBreakBefore w:val="0"/>
              <w:widowControl w:val="0"/>
              <w:kinsoku/>
              <w:wordWrap/>
              <w:overflowPunct/>
              <w:topLinePunct w:val="0"/>
              <w:autoSpaceDE/>
              <w:autoSpaceDN/>
              <w:bidi w:val="0"/>
              <w:adjustRightInd/>
              <w:snapToGrid/>
              <w:spacing w:line="0" w:lineRule="atLeast"/>
              <w:jc w:val="center"/>
              <w:textAlignment w:val="auto"/>
              <w:rPr>
                <w:rFonts w:hint="eastAsia" w:ascii="仿宋_GB2312" w:hAnsi="仿宋_GB2312" w:eastAsia="仿宋_GB2312" w:cs="仿宋_GB2312"/>
                <w:bCs/>
                <w:color w:val="000000"/>
                <w:sz w:val="24"/>
              </w:rPr>
            </w:pPr>
            <w:r>
              <w:rPr>
                <w:rFonts w:hint="eastAsia" w:ascii="仿宋_GB2312" w:hAnsi="仿宋_GB2312" w:eastAsia="仿宋_GB2312" w:cs="仿宋_GB2312"/>
                <w:bCs/>
                <w:color w:val="000000"/>
                <w:sz w:val="24"/>
              </w:rPr>
              <w:t>10</w:t>
            </w:r>
          </w:p>
        </w:tc>
        <w:tc>
          <w:tcPr>
            <w:tcW w:w="977" w:type="dxa"/>
            <w:vMerge w:val="continue"/>
            <w:noWrap w:val="0"/>
            <w:vAlign w:val="center"/>
          </w:tcPr>
          <w:p w14:paraId="24925D5A">
            <w:pPr>
              <w:keepNext w:val="0"/>
              <w:keepLines w:val="0"/>
              <w:pageBreakBefore w:val="0"/>
              <w:widowControl w:val="0"/>
              <w:kinsoku/>
              <w:wordWrap/>
              <w:overflowPunct/>
              <w:topLinePunct w:val="0"/>
              <w:autoSpaceDE/>
              <w:autoSpaceDN/>
              <w:bidi w:val="0"/>
              <w:adjustRightInd/>
              <w:snapToGrid/>
              <w:spacing w:line="0" w:lineRule="atLeast"/>
              <w:textAlignment w:val="auto"/>
              <w:rPr>
                <w:rFonts w:hint="eastAsia" w:ascii="仿宋_GB2312" w:hAnsi="仿宋_GB2312" w:eastAsia="仿宋_GB2312" w:cs="仿宋_GB2312"/>
                <w:bCs/>
                <w:color w:val="000000"/>
                <w:sz w:val="24"/>
              </w:rPr>
            </w:pPr>
          </w:p>
        </w:tc>
      </w:tr>
      <w:tr w14:paraId="342E8F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646" w:type="dxa"/>
            <w:vMerge w:val="continue"/>
            <w:noWrap w:val="0"/>
            <w:vAlign w:val="center"/>
          </w:tcPr>
          <w:p w14:paraId="1B238E65">
            <w:pPr>
              <w:keepNext w:val="0"/>
              <w:keepLines w:val="0"/>
              <w:pageBreakBefore w:val="0"/>
              <w:widowControl w:val="0"/>
              <w:kinsoku/>
              <w:wordWrap/>
              <w:overflowPunct/>
              <w:topLinePunct w:val="0"/>
              <w:autoSpaceDE/>
              <w:autoSpaceDN/>
              <w:bidi w:val="0"/>
              <w:adjustRightInd/>
              <w:snapToGrid/>
              <w:spacing w:line="0" w:lineRule="atLeast"/>
              <w:jc w:val="center"/>
              <w:textAlignment w:val="auto"/>
              <w:rPr>
                <w:rFonts w:hint="eastAsia" w:ascii="仿宋_GB2312" w:hAnsi="仿宋_GB2312" w:eastAsia="仿宋_GB2312" w:cs="仿宋_GB2312"/>
                <w:bCs/>
                <w:color w:val="000000"/>
                <w:sz w:val="24"/>
              </w:rPr>
            </w:pPr>
          </w:p>
        </w:tc>
        <w:tc>
          <w:tcPr>
            <w:tcW w:w="850" w:type="dxa"/>
            <w:vMerge w:val="continue"/>
            <w:noWrap w:val="0"/>
            <w:vAlign w:val="center"/>
          </w:tcPr>
          <w:p w14:paraId="69BE0E51">
            <w:pPr>
              <w:keepNext w:val="0"/>
              <w:keepLines w:val="0"/>
              <w:pageBreakBefore w:val="0"/>
              <w:widowControl w:val="0"/>
              <w:kinsoku/>
              <w:wordWrap/>
              <w:overflowPunct/>
              <w:topLinePunct w:val="0"/>
              <w:autoSpaceDE/>
              <w:autoSpaceDN/>
              <w:bidi w:val="0"/>
              <w:adjustRightInd/>
              <w:snapToGrid/>
              <w:spacing w:line="0" w:lineRule="atLeast"/>
              <w:jc w:val="center"/>
              <w:textAlignment w:val="auto"/>
              <w:rPr>
                <w:rFonts w:hint="eastAsia" w:ascii="仿宋_GB2312" w:hAnsi="仿宋_GB2312" w:eastAsia="仿宋_GB2312" w:cs="仿宋_GB2312"/>
                <w:bCs/>
                <w:color w:val="000000"/>
                <w:sz w:val="24"/>
              </w:rPr>
            </w:pPr>
          </w:p>
        </w:tc>
        <w:tc>
          <w:tcPr>
            <w:tcW w:w="709" w:type="dxa"/>
            <w:vMerge w:val="continue"/>
            <w:noWrap w:val="0"/>
            <w:vAlign w:val="center"/>
          </w:tcPr>
          <w:p w14:paraId="6B96D503">
            <w:pPr>
              <w:keepNext w:val="0"/>
              <w:keepLines w:val="0"/>
              <w:pageBreakBefore w:val="0"/>
              <w:widowControl w:val="0"/>
              <w:kinsoku/>
              <w:wordWrap/>
              <w:overflowPunct/>
              <w:topLinePunct w:val="0"/>
              <w:autoSpaceDE/>
              <w:autoSpaceDN/>
              <w:bidi w:val="0"/>
              <w:adjustRightInd/>
              <w:snapToGrid/>
              <w:spacing w:line="0" w:lineRule="atLeast"/>
              <w:jc w:val="center"/>
              <w:textAlignment w:val="auto"/>
              <w:rPr>
                <w:rFonts w:hint="eastAsia" w:ascii="仿宋_GB2312" w:hAnsi="仿宋_GB2312" w:eastAsia="仿宋_GB2312" w:cs="仿宋_GB2312"/>
                <w:bCs/>
                <w:color w:val="000000"/>
                <w:sz w:val="24"/>
              </w:rPr>
            </w:pPr>
          </w:p>
        </w:tc>
        <w:tc>
          <w:tcPr>
            <w:tcW w:w="3713" w:type="dxa"/>
            <w:noWrap w:val="0"/>
            <w:vAlign w:val="center"/>
          </w:tcPr>
          <w:p w14:paraId="3E4F2D16">
            <w:pPr>
              <w:keepNext w:val="0"/>
              <w:keepLines w:val="0"/>
              <w:pageBreakBefore w:val="0"/>
              <w:widowControl w:val="0"/>
              <w:kinsoku/>
              <w:wordWrap/>
              <w:overflowPunct/>
              <w:topLinePunct w:val="0"/>
              <w:autoSpaceDE/>
              <w:autoSpaceDN/>
              <w:bidi w:val="0"/>
              <w:adjustRightInd/>
              <w:snapToGrid/>
              <w:spacing w:line="0" w:lineRule="atLeast"/>
              <w:textAlignment w:val="auto"/>
              <w:rPr>
                <w:rFonts w:hint="eastAsia" w:ascii="仿宋_GB2312" w:hAnsi="仿宋_GB2312" w:eastAsia="仿宋_GB2312" w:cs="仿宋_GB2312"/>
                <w:bCs/>
                <w:color w:val="000000"/>
                <w:sz w:val="24"/>
              </w:rPr>
            </w:pPr>
            <w:r>
              <w:rPr>
                <w:rFonts w:hint="eastAsia" w:ascii="仿宋_GB2312" w:hAnsi="仿宋_GB2312" w:eastAsia="仿宋_GB2312" w:cs="仿宋_GB2312"/>
                <w:bCs/>
                <w:color w:val="000000"/>
                <w:sz w:val="24"/>
              </w:rPr>
              <w:t>航行注意事项</w:t>
            </w:r>
          </w:p>
        </w:tc>
        <w:tc>
          <w:tcPr>
            <w:tcW w:w="709" w:type="dxa"/>
            <w:noWrap w:val="0"/>
            <w:vAlign w:val="center"/>
          </w:tcPr>
          <w:p w14:paraId="6A01B84D">
            <w:pPr>
              <w:keepNext w:val="0"/>
              <w:keepLines w:val="0"/>
              <w:pageBreakBefore w:val="0"/>
              <w:widowControl w:val="0"/>
              <w:kinsoku/>
              <w:wordWrap/>
              <w:overflowPunct/>
              <w:topLinePunct w:val="0"/>
              <w:autoSpaceDE/>
              <w:autoSpaceDN/>
              <w:bidi w:val="0"/>
              <w:adjustRightInd/>
              <w:snapToGrid/>
              <w:spacing w:line="0" w:lineRule="atLeast"/>
              <w:jc w:val="center"/>
              <w:textAlignment w:val="auto"/>
              <w:rPr>
                <w:rFonts w:hint="eastAsia" w:ascii="仿宋_GB2312" w:hAnsi="仿宋_GB2312" w:eastAsia="仿宋_GB2312" w:cs="仿宋_GB2312"/>
                <w:bCs/>
                <w:color w:val="000000"/>
                <w:sz w:val="24"/>
              </w:rPr>
            </w:pPr>
            <w:r>
              <w:rPr>
                <w:rFonts w:hint="eastAsia" w:ascii="仿宋_GB2312" w:hAnsi="仿宋_GB2312" w:eastAsia="仿宋_GB2312" w:cs="仿宋_GB2312"/>
                <w:bCs/>
                <w:color w:val="000000"/>
                <w:sz w:val="24"/>
              </w:rPr>
              <w:t>10</w:t>
            </w:r>
          </w:p>
        </w:tc>
        <w:tc>
          <w:tcPr>
            <w:tcW w:w="977" w:type="dxa"/>
            <w:vMerge w:val="continue"/>
            <w:noWrap w:val="0"/>
            <w:vAlign w:val="center"/>
          </w:tcPr>
          <w:p w14:paraId="7ECD3F6C">
            <w:pPr>
              <w:keepNext w:val="0"/>
              <w:keepLines w:val="0"/>
              <w:pageBreakBefore w:val="0"/>
              <w:widowControl w:val="0"/>
              <w:kinsoku/>
              <w:wordWrap/>
              <w:overflowPunct/>
              <w:topLinePunct w:val="0"/>
              <w:autoSpaceDE/>
              <w:autoSpaceDN/>
              <w:bidi w:val="0"/>
              <w:adjustRightInd/>
              <w:snapToGrid/>
              <w:spacing w:line="0" w:lineRule="atLeast"/>
              <w:textAlignment w:val="auto"/>
              <w:rPr>
                <w:rFonts w:hint="eastAsia" w:ascii="仿宋_GB2312" w:hAnsi="仿宋_GB2312" w:eastAsia="仿宋_GB2312" w:cs="仿宋_GB2312"/>
                <w:bCs/>
                <w:color w:val="000000"/>
                <w:sz w:val="24"/>
              </w:rPr>
            </w:pPr>
          </w:p>
        </w:tc>
      </w:tr>
      <w:tr w14:paraId="2EBC8C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646" w:type="dxa"/>
            <w:vMerge w:val="continue"/>
            <w:noWrap w:val="0"/>
            <w:vAlign w:val="center"/>
          </w:tcPr>
          <w:p w14:paraId="68D263B7">
            <w:pPr>
              <w:keepNext w:val="0"/>
              <w:keepLines w:val="0"/>
              <w:pageBreakBefore w:val="0"/>
              <w:widowControl w:val="0"/>
              <w:kinsoku/>
              <w:wordWrap/>
              <w:overflowPunct/>
              <w:topLinePunct w:val="0"/>
              <w:autoSpaceDE/>
              <w:autoSpaceDN/>
              <w:bidi w:val="0"/>
              <w:adjustRightInd/>
              <w:snapToGrid/>
              <w:spacing w:line="0" w:lineRule="atLeast"/>
              <w:jc w:val="center"/>
              <w:textAlignment w:val="auto"/>
              <w:rPr>
                <w:rFonts w:hint="eastAsia" w:ascii="仿宋_GB2312" w:hAnsi="仿宋_GB2312" w:eastAsia="仿宋_GB2312" w:cs="仿宋_GB2312"/>
                <w:bCs/>
                <w:color w:val="000000"/>
                <w:sz w:val="24"/>
              </w:rPr>
            </w:pPr>
          </w:p>
        </w:tc>
        <w:tc>
          <w:tcPr>
            <w:tcW w:w="850" w:type="dxa"/>
            <w:vMerge w:val="continue"/>
            <w:noWrap w:val="0"/>
            <w:vAlign w:val="center"/>
          </w:tcPr>
          <w:p w14:paraId="45DFAAE5">
            <w:pPr>
              <w:keepNext w:val="0"/>
              <w:keepLines w:val="0"/>
              <w:pageBreakBefore w:val="0"/>
              <w:widowControl w:val="0"/>
              <w:kinsoku/>
              <w:wordWrap/>
              <w:overflowPunct/>
              <w:topLinePunct w:val="0"/>
              <w:autoSpaceDE/>
              <w:autoSpaceDN/>
              <w:bidi w:val="0"/>
              <w:adjustRightInd/>
              <w:snapToGrid/>
              <w:spacing w:line="0" w:lineRule="atLeast"/>
              <w:jc w:val="center"/>
              <w:textAlignment w:val="auto"/>
              <w:rPr>
                <w:rFonts w:hint="eastAsia" w:ascii="仿宋_GB2312" w:hAnsi="仿宋_GB2312" w:eastAsia="仿宋_GB2312" w:cs="仿宋_GB2312"/>
                <w:bCs/>
                <w:color w:val="000000"/>
                <w:sz w:val="24"/>
              </w:rPr>
            </w:pPr>
          </w:p>
        </w:tc>
        <w:tc>
          <w:tcPr>
            <w:tcW w:w="709" w:type="dxa"/>
            <w:vMerge w:val="continue"/>
            <w:noWrap w:val="0"/>
            <w:vAlign w:val="center"/>
          </w:tcPr>
          <w:p w14:paraId="24C03C70">
            <w:pPr>
              <w:keepNext w:val="0"/>
              <w:keepLines w:val="0"/>
              <w:pageBreakBefore w:val="0"/>
              <w:widowControl w:val="0"/>
              <w:kinsoku/>
              <w:wordWrap/>
              <w:overflowPunct/>
              <w:topLinePunct w:val="0"/>
              <w:autoSpaceDE/>
              <w:autoSpaceDN/>
              <w:bidi w:val="0"/>
              <w:adjustRightInd/>
              <w:snapToGrid/>
              <w:spacing w:line="0" w:lineRule="atLeast"/>
              <w:jc w:val="center"/>
              <w:textAlignment w:val="auto"/>
              <w:rPr>
                <w:rFonts w:hint="eastAsia" w:ascii="仿宋_GB2312" w:hAnsi="仿宋_GB2312" w:eastAsia="仿宋_GB2312" w:cs="仿宋_GB2312"/>
                <w:bCs/>
                <w:color w:val="000000"/>
                <w:sz w:val="24"/>
              </w:rPr>
            </w:pPr>
          </w:p>
        </w:tc>
        <w:tc>
          <w:tcPr>
            <w:tcW w:w="3713" w:type="dxa"/>
            <w:noWrap w:val="0"/>
            <w:vAlign w:val="center"/>
          </w:tcPr>
          <w:p w14:paraId="209CA127">
            <w:pPr>
              <w:keepNext w:val="0"/>
              <w:keepLines w:val="0"/>
              <w:pageBreakBefore w:val="0"/>
              <w:widowControl w:val="0"/>
              <w:kinsoku/>
              <w:wordWrap/>
              <w:overflowPunct/>
              <w:topLinePunct w:val="0"/>
              <w:autoSpaceDE/>
              <w:autoSpaceDN/>
              <w:bidi w:val="0"/>
              <w:adjustRightInd/>
              <w:snapToGrid/>
              <w:spacing w:line="0" w:lineRule="atLeast"/>
              <w:textAlignment w:val="auto"/>
              <w:rPr>
                <w:rFonts w:hint="eastAsia" w:ascii="仿宋_GB2312" w:hAnsi="仿宋_GB2312" w:eastAsia="仿宋_GB2312" w:cs="仿宋_GB2312"/>
                <w:bCs/>
                <w:color w:val="000000"/>
                <w:sz w:val="24"/>
              </w:rPr>
            </w:pPr>
            <w:r>
              <w:rPr>
                <w:rFonts w:hint="eastAsia" w:ascii="仿宋_GB2312" w:hAnsi="仿宋_GB2312" w:eastAsia="仿宋_GB2312" w:cs="仿宋_GB2312"/>
                <w:bCs/>
                <w:color w:val="000000"/>
                <w:sz w:val="24"/>
              </w:rPr>
              <w:t>应急处置</w:t>
            </w:r>
          </w:p>
        </w:tc>
        <w:tc>
          <w:tcPr>
            <w:tcW w:w="709" w:type="dxa"/>
            <w:noWrap w:val="0"/>
            <w:vAlign w:val="center"/>
          </w:tcPr>
          <w:p w14:paraId="769017EC">
            <w:pPr>
              <w:keepNext w:val="0"/>
              <w:keepLines w:val="0"/>
              <w:pageBreakBefore w:val="0"/>
              <w:widowControl w:val="0"/>
              <w:kinsoku/>
              <w:wordWrap/>
              <w:overflowPunct/>
              <w:topLinePunct w:val="0"/>
              <w:autoSpaceDE/>
              <w:autoSpaceDN/>
              <w:bidi w:val="0"/>
              <w:adjustRightInd/>
              <w:snapToGrid/>
              <w:spacing w:line="0" w:lineRule="atLeast"/>
              <w:jc w:val="center"/>
              <w:textAlignment w:val="auto"/>
              <w:rPr>
                <w:rFonts w:hint="eastAsia" w:ascii="仿宋_GB2312" w:hAnsi="仿宋_GB2312" w:eastAsia="仿宋_GB2312" w:cs="仿宋_GB2312"/>
                <w:bCs/>
                <w:color w:val="000000"/>
                <w:sz w:val="24"/>
              </w:rPr>
            </w:pPr>
            <w:r>
              <w:rPr>
                <w:rFonts w:hint="eastAsia" w:ascii="仿宋_GB2312" w:hAnsi="仿宋_GB2312" w:eastAsia="仿宋_GB2312" w:cs="仿宋_GB2312"/>
                <w:bCs/>
                <w:color w:val="000000"/>
                <w:sz w:val="24"/>
              </w:rPr>
              <w:t>15</w:t>
            </w:r>
          </w:p>
        </w:tc>
        <w:tc>
          <w:tcPr>
            <w:tcW w:w="977" w:type="dxa"/>
            <w:vMerge w:val="continue"/>
            <w:noWrap w:val="0"/>
            <w:vAlign w:val="center"/>
          </w:tcPr>
          <w:p w14:paraId="71558330">
            <w:pPr>
              <w:keepNext w:val="0"/>
              <w:keepLines w:val="0"/>
              <w:pageBreakBefore w:val="0"/>
              <w:widowControl w:val="0"/>
              <w:kinsoku/>
              <w:wordWrap/>
              <w:overflowPunct/>
              <w:topLinePunct w:val="0"/>
              <w:autoSpaceDE/>
              <w:autoSpaceDN/>
              <w:bidi w:val="0"/>
              <w:adjustRightInd/>
              <w:snapToGrid/>
              <w:spacing w:line="0" w:lineRule="atLeast"/>
              <w:textAlignment w:val="auto"/>
              <w:rPr>
                <w:rFonts w:hint="eastAsia" w:ascii="仿宋_GB2312" w:hAnsi="仿宋_GB2312" w:eastAsia="仿宋_GB2312" w:cs="仿宋_GB2312"/>
                <w:bCs/>
                <w:color w:val="000000"/>
                <w:sz w:val="24"/>
              </w:rPr>
            </w:pPr>
          </w:p>
        </w:tc>
      </w:tr>
      <w:tr w14:paraId="5BC8FB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646" w:type="dxa"/>
            <w:vMerge w:val="continue"/>
            <w:noWrap w:val="0"/>
            <w:vAlign w:val="center"/>
          </w:tcPr>
          <w:p w14:paraId="401889FC">
            <w:pPr>
              <w:keepNext w:val="0"/>
              <w:keepLines w:val="0"/>
              <w:pageBreakBefore w:val="0"/>
              <w:widowControl w:val="0"/>
              <w:kinsoku/>
              <w:wordWrap/>
              <w:overflowPunct/>
              <w:topLinePunct w:val="0"/>
              <w:autoSpaceDE/>
              <w:autoSpaceDN/>
              <w:bidi w:val="0"/>
              <w:adjustRightInd/>
              <w:snapToGrid/>
              <w:spacing w:line="0" w:lineRule="atLeast"/>
              <w:jc w:val="center"/>
              <w:textAlignment w:val="auto"/>
              <w:rPr>
                <w:rFonts w:hint="eastAsia" w:ascii="仿宋_GB2312" w:hAnsi="仿宋_GB2312" w:eastAsia="仿宋_GB2312" w:cs="仿宋_GB2312"/>
                <w:bCs/>
                <w:color w:val="000000"/>
                <w:sz w:val="24"/>
              </w:rPr>
            </w:pPr>
          </w:p>
        </w:tc>
        <w:tc>
          <w:tcPr>
            <w:tcW w:w="850" w:type="dxa"/>
            <w:vMerge w:val="continue"/>
            <w:noWrap w:val="0"/>
            <w:vAlign w:val="center"/>
          </w:tcPr>
          <w:p w14:paraId="367EA97C">
            <w:pPr>
              <w:keepNext w:val="0"/>
              <w:keepLines w:val="0"/>
              <w:pageBreakBefore w:val="0"/>
              <w:widowControl w:val="0"/>
              <w:kinsoku/>
              <w:wordWrap/>
              <w:overflowPunct/>
              <w:topLinePunct w:val="0"/>
              <w:autoSpaceDE/>
              <w:autoSpaceDN/>
              <w:bidi w:val="0"/>
              <w:adjustRightInd/>
              <w:snapToGrid/>
              <w:spacing w:line="0" w:lineRule="atLeast"/>
              <w:jc w:val="center"/>
              <w:textAlignment w:val="auto"/>
              <w:rPr>
                <w:rFonts w:hint="eastAsia" w:ascii="仿宋_GB2312" w:hAnsi="仿宋_GB2312" w:eastAsia="仿宋_GB2312" w:cs="仿宋_GB2312"/>
                <w:bCs/>
                <w:color w:val="000000"/>
                <w:sz w:val="24"/>
              </w:rPr>
            </w:pPr>
          </w:p>
        </w:tc>
        <w:tc>
          <w:tcPr>
            <w:tcW w:w="709" w:type="dxa"/>
            <w:vMerge w:val="continue"/>
            <w:noWrap w:val="0"/>
            <w:vAlign w:val="center"/>
          </w:tcPr>
          <w:p w14:paraId="0C59A720">
            <w:pPr>
              <w:keepNext w:val="0"/>
              <w:keepLines w:val="0"/>
              <w:pageBreakBefore w:val="0"/>
              <w:widowControl w:val="0"/>
              <w:kinsoku/>
              <w:wordWrap/>
              <w:overflowPunct/>
              <w:topLinePunct w:val="0"/>
              <w:autoSpaceDE/>
              <w:autoSpaceDN/>
              <w:bidi w:val="0"/>
              <w:adjustRightInd/>
              <w:snapToGrid/>
              <w:spacing w:line="0" w:lineRule="atLeast"/>
              <w:jc w:val="center"/>
              <w:textAlignment w:val="auto"/>
              <w:rPr>
                <w:rFonts w:hint="eastAsia" w:ascii="仿宋_GB2312" w:hAnsi="仿宋_GB2312" w:eastAsia="仿宋_GB2312" w:cs="仿宋_GB2312"/>
                <w:bCs/>
                <w:color w:val="000000"/>
                <w:sz w:val="24"/>
              </w:rPr>
            </w:pPr>
          </w:p>
        </w:tc>
        <w:tc>
          <w:tcPr>
            <w:tcW w:w="3713" w:type="dxa"/>
            <w:noWrap w:val="0"/>
            <w:vAlign w:val="center"/>
          </w:tcPr>
          <w:p w14:paraId="628A6042">
            <w:pPr>
              <w:keepNext w:val="0"/>
              <w:keepLines w:val="0"/>
              <w:pageBreakBefore w:val="0"/>
              <w:widowControl w:val="0"/>
              <w:kinsoku/>
              <w:wordWrap/>
              <w:overflowPunct/>
              <w:topLinePunct w:val="0"/>
              <w:autoSpaceDE/>
              <w:autoSpaceDN/>
              <w:bidi w:val="0"/>
              <w:adjustRightInd/>
              <w:snapToGrid/>
              <w:spacing w:line="0" w:lineRule="atLeast"/>
              <w:textAlignment w:val="auto"/>
              <w:rPr>
                <w:rFonts w:hint="eastAsia" w:ascii="仿宋_GB2312" w:hAnsi="仿宋_GB2312" w:eastAsia="仿宋_GB2312" w:cs="仿宋_GB2312"/>
                <w:bCs/>
                <w:color w:val="000000"/>
                <w:sz w:val="24"/>
              </w:rPr>
            </w:pPr>
            <w:r>
              <w:rPr>
                <w:rFonts w:hint="eastAsia" w:ascii="仿宋_GB2312" w:hAnsi="仿宋_GB2312" w:eastAsia="仿宋_GB2312" w:cs="仿宋_GB2312"/>
                <w:bCs/>
                <w:color w:val="000000"/>
                <w:sz w:val="24"/>
              </w:rPr>
              <w:t>预设航程的完成</w:t>
            </w:r>
          </w:p>
        </w:tc>
        <w:tc>
          <w:tcPr>
            <w:tcW w:w="709" w:type="dxa"/>
            <w:noWrap w:val="0"/>
            <w:vAlign w:val="center"/>
          </w:tcPr>
          <w:p w14:paraId="48179C6E">
            <w:pPr>
              <w:keepNext w:val="0"/>
              <w:keepLines w:val="0"/>
              <w:pageBreakBefore w:val="0"/>
              <w:widowControl w:val="0"/>
              <w:kinsoku/>
              <w:wordWrap/>
              <w:overflowPunct/>
              <w:topLinePunct w:val="0"/>
              <w:autoSpaceDE/>
              <w:autoSpaceDN/>
              <w:bidi w:val="0"/>
              <w:adjustRightInd/>
              <w:snapToGrid/>
              <w:spacing w:line="0" w:lineRule="atLeast"/>
              <w:jc w:val="center"/>
              <w:textAlignment w:val="auto"/>
              <w:rPr>
                <w:rFonts w:hint="eastAsia" w:ascii="仿宋_GB2312" w:hAnsi="仿宋_GB2312" w:eastAsia="仿宋_GB2312" w:cs="仿宋_GB2312"/>
                <w:bCs/>
                <w:color w:val="000000"/>
                <w:sz w:val="24"/>
              </w:rPr>
            </w:pPr>
            <w:r>
              <w:rPr>
                <w:rFonts w:hint="eastAsia" w:ascii="仿宋_GB2312" w:hAnsi="仿宋_GB2312" w:eastAsia="仿宋_GB2312" w:cs="仿宋_GB2312"/>
                <w:bCs/>
                <w:color w:val="000000"/>
                <w:sz w:val="24"/>
              </w:rPr>
              <w:t>10</w:t>
            </w:r>
          </w:p>
        </w:tc>
        <w:tc>
          <w:tcPr>
            <w:tcW w:w="977" w:type="dxa"/>
            <w:vMerge w:val="continue"/>
            <w:noWrap w:val="0"/>
            <w:vAlign w:val="center"/>
          </w:tcPr>
          <w:p w14:paraId="43EC868B">
            <w:pPr>
              <w:keepNext w:val="0"/>
              <w:keepLines w:val="0"/>
              <w:pageBreakBefore w:val="0"/>
              <w:widowControl w:val="0"/>
              <w:kinsoku/>
              <w:wordWrap/>
              <w:overflowPunct/>
              <w:topLinePunct w:val="0"/>
              <w:autoSpaceDE/>
              <w:autoSpaceDN/>
              <w:bidi w:val="0"/>
              <w:adjustRightInd/>
              <w:snapToGrid/>
              <w:spacing w:line="0" w:lineRule="atLeast"/>
              <w:textAlignment w:val="auto"/>
              <w:rPr>
                <w:rFonts w:hint="eastAsia" w:ascii="仿宋_GB2312" w:hAnsi="仿宋_GB2312" w:eastAsia="仿宋_GB2312" w:cs="仿宋_GB2312"/>
                <w:bCs/>
                <w:color w:val="000000"/>
                <w:sz w:val="24"/>
              </w:rPr>
            </w:pPr>
          </w:p>
        </w:tc>
      </w:tr>
      <w:tr w14:paraId="701256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8604" w:type="dxa"/>
            <w:gridSpan w:val="6"/>
            <w:noWrap w:val="0"/>
            <w:vAlign w:val="center"/>
          </w:tcPr>
          <w:p w14:paraId="1FC3DAD7">
            <w:pPr>
              <w:keepNext w:val="0"/>
              <w:keepLines w:val="0"/>
              <w:pageBreakBefore w:val="0"/>
              <w:widowControl w:val="0"/>
              <w:kinsoku/>
              <w:wordWrap/>
              <w:overflowPunct/>
              <w:topLinePunct w:val="0"/>
              <w:autoSpaceDE/>
              <w:autoSpaceDN/>
              <w:bidi w:val="0"/>
              <w:adjustRightInd/>
              <w:snapToGrid/>
              <w:spacing w:line="0" w:lineRule="atLeast"/>
              <w:jc w:val="left"/>
              <w:textAlignment w:val="auto"/>
              <w:rPr>
                <w:rFonts w:hint="eastAsia" w:ascii="仿宋_GB2312" w:hAnsi="仿宋_GB2312" w:eastAsia="仿宋_GB2312" w:cs="仿宋_GB2312"/>
                <w:bCs/>
                <w:color w:val="000000"/>
                <w:sz w:val="24"/>
              </w:rPr>
            </w:pPr>
            <w:r>
              <w:rPr>
                <w:rFonts w:hint="eastAsia" w:ascii="仿宋_GB2312" w:hAnsi="仿宋_GB2312" w:eastAsia="仿宋_GB2312" w:cs="仿宋_GB2312"/>
                <w:bCs/>
                <w:color w:val="000000"/>
                <w:sz w:val="24"/>
              </w:rPr>
              <w:t>赛项总分=模块一成绩*</w:t>
            </w:r>
            <w:r>
              <w:rPr>
                <w:rFonts w:hint="eastAsia" w:ascii="仿宋_GB2312" w:hAnsi="仿宋_GB2312" w:eastAsia="仿宋_GB2312" w:cs="仿宋_GB2312"/>
                <w:bCs/>
                <w:color w:val="000000"/>
                <w:sz w:val="24"/>
                <w:lang w:val="en-US" w:eastAsia="zh-CN"/>
              </w:rPr>
              <w:t>5</w:t>
            </w:r>
            <w:r>
              <w:rPr>
                <w:rFonts w:hint="eastAsia" w:ascii="仿宋_GB2312" w:hAnsi="仿宋_GB2312" w:eastAsia="仿宋_GB2312" w:cs="仿宋_GB2312"/>
                <w:bCs/>
                <w:color w:val="000000"/>
                <w:sz w:val="24"/>
              </w:rPr>
              <w:t>0%+模块二成绩*</w:t>
            </w:r>
            <w:r>
              <w:rPr>
                <w:rFonts w:hint="eastAsia" w:ascii="仿宋_GB2312" w:hAnsi="仿宋_GB2312" w:eastAsia="仿宋_GB2312" w:cs="仿宋_GB2312"/>
                <w:bCs/>
                <w:color w:val="000000"/>
                <w:sz w:val="24"/>
                <w:lang w:val="en-US" w:eastAsia="zh-CN"/>
              </w:rPr>
              <w:t>5</w:t>
            </w:r>
            <w:r>
              <w:rPr>
                <w:rFonts w:hint="eastAsia" w:ascii="仿宋_GB2312" w:hAnsi="仿宋_GB2312" w:eastAsia="仿宋_GB2312" w:cs="仿宋_GB2312"/>
                <w:bCs/>
                <w:color w:val="000000"/>
                <w:sz w:val="24"/>
              </w:rPr>
              <w:t>0%</w:t>
            </w:r>
          </w:p>
        </w:tc>
      </w:tr>
    </w:tbl>
    <w:p w14:paraId="378010F8">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竞赛成绩采用100分制，每一个模块单独计分。每个模块不进行另外加分。每个模块评分依据参照各自评分标准执行，涉及计算的裁判要认真核对计算结果的准确性。竞赛过程中，如果发生以下问题或事故，则在参赛队总分中作扣分处理。操作标准如下：</w:t>
      </w:r>
    </w:p>
    <w:p w14:paraId="0A54A8BB">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1）在完成工作任务的过程中，违反操作规程或操作不当，但未造成设备损坏或影响其他选手比赛的，扣5～10分；造成设备损坏或影响他人比赛情节严重的，报竞赛执委会批准，由裁判组长宣布终止比赛，不计竞赛成绩。</w:t>
      </w:r>
    </w:p>
    <w:p w14:paraId="0F6EE9BD">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（2）参赛选手有不服从裁判、扰乱赛场秩序等行为扣10分，情节严重的，取消参赛队竞赛成绩。有作弊行为的，取消参赛队参赛资格。</w:t>
      </w:r>
    </w:p>
    <w:p w14:paraId="30722356">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（3）违反赛场纪律，依据情节轻重，扣1～5分。情节特别严重，并产生不良后果的，则报竞赛执委会批准，由裁判组长宣布终止该选手的比赛。</w:t>
      </w:r>
    </w:p>
    <w:p w14:paraId="124939CC">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（4）裁判宣布竞赛时间到，选手仍继续操作的，由现场裁判负责记录扣1～5分，情节严重，警告无效的，取消参赛资格。</w:t>
      </w:r>
    </w:p>
    <w:p w14:paraId="33CA2308">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5）成绩复核：为保障成绩评判的准确性，监督仲裁组将对赛项总成绩排名前30%的所有参赛队伍（选手）的成绩进行复核；对其余成绩进行抽检复核，抽检覆盖率不得低于15%。如发现成绩错误以书面方式及时告知裁判长，由裁判长更正成绩并签字确认。复核、抽检错误率超过5%的，裁判组将对所有成绩进行复核。</w:t>
      </w:r>
    </w:p>
    <w:p w14:paraId="235A2D9A">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6）成绩公布：各参赛队比赛成绩，经裁判长、监督仲裁组组长签字后，公布比赛结果。公布2小时无异议后，将赛项总成绩的最终结果公布，经裁判长、监督仲裁组组长在系统导出成绩单上审核签字后，在闭赛式上宣布。</w:t>
      </w:r>
    </w:p>
    <w:p w14:paraId="4FBBAD47">
      <w:pPr>
        <w:keepNext w:val="0"/>
        <w:keepLines w:val="0"/>
        <w:pageBreakBefore w:val="0"/>
        <w:widowControl w:val="0"/>
        <w:kinsoku/>
        <w:wordWrap/>
        <w:overflowPunct/>
        <w:topLinePunct w:val="0"/>
        <w:autoSpaceDE/>
        <w:autoSpaceDN/>
        <w:bidi w:val="0"/>
        <w:adjustRightInd w:val="0"/>
        <w:snapToGrid w:val="0"/>
        <w:spacing w:before="157" w:beforeLines="50" w:after="157" w:afterLines="50" w:line="240" w:lineRule="auto"/>
        <w:ind w:firstLine="482" w:firstLineChars="200"/>
        <w:textAlignment w:val="auto"/>
        <w:outlineLvl w:val="1"/>
        <w:rPr>
          <w:rFonts w:hint="eastAsia" w:ascii="仿宋_GB2312" w:hAnsi="仿宋_GB2312" w:eastAsia="仿宋_GB2312" w:cs="仿宋_GB2312"/>
          <w:b/>
          <w:bCs/>
          <w:color w:val="auto"/>
          <w:sz w:val="24"/>
          <w:szCs w:val="28"/>
          <w:highlight w:val="none"/>
        </w:rPr>
      </w:pPr>
      <w:r>
        <w:rPr>
          <w:rFonts w:hint="eastAsia" w:ascii="仿宋_GB2312" w:hAnsi="仿宋_GB2312" w:eastAsia="仿宋_GB2312" w:cs="仿宋_GB2312"/>
          <w:b/>
          <w:bCs/>
          <w:color w:val="auto"/>
          <w:sz w:val="24"/>
          <w:szCs w:val="28"/>
          <w:highlight w:val="none"/>
        </w:rPr>
        <w:t>（三）裁判组成</w:t>
      </w:r>
    </w:p>
    <w:p w14:paraId="644E9278">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裁判应熟悉并掌握商船货物配载、航行路线设计</w:t>
      </w:r>
      <w:bookmarkStart w:id="3" w:name="_GoBack"/>
      <w:bookmarkEnd w:id="3"/>
      <w:r>
        <w:rPr>
          <w:rFonts w:hint="eastAsia" w:ascii="仿宋_GB2312" w:hAnsi="仿宋_GB2312" w:eastAsia="仿宋_GB2312" w:cs="仿宋_GB2312"/>
          <w:sz w:val="24"/>
          <w:szCs w:val="24"/>
          <w:lang w:val="en-US" w:eastAsia="zh-CN"/>
        </w:rPr>
        <w:t>等相关知识与技能。其中，院校裁判需具有高级职称和甲类大副及以上技术职务，并具有不少于5年及以上航海技术专业教学经历；行业、企业裁判需具有甲类船长职业资格，并具有不少于12个月的船长任职资历。</w:t>
      </w:r>
    </w:p>
    <w:p w14:paraId="410DD31A">
      <w:pPr>
        <w:keepNext w:val="0"/>
        <w:keepLines w:val="0"/>
        <w:pageBreakBefore w:val="0"/>
        <w:widowControl w:val="0"/>
        <w:kinsoku/>
        <w:wordWrap/>
        <w:overflowPunct/>
        <w:topLinePunct w:val="0"/>
        <w:autoSpaceDE/>
        <w:autoSpaceDN/>
        <w:bidi w:val="0"/>
        <w:adjustRightInd w:val="0"/>
        <w:snapToGrid w:val="0"/>
        <w:spacing w:before="157" w:beforeLines="50" w:after="157" w:afterLines="50" w:line="240" w:lineRule="auto"/>
        <w:ind w:firstLine="482" w:firstLineChars="200"/>
        <w:textAlignment w:val="auto"/>
        <w:outlineLvl w:val="1"/>
        <w:rPr>
          <w:rFonts w:hint="eastAsia" w:ascii="仿宋_GB2312" w:hAnsi="仿宋_GB2312" w:eastAsia="仿宋_GB2312" w:cs="仿宋_GB2312"/>
          <w:b/>
          <w:bCs/>
          <w:color w:val="auto"/>
          <w:sz w:val="24"/>
          <w:szCs w:val="28"/>
          <w:highlight w:val="none"/>
        </w:rPr>
      </w:pPr>
      <w:r>
        <w:rPr>
          <w:rFonts w:hint="eastAsia" w:ascii="仿宋_GB2312" w:hAnsi="仿宋_GB2312" w:eastAsia="仿宋_GB2312" w:cs="仿宋_GB2312"/>
          <w:b/>
          <w:bCs/>
          <w:color w:val="auto"/>
          <w:sz w:val="24"/>
          <w:szCs w:val="28"/>
          <w:highlight w:val="none"/>
        </w:rPr>
        <w:t>（四）评分方法</w:t>
      </w:r>
    </w:p>
    <w:p w14:paraId="2F24E8EB">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1.赛项裁判工作组负责赛项成绩评定工作，本着“公开、公平、公正、科学、规范、透明、无异议”的原则，由评分裁判员根据评分标准进行评判。</w:t>
      </w:r>
    </w:p>
    <w:p w14:paraId="493DE05A">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2.评分裁判组按模块设置。模块一、模块二各设</w:t>
      </w:r>
      <w:r>
        <w:rPr>
          <w:rFonts w:hint="eastAsia" w:ascii="仿宋_GB2312" w:hAnsi="仿宋_GB2312" w:eastAsia="仿宋_GB2312" w:cs="仿宋_GB2312"/>
          <w:color w:val="auto"/>
          <w:sz w:val="24"/>
          <w:szCs w:val="24"/>
          <w:lang w:val="en-US" w:eastAsia="zh-CN"/>
        </w:rPr>
        <w:t>3个裁判，</w:t>
      </w:r>
      <w:r>
        <w:rPr>
          <w:rFonts w:hint="eastAsia" w:ascii="仿宋_GB2312" w:hAnsi="仿宋_GB2312" w:eastAsia="仿宋_GB2312" w:cs="仿宋_GB2312"/>
          <w:sz w:val="24"/>
          <w:szCs w:val="24"/>
          <w:lang w:val="en-US" w:eastAsia="zh-CN"/>
        </w:rPr>
        <w:t>每名裁判负责对每个赛位的操作规范、现场表现和操作结果评分，独立填写评分表，完成评分工作，并在评分表上签字确认；各队成绩取平均分</w:t>
      </w:r>
      <w:bookmarkStart w:id="2" w:name="_Hlk132317716"/>
      <w:r>
        <w:rPr>
          <w:rFonts w:hint="eastAsia" w:ascii="仿宋_GB2312" w:hAnsi="仿宋_GB2312" w:eastAsia="仿宋_GB2312" w:cs="仿宋_GB2312"/>
          <w:sz w:val="24"/>
          <w:szCs w:val="24"/>
          <w:lang w:val="en-US" w:eastAsia="zh-CN"/>
        </w:rPr>
        <w:t>（保留小数点后两位）计入总成绩</w:t>
      </w:r>
      <w:bookmarkEnd w:id="2"/>
      <w:r>
        <w:rPr>
          <w:rFonts w:hint="eastAsia" w:ascii="仿宋_GB2312" w:hAnsi="仿宋_GB2312" w:eastAsia="仿宋_GB2312" w:cs="仿宋_GB2312"/>
          <w:sz w:val="24"/>
          <w:szCs w:val="24"/>
          <w:lang w:val="en-US" w:eastAsia="zh-CN"/>
        </w:rPr>
        <w:t>。</w:t>
      </w:r>
    </w:p>
    <w:p w14:paraId="14504EA3">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3.参赛选手根据赛卷的要求进行操作。对于需要记录数据和结果的考核点，由选手记录在答题纸中。</w:t>
      </w:r>
    </w:p>
    <w:p w14:paraId="54FF57E3">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4.参赛队成绩由各赛项裁判组统一评定。竞赛只计团体竞赛成绩，不计参赛选手个人成绩。竞赛名次按照得分高低排序，如参赛队最终成绩出现并列，以模块二单项成绩高者胜出。</w:t>
      </w:r>
    </w:p>
    <w:p w14:paraId="0C1BCCD5">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5.在竞赛过程中，参赛选手如有舞弊、不服从裁判判决、扰乱赛场秩序等行为，由现场裁判员按照规定扣减相应分数。竞赛过程中如出现明显导致安全隐患行为，现场裁判员有权终止比赛资格，竞赛成绩记为零分。</w:t>
      </w:r>
    </w:p>
    <w:p w14:paraId="3908A525">
      <w:pPr>
        <w:keepNext w:val="0"/>
        <w:keepLines w:val="0"/>
        <w:pageBreakBefore w:val="0"/>
        <w:widowControl w:val="0"/>
        <w:kinsoku/>
        <w:wordWrap/>
        <w:overflowPunct/>
        <w:topLinePunct w:val="0"/>
        <w:autoSpaceDE/>
        <w:autoSpaceDN/>
        <w:bidi w:val="0"/>
        <w:adjustRightInd w:val="0"/>
        <w:snapToGrid w:val="0"/>
        <w:spacing w:before="157" w:beforeLines="50" w:after="157" w:afterLines="50" w:line="240" w:lineRule="auto"/>
        <w:textAlignment w:val="auto"/>
        <w:outlineLvl w:val="0"/>
        <w:rPr>
          <w:rFonts w:hint="eastAsia" w:ascii="Times New Roman" w:hAnsi="Times New Roman" w:eastAsia="黑体" w:cs="Times New Roman"/>
          <w:sz w:val="24"/>
          <w:szCs w:val="24"/>
        </w:rPr>
      </w:pPr>
      <w:r>
        <w:rPr>
          <w:rFonts w:hint="eastAsia" w:ascii="Times New Roman" w:hAnsi="Times New Roman" w:eastAsia="黑体" w:cs="Times New Roman"/>
          <w:sz w:val="24"/>
          <w:szCs w:val="24"/>
        </w:rPr>
        <w:t>十二、赛场预案</w:t>
      </w:r>
    </w:p>
    <w:p w14:paraId="487C4FBD">
      <w:pPr>
        <w:keepNext w:val="0"/>
        <w:keepLines w:val="0"/>
        <w:pageBreakBefore w:val="0"/>
        <w:widowControl w:val="0"/>
        <w:kinsoku/>
        <w:wordWrap/>
        <w:overflowPunct/>
        <w:topLinePunct w:val="0"/>
        <w:autoSpaceDE/>
        <w:autoSpaceDN/>
        <w:bidi w:val="0"/>
        <w:adjustRightInd w:val="0"/>
        <w:snapToGrid w:val="0"/>
        <w:spacing w:before="157" w:beforeLines="50" w:after="157" w:afterLines="50" w:line="240" w:lineRule="auto"/>
        <w:ind w:firstLine="482" w:firstLineChars="200"/>
        <w:textAlignment w:val="auto"/>
        <w:outlineLvl w:val="1"/>
        <w:rPr>
          <w:rFonts w:hint="eastAsia" w:ascii="仿宋_GB2312" w:hAnsi="仿宋_GB2312" w:eastAsia="仿宋_GB2312" w:cs="仿宋_GB2312"/>
          <w:b/>
          <w:bCs/>
          <w:color w:val="auto"/>
          <w:sz w:val="24"/>
          <w:szCs w:val="28"/>
          <w:highlight w:val="none"/>
        </w:rPr>
      </w:pPr>
      <w:r>
        <w:rPr>
          <w:rFonts w:hint="eastAsia" w:ascii="仿宋_GB2312" w:hAnsi="仿宋_GB2312" w:eastAsia="仿宋_GB2312" w:cs="仿宋_GB2312"/>
          <w:b/>
          <w:bCs/>
          <w:color w:val="auto"/>
          <w:sz w:val="24"/>
          <w:szCs w:val="28"/>
          <w:highlight w:val="none"/>
          <w:lang w:val="en-US" w:eastAsia="zh-CN"/>
        </w:rPr>
        <w:t>（一）总体预案</w:t>
      </w:r>
    </w:p>
    <w:p w14:paraId="631E97C9">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_GB2312" w:hAnsi="仿宋_GB2312" w:eastAsia="仿宋_GB2312" w:cs="仿宋_GB2312"/>
          <w:sz w:val="24"/>
          <w:szCs w:val="24"/>
          <w:lang w:val="en-US" w:eastAsia="zh-CN"/>
        </w:rPr>
      </w:pPr>
      <w:r>
        <w:rPr>
          <w:rFonts w:hint="default" w:ascii="仿宋_GB2312" w:hAnsi="仿宋_GB2312" w:eastAsia="仿宋_GB2312" w:cs="仿宋_GB2312"/>
          <w:sz w:val="24"/>
          <w:szCs w:val="24"/>
          <w:lang w:val="en-US" w:eastAsia="zh-CN"/>
        </w:rPr>
        <w:t>1.</w:t>
      </w:r>
      <w:r>
        <w:rPr>
          <w:rFonts w:hint="eastAsia" w:ascii="仿宋_GB2312" w:hAnsi="仿宋_GB2312" w:eastAsia="仿宋_GB2312" w:cs="仿宋_GB2312"/>
          <w:sz w:val="24"/>
          <w:szCs w:val="24"/>
          <w:lang w:val="en-US" w:eastAsia="zh-CN"/>
        </w:rPr>
        <w:t>赛场周围设学生志愿者维持秩序，所有参赛人员必须凭身份证、学生证和报名表等有效证件进入场地，防止无关人员进入发生意外事件。比赛当天赛场管理的关键岗位，增加安保力量。</w:t>
      </w:r>
    </w:p>
    <w:p w14:paraId="3CBDF4C4">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_GB2312" w:hAnsi="仿宋_GB2312" w:eastAsia="仿宋_GB2312" w:cs="仿宋_GB2312"/>
          <w:sz w:val="24"/>
          <w:szCs w:val="24"/>
          <w:lang w:val="en-US" w:eastAsia="zh-CN"/>
        </w:rPr>
      </w:pPr>
      <w:r>
        <w:rPr>
          <w:rFonts w:hint="default" w:ascii="仿宋_GB2312" w:hAnsi="仿宋_GB2312" w:eastAsia="仿宋_GB2312" w:cs="仿宋_GB2312"/>
          <w:sz w:val="24"/>
          <w:szCs w:val="24"/>
          <w:lang w:val="en-US" w:eastAsia="zh-CN"/>
        </w:rPr>
        <w:t>2.</w:t>
      </w:r>
      <w:r>
        <w:rPr>
          <w:rFonts w:hint="eastAsia" w:ascii="仿宋_GB2312" w:hAnsi="仿宋_GB2312" w:eastAsia="仿宋_GB2312" w:cs="仿宋_GB2312"/>
          <w:sz w:val="24"/>
          <w:szCs w:val="24"/>
          <w:lang w:val="en-US" w:eastAsia="zh-CN"/>
        </w:rPr>
        <w:t>制定赛场的人员疏导方案。赛场环境中存在人员密集、车流人流交错的区域，除了设置齐全的指示标志外，须增加引导人员，并开辟备用通道。</w:t>
      </w:r>
    </w:p>
    <w:p w14:paraId="5875F9AC">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_GB2312" w:hAnsi="仿宋_GB2312" w:eastAsia="仿宋_GB2312" w:cs="仿宋_GB2312"/>
          <w:sz w:val="24"/>
          <w:szCs w:val="24"/>
          <w:lang w:val="en-US" w:eastAsia="zh-CN"/>
        </w:rPr>
      </w:pPr>
      <w:r>
        <w:rPr>
          <w:rFonts w:hint="default" w:ascii="仿宋_GB2312" w:hAnsi="仿宋_GB2312" w:eastAsia="仿宋_GB2312" w:cs="仿宋_GB2312"/>
          <w:sz w:val="24"/>
          <w:szCs w:val="24"/>
          <w:lang w:val="en-US" w:eastAsia="zh-CN"/>
        </w:rPr>
        <w:t>3.</w:t>
      </w:r>
      <w:r>
        <w:rPr>
          <w:rFonts w:hint="eastAsia" w:ascii="仿宋_GB2312" w:hAnsi="仿宋_GB2312" w:eastAsia="仿宋_GB2312" w:cs="仿宋_GB2312"/>
          <w:sz w:val="24"/>
          <w:szCs w:val="24"/>
          <w:lang w:val="en-US" w:eastAsia="zh-CN"/>
        </w:rPr>
        <w:t>赛场提供参赛选手休息教室。如因特殊原因造成竞赛无法按时进行，竞赛时间将根据实际情况顺延，保证各参赛队均在相同时间内完成竞赛。</w:t>
      </w:r>
    </w:p>
    <w:p w14:paraId="306A8B6F">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_GB2312" w:hAnsi="仿宋_GB2312" w:eastAsia="仿宋_GB2312" w:cs="仿宋_GB2312"/>
          <w:sz w:val="24"/>
          <w:szCs w:val="24"/>
          <w:lang w:val="en-US" w:eastAsia="zh-CN"/>
        </w:rPr>
      </w:pPr>
      <w:r>
        <w:rPr>
          <w:rFonts w:hint="default" w:ascii="仿宋_GB2312" w:hAnsi="仿宋_GB2312" w:eastAsia="仿宋_GB2312" w:cs="仿宋_GB2312"/>
          <w:sz w:val="24"/>
          <w:szCs w:val="24"/>
          <w:lang w:val="en-US" w:eastAsia="zh-CN"/>
        </w:rPr>
        <w:t>4.</w:t>
      </w:r>
      <w:r>
        <w:rPr>
          <w:rFonts w:hint="eastAsia" w:ascii="仿宋_GB2312" w:hAnsi="仿宋_GB2312" w:eastAsia="仿宋_GB2312" w:cs="仿宋_GB2312"/>
          <w:sz w:val="24"/>
          <w:szCs w:val="24"/>
          <w:lang w:val="en-US" w:eastAsia="zh-CN"/>
        </w:rPr>
        <w:t>赛场准备备用海图、图书、作业工具及仪器设备及软件。竞赛过程中，若仪器发生故障，参赛队员须向当值裁判员报告，由仪器厂商工程师到现场检查，工程师确认仪器有故障、且经现场当值裁判员认可后可以更换重测。若仪器无故障，工程师检查仪器的时间计入竞赛时间。</w:t>
      </w:r>
    </w:p>
    <w:p w14:paraId="753967B7">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_GB2312" w:hAnsi="仿宋_GB2312" w:eastAsia="仿宋_GB2312" w:cs="仿宋_GB2312"/>
          <w:sz w:val="24"/>
          <w:szCs w:val="24"/>
          <w:lang w:val="en-US" w:eastAsia="zh-CN"/>
        </w:rPr>
      </w:pPr>
      <w:r>
        <w:rPr>
          <w:rFonts w:hint="default" w:ascii="仿宋_GB2312" w:hAnsi="仿宋_GB2312" w:eastAsia="仿宋_GB2312" w:cs="仿宋_GB2312"/>
          <w:sz w:val="24"/>
          <w:szCs w:val="24"/>
          <w:lang w:val="en-US" w:eastAsia="zh-CN"/>
        </w:rPr>
        <w:t>5.</w:t>
      </w:r>
      <w:r>
        <w:rPr>
          <w:rFonts w:hint="eastAsia" w:ascii="仿宋_GB2312" w:hAnsi="仿宋_GB2312" w:eastAsia="仿宋_GB2312" w:cs="仿宋_GB2312"/>
          <w:sz w:val="24"/>
          <w:szCs w:val="24"/>
          <w:lang w:val="en-US" w:eastAsia="zh-CN"/>
        </w:rPr>
        <w:t>赛项采取切实有效措施保证大赛期间参赛选手、指导教师、裁判员、工作人员及观众的人身安全。</w:t>
      </w:r>
    </w:p>
    <w:p w14:paraId="68BBE254">
      <w:pPr>
        <w:keepNext w:val="0"/>
        <w:keepLines w:val="0"/>
        <w:pageBreakBefore w:val="0"/>
        <w:widowControl w:val="0"/>
        <w:kinsoku/>
        <w:wordWrap/>
        <w:overflowPunct/>
        <w:topLinePunct w:val="0"/>
        <w:autoSpaceDE/>
        <w:autoSpaceDN/>
        <w:bidi w:val="0"/>
        <w:adjustRightInd w:val="0"/>
        <w:snapToGrid w:val="0"/>
        <w:spacing w:before="157" w:beforeLines="50" w:after="157" w:afterLines="50" w:line="240" w:lineRule="auto"/>
        <w:ind w:firstLine="482" w:firstLineChars="200"/>
        <w:textAlignment w:val="auto"/>
        <w:outlineLvl w:val="1"/>
        <w:rPr>
          <w:rFonts w:hint="eastAsia" w:ascii="仿宋_GB2312" w:hAnsi="仿宋_GB2312" w:eastAsia="仿宋_GB2312" w:cs="仿宋_GB2312"/>
          <w:b/>
          <w:bCs/>
          <w:color w:val="auto"/>
          <w:sz w:val="24"/>
          <w:szCs w:val="28"/>
          <w:highlight w:val="none"/>
        </w:rPr>
      </w:pPr>
      <w:r>
        <w:rPr>
          <w:rFonts w:hint="eastAsia" w:ascii="仿宋_GB2312" w:hAnsi="仿宋_GB2312" w:eastAsia="仿宋_GB2312" w:cs="仿宋_GB2312"/>
          <w:b/>
          <w:bCs/>
          <w:color w:val="auto"/>
          <w:sz w:val="24"/>
          <w:szCs w:val="28"/>
          <w:highlight w:val="none"/>
          <w:lang w:val="en-US" w:eastAsia="zh-CN"/>
        </w:rPr>
        <w:t>（二）供电保障预案</w:t>
      </w:r>
    </w:p>
    <w:p w14:paraId="6FA5C047">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_GB2312" w:hAnsi="仿宋_GB2312" w:eastAsia="仿宋_GB2312" w:cs="仿宋_GB2312"/>
          <w:sz w:val="24"/>
          <w:szCs w:val="24"/>
          <w:lang w:val="en-US" w:eastAsia="zh-CN"/>
        </w:rPr>
      </w:pPr>
      <w:r>
        <w:rPr>
          <w:rFonts w:hint="default" w:ascii="仿宋_GB2312" w:hAnsi="仿宋_GB2312" w:eastAsia="仿宋_GB2312" w:cs="仿宋_GB2312"/>
          <w:sz w:val="24"/>
          <w:szCs w:val="24"/>
          <w:lang w:val="en-US" w:eastAsia="zh-CN"/>
        </w:rPr>
        <w:t>1.</w:t>
      </w:r>
      <w:r>
        <w:rPr>
          <w:rFonts w:hint="eastAsia" w:ascii="仿宋_GB2312" w:hAnsi="仿宋_GB2312" w:eastAsia="仿宋_GB2312" w:cs="仿宋_GB2312"/>
          <w:sz w:val="24"/>
          <w:szCs w:val="24"/>
          <w:lang w:val="en-US" w:eastAsia="zh-CN"/>
        </w:rPr>
        <w:t>承办单位事先协调当地供电部门，保证竞赛当天的正常供电；赛场双路供电，备用</w:t>
      </w:r>
      <w:r>
        <w:rPr>
          <w:rFonts w:hint="default" w:ascii="仿宋_GB2312" w:hAnsi="仿宋_GB2312" w:eastAsia="仿宋_GB2312" w:cs="仿宋_GB2312"/>
          <w:sz w:val="24"/>
          <w:szCs w:val="24"/>
          <w:lang w:val="en-US" w:eastAsia="zh-CN"/>
        </w:rPr>
        <w:t>UPS</w:t>
      </w:r>
      <w:r>
        <w:rPr>
          <w:rFonts w:hint="eastAsia" w:ascii="仿宋_GB2312" w:hAnsi="仿宋_GB2312" w:eastAsia="仿宋_GB2312" w:cs="仿宋_GB2312"/>
          <w:sz w:val="24"/>
          <w:szCs w:val="24"/>
          <w:lang w:val="en-US" w:eastAsia="zh-CN"/>
        </w:rPr>
        <w:t>，双保障，以保证赛场的正常供电。</w:t>
      </w:r>
    </w:p>
    <w:p w14:paraId="107CECBF">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_GB2312" w:hAnsi="仿宋_GB2312" w:eastAsia="仿宋_GB2312" w:cs="仿宋_GB2312"/>
          <w:sz w:val="24"/>
          <w:szCs w:val="24"/>
          <w:lang w:val="en-US" w:eastAsia="zh-CN"/>
        </w:rPr>
      </w:pPr>
      <w:r>
        <w:rPr>
          <w:rFonts w:hint="default" w:ascii="仿宋_GB2312" w:hAnsi="仿宋_GB2312" w:eastAsia="仿宋_GB2312" w:cs="仿宋_GB2312"/>
          <w:sz w:val="24"/>
          <w:szCs w:val="24"/>
          <w:lang w:val="en-US" w:eastAsia="zh-CN"/>
        </w:rPr>
        <w:t>2.</w:t>
      </w:r>
      <w:r>
        <w:rPr>
          <w:rFonts w:hint="eastAsia" w:ascii="仿宋_GB2312" w:hAnsi="仿宋_GB2312" w:eastAsia="仿宋_GB2312" w:cs="仿宋_GB2312"/>
          <w:sz w:val="24"/>
          <w:szCs w:val="24"/>
          <w:lang w:val="en-US" w:eastAsia="zh-CN"/>
        </w:rPr>
        <w:t>现场裁判按照实际竞赛用时计时，并对现场情况进行记录。</w:t>
      </w:r>
    </w:p>
    <w:p w14:paraId="7965ABFC">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_GB2312" w:hAnsi="仿宋_GB2312" w:eastAsia="仿宋_GB2312" w:cs="仿宋_GB2312"/>
          <w:sz w:val="24"/>
          <w:szCs w:val="24"/>
          <w:lang w:val="en-US" w:eastAsia="zh-CN"/>
        </w:rPr>
      </w:pPr>
      <w:r>
        <w:rPr>
          <w:rFonts w:hint="default" w:ascii="仿宋_GB2312" w:hAnsi="仿宋_GB2312" w:eastAsia="仿宋_GB2312" w:cs="仿宋_GB2312"/>
          <w:sz w:val="24"/>
          <w:szCs w:val="24"/>
          <w:lang w:val="en-US" w:eastAsia="zh-CN"/>
        </w:rPr>
        <w:t>3.</w:t>
      </w:r>
      <w:r>
        <w:rPr>
          <w:rFonts w:hint="eastAsia" w:ascii="仿宋_GB2312" w:hAnsi="仿宋_GB2312" w:eastAsia="仿宋_GB2312" w:cs="仿宋_GB2312"/>
          <w:sz w:val="24"/>
          <w:szCs w:val="24"/>
          <w:lang w:val="en-US" w:eastAsia="zh-CN"/>
        </w:rPr>
        <w:t>赛场布置，做好用电安全的措施。</w:t>
      </w:r>
    </w:p>
    <w:p w14:paraId="141CAB2B">
      <w:pPr>
        <w:keepNext w:val="0"/>
        <w:keepLines w:val="0"/>
        <w:pageBreakBefore w:val="0"/>
        <w:widowControl w:val="0"/>
        <w:kinsoku/>
        <w:wordWrap/>
        <w:overflowPunct/>
        <w:topLinePunct w:val="0"/>
        <w:autoSpaceDE/>
        <w:autoSpaceDN/>
        <w:bidi w:val="0"/>
        <w:adjustRightInd w:val="0"/>
        <w:snapToGrid w:val="0"/>
        <w:spacing w:before="157" w:beforeLines="50" w:after="157" w:afterLines="50" w:line="240" w:lineRule="auto"/>
        <w:ind w:firstLine="482" w:firstLineChars="200"/>
        <w:textAlignment w:val="auto"/>
        <w:outlineLvl w:val="1"/>
        <w:rPr>
          <w:rFonts w:hint="eastAsia" w:ascii="仿宋_GB2312" w:hAnsi="仿宋_GB2312" w:eastAsia="仿宋_GB2312" w:cs="仿宋_GB2312"/>
          <w:b/>
          <w:bCs/>
          <w:color w:val="auto"/>
          <w:sz w:val="24"/>
          <w:szCs w:val="28"/>
          <w:highlight w:val="none"/>
        </w:rPr>
      </w:pPr>
      <w:r>
        <w:rPr>
          <w:rFonts w:hint="eastAsia" w:ascii="仿宋_GB2312" w:hAnsi="仿宋_GB2312" w:eastAsia="仿宋_GB2312" w:cs="仿宋_GB2312"/>
          <w:b/>
          <w:bCs/>
          <w:color w:val="auto"/>
          <w:sz w:val="24"/>
          <w:szCs w:val="28"/>
          <w:highlight w:val="none"/>
          <w:lang w:val="en-US" w:eastAsia="zh-CN"/>
        </w:rPr>
        <w:t>（三）医疗及安全预案</w:t>
      </w:r>
    </w:p>
    <w:p w14:paraId="5D45D1BC">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_GB2312" w:hAnsi="仿宋_GB2312" w:eastAsia="仿宋_GB2312" w:cs="仿宋_GB2312"/>
          <w:sz w:val="24"/>
          <w:szCs w:val="24"/>
          <w:lang w:val="en-US" w:eastAsia="zh-CN"/>
        </w:rPr>
      </w:pPr>
      <w:r>
        <w:rPr>
          <w:rFonts w:hint="default" w:ascii="仿宋_GB2312" w:hAnsi="仿宋_GB2312" w:eastAsia="仿宋_GB2312" w:cs="仿宋_GB2312"/>
          <w:sz w:val="24"/>
          <w:szCs w:val="24"/>
          <w:lang w:val="en-US" w:eastAsia="zh-CN"/>
        </w:rPr>
        <w:t>1.</w:t>
      </w:r>
      <w:r>
        <w:rPr>
          <w:rFonts w:hint="eastAsia" w:ascii="仿宋_GB2312" w:hAnsi="仿宋_GB2312" w:eastAsia="仿宋_GB2312" w:cs="仿宋_GB2312"/>
          <w:sz w:val="24"/>
          <w:szCs w:val="24"/>
          <w:lang w:val="en-US" w:eastAsia="zh-CN"/>
        </w:rPr>
        <w:t>赛场内设置医疗救护区，竞赛期间，安排医生随时处理突发的医疗事件。</w:t>
      </w:r>
    </w:p>
    <w:p w14:paraId="42D2A3BD">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_GB2312" w:hAnsi="仿宋_GB2312" w:eastAsia="仿宋_GB2312" w:cs="仿宋_GB2312"/>
          <w:sz w:val="24"/>
          <w:szCs w:val="24"/>
          <w:lang w:val="en-US" w:eastAsia="zh-CN"/>
        </w:rPr>
      </w:pPr>
      <w:r>
        <w:rPr>
          <w:rFonts w:hint="default" w:ascii="仿宋_GB2312" w:hAnsi="仿宋_GB2312" w:eastAsia="仿宋_GB2312" w:cs="仿宋_GB2312"/>
          <w:sz w:val="24"/>
          <w:szCs w:val="24"/>
          <w:lang w:val="en-US" w:eastAsia="zh-CN"/>
        </w:rPr>
        <w:t>2.</w:t>
      </w:r>
      <w:r>
        <w:rPr>
          <w:rFonts w:hint="eastAsia" w:ascii="仿宋_GB2312" w:hAnsi="仿宋_GB2312" w:eastAsia="仿宋_GB2312" w:cs="仿宋_GB2312"/>
          <w:sz w:val="24"/>
          <w:szCs w:val="24"/>
          <w:lang w:val="en-US" w:eastAsia="zh-CN"/>
        </w:rPr>
        <w:t>比赛期间发生意外事故和安全问题，发现者应第一时间报告赛项执委会，赛项执委会应采取中止比赛、快速疏散人群等措施避免事态扩大，并第一时间报告海南科技职业大学大赛办公室。</w:t>
      </w:r>
    </w:p>
    <w:p w14:paraId="40B7B89B">
      <w:pPr>
        <w:keepNext w:val="0"/>
        <w:keepLines w:val="0"/>
        <w:pageBreakBefore w:val="0"/>
        <w:widowControl w:val="0"/>
        <w:kinsoku/>
        <w:wordWrap/>
        <w:overflowPunct/>
        <w:topLinePunct w:val="0"/>
        <w:autoSpaceDE/>
        <w:autoSpaceDN/>
        <w:bidi w:val="0"/>
        <w:adjustRightInd w:val="0"/>
        <w:snapToGrid w:val="0"/>
        <w:spacing w:before="157" w:beforeLines="50" w:after="157" w:afterLines="50" w:line="240" w:lineRule="auto"/>
        <w:textAlignment w:val="auto"/>
        <w:outlineLvl w:val="0"/>
        <w:rPr>
          <w:rFonts w:hint="eastAsia" w:ascii="Times New Roman" w:hAnsi="Times New Roman" w:eastAsia="黑体" w:cs="Times New Roman"/>
          <w:sz w:val="24"/>
          <w:szCs w:val="24"/>
        </w:rPr>
      </w:pPr>
      <w:r>
        <w:rPr>
          <w:rFonts w:hint="eastAsia" w:ascii="Times New Roman" w:hAnsi="Times New Roman" w:eastAsia="黑体" w:cs="Times New Roman"/>
          <w:sz w:val="24"/>
          <w:szCs w:val="24"/>
        </w:rPr>
        <w:t>十三、申诉与仲裁</w:t>
      </w:r>
    </w:p>
    <w:p w14:paraId="51ED72A9">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大赛采取二级仲裁机制。各赛项设赛项仲裁工作组，大赛执委会设仲裁委员会。各参赛队对不符合大赛和赛项规程规定的仪器、设备、工装、材料、物件、计算机软硬件、竞赛使用工具、用品，竞赛执裁、赛场管理，以及工作人员的不规范行为等，可向赛项仲裁工作组提出申诉。申诉主体为参赛队领队。申诉启动时，领队向赛项仲裁工作组递交亲笔签字同意的书面申诉报告。申诉报告应对申诉事件的现象、发生时间、涉及人员、申诉依据等进行充分、实事求是地叙述。非书面申诉不予受理。</w:t>
      </w:r>
    </w:p>
    <w:p w14:paraId="39B31AF4">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提出申诉的时间应在竞赛结束后（选手赛场竞赛内容全部完成）2小时内，超过时效不予受理。赛项仲裁工作组在接到申诉报告后的2小时内组织复议，并及时将复议结果以书面形式告知申诉方。申诉方对复议结果仍有异议，可由高职院校领队向仲裁委员会提出申诉。仲裁委员会的仲裁结果为最终结果。申诉方可随时提出放弃申诉。</w:t>
      </w:r>
    </w:p>
    <w:p w14:paraId="5CB92495">
      <w:pPr>
        <w:keepNext w:val="0"/>
        <w:keepLines w:val="0"/>
        <w:pageBreakBefore w:val="0"/>
        <w:widowControl w:val="0"/>
        <w:kinsoku/>
        <w:wordWrap/>
        <w:overflowPunct/>
        <w:topLinePunct w:val="0"/>
        <w:autoSpaceDE/>
        <w:autoSpaceDN/>
        <w:bidi w:val="0"/>
        <w:adjustRightInd w:val="0"/>
        <w:snapToGrid w:val="0"/>
        <w:spacing w:before="157" w:beforeLines="50" w:after="157" w:afterLines="50" w:line="240" w:lineRule="auto"/>
        <w:textAlignment w:val="auto"/>
        <w:outlineLvl w:val="0"/>
        <w:rPr>
          <w:rFonts w:hint="eastAsia" w:ascii="Times New Roman" w:hAnsi="Times New Roman" w:eastAsia="黑体" w:cs="Times New Roman"/>
          <w:sz w:val="24"/>
          <w:szCs w:val="24"/>
        </w:rPr>
      </w:pPr>
      <w:r>
        <w:rPr>
          <w:rFonts w:hint="eastAsia" w:ascii="Times New Roman" w:hAnsi="Times New Roman" w:eastAsia="黑体" w:cs="Times New Roman"/>
          <w:sz w:val="24"/>
          <w:szCs w:val="24"/>
        </w:rPr>
        <w:t>十四、竞赛观摩</w:t>
      </w:r>
    </w:p>
    <w:p w14:paraId="30A22C91">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说明本赛项公开观摩的对象、时间与形式，结合本赛项的特点提出观摩时应遵守的纪律等要求。</w:t>
      </w:r>
    </w:p>
    <w:p w14:paraId="1FA2D1CC">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赛场内设定观摩区域，向媒体、企业代表、院校师生等社会公众开放，不允许有大声喧哗等影响参赛选手竞赛的行为发生。指导教师不能进入赛场内指导，可以在观摩区观摩。赛场外设立展览展示区域，设专人接待讲解。为保障大赛顺利进行，在观摩期间应遵循以下原则：</w:t>
      </w:r>
    </w:p>
    <w:p w14:paraId="7BC3F8F3">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1.除与竞赛直接有关工作人员、裁判员、参赛选手外，其余人员均为观摩观众。</w:t>
      </w:r>
    </w:p>
    <w:p w14:paraId="381FF094">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2.请勿在选手准备或比赛中交谈或欢呼；请勿对选手打手势，包括哑语沟通等明示、暗示行为，禁止鼓掌喝彩等发出声音的行为。</w:t>
      </w:r>
    </w:p>
    <w:p w14:paraId="100C5F67">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3.请勿在观摩区内使用相机、摄像机等一切对比赛正常进行造成干扰的带有闪光灯及快门音的设备。</w:t>
      </w:r>
    </w:p>
    <w:p w14:paraId="663A030C">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4.不得违反海南省职业院校技能大赛规定的各项纪律。请站在规划的观摩区内观看比赛，并遵循赛场内工作人员和竞赛裁判人员的指挥，不得有围攻裁判员、选手或者其他工作的人员的行为。</w:t>
      </w:r>
    </w:p>
    <w:p w14:paraId="4F7A8082">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5.观摩期间，严重违纪者除本人被逐出观摩区外，还将视情况严重程度对所在代表队选手的成绩进行扣分直至取消比赛资格。</w:t>
      </w:r>
    </w:p>
    <w:p w14:paraId="1E9BA91C">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6.如果对裁判裁决产生质疑的，请通过各参赛队领队向赛项仲裁组提出，不得在赛场观摩区现场发言。</w:t>
      </w:r>
    </w:p>
    <w:p w14:paraId="1F54E82B">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7.保持观摩区整洁，所有个人产生的废弃物由个人全部带出，严禁在观摩区吸烟。</w:t>
      </w:r>
    </w:p>
    <w:p w14:paraId="51E3B835">
      <w:pPr>
        <w:keepNext w:val="0"/>
        <w:keepLines w:val="0"/>
        <w:pageBreakBefore w:val="0"/>
        <w:widowControl w:val="0"/>
        <w:kinsoku/>
        <w:wordWrap/>
        <w:overflowPunct/>
        <w:topLinePunct w:val="0"/>
        <w:autoSpaceDE/>
        <w:autoSpaceDN/>
        <w:bidi w:val="0"/>
        <w:adjustRightInd w:val="0"/>
        <w:snapToGrid w:val="0"/>
        <w:spacing w:before="157" w:beforeLines="50" w:after="157" w:afterLines="50" w:line="240" w:lineRule="auto"/>
        <w:textAlignment w:val="auto"/>
        <w:outlineLvl w:val="0"/>
        <w:rPr>
          <w:rFonts w:hint="eastAsia" w:ascii="Times New Roman" w:hAnsi="Times New Roman" w:eastAsia="黑体" w:cs="Times New Roman"/>
          <w:sz w:val="24"/>
          <w:szCs w:val="24"/>
        </w:rPr>
      </w:pPr>
      <w:r>
        <w:rPr>
          <w:rFonts w:hint="eastAsia" w:ascii="Times New Roman" w:hAnsi="Times New Roman" w:eastAsia="黑体" w:cs="Times New Roman"/>
          <w:sz w:val="24"/>
          <w:szCs w:val="24"/>
        </w:rPr>
        <w:t>十</w:t>
      </w:r>
      <w:r>
        <w:rPr>
          <w:rFonts w:hint="eastAsia" w:eastAsia="黑体" w:cs="Times New Roman"/>
          <w:sz w:val="24"/>
          <w:szCs w:val="24"/>
          <w:lang w:val="en-US" w:eastAsia="zh-CN"/>
        </w:rPr>
        <w:t>五</w:t>
      </w:r>
      <w:r>
        <w:rPr>
          <w:rFonts w:hint="eastAsia" w:ascii="Times New Roman" w:hAnsi="Times New Roman" w:eastAsia="黑体" w:cs="Times New Roman"/>
          <w:sz w:val="24"/>
          <w:szCs w:val="24"/>
        </w:rPr>
        <w:t>、竞赛须知</w:t>
      </w:r>
    </w:p>
    <w:p w14:paraId="59D21CF5">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分别阐述本赛项参赛队、指导教师、参赛选手、工作人员等应重点注意的事项。对参赛队重点说明参赛学生是否需要购买保险，对指导教师重点说明带队和指导要求，对参赛选手重点说明比赛纪律和仪表仪容，对工作人员重点说明工作规范和纪律等。</w:t>
      </w:r>
    </w:p>
    <w:p w14:paraId="5137451B">
      <w:pPr>
        <w:keepNext w:val="0"/>
        <w:keepLines w:val="0"/>
        <w:pageBreakBefore w:val="0"/>
        <w:widowControl w:val="0"/>
        <w:kinsoku/>
        <w:wordWrap/>
        <w:overflowPunct/>
        <w:topLinePunct w:val="0"/>
        <w:autoSpaceDE/>
        <w:autoSpaceDN/>
        <w:bidi w:val="0"/>
        <w:adjustRightInd w:val="0"/>
        <w:snapToGrid w:val="0"/>
        <w:spacing w:before="157" w:beforeLines="50" w:after="157" w:afterLines="50" w:line="240" w:lineRule="auto"/>
        <w:ind w:firstLine="482" w:firstLineChars="200"/>
        <w:textAlignment w:val="auto"/>
        <w:outlineLvl w:val="1"/>
        <w:rPr>
          <w:rFonts w:hint="eastAsia" w:ascii="仿宋_GB2312" w:hAnsi="仿宋_GB2312" w:eastAsia="仿宋_GB2312" w:cs="仿宋_GB2312"/>
          <w:b/>
          <w:bCs/>
          <w:color w:val="auto"/>
          <w:sz w:val="24"/>
          <w:szCs w:val="28"/>
          <w:highlight w:val="none"/>
          <w:lang w:val="en-US" w:eastAsia="zh-CN"/>
        </w:rPr>
      </w:pPr>
      <w:r>
        <w:rPr>
          <w:rFonts w:hint="eastAsia" w:ascii="仿宋_GB2312" w:hAnsi="仿宋_GB2312" w:eastAsia="仿宋_GB2312" w:cs="仿宋_GB2312"/>
          <w:b/>
          <w:bCs/>
          <w:color w:val="auto"/>
          <w:sz w:val="24"/>
          <w:szCs w:val="28"/>
          <w:highlight w:val="none"/>
          <w:lang w:val="en-US" w:eastAsia="zh-CN"/>
        </w:rPr>
        <w:t>（一）参赛队须知</w:t>
      </w:r>
    </w:p>
    <w:p w14:paraId="1D93DB83">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1.参赛队名称统一使用规定的地区代表队名称，不使用学校或其他组织、团体名称。</w:t>
      </w:r>
    </w:p>
    <w:p w14:paraId="684577C6">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2.参赛队员在报名获得审核确认后，原则上不再更换，如筹备过程中，队员因故不能参赛，所在学校需出具书面说明并按相关规定补充人员并接受审核；竞赛开始后，参赛队不得更换参赛队员。</w:t>
      </w:r>
    </w:p>
    <w:p w14:paraId="18117EB1">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3.竞赛前指定一名领队或指导教师抽签，确定竞赛顺序、出场竞赛等。</w:t>
      </w:r>
    </w:p>
    <w:p w14:paraId="2247C7D6">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4.比赛前30分钟参赛选手进入赛场候赛区。</w:t>
      </w:r>
    </w:p>
    <w:p w14:paraId="7067EEFB">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5.参赛队按照大赛规程凭借身份证和学生证参加竞赛及相关活动。</w:t>
      </w:r>
    </w:p>
    <w:p w14:paraId="5A7EA095">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6.参赛队应做好安全、疫情防控措施，保证大赛期间选手、指导教师和工作人员的人身安全，须为选手购买大赛期间的人身意外伤害保险。参赛队员统一着装，须符合安全生产及竞赛要求。</w:t>
      </w:r>
    </w:p>
    <w:p w14:paraId="6AE9A289">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7.参赛队统一使用赛场提供的竞赛设备、仪器、计算器等。</w:t>
      </w:r>
    </w:p>
    <w:p w14:paraId="20975DAA">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8.如在竞赛过程中出现特殊情况，由各代表队与现场工作人员协调联系和反映，不得以任何理由中断竞赛或中途带选手退场。</w:t>
      </w:r>
    </w:p>
    <w:p w14:paraId="5CCEB90E">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9.各参赛队必须按操作规程要求竞赛，在竞赛过程中不按操作要求，出现人为损坏赛项提供的设备情况，由参赛队照价赔偿。</w:t>
      </w:r>
    </w:p>
    <w:p w14:paraId="5DD281DB">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10.本竞赛项目的解释权归赛项执委会。</w:t>
      </w:r>
    </w:p>
    <w:p w14:paraId="14B664B6">
      <w:pPr>
        <w:keepNext w:val="0"/>
        <w:keepLines w:val="0"/>
        <w:pageBreakBefore w:val="0"/>
        <w:widowControl w:val="0"/>
        <w:kinsoku/>
        <w:wordWrap/>
        <w:overflowPunct/>
        <w:topLinePunct w:val="0"/>
        <w:autoSpaceDE/>
        <w:autoSpaceDN/>
        <w:bidi w:val="0"/>
        <w:adjustRightInd w:val="0"/>
        <w:snapToGrid w:val="0"/>
        <w:spacing w:before="157" w:beforeLines="50" w:after="157" w:afterLines="50" w:line="240" w:lineRule="auto"/>
        <w:ind w:firstLine="482" w:firstLineChars="200"/>
        <w:textAlignment w:val="auto"/>
        <w:outlineLvl w:val="1"/>
        <w:rPr>
          <w:rFonts w:hint="eastAsia" w:ascii="仿宋_GB2312" w:hAnsi="仿宋_GB2312" w:eastAsia="仿宋_GB2312" w:cs="仿宋_GB2312"/>
          <w:b/>
          <w:bCs/>
          <w:color w:val="auto"/>
          <w:sz w:val="24"/>
          <w:szCs w:val="28"/>
          <w:highlight w:val="none"/>
          <w:lang w:val="en-US" w:eastAsia="zh-CN"/>
        </w:rPr>
      </w:pPr>
      <w:r>
        <w:rPr>
          <w:rFonts w:hint="eastAsia" w:ascii="仿宋_GB2312" w:hAnsi="仿宋_GB2312" w:eastAsia="仿宋_GB2312" w:cs="仿宋_GB2312"/>
          <w:b/>
          <w:bCs/>
          <w:color w:val="auto"/>
          <w:sz w:val="24"/>
          <w:szCs w:val="28"/>
          <w:highlight w:val="none"/>
          <w:lang w:val="en-US" w:eastAsia="zh-CN"/>
        </w:rPr>
        <w:t>（二）指导教师须知</w:t>
      </w:r>
    </w:p>
    <w:p w14:paraId="3A02C60B">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1.每个参赛队最多可配指导教师2名，指导教师经报名、审核后确定，一经确定不得更换，允许指导教师缺席竞赛。</w:t>
      </w:r>
    </w:p>
    <w:p w14:paraId="52301F25">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2.严格遵守赛场规章制度。</w:t>
      </w:r>
    </w:p>
    <w:p w14:paraId="25ED72AD">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3.指导教师应自觉遵守竞赛规则，不得进入赛场指导选手完成工作任务。</w:t>
      </w:r>
    </w:p>
    <w:p w14:paraId="67AAC91D">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4.指导教师应按时参加组织的相关会议。</w:t>
      </w:r>
    </w:p>
    <w:p w14:paraId="6D953A8F">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5.指导教师要做好本队参赛选手的有关组织工作，督促选手按组委会制定时间和地点报到；做好选手的后勤保障、安全工作，自觉维护赛场秩序。</w:t>
      </w:r>
    </w:p>
    <w:p w14:paraId="7D40F486">
      <w:pPr>
        <w:keepNext w:val="0"/>
        <w:keepLines w:val="0"/>
        <w:pageBreakBefore w:val="0"/>
        <w:widowControl w:val="0"/>
        <w:kinsoku/>
        <w:wordWrap/>
        <w:overflowPunct/>
        <w:topLinePunct w:val="0"/>
        <w:autoSpaceDE/>
        <w:autoSpaceDN/>
        <w:bidi w:val="0"/>
        <w:adjustRightInd w:val="0"/>
        <w:snapToGrid w:val="0"/>
        <w:spacing w:before="157" w:beforeLines="50" w:after="157" w:afterLines="50" w:line="240" w:lineRule="auto"/>
        <w:ind w:firstLine="482" w:firstLineChars="200"/>
        <w:textAlignment w:val="auto"/>
        <w:outlineLvl w:val="1"/>
        <w:rPr>
          <w:rFonts w:hint="eastAsia" w:ascii="仿宋_GB2312" w:hAnsi="仿宋_GB2312" w:eastAsia="仿宋_GB2312" w:cs="仿宋_GB2312"/>
          <w:b/>
          <w:bCs/>
          <w:color w:val="auto"/>
          <w:sz w:val="24"/>
          <w:szCs w:val="28"/>
          <w:highlight w:val="none"/>
          <w:lang w:val="en-US" w:eastAsia="zh-CN"/>
        </w:rPr>
      </w:pPr>
      <w:r>
        <w:rPr>
          <w:rFonts w:hint="eastAsia" w:ascii="仿宋_GB2312" w:hAnsi="仿宋_GB2312" w:eastAsia="仿宋_GB2312" w:cs="仿宋_GB2312"/>
          <w:b/>
          <w:bCs/>
          <w:color w:val="auto"/>
          <w:sz w:val="24"/>
          <w:szCs w:val="28"/>
          <w:highlight w:val="none"/>
          <w:lang w:val="en-US" w:eastAsia="zh-CN"/>
        </w:rPr>
        <w:t>（三）参赛选手须知</w:t>
      </w:r>
    </w:p>
    <w:p w14:paraId="4AD23A8F">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1.参赛选手应严格遵守赛场规章、操作规程和工艺准则，保证人身及设备安全，接受裁判员的监督和警示，文明竞赛。</w:t>
      </w:r>
    </w:p>
    <w:p w14:paraId="089B3340">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2.参赛选手务必于赛前30分钟到赛场侯赛区等候，迟到10分钟以上按弃权处理。已检录入场的参赛选手未经允许，不得擅自离开赛场。</w:t>
      </w:r>
    </w:p>
    <w:p w14:paraId="4DBBC54C">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3.比赛期间严禁携带任何手机等通讯工具、移动存储器、照相器材等与竞赛无关的用品入场，否则取消该队参赛资格。</w:t>
      </w:r>
    </w:p>
    <w:p w14:paraId="39BAC406">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4.尊重裁判和赛场工作人员，自觉遵守赛场纪律和秩序。</w:t>
      </w:r>
    </w:p>
    <w:p w14:paraId="3E11917C">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5.参赛选手必须严格遵守操作规程，接受裁判员的监督和警示，保证人身及设备安全；因操作失误，致使设备损坏或不能正常使用，或发生人身安全事故不能进行比赛等特殊情况，裁判有权终止比赛。</w:t>
      </w:r>
    </w:p>
    <w:p w14:paraId="27F7B57E">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6.竞赛过程中，各参赛队自行确定分工、工作程序和时间安排，在赛位上完成竞赛项目，严禁作弊行为。</w:t>
      </w:r>
    </w:p>
    <w:p w14:paraId="16FF0E0E">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7.各模块比赛期间，选手连续工作，饮水、食品由赛场统一提供。选手休息或如厕时间均计算在比赛时间内。</w:t>
      </w:r>
    </w:p>
    <w:p w14:paraId="506E6F96">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8.凡在竞赛期间提前结束比赛的选手，不得在竞赛过程中再次返回赛场。</w:t>
      </w:r>
    </w:p>
    <w:p w14:paraId="36C1CA03">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9.比赛中如遇非人为因素造成的设备故障，经裁判确认后，可向裁判申请补足排除故障的时间。</w:t>
      </w:r>
    </w:p>
    <w:p w14:paraId="4F603DA4">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10.参赛选手赛场外的管理由各参赛队领队和指导教师负责。</w:t>
      </w:r>
    </w:p>
    <w:p w14:paraId="33E702B6">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11.结束比赛时，参赛选手应向现场裁判员举手示意，提交赛卷和成果，由现场裁判员记录比赛终止时间；比赛结束后，参赛选手不能进行任何与竞赛相关的操作。</w:t>
      </w:r>
    </w:p>
    <w:p w14:paraId="7C3F213B">
      <w:pPr>
        <w:keepNext w:val="0"/>
        <w:keepLines w:val="0"/>
        <w:pageBreakBefore w:val="0"/>
        <w:widowControl w:val="0"/>
        <w:kinsoku/>
        <w:wordWrap/>
        <w:overflowPunct/>
        <w:topLinePunct w:val="0"/>
        <w:autoSpaceDE/>
        <w:autoSpaceDN/>
        <w:bidi w:val="0"/>
        <w:adjustRightInd w:val="0"/>
        <w:snapToGrid w:val="0"/>
        <w:spacing w:before="157" w:beforeLines="50" w:after="157" w:afterLines="50" w:line="240" w:lineRule="auto"/>
        <w:ind w:firstLine="482" w:firstLineChars="200"/>
        <w:textAlignment w:val="auto"/>
        <w:outlineLvl w:val="1"/>
        <w:rPr>
          <w:rFonts w:hint="eastAsia" w:ascii="仿宋_GB2312" w:hAnsi="仿宋_GB2312" w:eastAsia="仿宋_GB2312" w:cs="仿宋_GB2312"/>
          <w:b/>
          <w:bCs/>
          <w:color w:val="auto"/>
          <w:sz w:val="24"/>
          <w:szCs w:val="28"/>
          <w:highlight w:val="none"/>
          <w:lang w:val="en-US" w:eastAsia="zh-CN"/>
        </w:rPr>
      </w:pPr>
      <w:r>
        <w:rPr>
          <w:rFonts w:hint="eastAsia" w:ascii="仿宋_GB2312" w:hAnsi="仿宋_GB2312" w:eastAsia="仿宋_GB2312" w:cs="仿宋_GB2312"/>
          <w:b/>
          <w:bCs/>
          <w:color w:val="auto"/>
          <w:sz w:val="24"/>
          <w:szCs w:val="28"/>
          <w:highlight w:val="none"/>
          <w:lang w:val="en-US" w:eastAsia="zh-CN"/>
        </w:rPr>
        <w:t>（四）工作人员须知</w:t>
      </w:r>
    </w:p>
    <w:p w14:paraId="2CB75898">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1.树立服务观念，一切为选手着想，以高度负责的精神、严肃认真的态度和严谨细致的作风，积极完成本职任务。</w:t>
      </w:r>
    </w:p>
    <w:p w14:paraId="5937656E">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2.工作人员必须服从统一领导，严格遵守竞赛纪律及时间安排，严守工作岗位，不得无故离岗。</w:t>
      </w:r>
    </w:p>
    <w:p w14:paraId="540D90B2">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3.工作人员必须着装整齐，统一佩戴由大赛组委会签发的相应 证件，精神饱满、热情服务。</w:t>
      </w:r>
    </w:p>
    <w:p w14:paraId="0D94B7E2">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4.熟悉赛项指南，严格按照工作程序和有关规定办事，遇突发事件，按照安全工作预案，组织指挥人员疏散，确保人员安全。</w:t>
      </w:r>
    </w:p>
    <w:p w14:paraId="410AEE20">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5.工作人员未经允许不得随意进入比赛现场。</w:t>
      </w:r>
    </w:p>
    <w:p w14:paraId="5A7FA714">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6.比赛现场不得聊天、打闹等可能影响参赛选手的任何举动；不得私自与参赛选手交谈。</w:t>
      </w:r>
    </w:p>
    <w:p w14:paraId="6EEEF248">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_GB2312" w:hAnsi="仿宋_GB2312" w:eastAsia="仿宋_GB2312" w:cs="仿宋_GB2312"/>
          <w:sz w:val="24"/>
          <w:szCs w:val="24"/>
          <w:lang w:val="en-US" w:eastAsia="zh-CN"/>
        </w:rPr>
      </w:pPr>
    </w:p>
    <w:sectPr>
      <w:footerReference r:id="rId3" w:type="default"/>
      <w:pgSz w:w="11906" w:h="16838"/>
      <w:pgMar w:top="2041" w:right="1417" w:bottom="1984" w:left="1417" w:header="851" w:footer="992" w:gutter="0"/>
      <w:pgNumType w:fmt="decimal"/>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81447FCC-E506-4289-BB24-7A32FF9CA078}"/>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embedRegular r:id="rId2" w:fontKey="{47FDFABA-C77D-464A-BFFE-1765170E0B4A}"/>
  </w:font>
  <w:font w:name="方正小标宋简体">
    <w:panose1 w:val="02000000000000000000"/>
    <w:charset w:val="86"/>
    <w:family w:val="auto"/>
    <w:pitch w:val="default"/>
    <w:sig w:usb0="00000001" w:usb1="08000000" w:usb2="00000000" w:usb3="00000000" w:csb0="00040000" w:csb1="00000000"/>
    <w:embedRegular r:id="rId3" w:fontKey="{D7FFE9F9-FBB3-488A-8353-0DE19C4149FE}"/>
  </w:font>
  <w:font w:name="仿宋_GB2312">
    <w:panose1 w:val="02010609030101010101"/>
    <w:charset w:val="86"/>
    <w:family w:val="modern"/>
    <w:pitch w:val="default"/>
    <w:sig w:usb0="00000001" w:usb1="080E0000" w:usb2="00000000" w:usb3="00000000" w:csb0="00040000" w:csb1="00000000"/>
    <w:embedRegular r:id="rId4" w:fontKey="{9A9866F0-08DD-483D-8FD9-D3258955CA37}"/>
  </w:font>
  <w:font w:name="WPSEMBED1">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C34B7D">
    <w:pPr>
      <w:pStyle w:val="3"/>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A3284A1">
                          <w:pPr>
                            <w:pStyle w:val="3"/>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4A3284A1">
                    <w:pPr>
                      <w:pStyle w:val="3"/>
                    </w:pPr>
                    <w:r>
                      <w:fldChar w:fldCharType="begin"/>
                    </w:r>
                    <w:r>
                      <w:instrText xml:space="preserve"> PAGE  \* MERGEFORMAT </w:instrText>
                    </w:r>
                    <w:r>
                      <w:fldChar w:fldCharType="separate"/>
                    </w:r>
                    <w:r>
                      <w:t>1</w:t>
                    </w:r>
                    <w: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RmMDUxZWE2OGU5MGUxMjhkYmYzZDk4YjE0MzFkNGQifQ=="/>
    <w:docVar w:name="KSO_WPS_MARK_KEY" w:val="40424b72-74df-408f-b485-cac8adc86a3e"/>
  </w:docVars>
  <w:rsids>
    <w:rsidRoot w:val="49561DBF"/>
    <w:rsid w:val="00EF7950"/>
    <w:rsid w:val="03251029"/>
    <w:rsid w:val="04333FF8"/>
    <w:rsid w:val="07927288"/>
    <w:rsid w:val="09E0252C"/>
    <w:rsid w:val="0B6F187B"/>
    <w:rsid w:val="0C3343D4"/>
    <w:rsid w:val="0F243685"/>
    <w:rsid w:val="0FCE2BD0"/>
    <w:rsid w:val="102E7AAB"/>
    <w:rsid w:val="111D4AEA"/>
    <w:rsid w:val="115F7F57"/>
    <w:rsid w:val="141F00F5"/>
    <w:rsid w:val="14495172"/>
    <w:rsid w:val="17160086"/>
    <w:rsid w:val="183D6D9C"/>
    <w:rsid w:val="18763132"/>
    <w:rsid w:val="188822F6"/>
    <w:rsid w:val="1B7914BD"/>
    <w:rsid w:val="1BDE77DA"/>
    <w:rsid w:val="1CAE2A48"/>
    <w:rsid w:val="21B31BD4"/>
    <w:rsid w:val="25280FF4"/>
    <w:rsid w:val="26285A40"/>
    <w:rsid w:val="2678022B"/>
    <w:rsid w:val="29B75B16"/>
    <w:rsid w:val="2B4A2B42"/>
    <w:rsid w:val="2D6A6991"/>
    <w:rsid w:val="2ECB37F1"/>
    <w:rsid w:val="35DA3B9F"/>
    <w:rsid w:val="3739594F"/>
    <w:rsid w:val="38951247"/>
    <w:rsid w:val="39F662E7"/>
    <w:rsid w:val="3D4A629D"/>
    <w:rsid w:val="3E93599B"/>
    <w:rsid w:val="3FE76631"/>
    <w:rsid w:val="41F64055"/>
    <w:rsid w:val="428A5D1C"/>
    <w:rsid w:val="435F7508"/>
    <w:rsid w:val="45662DD1"/>
    <w:rsid w:val="49561DBF"/>
    <w:rsid w:val="49D34B5F"/>
    <w:rsid w:val="4FA527A9"/>
    <w:rsid w:val="55005A82"/>
    <w:rsid w:val="556C6E75"/>
    <w:rsid w:val="57AE5833"/>
    <w:rsid w:val="5E8D3AF6"/>
    <w:rsid w:val="5FB30996"/>
    <w:rsid w:val="5FDE049F"/>
    <w:rsid w:val="60602BF4"/>
    <w:rsid w:val="63047883"/>
    <w:rsid w:val="65F078B1"/>
    <w:rsid w:val="6A286C86"/>
    <w:rsid w:val="7141099D"/>
    <w:rsid w:val="749A65CD"/>
    <w:rsid w:val="763C069A"/>
    <w:rsid w:val="79396BCF"/>
    <w:rsid w:val="7F8813C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1"/>
      <w:lang w:val="en-US" w:eastAsia="zh-CN" w:bidi="ar-SA"/>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Body Text"/>
    <w:basedOn w:val="1"/>
    <w:semiHidden/>
    <w:qFormat/>
    <w:uiPriority w:val="0"/>
    <w:rPr>
      <w:rFonts w:ascii="仿宋" w:hAnsi="仿宋" w:eastAsia="仿宋" w:cs="仿宋"/>
      <w:sz w:val="31"/>
      <w:szCs w:val="31"/>
      <w:lang w:val="en-US" w:eastAsia="en-US" w:bidi="ar-SA"/>
    </w:rPr>
  </w:style>
  <w:style w:type="paragraph" w:styleId="3">
    <w:name w:val="footer"/>
    <w:basedOn w:val="1"/>
    <w:qFormat/>
    <w:uiPriority w:val="0"/>
    <w:pPr>
      <w:tabs>
        <w:tab w:val="center" w:pos="4153"/>
        <w:tab w:val="right" w:pos="8306"/>
      </w:tabs>
      <w:snapToGrid w:val="0"/>
      <w:jc w:val="left"/>
    </w:pPr>
    <w:rPr>
      <w:sz w:val="18"/>
    </w:rPr>
  </w:style>
  <w:style w:type="paragraph" w:styleId="4">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14</Pages>
  <Words>8134</Words>
  <Characters>8445</Characters>
  <Lines>0</Lines>
  <Paragraphs>0</Paragraphs>
  <TotalTime>1</TotalTime>
  <ScaleCrop>false</ScaleCrop>
  <LinksUpToDate>false</LinksUpToDate>
  <CharactersWithSpaces>8451</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2024-11-04T01:19:00Z</dcterms:created>
  <dc:creator>苏文学（Spencer）</dc:creator>
  <cp:lastModifiedBy>海南科技缪从金</cp:lastModifiedBy>
  <dcterms:modified xsi:type="dcterms:W3CDTF">2025-11-18T08:55:55Z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B88171E3BF114F38ACF6041598EF9660_11</vt:lpwstr>
  </property>
  <property fmtid="{D5CDD505-2E9C-101B-9397-08002B2CF9AE}" pid="4" name="KSOTemplateDocerSaveRecord">
    <vt:lpwstr>eyJoZGlkIjoiZjJiYzRjZDg4ODIxMmZkMzVjYzYxNzIzMDEwYjJjY2IiLCJ1c2VySWQiOiI4MDUxOTYwMTgifQ==</vt:lpwstr>
  </property>
</Properties>
</file>