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34D17" w14:textId="77777777" w:rsidR="0055088D" w:rsidRDefault="00405ABE">
      <w:pPr>
        <w:snapToGrid w:val="0"/>
        <w:spacing w:line="560" w:lineRule="exact"/>
        <w:jc w:val="center"/>
        <w:rPr>
          <w:rFonts w:ascii="方正小标宋_GBK" w:eastAsia="方正小标宋_GBK" w:hAnsi="方正小标宋_GBK" w:cs="方正小标宋_GBK"/>
          <w:bCs/>
          <w:sz w:val="40"/>
          <w:szCs w:val="40"/>
        </w:rPr>
      </w:pPr>
      <w:bookmarkStart w:id="0" w:name="_Toc24843"/>
      <w:bookmarkStart w:id="1" w:name="_Toc480298802"/>
      <w:bookmarkStart w:id="2" w:name="_Toc480315561"/>
      <w:bookmarkStart w:id="3" w:name="_Toc480043246"/>
      <w:bookmarkStart w:id="4" w:name="_Toc480042962"/>
      <w:bookmarkStart w:id="5" w:name="_Toc480298710"/>
      <w:r>
        <w:rPr>
          <w:rFonts w:ascii="方正小标宋_GBK" w:eastAsia="方正小标宋_GBK" w:hAnsi="方正小标宋_GBK" w:cs="方正小标宋_GBK" w:hint="eastAsia"/>
          <w:bCs/>
          <w:sz w:val="40"/>
          <w:szCs w:val="40"/>
        </w:rPr>
        <w:t>2025年海南省高等职业院校技能大赛</w:t>
      </w:r>
    </w:p>
    <w:p w14:paraId="3CD12F81" w14:textId="77777777" w:rsidR="0055088D" w:rsidRDefault="00405ABE">
      <w:pPr>
        <w:snapToGrid w:val="0"/>
        <w:spacing w:line="560" w:lineRule="exact"/>
        <w:jc w:val="center"/>
        <w:rPr>
          <w:rFonts w:ascii="方正小标宋_GBK" w:eastAsia="方正小标宋_GBK" w:hAnsi="方正小标宋_GBK" w:cs="方正小标宋_GBK"/>
          <w:bCs/>
          <w:sz w:val="40"/>
          <w:szCs w:val="40"/>
        </w:rPr>
      </w:pPr>
      <w:r>
        <w:rPr>
          <w:rFonts w:ascii="方正小标宋_GBK" w:eastAsia="方正小标宋_GBK" w:hAnsi="方正小标宋_GBK" w:cs="方正小标宋_GBK" w:hint="eastAsia"/>
          <w:bCs/>
          <w:sz w:val="40"/>
          <w:szCs w:val="40"/>
        </w:rPr>
        <w:t>信息安全管理与评估赛项规程</w:t>
      </w:r>
    </w:p>
    <w:p w14:paraId="4018363D" w14:textId="77777777" w:rsidR="0055088D" w:rsidRDefault="0055088D">
      <w:pPr>
        <w:snapToGrid w:val="0"/>
        <w:spacing w:line="560" w:lineRule="exact"/>
        <w:jc w:val="center"/>
        <w:rPr>
          <w:rFonts w:ascii="方正小标宋_GBK" w:eastAsia="方正小标宋_GBK" w:hAnsi="方正小标宋_GBK" w:cs="方正小标宋_GBK"/>
          <w:bCs/>
          <w:sz w:val="40"/>
          <w:szCs w:val="40"/>
        </w:rPr>
      </w:pPr>
    </w:p>
    <w:p w14:paraId="7BE59BD9" w14:textId="77777777" w:rsidR="0055088D" w:rsidRDefault="00405ABE">
      <w:pPr>
        <w:widowControl/>
        <w:shd w:val="clear" w:color="auto" w:fill="FFFFFF"/>
        <w:spacing w:line="560" w:lineRule="exact"/>
        <w:ind w:firstLine="420"/>
        <w:jc w:val="left"/>
        <w:outlineLvl w:val="1"/>
        <w:rPr>
          <w:rFonts w:ascii="黑体" w:eastAsia="黑体" w:hAnsi="黑体"/>
          <w:spacing w:val="-10"/>
          <w:kern w:val="0"/>
          <w:sz w:val="32"/>
          <w:szCs w:val="32"/>
        </w:rPr>
      </w:pPr>
      <w:r>
        <w:rPr>
          <w:rFonts w:ascii="黑体" w:eastAsia="黑体" w:hAnsi="黑体" w:hint="eastAsia"/>
          <w:spacing w:val="-10"/>
          <w:kern w:val="0"/>
          <w:sz w:val="32"/>
          <w:szCs w:val="32"/>
        </w:rPr>
        <w:t>一、赛项名称</w:t>
      </w:r>
      <w:bookmarkEnd w:id="0"/>
    </w:p>
    <w:p w14:paraId="3298BDE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赛项名称：信息安全管理与评估</w:t>
      </w:r>
    </w:p>
    <w:p w14:paraId="28BB3518"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英语翻译：Information </w:t>
      </w:r>
      <w:r>
        <w:rPr>
          <w:rFonts w:ascii="仿宋" w:eastAsia="仿宋" w:hAnsi="仿宋"/>
          <w:color w:val="000000"/>
          <w:sz w:val="28"/>
          <w:szCs w:val="28"/>
        </w:rPr>
        <w:t>S</w:t>
      </w:r>
      <w:r>
        <w:rPr>
          <w:rFonts w:ascii="仿宋" w:eastAsia="仿宋" w:hAnsi="仿宋" w:hint="eastAsia"/>
          <w:color w:val="000000"/>
          <w:sz w:val="28"/>
          <w:szCs w:val="28"/>
        </w:rPr>
        <w:t xml:space="preserve">ecurity </w:t>
      </w:r>
      <w:r>
        <w:rPr>
          <w:rFonts w:ascii="仿宋" w:eastAsia="仿宋" w:hAnsi="仿宋"/>
          <w:color w:val="000000"/>
          <w:sz w:val="28"/>
          <w:szCs w:val="28"/>
        </w:rPr>
        <w:t>M</w:t>
      </w:r>
      <w:r>
        <w:rPr>
          <w:rFonts w:ascii="仿宋" w:eastAsia="仿宋" w:hAnsi="仿宋" w:hint="eastAsia"/>
          <w:color w:val="000000"/>
          <w:sz w:val="28"/>
          <w:szCs w:val="28"/>
        </w:rPr>
        <w:t xml:space="preserve">anagement and </w:t>
      </w:r>
      <w:r>
        <w:rPr>
          <w:rFonts w:ascii="仿宋" w:eastAsia="仿宋" w:hAnsi="仿宋"/>
          <w:color w:val="000000"/>
          <w:sz w:val="28"/>
          <w:szCs w:val="28"/>
        </w:rPr>
        <w:t>E</w:t>
      </w:r>
      <w:r>
        <w:rPr>
          <w:rFonts w:ascii="仿宋" w:eastAsia="仿宋" w:hAnsi="仿宋" w:hint="eastAsia"/>
          <w:color w:val="000000"/>
          <w:sz w:val="28"/>
          <w:szCs w:val="28"/>
        </w:rPr>
        <w:t>valuation</w:t>
      </w:r>
    </w:p>
    <w:p w14:paraId="30F0A73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赛项组别：高等职业教育</w:t>
      </w:r>
    </w:p>
    <w:p w14:paraId="1B4AFBF6"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竞赛形式：团体赛</w:t>
      </w:r>
    </w:p>
    <w:p w14:paraId="26B0DB3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赛项专业大类：新一代信息技术</w:t>
      </w:r>
    </w:p>
    <w:p w14:paraId="69D5C3EF"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6" w:name="_Toc6923"/>
      <w:r>
        <w:rPr>
          <w:rFonts w:ascii="黑体" w:eastAsia="黑体" w:hAnsi="黑体" w:hint="eastAsia"/>
          <w:spacing w:val="-10"/>
          <w:kern w:val="0"/>
          <w:sz w:val="32"/>
          <w:szCs w:val="32"/>
        </w:rPr>
        <w:t>二、竞赛目的</w:t>
      </w:r>
      <w:bookmarkEnd w:id="6"/>
    </w:p>
    <w:p w14:paraId="48CA9F8F"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（一）引领教学改革</w:t>
      </w:r>
    </w:p>
    <w:p w14:paraId="205814D5"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全国高职高专院校信息安全与管理和计算机网络技术的专业点数已经超过700多个，在校生40多万，2025年信息安全管理与评估大赛是延续历届赛项的竞赛内容，通过赛项检验参赛选手安全网络组建、按照</w:t>
      </w:r>
      <w:proofErr w:type="gramStart"/>
      <w:r>
        <w:rPr>
          <w:rFonts w:ascii="仿宋" w:eastAsia="仿宋" w:hAnsi="仿宋" w:hint="eastAsia"/>
          <w:color w:val="000000"/>
          <w:sz w:val="28"/>
          <w:szCs w:val="28"/>
        </w:rPr>
        <w:t>等保要求</w:t>
      </w:r>
      <w:proofErr w:type="gramEnd"/>
      <w:r>
        <w:rPr>
          <w:rFonts w:ascii="仿宋" w:eastAsia="仿宋" w:hAnsi="仿宋" w:hint="eastAsia"/>
          <w:color w:val="000000"/>
          <w:sz w:val="28"/>
          <w:szCs w:val="28"/>
        </w:rPr>
        <w:t>加固网络系统、安全架构、渗透测试、攻防实战等技术能力，检验参赛队计划组织和团队协作等综合职业素养，强调学生创新能力和实践能力培养，提升学生职业能力和就业质量。</w:t>
      </w:r>
    </w:p>
    <w:p w14:paraId="6E23E7B9"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（二）强化专业建设</w:t>
      </w:r>
    </w:p>
    <w:p w14:paraId="727D94D2"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按照《高等职业教育电子信息类专业指导规范II》的信息安全与管理专业标准建设框架，通过赛项丰富完善信息安全与管理专业课程体系建设，使人才培养更贴近岗位实际，提升专业培养服务社会和行业发展的能力。</w:t>
      </w:r>
    </w:p>
    <w:p w14:paraId="56C33CCA"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该赛项内容覆盖信息安全与管理专业“信息安全技术与实施”、“信息安全产品配置与应用”、“网络设备配置与管理”、“网络攻</w:t>
      </w:r>
      <w:r>
        <w:rPr>
          <w:rFonts w:ascii="仿宋" w:eastAsia="仿宋" w:hAnsi="仿宋" w:hint="eastAsia"/>
          <w:color w:val="000000"/>
          <w:sz w:val="28"/>
          <w:szCs w:val="28"/>
        </w:rPr>
        <w:lastRenderedPageBreak/>
        <w:t>防实训”、“系统运行安全与维护”、“操作系统安全配置”、“Web渗透测试技术”等专业核心课程内容。</w:t>
      </w:r>
    </w:p>
    <w:p w14:paraId="1AFFFF01"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（三）促进产教合作</w:t>
      </w:r>
    </w:p>
    <w:p w14:paraId="69E6993C"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赛项基于信息安全领域主流技术和现行业务流程设计，信息安全行业专家与院校教育专家紧密合作，赛前完成竞赛内容向教学改革的成果转化，实现以赛促教、以赛促学、以赛促改</w:t>
      </w:r>
      <w:proofErr w:type="gramStart"/>
      <w:r>
        <w:rPr>
          <w:rFonts w:ascii="仿宋" w:eastAsia="仿宋" w:hAnsi="仿宋" w:hint="eastAsia"/>
          <w:color w:val="000000"/>
          <w:sz w:val="28"/>
          <w:szCs w:val="28"/>
        </w:rPr>
        <w:t>的教产融合</w:t>
      </w:r>
      <w:proofErr w:type="gramEnd"/>
      <w:r>
        <w:rPr>
          <w:rFonts w:ascii="仿宋" w:eastAsia="仿宋" w:hAnsi="仿宋" w:hint="eastAsia"/>
          <w:color w:val="000000"/>
          <w:sz w:val="28"/>
          <w:szCs w:val="28"/>
        </w:rPr>
        <w:t>的赛事创新。</w:t>
      </w:r>
    </w:p>
    <w:p w14:paraId="4E9184C3"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7" w:name="_Toc10492"/>
      <w:r>
        <w:rPr>
          <w:rFonts w:ascii="黑体" w:eastAsia="黑体" w:hAnsi="黑体" w:hint="eastAsia"/>
          <w:spacing w:val="-10"/>
          <w:kern w:val="0"/>
          <w:sz w:val="32"/>
          <w:szCs w:val="32"/>
        </w:rPr>
        <w:t>三、竞赛内容</w:t>
      </w:r>
      <w:bookmarkEnd w:id="7"/>
    </w:p>
    <w:p w14:paraId="3F9F113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竞赛内容对应网络安全工程师、</w:t>
      </w:r>
      <w:proofErr w:type="gramStart"/>
      <w:r>
        <w:rPr>
          <w:rFonts w:ascii="仿宋" w:eastAsia="仿宋" w:hAnsi="仿宋" w:hint="eastAsia"/>
          <w:color w:val="000000"/>
          <w:sz w:val="28"/>
          <w:szCs w:val="28"/>
        </w:rPr>
        <w:t>安全运</w:t>
      </w:r>
      <w:proofErr w:type="gramEnd"/>
      <w:r>
        <w:rPr>
          <w:rFonts w:ascii="仿宋" w:eastAsia="仿宋" w:hAnsi="仿宋" w:hint="eastAsia"/>
          <w:color w:val="000000"/>
          <w:sz w:val="28"/>
          <w:szCs w:val="28"/>
        </w:rPr>
        <w:t>维工程师等职业岗位，体现安全策略部署、威胁分析、应急响应等核心能力，涵盖防火墙管理、渗透测试、日志溯源等专业知识与技能。本竞赛以高仿真网络安全靶场平台为竞赛载体，重点考察如下内容：</w:t>
      </w:r>
    </w:p>
    <w:p w14:paraId="546560A6"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（1）参赛选手进行网络底层架构搭建与核心安全设备配置的能力，评估其对防火墙、入侵检测/防御系统等设备的策略部署、性能优化与故障排除能力，奠定整体网络的安全基石。</w:t>
      </w:r>
    </w:p>
    <w:p w14:paraId="50399413"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（2）参赛选手实施全面的资产发现、风险评估与合</w:t>
      </w:r>
      <w:proofErr w:type="gramStart"/>
      <w:r>
        <w:rPr>
          <w:rFonts w:ascii="仿宋" w:eastAsia="仿宋" w:hAnsi="仿宋" w:hint="eastAsia"/>
          <w:color w:val="000000"/>
          <w:sz w:val="28"/>
          <w:szCs w:val="28"/>
        </w:rPr>
        <w:t>规</w:t>
      </w:r>
      <w:proofErr w:type="gramEnd"/>
      <w:r>
        <w:rPr>
          <w:rFonts w:ascii="仿宋" w:eastAsia="仿宋" w:hAnsi="仿宋" w:hint="eastAsia"/>
          <w:color w:val="000000"/>
          <w:sz w:val="28"/>
          <w:szCs w:val="28"/>
        </w:rPr>
        <w:t>管理的能力，评估其通过自动化工具进行资产清点、风险识别与合</w:t>
      </w:r>
      <w:proofErr w:type="gramStart"/>
      <w:r>
        <w:rPr>
          <w:rFonts w:ascii="仿宋" w:eastAsia="仿宋" w:hAnsi="仿宋" w:hint="eastAsia"/>
          <w:color w:val="000000"/>
          <w:sz w:val="28"/>
          <w:szCs w:val="28"/>
        </w:rPr>
        <w:t>规</w:t>
      </w:r>
      <w:proofErr w:type="gramEnd"/>
      <w:r>
        <w:rPr>
          <w:rFonts w:ascii="仿宋" w:eastAsia="仿宋" w:hAnsi="仿宋" w:hint="eastAsia"/>
          <w:color w:val="000000"/>
          <w:sz w:val="28"/>
          <w:szCs w:val="28"/>
        </w:rPr>
        <w:t>性检查，从而建立清晰资产清单和有效管理策略的能力。</w:t>
      </w:r>
    </w:p>
    <w:p w14:paraId="4BF27997"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（3）参赛选手进行网络流量采集、分析与安全管控的能力，评估其利用监测工具识别DDoS攻击、恶意软件传播等异常流量行为，并实施流量整形与安全防护措施的能力。</w:t>
      </w:r>
    </w:p>
    <w:p w14:paraId="302F63C8"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（4）参赛选手对操作系统、网络服务及数据进行安全加固的能力，评估其通过打补丁、安全配置、访问控制与数据加密等手段，防范反序列化、未授权访问等常见攻击的技术水平。</w:t>
      </w:r>
    </w:p>
    <w:p w14:paraId="2513C5E7"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lastRenderedPageBreak/>
        <w:t>（5）参赛选手进行安全事件监测、应急响应与系统恢复的能力，评估其遵循应急流程，对网络入侵、数据泄露等事件进行快速检测、遏制、消除并恢复业务完整性的实战能力。</w:t>
      </w:r>
    </w:p>
    <w:p w14:paraId="029BE50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（6）参赛选手进行日志全生命周期管理与分析溯源的能力，评估其对各类系统及设备日志进行收集、整理，并从中精准识别安全事件、追溯攻击路径的深度分析能力。</w:t>
      </w:r>
    </w:p>
    <w:p w14:paraId="31ADA9D7" w14:textId="77777777" w:rsidR="0055088D" w:rsidRDefault="00405ABE">
      <w:pPr>
        <w:numPr>
          <w:ilvl w:val="0"/>
          <w:numId w:val="1"/>
        </w:num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参赛选手开展全方位渗透测试与方案总结展示的综合能力，评估其从信息收集、漏洞利用到内网渗透的完整攻击链技术，以及归纳成果、现场表达与团队协作的职业素养。</w:t>
      </w:r>
    </w:p>
    <w:p w14:paraId="6E595959"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竞赛时间4.5小时，竞赛连续进行。竞赛内容构成如下：</w:t>
      </w: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
        <w:gridCol w:w="2002"/>
        <w:gridCol w:w="5382"/>
      </w:tblGrid>
      <w:tr w:rsidR="0055088D" w14:paraId="54615B6A" w14:textId="77777777">
        <w:trPr>
          <w:trHeight w:val="578"/>
        </w:trPr>
        <w:tc>
          <w:tcPr>
            <w:tcW w:w="481" w:type="pct"/>
            <w:tcBorders>
              <w:top w:val="single" w:sz="4" w:space="0" w:color="auto"/>
              <w:left w:val="single" w:sz="4" w:space="0" w:color="auto"/>
              <w:bottom w:val="single" w:sz="4" w:space="0" w:color="auto"/>
              <w:right w:val="single" w:sz="4" w:space="0" w:color="auto"/>
            </w:tcBorders>
            <w:noWrap/>
            <w:vAlign w:val="center"/>
          </w:tcPr>
          <w:p w14:paraId="74C59DAB" w14:textId="77777777" w:rsidR="0055088D" w:rsidRDefault="00405ABE">
            <w:pPr>
              <w:adjustRightInd w:val="0"/>
              <w:snapToGrid w:val="0"/>
              <w:jc w:val="center"/>
              <w:rPr>
                <w:rFonts w:ascii="仿宋" w:eastAsia="仿宋" w:hAnsi="仿宋"/>
                <w:b/>
                <w:bCs/>
                <w:color w:val="000000"/>
                <w:sz w:val="22"/>
                <w:szCs w:val="22"/>
              </w:rPr>
            </w:pPr>
            <w:r>
              <w:rPr>
                <w:rFonts w:ascii="仿宋" w:eastAsia="仿宋" w:hAnsi="仿宋" w:hint="eastAsia"/>
                <w:b/>
                <w:bCs/>
                <w:color w:val="000000"/>
                <w:sz w:val="22"/>
                <w:szCs w:val="22"/>
              </w:rPr>
              <w:t>序号</w:t>
            </w:r>
          </w:p>
        </w:tc>
        <w:tc>
          <w:tcPr>
            <w:tcW w:w="1225" w:type="pct"/>
            <w:tcBorders>
              <w:top w:val="single" w:sz="4" w:space="0" w:color="auto"/>
              <w:left w:val="single" w:sz="4" w:space="0" w:color="auto"/>
              <w:bottom w:val="single" w:sz="4" w:space="0" w:color="auto"/>
              <w:right w:val="single" w:sz="4" w:space="0" w:color="auto"/>
            </w:tcBorders>
            <w:noWrap/>
            <w:vAlign w:val="center"/>
          </w:tcPr>
          <w:p w14:paraId="5C3EB084" w14:textId="77777777" w:rsidR="0055088D" w:rsidRDefault="00405ABE">
            <w:pPr>
              <w:adjustRightInd w:val="0"/>
              <w:snapToGrid w:val="0"/>
              <w:jc w:val="center"/>
              <w:rPr>
                <w:rFonts w:ascii="仿宋" w:eastAsia="仿宋" w:hAnsi="仿宋"/>
                <w:b/>
                <w:bCs/>
                <w:color w:val="000000"/>
                <w:sz w:val="22"/>
                <w:szCs w:val="22"/>
              </w:rPr>
            </w:pPr>
            <w:r>
              <w:rPr>
                <w:rFonts w:ascii="仿宋" w:eastAsia="仿宋" w:hAnsi="仿宋" w:hint="eastAsia"/>
                <w:b/>
                <w:bCs/>
                <w:color w:val="000000"/>
                <w:sz w:val="22"/>
                <w:szCs w:val="22"/>
              </w:rPr>
              <w:t>比赛模块</w:t>
            </w:r>
          </w:p>
        </w:tc>
        <w:tc>
          <w:tcPr>
            <w:tcW w:w="3293" w:type="pct"/>
            <w:tcBorders>
              <w:top w:val="single" w:sz="4" w:space="0" w:color="auto"/>
              <w:left w:val="single" w:sz="4" w:space="0" w:color="auto"/>
              <w:bottom w:val="single" w:sz="4" w:space="0" w:color="auto"/>
              <w:right w:val="single" w:sz="4" w:space="0" w:color="auto"/>
            </w:tcBorders>
            <w:noWrap/>
            <w:vAlign w:val="center"/>
          </w:tcPr>
          <w:p w14:paraId="6C069A7B" w14:textId="77777777" w:rsidR="0055088D" w:rsidRDefault="00405ABE">
            <w:pPr>
              <w:adjustRightInd w:val="0"/>
              <w:snapToGrid w:val="0"/>
              <w:jc w:val="center"/>
              <w:rPr>
                <w:rFonts w:ascii="仿宋" w:eastAsia="仿宋" w:hAnsi="仿宋"/>
                <w:b/>
                <w:bCs/>
                <w:color w:val="000000"/>
                <w:sz w:val="22"/>
                <w:szCs w:val="22"/>
              </w:rPr>
            </w:pPr>
            <w:r>
              <w:rPr>
                <w:rFonts w:ascii="仿宋" w:eastAsia="仿宋" w:hAnsi="仿宋" w:hint="eastAsia"/>
                <w:b/>
                <w:bCs/>
                <w:color w:val="000000"/>
                <w:sz w:val="22"/>
                <w:szCs w:val="22"/>
              </w:rPr>
              <w:t>考核内容</w:t>
            </w:r>
          </w:p>
        </w:tc>
      </w:tr>
      <w:tr w:rsidR="0055088D" w14:paraId="2A6AF37E" w14:textId="77777777">
        <w:trPr>
          <w:trHeight w:val="780"/>
        </w:trPr>
        <w:tc>
          <w:tcPr>
            <w:tcW w:w="481" w:type="pct"/>
            <w:vMerge w:val="restart"/>
            <w:tcBorders>
              <w:top w:val="single" w:sz="4" w:space="0" w:color="auto"/>
              <w:left w:val="single" w:sz="4" w:space="0" w:color="auto"/>
              <w:bottom w:val="single" w:sz="4" w:space="0" w:color="auto"/>
              <w:right w:val="single" w:sz="4" w:space="0" w:color="auto"/>
            </w:tcBorders>
            <w:vAlign w:val="center"/>
          </w:tcPr>
          <w:p w14:paraId="35FCDFBA"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1</w:t>
            </w:r>
          </w:p>
        </w:tc>
        <w:tc>
          <w:tcPr>
            <w:tcW w:w="1225" w:type="pct"/>
            <w:vMerge w:val="restart"/>
            <w:tcBorders>
              <w:top w:val="single" w:sz="4" w:space="0" w:color="auto"/>
              <w:left w:val="single" w:sz="4" w:space="0" w:color="auto"/>
              <w:bottom w:val="single" w:sz="4" w:space="0" w:color="auto"/>
              <w:right w:val="single" w:sz="4" w:space="0" w:color="auto"/>
            </w:tcBorders>
            <w:vAlign w:val="center"/>
          </w:tcPr>
          <w:p w14:paraId="411FC3D4"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网络安全设备</w:t>
            </w:r>
          </w:p>
        </w:tc>
        <w:tc>
          <w:tcPr>
            <w:tcW w:w="3293" w:type="pct"/>
            <w:tcBorders>
              <w:top w:val="single" w:sz="4" w:space="0" w:color="auto"/>
              <w:left w:val="single" w:sz="4" w:space="0" w:color="auto"/>
              <w:bottom w:val="single" w:sz="4" w:space="0" w:color="auto"/>
              <w:right w:val="single" w:sz="4" w:space="0" w:color="auto"/>
            </w:tcBorders>
            <w:vAlign w:val="center"/>
          </w:tcPr>
          <w:p w14:paraId="7AA86D03"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1、考核选手对防火墙、入侵检测系统（IDS）/入侵防御系统（IPS）、终端安全管理系统等网络安全设备的配置与管理能力，包括设备的基本设置、策略制定与实施、性能调优、HA集群故障切换等。</w:t>
            </w:r>
          </w:p>
        </w:tc>
      </w:tr>
      <w:tr w:rsidR="0055088D" w14:paraId="78950DCA" w14:textId="77777777">
        <w:trPr>
          <w:trHeight w:val="525"/>
        </w:trPr>
        <w:tc>
          <w:tcPr>
            <w:tcW w:w="0" w:type="auto"/>
            <w:vMerge/>
            <w:tcBorders>
              <w:top w:val="single" w:sz="4" w:space="0" w:color="auto"/>
              <w:left w:val="single" w:sz="4" w:space="0" w:color="auto"/>
              <w:bottom w:val="single" w:sz="4" w:space="0" w:color="auto"/>
              <w:right w:val="single" w:sz="4" w:space="0" w:color="auto"/>
            </w:tcBorders>
            <w:vAlign w:val="center"/>
          </w:tcPr>
          <w:p w14:paraId="640BF5B9"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9DEA8F4"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2E045DF3"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2、根据给定的网络拓扑和安全需求，制定合理的安全防护策略，并能够通过模拟攻击验证策略的有效性。</w:t>
            </w:r>
          </w:p>
        </w:tc>
      </w:tr>
      <w:tr w:rsidR="0055088D" w14:paraId="36F91267" w14:textId="77777777">
        <w:trPr>
          <w:trHeight w:val="525"/>
        </w:trPr>
        <w:tc>
          <w:tcPr>
            <w:tcW w:w="0" w:type="auto"/>
            <w:vMerge/>
            <w:tcBorders>
              <w:top w:val="single" w:sz="4" w:space="0" w:color="auto"/>
              <w:left w:val="single" w:sz="4" w:space="0" w:color="auto"/>
              <w:bottom w:val="single" w:sz="4" w:space="0" w:color="auto"/>
              <w:right w:val="single" w:sz="4" w:space="0" w:color="auto"/>
            </w:tcBorders>
            <w:vAlign w:val="center"/>
          </w:tcPr>
          <w:p w14:paraId="093EE869"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D66B885"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78C19EE1"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3、在设备运行过程中对性能进行优化，以及在设备出现故障时进行快速诊断和排除。</w:t>
            </w:r>
          </w:p>
        </w:tc>
      </w:tr>
      <w:tr w:rsidR="0055088D" w14:paraId="11EC78D5" w14:textId="77777777">
        <w:trPr>
          <w:trHeight w:val="525"/>
        </w:trPr>
        <w:tc>
          <w:tcPr>
            <w:tcW w:w="481" w:type="pct"/>
            <w:vMerge w:val="restart"/>
            <w:tcBorders>
              <w:top w:val="single" w:sz="4" w:space="0" w:color="auto"/>
              <w:left w:val="single" w:sz="4" w:space="0" w:color="auto"/>
              <w:bottom w:val="single" w:sz="4" w:space="0" w:color="auto"/>
              <w:right w:val="single" w:sz="4" w:space="0" w:color="auto"/>
            </w:tcBorders>
            <w:vAlign w:val="center"/>
          </w:tcPr>
          <w:p w14:paraId="0C43CC38"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2</w:t>
            </w:r>
          </w:p>
        </w:tc>
        <w:tc>
          <w:tcPr>
            <w:tcW w:w="1225" w:type="pct"/>
            <w:vMerge w:val="restart"/>
            <w:tcBorders>
              <w:top w:val="single" w:sz="4" w:space="0" w:color="auto"/>
              <w:left w:val="single" w:sz="4" w:space="0" w:color="auto"/>
              <w:bottom w:val="single" w:sz="4" w:space="0" w:color="auto"/>
              <w:right w:val="single" w:sz="4" w:space="0" w:color="auto"/>
            </w:tcBorders>
            <w:vAlign w:val="center"/>
          </w:tcPr>
          <w:p w14:paraId="1FFE28CF"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资产梳理</w:t>
            </w:r>
          </w:p>
        </w:tc>
        <w:tc>
          <w:tcPr>
            <w:tcW w:w="3293" w:type="pct"/>
            <w:tcBorders>
              <w:top w:val="single" w:sz="4" w:space="0" w:color="auto"/>
              <w:left w:val="single" w:sz="4" w:space="0" w:color="auto"/>
              <w:bottom w:val="single" w:sz="4" w:space="0" w:color="auto"/>
              <w:right w:val="single" w:sz="4" w:space="0" w:color="auto"/>
            </w:tcBorders>
            <w:vAlign w:val="center"/>
          </w:tcPr>
          <w:p w14:paraId="747043F8"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1、对网络资产进行全面清查和分类，包括硬件设备、软件系统、网络服务等，进行自动化扫描技术、风险评估与合</w:t>
            </w:r>
            <w:proofErr w:type="gramStart"/>
            <w:r>
              <w:rPr>
                <w:rFonts w:ascii="仿宋" w:eastAsia="仿宋" w:hAnsi="仿宋" w:hint="eastAsia"/>
                <w:color w:val="000000"/>
                <w:sz w:val="22"/>
                <w:szCs w:val="22"/>
              </w:rPr>
              <w:t>规</w:t>
            </w:r>
            <w:proofErr w:type="gramEnd"/>
            <w:r>
              <w:rPr>
                <w:rFonts w:ascii="仿宋" w:eastAsia="仿宋" w:hAnsi="仿宋" w:hint="eastAsia"/>
                <w:color w:val="000000"/>
                <w:sz w:val="22"/>
                <w:szCs w:val="22"/>
              </w:rPr>
              <w:t>扫描，并能够建立详细的资产清单。</w:t>
            </w:r>
          </w:p>
        </w:tc>
      </w:tr>
      <w:tr w:rsidR="0055088D" w14:paraId="73890173" w14:textId="77777777">
        <w:trPr>
          <w:trHeight w:val="525"/>
        </w:trPr>
        <w:tc>
          <w:tcPr>
            <w:tcW w:w="0" w:type="auto"/>
            <w:vMerge/>
            <w:tcBorders>
              <w:top w:val="single" w:sz="4" w:space="0" w:color="auto"/>
              <w:left w:val="single" w:sz="4" w:space="0" w:color="auto"/>
              <w:bottom w:val="single" w:sz="4" w:space="0" w:color="auto"/>
              <w:right w:val="single" w:sz="4" w:space="0" w:color="auto"/>
            </w:tcBorders>
            <w:vAlign w:val="center"/>
          </w:tcPr>
          <w:p w14:paraId="37E4410C"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AA02FA4"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7E508EF3"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2、对已清查的资产进行风险评估，识别潜在的安全威胁，并提出相应的风险管理措施。</w:t>
            </w:r>
          </w:p>
        </w:tc>
      </w:tr>
      <w:tr w:rsidR="0055088D" w14:paraId="2BB089CE" w14:textId="77777777">
        <w:trPr>
          <w:trHeight w:val="525"/>
        </w:trPr>
        <w:tc>
          <w:tcPr>
            <w:tcW w:w="0" w:type="auto"/>
            <w:vMerge/>
            <w:tcBorders>
              <w:top w:val="single" w:sz="4" w:space="0" w:color="auto"/>
              <w:left w:val="single" w:sz="4" w:space="0" w:color="auto"/>
              <w:bottom w:val="single" w:sz="4" w:space="0" w:color="auto"/>
              <w:right w:val="single" w:sz="4" w:space="0" w:color="auto"/>
            </w:tcBorders>
            <w:vAlign w:val="center"/>
          </w:tcPr>
          <w:p w14:paraId="6A099EAC"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E191D1B"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747E4882"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3、对资产变更的管理能力，以及对资产合</w:t>
            </w:r>
            <w:proofErr w:type="gramStart"/>
            <w:r>
              <w:rPr>
                <w:rFonts w:ascii="仿宋" w:eastAsia="仿宋" w:hAnsi="仿宋" w:hint="eastAsia"/>
                <w:color w:val="000000"/>
                <w:sz w:val="22"/>
                <w:szCs w:val="22"/>
              </w:rPr>
              <w:t>规</w:t>
            </w:r>
            <w:proofErr w:type="gramEnd"/>
            <w:r>
              <w:rPr>
                <w:rFonts w:ascii="仿宋" w:eastAsia="仿宋" w:hAnsi="仿宋" w:hint="eastAsia"/>
                <w:color w:val="000000"/>
                <w:sz w:val="22"/>
                <w:szCs w:val="22"/>
              </w:rPr>
              <w:t>性进行检查，确保资产的使用符合相关法律法规和安全标准。</w:t>
            </w:r>
          </w:p>
        </w:tc>
      </w:tr>
      <w:tr w:rsidR="0055088D" w14:paraId="7A779581" w14:textId="77777777">
        <w:trPr>
          <w:trHeight w:val="525"/>
        </w:trPr>
        <w:tc>
          <w:tcPr>
            <w:tcW w:w="481" w:type="pct"/>
            <w:vMerge w:val="restart"/>
            <w:tcBorders>
              <w:top w:val="single" w:sz="4" w:space="0" w:color="auto"/>
              <w:left w:val="single" w:sz="4" w:space="0" w:color="auto"/>
              <w:bottom w:val="single" w:sz="4" w:space="0" w:color="auto"/>
              <w:right w:val="single" w:sz="4" w:space="0" w:color="auto"/>
            </w:tcBorders>
            <w:vAlign w:val="center"/>
          </w:tcPr>
          <w:p w14:paraId="2EA370F0"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3</w:t>
            </w:r>
          </w:p>
        </w:tc>
        <w:tc>
          <w:tcPr>
            <w:tcW w:w="1225" w:type="pct"/>
            <w:vMerge w:val="restart"/>
            <w:tcBorders>
              <w:top w:val="single" w:sz="4" w:space="0" w:color="auto"/>
              <w:left w:val="single" w:sz="4" w:space="0" w:color="auto"/>
              <w:bottom w:val="single" w:sz="4" w:space="0" w:color="auto"/>
              <w:right w:val="single" w:sz="4" w:space="0" w:color="auto"/>
            </w:tcBorders>
            <w:vAlign w:val="center"/>
          </w:tcPr>
          <w:p w14:paraId="4F307D81"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流量分析</w:t>
            </w:r>
          </w:p>
        </w:tc>
        <w:tc>
          <w:tcPr>
            <w:tcW w:w="3293" w:type="pct"/>
            <w:tcBorders>
              <w:top w:val="single" w:sz="4" w:space="0" w:color="auto"/>
              <w:left w:val="single" w:sz="4" w:space="0" w:color="auto"/>
              <w:bottom w:val="single" w:sz="4" w:space="0" w:color="auto"/>
              <w:right w:val="single" w:sz="4" w:space="0" w:color="auto"/>
            </w:tcBorders>
            <w:vAlign w:val="center"/>
          </w:tcPr>
          <w:p w14:paraId="124BA14C"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1、使用网络流量监测工具进行流量数据采集的能力，包括对网络流量的实时监测和历史数据的采集与存储。</w:t>
            </w:r>
          </w:p>
        </w:tc>
      </w:tr>
      <w:tr w:rsidR="0055088D" w14:paraId="427F748F" w14:textId="77777777">
        <w:trPr>
          <w:trHeight w:val="510"/>
        </w:trPr>
        <w:tc>
          <w:tcPr>
            <w:tcW w:w="0" w:type="auto"/>
            <w:vMerge/>
            <w:tcBorders>
              <w:top w:val="single" w:sz="4" w:space="0" w:color="auto"/>
              <w:left w:val="single" w:sz="4" w:space="0" w:color="auto"/>
              <w:bottom w:val="single" w:sz="4" w:space="0" w:color="auto"/>
              <w:right w:val="single" w:sz="4" w:space="0" w:color="auto"/>
            </w:tcBorders>
            <w:vAlign w:val="center"/>
          </w:tcPr>
          <w:p w14:paraId="58AF7F35"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FAFEC25"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7B0323C0"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2、对采集到的流量数据进行分析，识别正常的网络流量模式和异常的流量行为，如DDoS攻击、恶意软件传播等。</w:t>
            </w:r>
          </w:p>
        </w:tc>
      </w:tr>
      <w:tr w:rsidR="0055088D" w14:paraId="4B1D94C7" w14:textId="77777777">
        <w:trPr>
          <w:trHeight w:val="780"/>
        </w:trPr>
        <w:tc>
          <w:tcPr>
            <w:tcW w:w="0" w:type="auto"/>
            <w:vMerge/>
            <w:tcBorders>
              <w:top w:val="single" w:sz="4" w:space="0" w:color="auto"/>
              <w:left w:val="single" w:sz="4" w:space="0" w:color="auto"/>
              <w:bottom w:val="single" w:sz="4" w:space="0" w:color="auto"/>
              <w:right w:val="single" w:sz="4" w:space="0" w:color="auto"/>
            </w:tcBorders>
            <w:vAlign w:val="center"/>
          </w:tcPr>
          <w:p w14:paraId="2EA77CE0"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A6E5891"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26489F8C"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3、根据流量分析结果进行网络流量优化和安全防护的能力，如通过流量整形、带宽管理等技术提高网络性能，同时采取相应的安全措施防范流量中的安全威</w:t>
            </w:r>
            <w:r>
              <w:rPr>
                <w:rFonts w:ascii="仿宋" w:eastAsia="仿宋" w:hAnsi="仿宋" w:hint="eastAsia"/>
                <w:color w:val="000000"/>
                <w:sz w:val="22"/>
                <w:szCs w:val="22"/>
              </w:rPr>
              <w:lastRenderedPageBreak/>
              <w:t>胁。</w:t>
            </w:r>
          </w:p>
        </w:tc>
      </w:tr>
      <w:tr w:rsidR="0055088D" w14:paraId="70E55D71" w14:textId="77777777">
        <w:trPr>
          <w:trHeight w:val="525"/>
        </w:trPr>
        <w:tc>
          <w:tcPr>
            <w:tcW w:w="481" w:type="pct"/>
            <w:vMerge w:val="restart"/>
            <w:tcBorders>
              <w:top w:val="single" w:sz="4" w:space="0" w:color="auto"/>
              <w:left w:val="single" w:sz="4" w:space="0" w:color="auto"/>
              <w:bottom w:val="single" w:sz="4" w:space="0" w:color="auto"/>
              <w:right w:val="single" w:sz="4" w:space="0" w:color="auto"/>
            </w:tcBorders>
            <w:vAlign w:val="center"/>
          </w:tcPr>
          <w:p w14:paraId="48E164BE"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lastRenderedPageBreak/>
              <w:t>4</w:t>
            </w:r>
          </w:p>
        </w:tc>
        <w:tc>
          <w:tcPr>
            <w:tcW w:w="1225" w:type="pct"/>
            <w:vMerge w:val="restart"/>
            <w:tcBorders>
              <w:top w:val="single" w:sz="4" w:space="0" w:color="auto"/>
              <w:left w:val="single" w:sz="4" w:space="0" w:color="auto"/>
              <w:bottom w:val="single" w:sz="4" w:space="0" w:color="auto"/>
              <w:right w:val="single" w:sz="4" w:space="0" w:color="auto"/>
            </w:tcBorders>
            <w:vAlign w:val="center"/>
          </w:tcPr>
          <w:p w14:paraId="09E2ADAF"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安全加固</w:t>
            </w:r>
          </w:p>
        </w:tc>
        <w:tc>
          <w:tcPr>
            <w:tcW w:w="3293" w:type="pct"/>
            <w:tcBorders>
              <w:top w:val="single" w:sz="4" w:space="0" w:color="auto"/>
              <w:left w:val="single" w:sz="4" w:space="0" w:color="auto"/>
              <w:bottom w:val="single" w:sz="4" w:space="0" w:color="auto"/>
              <w:right w:val="single" w:sz="4" w:space="0" w:color="auto"/>
            </w:tcBorders>
            <w:vAlign w:val="center"/>
          </w:tcPr>
          <w:p w14:paraId="582DD230"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1、对操作系统和常用应用程序进行安全加固的能力，包括更新补丁、配置安全策略、关闭不必要的服务和端口等。</w:t>
            </w:r>
          </w:p>
        </w:tc>
      </w:tr>
      <w:tr w:rsidR="0055088D" w14:paraId="46009BC6" w14:textId="77777777">
        <w:trPr>
          <w:trHeight w:val="780"/>
        </w:trPr>
        <w:tc>
          <w:tcPr>
            <w:tcW w:w="0" w:type="auto"/>
            <w:vMerge/>
            <w:tcBorders>
              <w:top w:val="single" w:sz="4" w:space="0" w:color="auto"/>
              <w:left w:val="single" w:sz="4" w:space="0" w:color="auto"/>
              <w:bottom w:val="single" w:sz="4" w:space="0" w:color="auto"/>
              <w:right w:val="single" w:sz="4" w:space="0" w:color="auto"/>
            </w:tcBorders>
            <w:vAlign w:val="center"/>
          </w:tcPr>
          <w:p w14:paraId="2A3EA85F"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0CE02C7"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3A4D63F6"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2、对网络服务（如Web服务器、邮件服务器等）进行安全配置和加固，防止常见的网络攻击，如反序列化、CC链、未授权漏洞等。</w:t>
            </w:r>
          </w:p>
        </w:tc>
      </w:tr>
      <w:tr w:rsidR="0055088D" w14:paraId="078AE633" w14:textId="77777777">
        <w:trPr>
          <w:trHeight w:val="525"/>
        </w:trPr>
        <w:tc>
          <w:tcPr>
            <w:tcW w:w="0" w:type="auto"/>
            <w:vMerge/>
            <w:tcBorders>
              <w:top w:val="single" w:sz="4" w:space="0" w:color="auto"/>
              <w:left w:val="single" w:sz="4" w:space="0" w:color="auto"/>
              <w:bottom w:val="single" w:sz="4" w:space="0" w:color="auto"/>
              <w:right w:val="single" w:sz="4" w:space="0" w:color="auto"/>
            </w:tcBorders>
            <w:vAlign w:val="center"/>
          </w:tcPr>
          <w:p w14:paraId="2064D8BE"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7DBB462"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22A3F8C2"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3、对敏感数据进行加密处理的能力，以及设置合理的访问控制策略，确保数据的安全性和保密性。</w:t>
            </w:r>
          </w:p>
        </w:tc>
      </w:tr>
      <w:tr w:rsidR="0055088D" w14:paraId="19A0195D" w14:textId="77777777">
        <w:trPr>
          <w:trHeight w:val="525"/>
        </w:trPr>
        <w:tc>
          <w:tcPr>
            <w:tcW w:w="481" w:type="pct"/>
            <w:vMerge w:val="restart"/>
            <w:tcBorders>
              <w:top w:val="single" w:sz="4" w:space="0" w:color="auto"/>
              <w:left w:val="single" w:sz="4" w:space="0" w:color="auto"/>
              <w:bottom w:val="single" w:sz="4" w:space="0" w:color="auto"/>
              <w:right w:val="single" w:sz="4" w:space="0" w:color="auto"/>
            </w:tcBorders>
            <w:vAlign w:val="center"/>
          </w:tcPr>
          <w:p w14:paraId="76ADDD15"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5</w:t>
            </w:r>
          </w:p>
        </w:tc>
        <w:tc>
          <w:tcPr>
            <w:tcW w:w="1225" w:type="pct"/>
            <w:vMerge w:val="restart"/>
            <w:tcBorders>
              <w:top w:val="single" w:sz="4" w:space="0" w:color="auto"/>
              <w:left w:val="single" w:sz="4" w:space="0" w:color="auto"/>
              <w:bottom w:val="single" w:sz="4" w:space="0" w:color="auto"/>
              <w:right w:val="single" w:sz="4" w:space="0" w:color="auto"/>
            </w:tcBorders>
            <w:vAlign w:val="center"/>
          </w:tcPr>
          <w:p w14:paraId="0707756E"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应急响应</w:t>
            </w:r>
          </w:p>
        </w:tc>
        <w:tc>
          <w:tcPr>
            <w:tcW w:w="3293" w:type="pct"/>
            <w:tcBorders>
              <w:top w:val="single" w:sz="4" w:space="0" w:color="auto"/>
              <w:left w:val="single" w:sz="4" w:space="0" w:color="auto"/>
              <w:bottom w:val="single" w:sz="4" w:space="0" w:color="auto"/>
              <w:right w:val="single" w:sz="4" w:space="0" w:color="auto"/>
            </w:tcBorders>
            <w:vAlign w:val="center"/>
          </w:tcPr>
          <w:p w14:paraId="4430A7BF"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1、及时发现安全事件的能力，包括对网络入侵、数据泄露等安全事件的快速检测和预警。</w:t>
            </w:r>
          </w:p>
        </w:tc>
      </w:tr>
      <w:tr w:rsidR="0055088D" w14:paraId="4DCB3B8B" w14:textId="77777777">
        <w:trPr>
          <w:trHeight w:val="525"/>
        </w:trPr>
        <w:tc>
          <w:tcPr>
            <w:tcW w:w="0" w:type="auto"/>
            <w:vMerge/>
            <w:tcBorders>
              <w:top w:val="single" w:sz="4" w:space="0" w:color="auto"/>
              <w:left w:val="single" w:sz="4" w:space="0" w:color="auto"/>
              <w:bottom w:val="single" w:sz="4" w:space="0" w:color="auto"/>
              <w:right w:val="single" w:sz="4" w:space="0" w:color="auto"/>
            </w:tcBorders>
            <w:vAlign w:val="center"/>
          </w:tcPr>
          <w:p w14:paraId="2DF9C97F"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2B3D644"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282FD355"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2、应急响应的基本流程和策略，在安全事件发生时能够迅速采取措施进行遏制和消除，减少损失和影响。</w:t>
            </w:r>
          </w:p>
        </w:tc>
      </w:tr>
      <w:tr w:rsidR="0055088D" w14:paraId="7BDE5436" w14:textId="77777777">
        <w:trPr>
          <w:trHeight w:val="525"/>
        </w:trPr>
        <w:tc>
          <w:tcPr>
            <w:tcW w:w="0" w:type="auto"/>
            <w:vMerge/>
            <w:tcBorders>
              <w:top w:val="single" w:sz="4" w:space="0" w:color="auto"/>
              <w:left w:val="single" w:sz="4" w:space="0" w:color="auto"/>
              <w:bottom w:val="single" w:sz="4" w:space="0" w:color="auto"/>
              <w:right w:val="single" w:sz="4" w:space="0" w:color="auto"/>
            </w:tcBorders>
            <w:vAlign w:val="center"/>
          </w:tcPr>
          <w:p w14:paraId="08B83145"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D46DB84"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42601A50"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3、在安全事件处理后对系统进行快速恢复和数据备份的能力，确保业务的连续性和数据的完整性。</w:t>
            </w:r>
          </w:p>
        </w:tc>
      </w:tr>
      <w:tr w:rsidR="0055088D" w14:paraId="3FA836E6" w14:textId="77777777">
        <w:trPr>
          <w:trHeight w:val="525"/>
        </w:trPr>
        <w:tc>
          <w:tcPr>
            <w:tcW w:w="481" w:type="pct"/>
            <w:vMerge w:val="restart"/>
            <w:tcBorders>
              <w:top w:val="single" w:sz="4" w:space="0" w:color="auto"/>
              <w:left w:val="single" w:sz="4" w:space="0" w:color="auto"/>
              <w:bottom w:val="single" w:sz="4" w:space="0" w:color="auto"/>
              <w:right w:val="single" w:sz="4" w:space="0" w:color="auto"/>
            </w:tcBorders>
            <w:vAlign w:val="center"/>
          </w:tcPr>
          <w:p w14:paraId="1B51A410"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6</w:t>
            </w:r>
          </w:p>
        </w:tc>
        <w:tc>
          <w:tcPr>
            <w:tcW w:w="1225" w:type="pct"/>
            <w:vMerge w:val="restart"/>
            <w:tcBorders>
              <w:top w:val="single" w:sz="4" w:space="0" w:color="auto"/>
              <w:left w:val="single" w:sz="4" w:space="0" w:color="auto"/>
              <w:bottom w:val="single" w:sz="4" w:space="0" w:color="auto"/>
              <w:right w:val="single" w:sz="4" w:space="0" w:color="auto"/>
            </w:tcBorders>
            <w:vAlign w:val="center"/>
          </w:tcPr>
          <w:p w14:paraId="260FCAD0"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日志分析</w:t>
            </w:r>
          </w:p>
        </w:tc>
        <w:tc>
          <w:tcPr>
            <w:tcW w:w="3293" w:type="pct"/>
            <w:tcBorders>
              <w:top w:val="single" w:sz="4" w:space="0" w:color="auto"/>
              <w:left w:val="single" w:sz="4" w:space="0" w:color="auto"/>
              <w:bottom w:val="single" w:sz="4" w:space="0" w:color="auto"/>
              <w:right w:val="single" w:sz="4" w:space="0" w:color="auto"/>
            </w:tcBorders>
            <w:vAlign w:val="center"/>
          </w:tcPr>
          <w:p w14:paraId="46E44E9A"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1、对各类设备和应用系统的日志进行收集和整理，确保日志数据的完整性和可用性。</w:t>
            </w:r>
          </w:p>
        </w:tc>
      </w:tr>
      <w:tr w:rsidR="0055088D" w14:paraId="0D88D155" w14:textId="77777777">
        <w:trPr>
          <w:trHeight w:val="525"/>
        </w:trPr>
        <w:tc>
          <w:tcPr>
            <w:tcW w:w="0" w:type="auto"/>
            <w:vMerge/>
            <w:tcBorders>
              <w:top w:val="single" w:sz="4" w:space="0" w:color="auto"/>
              <w:left w:val="single" w:sz="4" w:space="0" w:color="auto"/>
              <w:bottom w:val="single" w:sz="4" w:space="0" w:color="auto"/>
              <w:right w:val="single" w:sz="4" w:space="0" w:color="auto"/>
            </w:tcBorders>
            <w:vAlign w:val="center"/>
          </w:tcPr>
          <w:p w14:paraId="334EDDF0"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3A5057E"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1CD0B3A7"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2、对日志数据进行深入分析，识别其中的安全事件和异常行为，并能够通过日志追溯安全事件的源头和攻击路径。</w:t>
            </w:r>
          </w:p>
        </w:tc>
      </w:tr>
      <w:tr w:rsidR="0055088D" w14:paraId="7985989B" w14:textId="77777777">
        <w:trPr>
          <w:trHeight w:val="525"/>
        </w:trPr>
        <w:tc>
          <w:tcPr>
            <w:tcW w:w="481" w:type="pct"/>
            <w:vMerge w:val="restart"/>
            <w:tcBorders>
              <w:top w:val="single" w:sz="4" w:space="0" w:color="auto"/>
              <w:left w:val="single" w:sz="4" w:space="0" w:color="auto"/>
              <w:bottom w:val="single" w:sz="4" w:space="0" w:color="auto"/>
              <w:right w:val="single" w:sz="4" w:space="0" w:color="auto"/>
            </w:tcBorders>
            <w:noWrap/>
            <w:vAlign w:val="center"/>
          </w:tcPr>
          <w:p w14:paraId="54D35E2E"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7</w:t>
            </w:r>
          </w:p>
        </w:tc>
        <w:tc>
          <w:tcPr>
            <w:tcW w:w="1225" w:type="pct"/>
            <w:vMerge w:val="restart"/>
            <w:tcBorders>
              <w:top w:val="single" w:sz="4" w:space="0" w:color="auto"/>
              <w:left w:val="single" w:sz="4" w:space="0" w:color="auto"/>
              <w:bottom w:val="single" w:sz="4" w:space="0" w:color="auto"/>
              <w:right w:val="single" w:sz="4" w:space="0" w:color="auto"/>
            </w:tcBorders>
            <w:noWrap/>
            <w:vAlign w:val="center"/>
          </w:tcPr>
          <w:p w14:paraId="4BD0DC4F"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渗透测试</w:t>
            </w:r>
          </w:p>
        </w:tc>
        <w:tc>
          <w:tcPr>
            <w:tcW w:w="3293" w:type="pct"/>
            <w:tcBorders>
              <w:top w:val="single" w:sz="4" w:space="0" w:color="auto"/>
              <w:left w:val="single" w:sz="4" w:space="0" w:color="auto"/>
              <w:bottom w:val="single" w:sz="4" w:space="0" w:color="auto"/>
              <w:right w:val="single" w:sz="4" w:space="0" w:color="auto"/>
            </w:tcBorders>
            <w:vAlign w:val="center"/>
          </w:tcPr>
          <w:p w14:paraId="26A0951F"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1、进行目标系统信息收集和漏洞扫描的能力，包括使用各种工具和技术获取目标系统的相关信息和发现潜在的漏洞。</w:t>
            </w:r>
          </w:p>
        </w:tc>
      </w:tr>
      <w:tr w:rsidR="0055088D" w14:paraId="5FCF2CCE" w14:textId="77777777">
        <w:trPr>
          <w:trHeight w:val="510"/>
        </w:trPr>
        <w:tc>
          <w:tcPr>
            <w:tcW w:w="0" w:type="auto"/>
            <w:vMerge/>
            <w:tcBorders>
              <w:top w:val="single" w:sz="4" w:space="0" w:color="auto"/>
              <w:left w:val="single" w:sz="4" w:space="0" w:color="auto"/>
              <w:bottom w:val="single" w:sz="4" w:space="0" w:color="auto"/>
              <w:right w:val="single" w:sz="4" w:space="0" w:color="auto"/>
            </w:tcBorders>
            <w:vAlign w:val="center"/>
          </w:tcPr>
          <w:p w14:paraId="153C640D"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8D7165F"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7E821792"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2、利用发现的漏洞进行模拟攻击，验证漏洞的真实性和</w:t>
            </w:r>
            <w:proofErr w:type="gramStart"/>
            <w:r>
              <w:rPr>
                <w:rFonts w:ascii="仿宋" w:eastAsia="仿宋" w:hAnsi="仿宋" w:hint="eastAsia"/>
                <w:color w:val="000000"/>
                <w:sz w:val="22"/>
                <w:szCs w:val="22"/>
              </w:rPr>
              <w:t>可</w:t>
            </w:r>
            <w:proofErr w:type="gramEnd"/>
            <w:r>
              <w:rPr>
                <w:rFonts w:ascii="仿宋" w:eastAsia="仿宋" w:hAnsi="仿宋" w:hint="eastAsia"/>
                <w:color w:val="000000"/>
                <w:sz w:val="22"/>
                <w:szCs w:val="22"/>
              </w:rPr>
              <w:t>利用性，同时掌握不同的攻击技术和方法。</w:t>
            </w:r>
          </w:p>
        </w:tc>
      </w:tr>
      <w:tr w:rsidR="0055088D" w14:paraId="5E607194" w14:textId="77777777">
        <w:trPr>
          <w:trHeight w:val="525"/>
        </w:trPr>
        <w:tc>
          <w:tcPr>
            <w:tcW w:w="0" w:type="auto"/>
            <w:vMerge/>
            <w:tcBorders>
              <w:top w:val="single" w:sz="4" w:space="0" w:color="auto"/>
              <w:left w:val="single" w:sz="4" w:space="0" w:color="auto"/>
              <w:bottom w:val="single" w:sz="4" w:space="0" w:color="auto"/>
              <w:right w:val="single" w:sz="4" w:space="0" w:color="auto"/>
            </w:tcBorders>
            <w:vAlign w:val="center"/>
          </w:tcPr>
          <w:p w14:paraId="29F6C2EA" w14:textId="77777777" w:rsidR="0055088D" w:rsidRDefault="0055088D">
            <w:pPr>
              <w:adjustRightInd w:val="0"/>
              <w:snapToGrid w:val="0"/>
              <w:jc w:val="center"/>
              <w:rPr>
                <w:rFonts w:ascii="仿宋" w:eastAsia="仿宋" w:hAnsi="仿宋"/>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AA049F2" w14:textId="77777777" w:rsidR="0055088D" w:rsidRDefault="0055088D">
            <w:pPr>
              <w:adjustRightInd w:val="0"/>
              <w:snapToGrid w:val="0"/>
              <w:jc w:val="center"/>
              <w:rPr>
                <w:rFonts w:ascii="仿宋" w:eastAsia="仿宋" w:hAnsi="仿宋"/>
                <w:color w:val="000000"/>
                <w:sz w:val="22"/>
                <w:szCs w:val="22"/>
              </w:rPr>
            </w:pPr>
          </w:p>
        </w:tc>
        <w:tc>
          <w:tcPr>
            <w:tcW w:w="3293" w:type="pct"/>
            <w:tcBorders>
              <w:top w:val="single" w:sz="4" w:space="0" w:color="auto"/>
              <w:left w:val="single" w:sz="4" w:space="0" w:color="auto"/>
              <w:bottom w:val="single" w:sz="4" w:space="0" w:color="auto"/>
              <w:right w:val="single" w:sz="4" w:space="0" w:color="auto"/>
            </w:tcBorders>
            <w:vAlign w:val="center"/>
          </w:tcPr>
          <w:p w14:paraId="7241B8EE" w14:textId="77777777" w:rsidR="0055088D" w:rsidRDefault="00405ABE">
            <w:pPr>
              <w:adjustRightInd w:val="0"/>
              <w:snapToGrid w:val="0"/>
              <w:jc w:val="left"/>
              <w:rPr>
                <w:rFonts w:ascii="仿宋" w:eastAsia="仿宋" w:hAnsi="仿宋"/>
                <w:color w:val="000000"/>
                <w:sz w:val="22"/>
                <w:szCs w:val="22"/>
              </w:rPr>
            </w:pPr>
            <w:r>
              <w:rPr>
                <w:rFonts w:ascii="仿宋" w:eastAsia="仿宋" w:hAnsi="仿宋" w:hint="eastAsia"/>
                <w:color w:val="000000"/>
                <w:sz w:val="22"/>
                <w:szCs w:val="22"/>
              </w:rPr>
              <w:t>3、内</w:t>
            </w:r>
            <w:proofErr w:type="gramStart"/>
            <w:r>
              <w:rPr>
                <w:rFonts w:ascii="仿宋" w:eastAsia="仿宋" w:hAnsi="仿宋" w:hint="eastAsia"/>
                <w:color w:val="000000"/>
                <w:sz w:val="22"/>
                <w:szCs w:val="22"/>
              </w:rPr>
              <w:t>网环境</w:t>
            </w:r>
            <w:proofErr w:type="gramEnd"/>
            <w:r>
              <w:rPr>
                <w:rFonts w:ascii="仿宋" w:eastAsia="仿宋" w:hAnsi="仿宋" w:hint="eastAsia"/>
                <w:color w:val="000000"/>
                <w:sz w:val="22"/>
                <w:szCs w:val="22"/>
              </w:rPr>
              <w:t>中的渗透能力，包括绕过网络防御、获取内网资源访问权限、提升权限等，以全面评估目标网络的安全性。</w:t>
            </w:r>
          </w:p>
        </w:tc>
      </w:tr>
      <w:tr w:rsidR="0055088D" w14:paraId="37FDE18F" w14:textId="77777777">
        <w:trPr>
          <w:trHeight w:val="525"/>
        </w:trPr>
        <w:tc>
          <w:tcPr>
            <w:tcW w:w="0" w:type="auto"/>
            <w:tcBorders>
              <w:top w:val="single" w:sz="4" w:space="0" w:color="auto"/>
              <w:left w:val="single" w:sz="4" w:space="0" w:color="auto"/>
              <w:bottom w:val="single" w:sz="4" w:space="0" w:color="auto"/>
              <w:right w:val="single" w:sz="4" w:space="0" w:color="auto"/>
            </w:tcBorders>
            <w:vAlign w:val="center"/>
          </w:tcPr>
          <w:p w14:paraId="34F222FE"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8</w:t>
            </w:r>
          </w:p>
        </w:tc>
        <w:tc>
          <w:tcPr>
            <w:tcW w:w="0" w:type="auto"/>
            <w:tcBorders>
              <w:top w:val="single" w:sz="4" w:space="0" w:color="auto"/>
              <w:left w:val="single" w:sz="4" w:space="0" w:color="auto"/>
              <w:bottom w:val="single" w:sz="4" w:space="0" w:color="auto"/>
              <w:right w:val="single" w:sz="4" w:space="0" w:color="auto"/>
            </w:tcBorders>
            <w:vAlign w:val="center"/>
          </w:tcPr>
          <w:p w14:paraId="48353726" w14:textId="77777777" w:rsidR="0055088D" w:rsidRDefault="00405ABE">
            <w:pPr>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方案展示与答辩</w:t>
            </w:r>
          </w:p>
        </w:tc>
        <w:tc>
          <w:tcPr>
            <w:tcW w:w="3293" w:type="pct"/>
            <w:tcBorders>
              <w:top w:val="single" w:sz="4" w:space="0" w:color="auto"/>
              <w:left w:val="single" w:sz="4" w:space="0" w:color="auto"/>
              <w:bottom w:val="single" w:sz="4" w:space="0" w:color="auto"/>
              <w:right w:val="single" w:sz="4" w:space="0" w:color="auto"/>
            </w:tcBorders>
            <w:vAlign w:val="center"/>
          </w:tcPr>
          <w:p w14:paraId="3C919495" w14:textId="77777777" w:rsidR="0055088D" w:rsidRDefault="00405ABE">
            <w:pPr>
              <w:adjustRightInd w:val="0"/>
              <w:snapToGrid w:val="0"/>
              <w:jc w:val="left"/>
              <w:rPr>
                <w:rFonts w:ascii="仿宋" w:eastAsia="仿宋" w:hAnsi="仿宋"/>
                <w:color w:val="000000"/>
                <w:sz w:val="22"/>
                <w:szCs w:val="22"/>
              </w:rPr>
            </w:pPr>
            <w:r>
              <w:rPr>
                <w:rFonts w:ascii="Segoe UI" w:eastAsia="Segoe UI" w:hAnsi="Segoe UI" w:cs="Segoe UI"/>
                <w:color w:val="0F1115"/>
                <w:sz w:val="18"/>
                <w:szCs w:val="18"/>
                <w:shd w:val="clear" w:color="auto" w:fill="FFFFFF"/>
              </w:rPr>
              <w:t>1</w:t>
            </w:r>
            <w:r>
              <w:rPr>
                <w:rFonts w:ascii="仿宋" w:eastAsia="仿宋" w:hAnsi="仿宋" w:hint="eastAsia"/>
                <w:color w:val="000000"/>
                <w:sz w:val="22"/>
                <w:szCs w:val="22"/>
              </w:rPr>
              <w:t>、基于竞赛任务，制作并展示安全方案</w:t>
            </w:r>
            <w:r>
              <w:rPr>
                <w:rFonts w:ascii="仿宋" w:eastAsia="仿宋" w:hAnsi="仿宋"/>
                <w:color w:val="000000"/>
                <w:sz w:val="22"/>
                <w:szCs w:val="22"/>
              </w:rPr>
              <w:br/>
              <w:t>2、团队协作进行现场陈述，并清晰、准确地回答评委提问。</w:t>
            </w:r>
          </w:p>
        </w:tc>
      </w:tr>
    </w:tbl>
    <w:p w14:paraId="21C30517" w14:textId="77777777" w:rsidR="0055088D" w:rsidRDefault="00405ABE">
      <w:pPr>
        <w:pStyle w:val="a9"/>
        <w:adjustRightInd w:val="0"/>
        <w:snapToGrid w:val="0"/>
        <w:spacing w:beforeLines="50" w:before="156" w:afterLines="50" w:after="156" w:line="560" w:lineRule="exact"/>
        <w:ind w:leftChars="200" w:left="420" w:firstLineChars="0" w:firstLine="0"/>
        <w:rPr>
          <w:rFonts w:ascii="仿宋" w:eastAsia="仿宋" w:hAnsi="仿宋"/>
          <w:color w:val="000000"/>
          <w:sz w:val="28"/>
          <w:szCs w:val="28"/>
        </w:rPr>
      </w:pPr>
      <w:r>
        <w:rPr>
          <w:rFonts w:ascii="仿宋" w:eastAsia="仿宋" w:hAnsi="仿宋" w:hint="eastAsia"/>
          <w:color w:val="000000"/>
          <w:sz w:val="28"/>
          <w:szCs w:val="28"/>
        </w:rPr>
        <w:t>7.竞赛分值权重和时间分布</w:t>
      </w: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5103"/>
        <w:gridCol w:w="1213"/>
      </w:tblGrid>
      <w:tr w:rsidR="0055088D" w14:paraId="303BDB17" w14:textId="77777777">
        <w:trPr>
          <w:trHeight w:val="478"/>
          <w:jc w:val="center"/>
        </w:trPr>
        <w:tc>
          <w:tcPr>
            <w:tcW w:w="1980" w:type="dxa"/>
            <w:vAlign w:val="center"/>
          </w:tcPr>
          <w:p w14:paraId="51A70A89" w14:textId="77777777" w:rsidR="0055088D" w:rsidRDefault="00405ABE">
            <w:pPr>
              <w:widowControl/>
              <w:adjustRightInd w:val="0"/>
              <w:snapToGrid w:val="0"/>
              <w:jc w:val="center"/>
              <w:rPr>
                <w:rFonts w:ascii="仿宋" w:eastAsia="仿宋" w:hAnsi="仿宋"/>
                <w:b/>
                <w:bCs/>
                <w:color w:val="000000"/>
                <w:sz w:val="22"/>
                <w:szCs w:val="22"/>
              </w:rPr>
            </w:pPr>
            <w:r>
              <w:rPr>
                <w:rFonts w:ascii="仿宋" w:eastAsia="仿宋" w:hAnsi="仿宋" w:hint="eastAsia"/>
                <w:b/>
                <w:bCs/>
                <w:color w:val="000000"/>
                <w:sz w:val="22"/>
                <w:szCs w:val="22"/>
              </w:rPr>
              <w:t>序号</w:t>
            </w:r>
          </w:p>
        </w:tc>
        <w:tc>
          <w:tcPr>
            <w:tcW w:w="5103" w:type="dxa"/>
            <w:vAlign w:val="center"/>
          </w:tcPr>
          <w:p w14:paraId="104C190B" w14:textId="77777777" w:rsidR="0055088D" w:rsidRDefault="00405ABE">
            <w:pPr>
              <w:widowControl/>
              <w:adjustRightInd w:val="0"/>
              <w:snapToGrid w:val="0"/>
              <w:jc w:val="center"/>
              <w:rPr>
                <w:rFonts w:ascii="仿宋" w:eastAsia="仿宋" w:hAnsi="仿宋"/>
                <w:b/>
                <w:bCs/>
                <w:color w:val="000000"/>
                <w:sz w:val="22"/>
                <w:szCs w:val="22"/>
              </w:rPr>
            </w:pPr>
            <w:r>
              <w:rPr>
                <w:rFonts w:ascii="仿宋" w:eastAsia="仿宋" w:hAnsi="仿宋" w:hint="eastAsia"/>
                <w:b/>
                <w:bCs/>
                <w:color w:val="000000"/>
                <w:sz w:val="22"/>
                <w:szCs w:val="22"/>
              </w:rPr>
              <w:t>内容模块</w:t>
            </w:r>
          </w:p>
        </w:tc>
        <w:tc>
          <w:tcPr>
            <w:tcW w:w="1213" w:type="dxa"/>
            <w:vAlign w:val="center"/>
          </w:tcPr>
          <w:p w14:paraId="5269645B" w14:textId="77777777" w:rsidR="0055088D" w:rsidRDefault="00405ABE">
            <w:pPr>
              <w:widowControl/>
              <w:adjustRightInd w:val="0"/>
              <w:snapToGrid w:val="0"/>
              <w:jc w:val="center"/>
              <w:rPr>
                <w:rFonts w:ascii="仿宋" w:eastAsia="仿宋" w:hAnsi="仿宋"/>
                <w:b/>
                <w:bCs/>
                <w:color w:val="000000"/>
                <w:sz w:val="22"/>
                <w:szCs w:val="22"/>
              </w:rPr>
            </w:pPr>
            <w:r>
              <w:rPr>
                <w:rFonts w:ascii="仿宋" w:eastAsia="仿宋" w:hAnsi="仿宋" w:hint="eastAsia"/>
                <w:b/>
                <w:bCs/>
                <w:color w:val="000000"/>
                <w:sz w:val="22"/>
                <w:szCs w:val="22"/>
              </w:rPr>
              <w:t>竞赛时间</w:t>
            </w:r>
          </w:p>
        </w:tc>
      </w:tr>
      <w:tr w:rsidR="0055088D" w14:paraId="4E3F4582" w14:textId="77777777">
        <w:trPr>
          <w:trHeight w:val="1255"/>
          <w:jc w:val="center"/>
        </w:trPr>
        <w:tc>
          <w:tcPr>
            <w:tcW w:w="1980" w:type="dxa"/>
            <w:vAlign w:val="center"/>
          </w:tcPr>
          <w:p w14:paraId="0350C7A4"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第一阶段</w:t>
            </w:r>
          </w:p>
          <w:p w14:paraId="4D07A097"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权重20%</w:t>
            </w:r>
          </w:p>
        </w:tc>
        <w:tc>
          <w:tcPr>
            <w:tcW w:w="5103" w:type="dxa"/>
            <w:vAlign w:val="center"/>
          </w:tcPr>
          <w:p w14:paraId="38A89BAC"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网络平台搭建与网络安全设备配置与防护（网络与安全设备配置、资产梳理、流量分析）</w:t>
            </w:r>
          </w:p>
        </w:tc>
        <w:tc>
          <w:tcPr>
            <w:tcW w:w="1213" w:type="dxa"/>
            <w:vAlign w:val="center"/>
          </w:tcPr>
          <w:p w14:paraId="3768E5A9"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60分钟</w:t>
            </w:r>
          </w:p>
        </w:tc>
      </w:tr>
      <w:tr w:rsidR="0055088D" w14:paraId="3A766D51" w14:textId="77777777">
        <w:trPr>
          <w:trHeight w:val="810"/>
          <w:jc w:val="center"/>
        </w:trPr>
        <w:tc>
          <w:tcPr>
            <w:tcW w:w="1980" w:type="dxa"/>
            <w:vAlign w:val="center"/>
          </w:tcPr>
          <w:p w14:paraId="6C5A6025"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第二阶段</w:t>
            </w:r>
          </w:p>
          <w:p w14:paraId="62275610"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权重20%</w:t>
            </w:r>
          </w:p>
        </w:tc>
        <w:tc>
          <w:tcPr>
            <w:tcW w:w="5103" w:type="dxa"/>
            <w:vAlign w:val="center"/>
          </w:tcPr>
          <w:p w14:paraId="1A1D8FF0"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网络安全事件响应、数字取证调查、应用程序安全（安全加固、应急响应、日志分析）</w:t>
            </w:r>
          </w:p>
        </w:tc>
        <w:tc>
          <w:tcPr>
            <w:tcW w:w="1213" w:type="dxa"/>
            <w:vAlign w:val="center"/>
          </w:tcPr>
          <w:p w14:paraId="7B27A1C8"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60分钟</w:t>
            </w:r>
          </w:p>
        </w:tc>
      </w:tr>
      <w:tr w:rsidR="0055088D" w14:paraId="3C33ADDD" w14:textId="77777777">
        <w:trPr>
          <w:trHeight w:val="785"/>
          <w:jc w:val="center"/>
        </w:trPr>
        <w:tc>
          <w:tcPr>
            <w:tcW w:w="1980" w:type="dxa"/>
            <w:vAlign w:val="center"/>
          </w:tcPr>
          <w:p w14:paraId="6C4C9969"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lastRenderedPageBreak/>
              <w:t>第三阶段</w:t>
            </w:r>
          </w:p>
          <w:p w14:paraId="51A63AF1"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权重30%</w:t>
            </w:r>
          </w:p>
        </w:tc>
        <w:tc>
          <w:tcPr>
            <w:tcW w:w="5103" w:type="dxa"/>
            <w:vAlign w:val="center"/>
          </w:tcPr>
          <w:p w14:paraId="71301BAB"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网络安全渗透、理论技能与职业素养</w:t>
            </w:r>
            <w:r>
              <w:rPr>
                <w:rFonts w:ascii="仿宋" w:eastAsia="仿宋" w:hAnsi="仿宋"/>
                <w:color w:val="000000"/>
                <w:sz w:val="22"/>
                <w:szCs w:val="22"/>
              </w:rPr>
              <w:br/>
            </w:r>
            <w:r>
              <w:rPr>
                <w:rFonts w:ascii="仿宋" w:eastAsia="仿宋" w:hAnsi="仿宋" w:hint="eastAsia"/>
                <w:color w:val="000000"/>
                <w:sz w:val="22"/>
                <w:szCs w:val="22"/>
              </w:rPr>
              <w:t>（渗透测试、理论技能与职业素养）</w:t>
            </w:r>
          </w:p>
        </w:tc>
        <w:tc>
          <w:tcPr>
            <w:tcW w:w="1213" w:type="dxa"/>
            <w:vAlign w:val="center"/>
          </w:tcPr>
          <w:p w14:paraId="5DA27371"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60分钟</w:t>
            </w:r>
          </w:p>
        </w:tc>
      </w:tr>
      <w:tr w:rsidR="0055088D" w14:paraId="478425A9" w14:textId="77777777">
        <w:trPr>
          <w:trHeight w:val="745"/>
          <w:jc w:val="center"/>
        </w:trPr>
        <w:tc>
          <w:tcPr>
            <w:tcW w:w="1980" w:type="dxa"/>
            <w:vAlign w:val="center"/>
          </w:tcPr>
          <w:p w14:paraId="25A1BBC6"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第四阶段</w:t>
            </w:r>
          </w:p>
          <w:p w14:paraId="48AD4F28"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权重30%</w:t>
            </w:r>
          </w:p>
        </w:tc>
        <w:tc>
          <w:tcPr>
            <w:tcW w:w="5103" w:type="dxa"/>
            <w:vAlign w:val="center"/>
          </w:tcPr>
          <w:p w14:paraId="3BC27C29"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方案展示与答辩</w:t>
            </w:r>
          </w:p>
        </w:tc>
        <w:tc>
          <w:tcPr>
            <w:tcW w:w="1213" w:type="dxa"/>
            <w:vAlign w:val="center"/>
          </w:tcPr>
          <w:p w14:paraId="2F220770"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每队13分钟</w:t>
            </w:r>
          </w:p>
        </w:tc>
      </w:tr>
    </w:tbl>
    <w:p w14:paraId="33A5934C" w14:textId="77777777" w:rsidR="0055088D" w:rsidRDefault="00405ABE">
      <w:pPr>
        <w:pStyle w:val="a9"/>
        <w:adjustRightInd w:val="0"/>
        <w:snapToGrid w:val="0"/>
        <w:spacing w:line="560" w:lineRule="exact"/>
        <w:ind w:left="420" w:firstLineChars="0" w:firstLine="0"/>
        <w:rPr>
          <w:rFonts w:ascii="仿宋" w:eastAsia="仿宋" w:hAnsi="仿宋"/>
          <w:bCs/>
          <w:color w:val="000000"/>
          <w:kern w:val="28"/>
          <w:sz w:val="28"/>
          <w:szCs w:val="28"/>
        </w:rPr>
      </w:pPr>
      <w:r>
        <w:rPr>
          <w:rFonts w:ascii="仿宋" w:eastAsia="仿宋" w:hAnsi="仿宋" w:hint="eastAsia"/>
          <w:bCs/>
          <w:color w:val="000000"/>
          <w:kern w:val="28"/>
          <w:sz w:val="28"/>
          <w:szCs w:val="28"/>
        </w:rPr>
        <w:t>8.竞赛时间</w:t>
      </w:r>
      <w:r>
        <w:rPr>
          <w:rFonts w:ascii="仿宋" w:eastAsia="仿宋" w:hAnsi="仿宋"/>
          <w:bCs/>
          <w:color w:val="000000"/>
          <w:kern w:val="28"/>
          <w:sz w:val="28"/>
          <w:szCs w:val="28"/>
        </w:rPr>
        <w:t>表</w:t>
      </w:r>
    </w:p>
    <w:p w14:paraId="72108859" w14:textId="77777777" w:rsidR="0055088D" w:rsidRDefault="00405ABE">
      <w:pPr>
        <w:adjustRightInd w:val="0"/>
        <w:snapToGrid w:val="0"/>
        <w:spacing w:line="560" w:lineRule="exact"/>
        <w:ind w:firstLineChars="200" w:firstLine="560"/>
        <w:rPr>
          <w:rFonts w:ascii="仿宋" w:eastAsia="仿宋" w:hAnsi="仿宋"/>
          <w:sz w:val="28"/>
          <w:szCs w:val="28"/>
        </w:rPr>
      </w:pPr>
      <w:r>
        <w:rPr>
          <w:rFonts w:ascii="仿宋" w:eastAsia="仿宋" w:hAnsi="仿宋"/>
          <w:sz w:val="28"/>
          <w:szCs w:val="28"/>
        </w:rPr>
        <w:t>比赛限定在1天内进行，</w:t>
      </w:r>
      <w:r>
        <w:rPr>
          <w:rFonts w:ascii="仿宋" w:eastAsia="仿宋" w:hAnsi="仿宋" w:hint="eastAsia"/>
          <w:sz w:val="28"/>
          <w:szCs w:val="28"/>
        </w:rPr>
        <w:t>竞赛前一日</w:t>
      </w:r>
      <w:r>
        <w:rPr>
          <w:rFonts w:ascii="仿宋" w:eastAsia="仿宋" w:hAnsi="仿宋"/>
          <w:sz w:val="28"/>
          <w:szCs w:val="28"/>
        </w:rPr>
        <w:t>具体安排如下：</w:t>
      </w:r>
    </w:p>
    <w:tbl>
      <w:tblPr>
        <w:tblW w:w="8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8"/>
        <w:gridCol w:w="1711"/>
        <w:gridCol w:w="2876"/>
        <w:gridCol w:w="1669"/>
        <w:gridCol w:w="1358"/>
      </w:tblGrid>
      <w:tr w:rsidR="0055088D" w14:paraId="27573521" w14:textId="77777777">
        <w:trPr>
          <w:trHeight w:val="568"/>
          <w:jc w:val="center"/>
        </w:trPr>
        <w:tc>
          <w:tcPr>
            <w:tcW w:w="1228" w:type="dxa"/>
            <w:vAlign w:val="center"/>
          </w:tcPr>
          <w:p w14:paraId="7F4BB1F1" w14:textId="77777777" w:rsidR="0055088D" w:rsidRDefault="00405ABE">
            <w:pPr>
              <w:pStyle w:val="a3"/>
              <w:jc w:val="center"/>
              <w:rPr>
                <w:rFonts w:ascii="仿宋" w:eastAsia="仿宋" w:hAnsi="仿宋"/>
                <w:b/>
                <w:sz w:val="24"/>
              </w:rPr>
            </w:pPr>
            <w:r>
              <w:rPr>
                <w:rFonts w:ascii="仿宋" w:eastAsia="仿宋" w:hAnsi="仿宋" w:hint="eastAsia"/>
                <w:b/>
                <w:sz w:val="24"/>
              </w:rPr>
              <w:t>日期</w:t>
            </w:r>
          </w:p>
        </w:tc>
        <w:tc>
          <w:tcPr>
            <w:tcW w:w="1711" w:type="dxa"/>
            <w:vAlign w:val="center"/>
          </w:tcPr>
          <w:p w14:paraId="15F6753F" w14:textId="77777777" w:rsidR="0055088D" w:rsidRDefault="00405ABE">
            <w:pPr>
              <w:pStyle w:val="a3"/>
              <w:jc w:val="center"/>
              <w:rPr>
                <w:rFonts w:ascii="仿宋" w:eastAsia="仿宋" w:hAnsi="仿宋"/>
                <w:b/>
                <w:sz w:val="24"/>
              </w:rPr>
            </w:pPr>
            <w:r>
              <w:rPr>
                <w:rFonts w:ascii="仿宋" w:eastAsia="仿宋" w:hAnsi="仿宋" w:hint="eastAsia"/>
                <w:b/>
                <w:sz w:val="24"/>
              </w:rPr>
              <w:t>时间</w:t>
            </w:r>
          </w:p>
        </w:tc>
        <w:tc>
          <w:tcPr>
            <w:tcW w:w="2876" w:type="dxa"/>
            <w:vAlign w:val="center"/>
          </w:tcPr>
          <w:p w14:paraId="2AFCADC2" w14:textId="77777777" w:rsidR="0055088D" w:rsidRDefault="00405ABE">
            <w:pPr>
              <w:pStyle w:val="a3"/>
              <w:jc w:val="center"/>
              <w:rPr>
                <w:rFonts w:ascii="仿宋" w:eastAsia="仿宋" w:hAnsi="仿宋"/>
                <w:b/>
                <w:sz w:val="24"/>
              </w:rPr>
            </w:pPr>
            <w:r>
              <w:rPr>
                <w:rFonts w:ascii="仿宋" w:eastAsia="仿宋" w:hAnsi="仿宋" w:hint="eastAsia"/>
                <w:b/>
                <w:sz w:val="24"/>
              </w:rPr>
              <w:t>事项</w:t>
            </w:r>
          </w:p>
        </w:tc>
        <w:tc>
          <w:tcPr>
            <w:tcW w:w="1669" w:type="dxa"/>
            <w:vAlign w:val="center"/>
          </w:tcPr>
          <w:p w14:paraId="3AA2A3F9" w14:textId="77777777" w:rsidR="0055088D" w:rsidRDefault="00405ABE">
            <w:pPr>
              <w:pStyle w:val="a3"/>
              <w:jc w:val="center"/>
              <w:rPr>
                <w:rFonts w:ascii="仿宋" w:eastAsia="仿宋" w:hAnsi="仿宋"/>
                <w:b/>
                <w:sz w:val="24"/>
              </w:rPr>
            </w:pPr>
            <w:r>
              <w:rPr>
                <w:rFonts w:ascii="仿宋" w:eastAsia="仿宋" w:hAnsi="仿宋" w:hint="eastAsia"/>
                <w:b/>
                <w:sz w:val="24"/>
              </w:rPr>
              <w:t>参加人员</w:t>
            </w:r>
          </w:p>
        </w:tc>
        <w:tc>
          <w:tcPr>
            <w:tcW w:w="1358" w:type="dxa"/>
            <w:vAlign w:val="center"/>
          </w:tcPr>
          <w:p w14:paraId="0C795FA7" w14:textId="77777777" w:rsidR="0055088D" w:rsidRDefault="00405ABE">
            <w:pPr>
              <w:pStyle w:val="a3"/>
              <w:jc w:val="center"/>
              <w:rPr>
                <w:rFonts w:ascii="仿宋" w:eastAsia="仿宋" w:hAnsi="仿宋"/>
                <w:b/>
                <w:sz w:val="24"/>
              </w:rPr>
            </w:pPr>
            <w:r>
              <w:rPr>
                <w:rFonts w:ascii="仿宋" w:eastAsia="仿宋" w:hAnsi="仿宋" w:hint="eastAsia"/>
                <w:b/>
                <w:sz w:val="24"/>
              </w:rPr>
              <w:t>地点</w:t>
            </w:r>
          </w:p>
        </w:tc>
      </w:tr>
      <w:tr w:rsidR="0055088D" w14:paraId="3392D756" w14:textId="77777777">
        <w:trPr>
          <w:trHeight w:val="568"/>
          <w:jc w:val="center"/>
        </w:trPr>
        <w:tc>
          <w:tcPr>
            <w:tcW w:w="1228" w:type="dxa"/>
            <w:vMerge w:val="restart"/>
            <w:vAlign w:val="center"/>
          </w:tcPr>
          <w:p w14:paraId="579DF3F3" w14:textId="77777777" w:rsidR="0055088D" w:rsidRDefault="00405ABE">
            <w:pPr>
              <w:pStyle w:val="a3"/>
              <w:jc w:val="center"/>
              <w:rPr>
                <w:rFonts w:ascii="仿宋" w:eastAsia="仿宋" w:hAnsi="仿宋"/>
                <w:sz w:val="24"/>
              </w:rPr>
            </w:pPr>
            <w:r>
              <w:rPr>
                <w:rFonts w:ascii="仿宋" w:eastAsia="仿宋" w:hAnsi="仿宋" w:hint="eastAsia"/>
                <w:sz w:val="24"/>
              </w:rPr>
              <w:t>竞赛前一日</w:t>
            </w:r>
          </w:p>
        </w:tc>
        <w:tc>
          <w:tcPr>
            <w:tcW w:w="1711" w:type="dxa"/>
            <w:vAlign w:val="center"/>
          </w:tcPr>
          <w:p w14:paraId="61A49D9F" w14:textId="77777777" w:rsidR="0055088D" w:rsidRDefault="00405ABE">
            <w:pPr>
              <w:shd w:val="solid" w:color="FFFFFF" w:fill="auto"/>
              <w:autoSpaceDN w:val="0"/>
              <w:rPr>
                <w:rFonts w:ascii="仿宋" w:eastAsia="仿宋" w:hAnsi="仿宋"/>
                <w:sz w:val="24"/>
                <w:highlight w:val="yellow"/>
              </w:rPr>
            </w:pPr>
            <w:r>
              <w:rPr>
                <w:rFonts w:ascii="仿宋" w:eastAsia="仿宋" w:hAnsi="仿宋" w:hint="eastAsia"/>
                <w:sz w:val="24"/>
              </w:rPr>
              <w:t>15</w:t>
            </w:r>
            <w:r>
              <w:rPr>
                <w:rFonts w:ascii="仿宋" w:eastAsia="仿宋" w:hAnsi="仿宋"/>
                <w:sz w:val="24"/>
              </w:rPr>
              <w:t>:00-1</w:t>
            </w:r>
            <w:r>
              <w:rPr>
                <w:rFonts w:ascii="仿宋" w:eastAsia="仿宋" w:hAnsi="仿宋" w:hint="eastAsia"/>
                <w:sz w:val="24"/>
              </w:rPr>
              <w:t>6</w:t>
            </w:r>
            <w:r>
              <w:rPr>
                <w:rFonts w:ascii="仿宋" w:eastAsia="仿宋" w:hAnsi="仿宋"/>
                <w:sz w:val="24"/>
              </w:rPr>
              <w:t>:</w:t>
            </w:r>
            <w:r>
              <w:rPr>
                <w:rFonts w:ascii="仿宋" w:eastAsia="仿宋" w:hAnsi="仿宋" w:hint="eastAsia"/>
                <w:sz w:val="24"/>
              </w:rPr>
              <w:t>30</w:t>
            </w:r>
          </w:p>
        </w:tc>
        <w:tc>
          <w:tcPr>
            <w:tcW w:w="2876" w:type="dxa"/>
            <w:vAlign w:val="center"/>
          </w:tcPr>
          <w:p w14:paraId="033FCFA1" w14:textId="77777777" w:rsidR="0055088D" w:rsidRDefault="00405ABE">
            <w:pPr>
              <w:shd w:val="solid" w:color="FFFFFF" w:fill="auto"/>
              <w:autoSpaceDN w:val="0"/>
              <w:jc w:val="center"/>
              <w:rPr>
                <w:rFonts w:ascii="仿宋" w:eastAsia="仿宋" w:hAnsi="仿宋"/>
                <w:sz w:val="24"/>
                <w:highlight w:val="yellow"/>
              </w:rPr>
            </w:pPr>
            <w:r>
              <w:rPr>
                <w:rFonts w:ascii="仿宋" w:eastAsia="仿宋" w:hAnsi="仿宋" w:hint="eastAsia"/>
                <w:sz w:val="24"/>
              </w:rPr>
              <w:t>报到</w:t>
            </w:r>
          </w:p>
        </w:tc>
        <w:tc>
          <w:tcPr>
            <w:tcW w:w="1669" w:type="dxa"/>
            <w:vAlign w:val="center"/>
          </w:tcPr>
          <w:p w14:paraId="420D186C"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参赛队</w:t>
            </w:r>
          </w:p>
        </w:tc>
        <w:tc>
          <w:tcPr>
            <w:tcW w:w="1358" w:type="dxa"/>
            <w:vAlign w:val="center"/>
          </w:tcPr>
          <w:p w14:paraId="0B6EC546" w14:textId="77777777" w:rsidR="0055088D" w:rsidRDefault="0055088D">
            <w:pPr>
              <w:shd w:val="solid" w:color="FFFFFF" w:fill="auto"/>
              <w:autoSpaceDN w:val="0"/>
              <w:jc w:val="center"/>
              <w:rPr>
                <w:rFonts w:ascii="仿宋" w:eastAsia="仿宋" w:hAnsi="仿宋"/>
                <w:sz w:val="24"/>
              </w:rPr>
            </w:pPr>
          </w:p>
        </w:tc>
      </w:tr>
      <w:tr w:rsidR="0055088D" w14:paraId="116B2414" w14:textId="77777777">
        <w:trPr>
          <w:trHeight w:val="568"/>
          <w:jc w:val="center"/>
        </w:trPr>
        <w:tc>
          <w:tcPr>
            <w:tcW w:w="1228" w:type="dxa"/>
            <w:vMerge/>
            <w:vAlign w:val="center"/>
          </w:tcPr>
          <w:p w14:paraId="235BCDF8" w14:textId="77777777" w:rsidR="0055088D" w:rsidRDefault="0055088D">
            <w:pPr>
              <w:pStyle w:val="a3"/>
              <w:jc w:val="center"/>
              <w:rPr>
                <w:rFonts w:ascii="仿宋" w:eastAsia="仿宋" w:hAnsi="仿宋"/>
                <w:sz w:val="24"/>
              </w:rPr>
            </w:pPr>
          </w:p>
        </w:tc>
        <w:tc>
          <w:tcPr>
            <w:tcW w:w="1711" w:type="dxa"/>
            <w:vAlign w:val="center"/>
          </w:tcPr>
          <w:p w14:paraId="13F960C3" w14:textId="77777777" w:rsidR="0055088D" w:rsidRDefault="00405ABE">
            <w:pPr>
              <w:shd w:val="solid" w:color="FFFFFF" w:fill="auto"/>
              <w:autoSpaceDN w:val="0"/>
              <w:rPr>
                <w:rFonts w:ascii="仿宋" w:eastAsia="仿宋" w:hAnsi="仿宋"/>
                <w:color w:val="000000" w:themeColor="text1"/>
                <w:sz w:val="24"/>
              </w:rPr>
            </w:pPr>
            <w:r>
              <w:rPr>
                <w:rFonts w:ascii="仿宋" w:eastAsia="仿宋" w:hAnsi="仿宋"/>
                <w:color w:val="000000" w:themeColor="text1"/>
                <w:sz w:val="24"/>
              </w:rPr>
              <w:t>1</w:t>
            </w:r>
            <w:r>
              <w:rPr>
                <w:rFonts w:ascii="仿宋" w:eastAsia="仿宋" w:hAnsi="仿宋" w:hint="eastAsia"/>
                <w:color w:val="000000" w:themeColor="text1"/>
                <w:sz w:val="24"/>
              </w:rPr>
              <w:t>6</w:t>
            </w:r>
            <w:r>
              <w:rPr>
                <w:rFonts w:ascii="仿宋" w:eastAsia="仿宋" w:hAnsi="仿宋"/>
                <w:color w:val="000000" w:themeColor="text1"/>
                <w:sz w:val="24"/>
              </w:rPr>
              <w:t>:</w:t>
            </w:r>
            <w:r>
              <w:rPr>
                <w:rFonts w:ascii="仿宋" w:eastAsia="仿宋" w:hAnsi="仿宋" w:hint="eastAsia"/>
                <w:color w:val="000000" w:themeColor="text1"/>
                <w:sz w:val="24"/>
              </w:rPr>
              <w:t>3</w:t>
            </w:r>
            <w:r>
              <w:rPr>
                <w:rFonts w:ascii="仿宋" w:eastAsia="仿宋" w:hAnsi="仿宋"/>
                <w:color w:val="000000" w:themeColor="text1"/>
                <w:sz w:val="24"/>
              </w:rPr>
              <w:t>0-1</w:t>
            </w:r>
            <w:r>
              <w:rPr>
                <w:rFonts w:ascii="仿宋" w:eastAsia="仿宋" w:hAnsi="仿宋" w:hint="eastAsia"/>
                <w:color w:val="000000" w:themeColor="text1"/>
                <w:sz w:val="24"/>
              </w:rPr>
              <w:t>7</w:t>
            </w:r>
            <w:r>
              <w:rPr>
                <w:rFonts w:ascii="仿宋" w:eastAsia="仿宋" w:hAnsi="仿宋"/>
                <w:color w:val="000000" w:themeColor="text1"/>
                <w:sz w:val="24"/>
              </w:rPr>
              <w:t>:00</w:t>
            </w:r>
          </w:p>
        </w:tc>
        <w:tc>
          <w:tcPr>
            <w:tcW w:w="2876" w:type="dxa"/>
            <w:vAlign w:val="center"/>
          </w:tcPr>
          <w:p w14:paraId="6101DF1F" w14:textId="77777777" w:rsidR="0055088D" w:rsidRDefault="00405ABE">
            <w:pPr>
              <w:shd w:val="solid" w:color="FFFFFF" w:fill="auto"/>
              <w:autoSpaceDN w:val="0"/>
              <w:jc w:val="center"/>
              <w:rPr>
                <w:rFonts w:ascii="仿宋" w:eastAsia="仿宋" w:hAnsi="仿宋"/>
                <w:color w:val="000000" w:themeColor="text1"/>
                <w:sz w:val="24"/>
              </w:rPr>
            </w:pPr>
            <w:r>
              <w:rPr>
                <w:rFonts w:ascii="仿宋" w:eastAsia="仿宋" w:hAnsi="仿宋" w:hint="eastAsia"/>
                <w:color w:val="000000" w:themeColor="text1"/>
                <w:sz w:val="24"/>
              </w:rPr>
              <w:t>裁判工作会议</w:t>
            </w:r>
          </w:p>
        </w:tc>
        <w:tc>
          <w:tcPr>
            <w:tcW w:w="1669" w:type="dxa"/>
            <w:vAlign w:val="center"/>
          </w:tcPr>
          <w:p w14:paraId="1FD990A4"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裁判长、裁判员、监督组</w:t>
            </w:r>
          </w:p>
        </w:tc>
        <w:tc>
          <w:tcPr>
            <w:tcW w:w="1358" w:type="dxa"/>
            <w:vAlign w:val="center"/>
          </w:tcPr>
          <w:p w14:paraId="788E9806" w14:textId="77777777" w:rsidR="0055088D" w:rsidRDefault="0055088D">
            <w:pPr>
              <w:shd w:val="solid" w:color="FFFFFF" w:fill="auto"/>
              <w:autoSpaceDN w:val="0"/>
              <w:jc w:val="center"/>
              <w:rPr>
                <w:rFonts w:ascii="仿宋" w:eastAsia="仿宋" w:hAnsi="仿宋"/>
                <w:sz w:val="24"/>
              </w:rPr>
            </w:pPr>
          </w:p>
        </w:tc>
      </w:tr>
    </w:tbl>
    <w:p w14:paraId="5653DD85" w14:textId="77777777" w:rsidR="0055088D" w:rsidRDefault="00405ABE">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竞赛当天具体安排如下：</w:t>
      </w:r>
    </w:p>
    <w:tbl>
      <w:tblPr>
        <w:tblW w:w="8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5"/>
        <w:gridCol w:w="1743"/>
        <w:gridCol w:w="2860"/>
        <w:gridCol w:w="1675"/>
        <w:gridCol w:w="1304"/>
      </w:tblGrid>
      <w:tr w:rsidR="0055088D" w14:paraId="7CD5FFC0" w14:textId="77777777">
        <w:trPr>
          <w:trHeight w:val="568"/>
          <w:jc w:val="center"/>
        </w:trPr>
        <w:tc>
          <w:tcPr>
            <w:tcW w:w="1165" w:type="dxa"/>
            <w:vAlign w:val="center"/>
          </w:tcPr>
          <w:p w14:paraId="6A661161" w14:textId="77777777" w:rsidR="0055088D" w:rsidRDefault="00405ABE">
            <w:pPr>
              <w:pStyle w:val="a3"/>
              <w:jc w:val="center"/>
              <w:rPr>
                <w:rFonts w:ascii="仿宋" w:eastAsia="仿宋" w:hAnsi="仿宋"/>
                <w:b/>
                <w:sz w:val="24"/>
              </w:rPr>
            </w:pPr>
            <w:r>
              <w:rPr>
                <w:rFonts w:ascii="仿宋" w:eastAsia="仿宋" w:hAnsi="仿宋" w:hint="eastAsia"/>
                <w:b/>
                <w:sz w:val="24"/>
              </w:rPr>
              <w:t>日期</w:t>
            </w:r>
          </w:p>
        </w:tc>
        <w:tc>
          <w:tcPr>
            <w:tcW w:w="1743" w:type="dxa"/>
            <w:vAlign w:val="center"/>
          </w:tcPr>
          <w:p w14:paraId="68B59CD0" w14:textId="77777777" w:rsidR="0055088D" w:rsidRDefault="00405ABE">
            <w:pPr>
              <w:pStyle w:val="a3"/>
              <w:jc w:val="center"/>
              <w:rPr>
                <w:rFonts w:ascii="仿宋" w:eastAsia="仿宋" w:hAnsi="仿宋"/>
                <w:b/>
                <w:sz w:val="24"/>
              </w:rPr>
            </w:pPr>
            <w:r>
              <w:rPr>
                <w:rFonts w:ascii="仿宋" w:eastAsia="仿宋" w:hAnsi="仿宋" w:hint="eastAsia"/>
                <w:b/>
                <w:sz w:val="24"/>
              </w:rPr>
              <w:t>时间</w:t>
            </w:r>
          </w:p>
        </w:tc>
        <w:tc>
          <w:tcPr>
            <w:tcW w:w="2860" w:type="dxa"/>
            <w:vAlign w:val="center"/>
          </w:tcPr>
          <w:p w14:paraId="1A4DCAF4" w14:textId="77777777" w:rsidR="0055088D" w:rsidRDefault="00405ABE">
            <w:pPr>
              <w:pStyle w:val="a3"/>
              <w:jc w:val="center"/>
              <w:rPr>
                <w:rFonts w:ascii="仿宋" w:eastAsia="仿宋" w:hAnsi="仿宋"/>
                <w:b/>
                <w:sz w:val="24"/>
              </w:rPr>
            </w:pPr>
            <w:r>
              <w:rPr>
                <w:rFonts w:ascii="仿宋" w:eastAsia="仿宋" w:hAnsi="仿宋" w:hint="eastAsia"/>
                <w:b/>
                <w:sz w:val="24"/>
              </w:rPr>
              <w:t>事项</w:t>
            </w:r>
          </w:p>
        </w:tc>
        <w:tc>
          <w:tcPr>
            <w:tcW w:w="1675" w:type="dxa"/>
            <w:vAlign w:val="center"/>
          </w:tcPr>
          <w:p w14:paraId="356FC1FE" w14:textId="77777777" w:rsidR="0055088D" w:rsidRDefault="00405ABE">
            <w:pPr>
              <w:pStyle w:val="a3"/>
              <w:jc w:val="center"/>
              <w:rPr>
                <w:rFonts w:ascii="仿宋" w:eastAsia="仿宋" w:hAnsi="仿宋"/>
                <w:b/>
                <w:sz w:val="24"/>
              </w:rPr>
            </w:pPr>
            <w:r>
              <w:rPr>
                <w:rFonts w:ascii="仿宋" w:eastAsia="仿宋" w:hAnsi="仿宋" w:hint="eastAsia"/>
                <w:b/>
                <w:sz w:val="24"/>
              </w:rPr>
              <w:t>参加人员</w:t>
            </w:r>
          </w:p>
        </w:tc>
        <w:tc>
          <w:tcPr>
            <w:tcW w:w="1304" w:type="dxa"/>
            <w:vAlign w:val="center"/>
          </w:tcPr>
          <w:p w14:paraId="1B71EE77" w14:textId="77777777" w:rsidR="0055088D" w:rsidRDefault="00405ABE">
            <w:pPr>
              <w:pStyle w:val="a3"/>
              <w:jc w:val="center"/>
              <w:rPr>
                <w:rFonts w:ascii="仿宋" w:eastAsia="仿宋" w:hAnsi="仿宋"/>
                <w:b/>
                <w:sz w:val="24"/>
              </w:rPr>
            </w:pPr>
            <w:r>
              <w:rPr>
                <w:rFonts w:ascii="仿宋" w:eastAsia="仿宋" w:hAnsi="仿宋" w:hint="eastAsia"/>
                <w:b/>
                <w:sz w:val="24"/>
              </w:rPr>
              <w:t>地点</w:t>
            </w:r>
          </w:p>
        </w:tc>
      </w:tr>
      <w:tr w:rsidR="0055088D" w14:paraId="59CBEC2A" w14:textId="77777777">
        <w:trPr>
          <w:trHeight w:val="568"/>
          <w:jc w:val="center"/>
        </w:trPr>
        <w:tc>
          <w:tcPr>
            <w:tcW w:w="1165" w:type="dxa"/>
            <w:vMerge w:val="restart"/>
            <w:vAlign w:val="center"/>
          </w:tcPr>
          <w:p w14:paraId="38C1759E" w14:textId="77777777" w:rsidR="0055088D" w:rsidRDefault="00405ABE">
            <w:pPr>
              <w:pStyle w:val="a3"/>
              <w:jc w:val="center"/>
              <w:rPr>
                <w:rFonts w:ascii="仿宋" w:eastAsia="仿宋" w:hAnsi="仿宋"/>
                <w:sz w:val="24"/>
              </w:rPr>
            </w:pPr>
            <w:r>
              <w:rPr>
                <w:rFonts w:ascii="仿宋" w:eastAsia="仿宋" w:hAnsi="仿宋" w:hint="eastAsia"/>
                <w:sz w:val="24"/>
              </w:rPr>
              <w:t>竞赛</w:t>
            </w:r>
          </w:p>
          <w:p w14:paraId="70C9F474" w14:textId="77777777" w:rsidR="0055088D" w:rsidRDefault="00405ABE">
            <w:pPr>
              <w:pStyle w:val="a3"/>
              <w:jc w:val="center"/>
              <w:rPr>
                <w:rFonts w:ascii="仿宋" w:eastAsia="仿宋" w:hAnsi="仿宋"/>
                <w:sz w:val="24"/>
              </w:rPr>
            </w:pPr>
            <w:r>
              <w:rPr>
                <w:rFonts w:ascii="仿宋" w:eastAsia="仿宋" w:hAnsi="仿宋" w:hint="eastAsia"/>
                <w:sz w:val="24"/>
              </w:rPr>
              <w:t>当天</w:t>
            </w:r>
          </w:p>
          <w:p w14:paraId="0EB3FFFA" w14:textId="77777777" w:rsidR="0055088D" w:rsidRDefault="0055088D">
            <w:pPr>
              <w:pStyle w:val="a3"/>
              <w:jc w:val="center"/>
              <w:rPr>
                <w:rFonts w:ascii="仿宋" w:eastAsia="仿宋" w:hAnsi="仿宋"/>
                <w:sz w:val="24"/>
              </w:rPr>
            </w:pPr>
          </w:p>
        </w:tc>
        <w:tc>
          <w:tcPr>
            <w:tcW w:w="1743" w:type="dxa"/>
            <w:vAlign w:val="center"/>
          </w:tcPr>
          <w:p w14:paraId="2A6FDAC9" w14:textId="77777777" w:rsidR="0055088D" w:rsidRDefault="00405ABE">
            <w:pPr>
              <w:shd w:val="solid" w:color="FFFFFF" w:fill="auto"/>
              <w:autoSpaceDN w:val="0"/>
              <w:jc w:val="center"/>
              <w:rPr>
                <w:rFonts w:ascii="仿宋" w:eastAsia="仿宋" w:hAnsi="仿宋"/>
                <w:color w:val="000000" w:themeColor="text1"/>
                <w:sz w:val="24"/>
              </w:rPr>
            </w:pPr>
            <w:r>
              <w:rPr>
                <w:rFonts w:ascii="仿宋" w:eastAsia="仿宋" w:hAnsi="仿宋" w:hint="eastAsia"/>
                <w:color w:val="000000" w:themeColor="text1"/>
                <w:sz w:val="24"/>
              </w:rPr>
              <w:t>08:00-</w:t>
            </w:r>
            <w:r>
              <w:rPr>
                <w:rFonts w:ascii="仿宋" w:eastAsia="仿宋" w:hAnsi="仿宋" w:hint="eastAsia"/>
                <w:sz w:val="24"/>
              </w:rPr>
              <w:t>08:30</w:t>
            </w:r>
          </w:p>
        </w:tc>
        <w:tc>
          <w:tcPr>
            <w:tcW w:w="2860" w:type="dxa"/>
            <w:vAlign w:val="center"/>
          </w:tcPr>
          <w:p w14:paraId="20291701" w14:textId="77777777" w:rsidR="0055088D" w:rsidRDefault="00405ABE">
            <w:pPr>
              <w:shd w:val="solid" w:color="FFFFFF" w:fill="auto"/>
              <w:autoSpaceDN w:val="0"/>
              <w:jc w:val="center"/>
              <w:rPr>
                <w:rFonts w:ascii="仿宋" w:eastAsia="仿宋" w:hAnsi="仿宋"/>
                <w:color w:val="000000" w:themeColor="text1"/>
                <w:sz w:val="24"/>
              </w:rPr>
            </w:pPr>
            <w:r>
              <w:rPr>
                <w:rFonts w:ascii="仿宋" w:eastAsia="仿宋" w:hAnsi="仿宋" w:hint="eastAsia"/>
                <w:color w:val="000000" w:themeColor="text1"/>
                <w:sz w:val="24"/>
              </w:rPr>
              <w:t>参赛选手检录</w:t>
            </w:r>
          </w:p>
        </w:tc>
        <w:tc>
          <w:tcPr>
            <w:tcW w:w="1675" w:type="dxa"/>
            <w:vAlign w:val="center"/>
          </w:tcPr>
          <w:p w14:paraId="63644DDD"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裁判、参赛选手</w:t>
            </w:r>
          </w:p>
        </w:tc>
        <w:tc>
          <w:tcPr>
            <w:tcW w:w="1304" w:type="dxa"/>
            <w:vAlign w:val="center"/>
          </w:tcPr>
          <w:p w14:paraId="1A0C0296"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竞赛场地</w:t>
            </w:r>
          </w:p>
        </w:tc>
      </w:tr>
      <w:tr w:rsidR="0055088D" w14:paraId="30E48851" w14:textId="77777777">
        <w:trPr>
          <w:trHeight w:val="568"/>
          <w:jc w:val="center"/>
        </w:trPr>
        <w:tc>
          <w:tcPr>
            <w:tcW w:w="1165" w:type="dxa"/>
            <w:vMerge/>
            <w:vAlign w:val="center"/>
          </w:tcPr>
          <w:p w14:paraId="7F2FDF85" w14:textId="77777777" w:rsidR="0055088D" w:rsidRDefault="0055088D">
            <w:pPr>
              <w:pStyle w:val="a3"/>
              <w:jc w:val="center"/>
              <w:rPr>
                <w:rFonts w:ascii="仿宋" w:eastAsia="仿宋" w:hAnsi="仿宋"/>
                <w:sz w:val="24"/>
              </w:rPr>
            </w:pPr>
          </w:p>
        </w:tc>
        <w:tc>
          <w:tcPr>
            <w:tcW w:w="1743" w:type="dxa"/>
            <w:vAlign w:val="center"/>
          </w:tcPr>
          <w:p w14:paraId="6A9EF078"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08:30-08:50</w:t>
            </w:r>
          </w:p>
        </w:tc>
        <w:tc>
          <w:tcPr>
            <w:tcW w:w="2860" w:type="dxa"/>
            <w:vAlign w:val="center"/>
          </w:tcPr>
          <w:p w14:paraId="6E7C0EDF"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选手抽签、加密</w:t>
            </w:r>
          </w:p>
        </w:tc>
        <w:tc>
          <w:tcPr>
            <w:tcW w:w="1675" w:type="dxa"/>
            <w:vAlign w:val="center"/>
          </w:tcPr>
          <w:p w14:paraId="285374B4"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裁判、参赛选手</w:t>
            </w:r>
          </w:p>
        </w:tc>
        <w:tc>
          <w:tcPr>
            <w:tcW w:w="1304" w:type="dxa"/>
            <w:vAlign w:val="center"/>
          </w:tcPr>
          <w:p w14:paraId="24B0E240" w14:textId="77777777" w:rsidR="0055088D" w:rsidRDefault="00405ABE">
            <w:pPr>
              <w:shd w:val="solid" w:color="FFFFFF" w:fill="auto"/>
              <w:autoSpaceDN w:val="0"/>
              <w:jc w:val="center"/>
              <w:rPr>
                <w:rFonts w:ascii="仿宋" w:eastAsia="仿宋" w:hAnsi="仿宋"/>
                <w:sz w:val="24"/>
              </w:rPr>
            </w:pPr>
            <w:proofErr w:type="gramStart"/>
            <w:r>
              <w:rPr>
                <w:rFonts w:ascii="仿宋" w:eastAsia="仿宋" w:hAnsi="仿宋" w:hint="eastAsia"/>
                <w:sz w:val="24"/>
              </w:rPr>
              <w:t>候场室</w:t>
            </w:r>
            <w:proofErr w:type="gramEnd"/>
          </w:p>
        </w:tc>
      </w:tr>
      <w:tr w:rsidR="0055088D" w14:paraId="701A87C6" w14:textId="77777777">
        <w:trPr>
          <w:trHeight w:val="568"/>
          <w:jc w:val="center"/>
        </w:trPr>
        <w:tc>
          <w:tcPr>
            <w:tcW w:w="1165" w:type="dxa"/>
            <w:vMerge/>
            <w:vAlign w:val="center"/>
          </w:tcPr>
          <w:p w14:paraId="4A4E67D0" w14:textId="77777777" w:rsidR="0055088D" w:rsidRDefault="0055088D">
            <w:pPr>
              <w:pStyle w:val="a3"/>
              <w:jc w:val="center"/>
              <w:rPr>
                <w:rFonts w:ascii="仿宋" w:eastAsia="仿宋" w:hAnsi="仿宋"/>
                <w:sz w:val="24"/>
              </w:rPr>
            </w:pPr>
          </w:p>
        </w:tc>
        <w:tc>
          <w:tcPr>
            <w:tcW w:w="1743" w:type="dxa"/>
            <w:vAlign w:val="center"/>
          </w:tcPr>
          <w:p w14:paraId="3CF16EFA"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08:50-09:00</w:t>
            </w:r>
          </w:p>
        </w:tc>
        <w:tc>
          <w:tcPr>
            <w:tcW w:w="2860" w:type="dxa"/>
            <w:vAlign w:val="center"/>
          </w:tcPr>
          <w:p w14:paraId="153B538D"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参赛代表队就位，宣读纪律</w:t>
            </w:r>
          </w:p>
        </w:tc>
        <w:tc>
          <w:tcPr>
            <w:tcW w:w="1675" w:type="dxa"/>
            <w:vAlign w:val="center"/>
          </w:tcPr>
          <w:p w14:paraId="2000FCD3"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参赛选手、现场裁判</w:t>
            </w:r>
          </w:p>
        </w:tc>
        <w:tc>
          <w:tcPr>
            <w:tcW w:w="1304" w:type="dxa"/>
            <w:vAlign w:val="center"/>
          </w:tcPr>
          <w:p w14:paraId="60EFF1C2"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竞赛场地</w:t>
            </w:r>
          </w:p>
        </w:tc>
      </w:tr>
      <w:tr w:rsidR="0055088D" w14:paraId="05584636" w14:textId="77777777">
        <w:trPr>
          <w:trHeight w:val="568"/>
          <w:jc w:val="center"/>
        </w:trPr>
        <w:tc>
          <w:tcPr>
            <w:tcW w:w="1165" w:type="dxa"/>
            <w:vMerge/>
            <w:vAlign w:val="center"/>
          </w:tcPr>
          <w:p w14:paraId="44D7B123" w14:textId="77777777" w:rsidR="0055088D" w:rsidRDefault="0055088D">
            <w:pPr>
              <w:pStyle w:val="a3"/>
              <w:jc w:val="center"/>
              <w:rPr>
                <w:rFonts w:ascii="仿宋" w:eastAsia="仿宋" w:hAnsi="仿宋"/>
                <w:sz w:val="24"/>
              </w:rPr>
            </w:pPr>
          </w:p>
        </w:tc>
        <w:tc>
          <w:tcPr>
            <w:tcW w:w="1743" w:type="dxa"/>
            <w:vAlign w:val="center"/>
          </w:tcPr>
          <w:p w14:paraId="21B36F72"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09:00-12:00</w:t>
            </w:r>
          </w:p>
        </w:tc>
        <w:tc>
          <w:tcPr>
            <w:tcW w:w="2860" w:type="dxa"/>
            <w:vAlign w:val="center"/>
          </w:tcPr>
          <w:p w14:paraId="7BC7392F"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第一、二、三阶段比赛</w:t>
            </w:r>
          </w:p>
        </w:tc>
        <w:tc>
          <w:tcPr>
            <w:tcW w:w="1675" w:type="dxa"/>
            <w:vAlign w:val="center"/>
          </w:tcPr>
          <w:p w14:paraId="24E9B8EF"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参赛选手、现场裁判</w:t>
            </w:r>
          </w:p>
        </w:tc>
        <w:tc>
          <w:tcPr>
            <w:tcW w:w="1304" w:type="dxa"/>
            <w:vAlign w:val="center"/>
          </w:tcPr>
          <w:p w14:paraId="35688237"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竞赛场地</w:t>
            </w:r>
          </w:p>
        </w:tc>
      </w:tr>
      <w:tr w:rsidR="0055088D" w14:paraId="48774DD0" w14:textId="77777777">
        <w:trPr>
          <w:trHeight w:val="568"/>
          <w:jc w:val="center"/>
        </w:trPr>
        <w:tc>
          <w:tcPr>
            <w:tcW w:w="1165" w:type="dxa"/>
            <w:vMerge/>
            <w:vAlign w:val="center"/>
          </w:tcPr>
          <w:p w14:paraId="268A2B02" w14:textId="77777777" w:rsidR="0055088D" w:rsidRDefault="0055088D">
            <w:pPr>
              <w:pStyle w:val="a3"/>
              <w:jc w:val="center"/>
              <w:rPr>
                <w:rFonts w:ascii="仿宋" w:eastAsia="仿宋" w:hAnsi="仿宋"/>
                <w:sz w:val="24"/>
              </w:rPr>
            </w:pPr>
          </w:p>
        </w:tc>
        <w:tc>
          <w:tcPr>
            <w:tcW w:w="1743" w:type="dxa"/>
            <w:vAlign w:val="center"/>
          </w:tcPr>
          <w:p w14:paraId="1DA0B7B5"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12:00-13:00</w:t>
            </w:r>
          </w:p>
        </w:tc>
        <w:tc>
          <w:tcPr>
            <w:tcW w:w="2860" w:type="dxa"/>
            <w:vAlign w:val="center"/>
          </w:tcPr>
          <w:p w14:paraId="39B45546"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选手午餐</w:t>
            </w:r>
          </w:p>
        </w:tc>
        <w:tc>
          <w:tcPr>
            <w:tcW w:w="1675" w:type="dxa"/>
            <w:vAlign w:val="center"/>
          </w:tcPr>
          <w:p w14:paraId="563832F3"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参赛选手、现场裁判</w:t>
            </w:r>
          </w:p>
        </w:tc>
        <w:tc>
          <w:tcPr>
            <w:tcW w:w="1304" w:type="dxa"/>
            <w:vAlign w:val="center"/>
          </w:tcPr>
          <w:p w14:paraId="450769EC"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竞赛场地</w:t>
            </w:r>
          </w:p>
        </w:tc>
      </w:tr>
      <w:tr w:rsidR="0055088D" w14:paraId="2E600E11" w14:textId="77777777">
        <w:trPr>
          <w:trHeight w:val="568"/>
          <w:jc w:val="center"/>
        </w:trPr>
        <w:tc>
          <w:tcPr>
            <w:tcW w:w="1165" w:type="dxa"/>
            <w:vMerge/>
            <w:vAlign w:val="center"/>
          </w:tcPr>
          <w:p w14:paraId="23F0FE8E" w14:textId="77777777" w:rsidR="0055088D" w:rsidRDefault="0055088D">
            <w:pPr>
              <w:pStyle w:val="a3"/>
              <w:jc w:val="center"/>
              <w:rPr>
                <w:rFonts w:ascii="仿宋" w:eastAsia="仿宋" w:hAnsi="仿宋"/>
                <w:sz w:val="24"/>
              </w:rPr>
            </w:pPr>
          </w:p>
        </w:tc>
        <w:tc>
          <w:tcPr>
            <w:tcW w:w="1743" w:type="dxa"/>
            <w:vAlign w:val="center"/>
          </w:tcPr>
          <w:p w14:paraId="6F6246D4" w14:textId="77777777" w:rsidR="0055088D" w:rsidRDefault="00405ABE">
            <w:pPr>
              <w:shd w:val="solid" w:color="FFFFFF" w:fill="auto"/>
              <w:autoSpaceDN w:val="0"/>
              <w:jc w:val="center"/>
              <w:rPr>
                <w:rFonts w:ascii="仿宋" w:eastAsia="仿宋" w:hAnsi="仿宋" w:cs="黑体"/>
                <w:sz w:val="24"/>
                <w:szCs w:val="22"/>
              </w:rPr>
            </w:pPr>
            <w:r>
              <w:rPr>
                <w:rFonts w:ascii="仿宋" w:eastAsia="仿宋" w:hAnsi="仿宋" w:hint="eastAsia"/>
                <w:sz w:val="24"/>
              </w:rPr>
              <w:t>13:00-14:30</w:t>
            </w:r>
          </w:p>
        </w:tc>
        <w:tc>
          <w:tcPr>
            <w:tcW w:w="2860" w:type="dxa"/>
            <w:vAlign w:val="center"/>
          </w:tcPr>
          <w:p w14:paraId="28442A87"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方案展示与答辩</w:t>
            </w:r>
          </w:p>
        </w:tc>
        <w:tc>
          <w:tcPr>
            <w:tcW w:w="1675" w:type="dxa"/>
            <w:vAlign w:val="center"/>
          </w:tcPr>
          <w:p w14:paraId="5A204C17"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参赛选手、现场裁判</w:t>
            </w:r>
          </w:p>
        </w:tc>
        <w:tc>
          <w:tcPr>
            <w:tcW w:w="1304" w:type="dxa"/>
            <w:vAlign w:val="center"/>
          </w:tcPr>
          <w:p w14:paraId="24140066" w14:textId="77777777" w:rsidR="0055088D" w:rsidRDefault="00405ABE">
            <w:pPr>
              <w:shd w:val="solid" w:color="FFFFFF" w:fill="auto"/>
              <w:autoSpaceDN w:val="0"/>
              <w:jc w:val="center"/>
              <w:rPr>
                <w:rFonts w:ascii="仿宋" w:eastAsia="仿宋" w:hAnsi="仿宋"/>
                <w:sz w:val="24"/>
              </w:rPr>
            </w:pPr>
            <w:proofErr w:type="gramStart"/>
            <w:r>
              <w:rPr>
                <w:rFonts w:ascii="仿宋" w:eastAsia="仿宋" w:hAnsi="仿宋" w:hint="eastAsia"/>
                <w:sz w:val="24"/>
              </w:rPr>
              <w:t>答辩室</w:t>
            </w:r>
            <w:proofErr w:type="gramEnd"/>
          </w:p>
        </w:tc>
      </w:tr>
      <w:tr w:rsidR="0055088D" w14:paraId="75AA8CF9" w14:textId="77777777">
        <w:trPr>
          <w:trHeight w:val="568"/>
          <w:jc w:val="center"/>
        </w:trPr>
        <w:tc>
          <w:tcPr>
            <w:tcW w:w="1165" w:type="dxa"/>
            <w:vMerge/>
            <w:vAlign w:val="center"/>
          </w:tcPr>
          <w:p w14:paraId="360860D1" w14:textId="77777777" w:rsidR="0055088D" w:rsidRDefault="0055088D">
            <w:pPr>
              <w:pStyle w:val="a3"/>
              <w:jc w:val="center"/>
              <w:rPr>
                <w:rFonts w:ascii="仿宋" w:eastAsia="仿宋" w:hAnsi="仿宋"/>
                <w:sz w:val="24"/>
              </w:rPr>
            </w:pPr>
          </w:p>
        </w:tc>
        <w:tc>
          <w:tcPr>
            <w:tcW w:w="1743" w:type="dxa"/>
            <w:shd w:val="clear" w:color="auto" w:fill="auto"/>
            <w:vAlign w:val="center"/>
          </w:tcPr>
          <w:p w14:paraId="7A770611" w14:textId="77777777" w:rsidR="0055088D" w:rsidRDefault="00405ABE">
            <w:pPr>
              <w:pStyle w:val="a5"/>
              <w:rPr>
                <w:rFonts w:ascii="仿宋" w:eastAsia="仿宋" w:hAnsi="仿宋"/>
                <w:color w:val="000000" w:themeColor="text1"/>
                <w:sz w:val="24"/>
              </w:rPr>
            </w:pPr>
            <w:r>
              <w:rPr>
                <w:rFonts w:ascii="仿宋" w:eastAsia="仿宋" w:hAnsi="仿宋" w:hint="eastAsia"/>
                <w:color w:val="000000" w:themeColor="text1"/>
                <w:sz w:val="24"/>
              </w:rPr>
              <w:t>14:30-15:00</w:t>
            </w:r>
          </w:p>
        </w:tc>
        <w:tc>
          <w:tcPr>
            <w:tcW w:w="2860" w:type="dxa"/>
            <w:shd w:val="clear" w:color="auto" w:fill="auto"/>
            <w:vAlign w:val="center"/>
          </w:tcPr>
          <w:p w14:paraId="4330B9B4"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申诉受理</w:t>
            </w:r>
          </w:p>
        </w:tc>
        <w:tc>
          <w:tcPr>
            <w:tcW w:w="1675" w:type="dxa"/>
            <w:shd w:val="clear" w:color="auto" w:fill="auto"/>
            <w:vAlign w:val="center"/>
          </w:tcPr>
          <w:p w14:paraId="3F510E39"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参赛选手、现场裁判</w:t>
            </w:r>
          </w:p>
        </w:tc>
        <w:tc>
          <w:tcPr>
            <w:tcW w:w="1304" w:type="dxa"/>
            <w:shd w:val="clear" w:color="auto" w:fill="auto"/>
            <w:vAlign w:val="center"/>
          </w:tcPr>
          <w:p w14:paraId="239B86C3"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监督</w:t>
            </w:r>
          </w:p>
          <w:p w14:paraId="208DA974"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仲裁室</w:t>
            </w:r>
          </w:p>
        </w:tc>
      </w:tr>
      <w:tr w:rsidR="0055088D" w14:paraId="1AAEFEC3" w14:textId="77777777">
        <w:trPr>
          <w:trHeight w:val="568"/>
          <w:jc w:val="center"/>
        </w:trPr>
        <w:tc>
          <w:tcPr>
            <w:tcW w:w="1165" w:type="dxa"/>
            <w:vMerge/>
          </w:tcPr>
          <w:p w14:paraId="2AEF1163" w14:textId="77777777" w:rsidR="0055088D" w:rsidRDefault="0055088D">
            <w:pPr>
              <w:pStyle w:val="a3"/>
              <w:jc w:val="center"/>
              <w:rPr>
                <w:rFonts w:ascii="仿宋" w:eastAsia="仿宋" w:hAnsi="仿宋"/>
                <w:sz w:val="24"/>
              </w:rPr>
            </w:pPr>
          </w:p>
        </w:tc>
        <w:tc>
          <w:tcPr>
            <w:tcW w:w="1743" w:type="dxa"/>
            <w:shd w:val="clear" w:color="auto" w:fill="auto"/>
            <w:vAlign w:val="center"/>
          </w:tcPr>
          <w:p w14:paraId="307AD038" w14:textId="77777777" w:rsidR="0055088D" w:rsidRDefault="00405ABE">
            <w:pPr>
              <w:pStyle w:val="a5"/>
              <w:rPr>
                <w:rFonts w:ascii="仿宋" w:eastAsia="仿宋" w:hAnsi="仿宋"/>
                <w:color w:val="000000" w:themeColor="text1"/>
                <w:sz w:val="24"/>
              </w:rPr>
            </w:pPr>
            <w:r>
              <w:rPr>
                <w:rFonts w:ascii="仿宋" w:eastAsia="仿宋" w:hAnsi="仿宋" w:hint="eastAsia"/>
                <w:color w:val="000000" w:themeColor="text1"/>
                <w:sz w:val="24"/>
              </w:rPr>
              <w:t>15:00-16:00</w:t>
            </w:r>
          </w:p>
        </w:tc>
        <w:tc>
          <w:tcPr>
            <w:tcW w:w="2860" w:type="dxa"/>
            <w:shd w:val="clear" w:color="auto" w:fill="auto"/>
            <w:vAlign w:val="center"/>
          </w:tcPr>
          <w:p w14:paraId="7292B23B"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评分核分</w:t>
            </w:r>
          </w:p>
        </w:tc>
        <w:tc>
          <w:tcPr>
            <w:tcW w:w="1675" w:type="dxa"/>
            <w:shd w:val="clear" w:color="auto" w:fill="auto"/>
            <w:vAlign w:val="center"/>
          </w:tcPr>
          <w:p w14:paraId="00CC82FD"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裁判长、评分裁判</w:t>
            </w:r>
          </w:p>
        </w:tc>
        <w:tc>
          <w:tcPr>
            <w:tcW w:w="1304" w:type="dxa"/>
            <w:shd w:val="clear" w:color="auto" w:fill="auto"/>
            <w:vAlign w:val="center"/>
          </w:tcPr>
          <w:p w14:paraId="40C9D9A2"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裁判</w:t>
            </w:r>
            <w:proofErr w:type="gramStart"/>
            <w:r>
              <w:rPr>
                <w:rFonts w:ascii="仿宋" w:eastAsia="仿宋" w:hAnsi="仿宋"/>
                <w:sz w:val="24"/>
              </w:rPr>
              <w:t>评分室</w:t>
            </w:r>
            <w:proofErr w:type="gramEnd"/>
          </w:p>
        </w:tc>
      </w:tr>
      <w:tr w:rsidR="0055088D" w14:paraId="116AA5E9" w14:textId="77777777">
        <w:trPr>
          <w:trHeight w:val="568"/>
          <w:jc w:val="center"/>
        </w:trPr>
        <w:tc>
          <w:tcPr>
            <w:tcW w:w="1165" w:type="dxa"/>
            <w:vMerge/>
          </w:tcPr>
          <w:p w14:paraId="467034CA" w14:textId="77777777" w:rsidR="0055088D" w:rsidRDefault="0055088D">
            <w:pPr>
              <w:pStyle w:val="a3"/>
              <w:jc w:val="center"/>
              <w:rPr>
                <w:rFonts w:ascii="仿宋" w:eastAsia="仿宋" w:hAnsi="仿宋"/>
                <w:sz w:val="24"/>
              </w:rPr>
            </w:pPr>
          </w:p>
        </w:tc>
        <w:tc>
          <w:tcPr>
            <w:tcW w:w="1743" w:type="dxa"/>
            <w:shd w:val="clear" w:color="auto" w:fill="auto"/>
            <w:vAlign w:val="center"/>
          </w:tcPr>
          <w:p w14:paraId="59A5FAD4" w14:textId="77777777" w:rsidR="0055088D" w:rsidRDefault="00405ABE">
            <w:pPr>
              <w:pStyle w:val="a5"/>
              <w:rPr>
                <w:rFonts w:ascii="仿宋" w:eastAsia="仿宋" w:hAnsi="仿宋"/>
                <w:color w:val="000000" w:themeColor="text1"/>
                <w:sz w:val="24"/>
              </w:rPr>
            </w:pPr>
            <w:r>
              <w:rPr>
                <w:rFonts w:ascii="仿宋" w:eastAsia="仿宋" w:hAnsi="仿宋" w:hint="eastAsia"/>
                <w:color w:val="000000" w:themeColor="text1"/>
                <w:sz w:val="24"/>
              </w:rPr>
              <w:t>16：00-16：30</w:t>
            </w:r>
          </w:p>
        </w:tc>
        <w:tc>
          <w:tcPr>
            <w:tcW w:w="2860" w:type="dxa"/>
            <w:shd w:val="clear" w:color="auto" w:fill="auto"/>
            <w:vAlign w:val="center"/>
          </w:tcPr>
          <w:p w14:paraId="4F9481DD"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抽检复核</w:t>
            </w:r>
          </w:p>
        </w:tc>
        <w:tc>
          <w:tcPr>
            <w:tcW w:w="1675" w:type="dxa"/>
            <w:shd w:val="clear" w:color="auto" w:fill="auto"/>
            <w:vAlign w:val="center"/>
          </w:tcPr>
          <w:p w14:paraId="0F46D5E0"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裁判长、评分裁判</w:t>
            </w:r>
          </w:p>
        </w:tc>
        <w:tc>
          <w:tcPr>
            <w:tcW w:w="1304" w:type="dxa"/>
            <w:shd w:val="clear" w:color="auto" w:fill="auto"/>
            <w:vAlign w:val="center"/>
          </w:tcPr>
          <w:p w14:paraId="2B87BD01"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裁判</w:t>
            </w:r>
            <w:proofErr w:type="gramStart"/>
            <w:r>
              <w:rPr>
                <w:rFonts w:ascii="仿宋" w:eastAsia="仿宋" w:hAnsi="仿宋"/>
                <w:sz w:val="24"/>
              </w:rPr>
              <w:t>评分室</w:t>
            </w:r>
            <w:proofErr w:type="gramEnd"/>
          </w:p>
        </w:tc>
      </w:tr>
      <w:tr w:rsidR="0055088D" w14:paraId="392AC787" w14:textId="77777777">
        <w:trPr>
          <w:trHeight w:val="568"/>
          <w:jc w:val="center"/>
        </w:trPr>
        <w:tc>
          <w:tcPr>
            <w:tcW w:w="1165" w:type="dxa"/>
            <w:vMerge/>
          </w:tcPr>
          <w:p w14:paraId="436B8741" w14:textId="77777777" w:rsidR="0055088D" w:rsidRDefault="0055088D">
            <w:pPr>
              <w:pStyle w:val="a3"/>
              <w:jc w:val="center"/>
              <w:rPr>
                <w:rFonts w:ascii="仿宋" w:eastAsia="仿宋" w:hAnsi="仿宋"/>
                <w:sz w:val="24"/>
              </w:rPr>
            </w:pPr>
          </w:p>
        </w:tc>
        <w:tc>
          <w:tcPr>
            <w:tcW w:w="1743" w:type="dxa"/>
            <w:shd w:val="clear" w:color="auto" w:fill="auto"/>
            <w:vAlign w:val="center"/>
          </w:tcPr>
          <w:p w14:paraId="0F309784" w14:textId="77777777" w:rsidR="0055088D" w:rsidRDefault="00405ABE">
            <w:pPr>
              <w:pStyle w:val="a5"/>
              <w:rPr>
                <w:rFonts w:ascii="仿宋" w:eastAsia="仿宋" w:hAnsi="仿宋"/>
                <w:color w:val="000000" w:themeColor="text1"/>
                <w:sz w:val="24"/>
              </w:rPr>
            </w:pPr>
            <w:r>
              <w:rPr>
                <w:rFonts w:ascii="仿宋" w:eastAsia="仿宋" w:hAnsi="仿宋" w:hint="eastAsia"/>
                <w:color w:val="000000" w:themeColor="text1"/>
                <w:sz w:val="24"/>
              </w:rPr>
              <w:t>16：30-17：00</w:t>
            </w:r>
          </w:p>
        </w:tc>
        <w:tc>
          <w:tcPr>
            <w:tcW w:w="2860" w:type="dxa"/>
            <w:shd w:val="clear" w:color="auto" w:fill="auto"/>
            <w:vAlign w:val="center"/>
          </w:tcPr>
          <w:p w14:paraId="563160B1" w14:textId="77777777" w:rsidR="0055088D" w:rsidRDefault="00405ABE">
            <w:pPr>
              <w:shd w:val="solid" w:color="FFFFFF" w:fill="auto"/>
              <w:autoSpaceDN w:val="0"/>
              <w:jc w:val="center"/>
              <w:rPr>
                <w:rFonts w:ascii="仿宋" w:eastAsia="仿宋" w:hAnsi="仿宋"/>
                <w:sz w:val="24"/>
              </w:rPr>
            </w:pPr>
            <w:r>
              <w:rPr>
                <w:rFonts w:ascii="仿宋" w:eastAsia="仿宋" w:hAnsi="仿宋" w:hint="eastAsia"/>
                <w:sz w:val="24"/>
              </w:rPr>
              <w:t>成绩汇总报送，成绩公布</w:t>
            </w:r>
          </w:p>
        </w:tc>
        <w:tc>
          <w:tcPr>
            <w:tcW w:w="1675" w:type="dxa"/>
            <w:shd w:val="clear" w:color="auto" w:fill="auto"/>
            <w:vAlign w:val="center"/>
          </w:tcPr>
          <w:p w14:paraId="3F5759EA"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评分裁判、裁判长</w:t>
            </w:r>
          </w:p>
        </w:tc>
        <w:tc>
          <w:tcPr>
            <w:tcW w:w="1304" w:type="dxa"/>
            <w:shd w:val="clear" w:color="auto" w:fill="auto"/>
            <w:vAlign w:val="center"/>
          </w:tcPr>
          <w:p w14:paraId="15214A44" w14:textId="77777777" w:rsidR="0055088D" w:rsidRDefault="00405ABE">
            <w:pPr>
              <w:shd w:val="solid" w:color="FFFFFF" w:fill="auto"/>
              <w:autoSpaceDN w:val="0"/>
              <w:jc w:val="center"/>
              <w:rPr>
                <w:rFonts w:ascii="仿宋" w:eastAsia="仿宋" w:hAnsi="仿宋"/>
                <w:sz w:val="24"/>
              </w:rPr>
            </w:pPr>
            <w:r>
              <w:rPr>
                <w:rFonts w:ascii="仿宋" w:eastAsia="仿宋" w:hAnsi="仿宋"/>
                <w:sz w:val="24"/>
              </w:rPr>
              <w:t>竞赛场地</w:t>
            </w:r>
          </w:p>
        </w:tc>
      </w:tr>
    </w:tbl>
    <w:p w14:paraId="3935620E"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备注：赛题在各阶段开始比赛时同时发放，一、二、三阶段分别于各阶段比赛结束时统一提交答题成果。方案展示PPT需在第四阶段开始前统一提交。</w:t>
      </w:r>
    </w:p>
    <w:p w14:paraId="4FFF8F06"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8" w:name="_Toc24326"/>
      <w:r>
        <w:rPr>
          <w:rFonts w:ascii="黑体" w:eastAsia="黑体" w:hAnsi="黑体" w:hint="eastAsia"/>
          <w:spacing w:val="-10"/>
          <w:kern w:val="0"/>
          <w:sz w:val="32"/>
          <w:szCs w:val="32"/>
        </w:rPr>
        <w:lastRenderedPageBreak/>
        <w:t>四、竞赛方式</w:t>
      </w:r>
      <w:bookmarkEnd w:id="8"/>
    </w:p>
    <w:p w14:paraId="1A1EAE27"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1.竞赛以团体赛方式进行。</w:t>
      </w:r>
    </w:p>
    <w:p w14:paraId="260BC0E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2.竞赛队伍组成：竞赛队伍由3名参赛选手组成（设队长1名），最多配2名指导教师。以院校为单位组队参赛，不得跨校组队。</w:t>
      </w:r>
    </w:p>
    <w:p w14:paraId="2BF3E9E8"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9" w:name="_Toc8772"/>
      <w:r>
        <w:rPr>
          <w:rFonts w:ascii="黑体" w:eastAsia="黑体" w:hAnsi="黑体" w:hint="eastAsia"/>
          <w:spacing w:val="-10"/>
          <w:kern w:val="0"/>
          <w:sz w:val="32"/>
          <w:szCs w:val="32"/>
        </w:rPr>
        <w:t>五、竞赛试题</w:t>
      </w:r>
      <w:bookmarkEnd w:id="9"/>
    </w:p>
    <w:p w14:paraId="47614585"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本赛项的命题工作由赛项执委会指定的命题专家组负责，按照竞赛规程的内容要求，在方向和难度上依据教育部颁发的职业院校相关专业人才培养标准和国家职业标准，结合高职信息安全与管理专业人才培养要求和信息安全企业岗位需要进行设计。方案展示环节的命题指引（如汇报要点、评分维度）将由命题专家组一并提供</w:t>
      </w:r>
    </w:p>
    <w:p w14:paraId="79B4C9CB"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10" w:name="_Toc22955"/>
      <w:r>
        <w:rPr>
          <w:rFonts w:ascii="黑体" w:eastAsia="黑体" w:hAnsi="黑体" w:hint="eastAsia"/>
          <w:spacing w:val="-10"/>
          <w:kern w:val="0"/>
          <w:sz w:val="32"/>
          <w:szCs w:val="32"/>
        </w:rPr>
        <w:t>六、竞赛规则</w:t>
      </w:r>
      <w:bookmarkEnd w:id="10"/>
    </w:p>
    <w:p w14:paraId="27AE5FB7"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（一）报名资格</w:t>
      </w:r>
    </w:p>
    <w:p w14:paraId="1EF064C2" w14:textId="77777777" w:rsidR="009C1DA3" w:rsidRDefault="009C1DA3">
      <w:pPr>
        <w:adjustRightInd w:val="0"/>
        <w:snapToGrid w:val="0"/>
        <w:spacing w:line="560" w:lineRule="exact"/>
        <w:ind w:firstLineChars="196" w:firstLine="549"/>
        <w:rPr>
          <w:rFonts w:ascii="仿宋" w:eastAsia="仿宋" w:hAnsi="仿宋"/>
          <w:color w:val="000000"/>
          <w:sz w:val="28"/>
          <w:szCs w:val="28"/>
        </w:rPr>
      </w:pPr>
      <w:r w:rsidRPr="009C1DA3">
        <w:rPr>
          <w:rFonts w:ascii="仿宋" w:eastAsia="仿宋" w:hAnsi="仿宋" w:hint="eastAsia"/>
          <w:color w:val="000000"/>
          <w:sz w:val="28"/>
          <w:szCs w:val="28"/>
          <w:highlight w:val="yellow"/>
        </w:rPr>
        <w:t>参赛选手须为全日制正式学籍的在校生。根据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p>
    <w:p w14:paraId="383B5FB0" w14:textId="4F9B96AE"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（二）竞赛工位通过抽签决定，竞赛期间参赛选手不得离开竞赛工位。</w:t>
      </w:r>
    </w:p>
    <w:p w14:paraId="58D2A399"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（三</w:t>
      </w:r>
      <w:r>
        <w:rPr>
          <w:rFonts w:ascii="仿宋" w:eastAsia="仿宋" w:hAnsi="仿宋"/>
          <w:color w:val="000000"/>
          <w:sz w:val="28"/>
          <w:szCs w:val="28"/>
        </w:rPr>
        <w:t>）</w:t>
      </w:r>
      <w:r>
        <w:rPr>
          <w:rFonts w:ascii="仿宋" w:eastAsia="仿宋" w:hAnsi="仿宋" w:hint="eastAsia"/>
          <w:color w:val="000000"/>
          <w:sz w:val="28"/>
          <w:szCs w:val="28"/>
        </w:rPr>
        <w:t>竞赛所需的竞赛平台、电脑和由赛项执委会统一安排，参赛选手不得自带硬件设备、软件、移动存储、辅助工具、移动通信等进入竞赛现场。</w:t>
      </w:r>
    </w:p>
    <w:p w14:paraId="23DB1B6C" w14:textId="77777777" w:rsidR="0055088D" w:rsidRDefault="00405ABE">
      <w:pPr>
        <w:adjustRightInd w:val="0"/>
        <w:snapToGrid w:val="0"/>
        <w:spacing w:line="560" w:lineRule="exact"/>
        <w:ind w:left="560"/>
        <w:rPr>
          <w:rFonts w:ascii="仿宋" w:eastAsia="仿宋" w:hAnsi="仿宋"/>
          <w:color w:val="000000"/>
          <w:sz w:val="28"/>
          <w:szCs w:val="28"/>
        </w:rPr>
      </w:pPr>
      <w:r>
        <w:rPr>
          <w:rFonts w:ascii="仿宋" w:eastAsia="仿宋" w:hAnsi="仿宋" w:hint="eastAsia"/>
          <w:color w:val="000000"/>
          <w:sz w:val="28"/>
          <w:szCs w:val="28"/>
        </w:rPr>
        <w:t>（四</w:t>
      </w:r>
      <w:r>
        <w:rPr>
          <w:rFonts w:ascii="仿宋" w:eastAsia="仿宋" w:hAnsi="仿宋"/>
          <w:color w:val="000000"/>
          <w:sz w:val="28"/>
          <w:szCs w:val="28"/>
        </w:rPr>
        <w:t>）</w:t>
      </w:r>
      <w:r>
        <w:rPr>
          <w:rFonts w:ascii="仿宋" w:eastAsia="仿宋" w:hAnsi="仿宋" w:hint="eastAsia"/>
          <w:color w:val="000000"/>
          <w:sz w:val="28"/>
          <w:szCs w:val="28"/>
        </w:rPr>
        <w:t>参赛队自行决定选手分工、工作程序和时间安排。</w:t>
      </w:r>
    </w:p>
    <w:p w14:paraId="27B7B4DC"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（五</w:t>
      </w:r>
      <w:r>
        <w:rPr>
          <w:rFonts w:ascii="仿宋" w:eastAsia="仿宋" w:hAnsi="仿宋"/>
          <w:color w:val="000000"/>
          <w:sz w:val="28"/>
          <w:szCs w:val="28"/>
        </w:rPr>
        <w:t>）</w:t>
      </w:r>
      <w:r>
        <w:rPr>
          <w:rFonts w:ascii="仿宋" w:eastAsia="仿宋" w:hAnsi="仿宋" w:hint="eastAsia"/>
          <w:color w:val="000000"/>
          <w:sz w:val="28"/>
          <w:szCs w:val="28"/>
        </w:rPr>
        <w:t>参赛队在赛前10分钟进入竞赛工位并领取竞赛任务，竞</w:t>
      </w:r>
      <w:r>
        <w:rPr>
          <w:rFonts w:ascii="仿宋" w:eastAsia="仿宋" w:hAnsi="仿宋" w:hint="eastAsia"/>
          <w:color w:val="000000"/>
          <w:sz w:val="28"/>
          <w:szCs w:val="28"/>
        </w:rPr>
        <w:lastRenderedPageBreak/>
        <w:t>赛正式开始后方可展开相关工作。</w:t>
      </w:r>
    </w:p>
    <w:p w14:paraId="4DA21F5B"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（六</w:t>
      </w:r>
      <w:r>
        <w:rPr>
          <w:rFonts w:ascii="仿宋" w:eastAsia="仿宋" w:hAnsi="仿宋"/>
          <w:color w:val="000000"/>
          <w:sz w:val="28"/>
          <w:szCs w:val="28"/>
        </w:rPr>
        <w:t>）</w:t>
      </w:r>
      <w:r>
        <w:rPr>
          <w:rFonts w:ascii="仿宋" w:eastAsia="仿宋" w:hAnsi="仿宋" w:hint="eastAsia"/>
          <w:color w:val="000000"/>
          <w:sz w:val="28"/>
          <w:szCs w:val="28"/>
        </w:rPr>
        <w:t>竞赛过程中，选手须严格遵守操作规程，确保人身及设备安全，并接受裁判员的监督和警示。若因选手因素造成设备故障或损坏，无法继续竞赛，裁判长有权决定终止该队竞赛；若因非参赛选手个人因素造成设备故障，由裁判长视具体情况</w:t>
      </w:r>
      <w:proofErr w:type="gramStart"/>
      <w:r>
        <w:rPr>
          <w:rFonts w:ascii="仿宋" w:eastAsia="仿宋" w:hAnsi="仿宋" w:hint="eastAsia"/>
          <w:color w:val="000000"/>
          <w:sz w:val="28"/>
          <w:szCs w:val="28"/>
        </w:rPr>
        <w:t>作出</w:t>
      </w:r>
      <w:proofErr w:type="gramEnd"/>
      <w:r>
        <w:rPr>
          <w:rFonts w:ascii="仿宋" w:eastAsia="仿宋" w:hAnsi="仿宋" w:hint="eastAsia"/>
          <w:color w:val="000000"/>
          <w:sz w:val="28"/>
          <w:szCs w:val="28"/>
        </w:rPr>
        <w:t>裁决。</w:t>
      </w:r>
    </w:p>
    <w:p w14:paraId="5F99D22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（七</w:t>
      </w:r>
      <w:r>
        <w:rPr>
          <w:rFonts w:ascii="仿宋" w:eastAsia="仿宋" w:hAnsi="仿宋"/>
          <w:color w:val="000000"/>
          <w:sz w:val="28"/>
          <w:szCs w:val="28"/>
        </w:rPr>
        <w:t>）</w:t>
      </w:r>
      <w:r>
        <w:rPr>
          <w:rFonts w:ascii="仿宋" w:eastAsia="仿宋" w:hAnsi="仿宋" w:hint="eastAsia"/>
          <w:color w:val="000000"/>
          <w:sz w:val="28"/>
          <w:szCs w:val="28"/>
        </w:rPr>
        <w:t>竞赛结束（或提前完成）后，参赛队要确认已成功提交所有竞赛文档，裁判员与参赛队队长一起确认，参赛队在确认后不得再进行任何操作。</w:t>
      </w:r>
    </w:p>
    <w:p w14:paraId="2B210CAC" w14:textId="77777777" w:rsidR="0055088D" w:rsidRDefault="00405ABE">
      <w:pPr>
        <w:widowControl/>
        <w:shd w:val="clear" w:color="auto" w:fill="FFFFFF"/>
        <w:spacing w:line="560" w:lineRule="exact"/>
        <w:ind w:firstLineChars="200" w:firstLine="600"/>
        <w:jc w:val="left"/>
        <w:outlineLvl w:val="1"/>
        <w:rPr>
          <w:rFonts w:ascii="黑体" w:eastAsia="黑体" w:hAnsi="黑体"/>
          <w:spacing w:val="-10"/>
          <w:kern w:val="0"/>
          <w:sz w:val="32"/>
          <w:szCs w:val="32"/>
        </w:rPr>
      </w:pPr>
      <w:bookmarkStart w:id="11" w:name="_Toc23684"/>
      <w:r>
        <w:rPr>
          <w:rFonts w:ascii="黑体" w:eastAsia="黑体" w:hAnsi="黑体" w:hint="eastAsia"/>
          <w:spacing w:val="-10"/>
          <w:kern w:val="0"/>
          <w:sz w:val="32"/>
          <w:szCs w:val="32"/>
        </w:rPr>
        <w:t>七、竞赛环境</w:t>
      </w:r>
      <w:bookmarkEnd w:id="11"/>
    </w:p>
    <w:p w14:paraId="2DEFF3C8" w14:textId="77777777" w:rsidR="0055088D" w:rsidRDefault="00405ABE">
      <w:pPr>
        <w:adjustRightInd w:val="0"/>
        <w:snapToGrid w:val="0"/>
        <w:spacing w:line="56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竞赛工位配备220V电源，工位内的电缆线应符合安全要求。确保参赛队之间互不干扰。竞赛工位标明工位号，并配备竞赛平台和技术工作要求的软、硬件。环境标准要求保证赛场采光(大于500lux)、照明和通风良好。赛场另设独立的方案展示与答辩区，配备投影设备、计算机及计时装置。</w:t>
      </w:r>
    </w:p>
    <w:p w14:paraId="69681C91"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12" w:name="_Toc4988"/>
      <w:r>
        <w:rPr>
          <w:rFonts w:ascii="黑体" w:eastAsia="黑体" w:hAnsi="黑体" w:hint="eastAsia"/>
          <w:spacing w:val="-10"/>
          <w:kern w:val="0"/>
          <w:sz w:val="32"/>
          <w:szCs w:val="32"/>
        </w:rPr>
        <w:t>八、技术规范</w:t>
      </w:r>
      <w:bookmarkEnd w:id="12"/>
    </w:p>
    <w:p w14:paraId="5A1CC981"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该赛项涉及的信息网络安全工程在设计、组建过程中，主要有以下7项国家标准，参赛队在实施竞赛项目中要求遵循如下规范：</w:t>
      </w: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961"/>
        <w:gridCol w:w="5631"/>
      </w:tblGrid>
      <w:tr w:rsidR="0055088D" w14:paraId="11278ABF" w14:textId="77777777">
        <w:trPr>
          <w:trHeight w:val="379"/>
          <w:jc w:val="center"/>
        </w:trPr>
        <w:tc>
          <w:tcPr>
            <w:tcW w:w="704" w:type="dxa"/>
            <w:vAlign w:val="center"/>
          </w:tcPr>
          <w:p w14:paraId="1D6B4A1C" w14:textId="77777777" w:rsidR="0055088D" w:rsidRDefault="00405ABE">
            <w:pPr>
              <w:adjustRightInd w:val="0"/>
              <w:snapToGrid w:val="0"/>
              <w:jc w:val="center"/>
              <w:rPr>
                <w:rFonts w:ascii="仿宋" w:eastAsia="仿宋" w:hAnsi="仿宋"/>
                <w:b/>
                <w:bCs/>
                <w:color w:val="000000"/>
                <w:kern w:val="0"/>
                <w:sz w:val="24"/>
              </w:rPr>
            </w:pPr>
            <w:r>
              <w:rPr>
                <w:rFonts w:ascii="仿宋" w:eastAsia="仿宋" w:hAnsi="仿宋" w:hint="eastAsia"/>
                <w:b/>
                <w:bCs/>
                <w:color w:val="000000"/>
                <w:kern w:val="0"/>
                <w:sz w:val="24"/>
              </w:rPr>
              <w:t>序号</w:t>
            </w:r>
          </w:p>
        </w:tc>
        <w:tc>
          <w:tcPr>
            <w:tcW w:w="1961" w:type="dxa"/>
            <w:vAlign w:val="center"/>
          </w:tcPr>
          <w:p w14:paraId="3806CB65" w14:textId="77777777" w:rsidR="0055088D" w:rsidRDefault="00405ABE">
            <w:pPr>
              <w:adjustRightInd w:val="0"/>
              <w:snapToGrid w:val="0"/>
              <w:jc w:val="center"/>
              <w:rPr>
                <w:rFonts w:ascii="仿宋" w:eastAsia="仿宋" w:hAnsi="仿宋"/>
                <w:b/>
                <w:bCs/>
                <w:color w:val="000000"/>
                <w:kern w:val="0"/>
                <w:sz w:val="24"/>
              </w:rPr>
            </w:pPr>
            <w:r>
              <w:rPr>
                <w:rFonts w:ascii="仿宋" w:eastAsia="仿宋" w:hAnsi="仿宋" w:hint="eastAsia"/>
                <w:b/>
                <w:bCs/>
                <w:color w:val="000000"/>
                <w:kern w:val="0"/>
                <w:sz w:val="24"/>
              </w:rPr>
              <w:t>标准号</w:t>
            </w:r>
          </w:p>
        </w:tc>
        <w:tc>
          <w:tcPr>
            <w:tcW w:w="5631" w:type="dxa"/>
            <w:vAlign w:val="center"/>
          </w:tcPr>
          <w:p w14:paraId="77B5B682" w14:textId="77777777" w:rsidR="0055088D" w:rsidRDefault="00405ABE">
            <w:pPr>
              <w:adjustRightInd w:val="0"/>
              <w:snapToGrid w:val="0"/>
              <w:jc w:val="center"/>
              <w:rPr>
                <w:rFonts w:ascii="仿宋" w:eastAsia="仿宋" w:hAnsi="仿宋"/>
                <w:b/>
                <w:bCs/>
                <w:color w:val="000000"/>
                <w:kern w:val="0"/>
                <w:sz w:val="24"/>
              </w:rPr>
            </w:pPr>
            <w:r>
              <w:rPr>
                <w:rFonts w:ascii="仿宋" w:eastAsia="仿宋" w:hAnsi="仿宋" w:hint="eastAsia"/>
                <w:b/>
                <w:bCs/>
                <w:color w:val="000000"/>
                <w:kern w:val="0"/>
                <w:sz w:val="24"/>
              </w:rPr>
              <w:t>中文标准名称</w:t>
            </w:r>
          </w:p>
        </w:tc>
      </w:tr>
      <w:tr w:rsidR="0055088D" w14:paraId="354B3F62" w14:textId="77777777">
        <w:trPr>
          <w:trHeight w:val="339"/>
          <w:jc w:val="center"/>
        </w:trPr>
        <w:tc>
          <w:tcPr>
            <w:tcW w:w="704" w:type="dxa"/>
            <w:vAlign w:val="center"/>
          </w:tcPr>
          <w:p w14:paraId="35027C0E" w14:textId="77777777" w:rsidR="0055088D" w:rsidRDefault="00405ABE">
            <w:pPr>
              <w:adjustRightInd w:val="0"/>
              <w:snapToGrid w:val="0"/>
              <w:jc w:val="center"/>
              <w:rPr>
                <w:rFonts w:ascii="仿宋" w:eastAsia="仿宋" w:hAnsi="仿宋"/>
                <w:color w:val="000000"/>
                <w:kern w:val="0"/>
                <w:sz w:val="24"/>
              </w:rPr>
            </w:pPr>
            <w:r>
              <w:rPr>
                <w:rFonts w:ascii="仿宋" w:eastAsia="仿宋" w:hAnsi="仿宋"/>
                <w:color w:val="000000"/>
                <w:kern w:val="0"/>
                <w:sz w:val="24"/>
              </w:rPr>
              <w:t>1</w:t>
            </w:r>
          </w:p>
        </w:tc>
        <w:tc>
          <w:tcPr>
            <w:tcW w:w="1961" w:type="dxa"/>
            <w:vAlign w:val="center"/>
          </w:tcPr>
          <w:p w14:paraId="3B5E078B"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GB17859-1999</w:t>
            </w:r>
          </w:p>
        </w:tc>
        <w:tc>
          <w:tcPr>
            <w:tcW w:w="5631" w:type="dxa"/>
            <w:vAlign w:val="center"/>
          </w:tcPr>
          <w:p w14:paraId="21542CE6"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《计算机信息系统安全保护等级划分准则》</w:t>
            </w:r>
          </w:p>
        </w:tc>
      </w:tr>
      <w:tr w:rsidR="0055088D" w14:paraId="6E94CF3A" w14:textId="77777777">
        <w:trPr>
          <w:trHeight w:val="339"/>
          <w:jc w:val="center"/>
        </w:trPr>
        <w:tc>
          <w:tcPr>
            <w:tcW w:w="704" w:type="dxa"/>
            <w:vAlign w:val="center"/>
          </w:tcPr>
          <w:p w14:paraId="22CB658D" w14:textId="77777777" w:rsidR="0055088D" w:rsidRDefault="00405ABE">
            <w:pPr>
              <w:adjustRightInd w:val="0"/>
              <w:snapToGrid w:val="0"/>
              <w:jc w:val="center"/>
              <w:rPr>
                <w:rFonts w:ascii="仿宋" w:eastAsia="仿宋" w:hAnsi="仿宋"/>
                <w:color w:val="000000"/>
                <w:kern w:val="0"/>
                <w:sz w:val="24"/>
              </w:rPr>
            </w:pPr>
            <w:r>
              <w:rPr>
                <w:rFonts w:ascii="仿宋" w:eastAsia="仿宋" w:hAnsi="仿宋"/>
                <w:color w:val="000000"/>
                <w:kern w:val="0"/>
                <w:sz w:val="24"/>
              </w:rPr>
              <w:t>2</w:t>
            </w:r>
          </w:p>
        </w:tc>
        <w:tc>
          <w:tcPr>
            <w:tcW w:w="1961" w:type="dxa"/>
            <w:vAlign w:val="center"/>
          </w:tcPr>
          <w:p w14:paraId="7003889E"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GB/T20271-2006</w:t>
            </w:r>
          </w:p>
        </w:tc>
        <w:tc>
          <w:tcPr>
            <w:tcW w:w="5631" w:type="dxa"/>
            <w:vAlign w:val="center"/>
          </w:tcPr>
          <w:p w14:paraId="529D10A8"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《信息安全技术信息系统通用安全技术要求》</w:t>
            </w:r>
          </w:p>
        </w:tc>
      </w:tr>
      <w:tr w:rsidR="0055088D" w14:paraId="5995A41E" w14:textId="77777777">
        <w:trPr>
          <w:trHeight w:val="324"/>
          <w:jc w:val="center"/>
        </w:trPr>
        <w:tc>
          <w:tcPr>
            <w:tcW w:w="704" w:type="dxa"/>
            <w:vAlign w:val="center"/>
          </w:tcPr>
          <w:p w14:paraId="5DDEC7E0" w14:textId="77777777" w:rsidR="0055088D" w:rsidRDefault="00405ABE">
            <w:pPr>
              <w:adjustRightInd w:val="0"/>
              <w:snapToGrid w:val="0"/>
              <w:jc w:val="center"/>
              <w:rPr>
                <w:rFonts w:ascii="仿宋" w:eastAsia="仿宋" w:hAnsi="仿宋"/>
                <w:color w:val="000000"/>
                <w:kern w:val="0"/>
                <w:sz w:val="24"/>
              </w:rPr>
            </w:pPr>
            <w:r>
              <w:rPr>
                <w:rFonts w:ascii="仿宋" w:eastAsia="仿宋" w:hAnsi="仿宋"/>
                <w:color w:val="000000"/>
                <w:kern w:val="0"/>
                <w:sz w:val="24"/>
              </w:rPr>
              <w:t>3</w:t>
            </w:r>
          </w:p>
        </w:tc>
        <w:tc>
          <w:tcPr>
            <w:tcW w:w="1961" w:type="dxa"/>
            <w:vAlign w:val="center"/>
          </w:tcPr>
          <w:p w14:paraId="46A6B41E"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GB/T20270-2006</w:t>
            </w:r>
          </w:p>
        </w:tc>
        <w:tc>
          <w:tcPr>
            <w:tcW w:w="5631" w:type="dxa"/>
            <w:vAlign w:val="center"/>
          </w:tcPr>
          <w:p w14:paraId="0458B147"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《信息安全技术网络基础安全技术要求》</w:t>
            </w:r>
          </w:p>
        </w:tc>
      </w:tr>
      <w:tr w:rsidR="0055088D" w14:paraId="0E757F4C" w14:textId="77777777">
        <w:trPr>
          <w:trHeight w:val="379"/>
          <w:jc w:val="center"/>
        </w:trPr>
        <w:tc>
          <w:tcPr>
            <w:tcW w:w="704" w:type="dxa"/>
            <w:vAlign w:val="center"/>
          </w:tcPr>
          <w:p w14:paraId="5CC5FCFF" w14:textId="77777777" w:rsidR="0055088D" w:rsidRDefault="00405ABE">
            <w:pPr>
              <w:adjustRightInd w:val="0"/>
              <w:snapToGrid w:val="0"/>
              <w:jc w:val="center"/>
              <w:rPr>
                <w:rFonts w:ascii="仿宋" w:eastAsia="仿宋" w:hAnsi="仿宋"/>
                <w:color w:val="000000"/>
                <w:kern w:val="0"/>
                <w:sz w:val="24"/>
              </w:rPr>
            </w:pPr>
            <w:r>
              <w:rPr>
                <w:rFonts w:ascii="仿宋" w:eastAsia="仿宋" w:hAnsi="仿宋"/>
                <w:color w:val="000000"/>
                <w:kern w:val="0"/>
                <w:sz w:val="24"/>
              </w:rPr>
              <w:t>4</w:t>
            </w:r>
          </w:p>
        </w:tc>
        <w:tc>
          <w:tcPr>
            <w:tcW w:w="1961" w:type="dxa"/>
            <w:vAlign w:val="center"/>
          </w:tcPr>
          <w:p w14:paraId="3287A445"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GB/T20272-2006</w:t>
            </w:r>
          </w:p>
        </w:tc>
        <w:tc>
          <w:tcPr>
            <w:tcW w:w="5631" w:type="dxa"/>
            <w:vAlign w:val="center"/>
          </w:tcPr>
          <w:p w14:paraId="18B5B88C"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《信息安全技术操作系统安全技术要求》</w:t>
            </w:r>
          </w:p>
        </w:tc>
      </w:tr>
      <w:tr w:rsidR="0055088D" w14:paraId="4E048039" w14:textId="77777777">
        <w:trPr>
          <w:trHeight w:val="309"/>
          <w:jc w:val="center"/>
        </w:trPr>
        <w:tc>
          <w:tcPr>
            <w:tcW w:w="704" w:type="dxa"/>
            <w:vAlign w:val="center"/>
          </w:tcPr>
          <w:p w14:paraId="4CA12F12" w14:textId="77777777" w:rsidR="0055088D" w:rsidRDefault="00405ABE">
            <w:pPr>
              <w:adjustRightInd w:val="0"/>
              <w:snapToGrid w:val="0"/>
              <w:jc w:val="center"/>
              <w:rPr>
                <w:rFonts w:ascii="仿宋" w:eastAsia="仿宋" w:hAnsi="仿宋"/>
                <w:color w:val="000000"/>
                <w:kern w:val="0"/>
                <w:sz w:val="24"/>
              </w:rPr>
            </w:pPr>
            <w:r>
              <w:rPr>
                <w:rFonts w:ascii="仿宋" w:eastAsia="仿宋" w:hAnsi="仿宋"/>
                <w:color w:val="000000"/>
                <w:kern w:val="0"/>
                <w:sz w:val="24"/>
              </w:rPr>
              <w:t>5</w:t>
            </w:r>
          </w:p>
        </w:tc>
        <w:tc>
          <w:tcPr>
            <w:tcW w:w="1961" w:type="dxa"/>
            <w:vAlign w:val="center"/>
          </w:tcPr>
          <w:p w14:paraId="5E97A2AC"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GB/T20273-2006</w:t>
            </w:r>
          </w:p>
        </w:tc>
        <w:tc>
          <w:tcPr>
            <w:tcW w:w="5631" w:type="dxa"/>
            <w:vAlign w:val="center"/>
          </w:tcPr>
          <w:p w14:paraId="7A489837"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《信息安全技术数据库管理系统安全技术要求》</w:t>
            </w:r>
          </w:p>
        </w:tc>
      </w:tr>
      <w:tr w:rsidR="0055088D" w14:paraId="5E62BFB7" w14:textId="77777777">
        <w:trPr>
          <w:trHeight w:val="324"/>
          <w:jc w:val="center"/>
        </w:trPr>
        <w:tc>
          <w:tcPr>
            <w:tcW w:w="704" w:type="dxa"/>
            <w:vAlign w:val="center"/>
          </w:tcPr>
          <w:p w14:paraId="1DB7E97E" w14:textId="77777777" w:rsidR="0055088D" w:rsidRDefault="00405ABE">
            <w:pPr>
              <w:adjustRightInd w:val="0"/>
              <w:snapToGrid w:val="0"/>
              <w:jc w:val="center"/>
              <w:rPr>
                <w:rFonts w:ascii="仿宋" w:eastAsia="仿宋" w:hAnsi="仿宋"/>
                <w:color w:val="000000"/>
                <w:kern w:val="0"/>
                <w:sz w:val="24"/>
              </w:rPr>
            </w:pPr>
            <w:r>
              <w:rPr>
                <w:rFonts w:ascii="仿宋" w:eastAsia="仿宋" w:hAnsi="仿宋" w:hint="eastAsia"/>
                <w:color w:val="000000"/>
                <w:kern w:val="0"/>
                <w:sz w:val="24"/>
              </w:rPr>
              <w:t>6</w:t>
            </w:r>
          </w:p>
        </w:tc>
        <w:tc>
          <w:tcPr>
            <w:tcW w:w="1961" w:type="dxa"/>
            <w:vAlign w:val="center"/>
          </w:tcPr>
          <w:p w14:paraId="338557FF"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GA/T671-2006</w:t>
            </w:r>
          </w:p>
        </w:tc>
        <w:tc>
          <w:tcPr>
            <w:tcW w:w="5631" w:type="dxa"/>
            <w:vAlign w:val="center"/>
          </w:tcPr>
          <w:p w14:paraId="1D8DA795"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《信息安全技术终端计算机系统安全等级技术要求》</w:t>
            </w:r>
          </w:p>
        </w:tc>
      </w:tr>
      <w:tr w:rsidR="0055088D" w14:paraId="1597B5E5" w14:textId="77777777">
        <w:trPr>
          <w:trHeight w:val="364"/>
          <w:jc w:val="center"/>
        </w:trPr>
        <w:tc>
          <w:tcPr>
            <w:tcW w:w="704" w:type="dxa"/>
            <w:vAlign w:val="center"/>
          </w:tcPr>
          <w:p w14:paraId="0D61BF5A" w14:textId="77777777" w:rsidR="0055088D" w:rsidRDefault="00405ABE">
            <w:pPr>
              <w:adjustRightInd w:val="0"/>
              <w:snapToGrid w:val="0"/>
              <w:jc w:val="center"/>
              <w:rPr>
                <w:rFonts w:ascii="仿宋" w:eastAsia="仿宋" w:hAnsi="仿宋"/>
                <w:color w:val="000000"/>
                <w:kern w:val="0"/>
                <w:sz w:val="24"/>
              </w:rPr>
            </w:pPr>
            <w:r>
              <w:rPr>
                <w:rFonts w:ascii="仿宋" w:eastAsia="仿宋" w:hAnsi="仿宋" w:hint="eastAsia"/>
                <w:color w:val="000000"/>
                <w:kern w:val="0"/>
                <w:sz w:val="24"/>
              </w:rPr>
              <w:t>7</w:t>
            </w:r>
          </w:p>
        </w:tc>
        <w:tc>
          <w:tcPr>
            <w:tcW w:w="1961" w:type="dxa"/>
            <w:vAlign w:val="center"/>
          </w:tcPr>
          <w:p w14:paraId="79F69A70"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GB/T20269-2006</w:t>
            </w:r>
          </w:p>
        </w:tc>
        <w:tc>
          <w:tcPr>
            <w:tcW w:w="5631" w:type="dxa"/>
            <w:vAlign w:val="center"/>
          </w:tcPr>
          <w:p w14:paraId="048FA41E" w14:textId="77777777" w:rsidR="0055088D" w:rsidRDefault="00405ABE">
            <w:pPr>
              <w:adjustRightInd w:val="0"/>
              <w:snapToGrid w:val="0"/>
              <w:rPr>
                <w:rFonts w:ascii="仿宋" w:eastAsia="仿宋" w:hAnsi="仿宋"/>
                <w:color w:val="000000"/>
                <w:kern w:val="0"/>
                <w:sz w:val="24"/>
              </w:rPr>
            </w:pPr>
            <w:r>
              <w:rPr>
                <w:rFonts w:ascii="仿宋" w:eastAsia="仿宋" w:hAnsi="仿宋" w:hint="eastAsia"/>
                <w:color w:val="000000"/>
                <w:kern w:val="0"/>
                <w:sz w:val="24"/>
              </w:rPr>
              <w:t>《信息安全技术信息系统安全管理要求》</w:t>
            </w:r>
          </w:p>
        </w:tc>
      </w:tr>
    </w:tbl>
    <w:p w14:paraId="7829BEFF"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13" w:name="_Toc16379"/>
      <w:r>
        <w:rPr>
          <w:rFonts w:ascii="黑体" w:eastAsia="黑体" w:hAnsi="黑体" w:hint="eastAsia"/>
          <w:spacing w:val="-10"/>
          <w:kern w:val="0"/>
          <w:sz w:val="32"/>
          <w:szCs w:val="32"/>
        </w:rPr>
        <w:t>九、技术平台</w:t>
      </w:r>
      <w:bookmarkEnd w:id="13"/>
    </w:p>
    <w:p w14:paraId="74912E4D"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赛项执委会提供以下竞赛设备：</w:t>
      </w:r>
    </w:p>
    <w:tbl>
      <w:tblPr>
        <w:tblStyle w:val="TableNormal"/>
        <w:tblW w:w="907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8"/>
        <w:gridCol w:w="1490"/>
        <w:gridCol w:w="5264"/>
        <w:gridCol w:w="800"/>
        <w:gridCol w:w="809"/>
      </w:tblGrid>
      <w:tr w:rsidR="0055088D" w14:paraId="27AB13B5" w14:textId="77777777">
        <w:trPr>
          <w:trHeight w:val="575"/>
        </w:trPr>
        <w:tc>
          <w:tcPr>
            <w:tcW w:w="708" w:type="dxa"/>
          </w:tcPr>
          <w:p w14:paraId="00AA2EF2" w14:textId="77777777" w:rsidR="0055088D" w:rsidRDefault="00405ABE">
            <w:pPr>
              <w:pStyle w:val="TableText"/>
              <w:spacing w:before="87" w:line="221" w:lineRule="auto"/>
              <w:ind w:left="119"/>
            </w:pPr>
            <w:r>
              <w:rPr>
                <w:spacing w:val="-5"/>
              </w:rPr>
              <w:lastRenderedPageBreak/>
              <w:t>序号</w:t>
            </w:r>
          </w:p>
        </w:tc>
        <w:tc>
          <w:tcPr>
            <w:tcW w:w="1490" w:type="dxa"/>
          </w:tcPr>
          <w:p w14:paraId="1BD7ADD8" w14:textId="77777777" w:rsidR="0055088D" w:rsidRDefault="00405ABE">
            <w:pPr>
              <w:pStyle w:val="TableText"/>
              <w:spacing w:before="88" w:line="221" w:lineRule="auto"/>
              <w:ind w:left="514"/>
            </w:pPr>
            <w:r>
              <w:rPr>
                <w:spacing w:val="-7"/>
              </w:rPr>
              <w:t>名称</w:t>
            </w:r>
          </w:p>
        </w:tc>
        <w:tc>
          <w:tcPr>
            <w:tcW w:w="5264" w:type="dxa"/>
          </w:tcPr>
          <w:p w14:paraId="3C34E63A" w14:textId="77777777" w:rsidR="0055088D" w:rsidRDefault="00405ABE">
            <w:pPr>
              <w:pStyle w:val="TableText"/>
              <w:spacing w:before="88" w:line="219" w:lineRule="auto"/>
              <w:ind w:left="1577"/>
            </w:pPr>
            <w:r>
              <w:rPr>
                <w:spacing w:val="-3"/>
              </w:rPr>
              <w:t>品牌/型号/技术参数</w:t>
            </w:r>
          </w:p>
        </w:tc>
        <w:tc>
          <w:tcPr>
            <w:tcW w:w="800" w:type="dxa"/>
          </w:tcPr>
          <w:p w14:paraId="54710B3C" w14:textId="77777777" w:rsidR="0055088D" w:rsidRDefault="00405ABE">
            <w:pPr>
              <w:pStyle w:val="TableText"/>
              <w:spacing w:before="87" w:line="220" w:lineRule="auto"/>
              <w:ind w:left="171"/>
            </w:pPr>
            <w:r>
              <w:rPr>
                <w:spacing w:val="-6"/>
              </w:rPr>
              <w:t>单位</w:t>
            </w:r>
          </w:p>
        </w:tc>
        <w:tc>
          <w:tcPr>
            <w:tcW w:w="809" w:type="dxa"/>
          </w:tcPr>
          <w:p w14:paraId="0FC8DBF6" w14:textId="77777777" w:rsidR="0055088D" w:rsidRDefault="00405ABE">
            <w:pPr>
              <w:pStyle w:val="TableText"/>
              <w:spacing w:before="88" w:line="219" w:lineRule="auto"/>
              <w:ind w:left="173"/>
            </w:pPr>
            <w:r>
              <w:rPr>
                <w:spacing w:val="-6"/>
              </w:rPr>
              <w:t>数量</w:t>
            </w:r>
          </w:p>
        </w:tc>
      </w:tr>
      <w:tr w:rsidR="0055088D" w14:paraId="60F1839D" w14:textId="77777777">
        <w:trPr>
          <w:trHeight w:val="571"/>
        </w:trPr>
        <w:tc>
          <w:tcPr>
            <w:tcW w:w="708" w:type="dxa"/>
          </w:tcPr>
          <w:p w14:paraId="691FC817" w14:textId="77777777" w:rsidR="0055088D" w:rsidRDefault="00405ABE">
            <w:pPr>
              <w:pStyle w:val="TableText"/>
              <w:spacing w:before="122" w:line="184" w:lineRule="auto"/>
              <w:ind w:left="317"/>
            </w:pPr>
            <w:r>
              <w:t>1</w:t>
            </w:r>
          </w:p>
        </w:tc>
        <w:tc>
          <w:tcPr>
            <w:tcW w:w="1490" w:type="dxa"/>
          </w:tcPr>
          <w:p w14:paraId="034C032F" w14:textId="77777777" w:rsidR="0055088D" w:rsidRDefault="00405ABE">
            <w:pPr>
              <w:pStyle w:val="TableText"/>
              <w:spacing w:before="86" w:line="219" w:lineRule="auto"/>
              <w:ind w:left="274"/>
            </w:pPr>
            <w:r>
              <w:rPr>
                <w:spacing w:val="-4"/>
              </w:rPr>
              <w:t>竞赛平台</w:t>
            </w:r>
          </w:p>
        </w:tc>
        <w:tc>
          <w:tcPr>
            <w:tcW w:w="5264" w:type="dxa"/>
          </w:tcPr>
          <w:p w14:paraId="1622D9F9" w14:textId="77777777" w:rsidR="0055088D" w:rsidRDefault="00405ABE">
            <w:pPr>
              <w:pStyle w:val="TableText"/>
              <w:spacing w:before="86" w:line="219" w:lineRule="auto"/>
              <w:ind w:left="131"/>
            </w:pPr>
            <w:r>
              <w:rPr>
                <w:spacing w:val="-2"/>
              </w:rPr>
              <w:t>网络空间安全竞赛平台（含服务器）</w:t>
            </w:r>
          </w:p>
        </w:tc>
        <w:tc>
          <w:tcPr>
            <w:tcW w:w="800" w:type="dxa"/>
          </w:tcPr>
          <w:p w14:paraId="5210EC44" w14:textId="77777777" w:rsidR="0055088D" w:rsidRDefault="00405ABE">
            <w:pPr>
              <w:pStyle w:val="TableText"/>
              <w:spacing w:before="86" w:line="220" w:lineRule="auto"/>
              <w:ind w:left="290"/>
            </w:pPr>
            <w:r>
              <w:t>套</w:t>
            </w:r>
          </w:p>
        </w:tc>
        <w:tc>
          <w:tcPr>
            <w:tcW w:w="809" w:type="dxa"/>
          </w:tcPr>
          <w:p w14:paraId="6E44D021" w14:textId="77777777" w:rsidR="0055088D" w:rsidRDefault="00405ABE">
            <w:pPr>
              <w:pStyle w:val="TableText"/>
              <w:spacing w:before="122" w:line="184" w:lineRule="auto"/>
              <w:ind w:left="369"/>
            </w:pPr>
            <w:r>
              <w:rPr>
                <w:rFonts w:hint="eastAsia"/>
              </w:rPr>
              <w:t>1</w:t>
            </w:r>
          </w:p>
        </w:tc>
      </w:tr>
      <w:tr w:rsidR="0055088D" w14:paraId="3FFC57DB" w14:textId="77777777">
        <w:trPr>
          <w:trHeight w:val="945"/>
        </w:trPr>
        <w:tc>
          <w:tcPr>
            <w:tcW w:w="708" w:type="dxa"/>
          </w:tcPr>
          <w:p w14:paraId="2C53012B" w14:textId="77777777" w:rsidR="0055088D" w:rsidRDefault="00405ABE">
            <w:pPr>
              <w:pStyle w:val="TableText"/>
              <w:spacing w:before="308" w:line="183" w:lineRule="auto"/>
              <w:ind w:left="302"/>
            </w:pPr>
            <w:r>
              <w:t>2</w:t>
            </w:r>
          </w:p>
        </w:tc>
        <w:tc>
          <w:tcPr>
            <w:tcW w:w="1490" w:type="dxa"/>
          </w:tcPr>
          <w:p w14:paraId="07608E04" w14:textId="77777777" w:rsidR="0055088D" w:rsidRDefault="00405ABE">
            <w:pPr>
              <w:pStyle w:val="TableText"/>
              <w:spacing w:before="270" w:line="221" w:lineRule="auto"/>
              <w:ind w:left="539"/>
            </w:pPr>
            <w:r>
              <w:rPr>
                <w:spacing w:val="-19"/>
              </w:rPr>
              <w:t>电脑</w:t>
            </w:r>
          </w:p>
        </w:tc>
        <w:tc>
          <w:tcPr>
            <w:tcW w:w="5264" w:type="dxa"/>
          </w:tcPr>
          <w:p w14:paraId="1E34D632" w14:textId="77777777" w:rsidR="0055088D" w:rsidRDefault="00405ABE">
            <w:pPr>
              <w:pStyle w:val="TableText"/>
              <w:spacing w:before="37" w:line="345" w:lineRule="auto"/>
              <w:ind w:left="124" w:right="103" w:firstLine="7"/>
            </w:pPr>
            <w:r>
              <w:rPr>
                <w:spacing w:val="-5"/>
              </w:rPr>
              <w:t>台式电脑：I7</w:t>
            </w:r>
            <w:r>
              <w:rPr>
                <w:spacing w:val="-46"/>
              </w:rPr>
              <w:t xml:space="preserve"> </w:t>
            </w:r>
            <w:r>
              <w:rPr>
                <w:spacing w:val="-5"/>
              </w:rPr>
              <w:t>或</w:t>
            </w:r>
            <w:r>
              <w:rPr>
                <w:spacing w:val="-38"/>
              </w:rPr>
              <w:t xml:space="preserve"> </w:t>
            </w:r>
            <w:r>
              <w:rPr>
                <w:spacing w:val="-5"/>
              </w:rPr>
              <w:t>I5/16G 内存/1T</w:t>
            </w:r>
            <w:r>
              <w:rPr>
                <w:spacing w:val="-51"/>
              </w:rPr>
              <w:t xml:space="preserve"> </w:t>
            </w:r>
            <w:r>
              <w:rPr>
                <w:spacing w:val="-5"/>
              </w:rPr>
              <w:t>硬盘/千兆网卡</w:t>
            </w:r>
            <w:r>
              <w:t xml:space="preserve"> </w:t>
            </w:r>
            <w:r>
              <w:rPr>
                <w:spacing w:val="-1"/>
              </w:rPr>
              <w:t>/硬盘保护卡/23.8</w:t>
            </w:r>
            <w:r>
              <w:rPr>
                <w:spacing w:val="-41"/>
              </w:rPr>
              <w:t xml:space="preserve"> </w:t>
            </w:r>
            <w:r>
              <w:rPr>
                <w:spacing w:val="-1"/>
              </w:rPr>
              <w:t>寸显示器/预装</w:t>
            </w:r>
            <w:r>
              <w:rPr>
                <w:spacing w:val="-59"/>
              </w:rPr>
              <w:t xml:space="preserve"> </w:t>
            </w:r>
            <w:r>
              <w:rPr>
                <w:spacing w:val="-1"/>
              </w:rPr>
              <w:t>win10/office</w:t>
            </w:r>
          </w:p>
        </w:tc>
        <w:tc>
          <w:tcPr>
            <w:tcW w:w="800" w:type="dxa"/>
          </w:tcPr>
          <w:p w14:paraId="6C09EC1E" w14:textId="77777777" w:rsidR="0055088D" w:rsidRDefault="00405ABE">
            <w:pPr>
              <w:pStyle w:val="TableText"/>
              <w:spacing w:before="271" w:line="221" w:lineRule="auto"/>
              <w:ind w:left="308"/>
            </w:pPr>
            <w:r>
              <w:t>台</w:t>
            </w:r>
          </w:p>
        </w:tc>
        <w:tc>
          <w:tcPr>
            <w:tcW w:w="809" w:type="dxa"/>
          </w:tcPr>
          <w:p w14:paraId="53B41E54" w14:textId="77777777" w:rsidR="0055088D" w:rsidRDefault="00405ABE">
            <w:pPr>
              <w:pStyle w:val="TableText"/>
              <w:spacing w:before="308" w:line="183" w:lineRule="auto"/>
              <w:jc w:val="center"/>
            </w:pPr>
            <w:r>
              <w:rPr>
                <w:rFonts w:hint="eastAsia"/>
              </w:rPr>
              <w:t>按需</w:t>
            </w:r>
          </w:p>
        </w:tc>
      </w:tr>
    </w:tbl>
    <w:p w14:paraId="4EC33025"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14" w:name="_Toc22138"/>
      <w:r>
        <w:rPr>
          <w:rFonts w:ascii="黑体" w:eastAsia="黑体" w:hAnsi="黑体" w:hint="eastAsia"/>
          <w:spacing w:val="-10"/>
          <w:kern w:val="0"/>
          <w:sz w:val="32"/>
          <w:szCs w:val="32"/>
        </w:rPr>
        <w:t>十、成绩评定</w:t>
      </w:r>
      <w:bookmarkEnd w:id="14"/>
    </w:p>
    <w:p w14:paraId="311ACF23"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（一）裁判评分方法</w:t>
      </w:r>
    </w:p>
    <w:p w14:paraId="6C89476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裁判组负责</w:t>
      </w:r>
      <w:proofErr w:type="gramStart"/>
      <w:r>
        <w:rPr>
          <w:rFonts w:ascii="仿宋" w:eastAsia="仿宋" w:hAnsi="仿宋" w:hint="eastAsia"/>
          <w:color w:val="000000"/>
          <w:sz w:val="28"/>
          <w:szCs w:val="28"/>
        </w:rPr>
        <w:t>竞赛机</w:t>
      </w:r>
      <w:proofErr w:type="gramEnd"/>
      <w:r>
        <w:rPr>
          <w:rFonts w:ascii="仿宋" w:eastAsia="仿宋" w:hAnsi="仿宋" w:hint="eastAsia"/>
          <w:color w:val="000000"/>
          <w:sz w:val="28"/>
          <w:szCs w:val="28"/>
        </w:rPr>
        <w:t>考评分和结果性评分，由裁判长负责</w:t>
      </w:r>
      <w:proofErr w:type="gramStart"/>
      <w:r>
        <w:rPr>
          <w:rFonts w:ascii="仿宋" w:eastAsia="仿宋" w:hAnsi="仿宋" w:hint="eastAsia"/>
          <w:color w:val="000000"/>
          <w:sz w:val="28"/>
          <w:szCs w:val="28"/>
        </w:rPr>
        <w:t>竞赛全</w:t>
      </w:r>
      <w:proofErr w:type="gramEnd"/>
      <w:r>
        <w:rPr>
          <w:rFonts w:ascii="仿宋" w:eastAsia="仿宋" w:hAnsi="仿宋" w:hint="eastAsia"/>
          <w:color w:val="000000"/>
          <w:sz w:val="28"/>
          <w:szCs w:val="28"/>
        </w:rPr>
        <w:t>过程；裁判员提前报到，报到后所有裁判的手机全部上缴裁判长统一保管，评分结束返回，保证竞赛的公正与公平。方案展示与答辩环节由裁判组进行现场评分。</w:t>
      </w:r>
    </w:p>
    <w:p w14:paraId="69863F5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（二）评分标准</w:t>
      </w:r>
    </w:p>
    <w:p w14:paraId="5E39F574"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竞赛评分严格按照公平、公正、公开的原则，评分标准注重考查参赛选手以下各方面的能力和水平：</w:t>
      </w:r>
    </w:p>
    <w:p w14:paraId="708A4A17" w14:textId="77777777" w:rsidR="0055088D" w:rsidRDefault="0055088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85"/>
        <w:gridCol w:w="5511"/>
        <w:gridCol w:w="508"/>
        <w:gridCol w:w="888"/>
      </w:tblGrid>
      <w:tr w:rsidR="0055088D" w14:paraId="57161F28" w14:textId="77777777">
        <w:trPr>
          <w:trHeight w:val="285"/>
          <w:tblHeader/>
          <w:jc w:val="center"/>
        </w:trPr>
        <w:tc>
          <w:tcPr>
            <w:tcW w:w="0" w:type="auto"/>
            <w:vAlign w:val="center"/>
          </w:tcPr>
          <w:p w14:paraId="0449443A" w14:textId="77777777" w:rsidR="0055088D" w:rsidRDefault="00405ABE">
            <w:pPr>
              <w:adjustRightInd w:val="0"/>
              <w:snapToGrid w:val="0"/>
              <w:spacing w:beforeLines="50" w:before="156"/>
              <w:jc w:val="center"/>
              <w:rPr>
                <w:rFonts w:ascii="仿宋" w:eastAsia="仿宋" w:hAnsi="仿宋"/>
                <w:b/>
                <w:color w:val="000000"/>
                <w:sz w:val="24"/>
              </w:rPr>
            </w:pPr>
            <w:r>
              <w:rPr>
                <w:rFonts w:ascii="仿宋" w:eastAsia="仿宋" w:hAnsi="仿宋" w:hint="eastAsia"/>
                <w:b/>
                <w:color w:val="000000"/>
                <w:sz w:val="24"/>
              </w:rPr>
              <w:t>竞赛阶段</w:t>
            </w:r>
          </w:p>
        </w:tc>
        <w:tc>
          <w:tcPr>
            <w:tcW w:w="0" w:type="auto"/>
            <w:vAlign w:val="center"/>
          </w:tcPr>
          <w:p w14:paraId="09CB1FE5" w14:textId="77777777" w:rsidR="0055088D" w:rsidRDefault="00405ABE">
            <w:pPr>
              <w:adjustRightInd w:val="0"/>
              <w:snapToGrid w:val="0"/>
              <w:spacing w:beforeLines="50" w:before="156"/>
              <w:jc w:val="center"/>
              <w:rPr>
                <w:rFonts w:ascii="仿宋" w:eastAsia="仿宋" w:hAnsi="仿宋"/>
                <w:b/>
                <w:color w:val="000000"/>
                <w:sz w:val="24"/>
              </w:rPr>
            </w:pPr>
            <w:r>
              <w:rPr>
                <w:rFonts w:ascii="仿宋" w:eastAsia="仿宋" w:hAnsi="仿宋" w:hint="eastAsia"/>
                <w:b/>
                <w:color w:val="000000"/>
                <w:sz w:val="24"/>
              </w:rPr>
              <w:t>竞赛任务</w:t>
            </w:r>
          </w:p>
        </w:tc>
        <w:tc>
          <w:tcPr>
            <w:tcW w:w="0" w:type="auto"/>
            <w:vAlign w:val="center"/>
          </w:tcPr>
          <w:p w14:paraId="509337DB" w14:textId="77777777" w:rsidR="0055088D" w:rsidRDefault="00405ABE">
            <w:pPr>
              <w:adjustRightInd w:val="0"/>
              <w:snapToGrid w:val="0"/>
              <w:spacing w:beforeLines="50" w:before="156"/>
              <w:jc w:val="center"/>
              <w:rPr>
                <w:rFonts w:ascii="仿宋" w:eastAsia="仿宋" w:hAnsi="仿宋"/>
                <w:b/>
                <w:color w:val="000000"/>
                <w:sz w:val="24"/>
              </w:rPr>
            </w:pPr>
            <w:r>
              <w:rPr>
                <w:rFonts w:ascii="仿宋" w:eastAsia="仿宋" w:hAnsi="仿宋" w:hint="eastAsia"/>
                <w:b/>
                <w:color w:val="000000"/>
                <w:sz w:val="24"/>
              </w:rPr>
              <w:t>考核内容</w:t>
            </w:r>
          </w:p>
        </w:tc>
        <w:tc>
          <w:tcPr>
            <w:tcW w:w="0" w:type="auto"/>
            <w:vAlign w:val="center"/>
          </w:tcPr>
          <w:p w14:paraId="3AD2B815" w14:textId="77777777" w:rsidR="0055088D" w:rsidRDefault="00405ABE">
            <w:pPr>
              <w:adjustRightInd w:val="0"/>
              <w:snapToGrid w:val="0"/>
              <w:spacing w:beforeLines="50" w:before="156"/>
              <w:jc w:val="center"/>
              <w:rPr>
                <w:rFonts w:ascii="仿宋" w:eastAsia="仿宋" w:hAnsi="仿宋"/>
                <w:b/>
                <w:color w:val="000000"/>
                <w:sz w:val="24"/>
              </w:rPr>
            </w:pPr>
            <w:r>
              <w:rPr>
                <w:rFonts w:ascii="仿宋" w:eastAsia="仿宋" w:hAnsi="仿宋" w:hint="eastAsia"/>
                <w:b/>
                <w:color w:val="000000"/>
                <w:sz w:val="24"/>
              </w:rPr>
              <w:t>分值</w:t>
            </w:r>
          </w:p>
        </w:tc>
        <w:tc>
          <w:tcPr>
            <w:tcW w:w="0" w:type="auto"/>
            <w:vAlign w:val="center"/>
          </w:tcPr>
          <w:p w14:paraId="40ECCA35" w14:textId="77777777" w:rsidR="0055088D" w:rsidRDefault="00405ABE">
            <w:pPr>
              <w:adjustRightInd w:val="0"/>
              <w:snapToGrid w:val="0"/>
              <w:spacing w:beforeLines="50" w:before="156"/>
              <w:jc w:val="center"/>
              <w:rPr>
                <w:rFonts w:ascii="仿宋" w:eastAsia="仿宋" w:hAnsi="仿宋"/>
                <w:b/>
                <w:color w:val="000000"/>
                <w:sz w:val="24"/>
              </w:rPr>
            </w:pPr>
            <w:r>
              <w:rPr>
                <w:rFonts w:ascii="仿宋" w:eastAsia="仿宋" w:hAnsi="仿宋" w:hint="eastAsia"/>
                <w:b/>
                <w:color w:val="000000"/>
                <w:sz w:val="24"/>
              </w:rPr>
              <w:t>评分方式</w:t>
            </w:r>
          </w:p>
        </w:tc>
      </w:tr>
      <w:tr w:rsidR="0055088D" w14:paraId="6B0E08F7" w14:textId="77777777">
        <w:trPr>
          <w:trHeight w:val="2787"/>
          <w:jc w:val="center"/>
        </w:trPr>
        <w:tc>
          <w:tcPr>
            <w:tcW w:w="0" w:type="auto"/>
            <w:vMerge w:val="restart"/>
            <w:vAlign w:val="center"/>
          </w:tcPr>
          <w:p w14:paraId="06B61B73"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第一阶段</w:t>
            </w:r>
          </w:p>
          <w:p w14:paraId="1347BD0F"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权重20%</w:t>
            </w:r>
          </w:p>
        </w:tc>
        <w:tc>
          <w:tcPr>
            <w:tcW w:w="0" w:type="auto"/>
            <w:vAlign w:val="center"/>
          </w:tcPr>
          <w:p w14:paraId="422C975B"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网络安全设备</w:t>
            </w:r>
          </w:p>
        </w:tc>
        <w:tc>
          <w:tcPr>
            <w:tcW w:w="0" w:type="auto"/>
            <w:vAlign w:val="center"/>
          </w:tcPr>
          <w:p w14:paraId="43B74CA9"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1、考核选手对防火墙、入侵检测系统（IDS）/入侵防御系统（IPS）、终端安全管理系统等网络安全设备的配置与管理能力，包括设备的基本设置、策略制定与实施、性能调优、HA集群故障切换等。</w:t>
            </w:r>
          </w:p>
          <w:p w14:paraId="6A04B7A0" w14:textId="77777777" w:rsidR="0055088D" w:rsidRDefault="00405ABE">
            <w:pPr>
              <w:widowControl/>
              <w:rPr>
                <w:rFonts w:ascii="仿宋" w:eastAsia="仿宋" w:hAnsi="仿宋"/>
                <w:color w:val="000000"/>
                <w:sz w:val="22"/>
                <w:szCs w:val="22"/>
              </w:rPr>
            </w:pPr>
            <w:r>
              <w:rPr>
                <w:rFonts w:ascii="仿宋" w:eastAsia="仿宋" w:hAnsi="仿宋" w:hint="eastAsia"/>
                <w:color w:val="000000"/>
                <w:sz w:val="22"/>
                <w:szCs w:val="22"/>
              </w:rPr>
              <w:t>2、根据给定的网络拓扑和安全需求，制定合理的安全防护策略，并能够通过模拟攻击验证策略的有效性。</w:t>
            </w:r>
          </w:p>
          <w:p w14:paraId="520552DC" w14:textId="77777777" w:rsidR="0055088D" w:rsidRDefault="00405ABE">
            <w:pPr>
              <w:widowControl/>
              <w:rPr>
                <w:rFonts w:ascii="仿宋" w:eastAsia="仿宋" w:hAnsi="仿宋" w:cs="仿宋"/>
                <w:color w:val="000000"/>
                <w:kern w:val="0"/>
                <w:sz w:val="24"/>
                <w:lang w:bidi="ar"/>
              </w:rPr>
            </w:pPr>
            <w:r>
              <w:rPr>
                <w:rFonts w:ascii="仿宋" w:eastAsia="仿宋" w:hAnsi="仿宋" w:hint="eastAsia"/>
                <w:color w:val="000000"/>
                <w:sz w:val="22"/>
                <w:szCs w:val="22"/>
              </w:rPr>
              <w:t>3、在设备运行过程中对性能进行优化，以及在设备出现故障时进行快速诊断和排除。</w:t>
            </w:r>
          </w:p>
        </w:tc>
        <w:tc>
          <w:tcPr>
            <w:tcW w:w="0" w:type="auto"/>
            <w:vAlign w:val="center"/>
          </w:tcPr>
          <w:p w14:paraId="3148A4AE"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7</w:t>
            </w:r>
          </w:p>
        </w:tc>
        <w:tc>
          <w:tcPr>
            <w:tcW w:w="0" w:type="auto"/>
            <w:vAlign w:val="center"/>
          </w:tcPr>
          <w:p w14:paraId="4AE26A1F"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结果评分-机考评分</w:t>
            </w:r>
          </w:p>
        </w:tc>
      </w:tr>
      <w:tr w:rsidR="0055088D" w14:paraId="140066B5" w14:textId="77777777">
        <w:trPr>
          <w:trHeight w:val="2787"/>
          <w:jc w:val="center"/>
        </w:trPr>
        <w:tc>
          <w:tcPr>
            <w:tcW w:w="0" w:type="auto"/>
            <w:vMerge/>
            <w:vAlign w:val="center"/>
          </w:tcPr>
          <w:p w14:paraId="147AE68A" w14:textId="77777777" w:rsidR="0055088D" w:rsidRDefault="0055088D">
            <w:pPr>
              <w:adjustRightInd w:val="0"/>
              <w:snapToGrid w:val="0"/>
              <w:spacing w:beforeLines="50" w:before="156"/>
              <w:jc w:val="center"/>
              <w:rPr>
                <w:rFonts w:ascii="仿宋" w:eastAsia="仿宋" w:hAnsi="仿宋"/>
                <w:color w:val="000000"/>
                <w:sz w:val="24"/>
              </w:rPr>
            </w:pPr>
          </w:p>
        </w:tc>
        <w:tc>
          <w:tcPr>
            <w:tcW w:w="0" w:type="auto"/>
            <w:vAlign w:val="center"/>
          </w:tcPr>
          <w:p w14:paraId="49EB0AE2"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资产梳理</w:t>
            </w:r>
          </w:p>
        </w:tc>
        <w:tc>
          <w:tcPr>
            <w:tcW w:w="0" w:type="auto"/>
            <w:vAlign w:val="center"/>
          </w:tcPr>
          <w:p w14:paraId="590D5645"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1、对网络资产进行全面清查和分类，包括硬件设备、软件系统、网络服务等，进行自动化扫描技术、风险评估与合</w:t>
            </w:r>
            <w:proofErr w:type="gramStart"/>
            <w:r>
              <w:rPr>
                <w:rFonts w:ascii="仿宋" w:eastAsia="仿宋" w:hAnsi="仿宋" w:hint="eastAsia"/>
                <w:color w:val="000000"/>
                <w:sz w:val="22"/>
                <w:szCs w:val="22"/>
              </w:rPr>
              <w:t>规</w:t>
            </w:r>
            <w:proofErr w:type="gramEnd"/>
            <w:r>
              <w:rPr>
                <w:rFonts w:ascii="仿宋" w:eastAsia="仿宋" w:hAnsi="仿宋" w:hint="eastAsia"/>
                <w:color w:val="000000"/>
                <w:sz w:val="22"/>
                <w:szCs w:val="22"/>
              </w:rPr>
              <w:t>扫描，并能够建立详细的资产清单。</w:t>
            </w:r>
          </w:p>
          <w:p w14:paraId="6FB36A8F" w14:textId="77777777" w:rsidR="0055088D" w:rsidRDefault="00405ABE">
            <w:pPr>
              <w:widowControl/>
              <w:rPr>
                <w:rFonts w:ascii="仿宋" w:eastAsia="仿宋" w:hAnsi="仿宋" w:cs="仿宋"/>
                <w:color w:val="000000"/>
                <w:kern w:val="0"/>
                <w:sz w:val="24"/>
                <w:lang w:bidi="ar"/>
              </w:rPr>
            </w:pPr>
            <w:r>
              <w:rPr>
                <w:rFonts w:ascii="仿宋" w:eastAsia="仿宋" w:hAnsi="仿宋" w:cs="仿宋" w:hint="eastAsia"/>
                <w:color w:val="000000"/>
                <w:kern w:val="0"/>
                <w:sz w:val="24"/>
                <w:lang w:bidi="ar"/>
              </w:rPr>
              <w:t>2、对已清查的资产进行风险评估，识别潜在的安全威胁，并提出相应的风险管理措施。</w:t>
            </w:r>
          </w:p>
          <w:p w14:paraId="510BD374" w14:textId="77777777" w:rsidR="0055088D" w:rsidRDefault="00405ABE">
            <w:pPr>
              <w:widowControl/>
              <w:rPr>
                <w:rFonts w:ascii="仿宋" w:eastAsia="仿宋" w:hAnsi="仿宋" w:cs="仿宋"/>
                <w:color w:val="000000"/>
                <w:kern w:val="0"/>
                <w:sz w:val="24"/>
                <w:lang w:bidi="ar"/>
              </w:rPr>
            </w:pPr>
            <w:r>
              <w:rPr>
                <w:rFonts w:ascii="仿宋" w:eastAsia="仿宋" w:hAnsi="仿宋" w:cs="仿宋" w:hint="eastAsia"/>
                <w:color w:val="000000"/>
                <w:kern w:val="0"/>
                <w:sz w:val="24"/>
                <w:lang w:bidi="ar"/>
              </w:rPr>
              <w:t>3、对资产变更的管理能力，以及对资产合</w:t>
            </w:r>
            <w:proofErr w:type="gramStart"/>
            <w:r>
              <w:rPr>
                <w:rFonts w:ascii="仿宋" w:eastAsia="仿宋" w:hAnsi="仿宋" w:cs="仿宋" w:hint="eastAsia"/>
                <w:color w:val="000000"/>
                <w:kern w:val="0"/>
                <w:sz w:val="24"/>
                <w:lang w:bidi="ar"/>
              </w:rPr>
              <w:t>规</w:t>
            </w:r>
            <w:proofErr w:type="gramEnd"/>
            <w:r>
              <w:rPr>
                <w:rFonts w:ascii="仿宋" w:eastAsia="仿宋" w:hAnsi="仿宋" w:cs="仿宋" w:hint="eastAsia"/>
                <w:color w:val="000000"/>
                <w:kern w:val="0"/>
                <w:sz w:val="24"/>
                <w:lang w:bidi="ar"/>
              </w:rPr>
              <w:t>性进行检查，确保资产的使用符合相关法律法规和安全标准。</w:t>
            </w:r>
          </w:p>
        </w:tc>
        <w:tc>
          <w:tcPr>
            <w:tcW w:w="0" w:type="auto"/>
            <w:vAlign w:val="center"/>
          </w:tcPr>
          <w:p w14:paraId="4DBBEB5F"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7</w:t>
            </w:r>
          </w:p>
        </w:tc>
        <w:tc>
          <w:tcPr>
            <w:tcW w:w="0" w:type="auto"/>
            <w:vAlign w:val="center"/>
          </w:tcPr>
          <w:p w14:paraId="3D417A5F"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结果评分-机考评分</w:t>
            </w:r>
          </w:p>
        </w:tc>
      </w:tr>
      <w:tr w:rsidR="0055088D" w14:paraId="41F9FFF4" w14:textId="77777777">
        <w:trPr>
          <w:trHeight w:val="2787"/>
          <w:jc w:val="center"/>
        </w:trPr>
        <w:tc>
          <w:tcPr>
            <w:tcW w:w="0" w:type="auto"/>
            <w:vMerge/>
            <w:vAlign w:val="center"/>
          </w:tcPr>
          <w:p w14:paraId="6E70D936" w14:textId="77777777" w:rsidR="0055088D" w:rsidRDefault="0055088D">
            <w:pPr>
              <w:adjustRightInd w:val="0"/>
              <w:snapToGrid w:val="0"/>
              <w:spacing w:beforeLines="50" w:before="156"/>
              <w:jc w:val="center"/>
              <w:rPr>
                <w:rFonts w:ascii="仿宋" w:eastAsia="仿宋" w:hAnsi="仿宋"/>
                <w:color w:val="000000"/>
                <w:sz w:val="24"/>
              </w:rPr>
            </w:pPr>
          </w:p>
        </w:tc>
        <w:tc>
          <w:tcPr>
            <w:tcW w:w="0" w:type="auto"/>
            <w:vAlign w:val="center"/>
          </w:tcPr>
          <w:p w14:paraId="7A49D3F1"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流量分析</w:t>
            </w:r>
          </w:p>
        </w:tc>
        <w:tc>
          <w:tcPr>
            <w:tcW w:w="0" w:type="auto"/>
            <w:vAlign w:val="center"/>
          </w:tcPr>
          <w:p w14:paraId="7D54B0F8"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1、使用网络流量监测工具进行流量数据采集的能力，包括对网络流量的实时监测和历史数据的采集与存储。</w:t>
            </w:r>
          </w:p>
          <w:p w14:paraId="35161401"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2、对采集到的流量数据进行分析，识别正常的网络流量模式和异常的流量行为，如DDoS攻击、恶意软件传播等。</w:t>
            </w:r>
          </w:p>
          <w:p w14:paraId="2B0A3239" w14:textId="77777777" w:rsidR="0055088D" w:rsidRDefault="00405ABE">
            <w:pPr>
              <w:widowControl/>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3、根据流量分析结果进行网络流量优化和安全防护的能力，如通过流量整形、带宽管理等技术提高网络性能，同时采取相应的安全措施防范流量中的安全威胁。</w:t>
            </w:r>
          </w:p>
        </w:tc>
        <w:tc>
          <w:tcPr>
            <w:tcW w:w="0" w:type="auto"/>
            <w:vAlign w:val="center"/>
          </w:tcPr>
          <w:p w14:paraId="41356F9A"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6</w:t>
            </w:r>
          </w:p>
        </w:tc>
        <w:tc>
          <w:tcPr>
            <w:tcW w:w="0" w:type="auto"/>
            <w:vAlign w:val="center"/>
          </w:tcPr>
          <w:p w14:paraId="3A0737F2"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结果评分-机考评分</w:t>
            </w:r>
          </w:p>
        </w:tc>
      </w:tr>
      <w:tr w:rsidR="0055088D" w14:paraId="692EE475" w14:textId="77777777">
        <w:trPr>
          <w:trHeight w:val="2787"/>
          <w:jc w:val="center"/>
        </w:trPr>
        <w:tc>
          <w:tcPr>
            <w:tcW w:w="0" w:type="auto"/>
            <w:vMerge w:val="restart"/>
            <w:vAlign w:val="center"/>
          </w:tcPr>
          <w:p w14:paraId="2EDD0098"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第二阶段</w:t>
            </w:r>
          </w:p>
          <w:p w14:paraId="6F6C8F99"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权重20%</w:t>
            </w:r>
          </w:p>
        </w:tc>
        <w:tc>
          <w:tcPr>
            <w:tcW w:w="0" w:type="auto"/>
            <w:vAlign w:val="center"/>
          </w:tcPr>
          <w:p w14:paraId="32CDCC41"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安全加固</w:t>
            </w:r>
          </w:p>
        </w:tc>
        <w:tc>
          <w:tcPr>
            <w:tcW w:w="0" w:type="auto"/>
            <w:vAlign w:val="center"/>
          </w:tcPr>
          <w:p w14:paraId="1C21B434"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1、对操作系统和常用应用程序进行安全加固的能力，包括更新补丁、配置安全策略、关闭不必要的服务和端口等。</w:t>
            </w:r>
          </w:p>
          <w:p w14:paraId="540AF985"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2、对网络服务（如Web服务器、邮件服务器等）进行安全配置和加固，防止常见的网络攻击，如反序列化、CC链、未授权漏洞等。</w:t>
            </w:r>
          </w:p>
          <w:p w14:paraId="441339DC" w14:textId="77777777" w:rsidR="0055088D" w:rsidRDefault="00405ABE">
            <w:pPr>
              <w:widowControl/>
              <w:rPr>
                <w:rFonts w:ascii="仿宋" w:eastAsia="仿宋" w:hAnsi="仿宋" w:cs="仿宋"/>
                <w:color w:val="000000"/>
                <w:kern w:val="0"/>
                <w:sz w:val="24"/>
                <w:lang w:bidi="ar"/>
              </w:rPr>
            </w:pPr>
            <w:r>
              <w:rPr>
                <w:rFonts w:ascii="仿宋" w:eastAsia="仿宋" w:hAnsi="仿宋" w:hint="eastAsia"/>
                <w:color w:val="000000"/>
                <w:sz w:val="22"/>
                <w:szCs w:val="22"/>
              </w:rPr>
              <w:t>3、对敏感数据进行加密处理的能力，以及设置合理的访问控制策略，确保数据的安全性和保密性。</w:t>
            </w:r>
          </w:p>
        </w:tc>
        <w:tc>
          <w:tcPr>
            <w:tcW w:w="0" w:type="auto"/>
            <w:vAlign w:val="center"/>
          </w:tcPr>
          <w:p w14:paraId="309F7EE5"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5</w:t>
            </w:r>
          </w:p>
        </w:tc>
        <w:tc>
          <w:tcPr>
            <w:tcW w:w="0" w:type="auto"/>
            <w:vAlign w:val="center"/>
          </w:tcPr>
          <w:p w14:paraId="71D3E617"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结果评分-机考评分</w:t>
            </w:r>
          </w:p>
        </w:tc>
      </w:tr>
      <w:tr w:rsidR="0055088D" w14:paraId="7DFB920F" w14:textId="77777777">
        <w:trPr>
          <w:trHeight w:val="2787"/>
          <w:jc w:val="center"/>
        </w:trPr>
        <w:tc>
          <w:tcPr>
            <w:tcW w:w="0" w:type="auto"/>
            <w:vMerge/>
            <w:vAlign w:val="center"/>
          </w:tcPr>
          <w:p w14:paraId="46FF501E" w14:textId="77777777" w:rsidR="0055088D" w:rsidRDefault="0055088D">
            <w:pPr>
              <w:adjustRightInd w:val="0"/>
              <w:snapToGrid w:val="0"/>
              <w:spacing w:beforeLines="50" w:before="156"/>
              <w:jc w:val="center"/>
              <w:rPr>
                <w:rFonts w:ascii="仿宋" w:eastAsia="仿宋" w:hAnsi="仿宋"/>
                <w:color w:val="000000"/>
                <w:sz w:val="24"/>
              </w:rPr>
            </w:pPr>
          </w:p>
        </w:tc>
        <w:tc>
          <w:tcPr>
            <w:tcW w:w="0" w:type="auto"/>
            <w:vAlign w:val="center"/>
          </w:tcPr>
          <w:p w14:paraId="4BB17327"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应急响应</w:t>
            </w:r>
          </w:p>
        </w:tc>
        <w:tc>
          <w:tcPr>
            <w:tcW w:w="0" w:type="auto"/>
            <w:vAlign w:val="center"/>
          </w:tcPr>
          <w:p w14:paraId="719B7A5A"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1、及时发现安全事件的能力，包括对网络入侵、数据泄露等安全事件的快速检测和预警。</w:t>
            </w:r>
          </w:p>
          <w:p w14:paraId="74B1D111"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2、应急响应的基本流程和策略，在安全事件发生时能够迅速采取措施进行遏制和消除，减少损失和影响。</w:t>
            </w:r>
          </w:p>
          <w:p w14:paraId="64AE7B79" w14:textId="77777777" w:rsidR="0055088D" w:rsidRDefault="00405ABE">
            <w:pPr>
              <w:widowControl/>
              <w:rPr>
                <w:rFonts w:ascii="仿宋" w:eastAsia="仿宋" w:hAnsi="仿宋" w:cs="仿宋"/>
                <w:color w:val="000000"/>
                <w:kern w:val="0"/>
                <w:sz w:val="24"/>
                <w:lang w:bidi="ar"/>
              </w:rPr>
            </w:pPr>
            <w:r>
              <w:rPr>
                <w:rFonts w:ascii="仿宋" w:eastAsia="仿宋" w:hAnsi="仿宋" w:hint="eastAsia"/>
                <w:color w:val="000000"/>
                <w:sz w:val="22"/>
                <w:szCs w:val="22"/>
              </w:rPr>
              <w:t>3、在安全事件处理后对系统进行快速恢复和数据备份的能力，确保业务的连续性和数据的完整性。</w:t>
            </w:r>
          </w:p>
        </w:tc>
        <w:tc>
          <w:tcPr>
            <w:tcW w:w="0" w:type="auto"/>
            <w:vAlign w:val="center"/>
          </w:tcPr>
          <w:p w14:paraId="14C3CC5E"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10</w:t>
            </w:r>
          </w:p>
        </w:tc>
        <w:tc>
          <w:tcPr>
            <w:tcW w:w="0" w:type="auto"/>
            <w:vAlign w:val="center"/>
          </w:tcPr>
          <w:p w14:paraId="3683EBD8"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结果评分-机考评分</w:t>
            </w:r>
          </w:p>
        </w:tc>
      </w:tr>
      <w:tr w:rsidR="0055088D" w14:paraId="1B7BAF46" w14:textId="77777777">
        <w:trPr>
          <w:trHeight w:val="2787"/>
          <w:jc w:val="center"/>
        </w:trPr>
        <w:tc>
          <w:tcPr>
            <w:tcW w:w="0" w:type="auto"/>
            <w:vMerge/>
            <w:vAlign w:val="center"/>
          </w:tcPr>
          <w:p w14:paraId="371F4C6D" w14:textId="77777777" w:rsidR="0055088D" w:rsidRDefault="0055088D">
            <w:pPr>
              <w:adjustRightInd w:val="0"/>
              <w:snapToGrid w:val="0"/>
              <w:spacing w:beforeLines="50" w:before="156"/>
              <w:jc w:val="center"/>
              <w:rPr>
                <w:rFonts w:ascii="仿宋" w:eastAsia="仿宋" w:hAnsi="仿宋"/>
                <w:color w:val="000000"/>
                <w:sz w:val="24"/>
              </w:rPr>
            </w:pPr>
          </w:p>
        </w:tc>
        <w:tc>
          <w:tcPr>
            <w:tcW w:w="0" w:type="auto"/>
            <w:vAlign w:val="center"/>
          </w:tcPr>
          <w:p w14:paraId="46C3B88E"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日志分析</w:t>
            </w:r>
          </w:p>
        </w:tc>
        <w:tc>
          <w:tcPr>
            <w:tcW w:w="0" w:type="auto"/>
            <w:vAlign w:val="center"/>
          </w:tcPr>
          <w:p w14:paraId="5D8BF9F3"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1、对各类设备和应用系统的日志进行收集和整理，确保日志数据的完整性和可用性。</w:t>
            </w:r>
          </w:p>
          <w:p w14:paraId="5E00BB5D" w14:textId="77777777" w:rsidR="0055088D" w:rsidRDefault="00405ABE">
            <w:pPr>
              <w:widowControl/>
              <w:jc w:val="center"/>
              <w:rPr>
                <w:rFonts w:ascii="仿宋" w:eastAsia="仿宋" w:hAnsi="仿宋" w:cs="仿宋"/>
                <w:color w:val="000000"/>
                <w:kern w:val="0"/>
                <w:sz w:val="24"/>
                <w:lang w:bidi="ar"/>
              </w:rPr>
            </w:pPr>
            <w:r>
              <w:rPr>
                <w:rFonts w:ascii="仿宋" w:eastAsia="仿宋" w:hAnsi="仿宋" w:hint="eastAsia"/>
                <w:color w:val="000000"/>
                <w:sz w:val="22"/>
                <w:szCs w:val="22"/>
              </w:rPr>
              <w:t>2、对日志数据进行深入分析，识别其中的安全事件和异常行为，并能够通过日志追溯安全事件的源头和攻击路径。</w:t>
            </w:r>
          </w:p>
        </w:tc>
        <w:tc>
          <w:tcPr>
            <w:tcW w:w="0" w:type="auto"/>
            <w:vAlign w:val="center"/>
          </w:tcPr>
          <w:p w14:paraId="5D20C1B0"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5</w:t>
            </w:r>
          </w:p>
        </w:tc>
        <w:tc>
          <w:tcPr>
            <w:tcW w:w="0" w:type="auto"/>
            <w:vAlign w:val="center"/>
          </w:tcPr>
          <w:p w14:paraId="4CB37426"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结果评分-机考评分</w:t>
            </w:r>
          </w:p>
        </w:tc>
      </w:tr>
      <w:tr w:rsidR="0055088D" w14:paraId="19730C01" w14:textId="77777777">
        <w:trPr>
          <w:trHeight w:val="2787"/>
          <w:jc w:val="center"/>
        </w:trPr>
        <w:tc>
          <w:tcPr>
            <w:tcW w:w="0" w:type="auto"/>
            <w:vMerge w:val="restart"/>
            <w:vAlign w:val="center"/>
          </w:tcPr>
          <w:p w14:paraId="72FFBF42" w14:textId="77777777" w:rsidR="0055088D" w:rsidRDefault="00405ABE">
            <w:pPr>
              <w:widowControl/>
              <w:adjustRightInd w:val="0"/>
              <w:snapToGrid w:val="0"/>
              <w:jc w:val="center"/>
              <w:rPr>
                <w:rFonts w:ascii="仿宋" w:eastAsia="仿宋" w:hAnsi="仿宋"/>
                <w:color w:val="000000"/>
                <w:sz w:val="22"/>
                <w:szCs w:val="22"/>
              </w:rPr>
            </w:pPr>
            <w:r>
              <w:rPr>
                <w:rFonts w:ascii="仿宋" w:eastAsia="仿宋" w:hAnsi="仿宋" w:hint="eastAsia"/>
                <w:color w:val="000000"/>
                <w:sz w:val="22"/>
                <w:szCs w:val="22"/>
              </w:rPr>
              <w:t>第三阶段</w:t>
            </w:r>
          </w:p>
          <w:p w14:paraId="585934F8"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权重30%</w:t>
            </w:r>
          </w:p>
        </w:tc>
        <w:tc>
          <w:tcPr>
            <w:tcW w:w="0" w:type="auto"/>
            <w:vAlign w:val="center"/>
          </w:tcPr>
          <w:p w14:paraId="715200CE"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渗透测试</w:t>
            </w:r>
          </w:p>
        </w:tc>
        <w:tc>
          <w:tcPr>
            <w:tcW w:w="0" w:type="auto"/>
            <w:vAlign w:val="center"/>
          </w:tcPr>
          <w:p w14:paraId="71F5E28F" w14:textId="77777777" w:rsidR="0055088D" w:rsidRDefault="00405ABE">
            <w:pPr>
              <w:widowControl/>
              <w:jc w:val="center"/>
              <w:rPr>
                <w:rFonts w:ascii="仿宋" w:eastAsia="仿宋" w:hAnsi="仿宋"/>
                <w:color w:val="000000"/>
                <w:sz w:val="22"/>
                <w:szCs w:val="22"/>
              </w:rPr>
            </w:pPr>
            <w:r>
              <w:rPr>
                <w:rFonts w:ascii="仿宋" w:eastAsia="仿宋" w:hAnsi="仿宋" w:hint="eastAsia"/>
                <w:color w:val="000000"/>
                <w:sz w:val="22"/>
                <w:szCs w:val="22"/>
              </w:rPr>
              <w:t>1、进行目标系统信息收集和漏洞扫描的能力，包括使用各种工具和技术获取目标系统的相关信息和发现潜在的漏洞。</w:t>
            </w:r>
          </w:p>
          <w:p w14:paraId="01016E61" w14:textId="77777777" w:rsidR="0055088D" w:rsidRDefault="00405ABE">
            <w:pPr>
              <w:widowControl/>
              <w:rPr>
                <w:rFonts w:ascii="仿宋" w:eastAsia="仿宋" w:hAnsi="仿宋" w:cs="仿宋"/>
                <w:color w:val="000000"/>
                <w:kern w:val="0"/>
                <w:sz w:val="24"/>
                <w:lang w:bidi="ar"/>
              </w:rPr>
            </w:pPr>
            <w:r>
              <w:rPr>
                <w:rFonts w:ascii="仿宋" w:eastAsia="仿宋" w:hAnsi="仿宋" w:hint="eastAsia"/>
                <w:color w:val="000000"/>
                <w:sz w:val="22"/>
                <w:szCs w:val="22"/>
              </w:rPr>
              <w:t>2、利用发现的漏洞进行模拟攻击，验证漏洞的真实性和</w:t>
            </w:r>
            <w:proofErr w:type="gramStart"/>
            <w:r>
              <w:rPr>
                <w:rFonts w:ascii="仿宋" w:eastAsia="仿宋" w:hAnsi="仿宋" w:hint="eastAsia"/>
                <w:color w:val="000000"/>
                <w:sz w:val="22"/>
                <w:szCs w:val="22"/>
              </w:rPr>
              <w:t>可</w:t>
            </w:r>
            <w:proofErr w:type="gramEnd"/>
            <w:r>
              <w:rPr>
                <w:rFonts w:ascii="仿宋" w:eastAsia="仿宋" w:hAnsi="仿宋" w:hint="eastAsia"/>
                <w:color w:val="000000"/>
                <w:sz w:val="22"/>
                <w:szCs w:val="22"/>
              </w:rPr>
              <w:t>利用性，同时掌握不同的攻击技术和方法。3、内</w:t>
            </w:r>
            <w:proofErr w:type="gramStart"/>
            <w:r>
              <w:rPr>
                <w:rFonts w:ascii="仿宋" w:eastAsia="仿宋" w:hAnsi="仿宋" w:hint="eastAsia"/>
                <w:color w:val="000000"/>
                <w:sz w:val="22"/>
                <w:szCs w:val="22"/>
              </w:rPr>
              <w:t>网环境</w:t>
            </w:r>
            <w:proofErr w:type="gramEnd"/>
            <w:r>
              <w:rPr>
                <w:rFonts w:ascii="仿宋" w:eastAsia="仿宋" w:hAnsi="仿宋" w:hint="eastAsia"/>
                <w:color w:val="000000"/>
                <w:sz w:val="22"/>
                <w:szCs w:val="22"/>
              </w:rPr>
              <w:t>中的渗透能力，包括绕过网络防御、获取内网资源访问权限、提升权限等，以全面评估目标网络的安全性。</w:t>
            </w:r>
          </w:p>
        </w:tc>
        <w:tc>
          <w:tcPr>
            <w:tcW w:w="0" w:type="auto"/>
            <w:vAlign w:val="center"/>
          </w:tcPr>
          <w:p w14:paraId="2EF43E67"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25</w:t>
            </w:r>
          </w:p>
        </w:tc>
        <w:tc>
          <w:tcPr>
            <w:tcW w:w="0" w:type="auto"/>
            <w:vAlign w:val="center"/>
          </w:tcPr>
          <w:p w14:paraId="6B0AD3FA"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结果评分-机考评分</w:t>
            </w:r>
          </w:p>
        </w:tc>
      </w:tr>
      <w:tr w:rsidR="0055088D" w14:paraId="5D2EB60B" w14:textId="77777777">
        <w:trPr>
          <w:trHeight w:val="1644"/>
          <w:jc w:val="center"/>
        </w:trPr>
        <w:tc>
          <w:tcPr>
            <w:tcW w:w="0" w:type="auto"/>
            <w:vMerge/>
            <w:vAlign w:val="center"/>
          </w:tcPr>
          <w:p w14:paraId="6DA04D10" w14:textId="77777777" w:rsidR="0055088D" w:rsidRDefault="0055088D">
            <w:pPr>
              <w:adjustRightInd w:val="0"/>
              <w:snapToGrid w:val="0"/>
              <w:spacing w:beforeLines="50" w:before="156"/>
              <w:jc w:val="center"/>
              <w:rPr>
                <w:rFonts w:ascii="仿宋" w:eastAsia="仿宋" w:hAnsi="仿宋"/>
                <w:color w:val="000000"/>
                <w:sz w:val="24"/>
              </w:rPr>
            </w:pPr>
          </w:p>
        </w:tc>
        <w:tc>
          <w:tcPr>
            <w:tcW w:w="0" w:type="auto"/>
            <w:vAlign w:val="center"/>
          </w:tcPr>
          <w:p w14:paraId="39B962B0"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职业素养</w:t>
            </w:r>
          </w:p>
        </w:tc>
        <w:tc>
          <w:tcPr>
            <w:tcW w:w="0" w:type="auto"/>
            <w:vAlign w:val="center"/>
          </w:tcPr>
          <w:p w14:paraId="180BC7CA" w14:textId="77777777" w:rsidR="0055088D" w:rsidRDefault="00405ABE">
            <w:pPr>
              <w:widowControl/>
              <w:jc w:val="center"/>
              <w:rPr>
                <w:rFonts w:ascii="仿宋" w:eastAsia="仿宋" w:hAnsi="仿宋" w:cs="仿宋"/>
                <w:color w:val="000000"/>
                <w:kern w:val="0"/>
                <w:sz w:val="24"/>
                <w:lang w:bidi="ar"/>
              </w:rPr>
            </w:pPr>
            <w:r>
              <w:rPr>
                <w:rFonts w:ascii="仿宋" w:eastAsia="仿宋" w:hAnsi="仿宋" w:hint="eastAsia"/>
                <w:color w:val="000000"/>
                <w:sz w:val="22"/>
                <w:szCs w:val="22"/>
              </w:rPr>
              <w:t>网络与信息安全理论知识和职业素养</w:t>
            </w:r>
          </w:p>
        </w:tc>
        <w:tc>
          <w:tcPr>
            <w:tcW w:w="0" w:type="auto"/>
            <w:vAlign w:val="center"/>
          </w:tcPr>
          <w:p w14:paraId="16FC5FA9"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5</w:t>
            </w:r>
          </w:p>
        </w:tc>
        <w:tc>
          <w:tcPr>
            <w:tcW w:w="0" w:type="auto"/>
            <w:vAlign w:val="center"/>
          </w:tcPr>
          <w:p w14:paraId="6AEE909D"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结果评分-机考评分</w:t>
            </w:r>
          </w:p>
        </w:tc>
      </w:tr>
      <w:tr w:rsidR="0055088D" w14:paraId="72936B79" w14:textId="77777777">
        <w:trPr>
          <w:trHeight w:val="2237"/>
          <w:jc w:val="center"/>
        </w:trPr>
        <w:tc>
          <w:tcPr>
            <w:tcW w:w="0" w:type="auto"/>
            <w:vAlign w:val="center"/>
          </w:tcPr>
          <w:p w14:paraId="640AAA1F" w14:textId="77777777" w:rsidR="0055088D" w:rsidRDefault="00405ABE">
            <w:pPr>
              <w:adjustRightInd w:val="0"/>
              <w:snapToGrid w:val="0"/>
              <w:spacing w:beforeLines="50" w:before="156"/>
              <w:jc w:val="center"/>
              <w:rPr>
                <w:rFonts w:ascii="仿宋" w:eastAsia="仿宋" w:hAnsi="仿宋"/>
                <w:color w:val="000000"/>
                <w:sz w:val="22"/>
                <w:szCs w:val="22"/>
              </w:rPr>
            </w:pPr>
            <w:r>
              <w:rPr>
                <w:rFonts w:ascii="仿宋" w:eastAsia="仿宋" w:hAnsi="仿宋" w:hint="eastAsia"/>
                <w:color w:val="000000"/>
                <w:sz w:val="22"/>
                <w:szCs w:val="22"/>
              </w:rPr>
              <w:t>第四阶段</w:t>
            </w:r>
          </w:p>
          <w:p w14:paraId="082D5735"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2"/>
                <w:szCs w:val="22"/>
              </w:rPr>
              <w:t>权重30%</w:t>
            </w:r>
          </w:p>
        </w:tc>
        <w:tc>
          <w:tcPr>
            <w:tcW w:w="0" w:type="auto"/>
            <w:vAlign w:val="center"/>
          </w:tcPr>
          <w:p w14:paraId="4E774DF7"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方案展示</w:t>
            </w:r>
          </w:p>
        </w:tc>
        <w:tc>
          <w:tcPr>
            <w:tcW w:w="0" w:type="auto"/>
            <w:vAlign w:val="center"/>
          </w:tcPr>
          <w:p w14:paraId="51F6E208" w14:textId="77777777" w:rsidR="0055088D" w:rsidRDefault="00405ABE">
            <w:pPr>
              <w:widowControl/>
              <w:jc w:val="center"/>
              <w:rPr>
                <w:rFonts w:ascii="仿宋" w:eastAsia="仿宋" w:hAnsi="仿宋" w:cs="仿宋"/>
                <w:color w:val="000000"/>
                <w:kern w:val="0"/>
                <w:sz w:val="24"/>
                <w:lang w:bidi="ar"/>
              </w:rPr>
            </w:pPr>
            <w:r>
              <w:rPr>
                <w:rFonts w:ascii="仿宋" w:eastAsia="仿宋" w:hAnsi="仿宋" w:hint="eastAsia"/>
                <w:color w:val="000000"/>
                <w:sz w:val="22"/>
                <w:szCs w:val="22"/>
              </w:rPr>
              <w:t>信息安全方案设计、现场表达、团队协作与应变能力</w:t>
            </w:r>
          </w:p>
        </w:tc>
        <w:tc>
          <w:tcPr>
            <w:tcW w:w="0" w:type="auto"/>
            <w:vAlign w:val="center"/>
          </w:tcPr>
          <w:p w14:paraId="074A3CEE"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30</w:t>
            </w:r>
          </w:p>
        </w:tc>
        <w:tc>
          <w:tcPr>
            <w:tcW w:w="0" w:type="auto"/>
            <w:vAlign w:val="center"/>
          </w:tcPr>
          <w:p w14:paraId="461018C7" w14:textId="77777777" w:rsidR="0055088D" w:rsidRDefault="00405ABE">
            <w:pPr>
              <w:adjustRightInd w:val="0"/>
              <w:snapToGrid w:val="0"/>
              <w:spacing w:beforeLines="50" w:before="156"/>
              <w:jc w:val="center"/>
              <w:rPr>
                <w:rFonts w:ascii="仿宋" w:eastAsia="仿宋" w:hAnsi="仿宋"/>
                <w:color w:val="000000"/>
                <w:sz w:val="24"/>
              </w:rPr>
            </w:pPr>
            <w:r>
              <w:rPr>
                <w:rFonts w:ascii="仿宋" w:eastAsia="仿宋" w:hAnsi="仿宋" w:hint="eastAsia"/>
                <w:color w:val="000000"/>
                <w:sz w:val="24"/>
              </w:rPr>
              <w:t>结果评分-裁判组评分</w:t>
            </w:r>
          </w:p>
        </w:tc>
      </w:tr>
    </w:tbl>
    <w:p w14:paraId="1C8EF15A"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（三）注意事项</w:t>
      </w:r>
    </w:p>
    <w:p w14:paraId="32CDCEDB"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参赛选手应体现团队风貌、团队协作与沟通、组织与管理能力和工作计划能力等，并注意相关文档的准确性与规范性。在方案展示环节，选手需着装整洁，表达流畅，展现良好的职业风采。</w:t>
      </w:r>
    </w:p>
    <w:p w14:paraId="1C857423"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竞赛过程中，参赛选手如有不服从裁判判决、扰乱赛场秩序、舞</w:t>
      </w:r>
      <w:r>
        <w:rPr>
          <w:rFonts w:ascii="仿宋" w:eastAsia="仿宋" w:hAnsi="仿宋" w:hint="eastAsia"/>
          <w:color w:val="000000"/>
          <w:sz w:val="28"/>
          <w:szCs w:val="28"/>
        </w:rPr>
        <w:lastRenderedPageBreak/>
        <w:t>弊等不文明行为，由裁判组按照规定扣减相应分数，情节严重的取消竞赛资格。选手有下列情形，须从比赛成绩中扣分：</w:t>
      </w:r>
    </w:p>
    <w:p w14:paraId="46C52E9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1.违反比赛规定，提前进行操作或比赛终止后仍继续操作的，由现场裁判负责记录并酌情扣1-5分。</w:t>
      </w:r>
    </w:p>
    <w:p w14:paraId="159A3D51"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2.在竞赛过程中，造成设备损坏、情节严重的报竞赛执委会批准，终止该参赛队的比赛，竞赛成绩以0分计算。</w:t>
      </w:r>
    </w:p>
    <w:p w14:paraId="592EFEB4"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禁止参赛队在比赛过程中对服务器或网络设备的任何攻击行为，一经发现立即中止该参赛队的比赛，参赛选手清离赛场，并隔离到比赛结束。该队比赛成绩经报赛项执委会批准，核计零分，比赛结束，上报大赛组委会并予以通报批评。涉及刑事犯罪的移交司法机关处理。</w:t>
      </w:r>
    </w:p>
    <w:p w14:paraId="7AEE14A8"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（四）成绩复核与公布</w:t>
      </w:r>
    </w:p>
    <w:p w14:paraId="1A9B65FF" w14:textId="77777777" w:rsidR="0055088D" w:rsidRDefault="00405ABE">
      <w:pPr>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竞赛成绩以复核无误后，经项目裁判审核签字后确定。竞赛成绩按照2025年海南省职业院校技能大赛委员会相关规定予以发布。若有异议，经过规定程序仲裁后，按照仲裁结果公布比赛成绩。</w:t>
      </w:r>
    </w:p>
    <w:p w14:paraId="56A4AFF1"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15" w:name="_Toc20085"/>
      <w:r>
        <w:rPr>
          <w:rFonts w:ascii="黑体" w:eastAsia="黑体" w:hAnsi="黑体" w:hint="eastAsia"/>
          <w:spacing w:val="-10"/>
          <w:kern w:val="0"/>
          <w:sz w:val="32"/>
          <w:szCs w:val="32"/>
        </w:rPr>
        <w:t>十一、申诉与仲裁</w:t>
      </w:r>
      <w:bookmarkEnd w:id="15"/>
    </w:p>
    <w:p w14:paraId="06FE954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1.海南省职业院校技能大赛设仲裁工作委员会，赛点设仲裁工作组，组长由大赛组委会办公室指派，组员为赛项裁判长和赛点执委会主任。</w:t>
      </w:r>
    </w:p>
    <w:p w14:paraId="6FB0BD3F"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2.参赛队对赛事过程、工作人员工作若有</w:t>
      </w:r>
      <w:proofErr w:type="gramStart"/>
      <w:r>
        <w:rPr>
          <w:rFonts w:ascii="仿宋" w:eastAsia="仿宋" w:hAnsi="仿宋" w:hint="eastAsia"/>
          <w:color w:val="000000"/>
          <w:sz w:val="28"/>
          <w:szCs w:val="28"/>
        </w:rPr>
        <w:t>疑</w:t>
      </w:r>
      <w:proofErr w:type="gramEnd"/>
      <w:r>
        <w:rPr>
          <w:rFonts w:ascii="仿宋" w:eastAsia="仿宋" w:hAnsi="仿宋" w:hint="eastAsia"/>
          <w:color w:val="000000"/>
          <w:sz w:val="28"/>
          <w:szCs w:val="28"/>
        </w:rPr>
        <w:t>异，在事实清楚，证据充分的前提下可由参赛队领队以书面形式向赛</w:t>
      </w:r>
      <w:proofErr w:type="gramStart"/>
      <w:r>
        <w:rPr>
          <w:rFonts w:ascii="仿宋" w:eastAsia="仿宋" w:hAnsi="仿宋" w:hint="eastAsia"/>
          <w:color w:val="000000"/>
          <w:sz w:val="28"/>
          <w:szCs w:val="28"/>
        </w:rPr>
        <w:t>点仲裁组</w:t>
      </w:r>
      <w:proofErr w:type="gramEnd"/>
      <w:r>
        <w:rPr>
          <w:rFonts w:ascii="仿宋" w:eastAsia="仿宋" w:hAnsi="仿宋" w:hint="eastAsia"/>
          <w:color w:val="000000"/>
          <w:sz w:val="28"/>
          <w:szCs w:val="28"/>
        </w:rPr>
        <w:t>提出申诉。报告应对申诉事件的现象、发生时间、涉及人员、申诉依据等进行充分、实事求是的叙述。非书面申诉不予受理。</w:t>
      </w:r>
    </w:p>
    <w:p w14:paraId="6A590389"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3.提出申诉应在赛项比赛结束后1小时内向赛</w:t>
      </w:r>
      <w:proofErr w:type="gramStart"/>
      <w:r>
        <w:rPr>
          <w:rFonts w:ascii="仿宋" w:eastAsia="仿宋" w:hAnsi="仿宋" w:hint="eastAsia"/>
          <w:color w:val="000000"/>
          <w:sz w:val="28"/>
          <w:szCs w:val="28"/>
        </w:rPr>
        <w:t>点仲裁组</w:t>
      </w:r>
      <w:proofErr w:type="gramEnd"/>
      <w:r>
        <w:rPr>
          <w:rFonts w:ascii="仿宋" w:eastAsia="仿宋" w:hAnsi="仿宋" w:hint="eastAsia"/>
          <w:color w:val="000000"/>
          <w:sz w:val="28"/>
          <w:szCs w:val="28"/>
        </w:rPr>
        <w:t>提出。超</w:t>
      </w:r>
      <w:r>
        <w:rPr>
          <w:rFonts w:ascii="仿宋" w:eastAsia="仿宋" w:hAnsi="仿宋" w:hint="eastAsia"/>
          <w:color w:val="000000"/>
          <w:sz w:val="28"/>
          <w:szCs w:val="28"/>
        </w:rPr>
        <w:lastRenderedPageBreak/>
        <w:t>过时效不予受理。提出申诉后申诉人及相关涉及人员不得离开赛点，否则视为自行放弃申诉。</w:t>
      </w:r>
    </w:p>
    <w:p w14:paraId="73E97D1A"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4.赛</w:t>
      </w:r>
      <w:proofErr w:type="gramStart"/>
      <w:r>
        <w:rPr>
          <w:rFonts w:ascii="仿宋" w:eastAsia="仿宋" w:hAnsi="仿宋" w:hint="eastAsia"/>
          <w:color w:val="000000"/>
          <w:sz w:val="28"/>
          <w:szCs w:val="28"/>
        </w:rPr>
        <w:t>点仲裁</w:t>
      </w:r>
      <w:proofErr w:type="gramEnd"/>
      <w:r>
        <w:rPr>
          <w:rFonts w:ascii="仿宋" w:eastAsia="仿宋" w:hAnsi="仿宋" w:hint="eastAsia"/>
          <w:color w:val="000000"/>
          <w:sz w:val="28"/>
          <w:szCs w:val="28"/>
        </w:rPr>
        <w:t>工作组在接到申诉报告后的1小时内组织复议，并及时将复议结果以书面形式告知申诉方。</w:t>
      </w:r>
    </w:p>
    <w:p w14:paraId="5F71429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5.对赛</w:t>
      </w:r>
      <w:proofErr w:type="gramStart"/>
      <w:r>
        <w:rPr>
          <w:rFonts w:ascii="仿宋" w:eastAsia="仿宋" w:hAnsi="仿宋" w:hint="eastAsia"/>
          <w:color w:val="000000"/>
          <w:sz w:val="28"/>
          <w:szCs w:val="28"/>
        </w:rPr>
        <w:t>点仲裁组复议</w:t>
      </w:r>
      <w:proofErr w:type="gramEnd"/>
      <w:r>
        <w:rPr>
          <w:rFonts w:ascii="仿宋" w:eastAsia="仿宋" w:hAnsi="仿宋" w:hint="eastAsia"/>
          <w:color w:val="000000"/>
          <w:sz w:val="28"/>
          <w:szCs w:val="28"/>
        </w:rPr>
        <w:t>结果不服的，可由代表队所在院校校级领导向大赛仲裁委员会提出申诉。大赛仲裁委员会的仲裁结果为最终结果。</w:t>
      </w:r>
    </w:p>
    <w:p w14:paraId="17143CF3"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6.申诉方不得以任何理由拒绝接收仲裁结果；不得以任何理由采取过激行为扰乱赛场秩序；仲裁结果由申诉人签收，不能代收；如在约定时间和地点申诉人离开，视为撤诉。</w:t>
      </w:r>
    </w:p>
    <w:p w14:paraId="7E73028D"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7.申诉方可随时提出放弃申诉。</w:t>
      </w:r>
    </w:p>
    <w:p w14:paraId="1D35D7FB"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16" w:name="_Toc17867"/>
      <w:r>
        <w:rPr>
          <w:rFonts w:ascii="黑体" w:eastAsia="黑体" w:hAnsi="黑体" w:hint="eastAsia"/>
          <w:spacing w:val="-10"/>
          <w:kern w:val="0"/>
          <w:sz w:val="32"/>
          <w:szCs w:val="32"/>
        </w:rPr>
        <w:t>十二、竞赛观摩</w:t>
      </w:r>
      <w:bookmarkEnd w:id="16"/>
    </w:p>
    <w:p w14:paraId="35AB7C4B"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媒体可以在不打扰选手竞赛的要求下，</w:t>
      </w:r>
      <w:proofErr w:type="gramStart"/>
      <w:r>
        <w:rPr>
          <w:rFonts w:ascii="仿宋" w:eastAsia="仿宋" w:hAnsi="仿宋" w:hint="eastAsia"/>
          <w:color w:val="000000"/>
          <w:sz w:val="28"/>
          <w:szCs w:val="28"/>
        </w:rPr>
        <w:t>沿现场</w:t>
      </w:r>
      <w:proofErr w:type="gramEnd"/>
      <w:r>
        <w:rPr>
          <w:rFonts w:ascii="仿宋" w:eastAsia="仿宋" w:hAnsi="仿宋" w:hint="eastAsia"/>
          <w:color w:val="000000"/>
          <w:sz w:val="28"/>
          <w:szCs w:val="28"/>
        </w:rPr>
        <w:t>指定观摩通道有组织地参观竞赛现场，了解信息安全技术及职业教育教学成果。方案展示与答辩环节可向媒体、指导老师及经批准的人员开放观摩。</w:t>
      </w:r>
    </w:p>
    <w:p w14:paraId="0ECC275C"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在赛场外布置开放式展区，对信息安全技术应用进行科普宣传，将信息安全技术在人们生活中的应用对公众进行展现。</w:t>
      </w:r>
    </w:p>
    <w:p w14:paraId="490EAD4B"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r>
        <w:rPr>
          <w:rFonts w:ascii="黑体" w:eastAsia="黑体" w:hAnsi="黑体" w:hint="eastAsia"/>
          <w:spacing w:val="-10"/>
          <w:kern w:val="0"/>
          <w:sz w:val="32"/>
          <w:szCs w:val="32"/>
        </w:rPr>
        <w:t>十三、方案展示与答辩环节</w:t>
      </w:r>
    </w:p>
    <w:p w14:paraId="531AEAEA"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（一）展示目的</w:t>
      </w:r>
    </w:p>
    <w:p w14:paraId="4AB2F696"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为全面考察参赛队伍在信息安全方案设计、现场表达、团队协作与应变能力等方面的综合素质，特增设“方案展示与答辩”环节。该环节旨在模拟真实工作场景中向客户或管理层汇报安全方案的过程，提升选手的综合职业素养。</w:t>
      </w:r>
    </w:p>
    <w:p w14:paraId="4EAAC1B1" w14:textId="77777777" w:rsidR="0055088D" w:rsidRDefault="00405ABE">
      <w:pPr>
        <w:numPr>
          <w:ilvl w:val="0"/>
          <w:numId w:val="2"/>
        </w:num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展示内容</w:t>
      </w:r>
    </w:p>
    <w:p w14:paraId="07D57E0B"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每支参赛队伍需基于比赛过程中所完成的安全加固策略部署、应</w:t>
      </w:r>
      <w:r>
        <w:rPr>
          <w:rFonts w:ascii="仿宋" w:eastAsia="仿宋" w:hAnsi="仿宋" w:hint="eastAsia"/>
          <w:color w:val="000000"/>
          <w:sz w:val="28"/>
          <w:szCs w:val="28"/>
        </w:rPr>
        <w:lastRenderedPageBreak/>
        <w:t>急响应流程、渗透测试报告，整理并制作一份PDF汇报材料，内容包括但不限于：</w:t>
      </w:r>
    </w:p>
    <w:p w14:paraId="24511E33"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安全问题分析</w:t>
      </w:r>
    </w:p>
    <w:p w14:paraId="570058D4"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加固方案设计与实施路径</w:t>
      </w:r>
    </w:p>
    <w:p w14:paraId="435C8FBD"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遇到的安全问题分析与解决思路</w:t>
      </w:r>
    </w:p>
    <w:p w14:paraId="51030D84"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渗透成果总结与修复建议</w:t>
      </w:r>
    </w:p>
    <w:p w14:paraId="7D2A6235" w14:textId="77777777" w:rsidR="0055088D" w:rsidRDefault="00405ABE">
      <w:pPr>
        <w:numPr>
          <w:ilvl w:val="0"/>
          <w:numId w:val="2"/>
        </w:num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展示形式</w:t>
      </w:r>
    </w:p>
    <w:p w14:paraId="5E06829D"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展示时间：每队8分钟陈述 + 5分钟评委提问与答辩。</w:t>
      </w:r>
    </w:p>
    <w:p w14:paraId="3ACDA883"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展示顺序：抽签决定。</w:t>
      </w:r>
    </w:p>
    <w:p w14:paraId="7EC67D8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参与人员：每队全体成员共同参与，可分工讲解。</w:t>
      </w:r>
    </w:p>
    <w:p w14:paraId="1FC9CEDA"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评审方式：由裁判组与特邀企业专家共同评分。</w:t>
      </w:r>
    </w:p>
    <w:p w14:paraId="1C1146F5" w14:textId="77777777" w:rsidR="0055088D" w:rsidRDefault="00405ABE">
      <w:pPr>
        <w:numPr>
          <w:ilvl w:val="0"/>
          <w:numId w:val="2"/>
        </w:num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评分标准</w:t>
      </w:r>
    </w:p>
    <w:tbl>
      <w:tblPr>
        <w:tblW w:w="9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55"/>
        <w:gridCol w:w="925"/>
        <w:gridCol w:w="5844"/>
      </w:tblGrid>
      <w:tr w:rsidR="0055088D" w14:paraId="535EC927" w14:textId="77777777">
        <w:trPr>
          <w:tblHeader/>
        </w:trPr>
        <w:tc>
          <w:tcPr>
            <w:tcW w:w="0" w:type="auto"/>
            <w:shd w:val="clear" w:color="auto" w:fill="FFFFFF"/>
            <w:tcMar>
              <w:top w:w="120" w:type="dxa"/>
              <w:left w:w="0" w:type="dxa"/>
              <w:bottom w:w="120" w:type="dxa"/>
              <w:right w:w="192" w:type="dxa"/>
            </w:tcMar>
            <w:vAlign w:val="center"/>
          </w:tcPr>
          <w:p w14:paraId="5DDBDC99" w14:textId="77777777" w:rsidR="0055088D" w:rsidRDefault="00405ABE">
            <w:pPr>
              <w:widowControl/>
              <w:spacing w:line="300" w:lineRule="atLeast"/>
              <w:jc w:val="left"/>
              <w:rPr>
                <w:rFonts w:ascii="仿宋" w:eastAsia="仿宋" w:hAnsi="仿宋" w:cs="仿宋"/>
                <w:b/>
                <w:bCs/>
                <w:color w:val="0F1115"/>
                <w:sz w:val="24"/>
              </w:rPr>
            </w:pPr>
            <w:r>
              <w:rPr>
                <w:rFonts w:ascii="仿宋" w:eastAsia="仿宋" w:hAnsi="仿宋" w:cs="仿宋" w:hint="eastAsia"/>
                <w:b/>
                <w:bCs/>
                <w:color w:val="0F1115"/>
                <w:kern w:val="0"/>
                <w:sz w:val="24"/>
                <w:lang w:bidi="ar"/>
              </w:rPr>
              <w:t>评分维度</w:t>
            </w:r>
          </w:p>
        </w:tc>
        <w:tc>
          <w:tcPr>
            <w:tcW w:w="0" w:type="auto"/>
            <w:shd w:val="clear" w:color="auto" w:fill="FFFFFF"/>
            <w:tcMar>
              <w:top w:w="120" w:type="dxa"/>
              <w:left w:w="192" w:type="dxa"/>
              <w:bottom w:w="120" w:type="dxa"/>
              <w:right w:w="192" w:type="dxa"/>
            </w:tcMar>
            <w:vAlign w:val="center"/>
          </w:tcPr>
          <w:p w14:paraId="56AAD13E" w14:textId="77777777" w:rsidR="0055088D" w:rsidRDefault="00405ABE">
            <w:pPr>
              <w:widowControl/>
              <w:spacing w:line="300" w:lineRule="atLeast"/>
              <w:jc w:val="left"/>
              <w:rPr>
                <w:rFonts w:ascii="仿宋" w:eastAsia="仿宋" w:hAnsi="仿宋" w:cs="仿宋"/>
                <w:b/>
                <w:bCs/>
                <w:color w:val="0F1115"/>
                <w:sz w:val="24"/>
              </w:rPr>
            </w:pPr>
            <w:r>
              <w:rPr>
                <w:rFonts w:ascii="仿宋" w:eastAsia="仿宋" w:hAnsi="仿宋" w:cs="仿宋" w:hint="eastAsia"/>
                <w:b/>
                <w:bCs/>
                <w:color w:val="0F1115"/>
                <w:kern w:val="0"/>
                <w:sz w:val="24"/>
                <w:lang w:bidi="ar"/>
              </w:rPr>
              <w:t>分值</w:t>
            </w:r>
          </w:p>
        </w:tc>
        <w:tc>
          <w:tcPr>
            <w:tcW w:w="0" w:type="auto"/>
            <w:shd w:val="clear" w:color="auto" w:fill="FFFFFF"/>
            <w:tcMar>
              <w:top w:w="120" w:type="dxa"/>
              <w:left w:w="192" w:type="dxa"/>
              <w:bottom w:w="120" w:type="dxa"/>
              <w:right w:w="192" w:type="dxa"/>
            </w:tcMar>
            <w:vAlign w:val="center"/>
          </w:tcPr>
          <w:p w14:paraId="722A146F" w14:textId="77777777" w:rsidR="0055088D" w:rsidRDefault="00405ABE">
            <w:pPr>
              <w:widowControl/>
              <w:spacing w:line="300" w:lineRule="atLeast"/>
              <w:jc w:val="left"/>
              <w:rPr>
                <w:rFonts w:ascii="仿宋" w:eastAsia="仿宋" w:hAnsi="仿宋" w:cs="仿宋"/>
                <w:b/>
                <w:bCs/>
                <w:color w:val="0F1115"/>
                <w:sz w:val="24"/>
              </w:rPr>
            </w:pPr>
            <w:r>
              <w:rPr>
                <w:rFonts w:ascii="仿宋" w:eastAsia="仿宋" w:hAnsi="仿宋" w:cs="仿宋" w:hint="eastAsia"/>
                <w:b/>
                <w:bCs/>
                <w:color w:val="0F1115"/>
                <w:kern w:val="0"/>
                <w:sz w:val="24"/>
                <w:lang w:bidi="ar"/>
              </w:rPr>
              <w:t>说明</w:t>
            </w:r>
          </w:p>
        </w:tc>
      </w:tr>
      <w:tr w:rsidR="0055088D" w14:paraId="78F71B35" w14:textId="77777777">
        <w:tc>
          <w:tcPr>
            <w:tcW w:w="0" w:type="auto"/>
            <w:shd w:val="clear" w:color="auto" w:fill="FFFFFF"/>
            <w:tcMar>
              <w:top w:w="120" w:type="dxa"/>
              <w:left w:w="0" w:type="dxa"/>
              <w:bottom w:w="120" w:type="dxa"/>
              <w:right w:w="192" w:type="dxa"/>
            </w:tcMar>
            <w:vAlign w:val="center"/>
          </w:tcPr>
          <w:p w14:paraId="7657CD7C"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方案完整性</w:t>
            </w:r>
          </w:p>
        </w:tc>
        <w:tc>
          <w:tcPr>
            <w:tcW w:w="0" w:type="auto"/>
            <w:shd w:val="clear" w:color="auto" w:fill="FFFFFF"/>
            <w:tcMar>
              <w:top w:w="120" w:type="dxa"/>
              <w:left w:w="192" w:type="dxa"/>
              <w:bottom w:w="120" w:type="dxa"/>
              <w:right w:w="192" w:type="dxa"/>
            </w:tcMar>
            <w:vAlign w:val="center"/>
          </w:tcPr>
          <w:p w14:paraId="2172F29A"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30%</w:t>
            </w:r>
          </w:p>
        </w:tc>
        <w:tc>
          <w:tcPr>
            <w:tcW w:w="0" w:type="auto"/>
            <w:shd w:val="clear" w:color="auto" w:fill="FFFFFF"/>
            <w:tcMar>
              <w:top w:w="120" w:type="dxa"/>
              <w:left w:w="192" w:type="dxa"/>
              <w:bottom w:w="120" w:type="dxa"/>
              <w:right w:w="0" w:type="dxa"/>
            </w:tcMar>
            <w:vAlign w:val="center"/>
          </w:tcPr>
          <w:p w14:paraId="51D1CECB"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内容全面、逻辑清晰、符合实际场景</w:t>
            </w:r>
          </w:p>
        </w:tc>
      </w:tr>
      <w:tr w:rsidR="0055088D" w14:paraId="690D6334" w14:textId="77777777">
        <w:tc>
          <w:tcPr>
            <w:tcW w:w="0" w:type="auto"/>
            <w:shd w:val="clear" w:color="auto" w:fill="FFFFFF"/>
            <w:tcMar>
              <w:top w:w="120" w:type="dxa"/>
              <w:left w:w="0" w:type="dxa"/>
              <w:bottom w:w="120" w:type="dxa"/>
              <w:right w:w="192" w:type="dxa"/>
            </w:tcMar>
            <w:vAlign w:val="center"/>
          </w:tcPr>
          <w:p w14:paraId="3ADBBBD0"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技术深度与创新性</w:t>
            </w:r>
          </w:p>
        </w:tc>
        <w:tc>
          <w:tcPr>
            <w:tcW w:w="0" w:type="auto"/>
            <w:shd w:val="clear" w:color="auto" w:fill="FFFFFF"/>
            <w:tcMar>
              <w:top w:w="120" w:type="dxa"/>
              <w:left w:w="192" w:type="dxa"/>
              <w:bottom w:w="120" w:type="dxa"/>
              <w:right w:w="192" w:type="dxa"/>
            </w:tcMar>
            <w:vAlign w:val="center"/>
          </w:tcPr>
          <w:p w14:paraId="1AC0E245"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30%</w:t>
            </w:r>
          </w:p>
        </w:tc>
        <w:tc>
          <w:tcPr>
            <w:tcW w:w="0" w:type="auto"/>
            <w:shd w:val="clear" w:color="auto" w:fill="FFFFFF"/>
            <w:tcMar>
              <w:top w:w="120" w:type="dxa"/>
              <w:left w:w="192" w:type="dxa"/>
              <w:bottom w:w="120" w:type="dxa"/>
              <w:right w:w="0" w:type="dxa"/>
            </w:tcMar>
            <w:vAlign w:val="center"/>
          </w:tcPr>
          <w:p w14:paraId="74B54462"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安全方案是否具有技术前瞻性、创新点或实用优化</w:t>
            </w:r>
          </w:p>
        </w:tc>
      </w:tr>
      <w:tr w:rsidR="0055088D" w14:paraId="46704121" w14:textId="77777777">
        <w:tc>
          <w:tcPr>
            <w:tcW w:w="0" w:type="auto"/>
            <w:shd w:val="clear" w:color="auto" w:fill="FFFFFF"/>
            <w:tcMar>
              <w:top w:w="120" w:type="dxa"/>
              <w:left w:w="0" w:type="dxa"/>
              <w:bottom w:w="120" w:type="dxa"/>
              <w:right w:w="192" w:type="dxa"/>
            </w:tcMar>
            <w:vAlign w:val="center"/>
          </w:tcPr>
          <w:p w14:paraId="41A3A89E"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表达与协作</w:t>
            </w:r>
          </w:p>
        </w:tc>
        <w:tc>
          <w:tcPr>
            <w:tcW w:w="0" w:type="auto"/>
            <w:shd w:val="clear" w:color="auto" w:fill="FFFFFF"/>
            <w:tcMar>
              <w:top w:w="120" w:type="dxa"/>
              <w:left w:w="192" w:type="dxa"/>
              <w:bottom w:w="120" w:type="dxa"/>
              <w:right w:w="192" w:type="dxa"/>
            </w:tcMar>
            <w:vAlign w:val="center"/>
          </w:tcPr>
          <w:p w14:paraId="3E88905D"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20%</w:t>
            </w:r>
          </w:p>
        </w:tc>
        <w:tc>
          <w:tcPr>
            <w:tcW w:w="0" w:type="auto"/>
            <w:shd w:val="clear" w:color="auto" w:fill="FFFFFF"/>
            <w:tcMar>
              <w:top w:w="120" w:type="dxa"/>
              <w:left w:w="192" w:type="dxa"/>
              <w:bottom w:w="120" w:type="dxa"/>
              <w:right w:w="0" w:type="dxa"/>
            </w:tcMar>
            <w:vAlign w:val="center"/>
          </w:tcPr>
          <w:p w14:paraId="181706E5"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表达清晰、团队配合默契、时间控制得当</w:t>
            </w:r>
          </w:p>
        </w:tc>
      </w:tr>
      <w:tr w:rsidR="0055088D" w14:paraId="7872D784" w14:textId="77777777">
        <w:tc>
          <w:tcPr>
            <w:tcW w:w="0" w:type="auto"/>
            <w:shd w:val="clear" w:color="auto" w:fill="FFFFFF"/>
            <w:tcMar>
              <w:top w:w="120" w:type="dxa"/>
              <w:left w:w="0" w:type="dxa"/>
              <w:bottom w:w="120" w:type="dxa"/>
              <w:right w:w="192" w:type="dxa"/>
            </w:tcMar>
            <w:vAlign w:val="center"/>
          </w:tcPr>
          <w:p w14:paraId="5B7F62D5"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答辩表现</w:t>
            </w:r>
          </w:p>
        </w:tc>
        <w:tc>
          <w:tcPr>
            <w:tcW w:w="0" w:type="auto"/>
            <w:shd w:val="clear" w:color="auto" w:fill="FFFFFF"/>
            <w:tcMar>
              <w:top w:w="120" w:type="dxa"/>
              <w:left w:w="192" w:type="dxa"/>
              <w:bottom w:w="120" w:type="dxa"/>
              <w:right w:w="192" w:type="dxa"/>
            </w:tcMar>
            <w:vAlign w:val="center"/>
          </w:tcPr>
          <w:p w14:paraId="40FF6909"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20%</w:t>
            </w:r>
          </w:p>
        </w:tc>
        <w:tc>
          <w:tcPr>
            <w:tcW w:w="0" w:type="auto"/>
            <w:shd w:val="clear" w:color="auto" w:fill="FFFFFF"/>
            <w:tcMar>
              <w:top w:w="120" w:type="dxa"/>
              <w:left w:w="192" w:type="dxa"/>
              <w:bottom w:w="120" w:type="dxa"/>
              <w:right w:w="0" w:type="dxa"/>
            </w:tcMar>
            <w:vAlign w:val="center"/>
          </w:tcPr>
          <w:p w14:paraId="216D4813" w14:textId="77777777" w:rsidR="0055088D" w:rsidRDefault="00405ABE">
            <w:pPr>
              <w:widowControl/>
              <w:spacing w:line="300" w:lineRule="atLeast"/>
              <w:jc w:val="left"/>
              <w:rPr>
                <w:rFonts w:ascii="仿宋" w:eastAsia="仿宋" w:hAnsi="仿宋" w:cs="仿宋"/>
                <w:color w:val="0F1115"/>
                <w:sz w:val="24"/>
              </w:rPr>
            </w:pPr>
            <w:r>
              <w:rPr>
                <w:rFonts w:ascii="仿宋" w:eastAsia="仿宋" w:hAnsi="仿宋" w:cs="仿宋" w:hint="eastAsia"/>
                <w:color w:val="0F1115"/>
                <w:kern w:val="0"/>
                <w:sz w:val="24"/>
                <w:lang w:bidi="ar"/>
              </w:rPr>
              <w:t>对评委提问的理解能力、回答的专业性与应变能力</w:t>
            </w:r>
          </w:p>
        </w:tc>
      </w:tr>
    </w:tbl>
    <w:p w14:paraId="68C2E241" w14:textId="77777777" w:rsidR="0055088D" w:rsidRDefault="00405ABE">
      <w:pPr>
        <w:numPr>
          <w:ilvl w:val="0"/>
          <w:numId w:val="2"/>
        </w:num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时间安排建议</w:t>
      </w:r>
    </w:p>
    <w:p w14:paraId="176EC8D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可在第三阶段结束后统一安排展示环节，或在比赛日下午单独设立展示时段。</w:t>
      </w:r>
    </w:p>
    <w:p w14:paraId="101B5877" w14:textId="77777777" w:rsidR="0055088D" w:rsidRDefault="00405ABE">
      <w:pPr>
        <w:adjustRightInd w:val="0"/>
        <w:snapToGrid w:val="0"/>
        <w:spacing w:line="560" w:lineRule="exact"/>
        <w:ind w:firstLineChars="200" w:firstLine="560"/>
        <w:rPr>
          <w:rFonts w:ascii="黑体" w:eastAsia="黑体" w:hAnsi="黑体"/>
          <w:spacing w:val="-10"/>
          <w:kern w:val="0"/>
          <w:sz w:val="32"/>
          <w:szCs w:val="32"/>
        </w:rPr>
      </w:pPr>
      <w:r>
        <w:rPr>
          <w:rFonts w:ascii="仿宋" w:eastAsia="仿宋" w:hAnsi="仿宋" w:hint="eastAsia"/>
          <w:color w:val="000000"/>
          <w:sz w:val="28"/>
          <w:szCs w:val="28"/>
        </w:rPr>
        <w:t>总时</w:t>
      </w:r>
      <w:proofErr w:type="gramStart"/>
      <w:r>
        <w:rPr>
          <w:rFonts w:ascii="仿宋" w:eastAsia="仿宋" w:hAnsi="仿宋" w:hint="eastAsia"/>
          <w:color w:val="000000"/>
          <w:sz w:val="28"/>
          <w:szCs w:val="28"/>
        </w:rPr>
        <w:t>长控制</w:t>
      </w:r>
      <w:proofErr w:type="gramEnd"/>
      <w:r>
        <w:rPr>
          <w:rFonts w:ascii="仿宋" w:eastAsia="仿宋" w:hAnsi="仿宋" w:hint="eastAsia"/>
          <w:color w:val="000000"/>
          <w:sz w:val="28"/>
          <w:szCs w:val="28"/>
        </w:rPr>
        <w:t>在每队13分钟内，确保所有队伍在2小时内完成展示与答辩。</w:t>
      </w:r>
    </w:p>
    <w:p w14:paraId="041D92D8" w14:textId="77777777" w:rsidR="0055088D" w:rsidRDefault="00405ABE">
      <w:pPr>
        <w:widowControl/>
        <w:shd w:val="clear" w:color="auto" w:fill="FFFFFF"/>
        <w:spacing w:line="560" w:lineRule="exact"/>
        <w:ind w:firstLineChars="198" w:firstLine="594"/>
        <w:jc w:val="left"/>
        <w:outlineLvl w:val="1"/>
        <w:rPr>
          <w:rFonts w:ascii="黑体" w:eastAsia="黑体" w:hAnsi="黑体"/>
          <w:spacing w:val="-10"/>
          <w:kern w:val="0"/>
          <w:sz w:val="32"/>
          <w:szCs w:val="32"/>
        </w:rPr>
      </w:pPr>
      <w:bookmarkStart w:id="17" w:name="_Toc3943"/>
      <w:r>
        <w:rPr>
          <w:rFonts w:ascii="黑体" w:eastAsia="黑体" w:hAnsi="黑体" w:hint="eastAsia"/>
          <w:spacing w:val="-10"/>
          <w:kern w:val="0"/>
          <w:sz w:val="32"/>
          <w:szCs w:val="32"/>
        </w:rPr>
        <w:t>十四、其他</w:t>
      </w:r>
      <w:bookmarkEnd w:id="17"/>
    </w:p>
    <w:p w14:paraId="7D971220"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（一）赛项安全</w:t>
      </w:r>
    </w:p>
    <w:p w14:paraId="279F5588"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lastRenderedPageBreak/>
        <w:t>赛事安全是海南省职业院校技能大赛一切工作顺利开展的先决条件，是本赛项筹备和运行工作必须考虑的核心问题。</w:t>
      </w:r>
    </w:p>
    <w:p w14:paraId="26A0F848"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1.组织机构</w:t>
      </w:r>
    </w:p>
    <w:p w14:paraId="0861ACA4"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赛项执委会组织专门机构负责赛区内赛项的安全工作，建立公安、消防、司法行政、交通、卫生、食品、质检等相关部门协调机制保证比赛安全，制定应急预案，及时处置突发事件。制定相应安全管理的规范、流程和突发事件应急预案，全过程保证比赛筹备和实施工作安全。</w:t>
      </w:r>
    </w:p>
    <w:p w14:paraId="2628B1D2" w14:textId="77777777" w:rsidR="0055088D" w:rsidRDefault="00405ABE">
      <w:pPr>
        <w:tabs>
          <w:tab w:val="left" w:pos="1425"/>
        </w:tabs>
        <w:adjustRightInd w:val="0"/>
        <w:snapToGrid w:val="0"/>
        <w:spacing w:line="560" w:lineRule="exact"/>
        <w:ind w:left="570"/>
        <w:rPr>
          <w:rFonts w:ascii="仿宋" w:eastAsia="仿宋" w:hAnsi="仿宋"/>
          <w:color w:val="000000"/>
          <w:sz w:val="28"/>
          <w:szCs w:val="28"/>
        </w:rPr>
      </w:pPr>
      <w:r>
        <w:rPr>
          <w:rFonts w:ascii="仿宋" w:eastAsia="仿宋" w:hAnsi="仿宋" w:hint="eastAsia"/>
          <w:color w:val="000000"/>
          <w:sz w:val="28"/>
          <w:szCs w:val="28"/>
        </w:rPr>
        <w:t>2.赛项设计</w:t>
      </w:r>
    </w:p>
    <w:p w14:paraId="023A9F8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比赛内容涉及的器材、设备应符合国家有关安全规定。赛项专家组应充分考虑比赛内容和所用器材、耗材可能存在的危险因素，通过完善设计规避风险，采取有效防范措施保证选手备赛和比赛安全。危险提示和防范措施应在赛项技术文件中加以明确。</w:t>
      </w:r>
    </w:p>
    <w:p w14:paraId="1E05E604"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（2）赛项技术文件应包含国家（或行业）有关职业岗位安全的规范、条例和资格证书要求等内容。</w:t>
      </w:r>
    </w:p>
    <w:p w14:paraId="6355EC3D"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赛项执委会须在赛前对本赛项全体裁判员进行裁判培训和安全培训，对服务人员进行安全培训。源于实际生产过程的赛项，须根据《中华人民共和国劳动法》等法律法规，建立完善的安全事故防范制度，并在赛前对选手进行培训，避免发生人身伤害事故。</w:t>
      </w:r>
    </w:p>
    <w:p w14:paraId="7254C74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（4）赛项执委会须制定专门方案保证比赛命题、赛题保管和评判过程的安全。</w:t>
      </w:r>
    </w:p>
    <w:p w14:paraId="396D2CC8" w14:textId="77777777" w:rsidR="0055088D" w:rsidRDefault="00405ABE">
      <w:pPr>
        <w:tabs>
          <w:tab w:val="left" w:pos="1425"/>
        </w:tabs>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3.比赛环境</w:t>
      </w:r>
    </w:p>
    <w:p w14:paraId="2C5BCD99"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（1）环境安全保障</w:t>
      </w:r>
    </w:p>
    <w:p w14:paraId="58EB315C"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赛场组织与管理员应制定安保须知、安全隐患规避方法及突发事</w:t>
      </w:r>
      <w:r>
        <w:rPr>
          <w:rFonts w:ascii="仿宋" w:eastAsia="仿宋" w:hAnsi="仿宋" w:hint="eastAsia"/>
          <w:color w:val="000000"/>
          <w:sz w:val="28"/>
          <w:szCs w:val="28"/>
        </w:rPr>
        <w:lastRenderedPageBreak/>
        <w:t>件预案，设立紧急疏散路线及通道等，确保比赛期间所有进入竞赛地点的车辆、人员需凭证入内；严禁携带易燃易爆物、管制刀具等危险品及比赛严令禁止的其他物品进入场地；对于紧急发生的拥挤、踩踏、地震、火灾等进行紧急有效的处置。</w:t>
      </w:r>
    </w:p>
    <w:p w14:paraId="51D17AE6"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（2）操作安全保障</w:t>
      </w:r>
    </w:p>
    <w:p w14:paraId="6C64B9A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赛前要对选手进行计算机、网络设备、工具等操作的安全培训，进行安全操作的宣讲，确保每个队员能够安全操作设备后方可进行比赛。裁判员在比赛前，宣读安全注意事项，强调用火、用电安全规则。</w:t>
      </w:r>
    </w:p>
    <w:p w14:paraId="6F32E4F3"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整个大赛过程邀请当地公安系统、卫生系统和保险系统协助支持。</w:t>
      </w:r>
    </w:p>
    <w:p w14:paraId="0E8641C8"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赛项执委会要求排除安全隐患。参赛队由各参赛校负责参赛选手旅途及竞赛过程中的安全保障。</w:t>
      </w:r>
    </w:p>
    <w:p w14:paraId="4F9640BD"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（4）赛场周围要设立警戒线，防止无关人员进入发生意外事件。比赛现场内应参照相关职业岗位的要求为选手提供必要的劳动保护。在具有危险性的操作环节，裁判员要严防选手出现错误操作。</w:t>
      </w:r>
    </w:p>
    <w:p w14:paraId="523E7D8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（5）承办单位应提供保证应急预案实施的条件。对于比赛内容涉及高空作业、可能有坠物、大用电量、易发生火灾等情况的赛项，必须明确制度和预案，并配备急救人员与设施。</w:t>
      </w:r>
    </w:p>
    <w:p w14:paraId="4261BED1"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（6）赛项执委会须会同承办单位制定开放赛场和体验区的人员疏导方案。赛场环境中存在人员密集、车流人流交错的区域，除了设置齐全的指示标志外，须增加引导人员，并开辟备用通道。</w:t>
      </w:r>
    </w:p>
    <w:p w14:paraId="3AE2228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lastRenderedPageBreak/>
        <w:t>（7）大赛期间，赛项承办单位须在赛场管理的关键岗位，增加力量，建立安全管理日志。</w:t>
      </w:r>
    </w:p>
    <w:p w14:paraId="1054782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8）参赛选手进入赛位、赛事裁判工作人员进入工作场所，严禁携带通讯、照相摄录设备，禁止携带记录用具。如确有需要，由赛场统一配置、统一管理。赛项可根据需要配置安检设备对进入赛场重要部位的人员进行安检。</w:t>
      </w:r>
    </w:p>
    <w:p w14:paraId="13915BF6" w14:textId="77777777" w:rsidR="0055088D" w:rsidRDefault="00405ABE">
      <w:pPr>
        <w:tabs>
          <w:tab w:val="left" w:pos="1425"/>
        </w:tabs>
        <w:adjustRightInd w:val="0"/>
        <w:snapToGrid w:val="0"/>
        <w:spacing w:line="560" w:lineRule="exact"/>
        <w:ind w:left="570"/>
        <w:rPr>
          <w:rFonts w:ascii="仿宋" w:eastAsia="仿宋" w:hAnsi="仿宋"/>
          <w:color w:val="000000"/>
          <w:sz w:val="28"/>
          <w:szCs w:val="28"/>
        </w:rPr>
      </w:pPr>
      <w:r>
        <w:rPr>
          <w:rFonts w:ascii="仿宋" w:eastAsia="仿宋" w:hAnsi="仿宋" w:hint="eastAsia"/>
          <w:color w:val="000000"/>
          <w:sz w:val="28"/>
          <w:szCs w:val="28"/>
        </w:rPr>
        <w:t>4.生活条件</w:t>
      </w:r>
    </w:p>
    <w:p w14:paraId="4A81BB44"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（1）本次比赛不统一安排食宿，各参赛单位可自行联系解决。</w:t>
      </w:r>
    </w:p>
    <w:p w14:paraId="6DFA03C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（2）各赛项的安全管理，除了可以采取必要的安全隔离措施外，应严格遵守国家相关法律法规，保护个人隐私和人身自由。</w:t>
      </w:r>
    </w:p>
    <w:p w14:paraId="2B70E974"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（二）</w:t>
      </w:r>
      <w:r>
        <w:rPr>
          <w:rFonts w:ascii="仿宋" w:eastAsia="仿宋" w:hAnsi="仿宋"/>
          <w:color w:val="000000"/>
          <w:sz w:val="28"/>
          <w:szCs w:val="28"/>
        </w:rPr>
        <w:t>竞赛须知</w:t>
      </w:r>
    </w:p>
    <w:p w14:paraId="25B8C51C"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1.参赛队须知</w:t>
      </w:r>
    </w:p>
    <w:p w14:paraId="3C6E7EF7"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（1）各参赛队要发扬良好道德风尚，听从指挥，服从裁判，不弄虚作假。如发现弄虚作假者，取消参赛资格，名次无效。</w:t>
      </w:r>
    </w:p>
    <w:p w14:paraId="7609A19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（2）各参赛队领队要坚决执行竞赛的各项规定，加强对参赛人员的管理，做好赛前准备工作，督促选手带好证件等竞赛相关材料。</w:t>
      </w:r>
    </w:p>
    <w:p w14:paraId="6A8A2D1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（3）竞赛过程中，除参加当场次竞赛的选手、执行裁判员、现场工作人员和经批准的人员外，领队、指导教师及其他人员一律不得进入竞赛现场。</w:t>
      </w:r>
    </w:p>
    <w:p w14:paraId="51F00359"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（4）参赛队若对竞赛过程有异议，在规定的时间内由领队向赛项仲裁工作组提出书面报告。</w:t>
      </w:r>
    </w:p>
    <w:p w14:paraId="7FBD582D"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（5）对申诉的仲裁结果，领队要带头服从和执行，并做好选手工作。参赛选手不得因申诉或处理意见不服而停止竞赛，否则以弃权处理。</w:t>
      </w:r>
    </w:p>
    <w:p w14:paraId="1DECB74D"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lastRenderedPageBreak/>
        <w:t>（6）指导老师应及时查看大赛专用网页有关赛项的通知和内容，认真研究和掌握本赛项竞赛的规程、技术规范和赛场要求，指导选手做好赛前的一切技术准备和竞赛准备。</w:t>
      </w:r>
    </w:p>
    <w:p w14:paraId="1D40CFAE"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（7）参赛队领队应对本队参赛队员和指导教师的参赛期间安全负责，参赛学校须为参赛选手和指导教师购买意外保险。</w:t>
      </w:r>
    </w:p>
    <w:p w14:paraId="5A6BFD5B"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（8）领队和指导教师应在赛后做好赛事总结和工作总结。</w:t>
      </w:r>
    </w:p>
    <w:p w14:paraId="7BE3804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2.指导</w:t>
      </w:r>
      <w:r>
        <w:rPr>
          <w:rFonts w:ascii="仿宋" w:eastAsia="仿宋" w:hAnsi="仿宋"/>
          <w:color w:val="000000"/>
          <w:sz w:val="28"/>
          <w:szCs w:val="28"/>
        </w:rPr>
        <w:t>教师</w:t>
      </w:r>
      <w:r>
        <w:rPr>
          <w:rFonts w:ascii="仿宋" w:eastAsia="仿宋" w:hAnsi="仿宋" w:hint="eastAsia"/>
          <w:color w:val="000000"/>
          <w:sz w:val="28"/>
          <w:szCs w:val="28"/>
        </w:rPr>
        <w:t>须知</w:t>
      </w:r>
    </w:p>
    <w:p w14:paraId="61BCCCB4" w14:textId="77777777" w:rsidR="0055088D" w:rsidRDefault="00405ABE">
      <w:pPr>
        <w:pStyle w:val="5-"/>
        <w:adjustRightInd w:val="0"/>
        <w:snapToGrid w:val="0"/>
        <w:spacing w:beforeLines="0" w:afterLines="0" w:line="560" w:lineRule="exact"/>
        <w:ind w:firstLine="560"/>
        <w:rPr>
          <w:rFonts w:ascii="仿宋" w:eastAsia="仿宋" w:hAnsi="仿宋" w:cs="黑体"/>
          <w:color w:val="000000"/>
          <w:kern w:val="2"/>
          <w:szCs w:val="28"/>
        </w:rPr>
      </w:pPr>
      <w:r>
        <w:rPr>
          <w:rFonts w:ascii="仿宋" w:eastAsia="仿宋" w:hAnsi="仿宋" w:cs="黑体" w:hint="eastAsia"/>
          <w:color w:val="000000"/>
          <w:kern w:val="2"/>
          <w:szCs w:val="28"/>
        </w:rPr>
        <w:t>（1）各参赛代表队要发扬良好道德风尚，听从指挥，服从裁判，不弄虚作假。如发现弄虚作假者，取消参赛资格，名次无效。</w:t>
      </w:r>
    </w:p>
    <w:p w14:paraId="2305F620" w14:textId="77777777" w:rsidR="0055088D" w:rsidRDefault="00405ABE">
      <w:pPr>
        <w:pStyle w:val="5-"/>
        <w:adjustRightInd w:val="0"/>
        <w:snapToGrid w:val="0"/>
        <w:spacing w:beforeLines="0" w:afterLines="0" w:line="560" w:lineRule="exact"/>
        <w:ind w:firstLine="560"/>
        <w:rPr>
          <w:rFonts w:ascii="仿宋" w:eastAsia="仿宋" w:hAnsi="仿宋" w:cs="黑体"/>
          <w:color w:val="000000"/>
          <w:kern w:val="2"/>
          <w:szCs w:val="28"/>
        </w:rPr>
      </w:pPr>
      <w:r>
        <w:rPr>
          <w:rFonts w:ascii="仿宋" w:eastAsia="仿宋" w:hAnsi="仿宋" w:cs="黑体" w:hint="eastAsia"/>
          <w:color w:val="000000"/>
          <w:kern w:val="2"/>
          <w:szCs w:val="28"/>
        </w:rPr>
        <w:t>（2）各代表队领队要坚决执行竞赛的各项规定，加强对参赛人员的管理，做好赛前准备工作，督促选手带好证件等竞赛相关材料。</w:t>
      </w:r>
    </w:p>
    <w:p w14:paraId="36BFF035" w14:textId="77777777" w:rsidR="0055088D" w:rsidRDefault="00405ABE">
      <w:pPr>
        <w:pStyle w:val="5-"/>
        <w:adjustRightInd w:val="0"/>
        <w:snapToGrid w:val="0"/>
        <w:spacing w:beforeLines="0" w:afterLines="0" w:line="560" w:lineRule="exact"/>
        <w:ind w:firstLine="560"/>
        <w:rPr>
          <w:rFonts w:ascii="仿宋" w:eastAsia="仿宋" w:hAnsi="仿宋" w:cs="黑体"/>
          <w:color w:val="000000"/>
          <w:kern w:val="2"/>
          <w:szCs w:val="28"/>
        </w:rPr>
      </w:pPr>
      <w:r>
        <w:rPr>
          <w:rFonts w:ascii="仿宋" w:eastAsia="仿宋" w:hAnsi="仿宋" w:cs="黑体" w:hint="eastAsia"/>
          <w:color w:val="000000"/>
          <w:kern w:val="2"/>
          <w:szCs w:val="28"/>
        </w:rPr>
        <w:t>（3）竞赛过程中，除参加当场次竞赛的选手、执行裁判员、现场工作人员和经批准的人员外，领队、指导教师及其他人员一律不得进入竞赛现场。</w:t>
      </w:r>
    </w:p>
    <w:p w14:paraId="7C6EFF23" w14:textId="77777777" w:rsidR="0055088D" w:rsidRDefault="00405ABE">
      <w:pPr>
        <w:pStyle w:val="5-"/>
        <w:adjustRightInd w:val="0"/>
        <w:snapToGrid w:val="0"/>
        <w:spacing w:beforeLines="0" w:afterLines="0" w:line="560" w:lineRule="exact"/>
        <w:ind w:firstLine="560"/>
        <w:rPr>
          <w:rFonts w:ascii="仿宋" w:eastAsia="仿宋" w:hAnsi="仿宋" w:cs="黑体"/>
          <w:color w:val="000000"/>
          <w:kern w:val="2"/>
          <w:szCs w:val="28"/>
        </w:rPr>
      </w:pPr>
      <w:r>
        <w:rPr>
          <w:rFonts w:ascii="仿宋" w:eastAsia="仿宋" w:hAnsi="仿宋" w:cs="黑体" w:hint="eastAsia"/>
          <w:color w:val="000000"/>
          <w:kern w:val="2"/>
          <w:szCs w:val="28"/>
        </w:rPr>
        <w:t>（4）参赛代表队若对竞赛过程有异议，在规定的时间内由领队向赛项仲裁工作组提出书面报告。</w:t>
      </w:r>
    </w:p>
    <w:p w14:paraId="493ED268" w14:textId="77777777" w:rsidR="0055088D" w:rsidRDefault="00405ABE">
      <w:pPr>
        <w:pStyle w:val="5-"/>
        <w:adjustRightInd w:val="0"/>
        <w:snapToGrid w:val="0"/>
        <w:spacing w:beforeLines="0" w:afterLines="0" w:line="560" w:lineRule="exact"/>
        <w:ind w:firstLine="560"/>
        <w:rPr>
          <w:rFonts w:ascii="仿宋" w:eastAsia="仿宋" w:hAnsi="仿宋" w:cs="黑体"/>
          <w:color w:val="000000"/>
          <w:kern w:val="2"/>
          <w:szCs w:val="28"/>
        </w:rPr>
      </w:pPr>
      <w:r>
        <w:rPr>
          <w:rFonts w:ascii="仿宋" w:eastAsia="仿宋" w:hAnsi="仿宋" w:cs="黑体" w:hint="eastAsia"/>
          <w:color w:val="000000"/>
          <w:kern w:val="2"/>
          <w:szCs w:val="28"/>
        </w:rPr>
        <w:t>（5）对申诉的仲裁结果，领队要带头服从和执行，并做好选手工作。参赛选手不得因申诉或对处理意见不服而停止竞赛，否则以弃权处理。</w:t>
      </w:r>
    </w:p>
    <w:p w14:paraId="0A1AC0D1" w14:textId="77777777" w:rsidR="0055088D" w:rsidRDefault="00405ABE">
      <w:pPr>
        <w:pStyle w:val="5-"/>
        <w:adjustRightInd w:val="0"/>
        <w:snapToGrid w:val="0"/>
        <w:spacing w:beforeLines="0" w:afterLines="0" w:line="560" w:lineRule="exact"/>
        <w:ind w:firstLine="560"/>
        <w:rPr>
          <w:rFonts w:ascii="仿宋" w:eastAsia="仿宋" w:hAnsi="仿宋" w:cs="黑体"/>
          <w:color w:val="000000"/>
          <w:kern w:val="2"/>
          <w:szCs w:val="28"/>
        </w:rPr>
      </w:pPr>
      <w:r>
        <w:rPr>
          <w:rFonts w:ascii="仿宋" w:eastAsia="仿宋" w:hAnsi="仿宋" w:cs="黑体" w:hint="eastAsia"/>
          <w:color w:val="000000"/>
          <w:kern w:val="2"/>
          <w:szCs w:val="28"/>
        </w:rPr>
        <w:t>（6）指导老师应及时查看大赛专用网页有关赛项的通知和内容，认真研究和掌握本赛项竞赛的规程、技术规范和赛场要求，指导选手做好赛前的一切技术准备和竞赛准备。</w:t>
      </w:r>
    </w:p>
    <w:p w14:paraId="3F63CE0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3.参赛选手须知</w:t>
      </w:r>
    </w:p>
    <w:p w14:paraId="72E36337"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（1）参赛选手应按有关要求如实填报个人信息，否则取消竞赛</w:t>
      </w:r>
      <w:r>
        <w:rPr>
          <w:rFonts w:ascii="仿宋" w:eastAsia="仿宋" w:hAnsi="仿宋" w:hint="eastAsia"/>
          <w:color w:val="000000"/>
          <w:sz w:val="28"/>
          <w:szCs w:val="28"/>
        </w:rPr>
        <w:lastRenderedPageBreak/>
        <w:t>资格。</w:t>
      </w:r>
    </w:p>
    <w:p w14:paraId="1862272D"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（2）参赛选手需持统一印制的参赛证、有效身份证件、学生证参加竞赛。</w:t>
      </w:r>
    </w:p>
    <w:p w14:paraId="088595EF"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（3）参加选手应认真学习领会本次竞赛相关文件，自觉遵守大赛纪律，服从指挥，听从安排，文明参赛。</w:t>
      </w:r>
    </w:p>
    <w:p w14:paraId="07D5A83A"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（4）参加选手请勿携带任何电子设备及其他资料、用品进入赛场。</w:t>
      </w:r>
    </w:p>
    <w:p w14:paraId="2AA3679A"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（5）参赛选手应按照规定时间抵达赛场，凭参赛证、身份证件检录，按要求入场，不得迟到早退。</w:t>
      </w:r>
    </w:p>
    <w:p w14:paraId="59CA5111"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（6）参赛选手应增强角色意识，科学合理分工与合作。</w:t>
      </w:r>
    </w:p>
    <w:p w14:paraId="4194D603"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（7）参赛选手应按有关要求在指定位置就坐。</w:t>
      </w:r>
    </w:p>
    <w:p w14:paraId="05E30CF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（8）参赛选手须在确认竞赛内容和现场设备等无误后开始竞赛。在竞赛过程中，确因计算机软件或硬件故障，致使操作无法继续的，经项目裁判长确认，予以启用备用计算机。</w:t>
      </w:r>
    </w:p>
    <w:p w14:paraId="7274BAA3"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（9）各参赛选手必须按规范要求操作竞赛设备。一旦出现较严重的安全事故，经总裁判长批准后将立即取消其参赛资格。</w:t>
      </w:r>
    </w:p>
    <w:p w14:paraId="032902CB"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（10）参赛选手需详细阅读赛题中竞赛文档命名的要求，不得在提交的竞赛文档中标识出任何关于参赛选手地名、校名、姓名、参赛编号等信息，否则取消竞赛成绩。</w:t>
      </w:r>
    </w:p>
    <w:p w14:paraId="575CD7B9"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（11）竞赛时间终了，选手应全体起立，结束操作。</w:t>
      </w:r>
    </w:p>
    <w:p w14:paraId="1FCCB3F8"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（12）在竞赛期间，未经执委会批准，参赛选手不得接受其他单位和个人进行的与竞赛内容相关的采访。参赛选手不得将竞赛的相关信息私自公布。</w:t>
      </w:r>
    </w:p>
    <w:p w14:paraId="0B2100D2"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4.工作人员须知</w:t>
      </w:r>
    </w:p>
    <w:p w14:paraId="0C2935F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lastRenderedPageBreak/>
        <w:t>（1）树立服务观念，一切为选手着想，以高度负责的精神、严肃认真的态度和严谨细致的作风，在赛项执委会的领导下，按照各自职责分工和要求认真做好岗位工作。</w:t>
      </w:r>
    </w:p>
    <w:p w14:paraId="2407BE4A"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（2）所有工作人员必须佩带证件，忠于职守，秉公办理，保守秘密。</w:t>
      </w:r>
    </w:p>
    <w:p w14:paraId="581BDEE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（3）注意文明礼貌，保持良好形象，熟悉赛项指南。</w:t>
      </w:r>
    </w:p>
    <w:p w14:paraId="4042D201"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（4）自觉遵守赛项纪律和规则，服从调配和分工，确保竞赛工作的顺利进行。</w:t>
      </w:r>
    </w:p>
    <w:p w14:paraId="5E7F4FE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（5）提前30分钟到达赛场，严守工作岗位，不迟到，不早退，不得无故离岗，特殊情况需向工作组组长请假。</w:t>
      </w:r>
    </w:p>
    <w:p w14:paraId="5528F4BC"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（6）熟悉竞赛规程，严格按照工作程序和有关规定办事，遇突发事件，按照应急预案，组织指挥人员疏散，确保人员安全。</w:t>
      </w:r>
    </w:p>
    <w:p w14:paraId="1F41A365" w14:textId="77777777" w:rsidR="0055088D" w:rsidRDefault="00405ABE">
      <w:pPr>
        <w:adjustRightInd w:val="0"/>
        <w:snapToGrid w:val="0"/>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（7）工作人员在竞赛中若有舞弊行为，立即撤销其工作资格，并严肃处理。</w:t>
      </w:r>
    </w:p>
    <w:p w14:paraId="34261E07" w14:textId="77777777" w:rsidR="0055088D" w:rsidRDefault="00405ABE">
      <w:pPr>
        <w:adjustRightInd w:val="0"/>
        <w:snapToGrid w:val="0"/>
        <w:spacing w:line="560" w:lineRule="exact"/>
        <w:ind w:firstLineChars="200" w:firstLine="560"/>
      </w:pPr>
      <w:r>
        <w:rPr>
          <w:rFonts w:ascii="仿宋" w:eastAsia="仿宋" w:hAnsi="仿宋" w:hint="eastAsia"/>
          <w:color w:val="000000"/>
          <w:sz w:val="28"/>
          <w:szCs w:val="28"/>
        </w:rPr>
        <w:t>（8）保持通讯畅通，服从统一领导，严格遵守竞赛纪律，加强协作配合，提高工作效率。</w:t>
      </w:r>
      <w:bookmarkEnd w:id="1"/>
      <w:bookmarkEnd w:id="2"/>
      <w:bookmarkEnd w:id="3"/>
      <w:bookmarkEnd w:id="4"/>
      <w:bookmarkEnd w:id="5"/>
    </w:p>
    <w:sectPr w:rsidR="0055088D">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1C494" w14:textId="77777777" w:rsidR="00D31F39" w:rsidRDefault="00D31F39">
      <w:r>
        <w:separator/>
      </w:r>
    </w:p>
  </w:endnote>
  <w:endnote w:type="continuationSeparator" w:id="0">
    <w:p w14:paraId="7EA76B88" w14:textId="77777777" w:rsidR="00D31F39" w:rsidRDefault="00D31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方正小标宋_GBK">
    <w:charset w:val="86"/>
    <w:family w:val="auto"/>
    <w:pitch w:val="default"/>
    <w:sig w:usb0="A00002BF" w:usb1="38CF7CFA" w:usb2="00082016" w:usb3="00000000" w:csb0="00040001" w:csb1="00000000"/>
    <w:embedRegular r:id="rId1" w:subsetted="1" w:fontKey="{654C09BE-714E-4987-8CD5-13A7294B10C2}"/>
  </w:font>
  <w:font w:name="黑体">
    <w:altName w:val="SimHei"/>
    <w:panose1 w:val="02010609060101010101"/>
    <w:charset w:val="86"/>
    <w:family w:val="modern"/>
    <w:pitch w:val="fixed"/>
    <w:sig w:usb0="800002BF" w:usb1="38CF7CFA" w:usb2="00000016" w:usb3="00000000" w:csb0="00040001" w:csb1="00000000"/>
    <w:embedRegular r:id="rId2" w:subsetted="1" w:fontKey="{04868318-069F-40EB-8D5F-89BEFF601AFE}"/>
  </w:font>
  <w:font w:name="仿宋">
    <w:panose1 w:val="02010609060101010101"/>
    <w:charset w:val="86"/>
    <w:family w:val="modern"/>
    <w:pitch w:val="fixed"/>
    <w:sig w:usb0="800002BF" w:usb1="38CF7CFA" w:usb2="00000016" w:usb3="00000000" w:csb0="00040001" w:csb1="00000000"/>
    <w:embedRegular r:id="rId3" w:subsetted="1" w:fontKey="{9C3D52DC-E299-4BB7-B1FA-B75832DD14E9}"/>
    <w:embedBold r:id="rId4" w:subsetted="1" w:fontKey="{A66F2E07-CF29-4285-B969-F9753AD7A954}"/>
  </w:font>
  <w:font w:name="Segoe UI">
    <w:panose1 w:val="020B0502040204020203"/>
    <w:charset w:val="00"/>
    <w:family w:val="swiss"/>
    <w:pitch w:val="variable"/>
    <w:sig w:usb0="E4002EFF" w:usb1="C000E47F" w:usb2="00000009" w:usb3="00000000" w:csb0="000001FF" w:csb1="00000000"/>
    <w:embedRegular r:id="rId5" w:subsetted="1" w:fontKey="{59B27164-AA75-4A76-9EF2-6E225D8838F5}"/>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2448D" w14:textId="77777777" w:rsidR="0055088D" w:rsidRDefault="00405ABE">
    <w:pPr>
      <w:pStyle w:val="a6"/>
    </w:pPr>
    <w:r>
      <w:rPr>
        <w:noProof/>
      </w:rPr>
      <mc:AlternateContent>
        <mc:Choice Requires="wps">
          <w:drawing>
            <wp:anchor distT="0" distB="0" distL="114300" distR="114300" simplePos="0" relativeHeight="251659264" behindDoc="0" locked="0" layoutInCell="1" allowOverlap="1" wp14:anchorId="2E2C817A" wp14:editId="7C6FDF76">
              <wp:simplePos x="0" y="0"/>
              <wp:positionH relativeFrom="margin">
                <wp:align>center</wp:align>
              </wp:positionH>
              <wp:positionV relativeFrom="paragraph">
                <wp:posOffset>0</wp:posOffset>
              </wp:positionV>
              <wp:extent cx="57785" cy="131445"/>
              <wp:effectExtent l="0" t="0" r="0" b="0"/>
              <wp:wrapNone/>
              <wp:docPr id="347934309"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6ADCB045" w14:textId="77777777" w:rsidR="0055088D" w:rsidRDefault="00405ABE">
                          <w:pPr>
                            <w:pStyle w:val="a6"/>
                          </w:pPr>
                          <w:r>
                            <w:fldChar w:fldCharType="begin"/>
                          </w:r>
                          <w:r>
                            <w:instrText xml:space="preserve"> PAGE  \* MERGEFORMAT </w:instrText>
                          </w:r>
                          <w:r>
                            <w:fldChar w:fldCharType="separate"/>
                          </w:r>
                          <w:r>
                            <w:t>17</w:t>
                          </w:r>
                          <w:r>
                            <w:fldChar w:fldCharType="end"/>
                          </w:r>
                        </w:p>
                      </w:txbxContent>
                    </wps:txbx>
                    <wps:bodyPr rot="0" vert="horz" wrap="none" lIns="0" tIns="0" rIns="0" bIns="0" anchor="t" anchorCtr="0" upright="1">
                      <a:spAutoFit/>
                    </wps:bodyPr>
                  </wps:wsp>
                </a:graphicData>
              </a:graphic>
            </wp:anchor>
          </w:drawing>
        </mc:Choice>
        <mc:Fallback xmlns:wpsCustomData="http://www.wps.cn/officeDocument/2013/wpsCustomData">
          <w:pict>
            <v:shape id="Text Box 1025"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L3UTQAAAAAgEAAA8AAAAAAAAAAQAgAAAAIgAAAGRycy9kb3ducmV2&#10;LnhtbFBLAQIUABQAAAAIAIdO4kCHo1V4BAIAAAsEAAAOAAAAAAAAAAEAIAAAAB8BAABkcnMvZTJv&#10;RG9jLnhtbFBLBQYAAAAABgAGAFkBAACVBQAAAAA=&#10;">
              <v:fill on="f" focussize="0,0"/>
              <v:stroke on="f"/>
              <v:imagedata o:title=""/>
              <o:lock v:ext="edit" aspectratio="f"/>
              <v:textbox inset="0mm,0mm,0mm,0mm" style="mso-fit-shape-to-text:t;">
                <w:txbxContent>
                  <w:p w14:paraId="04E9965A">
                    <w:pPr>
                      <w:pStyle w:val="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D3AEF" w14:textId="77777777" w:rsidR="00D31F39" w:rsidRDefault="00D31F39">
      <w:r>
        <w:separator/>
      </w:r>
    </w:p>
  </w:footnote>
  <w:footnote w:type="continuationSeparator" w:id="0">
    <w:p w14:paraId="0D423A18" w14:textId="77777777" w:rsidR="00D31F39" w:rsidRDefault="00D31F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EF9459"/>
    <w:multiLevelType w:val="singleLevel"/>
    <w:tmpl w:val="BEEF9459"/>
    <w:lvl w:ilvl="0">
      <w:start w:val="7"/>
      <w:numFmt w:val="decimal"/>
      <w:suff w:val="nothing"/>
      <w:lvlText w:val="（%1）"/>
      <w:lvlJc w:val="left"/>
    </w:lvl>
  </w:abstractNum>
  <w:abstractNum w:abstractNumId="1" w15:restartNumberingAfterBreak="0">
    <w:nsid w:val="E2754247"/>
    <w:multiLevelType w:val="singleLevel"/>
    <w:tmpl w:val="E2754247"/>
    <w:lvl w:ilvl="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TrueTypeFonts/>
  <w:saveSubset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A2MjM1NDc1YzQwMjczZDAzMTc3YWJjMmYzNWY4MGQifQ=="/>
  </w:docVars>
  <w:rsids>
    <w:rsidRoot w:val="007375AC"/>
    <w:rsid w:val="00014B9C"/>
    <w:rsid w:val="00192E43"/>
    <w:rsid w:val="00196C6B"/>
    <w:rsid w:val="002060C0"/>
    <w:rsid w:val="00222843"/>
    <w:rsid w:val="00405ABE"/>
    <w:rsid w:val="004646DC"/>
    <w:rsid w:val="00486E52"/>
    <w:rsid w:val="004A7804"/>
    <w:rsid w:val="0055088D"/>
    <w:rsid w:val="00575E23"/>
    <w:rsid w:val="00591EB9"/>
    <w:rsid w:val="00593D6B"/>
    <w:rsid w:val="005B52F7"/>
    <w:rsid w:val="0060429B"/>
    <w:rsid w:val="00641033"/>
    <w:rsid w:val="006727AE"/>
    <w:rsid w:val="00674753"/>
    <w:rsid w:val="006A7139"/>
    <w:rsid w:val="006B1872"/>
    <w:rsid w:val="006F2552"/>
    <w:rsid w:val="00721CA5"/>
    <w:rsid w:val="007375AC"/>
    <w:rsid w:val="00742BC5"/>
    <w:rsid w:val="00743188"/>
    <w:rsid w:val="007540BA"/>
    <w:rsid w:val="00794860"/>
    <w:rsid w:val="007B75DA"/>
    <w:rsid w:val="007D2173"/>
    <w:rsid w:val="00805996"/>
    <w:rsid w:val="00812251"/>
    <w:rsid w:val="0083092E"/>
    <w:rsid w:val="00846344"/>
    <w:rsid w:val="008903FB"/>
    <w:rsid w:val="008B67D0"/>
    <w:rsid w:val="008D2B82"/>
    <w:rsid w:val="008E7EB5"/>
    <w:rsid w:val="00937521"/>
    <w:rsid w:val="00951AF0"/>
    <w:rsid w:val="009C1DA3"/>
    <w:rsid w:val="009E1E77"/>
    <w:rsid w:val="00A469DD"/>
    <w:rsid w:val="00A5543F"/>
    <w:rsid w:val="00C13DAB"/>
    <w:rsid w:val="00C67BFB"/>
    <w:rsid w:val="00CA4263"/>
    <w:rsid w:val="00CD2F50"/>
    <w:rsid w:val="00D31F39"/>
    <w:rsid w:val="00D447D1"/>
    <w:rsid w:val="00D86218"/>
    <w:rsid w:val="00DF02E6"/>
    <w:rsid w:val="00E36614"/>
    <w:rsid w:val="00E51B44"/>
    <w:rsid w:val="00E5740B"/>
    <w:rsid w:val="00E92DF1"/>
    <w:rsid w:val="00EF1B9D"/>
    <w:rsid w:val="00FD39A5"/>
    <w:rsid w:val="02B811DD"/>
    <w:rsid w:val="050F6A1B"/>
    <w:rsid w:val="05A957CD"/>
    <w:rsid w:val="05D1471C"/>
    <w:rsid w:val="069B6EEA"/>
    <w:rsid w:val="078D330D"/>
    <w:rsid w:val="08792EF6"/>
    <w:rsid w:val="0917656F"/>
    <w:rsid w:val="095F3199"/>
    <w:rsid w:val="0A1357D3"/>
    <w:rsid w:val="0B3362C6"/>
    <w:rsid w:val="0CE04884"/>
    <w:rsid w:val="0D84766A"/>
    <w:rsid w:val="0EE379BA"/>
    <w:rsid w:val="116A7C1C"/>
    <w:rsid w:val="11B76268"/>
    <w:rsid w:val="12E34F1A"/>
    <w:rsid w:val="180A4E2F"/>
    <w:rsid w:val="18811EFC"/>
    <w:rsid w:val="1A4A0192"/>
    <w:rsid w:val="1AB84DFF"/>
    <w:rsid w:val="1ABE22CB"/>
    <w:rsid w:val="1BB43819"/>
    <w:rsid w:val="1BFB3B62"/>
    <w:rsid w:val="1E041209"/>
    <w:rsid w:val="1E1D5A5B"/>
    <w:rsid w:val="2203629B"/>
    <w:rsid w:val="22AD085E"/>
    <w:rsid w:val="23944CD4"/>
    <w:rsid w:val="23B609C0"/>
    <w:rsid w:val="2420068E"/>
    <w:rsid w:val="2670658E"/>
    <w:rsid w:val="274F3D93"/>
    <w:rsid w:val="27F66E2D"/>
    <w:rsid w:val="29700F5B"/>
    <w:rsid w:val="29B36EBE"/>
    <w:rsid w:val="29CD16D5"/>
    <w:rsid w:val="2A844458"/>
    <w:rsid w:val="2AE869A7"/>
    <w:rsid w:val="2CF22582"/>
    <w:rsid w:val="2D151EBE"/>
    <w:rsid w:val="2D4F1A56"/>
    <w:rsid w:val="2DA46DB0"/>
    <w:rsid w:val="2DBA109D"/>
    <w:rsid w:val="2DF720F6"/>
    <w:rsid w:val="2FCB323B"/>
    <w:rsid w:val="30490208"/>
    <w:rsid w:val="30A26617"/>
    <w:rsid w:val="312071B2"/>
    <w:rsid w:val="33934FE4"/>
    <w:rsid w:val="33F23E05"/>
    <w:rsid w:val="35E47D8D"/>
    <w:rsid w:val="384B6116"/>
    <w:rsid w:val="385B6FD2"/>
    <w:rsid w:val="3CA26EAF"/>
    <w:rsid w:val="3E8352F2"/>
    <w:rsid w:val="3EBC1AAC"/>
    <w:rsid w:val="3F7824A8"/>
    <w:rsid w:val="40AA5BFF"/>
    <w:rsid w:val="40B732E0"/>
    <w:rsid w:val="421D3616"/>
    <w:rsid w:val="446C1E10"/>
    <w:rsid w:val="449B599A"/>
    <w:rsid w:val="451243C3"/>
    <w:rsid w:val="464649F8"/>
    <w:rsid w:val="48416D17"/>
    <w:rsid w:val="484459AF"/>
    <w:rsid w:val="4ADA0FDC"/>
    <w:rsid w:val="4BE62CCB"/>
    <w:rsid w:val="4CA77F9D"/>
    <w:rsid w:val="4CB976CC"/>
    <w:rsid w:val="4CDF2E8A"/>
    <w:rsid w:val="4D81379B"/>
    <w:rsid w:val="4E55643D"/>
    <w:rsid w:val="4ECC32FB"/>
    <w:rsid w:val="4F5F6B09"/>
    <w:rsid w:val="4FD36336"/>
    <w:rsid w:val="551D485B"/>
    <w:rsid w:val="565847C5"/>
    <w:rsid w:val="57A23F4A"/>
    <w:rsid w:val="57EA78B2"/>
    <w:rsid w:val="587734FC"/>
    <w:rsid w:val="59B7695C"/>
    <w:rsid w:val="59BC46C1"/>
    <w:rsid w:val="5A305967"/>
    <w:rsid w:val="5AC42872"/>
    <w:rsid w:val="5B0204E0"/>
    <w:rsid w:val="5C361105"/>
    <w:rsid w:val="5C555203"/>
    <w:rsid w:val="5EEE213C"/>
    <w:rsid w:val="6038094B"/>
    <w:rsid w:val="640115C4"/>
    <w:rsid w:val="64086AC7"/>
    <w:rsid w:val="640B10C9"/>
    <w:rsid w:val="6557657C"/>
    <w:rsid w:val="6576253C"/>
    <w:rsid w:val="675E1DC3"/>
    <w:rsid w:val="68A044D6"/>
    <w:rsid w:val="68EF720B"/>
    <w:rsid w:val="69966CB4"/>
    <w:rsid w:val="6A2D3FCC"/>
    <w:rsid w:val="6AF67FAD"/>
    <w:rsid w:val="6B4A2513"/>
    <w:rsid w:val="6C24561D"/>
    <w:rsid w:val="72644F15"/>
    <w:rsid w:val="738C4A46"/>
    <w:rsid w:val="74B10D53"/>
    <w:rsid w:val="75062D05"/>
    <w:rsid w:val="75371BE9"/>
    <w:rsid w:val="76AE0F04"/>
    <w:rsid w:val="79C845F2"/>
    <w:rsid w:val="7BCB1412"/>
    <w:rsid w:val="7BD75E7C"/>
    <w:rsid w:val="7CFE7FA7"/>
    <w:rsid w:val="7D31397B"/>
    <w:rsid w:val="7DCD03B8"/>
    <w:rsid w:val="7E235FB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576A1"/>
  <w15:docId w15:val="{2BCA6D95-7B0A-4599-BAE1-85C62760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qFormat/>
    <w:pPr>
      <w:jc w:val="left"/>
    </w:pPr>
    <w:rPr>
      <w:sz w:val="22"/>
    </w:rPr>
  </w:style>
  <w:style w:type="paragraph" w:styleId="a5">
    <w:name w:val="Body Text"/>
    <w:basedOn w:val="a"/>
    <w:qFormat/>
    <w:pPr>
      <w:spacing w:after="120"/>
    </w:pPr>
  </w:style>
  <w:style w:type="paragraph" w:styleId="a6">
    <w:name w:val="footer"/>
    <w:basedOn w:val="a"/>
    <w:autoRedefine/>
    <w:uiPriority w:val="99"/>
    <w:unhideWhenUsed/>
    <w:qFormat/>
    <w:pPr>
      <w:tabs>
        <w:tab w:val="center" w:pos="4153"/>
        <w:tab w:val="right" w:pos="8306"/>
      </w:tabs>
      <w:snapToGrid w:val="0"/>
      <w:jc w:val="left"/>
    </w:pPr>
    <w:rPr>
      <w:sz w:val="18"/>
    </w:rPr>
  </w:style>
  <w:style w:type="paragraph" w:styleId="a7">
    <w:name w:val="header"/>
    <w:basedOn w:val="a"/>
    <w:autoRedefine/>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8">
    <w:name w:val="Strong"/>
    <w:basedOn w:val="a0"/>
    <w:uiPriority w:val="22"/>
    <w:qFormat/>
    <w:rPr>
      <w:b/>
    </w:rPr>
  </w:style>
  <w:style w:type="paragraph" w:styleId="a9">
    <w:name w:val="List Paragraph"/>
    <w:basedOn w:val="a"/>
    <w:autoRedefine/>
    <w:uiPriority w:val="99"/>
    <w:qFormat/>
    <w:pPr>
      <w:ind w:firstLineChars="200" w:firstLine="420"/>
    </w:pPr>
  </w:style>
  <w:style w:type="character" w:customStyle="1" w:styleId="a4">
    <w:name w:val="批注文字 字符"/>
    <w:basedOn w:val="a0"/>
    <w:link w:val="a3"/>
    <w:autoRedefine/>
    <w:uiPriority w:val="99"/>
    <w:qFormat/>
    <w:rPr>
      <w:rFonts w:ascii="Times New Roman" w:eastAsia="宋体" w:hAnsi="Times New Roman" w:cs="Times New Roman"/>
      <w:sz w:val="22"/>
      <w:szCs w:val="24"/>
    </w:rPr>
  </w:style>
  <w:style w:type="paragraph" w:customStyle="1" w:styleId="5-">
    <w:name w:val="5-内文"/>
    <w:basedOn w:val="a"/>
    <w:autoRedefine/>
    <w:uiPriority w:val="99"/>
    <w:qFormat/>
    <w:pPr>
      <w:spacing w:beforeLines="25" w:afterLines="25" w:line="300" w:lineRule="auto"/>
      <w:ind w:firstLineChars="200" w:firstLine="200"/>
    </w:pPr>
    <w:rPr>
      <w:rFonts w:eastAsia="仿宋_GB2312"/>
      <w:kern w:val="0"/>
      <w:sz w:val="28"/>
      <w:szCs w:val="20"/>
    </w:rPr>
  </w:style>
  <w:style w:type="paragraph" w:customStyle="1" w:styleId="TableText">
    <w:name w:val="Table Text"/>
    <w:basedOn w:val="a"/>
    <w:semiHidden/>
    <w:qFormat/>
    <w:rPr>
      <w:rFonts w:ascii="宋体" w:hAnsi="宋体" w:cs="宋体"/>
      <w:sz w:val="24"/>
    </w:r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1650</Words>
  <Characters>9406</Characters>
  <Application>Microsoft Office Word</Application>
  <DocSecurity>0</DocSecurity>
  <Lines>78</Lines>
  <Paragraphs>22</Paragraphs>
  <ScaleCrop>false</ScaleCrop>
  <Company/>
  <LinksUpToDate>false</LinksUpToDate>
  <CharactersWithSpaces>11034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ygx</dc:creator>
  <cp:lastModifiedBy>Administrator</cp:lastModifiedBy>
  <cp:revision>25</cp:revision>
  <cp:lastPrinted>2021-04-08T08:49:00Z</cp:lastPrinted>
  <dcterms:created xsi:type="dcterms:W3CDTF">2025-11-10T06:17:00Z</dcterms:created>
  <dcterms:modified xsi:type="dcterms:W3CDTF">2025-11-18T04:19:00Z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9624DE060F9541358AA52E41978C73DF_13</vt:lpwstr>
  </property>
  <property fmtid="{D5CDD505-2E9C-101B-9397-08002B2CF9AE}" pid="4" name="KSOTemplateDocerSaveRecord">
    <vt:lpwstr>eyJoZGlkIjoiMzBkNmYwN2RiMzhhMzRiYjYyNmUzMTZmZGRmOTFmMjAiLCJ1c2VySWQiOiIyNjE5MzYxODgifQ==</vt:lpwstr>
  </property>
</Properties>
</file>