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jc w:val="center"/>
        <w:outlineLvl w:val="0"/>
        <w:rPr>
          <w:rFonts w:ascii="Arial Narrow" w:hAnsi="Arial Narrow" w:eastAsia="黑体"/>
          <w:b/>
          <w:sz w:val="36"/>
          <w:szCs w:val="36"/>
        </w:rPr>
      </w:pPr>
      <w:r>
        <w:rPr>
          <w:rFonts w:hint="eastAsia" w:ascii="黑体" w:hAnsi="黑体" w:eastAsia="黑体" w:cs="OEEEEV+FZHTJW--GB1-0"/>
          <w:b/>
          <w:color w:val="211D1E"/>
          <w:sz w:val="36"/>
          <w:szCs w:val="36"/>
        </w:rPr>
        <w:t>201</w:t>
      </w:r>
      <w:r>
        <w:rPr>
          <w:rFonts w:ascii="黑体" w:hAnsi="黑体" w:eastAsia="黑体" w:cs="OEEEEV+FZHTJW--GB1-0"/>
          <w:b/>
          <w:color w:val="211D1E"/>
          <w:sz w:val="36"/>
          <w:szCs w:val="36"/>
        </w:rPr>
        <w:t>9</w:t>
      </w:r>
      <w:r>
        <w:rPr>
          <w:rFonts w:hint="eastAsia" w:ascii="黑体" w:hAnsi="黑体" w:eastAsia="黑体" w:cs="OEEEEV+FZHTJW--GB1-0"/>
          <w:b/>
          <w:color w:val="211D1E"/>
          <w:sz w:val="36"/>
          <w:szCs w:val="36"/>
        </w:rPr>
        <w:t>年海南省职业院校技能大赛暨全国职业院校</w:t>
      </w:r>
      <w:r>
        <w:rPr>
          <w:rFonts w:hint="eastAsia" w:ascii="黑体" w:hAnsi="黑体" w:eastAsia="黑体" w:cs="OEEEEV+FZHTJW--GB1-0"/>
          <w:b/>
          <w:color w:val="211D1E"/>
          <w:sz w:val="36"/>
          <w:szCs w:val="36"/>
          <w:lang w:eastAsia="zh-CN"/>
        </w:rPr>
        <w:t>（</w:t>
      </w:r>
      <w:r>
        <w:rPr>
          <w:rFonts w:hint="eastAsia" w:ascii="黑体" w:hAnsi="黑体" w:eastAsia="黑体" w:cs="OEEEEV+FZHTJW--GB1-0"/>
          <w:b/>
          <w:color w:val="211D1E"/>
          <w:sz w:val="36"/>
          <w:szCs w:val="36"/>
          <w:lang w:val="en-US" w:eastAsia="zh-CN"/>
        </w:rPr>
        <w:t>高职组）</w:t>
      </w:r>
      <w:r>
        <w:rPr>
          <w:rFonts w:hint="eastAsia" w:ascii="黑体" w:hAnsi="黑体" w:eastAsia="黑体" w:cs="OEEEEV+FZHTJW--GB1-0"/>
          <w:b/>
          <w:color w:val="211D1E"/>
          <w:sz w:val="36"/>
          <w:szCs w:val="36"/>
        </w:rPr>
        <w:t>技能大赛选拔赛</w:t>
      </w:r>
      <w:r>
        <w:rPr>
          <w:rFonts w:hint="eastAsia" w:ascii="Arial Narrow" w:hAnsi="黑体" w:eastAsia="黑体" w:cs="宋体"/>
          <w:b/>
          <w:sz w:val="36"/>
          <w:szCs w:val="36"/>
        </w:rPr>
        <w:t>“电子商务”赛项规程</w:t>
      </w:r>
    </w:p>
    <w:p>
      <w:pPr>
        <w:spacing w:line="360" w:lineRule="auto"/>
        <w:ind w:firstLine="200"/>
        <w:rPr>
          <w:rFonts w:ascii="Arial Narrow" w:hAnsi="Arial Narrow" w:eastAsia="仿宋_GB2312"/>
          <w:sz w:val="30"/>
          <w:szCs w:val="30"/>
        </w:rPr>
      </w:pP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一、赛项名称</w:t>
      </w:r>
    </w:p>
    <w:p>
      <w:pPr>
        <w:spacing w:line="560" w:lineRule="exact"/>
        <w:ind w:firstLine="543" w:firstLineChars="194"/>
        <w:rPr>
          <w:rFonts w:ascii="Arial Narrow" w:hAnsi="Arial Narrow" w:eastAsia="仿宋_GB2312" w:cs="宋体"/>
          <w:sz w:val="28"/>
          <w:szCs w:val="28"/>
          <w:u w:val="single"/>
        </w:rPr>
      </w:pPr>
      <w:r>
        <w:rPr>
          <w:rFonts w:hint="eastAsia" w:ascii="Arial Narrow" w:hAnsi="Arial Narrow" w:eastAsia="仿宋_GB2312" w:cs="宋体"/>
          <w:sz w:val="28"/>
          <w:szCs w:val="28"/>
        </w:rPr>
        <w:t>赛项名称：电子商务技能</w:t>
      </w:r>
    </w:p>
    <w:p>
      <w:pPr>
        <w:spacing w:line="560" w:lineRule="exact"/>
        <w:ind w:firstLine="543" w:firstLineChars="194"/>
        <w:rPr>
          <w:rFonts w:ascii="Arial Narrow" w:hAnsi="Arial Narrow" w:eastAsia="仿宋_GB2312" w:cs="宋体"/>
          <w:sz w:val="28"/>
          <w:szCs w:val="28"/>
          <w:u w:val="single"/>
        </w:rPr>
      </w:pPr>
      <w:r>
        <w:rPr>
          <w:rFonts w:hint="eastAsia" w:ascii="Arial Narrow" w:hAnsi="Arial Narrow" w:eastAsia="仿宋_GB2312" w:cs="宋体"/>
          <w:sz w:val="28"/>
          <w:szCs w:val="28"/>
        </w:rPr>
        <w:t>英文名称：</w:t>
      </w:r>
      <w:r>
        <w:rPr>
          <w:rFonts w:hint="eastAsia" w:ascii="仿宋_GB2312" w:hAnsi="仿宋" w:eastAsia="仿宋_GB2312" w:cs="仿宋"/>
          <w:kern w:val="0"/>
          <w:sz w:val="28"/>
          <w:szCs w:val="28"/>
        </w:rPr>
        <w:t>E</w:t>
      </w:r>
      <w:r>
        <w:rPr>
          <w:rFonts w:ascii="仿宋_GB2312" w:hAnsi="仿宋" w:eastAsia="仿宋_GB2312" w:cs="仿宋"/>
          <w:kern w:val="0"/>
          <w:sz w:val="28"/>
          <w:szCs w:val="28"/>
        </w:rPr>
        <w:t>-</w:t>
      </w:r>
      <w:r>
        <w:rPr>
          <w:rFonts w:hint="eastAsia" w:ascii="仿宋_GB2312" w:hAnsi="仿宋" w:eastAsia="仿宋_GB2312" w:cs="仿宋"/>
          <w:kern w:val="0"/>
          <w:sz w:val="28"/>
          <w:szCs w:val="28"/>
        </w:rPr>
        <w:t>Commerce Skills</w:t>
      </w:r>
    </w:p>
    <w:p>
      <w:pPr>
        <w:spacing w:line="560" w:lineRule="exact"/>
        <w:ind w:firstLine="543" w:firstLineChars="194"/>
        <w:rPr>
          <w:rFonts w:ascii="Arial Narrow" w:hAnsi="Arial Narrow" w:eastAsia="仿宋_GB2312" w:cs="宋体"/>
          <w:sz w:val="28"/>
          <w:szCs w:val="28"/>
        </w:rPr>
      </w:pPr>
      <w:r>
        <w:rPr>
          <w:rFonts w:hint="eastAsia" w:ascii="Arial Narrow" w:hAnsi="Arial Narrow" w:eastAsia="仿宋_GB2312" w:cs="宋体"/>
          <w:sz w:val="28"/>
          <w:szCs w:val="28"/>
        </w:rPr>
        <w:t>赛项组别：高职</w:t>
      </w:r>
    </w:p>
    <w:p>
      <w:pPr>
        <w:spacing w:line="560" w:lineRule="exact"/>
        <w:ind w:firstLine="543" w:firstLineChars="194"/>
        <w:rPr>
          <w:rFonts w:ascii="Arial Narrow" w:hAnsi="Arial Narrow" w:eastAsia="仿宋_GB2312" w:cs="宋体"/>
          <w:sz w:val="28"/>
          <w:szCs w:val="28"/>
          <w:u w:val="single"/>
        </w:rPr>
      </w:pPr>
      <w:r>
        <w:rPr>
          <w:rFonts w:hint="eastAsia" w:ascii="Arial Narrow" w:hAnsi="Arial Narrow" w:eastAsia="仿宋_GB2312" w:cs="宋体"/>
          <w:sz w:val="28"/>
          <w:szCs w:val="28"/>
        </w:rPr>
        <w:t>赛项归属：财经商贸大类</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二、竞赛目的</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赛项对接产业前沿技术，促进大数据技术和移动商务技术在高职电子商务专业中的教学应用，引领职业院校专业建设与课程改革，引入行业标准，促进产教融合、校企合作。通过竞赛，考察参赛选手职业道德、职业素养、技术技能水平和创业能力，展示职业教育改革成果，全面提升教学质量，推动电子商务从业人员整体水平的提升，激发大学生电子商务创业热情，推动“大众创业、万众创新”在高等职业教育中落地实施。</w:t>
      </w:r>
    </w:p>
    <w:p>
      <w:pPr>
        <w:spacing w:line="560" w:lineRule="atLeas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三、竞赛内容</w:t>
      </w:r>
    </w:p>
    <w:p>
      <w:pPr>
        <w:spacing w:line="560" w:lineRule="atLeas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本赛项以网店开设装修、运营推广、客户服务等关键任务完成质量以及选手职业素养作为竞赛内容,全面考察选手的数据分析能力、视觉营销能力、营销策划能力、网络营销能力、客户服务能力、网店运营能力、商品整合能力和团队合作能力。</w:t>
      </w:r>
    </w:p>
    <w:p>
      <w:pPr>
        <w:pStyle w:val="3"/>
        <w:spacing w:line="560" w:lineRule="exact"/>
        <w:ind w:firstLine="482" w:firstLineChars="200"/>
        <w:jc w:val="center"/>
        <w:rPr>
          <w:rFonts w:ascii="仿宋_GB2312" w:hAnsi="仿宋" w:eastAsia="仿宋_GB2312"/>
          <w:b/>
          <w:sz w:val="24"/>
        </w:rPr>
      </w:pPr>
      <w:r>
        <w:rPr>
          <w:rFonts w:hint="eastAsia" w:ascii="仿宋_GB2312" w:hAnsi="仿宋" w:eastAsia="仿宋_GB2312"/>
          <w:b/>
          <w:sz w:val="24"/>
        </w:rPr>
        <w:t>表1 竞赛内容与岗位、知识、技能</w:t>
      </w:r>
    </w:p>
    <w:tbl>
      <w:tblPr>
        <w:tblStyle w:val="7"/>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6"/>
        <w:gridCol w:w="1701"/>
        <w:gridCol w:w="2393"/>
        <w:gridCol w:w="2126"/>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26" w:type="dxa"/>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竞赛内容</w:t>
            </w:r>
          </w:p>
        </w:tc>
        <w:tc>
          <w:tcPr>
            <w:tcW w:w="1701" w:type="dxa"/>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岗位</w:t>
            </w:r>
          </w:p>
        </w:tc>
        <w:tc>
          <w:tcPr>
            <w:tcW w:w="2393" w:type="dxa"/>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知识</w:t>
            </w:r>
          </w:p>
        </w:tc>
        <w:tc>
          <w:tcPr>
            <w:tcW w:w="2835" w:type="dxa"/>
            <w:gridSpan w:val="2"/>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26"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开设装修</w:t>
            </w:r>
          </w:p>
        </w:tc>
        <w:tc>
          <w:tcPr>
            <w:tcW w:w="1701"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网络编辑</w:t>
            </w:r>
          </w:p>
          <w:p>
            <w:pPr>
              <w:jc w:val="left"/>
              <w:rPr>
                <w:rFonts w:ascii="仿宋_GB2312" w:hAnsi="宋体" w:eastAsia="仿宋_GB2312"/>
                <w:color w:val="000000"/>
                <w:sz w:val="24"/>
              </w:rPr>
            </w:pPr>
            <w:r>
              <w:rPr>
                <w:rFonts w:hint="eastAsia" w:ascii="仿宋_GB2312" w:hAnsi="宋体" w:eastAsia="仿宋_GB2312"/>
                <w:color w:val="000000"/>
                <w:sz w:val="24"/>
              </w:rPr>
              <w:t>网店美工</w:t>
            </w:r>
          </w:p>
        </w:tc>
        <w:tc>
          <w:tcPr>
            <w:tcW w:w="2393"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网店知识包含PC店铺、跨境店铺和移动店铺开设流程与规范，商品知识包括商品属性、展示方式、信息采集，美术、网页知识。</w:t>
            </w:r>
          </w:p>
        </w:tc>
        <w:tc>
          <w:tcPr>
            <w:tcW w:w="2126"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文案策划、视觉识别（VI）、商品图片处理、广告设计、首页设计、详情页设计、专题页设计、网页设计、文档管理等技能。</w:t>
            </w:r>
          </w:p>
        </w:tc>
        <w:tc>
          <w:tcPr>
            <w:tcW w:w="709" w:type="dxa"/>
            <w:vMerge w:val="restart"/>
            <w:vAlign w:val="center"/>
          </w:tcPr>
          <w:p>
            <w:pPr>
              <w:jc w:val="left"/>
              <w:rPr>
                <w:rFonts w:ascii="仿宋_GB2312" w:hAnsi="宋体" w:eastAsia="仿宋_GB2312"/>
                <w:color w:val="000000"/>
                <w:sz w:val="24"/>
              </w:rPr>
            </w:pPr>
            <w:r>
              <w:rPr>
                <w:rFonts w:hint="eastAsia" w:ascii="仿宋_GB2312" w:hAnsi="宋体" w:eastAsia="仿宋_GB2312"/>
                <w:color w:val="000000"/>
                <w:sz w:val="24"/>
              </w:rPr>
              <w:t>数据分析能力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26"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客户服务</w:t>
            </w:r>
          </w:p>
        </w:tc>
        <w:tc>
          <w:tcPr>
            <w:tcW w:w="1701"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网络客服</w:t>
            </w:r>
          </w:p>
        </w:tc>
        <w:tc>
          <w:tcPr>
            <w:tcW w:w="2393"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客户接待与沟通（包括售前、售中和售后）、有效订单的处理（包括确认订单、下单发货和礼貌告别）、交易纠纷处理。</w:t>
            </w:r>
          </w:p>
        </w:tc>
        <w:tc>
          <w:tcPr>
            <w:tcW w:w="2126" w:type="dxa"/>
            <w:vAlign w:val="center"/>
          </w:tcPr>
          <w:p>
            <w:pPr>
              <w:jc w:val="left"/>
              <w:rPr>
                <w:rFonts w:ascii="仿宋_GB2312" w:hAnsi="宋体" w:eastAsia="仿宋_GB2312"/>
                <w:color w:val="000000"/>
                <w:sz w:val="24"/>
              </w:rPr>
            </w:pPr>
            <w:r>
              <w:rPr>
                <w:rFonts w:hint="eastAsia" w:ascii="仿宋_GB2312" w:hAnsi="宋体" w:eastAsia="仿宋_GB2312"/>
                <w:color w:val="000000"/>
                <w:sz w:val="24"/>
              </w:rPr>
              <w:t>促成客户成交、提高客单价、引导客户及时收货及好评、维护店铺权益、激发客户再次购买等服务处理能力。</w:t>
            </w:r>
          </w:p>
        </w:tc>
        <w:tc>
          <w:tcPr>
            <w:tcW w:w="709" w:type="dxa"/>
            <w:vMerge w:val="continue"/>
            <w:vAlign w:val="center"/>
          </w:tcPr>
          <w:p>
            <w:pPr>
              <w:rPr>
                <w:rFonts w:ascii="仿宋_GB2312" w:hAnsi="宋体" w:eastAsia="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26" w:type="dxa"/>
            <w:vAlign w:val="center"/>
          </w:tcPr>
          <w:p>
            <w:pPr>
              <w:pStyle w:val="3"/>
              <w:rPr>
                <w:rFonts w:ascii="仿宋_GB2312" w:hAnsi="仿宋" w:eastAsia="仿宋_GB2312"/>
                <w:sz w:val="24"/>
              </w:rPr>
            </w:pPr>
            <w:r>
              <w:rPr>
                <w:rFonts w:hint="eastAsia" w:ascii="仿宋_GB2312" w:hAnsi="仿宋" w:eastAsia="仿宋_GB2312"/>
                <w:sz w:val="24"/>
              </w:rPr>
              <w:t>运营推广</w:t>
            </w:r>
          </w:p>
        </w:tc>
        <w:tc>
          <w:tcPr>
            <w:tcW w:w="1701" w:type="dxa"/>
            <w:vAlign w:val="center"/>
          </w:tcPr>
          <w:p>
            <w:pPr>
              <w:pStyle w:val="3"/>
              <w:rPr>
                <w:rFonts w:ascii="仿宋_GB2312" w:hAnsi="仿宋" w:eastAsia="仿宋_GB2312"/>
                <w:sz w:val="24"/>
              </w:rPr>
            </w:pPr>
            <w:r>
              <w:rPr>
                <w:rFonts w:hint="eastAsia" w:ascii="仿宋_GB2312" w:hAnsi="仿宋" w:eastAsia="仿宋_GB2312"/>
                <w:sz w:val="24"/>
              </w:rPr>
              <w:t>运营经理</w:t>
            </w:r>
          </w:p>
          <w:p>
            <w:pPr>
              <w:pStyle w:val="3"/>
              <w:rPr>
                <w:rFonts w:ascii="仿宋_GB2312" w:hAnsi="仿宋" w:eastAsia="仿宋_GB2312"/>
                <w:sz w:val="24"/>
              </w:rPr>
            </w:pPr>
            <w:r>
              <w:rPr>
                <w:rFonts w:hint="eastAsia" w:ascii="仿宋_GB2312" w:hAnsi="仿宋" w:eastAsia="仿宋_GB2312"/>
                <w:sz w:val="24"/>
              </w:rPr>
              <w:t>推广专员</w:t>
            </w:r>
          </w:p>
          <w:p>
            <w:pPr>
              <w:pStyle w:val="3"/>
              <w:rPr>
                <w:rFonts w:ascii="仿宋_GB2312" w:hAnsi="仿宋" w:eastAsia="仿宋_GB2312"/>
                <w:sz w:val="24"/>
              </w:rPr>
            </w:pPr>
            <w:r>
              <w:rPr>
                <w:rFonts w:hint="eastAsia" w:ascii="仿宋_GB2312" w:hAnsi="仿宋" w:eastAsia="仿宋_GB2312"/>
                <w:sz w:val="24"/>
              </w:rPr>
              <w:t>店长</w:t>
            </w:r>
          </w:p>
        </w:tc>
        <w:tc>
          <w:tcPr>
            <w:tcW w:w="2393" w:type="dxa"/>
            <w:vAlign w:val="center"/>
          </w:tcPr>
          <w:p>
            <w:pPr>
              <w:pStyle w:val="3"/>
              <w:rPr>
                <w:rFonts w:ascii="仿宋_GB2312" w:hAnsi="仿宋" w:eastAsia="仿宋_GB2312"/>
                <w:sz w:val="24"/>
              </w:rPr>
            </w:pPr>
            <w:r>
              <w:rPr>
                <w:rFonts w:hint="eastAsia" w:ascii="仿宋_GB2312" w:hAnsi="仿宋" w:eastAsia="仿宋_GB2312"/>
                <w:sz w:val="24"/>
              </w:rPr>
              <w:t>关键词优化（SEO），关键词竞价推广（SEM），市场营销（4P），消费心理和消费行为学，采购管理，财税知识。</w:t>
            </w:r>
          </w:p>
        </w:tc>
        <w:tc>
          <w:tcPr>
            <w:tcW w:w="2126" w:type="dxa"/>
            <w:vAlign w:val="center"/>
          </w:tcPr>
          <w:p>
            <w:pPr>
              <w:pStyle w:val="3"/>
              <w:rPr>
                <w:rFonts w:ascii="仿宋_GB2312" w:hAnsi="仿宋" w:eastAsia="仿宋_GB2312"/>
                <w:sz w:val="24"/>
              </w:rPr>
            </w:pPr>
            <w:r>
              <w:rPr>
                <w:rFonts w:hint="eastAsia" w:ascii="仿宋_GB2312" w:hAnsi="仿宋" w:eastAsia="仿宋_GB2312"/>
                <w:sz w:val="24"/>
              </w:rPr>
              <w:t>网络营销能力</w:t>
            </w:r>
          </w:p>
          <w:p>
            <w:pPr>
              <w:pStyle w:val="3"/>
              <w:rPr>
                <w:rFonts w:ascii="仿宋_GB2312" w:hAnsi="仿宋" w:eastAsia="仿宋_GB2312"/>
                <w:sz w:val="24"/>
              </w:rPr>
            </w:pPr>
            <w:r>
              <w:rPr>
                <w:rFonts w:hint="eastAsia" w:ascii="仿宋_GB2312" w:hAnsi="仿宋" w:eastAsia="仿宋_GB2312"/>
                <w:sz w:val="24"/>
              </w:rPr>
              <w:t>店铺规划能力</w:t>
            </w:r>
          </w:p>
          <w:p>
            <w:pPr>
              <w:pStyle w:val="3"/>
              <w:rPr>
                <w:rFonts w:ascii="仿宋_GB2312" w:hAnsi="仿宋" w:eastAsia="仿宋_GB2312"/>
                <w:sz w:val="24"/>
              </w:rPr>
            </w:pPr>
            <w:r>
              <w:rPr>
                <w:rFonts w:hint="eastAsia" w:ascii="仿宋_GB2312" w:hAnsi="仿宋" w:eastAsia="仿宋_GB2312"/>
                <w:sz w:val="24"/>
              </w:rPr>
              <w:t>供应链管理能力</w:t>
            </w:r>
          </w:p>
          <w:p>
            <w:pPr>
              <w:pStyle w:val="3"/>
              <w:rPr>
                <w:rFonts w:ascii="仿宋_GB2312" w:hAnsi="仿宋" w:eastAsia="仿宋_GB2312"/>
                <w:sz w:val="24"/>
              </w:rPr>
            </w:pPr>
            <w:r>
              <w:rPr>
                <w:rFonts w:hint="eastAsia" w:ascii="仿宋_GB2312" w:hAnsi="仿宋" w:eastAsia="仿宋_GB2312"/>
                <w:sz w:val="24"/>
              </w:rPr>
              <w:t>财务分析能力</w:t>
            </w:r>
          </w:p>
          <w:p>
            <w:pPr>
              <w:pStyle w:val="3"/>
              <w:rPr>
                <w:rFonts w:ascii="仿宋_GB2312" w:hAnsi="仿宋" w:eastAsia="仿宋_GB2312"/>
                <w:sz w:val="24"/>
              </w:rPr>
            </w:pPr>
          </w:p>
        </w:tc>
        <w:tc>
          <w:tcPr>
            <w:tcW w:w="709" w:type="dxa"/>
            <w:vMerge w:val="continue"/>
            <w:vAlign w:val="center"/>
          </w:tcPr>
          <w:p>
            <w:pPr>
              <w:pStyle w:val="3"/>
              <w:rPr>
                <w:rFonts w:ascii="仿宋_GB2312" w:hAnsi="仿宋" w:eastAsia="仿宋_GB2312"/>
                <w:sz w:val="24"/>
              </w:rPr>
            </w:pPr>
          </w:p>
        </w:tc>
      </w:tr>
    </w:tbl>
    <w:p>
      <w:pPr>
        <w:pStyle w:val="3"/>
        <w:spacing w:line="560" w:lineRule="exact"/>
        <w:ind w:firstLine="482" w:firstLineChars="200"/>
        <w:jc w:val="center"/>
        <w:rPr>
          <w:rFonts w:ascii="仿宋_GB2312" w:hAnsi="仿宋" w:eastAsia="仿宋_GB2312"/>
          <w:b/>
          <w:sz w:val="24"/>
        </w:rPr>
      </w:pPr>
      <w:r>
        <w:rPr>
          <w:rFonts w:hint="eastAsia" w:ascii="仿宋_GB2312" w:hAnsi="仿宋" w:eastAsia="仿宋_GB2312"/>
          <w:b/>
          <w:sz w:val="24"/>
        </w:rPr>
        <w:t>表2 竞赛内容与分值、竞赛方式、竞赛时间</w:t>
      </w:r>
    </w:p>
    <w:tbl>
      <w:tblPr>
        <w:tblStyle w:val="7"/>
        <w:tblW w:w="87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1439"/>
        <w:gridCol w:w="1599"/>
        <w:gridCol w:w="2669"/>
        <w:gridCol w:w="1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vAlign w:val="center"/>
          </w:tcPr>
          <w:p>
            <w:pPr>
              <w:pStyle w:val="3"/>
              <w:jc w:val="center"/>
              <w:rPr>
                <w:rFonts w:ascii="仿宋_GB2312" w:hAnsi="仿宋" w:eastAsia="仿宋_GB2312"/>
                <w:b/>
                <w:sz w:val="24"/>
              </w:rPr>
            </w:pPr>
            <w:r>
              <w:rPr>
                <w:rFonts w:hint="eastAsia" w:ascii="仿宋_GB2312" w:hAnsi="仿宋" w:eastAsia="仿宋_GB2312"/>
                <w:b/>
                <w:sz w:val="24"/>
              </w:rPr>
              <w:t>竞赛阶段</w:t>
            </w:r>
          </w:p>
        </w:tc>
        <w:tc>
          <w:tcPr>
            <w:tcW w:w="1439" w:type="dxa"/>
            <w:vAlign w:val="center"/>
          </w:tcPr>
          <w:p>
            <w:pPr>
              <w:pStyle w:val="3"/>
              <w:jc w:val="center"/>
              <w:rPr>
                <w:rFonts w:ascii="仿宋_GB2312" w:hAnsi="仿宋" w:eastAsia="仿宋_GB2312"/>
                <w:b/>
                <w:sz w:val="24"/>
              </w:rPr>
            </w:pPr>
            <w:r>
              <w:rPr>
                <w:rFonts w:hint="eastAsia" w:ascii="仿宋_GB2312" w:hAnsi="仿宋" w:eastAsia="仿宋_GB2312"/>
                <w:b/>
                <w:sz w:val="24"/>
              </w:rPr>
              <w:t>竞赛内容</w:t>
            </w:r>
          </w:p>
        </w:tc>
        <w:tc>
          <w:tcPr>
            <w:tcW w:w="1599" w:type="dxa"/>
          </w:tcPr>
          <w:p>
            <w:pPr>
              <w:pStyle w:val="3"/>
              <w:jc w:val="center"/>
              <w:rPr>
                <w:rFonts w:ascii="仿宋_GB2312" w:hAnsi="仿宋" w:eastAsia="仿宋_GB2312"/>
                <w:b/>
                <w:sz w:val="24"/>
              </w:rPr>
            </w:pPr>
            <w:r>
              <w:rPr>
                <w:rFonts w:hint="eastAsia" w:ascii="仿宋_GB2312" w:hAnsi="仿宋" w:eastAsia="仿宋_GB2312"/>
                <w:b/>
                <w:sz w:val="24"/>
              </w:rPr>
              <w:t>分值</w:t>
            </w:r>
          </w:p>
        </w:tc>
        <w:tc>
          <w:tcPr>
            <w:tcW w:w="2669" w:type="dxa"/>
            <w:vAlign w:val="center"/>
          </w:tcPr>
          <w:p>
            <w:pPr>
              <w:pStyle w:val="3"/>
              <w:jc w:val="center"/>
              <w:rPr>
                <w:rFonts w:ascii="仿宋_GB2312" w:hAnsi="仿宋" w:eastAsia="仿宋_GB2312"/>
                <w:b/>
                <w:sz w:val="24"/>
              </w:rPr>
            </w:pPr>
            <w:r>
              <w:rPr>
                <w:rFonts w:hint="eastAsia" w:ascii="仿宋_GB2312" w:hAnsi="仿宋" w:eastAsia="仿宋_GB2312"/>
                <w:b/>
                <w:sz w:val="24"/>
              </w:rPr>
              <w:t>竞赛方式</w:t>
            </w:r>
          </w:p>
        </w:tc>
        <w:tc>
          <w:tcPr>
            <w:tcW w:w="1358" w:type="dxa"/>
            <w:vAlign w:val="center"/>
          </w:tcPr>
          <w:p>
            <w:pPr>
              <w:pStyle w:val="3"/>
              <w:jc w:val="center"/>
              <w:rPr>
                <w:rFonts w:ascii="仿宋_GB2312" w:hAnsi="仿宋" w:eastAsia="仿宋_GB2312"/>
                <w:b/>
                <w:sz w:val="24"/>
              </w:rPr>
            </w:pPr>
            <w:r>
              <w:rPr>
                <w:rFonts w:hint="eastAsia" w:ascii="仿宋_GB2312" w:hAnsi="仿宋" w:eastAsia="仿宋_GB2312"/>
                <w:b/>
                <w:sz w:val="24"/>
              </w:rPr>
              <w:t>竞赛时间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vMerge w:val="restart"/>
            <w:vAlign w:val="center"/>
          </w:tcPr>
          <w:p>
            <w:pPr>
              <w:pStyle w:val="3"/>
              <w:rPr>
                <w:rFonts w:ascii="仿宋_GB2312" w:hAnsi="仿宋" w:eastAsia="仿宋_GB2312"/>
                <w:sz w:val="24"/>
              </w:rPr>
            </w:pPr>
            <w:r>
              <w:rPr>
                <w:rFonts w:hint="eastAsia" w:ascii="仿宋_GB2312" w:hAnsi="仿宋" w:eastAsia="仿宋_GB2312"/>
                <w:sz w:val="24"/>
              </w:rPr>
              <w:t>第一阶段</w:t>
            </w:r>
          </w:p>
        </w:tc>
        <w:tc>
          <w:tcPr>
            <w:tcW w:w="1439" w:type="dxa"/>
            <w:vAlign w:val="center"/>
          </w:tcPr>
          <w:p>
            <w:pPr>
              <w:pStyle w:val="3"/>
              <w:rPr>
                <w:rFonts w:ascii="仿宋_GB2312" w:hAnsi="仿宋" w:eastAsia="仿宋_GB2312"/>
                <w:sz w:val="24"/>
              </w:rPr>
            </w:pPr>
            <w:r>
              <w:rPr>
                <w:rFonts w:hint="eastAsia" w:ascii="仿宋_GB2312" w:hAnsi="仿宋" w:eastAsia="仿宋_GB2312"/>
                <w:sz w:val="24"/>
              </w:rPr>
              <w:t>开设装修</w:t>
            </w:r>
          </w:p>
        </w:tc>
        <w:tc>
          <w:tcPr>
            <w:tcW w:w="1599" w:type="dxa"/>
          </w:tcPr>
          <w:p>
            <w:pPr>
              <w:pStyle w:val="3"/>
              <w:rPr>
                <w:rFonts w:ascii="仿宋_GB2312" w:hAnsi="仿宋" w:eastAsia="仿宋_GB2312"/>
                <w:sz w:val="24"/>
              </w:rPr>
            </w:pPr>
            <w:r>
              <w:rPr>
                <w:rFonts w:ascii="仿宋_GB2312" w:hAnsi="仿宋" w:eastAsia="仿宋_GB2312"/>
                <w:sz w:val="24"/>
              </w:rPr>
              <w:t>25</w:t>
            </w:r>
            <w:r>
              <w:rPr>
                <w:rFonts w:hint="eastAsia" w:ascii="仿宋_GB2312" w:hAnsi="仿宋" w:eastAsia="仿宋_GB2312"/>
                <w:sz w:val="24"/>
              </w:rPr>
              <w:t>分</w:t>
            </w:r>
          </w:p>
        </w:tc>
        <w:tc>
          <w:tcPr>
            <w:tcW w:w="2669" w:type="dxa"/>
            <w:vAlign w:val="center"/>
          </w:tcPr>
          <w:p>
            <w:pPr>
              <w:pStyle w:val="3"/>
              <w:rPr>
                <w:rFonts w:ascii="仿宋_GB2312" w:hAnsi="仿宋" w:eastAsia="仿宋_GB2312"/>
                <w:sz w:val="24"/>
              </w:rPr>
            </w:pPr>
            <w:r>
              <w:rPr>
                <w:rFonts w:hint="eastAsia" w:ascii="仿宋_GB2312" w:hAnsi="仿宋" w:eastAsia="仿宋_GB2312"/>
                <w:sz w:val="24"/>
              </w:rPr>
              <w:t>2人分工合作</w:t>
            </w:r>
          </w:p>
        </w:tc>
        <w:tc>
          <w:tcPr>
            <w:tcW w:w="1358" w:type="dxa"/>
            <w:vAlign w:val="center"/>
          </w:tcPr>
          <w:p>
            <w:pPr>
              <w:pStyle w:val="3"/>
              <w:rPr>
                <w:rFonts w:ascii="仿宋_GB2312" w:hAnsi="仿宋" w:eastAsia="仿宋_GB2312"/>
                <w:sz w:val="24"/>
              </w:rPr>
            </w:pPr>
            <w:r>
              <w:rPr>
                <w:rFonts w:hint="eastAsia" w:ascii="仿宋_GB2312" w:hAnsi="仿宋" w:eastAsia="仿宋_GB2312"/>
                <w:sz w:val="24"/>
              </w:rPr>
              <w:t>120分钟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vMerge w:val="continue"/>
            <w:vAlign w:val="center"/>
          </w:tcPr>
          <w:p>
            <w:pPr>
              <w:pStyle w:val="3"/>
              <w:rPr>
                <w:rFonts w:ascii="仿宋_GB2312" w:hAnsi="仿宋" w:eastAsia="仿宋_GB2312"/>
                <w:sz w:val="24"/>
              </w:rPr>
            </w:pPr>
          </w:p>
        </w:tc>
        <w:tc>
          <w:tcPr>
            <w:tcW w:w="1439" w:type="dxa"/>
            <w:vAlign w:val="center"/>
          </w:tcPr>
          <w:p>
            <w:pPr>
              <w:pStyle w:val="3"/>
              <w:rPr>
                <w:rFonts w:ascii="仿宋_GB2312" w:hAnsi="仿宋" w:eastAsia="仿宋_GB2312"/>
                <w:sz w:val="24"/>
              </w:rPr>
            </w:pPr>
            <w:r>
              <w:rPr>
                <w:rFonts w:hint="eastAsia" w:ascii="仿宋_GB2312" w:hAnsi="仿宋" w:eastAsia="仿宋_GB2312"/>
                <w:sz w:val="24"/>
              </w:rPr>
              <w:t>客户服务</w:t>
            </w:r>
          </w:p>
        </w:tc>
        <w:tc>
          <w:tcPr>
            <w:tcW w:w="1599" w:type="dxa"/>
          </w:tcPr>
          <w:p>
            <w:pPr>
              <w:pStyle w:val="3"/>
              <w:rPr>
                <w:rFonts w:ascii="仿宋_GB2312" w:hAnsi="仿宋" w:eastAsia="仿宋_GB2312"/>
                <w:sz w:val="24"/>
              </w:rPr>
            </w:pPr>
            <w:r>
              <w:rPr>
                <w:rFonts w:hint="eastAsia" w:ascii="仿宋_GB2312" w:hAnsi="仿宋" w:eastAsia="仿宋_GB2312"/>
                <w:sz w:val="24"/>
              </w:rPr>
              <w:t>1</w:t>
            </w:r>
            <w:r>
              <w:rPr>
                <w:rFonts w:ascii="仿宋_GB2312" w:hAnsi="仿宋" w:eastAsia="仿宋_GB2312"/>
                <w:sz w:val="24"/>
              </w:rPr>
              <w:t>5</w:t>
            </w:r>
            <w:r>
              <w:rPr>
                <w:rFonts w:hint="eastAsia" w:ascii="仿宋_GB2312" w:hAnsi="仿宋" w:eastAsia="仿宋_GB2312"/>
                <w:sz w:val="24"/>
              </w:rPr>
              <w:t>分</w:t>
            </w:r>
          </w:p>
        </w:tc>
        <w:tc>
          <w:tcPr>
            <w:tcW w:w="2669" w:type="dxa"/>
            <w:vAlign w:val="center"/>
          </w:tcPr>
          <w:p>
            <w:pPr>
              <w:pStyle w:val="3"/>
              <w:rPr>
                <w:rFonts w:ascii="仿宋_GB2312" w:hAnsi="仿宋" w:eastAsia="仿宋_GB2312"/>
                <w:sz w:val="24"/>
              </w:rPr>
            </w:pPr>
            <w:r>
              <w:rPr>
                <w:rFonts w:hint="eastAsia" w:ascii="仿宋_GB2312" w:hAnsi="仿宋" w:eastAsia="仿宋_GB2312"/>
                <w:sz w:val="24"/>
              </w:rPr>
              <w:t>2人分工合作</w:t>
            </w:r>
          </w:p>
        </w:tc>
        <w:tc>
          <w:tcPr>
            <w:tcW w:w="1358" w:type="dxa"/>
            <w:vAlign w:val="center"/>
          </w:tcPr>
          <w:p>
            <w:pPr>
              <w:pStyle w:val="3"/>
              <w:rPr>
                <w:rFonts w:ascii="仿宋_GB2312" w:hAnsi="仿宋" w:eastAsia="仿宋_GB2312"/>
                <w:sz w:val="24"/>
              </w:rPr>
            </w:pPr>
            <w:r>
              <w:rPr>
                <w:rFonts w:hint="eastAsia" w:ascii="仿宋_GB2312" w:hAnsi="仿宋" w:eastAsia="仿宋_GB2312"/>
                <w:sz w:val="24"/>
              </w:rPr>
              <w:t>约</w:t>
            </w:r>
            <w:r>
              <w:rPr>
                <w:rFonts w:ascii="仿宋_GB2312" w:hAnsi="仿宋" w:eastAsia="仿宋_GB2312"/>
                <w:sz w:val="24"/>
              </w:rPr>
              <w:t>3</w:t>
            </w:r>
            <w:r>
              <w:rPr>
                <w:rFonts w:hint="eastAsia" w:ascii="仿宋_GB2312" w:hAnsi="仿宋" w:eastAsia="仿宋_GB2312"/>
                <w:sz w:val="24"/>
              </w:rPr>
              <w:t>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vAlign w:val="center"/>
          </w:tcPr>
          <w:p>
            <w:pPr>
              <w:pStyle w:val="3"/>
              <w:rPr>
                <w:rFonts w:ascii="仿宋_GB2312" w:hAnsi="仿宋" w:eastAsia="仿宋_GB2312"/>
                <w:sz w:val="24"/>
              </w:rPr>
            </w:pPr>
            <w:r>
              <w:rPr>
                <w:rFonts w:hint="eastAsia" w:ascii="仿宋_GB2312" w:hAnsi="仿宋" w:eastAsia="仿宋_GB2312"/>
                <w:sz w:val="24"/>
              </w:rPr>
              <w:t>第二阶段</w:t>
            </w:r>
          </w:p>
        </w:tc>
        <w:tc>
          <w:tcPr>
            <w:tcW w:w="1439" w:type="dxa"/>
            <w:vAlign w:val="center"/>
          </w:tcPr>
          <w:p>
            <w:pPr>
              <w:pStyle w:val="3"/>
              <w:rPr>
                <w:rFonts w:ascii="仿宋_GB2312" w:hAnsi="仿宋" w:eastAsia="仿宋_GB2312"/>
                <w:sz w:val="24"/>
              </w:rPr>
            </w:pPr>
            <w:r>
              <w:rPr>
                <w:rFonts w:hint="eastAsia" w:ascii="仿宋_GB2312" w:hAnsi="仿宋" w:eastAsia="仿宋_GB2312"/>
                <w:sz w:val="24"/>
              </w:rPr>
              <w:t>运营推广</w:t>
            </w:r>
          </w:p>
        </w:tc>
        <w:tc>
          <w:tcPr>
            <w:tcW w:w="1599" w:type="dxa"/>
          </w:tcPr>
          <w:p>
            <w:pPr>
              <w:pStyle w:val="3"/>
              <w:rPr>
                <w:rFonts w:ascii="仿宋_GB2312" w:hAnsi="仿宋" w:eastAsia="仿宋_GB2312"/>
                <w:sz w:val="24"/>
              </w:rPr>
            </w:pPr>
            <w:r>
              <w:rPr>
                <w:rFonts w:hint="eastAsia" w:ascii="仿宋_GB2312" w:hAnsi="仿宋" w:eastAsia="仿宋_GB2312"/>
                <w:sz w:val="24"/>
              </w:rPr>
              <w:t>60分</w:t>
            </w:r>
          </w:p>
        </w:tc>
        <w:tc>
          <w:tcPr>
            <w:tcW w:w="2669" w:type="dxa"/>
            <w:vAlign w:val="center"/>
          </w:tcPr>
          <w:p>
            <w:pPr>
              <w:pStyle w:val="3"/>
              <w:rPr>
                <w:rFonts w:ascii="仿宋_GB2312" w:hAnsi="仿宋" w:eastAsia="仿宋_GB2312"/>
                <w:sz w:val="24"/>
              </w:rPr>
            </w:pPr>
            <w:r>
              <w:rPr>
                <w:rFonts w:hint="eastAsia" w:ascii="仿宋_GB2312" w:hAnsi="仿宋" w:eastAsia="仿宋_GB2312"/>
                <w:sz w:val="24"/>
              </w:rPr>
              <w:t>4人分工合作</w:t>
            </w:r>
          </w:p>
        </w:tc>
        <w:tc>
          <w:tcPr>
            <w:tcW w:w="1358" w:type="dxa"/>
            <w:vAlign w:val="center"/>
          </w:tcPr>
          <w:p>
            <w:pPr>
              <w:pStyle w:val="3"/>
              <w:rPr>
                <w:rFonts w:ascii="仿宋_GB2312" w:hAnsi="仿宋" w:eastAsia="仿宋_GB2312"/>
                <w:sz w:val="24"/>
              </w:rPr>
            </w:pPr>
            <w:r>
              <w:rPr>
                <w:rFonts w:hint="eastAsia" w:ascii="仿宋_GB2312" w:hAnsi="仿宋" w:eastAsia="仿宋_GB2312"/>
                <w:sz w:val="24"/>
              </w:rPr>
              <w:t>约300分钟</w:t>
            </w:r>
          </w:p>
        </w:tc>
      </w:tr>
    </w:tbl>
    <w:p>
      <w:pPr>
        <w:spacing w:line="560" w:lineRule="atLeas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四、竞赛方式</w:t>
      </w:r>
    </w:p>
    <w:p>
      <w:pPr>
        <w:spacing w:line="560" w:lineRule="atLeas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本赛项为团体赛。以院校为单位组队参赛，不得跨校组队，同一学校相同项目报名参赛队不超过</w:t>
      </w:r>
      <w:r>
        <w:rPr>
          <w:rFonts w:ascii="仿宋_GB2312" w:hAnsi="仿宋" w:eastAsia="仿宋_GB2312" w:cs="仿宋"/>
          <w:color w:val="auto"/>
          <w:kern w:val="0"/>
          <w:sz w:val="28"/>
          <w:szCs w:val="28"/>
        </w:rPr>
        <w:t>2</w:t>
      </w:r>
      <w:r>
        <w:rPr>
          <w:rFonts w:hint="eastAsia" w:ascii="仿宋_GB2312" w:hAnsi="仿宋" w:eastAsia="仿宋_GB2312" w:cs="仿宋"/>
          <w:kern w:val="0"/>
          <w:sz w:val="28"/>
          <w:szCs w:val="28"/>
        </w:rPr>
        <w:t>支,每队4名选手，1名领队，不超过2名指导教师。</w:t>
      </w:r>
    </w:p>
    <w:p>
      <w:pPr>
        <w:spacing w:line="560" w:lineRule="exact"/>
        <w:ind w:firstLine="545" w:firstLineChars="194"/>
        <w:outlineLvl w:val="0"/>
        <w:rPr>
          <w:rFonts w:ascii="仿宋_GB2312" w:hAnsi="黑体" w:eastAsia="仿宋_GB2312" w:cs="黑体"/>
          <w:b/>
          <w:bCs/>
          <w:sz w:val="28"/>
          <w:szCs w:val="28"/>
        </w:rPr>
      </w:pPr>
      <w:r>
        <w:rPr>
          <w:rFonts w:hint="eastAsia" w:ascii="仿宋_GB2312" w:hAnsi="黑体" w:eastAsia="仿宋_GB2312" w:cs="黑体"/>
          <w:b/>
          <w:bCs/>
          <w:sz w:val="28"/>
          <w:szCs w:val="28"/>
        </w:rPr>
        <w:t>五、竞赛流程</w:t>
      </w:r>
    </w:p>
    <w:tbl>
      <w:tblPr>
        <w:tblStyle w:val="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715"/>
        <w:gridCol w:w="2835"/>
        <w:gridCol w:w="2268"/>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Align w:val="center"/>
          </w:tcPr>
          <w:p>
            <w:pPr>
              <w:pStyle w:val="3"/>
              <w:rPr>
                <w:rFonts w:ascii="仿宋_GB2312" w:hAnsi="仿宋" w:eastAsia="仿宋_GB2312"/>
                <w:b/>
                <w:color w:val="auto"/>
                <w:sz w:val="24"/>
              </w:rPr>
            </w:pPr>
            <w:r>
              <w:rPr>
                <w:rFonts w:hint="eastAsia" w:ascii="仿宋_GB2312" w:hAnsi="仿宋" w:eastAsia="仿宋_GB2312"/>
                <w:b/>
                <w:color w:val="auto"/>
                <w:sz w:val="24"/>
              </w:rPr>
              <w:t>日期</w:t>
            </w:r>
          </w:p>
        </w:tc>
        <w:tc>
          <w:tcPr>
            <w:tcW w:w="1715" w:type="dxa"/>
            <w:vAlign w:val="center"/>
          </w:tcPr>
          <w:p>
            <w:pPr>
              <w:pStyle w:val="3"/>
              <w:rPr>
                <w:rFonts w:ascii="仿宋_GB2312" w:hAnsi="仿宋" w:eastAsia="仿宋_GB2312"/>
                <w:b/>
                <w:color w:val="auto"/>
                <w:sz w:val="24"/>
              </w:rPr>
            </w:pPr>
            <w:r>
              <w:rPr>
                <w:rFonts w:hint="eastAsia" w:ascii="仿宋_GB2312" w:hAnsi="仿宋" w:eastAsia="仿宋_GB2312"/>
                <w:b/>
                <w:color w:val="auto"/>
                <w:sz w:val="24"/>
              </w:rPr>
              <w:t>时间</w:t>
            </w:r>
          </w:p>
        </w:tc>
        <w:tc>
          <w:tcPr>
            <w:tcW w:w="2835" w:type="dxa"/>
            <w:vAlign w:val="center"/>
          </w:tcPr>
          <w:p>
            <w:pPr>
              <w:pStyle w:val="3"/>
              <w:rPr>
                <w:rFonts w:ascii="仿宋_GB2312" w:hAnsi="仿宋" w:eastAsia="仿宋_GB2312"/>
                <w:b/>
                <w:color w:val="auto"/>
                <w:sz w:val="24"/>
              </w:rPr>
            </w:pPr>
            <w:r>
              <w:rPr>
                <w:rFonts w:hint="eastAsia" w:ascii="仿宋_GB2312" w:hAnsi="仿宋" w:eastAsia="仿宋_GB2312"/>
                <w:b/>
                <w:color w:val="auto"/>
                <w:sz w:val="24"/>
              </w:rPr>
              <w:t>事项</w:t>
            </w:r>
          </w:p>
        </w:tc>
        <w:tc>
          <w:tcPr>
            <w:tcW w:w="2268" w:type="dxa"/>
            <w:vAlign w:val="center"/>
          </w:tcPr>
          <w:p>
            <w:pPr>
              <w:pStyle w:val="3"/>
              <w:rPr>
                <w:rFonts w:ascii="仿宋_GB2312" w:hAnsi="仿宋" w:eastAsia="仿宋_GB2312"/>
                <w:b/>
                <w:color w:val="auto"/>
                <w:sz w:val="24"/>
              </w:rPr>
            </w:pPr>
            <w:r>
              <w:rPr>
                <w:rFonts w:hint="eastAsia" w:ascii="仿宋_GB2312" w:hAnsi="仿宋" w:eastAsia="仿宋_GB2312"/>
                <w:b/>
                <w:color w:val="auto"/>
                <w:sz w:val="24"/>
              </w:rPr>
              <w:t>参加人员</w:t>
            </w:r>
          </w:p>
        </w:tc>
        <w:tc>
          <w:tcPr>
            <w:tcW w:w="1418" w:type="dxa"/>
            <w:vAlign w:val="center"/>
          </w:tcPr>
          <w:p>
            <w:pPr>
              <w:pStyle w:val="3"/>
              <w:rPr>
                <w:rFonts w:ascii="仿宋_GB2312" w:hAnsi="仿宋" w:eastAsia="仿宋_GB2312"/>
                <w:b/>
                <w:color w:val="auto"/>
                <w:sz w:val="24"/>
              </w:rPr>
            </w:pPr>
            <w:r>
              <w:rPr>
                <w:rFonts w:hint="eastAsia" w:ascii="仿宋_GB2312" w:hAnsi="仿宋" w:eastAsia="仿宋_GB2312"/>
                <w:b/>
                <w:color w:val="auto"/>
                <w:sz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restart"/>
            <w:vAlign w:val="center"/>
          </w:tcPr>
          <w:p>
            <w:pPr>
              <w:pStyle w:val="3"/>
              <w:rPr>
                <w:rFonts w:ascii="仿宋_GB2312" w:hAnsi="仿宋" w:eastAsia="仿宋_GB2312"/>
                <w:color w:val="auto"/>
                <w:sz w:val="24"/>
              </w:rPr>
            </w:pPr>
            <w:r>
              <w:rPr>
                <w:rFonts w:hint="eastAsia" w:ascii="仿宋_GB2312" w:hAnsi="仿宋" w:eastAsia="仿宋_GB2312"/>
                <w:color w:val="auto"/>
                <w:sz w:val="24"/>
              </w:rPr>
              <w:t>竞赛日</w:t>
            </w:r>
          </w:p>
        </w:tc>
        <w:tc>
          <w:tcPr>
            <w:tcW w:w="1715"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7:45</w:t>
            </w:r>
          </w:p>
        </w:tc>
        <w:tc>
          <w:tcPr>
            <w:tcW w:w="2835"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竞赛场地前</w:t>
            </w:r>
          </w:p>
        </w:tc>
        <w:tc>
          <w:tcPr>
            <w:tcW w:w="2268"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各参赛队</w:t>
            </w:r>
          </w:p>
          <w:p>
            <w:pPr>
              <w:pStyle w:val="3"/>
              <w:rPr>
                <w:rFonts w:ascii="仿宋_GB2312" w:hAnsi="仿宋" w:eastAsia="仿宋_GB2312"/>
                <w:color w:val="auto"/>
                <w:sz w:val="24"/>
              </w:rPr>
            </w:pPr>
            <w:r>
              <w:rPr>
                <w:rFonts w:hint="eastAsia" w:ascii="仿宋_GB2312" w:hAnsi="仿宋" w:eastAsia="仿宋_GB2312"/>
                <w:color w:val="auto"/>
                <w:sz w:val="24"/>
              </w:rPr>
              <w:t>工作人员</w:t>
            </w:r>
          </w:p>
        </w:tc>
        <w:tc>
          <w:tcPr>
            <w:tcW w:w="1418"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continue"/>
            <w:vAlign w:val="center"/>
          </w:tcPr>
          <w:p>
            <w:pPr>
              <w:pStyle w:val="3"/>
              <w:rPr>
                <w:rFonts w:ascii="仿宋_GB2312" w:hAnsi="仿宋" w:eastAsia="仿宋_GB2312"/>
                <w:color w:val="auto"/>
                <w:sz w:val="24"/>
              </w:rPr>
            </w:pPr>
          </w:p>
        </w:tc>
        <w:tc>
          <w:tcPr>
            <w:tcW w:w="1715" w:type="dxa"/>
            <w:vAlign w:val="center"/>
          </w:tcPr>
          <w:p>
            <w:pPr>
              <w:pStyle w:val="3"/>
              <w:rPr>
                <w:rFonts w:ascii="仿宋_GB2312" w:hAnsi="仿宋" w:eastAsia="仿宋_GB2312"/>
                <w:color w:val="auto"/>
                <w:sz w:val="24"/>
              </w:rPr>
            </w:pPr>
            <w:r>
              <w:rPr>
                <w:rFonts w:ascii="仿宋_GB2312" w:hAnsi="仿宋" w:eastAsia="仿宋_GB2312"/>
                <w:color w:val="auto"/>
                <w:sz w:val="24"/>
              </w:rPr>
              <w:t>7</w:t>
            </w:r>
            <w:r>
              <w:rPr>
                <w:rFonts w:hint="eastAsia" w:ascii="仿宋_GB2312" w:hAnsi="仿宋" w:eastAsia="仿宋_GB2312"/>
                <w:color w:val="auto"/>
                <w:sz w:val="24"/>
              </w:rPr>
              <w:t>:</w:t>
            </w:r>
            <w:r>
              <w:rPr>
                <w:rFonts w:ascii="仿宋_GB2312" w:hAnsi="仿宋" w:eastAsia="仿宋_GB2312"/>
                <w:color w:val="auto"/>
                <w:sz w:val="24"/>
              </w:rPr>
              <w:t>4</w:t>
            </w:r>
            <w:r>
              <w:rPr>
                <w:rFonts w:hint="eastAsia" w:ascii="仿宋_GB2312" w:hAnsi="仿宋" w:eastAsia="仿宋_GB2312"/>
                <w:color w:val="auto"/>
                <w:sz w:val="24"/>
              </w:rPr>
              <w:t>5～</w:t>
            </w:r>
            <w:r>
              <w:rPr>
                <w:rFonts w:ascii="仿宋_GB2312" w:hAnsi="仿宋" w:eastAsia="仿宋_GB2312"/>
                <w:color w:val="auto"/>
                <w:sz w:val="24"/>
              </w:rPr>
              <w:t>8</w:t>
            </w:r>
            <w:r>
              <w:rPr>
                <w:rFonts w:hint="eastAsia" w:ascii="仿宋_GB2312" w:hAnsi="仿宋" w:eastAsia="仿宋_GB2312"/>
                <w:color w:val="auto"/>
                <w:sz w:val="24"/>
              </w:rPr>
              <w:t>:</w:t>
            </w:r>
            <w:r>
              <w:rPr>
                <w:rFonts w:ascii="仿宋_GB2312" w:hAnsi="仿宋" w:eastAsia="仿宋_GB2312"/>
                <w:color w:val="auto"/>
                <w:sz w:val="24"/>
              </w:rPr>
              <w:t>1</w:t>
            </w:r>
            <w:r>
              <w:rPr>
                <w:rFonts w:hint="eastAsia" w:ascii="仿宋_GB2312" w:hAnsi="仿宋" w:eastAsia="仿宋_GB2312"/>
                <w:color w:val="auto"/>
                <w:sz w:val="24"/>
              </w:rPr>
              <w:t>0</w:t>
            </w:r>
          </w:p>
        </w:tc>
        <w:tc>
          <w:tcPr>
            <w:tcW w:w="2835"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大赛开赛式</w:t>
            </w:r>
          </w:p>
        </w:tc>
        <w:tc>
          <w:tcPr>
            <w:tcW w:w="2268"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领导、嘉宾、裁判、各参赛队</w:t>
            </w:r>
          </w:p>
        </w:tc>
        <w:tc>
          <w:tcPr>
            <w:tcW w:w="1418"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continue"/>
            <w:vAlign w:val="center"/>
          </w:tcPr>
          <w:p>
            <w:pPr>
              <w:pStyle w:val="3"/>
              <w:rPr>
                <w:rFonts w:ascii="仿宋_GB2312" w:hAnsi="仿宋" w:eastAsia="仿宋_GB2312"/>
                <w:color w:val="auto"/>
                <w:sz w:val="24"/>
              </w:rPr>
            </w:pPr>
          </w:p>
        </w:tc>
        <w:tc>
          <w:tcPr>
            <w:tcW w:w="1715" w:type="dxa"/>
            <w:vAlign w:val="center"/>
          </w:tcPr>
          <w:p>
            <w:pPr>
              <w:pStyle w:val="3"/>
              <w:rPr>
                <w:rFonts w:ascii="仿宋_GB2312" w:hAnsi="仿宋" w:eastAsia="仿宋_GB2312"/>
                <w:color w:val="auto"/>
                <w:sz w:val="24"/>
              </w:rPr>
            </w:pPr>
            <w:r>
              <w:rPr>
                <w:rFonts w:ascii="仿宋_GB2312" w:hAnsi="仿宋" w:eastAsia="仿宋_GB2312"/>
                <w:color w:val="auto"/>
                <w:sz w:val="24"/>
              </w:rPr>
              <w:t>8</w:t>
            </w:r>
            <w:r>
              <w:rPr>
                <w:rFonts w:hint="eastAsia" w:ascii="仿宋_GB2312" w:hAnsi="仿宋" w:eastAsia="仿宋_GB2312"/>
                <w:color w:val="auto"/>
                <w:sz w:val="24"/>
              </w:rPr>
              <w:t>:</w:t>
            </w:r>
            <w:r>
              <w:rPr>
                <w:rFonts w:ascii="仿宋_GB2312" w:hAnsi="仿宋" w:eastAsia="仿宋_GB2312"/>
                <w:color w:val="auto"/>
                <w:sz w:val="24"/>
              </w:rPr>
              <w:t>1</w:t>
            </w:r>
            <w:r>
              <w:rPr>
                <w:rFonts w:hint="eastAsia" w:ascii="仿宋_GB2312" w:hAnsi="仿宋" w:eastAsia="仿宋_GB2312"/>
                <w:color w:val="auto"/>
                <w:sz w:val="24"/>
              </w:rPr>
              <w:t>0</w:t>
            </w:r>
          </w:p>
          <w:p>
            <w:pPr>
              <w:pStyle w:val="3"/>
              <w:rPr>
                <w:rFonts w:ascii="仿宋_GB2312" w:hAnsi="仿宋" w:eastAsia="仿宋_GB2312"/>
                <w:color w:val="auto"/>
                <w:sz w:val="24"/>
              </w:rPr>
            </w:pPr>
            <w:r>
              <w:rPr>
                <w:rFonts w:hint="eastAsia" w:ascii="仿宋_GB2312" w:hAnsi="仿宋" w:eastAsia="仿宋_GB2312"/>
                <w:color w:val="auto"/>
                <w:sz w:val="24"/>
              </w:rPr>
              <w:t>开始</w:t>
            </w:r>
          </w:p>
        </w:tc>
        <w:tc>
          <w:tcPr>
            <w:tcW w:w="2835"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大赛检录进场</w:t>
            </w:r>
          </w:p>
          <w:p>
            <w:pPr>
              <w:pStyle w:val="3"/>
              <w:rPr>
                <w:rFonts w:ascii="仿宋_GB2312" w:hAnsi="仿宋" w:eastAsia="仿宋_GB2312"/>
                <w:color w:val="auto"/>
                <w:sz w:val="24"/>
              </w:rPr>
            </w:pPr>
            <w:r>
              <w:rPr>
                <w:rFonts w:hint="eastAsia" w:ascii="仿宋_GB2312" w:hAnsi="仿宋" w:eastAsia="仿宋_GB2312"/>
                <w:color w:val="auto"/>
                <w:sz w:val="24"/>
              </w:rPr>
              <w:t>第一次抽签加密（抽序号）</w:t>
            </w:r>
          </w:p>
        </w:tc>
        <w:tc>
          <w:tcPr>
            <w:tcW w:w="2268"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参赛选手，第一次抽签裁判</w:t>
            </w:r>
          </w:p>
        </w:tc>
        <w:tc>
          <w:tcPr>
            <w:tcW w:w="1418"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一次抽签区域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continue"/>
            <w:vAlign w:val="center"/>
          </w:tcPr>
          <w:p>
            <w:pPr>
              <w:pStyle w:val="3"/>
              <w:rPr>
                <w:rFonts w:ascii="仿宋_GB2312" w:hAnsi="仿宋" w:eastAsia="仿宋_GB2312"/>
                <w:color w:val="auto"/>
                <w:sz w:val="24"/>
              </w:rPr>
            </w:pPr>
          </w:p>
        </w:tc>
        <w:tc>
          <w:tcPr>
            <w:tcW w:w="1715"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8:30</w:t>
            </w:r>
          </w:p>
          <w:p>
            <w:pPr>
              <w:pStyle w:val="3"/>
              <w:rPr>
                <w:rFonts w:ascii="仿宋_GB2312" w:hAnsi="仿宋" w:eastAsia="仿宋_GB2312"/>
                <w:color w:val="auto"/>
                <w:sz w:val="24"/>
              </w:rPr>
            </w:pPr>
            <w:r>
              <w:rPr>
                <w:rFonts w:hint="eastAsia" w:ascii="仿宋_GB2312" w:hAnsi="仿宋" w:eastAsia="仿宋_GB2312"/>
                <w:color w:val="auto"/>
                <w:sz w:val="24"/>
              </w:rPr>
              <w:t>开始</w:t>
            </w:r>
          </w:p>
        </w:tc>
        <w:tc>
          <w:tcPr>
            <w:tcW w:w="2835"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第二次抽签加密（抽工位号）</w:t>
            </w:r>
          </w:p>
        </w:tc>
        <w:tc>
          <w:tcPr>
            <w:tcW w:w="2268"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参赛选手，第二次抽签裁判</w:t>
            </w:r>
          </w:p>
        </w:tc>
        <w:tc>
          <w:tcPr>
            <w:tcW w:w="1418"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二次抽签区域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continue"/>
            <w:vAlign w:val="center"/>
          </w:tcPr>
          <w:p>
            <w:pPr>
              <w:pStyle w:val="3"/>
              <w:rPr>
                <w:rFonts w:ascii="仿宋_GB2312" w:hAnsi="仿宋" w:eastAsia="仿宋_GB2312"/>
                <w:color w:val="auto"/>
                <w:sz w:val="24"/>
              </w:rPr>
            </w:pPr>
          </w:p>
        </w:tc>
        <w:tc>
          <w:tcPr>
            <w:tcW w:w="1715" w:type="dxa"/>
            <w:vAlign w:val="center"/>
          </w:tcPr>
          <w:p>
            <w:pPr>
              <w:pStyle w:val="3"/>
              <w:rPr>
                <w:rFonts w:ascii="仿宋_GB2312" w:hAnsi="仿宋" w:eastAsia="仿宋_GB2312"/>
                <w:color w:val="auto"/>
                <w:sz w:val="24"/>
              </w:rPr>
            </w:pPr>
            <w:bookmarkStart w:id="11" w:name="_GoBack"/>
            <w:bookmarkEnd w:id="11"/>
            <w:r>
              <w:rPr>
                <w:rFonts w:hint="eastAsia" w:ascii="仿宋_GB2312" w:hAnsi="仿宋" w:eastAsia="仿宋_GB2312"/>
                <w:color w:val="auto"/>
                <w:sz w:val="24"/>
              </w:rPr>
              <w:t>9:00</w:t>
            </w:r>
          </w:p>
        </w:tc>
        <w:tc>
          <w:tcPr>
            <w:tcW w:w="2835"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领队、指导教师入场</w:t>
            </w:r>
          </w:p>
        </w:tc>
        <w:tc>
          <w:tcPr>
            <w:tcW w:w="2268" w:type="dxa"/>
            <w:vAlign w:val="center"/>
          </w:tcPr>
          <w:p>
            <w:pPr>
              <w:pStyle w:val="3"/>
              <w:rPr>
                <w:rFonts w:ascii="仿宋_GB2312" w:hAnsi="仿宋" w:eastAsia="仿宋_GB2312"/>
                <w:color w:val="auto"/>
                <w:sz w:val="24"/>
              </w:rPr>
            </w:pPr>
          </w:p>
        </w:tc>
        <w:tc>
          <w:tcPr>
            <w:tcW w:w="1418"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竞赛场地教师休息区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continue"/>
            <w:vAlign w:val="center"/>
          </w:tcPr>
          <w:p>
            <w:pPr>
              <w:pStyle w:val="3"/>
              <w:rPr>
                <w:rFonts w:ascii="仿宋_GB2312" w:hAnsi="仿宋" w:eastAsia="仿宋_GB2312"/>
                <w:color w:val="auto"/>
                <w:sz w:val="24"/>
              </w:rPr>
            </w:pPr>
          </w:p>
        </w:tc>
        <w:tc>
          <w:tcPr>
            <w:tcW w:w="1715"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9:30～1</w:t>
            </w:r>
            <w:r>
              <w:rPr>
                <w:rFonts w:ascii="仿宋_GB2312" w:hAnsi="仿宋" w:eastAsia="仿宋_GB2312"/>
                <w:color w:val="auto"/>
                <w:sz w:val="24"/>
              </w:rPr>
              <w:t>2</w:t>
            </w:r>
            <w:r>
              <w:rPr>
                <w:rFonts w:hint="eastAsia" w:ascii="仿宋_GB2312" w:hAnsi="仿宋" w:eastAsia="仿宋_GB2312"/>
                <w:color w:val="auto"/>
                <w:sz w:val="24"/>
              </w:rPr>
              <w:t>:</w:t>
            </w:r>
            <w:r>
              <w:rPr>
                <w:rFonts w:ascii="仿宋_GB2312" w:hAnsi="仿宋" w:eastAsia="仿宋_GB2312"/>
                <w:color w:val="auto"/>
                <w:sz w:val="24"/>
              </w:rPr>
              <w:t>0</w:t>
            </w:r>
            <w:r>
              <w:rPr>
                <w:rFonts w:hint="eastAsia" w:ascii="仿宋_GB2312" w:hAnsi="仿宋" w:eastAsia="仿宋_GB2312"/>
                <w:color w:val="auto"/>
                <w:sz w:val="24"/>
              </w:rPr>
              <w:t>0</w:t>
            </w:r>
          </w:p>
        </w:tc>
        <w:tc>
          <w:tcPr>
            <w:tcW w:w="2835"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开设装修和客户服务</w:t>
            </w:r>
          </w:p>
        </w:tc>
        <w:tc>
          <w:tcPr>
            <w:tcW w:w="2268"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参赛选手、裁判</w:t>
            </w:r>
          </w:p>
        </w:tc>
        <w:tc>
          <w:tcPr>
            <w:tcW w:w="1418"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continue"/>
            <w:vAlign w:val="center"/>
          </w:tcPr>
          <w:p>
            <w:pPr>
              <w:pStyle w:val="3"/>
              <w:rPr>
                <w:rFonts w:ascii="仿宋_GB2312" w:hAnsi="仿宋" w:eastAsia="仿宋_GB2312"/>
                <w:color w:val="auto"/>
                <w:sz w:val="24"/>
              </w:rPr>
            </w:pPr>
          </w:p>
        </w:tc>
        <w:tc>
          <w:tcPr>
            <w:tcW w:w="1715"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12:00～12:30</w:t>
            </w:r>
          </w:p>
        </w:tc>
        <w:tc>
          <w:tcPr>
            <w:tcW w:w="2835"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午餐</w:t>
            </w:r>
          </w:p>
        </w:tc>
        <w:tc>
          <w:tcPr>
            <w:tcW w:w="2268"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参赛选手、裁判</w:t>
            </w:r>
          </w:p>
          <w:p>
            <w:pPr>
              <w:pStyle w:val="3"/>
              <w:rPr>
                <w:rFonts w:ascii="仿宋_GB2312" w:hAnsi="仿宋" w:eastAsia="仿宋_GB2312"/>
                <w:color w:val="auto"/>
                <w:sz w:val="24"/>
              </w:rPr>
            </w:pPr>
            <w:r>
              <w:rPr>
                <w:rFonts w:hint="eastAsia" w:ascii="仿宋_GB2312" w:hAnsi="仿宋" w:eastAsia="仿宋_GB2312"/>
                <w:color w:val="auto"/>
                <w:sz w:val="24"/>
              </w:rPr>
              <w:t>工作人员</w:t>
            </w:r>
          </w:p>
        </w:tc>
        <w:tc>
          <w:tcPr>
            <w:tcW w:w="1418" w:type="dxa"/>
            <w:vAlign w:val="center"/>
          </w:tcPr>
          <w:p>
            <w:pPr>
              <w:pStyle w:val="3"/>
              <w:rPr>
                <w:rFonts w:ascii="仿宋_GB2312" w:hAnsi="仿宋"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continue"/>
            <w:vAlign w:val="center"/>
          </w:tcPr>
          <w:p>
            <w:pPr>
              <w:pStyle w:val="3"/>
              <w:rPr>
                <w:rFonts w:ascii="仿宋_GB2312" w:hAnsi="仿宋" w:eastAsia="仿宋_GB2312"/>
                <w:color w:val="auto"/>
                <w:sz w:val="24"/>
              </w:rPr>
            </w:pPr>
          </w:p>
        </w:tc>
        <w:tc>
          <w:tcPr>
            <w:tcW w:w="1715"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12:30～17:30</w:t>
            </w:r>
          </w:p>
        </w:tc>
        <w:tc>
          <w:tcPr>
            <w:tcW w:w="2835"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运营推广</w:t>
            </w:r>
          </w:p>
        </w:tc>
        <w:tc>
          <w:tcPr>
            <w:tcW w:w="2268"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参赛选手、裁判</w:t>
            </w:r>
          </w:p>
        </w:tc>
        <w:tc>
          <w:tcPr>
            <w:tcW w:w="1418" w:type="dxa"/>
            <w:vAlign w:val="center"/>
          </w:tcPr>
          <w:p>
            <w:pPr>
              <w:pStyle w:val="3"/>
              <w:rPr>
                <w:rFonts w:ascii="仿宋_GB2312" w:hAnsi="仿宋" w:eastAsia="仿宋_GB2312"/>
                <w:color w:val="auto"/>
                <w:sz w:val="24"/>
              </w:rPr>
            </w:pPr>
            <w:r>
              <w:rPr>
                <w:rFonts w:hint="eastAsia" w:ascii="仿宋_GB2312" w:hAnsi="仿宋" w:eastAsia="仿宋_GB2312"/>
                <w:color w:val="auto"/>
                <w:sz w:val="24"/>
              </w:rPr>
              <w:t>竞赛场地</w:t>
            </w:r>
          </w:p>
        </w:tc>
      </w:tr>
    </w:tbl>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六、竞赛赛卷</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本赛项包括网店开设装修、客户服务、运营推广三部分内容，网店开设装修、客户服务、运营推广均为公开赛卷，至少于开赛</w:t>
      </w:r>
      <w:r>
        <w:rPr>
          <w:rFonts w:ascii="仿宋_GB2312" w:hAnsi="仿宋" w:eastAsia="仿宋_GB2312" w:cs="仿宋"/>
          <w:kern w:val="0"/>
          <w:sz w:val="28"/>
          <w:szCs w:val="28"/>
        </w:rPr>
        <w:t>1</w:t>
      </w:r>
      <w:r>
        <w:rPr>
          <w:rFonts w:hint="eastAsia" w:ascii="仿宋_GB2312" w:hAnsi="仿宋" w:eastAsia="仿宋_GB2312" w:cs="仿宋"/>
          <w:kern w:val="0"/>
          <w:sz w:val="28"/>
          <w:szCs w:val="28"/>
        </w:rPr>
        <w:t>个月前公布赛卷。其中网店开设装修、客户服务技能考核部分建立至少10套赛卷的赛卷库，正式赛卷要求于比赛当日，经赛卷随机排序后，在现场监督人员监督下由裁判长指定相关人员抽取；客户服务综合素养部分至少于开赛前1个月公布包含不少于1</w:t>
      </w:r>
      <w:r>
        <w:rPr>
          <w:rFonts w:ascii="仿宋_GB2312" w:hAnsi="仿宋" w:eastAsia="仿宋_GB2312" w:cs="仿宋"/>
          <w:kern w:val="0"/>
          <w:sz w:val="28"/>
          <w:szCs w:val="28"/>
        </w:rPr>
        <w:t>00</w:t>
      </w:r>
      <w:r>
        <w:rPr>
          <w:rFonts w:hint="eastAsia" w:ascii="仿宋_GB2312" w:hAnsi="仿宋" w:eastAsia="仿宋_GB2312" w:cs="仿宋"/>
          <w:kern w:val="0"/>
          <w:sz w:val="28"/>
          <w:szCs w:val="28"/>
        </w:rPr>
        <w:t>道试题的试题库，比赛开始时系统自动随机从试题库内抽取10道试题进行比赛。</w:t>
      </w:r>
    </w:p>
    <w:p>
      <w:pPr>
        <w:spacing w:line="560" w:lineRule="exact"/>
        <w:ind w:firstLine="560" w:firstLineChars="200"/>
        <w:outlineLvl w:val="1"/>
        <w:rPr>
          <w:rFonts w:ascii="仿宋_GB2312" w:hAnsi="仿宋" w:eastAsia="仿宋_GB2312" w:cs="仿宋"/>
          <w:kern w:val="0"/>
          <w:sz w:val="28"/>
          <w:szCs w:val="28"/>
        </w:rPr>
      </w:pPr>
      <w:r>
        <w:rPr>
          <w:rFonts w:hint="eastAsia" w:ascii="仿宋_GB2312" w:hAnsi="仿宋" w:eastAsia="仿宋_GB2312" w:cs="仿宋"/>
          <w:kern w:val="0"/>
          <w:sz w:val="28"/>
          <w:szCs w:val="28"/>
        </w:rPr>
        <w:t>（一）开设装修（样卷）</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按照开店流程完成网店注册、认证、设置操作。在竞赛软件允许的结构范围内，利用竞赛软件提供的素材，完成PC电商店铺、移动电商店铺、跨境电商店铺首页的“店铺标志、店铺招牌、商品分类、广告图、轮播图、商品推荐”的设计与制作，完成PC电商店铺、移动电商店铺、跨境电商店铺商品详情页的“商品展示类、吸引购买类、促销活动类、实力展示类、交易说明类、关联销售类”的设计与制作，通过图片、程序模板等装饰让店铺丰富美观，提高转化率。比赛当日抽取一类商品作为赛题，按照下面要求完成网店开设装修。</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1．网店开设按照系统流程先开设店铺，设置店铺信息，包括店主姓名、身份证号、身份证复印件(大小不可超过150K)、银行账号、店铺名称、店铺主营、店铺特色、营业执照、店铺分类（背景材料由赛项执委会提供）。</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2．店标(logo)、店招设计</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ab/>
      </w:r>
      <w:r>
        <w:rPr>
          <w:rFonts w:hint="eastAsia" w:ascii="仿宋_GB2312" w:hAnsi="仿宋" w:eastAsia="仿宋_GB2312" w:cs="仿宋"/>
          <w:kern w:val="0"/>
          <w:sz w:val="28"/>
          <w:szCs w:val="28"/>
        </w:rPr>
        <w:t>设计要求：店标（Logo）、店招大小适宜、比例精准、没有压缩变形，能体现店铺所销售的商品，设计独特，具有一定的创新性。</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ab/>
      </w:r>
      <w:r>
        <w:rPr>
          <w:rFonts w:hint="eastAsia" w:ascii="仿宋_GB2312" w:hAnsi="仿宋" w:eastAsia="仿宋_GB2312" w:cs="仿宋"/>
          <w:kern w:val="0"/>
          <w:sz w:val="28"/>
          <w:szCs w:val="28"/>
        </w:rPr>
        <w:t>PC电商店铺要求：制作1张尺寸为230*70像素、大小不超过150K的图片作为店标；PC电商店铺不制作店招。</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ab/>
      </w:r>
      <w:r>
        <w:rPr>
          <w:rFonts w:hint="eastAsia" w:ascii="仿宋_GB2312" w:hAnsi="仿宋" w:eastAsia="仿宋_GB2312" w:cs="仿宋"/>
          <w:kern w:val="0"/>
          <w:sz w:val="28"/>
          <w:szCs w:val="28"/>
        </w:rPr>
        <w:t>移动电商店铺要求：制作1张尺寸为100*100像素、大小不超过80K的图片作为店标；制作1张尺寸为642*200像素、大小不超过200K的图片做为店招。</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跨境电商店铺要求：制作1张尺寸为230*70像素、大小不超过150K的图片作为店标；跨境电商店铺不制作店招。</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3．网店Banner</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设计要求：Banner主题与店铺所经营的商品具有相关性；设计具有吸引力和营销向导；设计规格可以提升店铺整体风格。素材由竞赛组委会提供，提供的图片中共有五种商品，店铺的设计是销售五种商品，其中的四种商品做banner图，剩下一种商品做主图和详情页。</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PC电商店铺要求：制作4张尺寸为727*416像素、大小不超过150K的图片。</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移动电商店铺要求：制作4张尺寸为608*304像素、大小不超过150K的图片。</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跨境电商店铺要求：制作4张尺寸为980*300像素、大小不超150K的图片。</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4.商品主图</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设计要求：图片必须能较好地反映出该商品的功能特点、对顾客有很好的吸引力，保证图片有较好的清晰度，图文结合的图片，文字不能影响图片的整体美观、不能本末倒置；图片素材由赛项执委会提供。</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PC电商店铺要求：制作4张尺寸为800*800像素、大小不超过200K的图片；</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移动电商店铺要求：制作4张尺寸为600*600像素、大小不超过200K的图片；</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跨境电商店铺要求：制作6张尺寸为800*800像素、大小不超过200K的图片。</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5．商品详情页：</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设计要求：商品信息(图片、文本或图文混排)、商品展示（图片）、促销信息、支付与配送信息、售后信息；图片素材由赛项执委会提供。商品描述中包含该商品的适用人群，及对该类人群有何种价值与优势；商品信息中可以允许以促销为目的宣传用语，但不允许过分夸张。</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PC电商店铺要求：运用HTML+CSS和图片配合对商品描述进行排版；要求使用Dreamweaver处理成HTML代码或者用Photoshop设计成图片后放入商品描述里添加。</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移动电商店铺要求：商品详情页所有图片总大小不能超过1536K；图片建议宽度为480～620像素、高度不超过960像素；当在图片上添加文字时，建议中文字体大于等于30号字，英文和阿拉伯数字大于等于20号字；若添加文字内容较多，可使用纯文本的方式进行编辑。</w:t>
      </w:r>
    </w:p>
    <w:p>
      <w:pPr>
        <w:spacing w:line="560" w:lineRule="exact"/>
        <w:ind w:firstLine="560" w:firstLineChars="200"/>
        <w:rPr>
          <w:rFonts w:ascii="仿宋_GB2312" w:hAnsi="仿宋" w:eastAsia="仿宋_GB2312" w:cs="仿宋"/>
          <w:kern w:val="0"/>
          <w:sz w:val="28"/>
          <w:szCs w:val="28"/>
        </w:rPr>
      </w:pPr>
      <w:r>
        <w:rPr>
          <w:rFonts w:hint="eastAsia" w:ascii="微软雅黑" w:hAnsi="微软雅黑" w:eastAsia="微软雅黑" w:cs="微软雅黑"/>
          <w:kern w:val="0"/>
          <w:sz w:val="28"/>
          <w:szCs w:val="28"/>
        </w:rPr>
        <w:t>•</w:t>
      </w:r>
      <w:r>
        <w:rPr>
          <w:rFonts w:hint="eastAsia" w:ascii="仿宋_GB2312" w:hAnsi="仿宋" w:eastAsia="仿宋_GB2312" w:cs="仿宋"/>
          <w:kern w:val="0"/>
          <w:sz w:val="28"/>
          <w:szCs w:val="28"/>
        </w:rPr>
        <w:t>跨境电商店铺要求：运用HTML+CSS和图片配合对商品描述进行排版；要求使用Dreamweaver处理成HTML代码或者用Photoshop设计成图片后放入商品描述里添加。</w:t>
      </w:r>
    </w:p>
    <w:p>
      <w:pPr>
        <w:spacing w:line="560" w:lineRule="exact"/>
        <w:ind w:firstLine="560" w:firstLineChars="200"/>
        <w:outlineLvl w:val="1"/>
        <w:rPr>
          <w:rFonts w:ascii="仿宋_GB2312" w:hAnsi="仿宋" w:eastAsia="仿宋_GB2312" w:cs="仿宋"/>
          <w:kern w:val="0"/>
          <w:sz w:val="28"/>
          <w:szCs w:val="28"/>
        </w:rPr>
      </w:pPr>
      <w:r>
        <w:rPr>
          <w:rFonts w:hint="eastAsia" w:ascii="仿宋_GB2312" w:hAnsi="仿宋" w:eastAsia="仿宋_GB2312" w:cs="仿宋"/>
          <w:kern w:val="0"/>
          <w:sz w:val="28"/>
          <w:szCs w:val="28"/>
        </w:rPr>
        <w:t>（二）客户服务（样卷）</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选手完成系统给出的综合素养考核后，通过在线即时聊天工具完成多类目商品售前、售中、售后服务，针对客户服务过程中“规定用语”采用软件自动评分。选手可以利用竞赛软件编辑快捷回复话术提高响应速度，要求多窗口操作服务多个客户。斜体字为“规定用语”，样题如下：</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1.综合素养</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（1）应对压力的有效反应（C）</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 xml:space="preserve">A．逃避压力 </w:t>
      </w:r>
      <w:r>
        <w:rPr>
          <w:rFonts w:ascii="仿宋_GB2312" w:hAnsi="仿宋" w:eastAsia="仿宋_GB2312" w:cs="仿宋"/>
          <w:kern w:val="0"/>
          <w:sz w:val="28"/>
          <w:szCs w:val="28"/>
        </w:rPr>
        <w:t xml:space="preserve">                 </w:t>
      </w:r>
      <w:r>
        <w:rPr>
          <w:rFonts w:hint="eastAsia" w:ascii="仿宋_GB2312" w:hAnsi="仿宋" w:eastAsia="仿宋_GB2312" w:cs="仿宋"/>
          <w:kern w:val="0"/>
          <w:sz w:val="28"/>
          <w:szCs w:val="28"/>
        </w:rPr>
        <w:t>B. 面对更大的压力去挑战</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C.与其他有过类似经验的人交流D. 改变自己</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（2）面对持负面观点的客户，不管他的看法是否正确，处理时可以使用以下技巧（ABCD）</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A</w:t>
      </w:r>
      <w:r>
        <w:rPr>
          <w:rFonts w:ascii="仿宋_GB2312" w:hAnsi="仿宋" w:eastAsia="仿宋_GB2312" w:cs="仿宋"/>
          <w:kern w:val="0"/>
          <w:sz w:val="28"/>
          <w:szCs w:val="28"/>
        </w:rPr>
        <w:t>.</w:t>
      </w:r>
      <w:r>
        <w:rPr>
          <w:rFonts w:hint="eastAsia" w:ascii="仿宋_GB2312" w:hAnsi="仿宋" w:eastAsia="仿宋_GB2312" w:cs="仿宋"/>
          <w:kern w:val="0"/>
          <w:sz w:val="28"/>
          <w:szCs w:val="28"/>
        </w:rPr>
        <w:t xml:space="preserve">积极聆听 </w:t>
      </w:r>
      <w:r>
        <w:rPr>
          <w:rFonts w:ascii="仿宋_GB2312" w:hAnsi="仿宋" w:eastAsia="仿宋_GB2312" w:cs="仿宋"/>
          <w:kern w:val="0"/>
          <w:sz w:val="28"/>
          <w:szCs w:val="28"/>
        </w:rPr>
        <w:t xml:space="preserve"> </w:t>
      </w:r>
      <w:r>
        <w:rPr>
          <w:rFonts w:hint="eastAsia" w:ascii="仿宋_GB2312" w:hAnsi="仿宋" w:eastAsia="仿宋_GB2312" w:cs="仿宋"/>
          <w:kern w:val="0"/>
          <w:sz w:val="28"/>
          <w:szCs w:val="28"/>
        </w:rPr>
        <w:t>B.中立模式 C</w:t>
      </w:r>
      <w:r>
        <w:rPr>
          <w:rFonts w:ascii="仿宋_GB2312" w:hAnsi="仿宋" w:eastAsia="仿宋_GB2312" w:cs="仿宋"/>
          <w:kern w:val="0"/>
          <w:sz w:val="28"/>
          <w:szCs w:val="28"/>
        </w:rPr>
        <w:t>.</w:t>
      </w:r>
      <w:r>
        <w:rPr>
          <w:rFonts w:hint="eastAsia" w:ascii="仿宋_GB2312" w:hAnsi="仿宋" w:eastAsia="仿宋_GB2312" w:cs="仿宋"/>
          <w:kern w:val="0"/>
          <w:sz w:val="28"/>
          <w:szCs w:val="28"/>
        </w:rPr>
        <w:t>保证尽力 D</w:t>
      </w:r>
      <w:r>
        <w:rPr>
          <w:rFonts w:ascii="仿宋_GB2312" w:hAnsi="仿宋" w:eastAsia="仿宋_GB2312" w:cs="仿宋"/>
          <w:kern w:val="0"/>
          <w:sz w:val="28"/>
          <w:szCs w:val="28"/>
        </w:rPr>
        <w:t>.</w:t>
      </w:r>
      <w:r>
        <w:rPr>
          <w:rFonts w:hint="eastAsia" w:ascii="仿宋_GB2312" w:hAnsi="仿宋" w:eastAsia="仿宋_GB2312" w:cs="仿宋"/>
          <w:kern w:val="0"/>
          <w:sz w:val="28"/>
          <w:szCs w:val="28"/>
        </w:rPr>
        <w:t>重新聚焦</w:t>
      </w:r>
    </w:p>
    <w:p>
      <w:pPr>
        <w:spacing w:line="560" w:lineRule="exact"/>
        <w:ind w:firstLine="560" w:firstLineChars="200"/>
        <w:outlineLvl w:val="2"/>
        <w:rPr>
          <w:rFonts w:ascii="仿宋_GB2312" w:hAnsi="仿宋" w:eastAsia="仿宋_GB2312" w:cs="仿宋"/>
          <w:kern w:val="0"/>
          <w:sz w:val="28"/>
          <w:szCs w:val="28"/>
        </w:rPr>
      </w:pPr>
      <w:r>
        <w:rPr>
          <w:rFonts w:ascii="仿宋_GB2312" w:hAnsi="仿宋" w:eastAsia="仿宋_GB2312" w:cs="仿宋"/>
          <w:kern w:val="0"/>
          <w:sz w:val="28"/>
          <w:szCs w:val="28"/>
        </w:rPr>
        <w:t>2</w:t>
      </w:r>
      <w:r>
        <w:rPr>
          <w:rFonts w:hint="eastAsia" w:ascii="仿宋_GB2312" w:hAnsi="仿宋" w:eastAsia="仿宋_GB2312" w:cs="仿宋"/>
          <w:kern w:val="0"/>
          <w:sz w:val="28"/>
          <w:szCs w:val="28"/>
        </w:rPr>
        <w:t>．关于发票</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买家：可以开发票吗？</w:t>
      </w:r>
    </w:p>
    <w:p>
      <w:pPr>
        <w:spacing w:line="560" w:lineRule="exact"/>
        <w:ind w:firstLine="560" w:firstLineChars="200"/>
        <w:rPr>
          <w:rFonts w:ascii="仿宋_GB2312" w:hAnsi="仿宋" w:eastAsia="仿宋_GB2312" w:cs="仿宋"/>
          <w:i/>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亲，本店提供正规发票的，发票随货物一起发给您的（您若有需要请在拍下后在备注中写清楚发票的抬头，请放心挑选心仪的宝贝哦）。</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买家：发票可以开办公用品吗？</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亲，我们开具的是正规的增值税发票，按照税务部门的有关规定只能如实开具的，敬请谅解。</w:t>
      </w:r>
    </w:p>
    <w:p>
      <w:pPr>
        <w:spacing w:line="560" w:lineRule="exact"/>
        <w:ind w:firstLine="560" w:firstLineChars="200"/>
        <w:outlineLvl w:val="2"/>
        <w:rPr>
          <w:rFonts w:ascii="仿宋_GB2312" w:hAnsi="仿宋" w:eastAsia="仿宋_GB2312" w:cs="仿宋"/>
          <w:kern w:val="0"/>
          <w:sz w:val="28"/>
          <w:szCs w:val="28"/>
        </w:rPr>
      </w:pPr>
      <w:r>
        <w:rPr>
          <w:rFonts w:ascii="仿宋_GB2312" w:hAnsi="仿宋" w:eastAsia="仿宋_GB2312" w:cs="仿宋"/>
          <w:kern w:val="0"/>
          <w:sz w:val="28"/>
          <w:szCs w:val="28"/>
        </w:rPr>
        <w:t>3</w:t>
      </w:r>
      <w:r>
        <w:rPr>
          <w:rFonts w:hint="eastAsia" w:ascii="仿宋_GB2312" w:hAnsi="仿宋" w:eastAsia="仿宋_GB2312" w:cs="仿宋"/>
          <w:kern w:val="0"/>
          <w:sz w:val="28"/>
          <w:szCs w:val="28"/>
        </w:rPr>
        <w:t>．关于物流</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买家：什么时候能发货？</w:t>
      </w:r>
    </w:p>
    <w:p>
      <w:pPr>
        <w:spacing w:line="560" w:lineRule="exact"/>
        <w:ind w:firstLine="560" w:firstLineChars="200"/>
        <w:rPr>
          <w:rFonts w:ascii="仿宋_GB2312" w:hAnsi="仿宋" w:eastAsia="仿宋_GB2312" w:cs="仿宋"/>
          <w:i/>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亲，每天下午四点前拍下付款的订单是当天发货的，四点后次日发货，您的订单我们今天会尽快安排给您发货哦。</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买家：发什么快递？多久能到？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亲，本店商品统一发送申通快递的，正常情况下3-5天可到达，请耐心等待哦。</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买家：可以发顺丰吗？</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亲，如果您有特殊要求，可以给您发顺丰的，但是需要补一下差价哦，敬请谅解。</w:t>
      </w:r>
    </w:p>
    <w:p>
      <w:pPr>
        <w:spacing w:line="560" w:lineRule="exact"/>
        <w:ind w:firstLine="560" w:firstLineChars="200"/>
        <w:outlineLvl w:val="2"/>
        <w:rPr>
          <w:rFonts w:ascii="仿宋_GB2312" w:hAnsi="仿宋" w:eastAsia="仿宋_GB2312" w:cs="仿宋"/>
          <w:kern w:val="0"/>
          <w:sz w:val="28"/>
          <w:szCs w:val="28"/>
        </w:rPr>
      </w:pPr>
      <w:r>
        <w:rPr>
          <w:rFonts w:ascii="仿宋_GB2312" w:hAnsi="仿宋" w:eastAsia="仿宋_GB2312" w:cs="仿宋"/>
          <w:kern w:val="0"/>
          <w:sz w:val="28"/>
          <w:szCs w:val="28"/>
        </w:rPr>
        <w:t>4</w:t>
      </w:r>
      <w:r>
        <w:rPr>
          <w:rFonts w:hint="eastAsia" w:ascii="仿宋_GB2312" w:hAnsi="仿宋" w:eastAsia="仿宋_GB2312" w:cs="仿宋"/>
          <w:kern w:val="0"/>
          <w:sz w:val="28"/>
          <w:szCs w:val="28"/>
        </w:rPr>
        <w:t>．关于技术支持</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买家：上个月刚买的海信电视机，现在屏幕就出问题了，我要退货！</w:t>
      </w:r>
    </w:p>
    <w:p>
      <w:pPr>
        <w:spacing w:line="560" w:lineRule="exact"/>
        <w:ind w:firstLine="560" w:firstLineChars="200"/>
        <w:rPr>
          <w:rFonts w:ascii="仿宋_GB2312" w:hAnsi="仿宋" w:eastAsia="仿宋_GB2312" w:cs="仿宋"/>
          <w:i/>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亲，您购买的商品已经超过无理由退换货期限了，但是您的商品还在保修期期限内，可以帮您联系我们的技术服务人员进行维修，您看可以吗？</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买家：好吧，你帮我联系一下吧。</w:t>
      </w:r>
    </w:p>
    <w:p>
      <w:pPr>
        <w:spacing w:line="560" w:lineRule="exact"/>
        <w:ind w:firstLine="560" w:firstLineChars="200"/>
        <w:rPr>
          <w:rFonts w:ascii="仿宋_GB2312" w:hAnsi="仿宋" w:eastAsia="仿宋_GB2312" w:cs="仿宋"/>
          <w:i/>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您的电视机屏幕现在是什么情况？</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买家：你好，现在电视机屏幕上突然出现了一条线。</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客服：</w:t>
      </w:r>
      <w:r>
        <w:rPr>
          <w:rFonts w:hint="eastAsia" w:ascii="仿宋_GB2312" w:hAnsi="仿宋" w:eastAsia="仿宋_GB2312" w:cs="仿宋"/>
          <w:i/>
          <w:kern w:val="0"/>
          <w:sz w:val="28"/>
          <w:szCs w:val="28"/>
        </w:rPr>
        <w:t>您好，请不要着急，48小时内我们会上门为您维修。</w:t>
      </w:r>
    </w:p>
    <w:p>
      <w:pPr>
        <w:spacing w:line="560" w:lineRule="exact"/>
        <w:ind w:firstLine="560" w:firstLineChars="200"/>
        <w:outlineLvl w:val="1"/>
        <w:rPr>
          <w:rFonts w:ascii="仿宋_GB2312" w:hAnsi="仿宋" w:eastAsia="仿宋_GB2312" w:cs="仿宋"/>
          <w:kern w:val="0"/>
          <w:sz w:val="28"/>
          <w:szCs w:val="28"/>
        </w:rPr>
      </w:pPr>
      <w:r>
        <w:rPr>
          <w:rFonts w:hint="eastAsia" w:ascii="仿宋_GB2312" w:hAnsi="仿宋" w:eastAsia="仿宋_GB2312" w:cs="仿宋"/>
          <w:kern w:val="0"/>
          <w:sz w:val="28"/>
          <w:szCs w:val="28"/>
        </w:rPr>
        <w:t>（三）运营推广</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参赛团队以卖家角色，分析数据魔方，做好区域、商品、人群定位；租赁办公场所，建立配送中心，装修网店，采购商品；根据数据魔方进行搜索引擎优化（SEO）操作、获取尽可能多的自然流量，进行关键词竞价（SEM）推广、获取尽可能多的付费流量，进行站外推广（电视广告、网盟、百度竞价排名）获取尽可能多的站外流量，引导买家进店消费；针对不同消费人群采取不同策略，制定商品价格，促成交易，提升转化率；处理订单，配送商品，结算资金；规划资金需求，控制成本，分析财务指标，调整策略，创造最大利润。</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w:t>
      </w:r>
      <w:r>
        <w:rPr>
          <w:rFonts w:hint="eastAsia" w:ascii="仿宋_GB2312" w:hAnsi="仿宋" w:eastAsia="仿宋_GB2312" w:cs="仿宋"/>
          <w:kern w:val="0"/>
          <w:sz w:val="28"/>
          <w:szCs w:val="28"/>
        </w:rPr>
        <w:t>数据魔方</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系统内置动态的市场模型--“数据魔方”，提供市场需求数据和关键词数据。</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市场需求数据包括期初4类以及以后的十几类商品在15个城市中4种人群的需求量和市场平均价格。卖家根据市场需求数据，分析热销商品，以尽可能低的价格采购商品；分析买家区域分布，就近建立配送中心；确定目标人群，推出团购、秒杀、套餐、促销等优惠活动，促成交易。</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关键词数据提供买家搜索的关键词展现量、点击量、点击率、转化量、转化率、平均点击单价、搜索相关性等信息。根据关键词数据，判断“买家怎么来”。买家通过搜索关键词来寻找所需要的商品，一方面卖家通过优化标题的关键词尽可能匹配买家搜索的关键词，即SEO，属于自然流量；另一方面卖家通过设置与推广商品相关的关键词和点击价格，在买家搜索相应关键词时获得推广商品展现与点击，卖家按照所获流量（点击数）付费，进行商品精准推广，即SEM，属于付费流量。卖家通过SEO和SEM引导买家进店消费。</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2</w:t>
      </w:r>
      <w:r>
        <w:rPr>
          <w:rFonts w:ascii="仿宋_GB2312" w:hAnsi="仿宋" w:eastAsia="仿宋_GB2312" w:cs="仿宋"/>
          <w:kern w:val="0"/>
          <w:sz w:val="28"/>
          <w:szCs w:val="28"/>
        </w:rPr>
        <w:t>.</w:t>
      </w:r>
      <w:r>
        <w:rPr>
          <w:rFonts w:hint="eastAsia" w:ascii="仿宋_GB2312" w:hAnsi="仿宋" w:eastAsia="仿宋_GB2312" w:cs="仿宋"/>
          <w:kern w:val="0"/>
          <w:sz w:val="28"/>
          <w:szCs w:val="28"/>
        </w:rPr>
        <w:t>办公场所设立</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办公场所设立包含选择办公城市、选择办公场所类型和招贤纳士三部分，卖家只能设立一个办公场所。根据不同城市的城市影响力、租金差、工资差等信息选择合适的办公城市；根据办公场所的容纳人数、租赁价格、维修费用等信息选择合适的办公场所；根据员工的业务能力、工资增长率及基本工资选择合适的人员。</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3</w:t>
      </w:r>
      <w:r>
        <w:rPr>
          <w:rFonts w:ascii="仿宋_GB2312" w:hAnsi="仿宋" w:eastAsia="仿宋_GB2312" w:cs="仿宋"/>
          <w:kern w:val="0"/>
          <w:sz w:val="28"/>
          <w:szCs w:val="28"/>
        </w:rPr>
        <w:t>.</w:t>
      </w:r>
      <w:r>
        <w:rPr>
          <w:rFonts w:hint="eastAsia" w:ascii="仿宋_GB2312" w:hAnsi="仿宋" w:eastAsia="仿宋_GB2312" w:cs="仿宋"/>
          <w:kern w:val="0"/>
          <w:sz w:val="28"/>
          <w:szCs w:val="28"/>
        </w:rPr>
        <w:t>配送中心设立：</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包括租赁、改建、搬迁、退租、设配区五个功能，每个城市只能建立一个配送中心。</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租赁：根据体积、租赁价格、维修费用、管理费用及搬迁费用选择合适的配送中心；</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改建：若租赁时选择的配送中心不能满足实际需求，则可以进行改建；改建时，若是将体积小的改为体积大的，则补充租金差价；若是体积大的改为体积小的，不退还租金差价；</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搬迁：改变仓库的所在城市；搬迁需支付相应费用，若搬迁至租金高的城市则需补充相应差价，反之搬迁至租金低的城市不退还差价；搬迁时仓库必须空置。</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退租：把闲置的仓库退租，若不退租则到期后系统默认续租；退租时，仓库必须空置；每期中间退租，则需支付整期人员工资。</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设配区：为每个配送中心设置默认的配送区域及默认的物流方式；若多个配送中心选择的默认配送区域里包含若干个相同的城市，则在这些城市中按照租赁配送中心操作的顺序确定默认的配送中心。</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4</w:t>
      </w:r>
      <w:r>
        <w:rPr>
          <w:rFonts w:ascii="仿宋_GB2312" w:hAnsi="仿宋" w:eastAsia="仿宋_GB2312" w:cs="仿宋"/>
          <w:kern w:val="0"/>
          <w:sz w:val="28"/>
          <w:szCs w:val="28"/>
        </w:rPr>
        <w:t>.</w:t>
      </w:r>
      <w:r>
        <w:rPr>
          <w:rFonts w:hint="eastAsia" w:ascii="仿宋_GB2312" w:hAnsi="仿宋" w:eastAsia="仿宋_GB2312" w:cs="仿宋"/>
          <w:kern w:val="0"/>
          <w:sz w:val="28"/>
          <w:szCs w:val="28"/>
        </w:rPr>
        <w:t>店铺开设</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开设C店：C店不可以进行站外推广。</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开设B店：筹备周期需要4期，每期费用为60；B店可以进行站外推广，获取站外流量。</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5</w:t>
      </w:r>
      <w:r>
        <w:rPr>
          <w:rFonts w:ascii="仿宋_GB2312" w:hAnsi="仿宋" w:eastAsia="仿宋_GB2312" w:cs="仿宋"/>
          <w:kern w:val="0"/>
          <w:sz w:val="28"/>
          <w:szCs w:val="28"/>
        </w:rPr>
        <w:t>.</w:t>
      </w:r>
      <w:r>
        <w:rPr>
          <w:rFonts w:hint="eastAsia" w:ascii="仿宋_GB2312" w:hAnsi="仿宋" w:eastAsia="仿宋_GB2312" w:cs="仿宋"/>
          <w:kern w:val="0"/>
          <w:sz w:val="28"/>
          <w:szCs w:val="28"/>
        </w:rPr>
        <w:t>网店装修</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店铺装修增加视觉值，每种装修费用不同，获得的视觉值也不同；店铺的视觉值每期都会下降10。</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6</w:t>
      </w:r>
      <w:r>
        <w:rPr>
          <w:rFonts w:ascii="仿宋_GB2312" w:hAnsi="仿宋" w:eastAsia="仿宋_GB2312" w:cs="仿宋"/>
          <w:kern w:val="0"/>
          <w:sz w:val="28"/>
          <w:szCs w:val="28"/>
        </w:rPr>
        <w:t>.</w:t>
      </w:r>
      <w:r>
        <w:rPr>
          <w:rFonts w:hint="eastAsia" w:ascii="仿宋_GB2312" w:hAnsi="仿宋" w:eastAsia="仿宋_GB2312" w:cs="仿宋"/>
          <w:kern w:val="0"/>
          <w:sz w:val="28"/>
          <w:szCs w:val="28"/>
        </w:rPr>
        <w:t>采购投标</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提交采购投标方案，系统自动评判中标方；只能在有配送中心的城市进行投标；采购投标时，同一种商品投标单价高的成交，直到所有商品全部成交为止。如果竞标价格相同，则与供应商的关系值高的优先成交；如果竞标价格相同，与供应商的关系值也相同，则媒体影响力高的优先成交；继续比较社会慈善，销售额，投标提交的先后顺序来依次交易。</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7</w:t>
      </w:r>
      <w:r>
        <w:rPr>
          <w:rFonts w:ascii="仿宋_GB2312" w:hAnsi="仿宋" w:eastAsia="仿宋_GB2312" w:cs="仿宋"/>
          <w:kern w:val="0"/>
          <w:sz w:val="28"/>
          <w:szCs w:val="28"/>
        </w:rPr>
        <w:t>.</w:t>
      </w:r>
      <w:r>
        <w:rPr>
          <w:rFonts w:hint="eastAsia" w:ascii="仿宋_GB2312" w:hAnsi="仿宋" w:eastAsia="仿宋_GB2312" w:cs="仿宋"/>
          <w:kern w:val="0"/>
          <w:sz w:val="28"/>
          <w:szCs w:val="28"/>
        </w:rPr>
        <w:t>商品入库</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采购中标城市配送中心的容量大于入库商品的体积时方可入库。</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8</w:t>
      </w:r>
      <w:r>
        <w:rPr>
          <w:rFonts w:ascii="仿宋_GB2312" w:hAnsi="仿宋" w:eastAsia="仿宋_GB2312" w:cs="仿宋"/>
          <w:kern w:val="0"/>
          <w:sz w:val="28"/>
          <w:szCs w:val="28"/>
        </w:rPr>
        <w:t>.</w:t>
      </w:r>
      <w:r>
        <w:rPr>
          <w:rFonts w:hint="eastAsia" w:ascii="仿宋_GB2312" w:hAnsi="仿宋" w:eastAsia="仿宋_GB2312" w:cs="仿宋"/>
          <w:kern w:val="0"/>
          <w:sz w:val="28"/>
          <w:szCs w:val="28"/>
        </w:rPr>
        <w:t>商品发布</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价格制定：</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商品价格=商品一口价+物流运费（卖家承担运费时为0）。</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物流运费：</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发布商品时卖家可以选择卖家承担运费或买家承担运费。买家承担运费时，卖家可以创建运费模板或者直接输入各种物流方式的物流运费，买家会将商品一口价和物流运费一同支付给卖家；但卖家可以采用任意物流方式运输（只要在买家规定的时间内送达，否则将承担退单的违约责任），配送完成后由卖家支付物流公司的实际运费。卖家承担运费时，买家只需将商品一口价支付给卖家，配送完成后由卖家支付物流公司的实际运费。</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创建运费模板时，卖家可分别设置各种物流方式的默认运费及每超过一件需要增加的运费；每超过一件需要增加的运费不能高于默认运费的0.5倍；直接输入各种物流方式的物流运费时，此物流运费为整单（若干件）的物流运费。</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售后服务：</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保修会产生售后服务费用。</w:t>
      </w:r>
    </w:p>
    <w:p>
      <w:pPr>
        <w:spacing w:line="560" w:lineRule="exact"/>
        <w:ind w:firstLine="560" w:firstLineChars="200"/>
        <w:outlineLvl w:val="2"/>
        <w:rPr>
          <w:rFonts w:ascii="仿宋_GB2312" w:hAnsi="仿宋" w:eastAsia="仿宋_GB2312" w:cs="仿宋"/>
          <w:kern w:val="0"/>
          <w:sz w:val="28"/>
          <w:szCs w:val="28"/>
        </w:rPr>
      </w:pPr>
      <w:r>
        <w:rPr>
          <w:rFonts w:ascii="仿宋_GB2312" w:hAnsi="仿宋" w:eastAsia="仿宋_GB2312" w:cs="仿宋"/>
          <w:kern w:val="0"/>
          <w:sz w:val="28"/>
          <w:szCs w:val="28"/>
        </w:rPr>
        <w:t>9.</w:t>
      </w:r>
      <w:r>
        <w:rPr>
          <w:rFonts w:hint="eastAsia" w:ascii="仿宋_GB2312" w:hAnsi="仿宋" w:eastAsia="仿宋_GB2312" w:cs="仿宋"/>
          <w:kern w:val="0"/>
          <w:sz w:val="28"/>
          <w:szCs w:val="28"/>
        </w:rPr>
        <w:t>SEO优化</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每种商品最多可以选择7个标题关键词，通过优化标题关键词尽可能匹配买家搜索的关键词，在买家搜索某个关键词时，展示与该关键词相关的商品，并取得靠前的自然排名。</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SEO排名得分=关键词相关性（数据魔方提供）*SEO关键词匹配方式得分*0.4+商品绩效得分*0.06。</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SEO关键词匹配方式分为：完全匹配、高度匹配、部分匹配。</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只有当买家搜索的词与卖家设置的标题关键词完全相同时称为完全匹配，SEO关键词匹配方式得分为1；当买家搜索的词是卖家设置的标题关键词的子集时称为高度匹配，SEO关键词匹配方式得分为0.5；当买家搜索的词与卖家设置的标题关键词文字部分匹配时称为部分匹配，SEO关键词匹配方式得分为0.2。</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例如，卖家标题关键词设置为“韩版 棉衣”，三种匹配方式如下：买家搜索关键词为“韩版 棉衣”时，匹配方式为完全匹配；买家搜索关键词为“韩版”或“棉衣”时，匹配方式为高度匹配；买家搜索关键词为“男款 棉衣”或“韩版 外套”这一类型词时，匹配方式为部分匹配。</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商品绩效：</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商品绩效得分（总分100）=商品点击率得分+商品点击量得分+商品转化率得分+商品转化量得分+退单率得分+保修得分。</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商品展现量：该商品被展现的次数。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商品点击量：该商品被点击的次数。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商品点击率：商品点击量/商品展现量。</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商品转化量：该商品最终达成的成交单数。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商品转化率：商品转化量/商品点击量。</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商品退单量：该商品累计退单的数量。</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商品退单率：商品退单量/商品成交量（订单数）。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保修：售后服务类型，会产生售后服务费用。</w:t>
      </w:r>
    </w:p>
    <w:p>
      <w:pPr>
        <w:spacing w:line="560" w:lineRule="exact"/>
        <w:ind w:firstLine="560" w:firstLineChars="200"/>
        <w:outlineLvl w:val="2"/>
        <w:rPr>
          <w:rFonts w:ascii="仿宋_GB2312" w:hAnsi="仿宋" w:eastAsia="仿宋_GB2312" w:cs="仿宋"/>
          <w:kern w:val="0"/>
          <w:sz w:val="28"/>
          <w:szCs w:val="28"/>
        </w:rPr>
      </w:pPr>
      <w:r>
        <w:rPr>
          <w:rFonts w:ascii="仿宋_GB2312" w:hAnsi="仿宋" w:eastAsia="仿宋_GB2312" w:cs="仿宋"/>
          <w:kern w:val="0"/>
          <w:sz w:val="28"/>
          <w:szCs w:val="28"/>
        </w:rPr>
        <w:t>10.</w:t>
      </w:r>
      <w:r>
        <w:rPr>
          <w:rFonts w:hint="eastAsia" w:ascii="仿宋_GB2312" w:hAnsi="仿宋" w:eastAsia="仿宋_GB2312" w:cs="仿宋"/>
          <w:kern w:val="0"/>
          <w:sz w:val="28"/>
          <w:szCs w:val="28"/>
        </w:rPr>
        <w:t>SEM推广：</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通过对自己所销售商品相关的关键词出具一定的竞价价格，在买家搜索其中某个关键词时，展示与该关键词相关的商品，并取得靠前的搜索排名。</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SEM排名得分=质量分*竞价价格。</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质量分=关键词搜索相关性*0.4+商品绩效*0.06。</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竞价价格：为取得靠前的排名为某关键词所出的一次点击的价格。</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卖家实际为某个SEM关键词的一次点击支付的费用=该关键词排名下一名的竞价价格*(下一名的质量得分/本组的质量得分)+0.01</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例如，一个卖家A与卖家B都选取了“办公家具”这个关键词做SEM推广，且在该关键词的搜索排名中卖家A排名第一，卖家B排名第二。卖家A竞价价格为1.5，卖家B竞价价格为1。卖家A该词质量分10分，卖家B该词质量分8分。则卖家A实际为该关键词一次点击支付的费用=1*（8分/10分）+0.01=0.81元。</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SEM关键词匹配方式分为：精确匹配、中心匹配、广泛匹配。</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精确匹配是卖家投放的关键词与买家搜索的关键词完全相同才能被搜索到；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中心匹配是指卖家投放的关键词是买家搜索的关键词的子集时也能被搜索到；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广泛匹配是指卖家投放的关键词与买家搜索的关键词有一部分相同即可被搜索到。</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例如：</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设置为精确匹配时，卖家投放“棉衣”，买家搜索“棉衣”时可搜索到卖家；</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设置为中心匹配时，卖家投放“棉衣”，买家搜索“韩版 棉衣”也可搜索到卖家；</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设置为广泛匹配时，卖家投放“韩版 棉衣”，买家搜索“韩版”或“短款 棉衣”时可搜索到卖家。</w:t>
      </w:r>
    </w:p>
    <w:p>
      <w:pPr>
        <w:spacing w:line="560" w:lineRule="exact"/>
        <w:ind w:firstLine="560" w:firstLineChars="200"/>
        <w:outlineLvl w:val="2"/>
        <w:rPr>
          <w:rFonts w:ascii="仿宋_GB2312" w:hAnsi="仿宋" w:eastAsia="仿宋_GB2312" w:cs="仿宋"/>
          <w:kern w:val="0"/>
          <w:sz w:val="28"/>
          <w:szCs w:val="28"/>
        </w:rPr>
      </w:pPr>
      <w:r>
        <w:rPr>
          <w:rFonts w:ascii="仿宋_GB2312" w:hAnsi="仿宋" w:eastAsia="仿宋_GB2312" w:cs="仿宋"/>
          <w:kern w:val="0"/>
          <w:sz w:val="28"/>
          <w:szCs w:val="28"/>
        </w:rPr>
        <w:t>11.</w:t>
      </w:r>
      <w:r>
        <w:rPr>
          <w:rFonts w:hint="eastAsia" w:ascii="仿宋_GB2312" w:hAnsi="仿宋" w:eastAsia="仿宋_GB2312" w:cs="仿宋"/>
          <w:kern w:val="0"/>
          <w:sz w:val="28"/>
          <w:szCs w:val="28"/>
        </w:rPr>
        <w:t>SEM管理：</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每个推广组对应一个商品，但是每个商品可以对应多个推广组，所以针对同一个商品的不同关键词设定不同的竞价价格可以更好的达到SEM推广效果。</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2.</w:t>
      </w:r>
      <w:r>
        <w:rPr>
          <w:rFonts w:hint="eastAsia" w:ascii="仿宋_GB2312" w:hAnsi="仿宋" w:eastAsia="仿宋_GB2312" w:cs="仿宋"/>
          <w:kern w:val="0"/>
          <w:sz w:val="28"/>
          <w:szCs w:val="28"/>
        </w:rPr>
        <w:t>团购：</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团购价格=商品价格×团购折扣。</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3.</w:t>
      </w:r>
      <w:r>
        <w:rPr>
          <w:rFonts w:hint="eastAsia" w:ascii="仿宋_GB2312" w:hAnsi="仿宋" w:eastAsia="仿宋_GB2312" w:cs="仿宋"/>
          <w:kern w:val="0"/>
          <w:sz w:val="28"/>
          <w:szCs w:val="28"/>
        </w:rPr>
        <w:t>秒杀：</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秒杀价格=商品价格×50%。</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4.</w:t>
      </w:r>
      <w:r>
        <w:rPr>
          <w:rFonts w:hint="eastAsia" w:ascii="仿宋_GB2312" w:hAnsi="仿宋" w:eastAsia="仿宋_GB2312" w:cs="仿宋"/>
          <w:kern w:val="0"/>
          <w:sz w:val="28"/>
          <w:szCs w:val="28"/>
        </w:rPr>
        <w:t>套餐：</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套餐可组合多种商品搭配出售，套餐价格=套餐包含商品的单价总和。</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5.</w:t>
      </w:r>
      <w:r>
        <w:rPr>
          <w:rFonts w:hint="eastAsia" w:ascii="仿宋_GB2312" w:hAnsi="仿宋" w:eastAsia="仿宋_GB2312" w:cs="仿宋"/>
          <w:kern w:val="0"/>
          <w:sz w:val="28"/>
          <w:szCs w:val="28"/>
        </w:rPr>
        <w:t>促销：</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满就送、多买折扣、买第几件折扣促销。</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6.</w:t>
      </w:r>
      <w:r>
        <w:rPr>
          <w:rFonts w:hint="eastAsia" w:ascii="仿宋_GB2312" w:hAnsi="仿宋" w:eastAsia="仿宋_GB2312" w:cs="仿宋"/>
          <w:kern w:val="0"/>
          <w:sz w:val="28"/>
          <w:szCs w:val="28"/>
        </w:rPr>
        <w:t>站外推广：</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只有B店才允许站外推广。选手可以通过站外流量（电视广告、网盟、百度竞价排名等渠道）来获取新的订单。</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7.</w:t>
      </w:r>
      <w:r>
        <w:rPr>
          <w:rFonts w:hint="eastAsia" w:ascii="仿宋_GB2312" w:hAnsi="仿宋" w:eastAsia="仿宋_GB2312" w:cs="仿宋"/>
          <w:kern w:val="0"/>
          <w:sz w:val="28"/>
          <w:szCs w:val="28"/>
        </w:rPr>
        <w:t>订单分发：</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分为手动分发和自动分发两种；手动分发需要选择货物出库的配送中心，自动分发按照已设定好的配送范围自动选择货物出库的配送中心；自动分发可以选择全部自动分发或者分批自动分发。</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8.</w:t>
      </w:r>
      <w:r>
        <w:rPr>
          <w:rFonts w:hint="eastAsia" w:ascii="仿宋_GB2312" w:hAnsi="仿宋" w:eastAsia="仿宋_GB2312" w:cs="仿宋"/>
          <w:kern w:val="0"/>
          <w:sz w:val="28"/>
          <w:szCs w:val="28"/>
        </w:rPr>
        <w:t>物流选择：</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分为手动安排和自动安排两种；手动安排需要选择运输货物的物流方式，自动安排按照已设定好的物流方式自动安排；自动安排可以选择全部自动安排或者分批自动安排。</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1</w:t>
      </w:r>
      <w:r>
        <w:rPr>
          <w:rFonts w:ascii="仿宋_GB2312" w:hAnsi="仿宋" w:eastAsia="仿宋_GB2312" w:cs="仿宋"/>
          <w:kern w:val="0"/>
          <w:sz w:val="28"/>
          <w:szCs w:val="28"/>
        </w:rPr>
        <w:t>9.</w:t>
      </w:r>
      <w:r>
        <w:rPr>
          <w:rFonts w:hint="eastAsia" w:ascii="仿宋_GB2312" w:hAnsi="仿宋" w:eastAsia="仿宋_GB2312" w:cs="仿宋"/>
          <w:kern w:val="0"/>
          <w:sz w:val="28"/>
          <w:szCs w:val="28"/>
        </w:rPr>
        <w:t>货物出库：</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根据订单的到货周期，合理安排商品出库。</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如果未在订单要求期限之前送到，客户将拒绝签收。</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系统会按照物流路线信息自动扣除实际运费。</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2</w:t>
      </w:r>
      <w:r>
        <w:rPr>
          <w:rFonts w:ascii="仿宋_GB2312" w:hAnsi="仿宋" w:eastAsia="仿宋_GB2312" w:cs="仿宋"/>
          <w:kern w:val="0"/>
          <w:sz w:val="28"/>
          <w:szCs w:val="28"/>
        </w:rPr>
        <w:t>0.</w:t>
      </w:r>
      <w:r>
        <w:rPr>
          <w:rFonts w:hint="eastAsia" w:ascii="仿宋_GB2312" w:hAnsi="仿宋" w:eastAsia="仿宋_GB2312" w:cs="仿宋"/>
          <w:kern w:val="0"/>
          <w:sz w:val="28"/>
          <w:szCs w:val="28"/>
        </w:rPr>
        <w:t>货物签收：</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无论任何物流方式配送的订单，货款均在签收后直接到账。</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2</w:t>
      </w:r>
      <w:r>
        <w:rPr>
          <w:rFonts w:ascii="仿宋_GB2312" w:hAnsi="仿宋" w:eastAsia="仿宋_GB2312" w:cs="仿宋"/>
          <w:kern w:val="0"/>
          <w:sz w:val="28"/>
          <w:szCs w:val="28"/>
        </w:rPr>
        <w:t>1.</w:t>
      </w:r>
      <w:r>
        <w:rPr>
          <w:rFonts w:hint="eastAsia" w:ascii="仿宋_GB2312" w:hAnsi="仿宋" w:eastAsia="仿宋_GB2312" w:cs="仿宋"/>
          <w:kern w:val="0"/>
          <w:sz w:val="28"/>
          <w:szCs w:val="28"/>
        </w:rPr>
        <w:t>财务：</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支付应付款。</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系统自动计算人员工资、租赁费、管理费、维修费、应交税费。</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短贷利率：5%，民间融资利率：15%，长期贷款利率：10%。</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2</w:t>
      </w:r>
      <w:r>
        <w:rPr>
          <w:rFonts w:ascii="仿宋_GB2312" w:hAnsi="仿宋" w:eastAsia="仿宋_GB2312" w:cs="仿宋"/>
          <w:kern w:val="0"/>
          <w:sz w:val="28"/>
          <w:szCs w:val="28"/>
        </w:rPr>
        <w:t>2.</w:t>
      </w:r>
      <w:r>
        <w:rPr>
          <w:rFonts w:hint="eastAsia" w:ascii="仿宋_GB2312" w:hAnsi="仿宋" w:eastAsia="仿宋_GB2312" w:cs="仿宋"/>
          <w:kern w:val="0"/>
          <w:sz w:val="28"/>
          <w:szCs w:val="28"/>
        </w:rPr>
        <w:t>信誉度</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获得订单后，在客户的需求期限内正常交货，获得1的信誉度；违约第1单，获得-</w:t>
      </w:r>
      <w:r>
        <w:rPr>
          <w:rFonts w:ascii="仿宋_GB2312" w:hAnsi="仿宋" w:eastAsia="仿宋_GB2312" w:cs="仿宋"/>
          <w:kern w:val="0"/>
          <w:sz w:val="28"/>
          <w:szCs w:val="28"/>
        </w:rPr>
        <w:t>1</w:t>
      </w:r>
      <w:r>
        <w:rPr>
          <w:rFonts w:hint="eastAsia" w:ascii="仿宋_GB2312" w:hAnsi="仿宋" w:eastAsia="仿宋_GB2312" w:cs="仿宋"/>
          <w:kern w:val="0"/>
          <w:sz w:val="28"/>
          <w:szCs w:val="28"/>
        </w:rPr>
        <w:t>的信誉度，违约第2单获得-</w:t>
      </w:r>
      <w:r>
        <w:rPr>
          <w:rFonts w:ascii="仿宋_GB2312" w:hAnsi="仿宋" w:eastAsia="仿宋_GB2312" w:cs="仿宋"/>
          <w:kern w:val="0"/>
          <w:sz w:val="28"/>
          <w:szCs w:val="28"/>
        </w:rPr>
        <w:t>2</w:t>
      </w:r>
      <w:r>
        <w:rPr>
          <w:rFonts w:hint="eastAsia" w:ascii="仿宋_GB2312" w:hAnsi="仿宋" w:eastAsia="仿宋_GB2312" w:cs="仿宋"/>
          <w:kern w:val="0"/>
          <w:sz w:val="28"/>
          <w:szCs w:val="28"/>
        </w:rPr>
        <w:t>的信誉度，依次类推，违约的第N单获得-N的信誉度。</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信誉度为负后无法获得来自综合人群、品牌人群的订单。</w:t>
      </w:r>
    </w:p>
    <w:p>
      <w:pPr>
        <w:spacing w:line="560" w:lineRule="exact"/>
        <w:ind w:firstLine="560" w:firstLineChars="200"/>
        <w:outlineLvl w:val="2"/>
        <w:rPr>
          <w:rFonts w:ascii="仿宋_GB2312" w:hAnsi="仿宋" w:eastAsia="仿宋_GB2312" w:cs="仿宋"/>
          <w:kern w:val="0"/>
          <w:sz w:val="28"/>
          <w:szCs w:val="28"/>
        </w:rPr>
      </w:pPr>
      <w:r>
        <w:rPr>
          <w:rFonts w:hint="eastAsia" w:ascii="仿宋_GB2312" w:hAnsi="仿宋" w:eastAsia="仿宋_GB2312" w:cs="仿宋"/>
          <w:kern w:val="0"/>
          <w:sz w:val="28"/>
          <w:szCs w:val="28"/>
        </w:rPr>
        <w:t>2</w:t>
      </w:r>
      <w:r>
        <w:rPr>
          <w:rFonts w:ascii="仿宋_GB2312" w:hAnsi="仿宋" w:eastAsia="仿宋_GB2312" w:cs="仿宋"/>
          <w:kern w:val="0"/>
          <w:sz w:val="28"/>
          <w:szCs w:val="28"/>
        </w:rPr>
        <w:t>3.</w:t>
      </w:r>
      <w:r>
        <w:rPr>
          <w:rFonts w:hint="eastAsia" w:ascii="仿宋_GB2312" w:hAnsi="仿宋" w:eastAsia="仿宋_GB2312" w:cs="仿宋"/>
          <w:kern w:val="0"/>
          <w:sz w:val="28"/>
          <w:szCs w:val="28"/>
        </w:rPr>
        <w:t>关账：</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每轮经营结束关账后，系统自动提供“利润表”和“资产负债表”，自动计算各组的得分。</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七、竞赛规则</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报名资格：</w:t>
      </w:r>
      <w:bookmarkStart w:id="0" w:name="OLE_LINK2"/>
      <w:r>
        <w:rPr>
          <w:rFonts w:hint="eastAsia" w:ascii="仿宋_GB2312" w:hAnsi="仿宋" w:cs="仿宋"/>
        </w:rPr>
        <w:t>参赛选手须为普通高等学校全日制在籍专科学生；本科院校中高职类全日制在籍学生；五年制高职四、五年级学生。选手年龄须不超过25周岁，年龄计算截止时间为201</w:t>
      </w:r>
      <w:r>
        <w:rPr>
          <w:rFonts w:ascii="仿宋_GB2312" w:hAnsi="仿宋" w:cs="仿宋"/>
        </w:rPr>
        <w:t>9</w:t>
      </w:r>
      <w:r>
        <w:rPr>
          <w:rFonts w:hint="eastAsia" w:ascii="仿宋_GB2312" w:hAnsi="仿宋" w:cs="仿宋"/>
        </w:rPr>
        <w:t>年</w:t>
      </w:r>
      <w:r>
        <w:rPr>
          <w:rFonts w:ascii="仿宋_GB2312" w:hAnsi="仿宋" w:cs="仿宋"/>
        </w:rPr>
        <w:t>10</w:t>
      </w:r>
      <w:r>
        <w:rPr>
          <w:rFonts w:hint="eastAsia" w:ascii="仿宋_GB2312" w:hAnsi="仿宋" w:cs="仿宋"/>
        </w:rPr>
        <w:t>月1日。</w:t>
      </w:r>
    </w:p>
    <w:bookmarkEnd w:id="0"/>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报名要求：参赛选手和指导教师报名获得确认后不得随意更换。如比赛前参赛选手和指导教师因故无法参赛，须由省级教育行政部门于参与赛项开赛10个工作日之前出具书面说明，经大赛执委会办公室核实后予以更换。团体赛选手因特殊原因不能参加比赛时，由大赛执委会办公室根据赛项的特点决定是否可进行缺员比赛，并上报大赛执委会备案。如未经报备，发现实际参赛选手与报名信息不符的情况，均不得入场。凡在往届全国职业院校技能大赛中获一等奖的选手，不能再参加同一项目同一组别的全省比赛。</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color w:val="auto"/>
        </w:rPr>
      </w:pPr>
      <w:r>
        <w:rPr>
          <w:rFonts w:hint="eastAsia" w:ascii="仿宋_GB2312" w:hAnsi="仿宋" w:cs="仿宋"/>
          <w:color w:val="auto"/>
        </w:rPr>
        <w:t>熟悉场地：比赛日前一天下午15:30～16:20开放赛场，熟悉场地。</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color w:val="auto"/>
        </w:rPr>
      </w:pPr>
      <w:r>
        <w:rPr>
          <w:rFonts w:hint="eastAsia" w:ascii="仿宋_GB2312" w:hAnsi="仿宋" w:cs="仿宋"/>
          <w:color w:val="auto"/>
        </w:rPr>
        <w:t>领队会议：比赛日前一天下午14:45～15:30召开领队会议，由各参赛队的领队和指导教师参加，会议讲解竞赛注意事项并进行赛前答疑。</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检录：</w:t>
      </w:r>
      <w:r>
        <w:t>由检录工作人员依照检录表进行点名核对，并检查确定无误后向裁判长递交检录单。</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加密：</w:t>
      </w:r>
      <w:r>
        <w:t>所有比赛项目在比赛的当天进行两次加密，加密后参赛选手中途不得擅自离开赛场。分别由两组加密裁判组织实施加密工作，管理加密结果。监督员全程监督加密过程。第一组加密裁判，组织参赛选手进行第一次抽签，产生参赛编号，替换选手参赛证等个人身份信息，在《</w:t>
      </w:r>
      <w:r>
        <w:rPr>
          <w:rFonts w:hint="eastAsia"/>
        </w:rPr>
        <w:t>海南省</w:t>
      </w:r>
      <w:r>
        <w:t>职业院校技能大赛一次加密记录表》中填写一次加密记录表后，连同选手参赛证等个人身份信息证件，当即装入一次加密结果密封袋中单独保管。第二组加密裁判，组织参赛选手进行第二次抽签，确定赛位号，替换选手参赛编号，在《</w:t>
      </w:r>
      <w:r>
        <w:rPr>
          <w:rFonts w:hint="eastAsia"/>
        </w:rPr>
        <w:t>海南省</w:t>
      </w:r>
      <w:r>
        <w:t>职业院校技能大赛二次加密记录表》中填写二次加密记录表后，连同选手参赛编号，当即装入二次加密结果密封袋中单独保管。所有加密结果密封袋的封条均需相应的加密裁判和监督人员签字。密封袋在监督人员监督下由加密裁判放置于保密室的保险柜中保存。</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引导：</w:t>
      </w:r>
      <w:r>
        <w:t>参赛选手凭赛位号进入赛场，不得携带其他显示个人身份信息</w:t>
      </w:r>
      <w:r>
        <w:rPr>
          <w:rFonts w:hint="eastAsia"/>
        </w:rPr>
        <w:t>的物品，不得携带</w:t>
      </w:r>
      <w:r>
        <w:rPr>
          <w:rFonts w:hint="eastAsia" w:ascii="仿宋_GB2312" w:hAnsi="仿宋" w:cs="仿宋"/>
        </w:rPr>
        <w:t>与竞赛无关的电子设备、通讯设备及其他相关资料与用品</w:t>
      </w:r>
      <w:r>
        <w:t>。现场裁判负责引导参赛队伍至赛位前等待竞赛指令。比赛开始前，在没有裁判允许的情况下，严禁随意触碰竞赛设施和阅读赛卷内容。比赛中途不得离开赛场。</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由裁判长宣布比赛开始，各参赛队开始竞赛。</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竞赛过程中，如遇设备或软件等故障，参赛选手应持“故障”示意牌示意。裁判、技术人员等应及时予以解决。确因计算机软件或硬件故障，致使操作无法继续的，经裁判同意，予以启用备用计算机。如遇身体不适，参赛选手应持“医务”示意牌示意，现场医务人员按应急预案救治。如有其它问题，参赛选手应持“咨询”示意牌示意，裁判应按照有关要求及时予以答疑。</w:t>
      </w:r>
    </w:p>
    <w:p>
      <w:pPr>
        <w:pStyle w:val="19"/>
        <w:numPr>
          <w:ilvl w:val="0"/>
          <w:numId w:val="1"/>
        </w:numPr>
        <w:tabs>
          <w:tab w:val="left" w:pos="851"/>
          <w:tab w:val="left" w:pos="993"/>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运营推广竞赛结束后，裁判公布竞赛结果，并将成绩登录在竞赛成绩单上。各参赛队伍派一名参赛代表在竞赛成绩单上签字，裁判监督所有参赛队伍签字后，裁判签字。</w:t>
      </w:r>
    </w:p>
    <w:p>
      <w:pPr>
        <w:pStyle w:val="19"/>
        <w:numPr>
          <w:ilvl w:val="0"/>
          <w:numId w:val="1"/>
        </w:numPr>
        <w:tabs>
          <w:tab w:val="left" w:pos="851"/>
          <w:tab w:val="left" w:pos="993"/>
        </w:tabs>
        <w:adjustRightInd w:val="0"/>
        <w:snapToGrid w:val="0"/>
        <w:spacing w:beforeLines="0" w:afterLines="0" w:line="560" w:lineRule="exact"/>
        <w:ind w:left="0" w:firstLine="567" w:firstLineChars="0"/>
        <w:rPr>
          <w:rFonts w:ascii="仿宋_GB2312" w:hAnsi="仿宋" w:cs="仿宋"/>
        </w:rPr>
      </w:pPr>
      <w:r>
        <w:rPr>
          <w:rFonts w:ascii="仿宋_GB2312" w:hAnsi="仿宋" w:cs="仿宋"/>
        </w:rPr>
        <w:t>记分员将解密后的各参赛队伍（选手）成绩汇总成最终成绩单，经裁判长、监督组签字后进行</w:t>
      </w:r>
      <w:r>
        <w:rPr>
          <w:rFonts w:hint="eastAsia" w:ascii="仿宋_GB2312" w:hAnsi="仿宋" w:cs="仿宋"/>
        </w:rPr>
        <w:t>公布</w:t>
      </w:r>
      <w:r>
        <w:rPr>
          <w:rFonts w:ascii="仿宋_GB2312" w:hAnsi="仿宋" w:cs="仿宋"/>
        </w:rPr>
        <w:t>。</w:t>
      </w:r>
      <w:r>
        <w:rPr>
          <w:rFonts w:hint="eastAsia" w:ascii="仿宋_GB2312" w:hAnsi="仿宋" w:cs="仿宋"/>
        </w:rPr>
        <w:t>公布</w:t>
      </w:r>
      <w:r>
        <w:rPr>
          <w:rFonts w:ascii="仿宋_GB2312" w:hAnsi="仿宋" w:cs="仿宋"/>
        </w:rPr>
        <w:t>时间为2小时。成绩</w:t>
      </w:r>
      <w:r>
        <w:rPr>
          <w:rFonts w:hint="eastAsia" w:ascii="仿宋_GB2312" w:hAnsi="仿宋" w:cs="仿宋"/>
        </w:rPr>
        <w:t>公布</w:t>
      </w:r>
      <w:r>
        <w:rPr>
          <w:rFonts w:ascii="仿宋_GB2312" w:hAnsi="仿宋" w:cs="仿宋"/>
        </w:rPr>
        <w:t>无异议后，由仲裁员在成绩单上签字，并公布竞赛成绩。</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八、竞赛环境</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竞赛场地设在电脑机房；</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一个参赛队一个机位，每个机位三台电脑，其中一台备用，两张桌子，四把椅子；</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竞赛场地内设置教师休息区；</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竞赛场地内设置背景板、宣传横幅及壁挂图，营造竞赛氛围；</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局域网络。采用星形网络拓扑结构，安装千兆交换机。网线与电源线隐蔽铺设。</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利用UPS防止现场因突然断电导致的系统数据丢失，额定功率：3KVA，后备时间：2小时，电池类型：输出电压：230V±5%V。</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九、技术规范</w:t>
      </w:r>
    </w:p>
    <w:p>
      <w:pPr>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参赛团队遵循以下规范：</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教学要求：《国家电子商务专业标准》和《国家级电子商务专业教学资源库》。</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网店</w:t>
      </w:r>
      <w:r>
        <w:rPr>
          <w:rFonts w:ascii="仿宋_GB2312" w:hAnsi="仿宋" w:eastAsia="仿宋_GB2312" w:cs="仿宋"/>
          <w:sz w:val="28"/>
          <w:szCs w:val="28"/>
        </w:rPr>
        <w:t>开设装修：</w:t>
      </w:r>
      <w:r>
        <w:rPr>
          <w:rFonts w:hint="eastAsia" w:ascii="仿宋_GB2312" w:hAnsi="仿宋" w:eastAsia="仿宋_GB2312" w:cs="仿宋"/>
          <w:sz w:val="28"/>
          <w:szCs w:val="28"/>
        </w:rPr>
        <w:t>采用淘宝、天猫、速卖通、京东网店的首页和详情页的知识和技能，设计和制作PC电商店铺、移动电商店铺、跨境电商店铺的首页、详情页。</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网店客户服务：采用淘宝旺旺的知识和技能完成售前、售中、售后服务。</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网店运营推广：采用阿里巴巴直通车、百度凤巢的知识和技能，开展SEO/SEM推广。</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十、技术平台</w:t>
      </w:r>
    </w:p>
    <w:tbl>
      <w:tblPr>
        <w:tblStyle w:val="7"/>
        <w:tblW w:w="9035" w:type="dxa"/>
        <w:tblInd w:w="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372"/>
        <w:gridCol w:w="666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50" w:hRule="atLeast"/>
        </w:trPr>
        <w:tc>
          <w:tcPr>
            <w:tcW w:w="2372" w:type="dxa"/>
            <w:vAlign w:val="center"/>
          </w:tcPr>
          <w:p>
            <w:pPr>
              <w:spacing w:line="560" w:lineRule="exact"/>
              <w:jc w:val="center"/>
              <w:rPr>
                <w:rFonts w:ascii="仿宋_GB2312" w:hAnsi="仿宋" w:eastAsia="仿宋_GB2312"/>
                <w:b/>
                <w:sz w:val="24"/>
              </w:rPr>
            </w:pPr>
            <w:r>
              <w:rPr>
                <w:rFonts w:hint="eastAsia" w:ascii="仿宋_GB2312" w:hAnsi="仿宋" w:eastAsia="仿宋_GB2312"/>
                <w:b/>
                <w:sz w:val="24"/>
              </w:rPr>
              <w:t>品名</w:t>
            </w:r>
          </w:p>
        </w:tc>
        <w:tc>
          <w:tcPr>
            <w:tcW w:w="6663" w:type="dxa"/>
            <w:vAlign w:val="center"/>
          </w:tcPr>
          <w:p>
            <w:pPr>
              <w:spacing w:line="560" w:lineRule="exact"/>
              <w:jc w:val="center"/>
              <w:rPr>
                <w:rFonts w:ascii="仿宋_GB2312" w:hAnsi="仿宋" w:eastAsia="仿宋_GB2312"/>
                <w:b/>
                <w:sz w:val="24"/>
              </w:rPr>
            </w:pPr>
            <w:r>
              <w:rPr>
                <w:rFonts w:hint="eastAsia" w:ascii="仿宋_GB2312" w:hAnsi="仿宋" w:eastAsia="仿宋_GB2312"/>
                <w:b/>
                <w:sz w:val="24"/>
              </w:rPr>
              <w:t>规格要求说明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trPr>
        <w:tc>
          <w:tcPr>
            <w:tcW w:w="2372" w:type="dxa"/>
            <w:vAlign w:val="center"/>
          </w:tcPr>
          <w:p>
            <w:pPr>
              <w:rPr>
                <w:rFonts w:ascii="仿宋_GB2312" w:hAnsi="仿宋" w:eastAsia="仿宋_GB2312"/>
                <w:sz w:val="24"/>
              </w:rPr>
            </w:pPr>
            <w:r>
              <w:rPr>
                <w:rFonts w:hint="eastAsia" w:ascii="仿宋_GB2312" w:hAnsi="仿宋" w:eastAsia="仿宋_GB2312"/>
                <w:sz w:val="24"/>
              </w:rPr>
              <w:t>参赛选手计算机</w:t>
            </w:r>
          </w:p>
        </w:tc>
        <w:tc>
          <w:tcPr>
            <w:tcW w:w="6663" w:type="dxa"/>
          </w:tcPr>
          <w:p>
            <w:pPr>
              <w:widowControl/>
              <w:jc w:val="left"/>
              <w:rPr>
                <w:rFonts w:ascii="仿宋_GB2312" w:hAnsi="仿宋" w:eastAsia="仿宋_GB2312"/>
                <w:sz w:val="24"/>
              </w:rPr>
            </w:pPr>
            <w:r>
              <w:rPr>
                <w:rFonts w:hint="eastAsia" w:ascii="仿宋_GB2312" w:hAnsi="仿宋" w:eastAsia="仿宋_GB2312"/>
                <w:sz w:val="24"/>
              </w:rPr>
              <w:t>配置要求：酷睿I</w:t>
            </w:r>
            <w:r>
              <w:rPr>
                <w:rFonts w:ascii="仿宋_GB2312" w:hAnsi="仿宋" w:eastAsia="仿宋_GB2312"/>
                <w:sz w:val="24"/>
              </w:rPr>
              <w:t>5</w:t>
            </w:r>
            <w:r>
              <w:rPr>
                <w:rFonts w:hint="eastAsia" w:ascii="仿宋_GB2312" w:hAnsi="仿宋" w:eastAsia="仿宋_GB2312"/>
                <w:sz w:val="24"/>
              </w:rPr>
              <w:t>双核3.0以上CPU；</w:t>
            </w:r>
            <w:r>
              <w:rPr>
                <w:rFonts w:ascii="仿宋_GB2312" w:hAnsi="仿宋" w:eastAsia="仿宋_GB2312"/>
                <w:sz w:val="24"/>
              </w:rPr>
              <w:t>8</w:t>
            </w:r>
            <w:r>
              <w:rPr>
                <w:rFonts w:hint="eastAsia" w:ascii="仿宋_GB2312" w:hAnsi="仿宋" w:eastAsia="仿宋_GB2312"/>
                <w:sz w:val="24"/>
              </w:rPr>
              <w:t>G以上内存；100G以上硬盘；2G显存以上独立显卡，千兆网卡。预装Windows7以上操作系统；预装火狐浏览器；预装录屏软件；预装全拼、简拼、微软拼音等中文输入法和英文输入法；预装Dreamweaver</w:t>
            </w:r>
            <w:r>
              <w:rPr>
                <w:rFonts w:ascii="仿宋_GB2312" w:hAnsi="仿宋" w:eastAsia="仿宋_GB2312"/>
                <w:sz w:val="24"/>
              </w:rPr>
              <w:t xml:space="preserve"> </w:t>
            </w:r>
            <w:r>
              <w:rPr>
                <w:rFonts w:hint="eastAsia" w:ascii="仿宋_GB2312" w:hAnsi="仿宋" w:eastAsia="仿宋_GB2312"/>
                <w:sz w:val="24"/>
              </w:rPr>
              <w:t>CS6和Fireworks</w:t>
            </w:r>
            <w:r>
              <w:rPr>
                <w:rFonts w:ascii="仿宋_GB2312" w:hAnsi="仿宋" w:eastAsia="仿宋_GB2312"/>
                <w:sz w:val="24"/>
              </w:rPr>
              <w:t xml:space="preserve"> </w:t>
            </w:r>
            <w:r>
              <w:rPr>
                <w:rFonts w:hint="eastAsia" w:ascii="仿宋_GB2312" w:hAnsi="仿宋" w:eastAsia="仿宋_GB2312"/>
                <w:sz w:val="24"/>
              </w:rPr>
              <w:t>CS6简体中文版；预装AdobePhotoshop</w:t>
            </w:r>
            <w:r>
              <w:rPr>
                <w:rFonts w:ascii="仿宋_GB2312" w:hAnsi="仿宋" w:eastAsia="仿宋_GB2312"/>
                <w:sz w:val="24"/>
              </w:rPr>
              <w:t xml:space="preserve"> </w:t>
            </w:r>
            <w:r>
              <w:rPr>
                <w:rFonts w:hint="eastAsia" w:ascii="仿宋_GB2312" w:hAnsi="仿宋" w:eastAsia="仿宋_GB2312"/>
                <w:sz w:val="24"/>
              </w:rPr>
              <w:t>CS6 版本。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trPr>
        <w:tc>
          <w:tcPr>
            <w:tcW w:w="2372" w:type="dxa"/>
            <w:vAlign w:val="center"/>
          </w:tcPr>
          <w:p>
            <w:pPr>
              <w:rPr>
                <w:rFonts w:ascii="仿宋_GB2312" w:hAnsi="仿宋" w:eastAsia="仿宋_GB2312"/>
                <w:sz w:val="24"/>
              </w:rPr>
            </w:pPr>
            <w:r>
              <w:rPr>
                <w:rFonts w:hint="eastAsia" w:ascii="仿宋_GB2312" w:hAnsi="仿宋" w:eastAsia="仿宋_GB2312"/>
                <w:sz w:val="24"/>
              </w:rPr>
              <w:t>网络连接设备</w:t>
            </w:r>
          </w:p>
        </w:tc>
        <w:tc>
          <w:tcPr>
            <w:tcW w:w="6663" w:type="dxa"/>
            <w:vAlign w:val="center"/>
          </w:tcPr>
          <w:p>
            <w:pPr>
              <w:rPr>
                <w:rFonts w:ascii="仿宋_GB2312" w:hAnsi="仿宋" w:eastAsia="仿宋_GB2312"/>
                <w:sz w:val="24"/>
              </w:rPr>
            </w:pPr>
            <w:r>
              <w:rPr>
                <w:rFonts w:hint="eastAsia" w:ascii="仿宋_GB2312" w:hAnsi="仿宋" w:eastAsia="仿宋_GB2312"/>
                <w:sz w:val="24"/>
              </w:rPr>
              <w:t>提供网络布线、千兆交换机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44" w:hRule="atLeast"/>
        </w:trPr>
        <w:tc>
          <w:tcPr>
            <w:tcW w:w="2372" w:type="dxa"/>
            <w:vAlign w:val="center"/>
          </w:tcPr>
          <w:p>
            <w:pPr>
              <w:rPr>
                <w:rFonts w:ascii="仿宋_GB2312" w:hAnsi="仿宋" w:eastAsia="仿宋_GB2312"/>
                <w:sz w:val="24"/>
              </w:rPr>
            </w:pPr>
            <w:r>
              <w:rPr>
                <w:rFonts w:hint="eastAsia" w:ascii="仿宋_GB2312" w:hAnsi="仿宋" w:eastAsia="仿宋_GB2312"/>
                <w:sz w:val="24"/>
              </w:rPr>
              <w:t>竞赛服务器</w:t>
            </w:r>
          </w:p>
        </w:tc>
        <w:tc>
          <w:tcPr>
            <w:tcW w:w="6663" w:type="dxa"/>
            <w:vAlign w:val="center"/>
          </w:tcPr>
          <w:p>
            <w:pPr>
              <w:jc w:val="left"/>
              <w:rPr>
                <w:rFonts w:ascii="仿宋_GB2312" w:hAnsi="仿宋" w:eastAsia="仿宋_GB2312"/>
                <w:sz w:val="24"/>
              </w:rPr>
            </w:pPr>
            <w:r>
              <w:rPr>
                <w:rFonts w:hint="eastAsia" w:ascii="仿宋_GB2312" w:hAnsi="仿宋" w:eastAsia="仿宋_GB2312"/>
                <w:sz w:val="24"/>
              </w:rPr>
              <w:t>配置要求：英特尔至强E5系列四核以上CPU；</w:t>
            </w:r>
            <w:r>
              <w:rPr>
                <w:rFonts w:ascii="仿宋_GB2312" w:hAnsi="仿宋" w:eastAsia="仿宋_GB2312"/>
                <w:sz w:val="24"/>
              </w:rPr>
              <w:t>16</w:t>
            </w:r>
            <w:r>
              <w:rPr>
                <w:rFonts w:hint="eastAsia" w:ascii="仿宋_GB2312" w:hAnsi="仿宋" w:eastAsia="仿宋_GB2312"/>
                <w:sz w:val="24"/>
              </w:rPr>
              <w:t>GB以上内存；500G以上硬盘；千兆网卡。预装Windows</w:t>
            </w:r>
            <w:r>
              <w:rPr>
                <w:rFonts w:eastAsia="仿宋_GB2312" w:cs="Calibri"/>
                <w:sz w:val="24"/>
              </w:rPr>
              <w:t> </w:t>
            </w:r>
            <w:r>
              <w:rPr>
                <w:rFonts w:hint="eastAsia" w:ascii="仿宋_GB2312" w:hAnsi="仿宋" w:eastAsia="仿宋_GB2312"/>
                <w:sz w:val="24"/>
              </w:rPr>
              <w:t>Server</w:t>
            </w:r>
            <w:r>
              <w:rPr>
                <w:rFonts w:eastAsia="仿宋_GB2312" w:cs="Calibri"/>
                <w:sz w:val="24"/>
              </w:rPr>
              <w:t> </w:t>
            </w:r>
            <w:r>
              <w:rPr>
                <w:rFonts w:hint="eastAsia" w:ascii="仿宋_GB2312" w:hAnsi="仿宋" w:eastAsia="仿宋_GB2312"/>
                <w:sz w:val="24"/>
              </w:rPr>
              <w:t>2008</w:t>
            </w:r>
            <w:r>
              <w:rPr>
                <w:rFonts w:ascii="仿宋_GB2312" w:hAnsi="仿宋" w:eastAsia="仿宋_GB2312"/>
                <w:sz w:val="24"/>
              </w:rPr>
              <w:t xml:space="preserve"> </w:t>
            </w:r>
            <w:r>
              <w:rPr>
                <w:rFonts w:hint="eastAsia" w:ascii="仿宋_GB2312" w:hAnsi="仿宋" w:eastAsia="仿宋_GB2312"/>
                <w:sz w:val="24"/>
              </w:rPr>
              <w:t>R</w:t>
            </w:r>
            <w:r>
              <w:rPr>
                <w:rFonts w:ascii="仿宋_GB2312" w:hAnsi="仿宋" w:eastAsia="仿宋_GB2312"/>
                <w:sz w:val="24"/>
              </w:rPr>
              <w:t>2</w:t>
            </w:r>
            <w:r>
              <w:rPr>
                <w:rFonts w:hint="eastAsia" w:ascii="仿宋_GB2312" w:hAnsi="仿宋" w:eastAsia="仿宋_GB2312"/>
                <w:sz w:val="24"/>
              </w:rPr>
              <w:t>操作系统及IIS7.5；预装Microsoft</w:t>
            </w:r>
            <w:r>
              <w:rPr>
                <w:rFonts w:eastAsia="仿宋_GB2312" w:cs="Calibri"/>
                <w:sz w:val="24"/>
              </w:rPr>
              <w:t> </w:t>
            </w:r>
            <w:r>
              <w:rPr>
                <w:rFonts w:hint="eastAsia" w:ascii="仿宋_GB2312" w:hAnsi="仿宋" w:eastAsia="仿宋_GB2312"/>
                <w:sz w:val="24"/>
              </w:rPr>
              <w:t>SQL</w:t>
            </w:r>
            <w:r>
              <w:rPr>
                <w:rFonts w:eastAsia="仿宋_GB2312" w:cs="Calibri"/>
                <w:sz w:val="24"/>
              </w:rPr>
              <w:t> </w:t>
            </w:r>
            <w:r>
              <w:rPr>
                <w:rFonts w:hint="eastAsia" w:ascii="仿宋_GB2312" w:hAnsi="仿宋" w:eastAsia="仿宋_GB2312"/>
                <w:sz w:val="24"/>
              </w:rPr>
              <w:t>Server</w:t>
            </w:r>
            <w:r>
              <w:rPr>
                <w:rFonts w:eastAsia="仿宋_GB2312" w:cs="Calibri"/>
                <w:sz w:val="24"/>
              </w:rPr>
              <w:t> </w:t>
            </w:r>
            <w:r>
              <w:rPr>
                <w:rFonts w:hint="eastAsia" w:ascii="仿宋_GB2312" w:hAnsi="仿宋" w:eastAsia="仿宋_GB2312"/>
                <w:sz w:val="24"/>
              </w:rPr>
              <w:t>2005数据库。</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27" w:hRule="atLeast"/>
        </w:trPr>
        <w:tc>
          <w:tcPr>
            <w:tcW w:w="2372" w:type="dxa"/>
            <w:vAlign w:val="center"/>
          </w:tcPr>
          <w:p>
            <w:pPr>
              <w:rPr>
                <w:rFonts w:ascii="仿宋_GB2312" w:hAnsi="仿宋" w:eastAsia="仿宋_GB2312"/>
                <w:sz w:val="24"/>
              </w:rPr>
            </w:pPr>
            <w:r>
              <w:rPr>
                <w:rFonts w:hint="eastAsia" w:ascii="仿宋_GB2312" w:hAnsi="仿宋" w:eastAsia="仿宋_GB2312"/>
                <w:sz w:val="24"/>
              </w:rPr>
              <w:t>竞赛软件</w:t>
            </w:r>
          </w:p>
        </w:tc>
        <w:tc>
          <w:tcPr>
            <w:tcW w:w="6663" w:type="dxa"/>
            <w:vAlign w:val="center"/>
          </w:tcPr>
          <w:p>
            <w:pPr>
              <w:rPr>
                <w:rFonts w:ascii="仿宋_GB2312" w:hAnsi="仿宋" w:eastAsia="仿宋_GB2312"/>
                <w:sz w:val="24"/>
              </w:rPr>
            </w:pPr>
            <w:r>
              <w:rPr>
                <w:rFonts w:hint="eastAsia" w:ascii="仿宋_GB2312" w:hAnsi="仿宋" w:eastAsia="仿宋_GB2312"/>
                <w:sz w:val="24"/>
              </w:rPr>
              <w:t>中教畅享“电子商务综合实训与竞赛系统V</w:t>
            </w:r>
            <w:r>
              <w:rPr>
                <w:rFonts w:ascii="仿宋_GB2312" w:hAnsi="仿宋" w:eastAsia="仿宋_GB2312"/>
                <w:sz w:val="24"/>
              </w:rPr>
              <w:t>4.0</w:t>
            </w:r>
            <w:r>
              <w:rPr>
                <w:rFonts w:hint="eastAsia" w:ascii="仿宋_GB2312" w:hAnsi="仿宋" w:eastAsia="仿宋_GB2312"/>
                <w:sz w:val="24"/>
              </w:rPr>
              <w:t>”，沿用201</w:t>
            </w:r>
            <w:r>
              <w:rPr>
                <w:rFonts w:ascii="仿宋_GB2312" w:hAnsi="仿宋" w:eastAsia="仿宋_GB2312"/>
                <w:sz w:val="24"/>
              </w:rPr>
              <w:t>8</w:t>
            </w:r>
            <w:r>
              <w:rPr>
                <w:rFonts w:hint="eastAsia" w:ascii="仿宋_GB2312" w:hAnsi="仿宋" w:eastAsia="仿宋_GB2312"/>
                <w:sz w:val="24"/>
              </w:rPr>
              <w:t>年高职组电子商务技能赛项的技术平台。</w:t>
            </w:r>
          </w:p>
        </w:tc>
      </w:tr>
    </w:tbl>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十一、成绩评定</w:t>
      </w:r>
    </w:p>
    <w:p>
      <w:pPr>
        <w:spacing w:line="560" w:lineRule="exact"/>
        <w:ind w:firstLine="560" w:firstLineChars="200"/>
        <w:rPr>
          <w:rFonts w:ascii="仿宋_GB2312" w:hAnsi="仿宋" w:eastAsia="仿宋_GB2312"/>
          <w:b/>
          <w:color w:val="FF0000"/>
          <w:sz w:val="28"/>
          <w:szCs w:val="28"/>
        </w:rPr>
      </w:pPr>
      <w:r>
        <w:rPr>
          <w:rFonts w:hint="eastAsia" w:ascii="仿宋_GB2312" w:hAnsi="仿宋_GB2312" w:eastAsia="仿宋_GB2312" w:cs="仿宋_GB2312"/>
          <w:color w:val="auto"/>
          <w:sz w:val="28"/>
          <w:szCs w:val="28"/>
        </w:rPr>
        <w:t>1.裁判员选聘：</w:t>
      </w:r>
      <w:bookmarkStart w:id="1" w:name="_Toc380523942"/>
      <w:r>
        <w:rPr>
          <w:rFonts w:hint="eastAsia" w:ascii="仿宋_GB2312" w:hAnsi="仿宋_GB2312" w:eastAsia="仿宋_GB2312" w:cs="仿宋_GB2312"/>
          <w:color w:val="auto"/>
          <w:sz w:val="28"/>
          <w:szCs w:val="28"/>
        </w:rPr>
        <w:t>按照《2019年全国职业院校技能大赛</w:t>
      </w:r>
      <w:bookmarkStart w:id="2" w:name="_Toc382471456"/>
      <w:r>
        <w:rPr>
          <w:rFonts w:hint="eastAsia" w:ascii="仿宋_GB2312" w:hAnsi="仿宋_GB2312" w:eastAsia="仿宋_GB2312" w:cs="仿宋_GB2312"/>
          <w:color w:val="auto"/>
          <w:sz w:val="28"/>
          <w:szCs w:val="28"/>
        </w:rPr>
        <w:t>专家和裁判工作管理</w:t>
      </w:r>
      <w:bookmarkEnd w:id="1"/>
      <w:r>
        <w:rPr>
          <w:rFonts w:hint="eastAsia" w:ascii="仿宋_GB2312" w:hAnsi="仿宋_GB2312" w:eastAsia="仿宋_GB2312" w:cs="仿宋_GB2312"/>
          <w:color w:val="auto"/>
          <w:sz w:val="28"/>
          <w:szCs w:val="28"/>
        </w:rPr>
        <w:t>办法</w:t>
      </w:r>
      <w:bookmarkEnd w:id="2"/>
      <w:r>
        <w:rPr>
          <w:rFonts w:hint="eastAsia" w:ascii="仿宋_GB2312" w:hAnsi="仿宋_GB2312" w:eastAsia="仿宋_GB2312" w:cs="仿宋_GB2312"/>
          <w:color w:val="auto"/>
          <w:sz w:val="28"/>
          <w:szCs w:val="28"/>
        </w:rPr>
        <w:t>》建立</w:t>
      </w:r>
      <w:r>
        <w:rPr>
          <w:rFonts w:hint="eastAsia" w:ascii="仿宋_GB2312" w:hAnsi="仿宋_GB2312" w:eastAsia="仿宋_GB2312" w:cs="仿宋_GB2312"/>
          <w:color w:val="auto"/>
          <w:sz w:val="28"/>
          <w:szCs w:val="28"/>
          <w:lang w:val="en-US" w:eastAsia="zh-CN"/>
        </w:rPr>
        <w:t>海南省</w:t>
      </w:r>
      <w:r>
        <w:rPr>
          <w:rFonts w:hint="eastAsia" w:ascii="仿宋_GB2312" w:hAnsi="仿宋_GB2312" w:eastAsia="仿宋_GB2312" w:cs="仿宋_GB2312"/>
          <w:color w:val="auto"/>
          <w:sz w:val="28"/>
          <w:szCs w:val="28"/>
        </w:rPr>
        <w:t>职业院校技能大赛赛项裁判库，由</w:t>
      </w:r>
      <w:r>
        <w:rPr>
          <w:rFonts w:hint="eastAsia" w:ascii="仿宋_GB2312" w:hAnsi="仿宋_GB2312" w:eastAsia="仿宋_GB2312" w:cs="仿宋_GB2312"/>
          <w:color w:val="auto"/>
          <w:sz w:val="28"/>
          <w:szCs w:val="28"/>
          <w:lang w:val="en-US" w:eastAsia="zh-CN"/>
        </w:rPr>
        <w:t>海南省</w:t>
      </w:r>
      <w:r>
        <w:rPr>
          <w:rFonts w:hint="eastAsia" w:ascii="仿宋_GB2312" w:hAnsi="仿宋_GB2312" w:eastAsia="仿宋_GB2312" w:cs="仿宋_GB2312"/>
          <w:color w:val="auto"/>
          <w:sz w:val="28"/>
          <w:szCs w:val="28"/>
        </w:rPr>
        <w:t>职业院校技能大赛执委会在赛项裁判库中抽定赛项裁判人员。裁判长由赛项执委会向大赛执委会推荐，由大赛执委会聘任。共安排</w:t>
      </w:r>
      <w:r>
        <w:rPr>
          <w:rFonts w:hint="eastAsia" w:ascii="仿宋_GB2312" w:hAnsi="仿宋_GB2312" w:eastAsia="仿宋_GB2312" w:cs="仿宋_GB2312"/>
          <w:color w:val="auto"/>
          <w:sz w:val="28"/>
          <w:szCs w:val="28"/>
          <w:lang w:val="en-US" w:eastAsia="zh-CN"/>
        </w:rPr>
        <w:t>7</w:t>
      </w:r>
      <w:r>
        <w:rPr>
          <w:rFonts w:hint="eastAsia" w:ascii="仿宋_GB2312" w:hAnsi="仿宋_GB2312" w:eastAsia="仿宋_GB2312" w:cs="仿宋_GB2312"/>
          <w:color w:val="auto"/>
          <w:sz w:val="28"/>
          <w:szCs w:val="28"/>
        </w:rPr>
        <w:t>名裁判，其中包含2名加密裁判，</w:t>
      </w:r>
      <w:r>
        <w:rPr>
          <w:rFonts w:hint="eastAsia" w:ascii="仿宋_GB2312" w:hAnsi="仿宋_GB2312" w:eastAsia="仿宋_GB2312" w:cs="仿宋_GB2312"/>
          <w:color w:val="auto"/>
          <w:sz w:val="28"/>
          <w:szCs w:val="28"/>
          <w:lang w:val="en-US" w:eastAsia="zh-CN"/>
        </w:rPr>
        <w:t>3</w:t>
      </w:r>
      <w:r>
        <w:rPr>
          <w:rFonts w:hint="eastAsia" w:ascii="仿宋_GB2312" w:hAnsi="仿宋_GB2312" w:eastAsia="仿宋_GB2312" w:cs="仿宋_GB2312"/>
          <w:color w:val="auto"/>
          <w:sz w:val="28"/>
          <w:szCs w:val="28"/>
        </w:rPr>
        <w:t>名现场裁判，</w:t>
      </w:r>
      <w:r>
        <w:rPr>
          <w:rFonts w:hint="eastAsia" w:ascii="仿宋_GB2312" w:hAnsi="仿宋_GB2312" w:eastAsia="仿宋_GB2312" w:cs="仿宋_GB2312"/>
          <w:color w:val="auto"/>
          <w:sz w:val="28"/>
          <w:szCs w:val="28"/>
          <w:lang w:val="en-US" w:eastAsia="zh-CN"/>
        </w:rPr>
        <w:t>2</w:t>
      </w:r>
      <w:r>
        <w:rPr>
          <w:rFonts w:hint="eastAsia" w:ascii="仿宋_GB2312" w:hAnsi="仿宋_GB2312" w:eastAsia="仿宋_GB2312" w:cs="仿宋_GB2312"/>
          <w:color w:val="auto"/>
          <w:sz w:val="28"/>
          <w:szCs w:val="28"/>
        </w:rPr>
        <w:t>名评分裁判。</w:t>
      </w:r>
    </w:p>
    <w:p>
      <w:pPr>
        <w:widowControl/>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2.评分方法：网店客户服务、运营推广评分方式为机考评分。网店开设装修的评分方式为结果评分，由评分裁判进行主观评分。每个参赛队作品按照中英文分为两部分，各由</w:t>
      </w:r>
      <w:r>
        <w:rPr>
          <w:rFonts w:ascii="仿宋_GB2312" w:hAnsi="仿宋_GB2312" w:eastAsia="仿宋_GB2312" w:cs="仿宋_GB2312"/>
          <w:color w:val="auto"/>
          <w:sz w:val="28"/>
          <w:szCs w:val="28"/>
        </w:rPr>
        <w:t>5</w:t>
      </w:r>
      <w:r>
        <w:rPr>
          <w:rFonts w:hint="eastAsia" w:ascii="仿宋_GB2312" w:hAnsi="仿宋_GB2312" w:eastAsia="仿宋_GB2312" w:cs="仿宋_GB2312"/>
          <w:sz w:val="28"/>
          <w:szCs w:val="28"/>
        </w:rPr>
        <w:t>名评分裁判进行评分，去掉一个最高分，去掉一个最低分，取剩余裁判评分的平均分为最终得分。</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3．成绩复核：为保障成绩评判的准确性，监督组将对赛项总成绩排名前30%的所有参赛队的成绩进行复核；对其余成绩进行抽检复核，抽检覆盖率不得低于15%。如发现成绩错误以书面方式及时告知裁判长，由裁判长更正成绩并签字确认。复核、抽检错误率超过5%的，裁判组将对所有成绩进行复核。</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4．赛项最终得分：按100分制计分，最终成绩经复核无误，由裁判长、监督人员和仲裁人员签字确认后公布。</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5.评分标准</w:t>
      </w:r>
    </w:p>
    <w:tbl>
      <w:tblPr>
        <w:tblStyle w:val="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746"/>
        <w:gridCol w:w="709"/>
        <w:gridCol w:w="5670"/>
        <w:gridCol w:w="9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b/>
                <w:sz w:val="24"/>
              </w:rPr>
            </w:pPr>
            <w:r>
              <w:rPr>
                <w:rFonts w:hint="eastAsia" w:ascii="仿宋_GB2312" w:hAnsi="宋体" w:eastAsia="仿宋_GB2312"/>
                <w:b/>
                <w:sz w:val="24"/>
              </w:rPr>
              <w:t>项目</w:t>
            </w:r>
          </w:p>
        </w:tc>
        <w:tc>
          <w:tcPr>
            <w:tcW w:w="74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b/>
                <w:sz w:val="24"/>
              </w:rPr>
            </w:pPr>
            <w:r>
              <w:rPr>
                <w:rFonts w:hint="eastAsia" w:ascii="仿宋_GB2312" w:hAnsi="宋体" w:eastAsia="仿宋_GB2312"/>
                <w:b/>
                <w:sz w:val="24"/>
              </w:rPr>
              <w:t>内容</w:t>
            </w:r>
          </w:p>
        </w:tc>
        <w:tc>
          <w:tcPr>
            <w:tcW w:w="6379" w:type="dxa"/>
            <w:gridSpan w:val="2"/>
            <w:tcBorders>
              <w:top w:val="single" w:color="000000" w:sz="4" w:space="0"/>
              <w:left w:val="single" w:color="000000" w:sz="4" w:space="0"/>
              <w:bottom w:val="single" w:color="000000" w:sz="4" w:space="0"/>
              <w:right w:val="single" w:color="000000" w:sz="4" w:space="0"/>
            </w:tcBorders>
          </w:tcPr>
          <w:p>
            <w:pPr>
              <w:jc w:val="center"/>
              <w:rPr>
                <w:rFonts w:ascii="仿宋_GB2312" w:hAnsi="宋体" w:eastAsia="仿宋_GB2312"/>
                <w:b/>
                <w:sz w:val="24"/>
              </w:rPr>
            </w:pPr>
            <w:r>
              <w:rPr>
                <w:rFonts w:hint="eastAsia" w:ascii="仿宋_GB2312" w:hAnsi="宋体" w:eastAsia="仿宋_GB2312"/>
                <w:b/>
                <w:sz w:val="24"/>
              </w:rPr>
              <w:t>评分细则</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b/>
                <w:sz w:val="24"/>
              </w:rPr>
            </w:pPr>
            <w:r>
              <w:rPr>
                <w:rFonts w:hint="eastAsia" w:ascii="仿宋_GB2312" w:hAnsi="宋体" w:eastAsia="仿宋_GB2312"/>
                <w:b/>
                <w:sz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8" w:hRule="atLeast"/>
        </w:trPr>
        <w:tc>
          <w:tcPr>
            <w:tcW w:w="950" w:type="dxa"/>
            <w:vMerge w:val="restart"/>
            <w:tcBorders>
              <w:top w:val="single" w:color="000000" w:sz="4" w:space="0"/>
              <w:left w:val="single" w:color="000000" w:sz="4" w:space="0"/>
              <w:right w:val="single" w:color="000000" w:sz="4" w:space="0"/>
            </w:tcBorders>
            <w:vAlign w:val="center"/>
          </w:tcPr>
          <w:p>
            <w:pPr>
              <w:jc w:val="center"/>
              <w:rPr>
                <w:rFonts w:ascii="仿宋_GB2312" w:hAnsi="宋体" w:eastAsia="仿宋_GB2312"/>
                <w:sz w:val="24"/>
              </w:rPr>
            </w:pPr>
            <w:r>
              <w:rPr>
                <w:rFonts w:hint="eastAsia" w:ascii="仿宋_GB2312" w:hAnsi="宋体" w:eastAsia="仿宋_GB2312"/>
                <w:sz w:val="24"/>
              </w:rPr>
              <w:t>开 设</w:t>
            </w:r>
          </w:p>
          <w:p>
            <w:pPr>
              <w:jc w:val="center"/>
              <w:rPr>
                <w:rFonts w:ascii="仿宋_GB2312" w:hAnsi="宋体" w:eastAsia="仿宋_GB2312"/>
                <w:sz w:val="24"/>
              </w:rPr>
            </w:pPr>
            <w:r>
              <w:rPr>
                <w:rFonts w:hint="eastAsia" w:ascii="仿宋_GB2312" w:hAnsi="宋体" w:eastAsia="仿宋_GB2312"/>
                <w:sz w:val="24"/>
              </w:rPr>
              <w:t>装 修</w:t>
            </w:r>
          </w:p>
        </w:tc>
        <w:tc>
          <w:tcPr>
            <w:tcW w:w="746" w:type="dxa"/>
            <w:tcBorders>
              <w:top w:val="single" w:color="000000" w:sz="4" w:space="0"/>
              <w:left w:val="single" w:color="000000" w:sz="4" w:space="0"/>
              <w:right w:val="single" w:color="000000" w:sz="4" w:space="0"/>
            </w:tcBorders>
            <w:vAlign w:val="center"/>
          </w:tcPr>
          <w:p>
            <w:pPr>
              <w:jc w:val="center"/>
              <w:rPr>
                <w:rFonts w:ascii="仿宋_GB2312" w:hAnsi="宋体" w:eastAsia="仿宋_GB2312"/>
                <w:sz w:val="24"/>
              </w:rPr>
            </w:pPr>
            <w:r>
              <w:rPr>
                <w:rFonts w:hint="eastAsia" w:ascii="仿宋_GB2312" w:hAnsi="宋体" w:eastAsia="仿宋_GB2312"/>
                <w:sz w:val="24"/>
              </w:rPr>
              <w:t>总则</w:t>
            </w:r>
          </w:p>
        </w:tc>
        <w:tc>
          <w:tcPr>
            <w:tcW w:w="6379" w:type="dxa"/>
            <w:gridSpan w:val="2"/>
            <w:tcBorders>
              <w:top w:val="single" w:color="000000"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1.在所有需要以图片展示的得分项目中，如果有图片变形模糊失真等情况存在，则该项得分减半。2</w:t>
            </w:r>
            <w:r>
              <w:rPr>
                <w:rFonts w:ascii="仿宋_GB2312" w:hAnsi="宋体" w:eastAsia="仿宋_GB2312"/>
                <w:sz w:val="24"/>
              </w:rPr>
              <w:t>.</w:t>
            </w:r>
            <w:r>
              <w:rPr>
                <w:rFonts w:hint="eastAsia" w:ascii="仿宋_GB2312" w:hAnsi="宋体" w:eastAsia="仿宋_GB2312"/>
                <w:sz w:val="24"/>
              </w:rPr>
              <w:t>在对图片数量有明确要求的得分项目中，如果出现图片数量不足，则该项不得分。3.如果竞赛作品与赛题完全不相关，则该项不得分。</w:t>
            </w:r>
            <w:r>
              <w:rPr>
                <w:rFonts w:ascii="仿宋_GB2312" w:hAnsi="宋体" w:eastAsia="仿宋_GB2312"/>
                <w:sz w:val="24"/>
              </w:rPr>
              <w:t>4</w:t>
            </w:r>
            <w:r>
              <w:rPr>
                <w:rFonts w:hint="eastAsia" w:ascii="仿宋_GB2312" w:hAnsi="宋体" w:eastAsia="仿宋_GB2312"/>
                <w:sz w:val="24"/>
              </w:rPr>
              <w:t>.跨境店铺在视觉展现方面应考虑到国外客户对电商网站的视觉偏好，如果与PC端一致，只是将中文改成英文或拼音，那么跨境店铺各部分要在实际得分基础上减半。</w:t>
            </w:r>
            <w:r>
              <w:rPr>
                <w:rFonts w:ascii="仿宋_GB2312" w:hAnsi="宋体" w:eastAsia="仿宋_GB2312"/>
                <w:sz w:val="24"/>
              </w:rPr>
              <w:t>5</w:t>
            </w:r>
            <w:r>
              <w:rPr>
                <w:rFonts w:hint="eastAsia" w:ascii="仿宋_GB2312" w:hAnsi="宋体" w:eastAsia="仿宋_GB2312"/>
                <w:sz w:val="24"/>
              </w:rPr>
              <w:t>.如果在作品中任何位置显示参赛院校或者参赛选手信息的，则开设装修环节计零分。</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8"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restart"/>
            <w:tcBorders>
              <w:top w:val="single" w:color="000000"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PC电商店铺</w:t>
            </w:r>
          </w:p>
        </w:tc>
        <w:tc>
          <w:tcPr>
            <w:tcW w:w="709" w:type="dxa"/>
            <w:vMerge w:val="restart"/>
            <w:tcBorders>
              <w:top w:val="single" w:color="000000"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首页</w:t>
            </w:r>
          </w:p>
        </w:tc>
        <w:tc>
          <w:tcPr>
            <w:tcW w:w="5670"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店标设计独特，有一定的创新性，并且能够反映出店铺所销售的商品。</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0.5分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73"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jc w:val="left"/>
              <w:rPr>
                <w:rFonts w:ascii="仿宋_GB2312" w:hAnsi="宋体" w:eastAsia="仿宋_GB2312"/>
                <w:sz w:val="24"/>
              </w:rPr>
            </w:pPr>
          </w:p>
        </w:tc>
        <w:tc>
          <w:tcPr>
            <w:tcW w:w="709" w:type="dxa"/>
            <w:vMerge w:val="continue"/>
            <w:tcBorders>
              <w:left w:val="single" w:color="000000" w:sz="4" w:space="0"/>
              <w:right w:val="single" w:color="000000" w:sz="4" w:space="0"/>
            </w:tcBorders>
          </w:tcPr>
          <w:p>
            <w:pPr>
              <w:jc w:val="left"/>
              <w:rPr>
                <w:rFonts w:ascii="仿宋_GB2312" w:hAnsi="宋体" w:eastAsia="仿宋_GB2312"/>
                <w:sz w:val="24"/>
              </w:rPr>
            </w:pPr>
          </w:p>
        </w:tc>
        <w:tc>
          <w:tcPr>
            <w:tcW w:w="5670" w:type="dxa"/>
            <w:tcBorders>
              <w:top w:val="single" w:color="000000" w:sz="4" w:space="0"/>
              <w:left w:val="single" w:color="000000" w:sz="4" w:space="0"/>
              <w:bottom w:val="single" w:color="auto"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网店Banner图片主题统一（</w:t>
            </w:r>
            <w:r>
              <w:rPr>
                <w:rFonts w:ascii="仿宋_GB2312" w:hAnsi="宋体" w:eastAsia="仿宋_GB2312"/>
                <w:sz w:val="24"/>
              </w:rPr>
              <w:t>0.5</w:t>
            </w:r>
            <w:r>
              <w:rPr>
                <w:rFonts w:hint="eastAsia" w:ascii="仿宋_GB2312" w:hAnsi="宋体" w:eastAsia="仿宋_GB2312"/>
                <w:sz w:val="24"/>
              </w:rPr>
              <w:t>分），与店铺经营商品具有相关性（</w:t>
            </w:r>
            <w:r>
              <w:rPr>
                <w:rFonts w:ascii="仿宋_GB2312" w:hAnsi="宋体" w:eastAsia="仿宋_GB2312"/>
                <w:sz w:val="24"/>
              </w:rPr>
              <w:t>0.5</w:t>
            </w:r>
            <w:r>
              <w:rPr>
                <w:rFonts w:hint="eastAsia" w:ascii="仿宋_GB2312" w:hAnsi="宋体" w:eastAsia="仿宋_GB2312"/>
                <w:sz w:val="24"/>
              </w:rPr>
              <w:t>分），banner设计具有吸引力并且具有一定的营销导向（</w:t>
            </w:r>
            <w:r>
              <w:rPr>
                <w:rFonts w:ascii="仿宋_GB2312" w:hAnsi="宋体" w:eastAsia="仿宋_GB2312"/>
                <w:sz w:val="24"/>
              </w:rPr>
              <w:t>0.5</w:t>
            </w:r>
            <w:r>
              <w:rPr>
                <w:rFonts w:hint="eastAsia" w:ascii="仿宋_GB2312" w:hAnsi="宋体" w:eastAsia="仿宋_GB2312"/>
                <w:sz w:val="24"/>
              </w:rPr>
              <w:t>分），banner整体设计能够提高店铺整体风格（</w:t>
            </w:r>
            <w:r>
              <w:rPr>
                <w:rFonts w:ascii="仿宋_GB2312" w:hAnsi="宋体" w:eastAsia="仿宋_GB2312"/>
                <w:sz w:val="24"/>
              </w:rPr>
              <w:t>0.5</w:t>
            </w:r>
            <w:r>
              <w:rPr>
                <w:rFonts w:hint="eastAsia" w:ascii="仿宋_GB2312" w:hAnsi="宋体" w:eastAsia="仿宋_GB2312"/>
                <w:sz w:val="24"/>
              </w:rPr>
              <w:t>分）。</w:t>
            </w:r>
          </w:p>
        </w:tc>
        <w:tc>
          <w:tcPr>
            <w:tcW w:w="997" w:type="dxa"/>
            <w:tcBorders>
              <w:top w:val="single" w:color="000000" w:sz="4" w:space="0"/>
              <w:left w:val="single" w:color="000000" w:sz="4" w:space="0"/>
              <w:bottom w:val="single" w:color="auto" w:sz="4" w:space="0"/>
              <w:right w:val="single" w:color="000000" w:sz="4" w:space="0"/>
            </w:tcBorders>
            <w:vAlign w:val="center"/>
          </w:tcPr>
          <w:p>
            <w:pPr>
              <w:jc w:val="left"/>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1"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jc w:val="left"/>
              <w:rPr>
                <w:rFonts w:ascii="仿宋_GB2312" w:hAnsi="宋体" w:eastAsia="仿宋_GB2312"/>
                <w:sz w:val="24"/>
              </w:rPr>
            </w:pPr>
          </w:p>
        </w:tc>
        <w:tc>
          <w:tcPr>
            <w:tcW w:w="709" w:type="dxa"/>
            <w:vMerge w:val="restart"/>
            <w:tcBorders>
              <w:top w:val="single" w:color="000000"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详情页</w:t>
            </w:r>
          </w:p>
        </w:tc>
        <w:tc>
          <w:tcPr>
            <w:tcW w:w="5670"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商品标题体现商品属性特点卖点的关键词（每个关键词0.1分，最高到0.5分为止）。</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0.5分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8"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widowControl/>
              <w:jc w:val="left"/>
              <w:rPr>
                <w:rFonts w:ascii="仿宋_GB2312" w:hAnsi="宋体" w:eastAsia="仿宋_GB2312"/>
                <w:sz w:val="24"/>
              </w:rPr>
            </w:pPr>
          </w:p>
        </w:tc>
        <w:tc>
          <w:tcPr>
            <w:tcW w:w="709" w:type="dxa"/>
            <w:vMerge w:val="continue"/>
            <w:tcBorders>
              <w:left w:val="single" w:color="000000" w:sz="4" w:space="0"/>
              <w:right w:val="single" w:color="000000" w:sz="4" w:space="0"/>
            </w:tcBorders>
          </w:tcPr>
          <w:p>
            <w:pPr>
              <w:jc w:val="left"/>
              <w:rPr>
                <w:rFonts w:ascii="仿宋_GB2312" w:hAnsi="宋体" w:eastAsia="仿宋_GB2312"/>
                <w:sz w:val="24"/>
              </w:rPr>
            </w:pPr>
          </w:p>
        </w:tc>
        <w:tc>
          <w:tcPr>
            <w:tcW w:w="5670"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商品图片（1主3辅，第1张为主图，其余为辅图），图片设计美观（</w:t>
            </w:r>
            <w:r>
              <w:rPr>
                <w:rFonts w:ascii="仿宋_GB2312" w:hAnsi="宋体" w:eastAsia="仿宋_GB2312"/>
                <w:sz w:val="24"/>
              </w:rPr>
              <w:t>0.8</w:t>
            </w:r>
            <w:r>
              <w:rPr>
                <w:rFonts w:hint="eastAsia" w:ascii="仿宋_GB2312" w:hAnsi="宋体" w:eastAsia="仿宋_GB2312"/>
                <w:sz w:val="24"/>
              </w:rPr>
              <w:t>分），主题突出（0.</w:t>
            </w:r>
            <w:r>
              <w:rPr>
                <w:rFonts w:ascii="仿宋_GB2312" w:hAnsi="宋体" w:eastAsia="仿宋_GB2312"/>
                <w:sz w:val="24"/>
              </w:rPr>
              <w:t>6</w:t>
            </w:r>
            <w:r>
              <w:rPr>
                <w:rFonts w:hint="eastAsia" w:ascii="仿宋_GB2312" w:hAnsi="宋体" w:eastAsia="仿宋_GB2312"/>
                <w:sz w:val="24"/>
              </w:rPr>
              <w:t>分），有视觉冲击力（0.</w:t>
            </w:r>
            <w:r>
              <w:rPr>
                <w:rFonts w:ascii="仿宋_GB2312" w:hAnsi="宋体" w:eastAsia="仿宋_GB2312"/>
                <w:sz w:val="24"/>
              </w:rPr>
              <w:t>6</w:t>
            </w:r>
            <w:r>
              <w:rPr>
                <w:rFonts w:hint="eastAsia" w:ascii="仿宋_GB2312" w:hAnsi="宋体" w:eastAsia="仿宋_GB2312"/>
                <w:sz w:val="24"/>
              </w:rPr>
              <w:t>分）。</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2分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8"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widowControl/>
              <w:jc w:val="left"/>
              <w:rPr>
                <w:rFonts w:ascii="仿宋_GB2312" w:hAnsi="宋体" w:eastAsia="仿宋_GB2312"/>
                <w:sz w:val="24"/>
              </w:rPr>
            </w:pPr>
          </w:p>
        </w:tc>
        <w:tc>
          <w:tcPr>
            <w:tcW w:w="709" w:type="dxa"/>
            <w:vMerge w:val="continue"/>
            <w:tcBorders>
              <w:left w:val="single" w:color="000000" w:sz="4" w:space="0"/>
              <w:right w:val="single" w:color="000000" w:sz="4" w:space="0"/>
            </w:tcBorders>
          </w:tcPr>
          <w:p>
            <w:pPr>
              <w:jc w:val="left"/>
              <w:rPr>
                <w:rFonts w:ascii="仿宋_GB2312" w:hAnsi="宋体" w:eastAsia="仿宋_GB2312"/>
                <w:sz w:val="24"/>
              </w:rPr>
            </w:pPr>
          </w:p>
        </w:tc>
        <w:tc>
          <w:tcPr>
            <w:tcW w:w="5670"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bookmarkStart w:id="3" w:name="OLE_LINK1"/>
            <w:bookmarkStart w:id="4" w:name="OLE_LINK4"/>
            <w:bookmarkStart w:id="5" w:name="OLE_LINK3"/>
            <w:r>
              <w:rPr>
                <w:rFonts w:hint="eastAsia" w:ascii="仿宋_GB2312" w:hAnsi="宋体" w:eastAsia="仿宋_GB2312"/>
                <w:sz w:val="24"/>
              </w:rPr>
              <w:t>商品相关属性描述，需包含商品属性，特点，卖点，（</w:t>
            </w:r>
            <w:r>
              <w:rPr>
                <w:rFonts w:ascii="仿宋_GB2312" w:hAnsi="宋体" w:eastAsia="仿宋_GB2312"/>
                <w:sz w:val="24"/>
              </w:rPr>
              <w:t>3</w:t>
            </w:r>
            <w:r>
              <w:rPr>
                <w:rFonts w:hint="eastAsia" w:ascii="仿宋_GB2312" w:hAnsi="宋体" w:eastAsia="仿宋_GB2312"/>
                <w:sz w:val="24"/>
              </w:rPr>
              <w:t>分）适用人群，配送，支付，售后，评价等相关内容的信息（1分）；此部分图文混排得分更高。</w:t>
            </w:r>
            <w:bookmarkEnd w:id="3"/>
            <w:bookmarkEnd w:id="4"/>
            <w:bookmarkEnd w:id="5"/>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ascii="仿宋_GB2312" w:hAnsi="宋体" w:eastAsia="仿宋_GB2312"/>
                <w:sz w:val="24"/>
              </w:rPr>
              <w:t>4</w:t>
            </w:r>
            <w:r>
              <w:rPr>
                <w:rFonts w:hint="eastAsia" w:ascii="仿宋_GB2312" w:hAnsi="宋体" w:eastAsia="仿宋_GB2312"/>
                <w:sz w:val="24"/>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2"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restart"/>
            <w:tcBorders>
              <w:top w:val="single" w:color="auto"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移动电商店铺</w:t>
            </w:r>
          </w:p>
        </w:tc>
        <w:tc>
          <w:tcPr>
            <w:tcW w:w="6379" w:type="dxa"/>
            <w:gridSpan w:val="2"/>
            <w:tcBorders>
              <w:top w:val="single" w:color="auto" w:sz="4" w:space="0"/>
              <w:left w:val="single" w:color="000000" w:sz="4" w:space="0"/>
              <w:bottom w:val="single" w:color="000000" w:sz="4" w:space="0"/>
              <w:right w:val="single" w:color="000000" w:sz="4" w:space="0"/>
            </w:tcBorders>
          </w:tcPr>
          <w:p>
            <w:pPr>
              <w:jc w:val="left"/>
              <w:rPr>
                <w:rFonts w:ascii="仿宋_GB2312" w:hAnsi="宋体" w:eastAsia="仿宋_GB2312"/>
                <w:sz w:val="24"/>
              </w:rPr>
            </w:pPr>
            <w:r>
              <w:rPr>
                <w:rFonts w:hint="eastAsia" w:ascii="仿宋_GB2312" w:hAnsi="宋体" w:eastAsia="仿宋_GB2312"/>
                <w:sz w:val="24"/>
              </w:rPr>
              <w:t>能够按照要求把PC电商店铺的内容准确无误的移植到移动电商店铺，不存在缺项漏项（</w:t>
            </w:r>
            <w:r>
              <w:rPr>
                <w:rFonts w:ascii="仿宋_GB2312" w:hAnsi="宋体" w:eastAsia="仿宋_GB2312"/>
                <w:sz w:val="24"/>
              </w:rPr>
              <w:t>0.5</w:t>
            </w:r>
            <w:r>
              <w:rPr>
                <w:rFonts w:hint="eastAsia" w:ascii="仿宋_GB2312" w:hAnsi="宋体" w:eastAsia="仿宋_GB2312"/>
                <w:sz w:val="24"/>
              </w:rPr>
              <w:t>分）。移动电商店铺完整独立（</w:t>
            </w:r>
            <w:r>
              <w:rPr>
                <w:rFonts w:ascii="仿宋_GB2312" w:hAnsi="宋体" w:eastAsia="仿宋_GB2312"/>
                <w:sz w:val="24"/>
              </w:rPr>
              <w:t>0.5</w:t>
            </w:r>
            <w:r>
              <w:rPr>
                <w:rFonts w:hint="eastAsia" w:ascii="仿宋_GB2312" w:hAnsi="宋体" w:eastAsia="仿宋_GB2312"/>
                <w:sz w:val="24"/>
              </w:rPr>
              <w:t>分）。</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ascii="仿宋_GB2312" w:hAnsi="宋体" w:eastAsia="仿宋_GB2312"/>
                <w:sz w:val="24"/>
              </w:rPr>
              <w:t>1</w:t>
            </w:r>
            <w:r>
              <w:rPr>
                <w:rFonts w:hint="eastAsia" w:ascii="仿宋_GB2312" w:hAnsi="宋体" w:eastAsia="仿宋_GB2312"/>
                <w:sz w:val="24"/>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widowControl/>
              <w:jc w:val="left"/>
              <w:rPr>
                <w:rFonts w:ascii="仿宋_GB2312" w:hAnsi="宋体" w:eastAsia="仿宋_GB2312"/>
                <w:sz w:val="24"/>
              </w:rPr>
            </w:pPr>
          </w:p>
        </w:tc>
        <w:tc>
          <w:tcPr>
            <w:tcW w:w="6379" w:type="dxa"/>
            <w:gridSpan w:val="2"/>
            <w:tcBorders>
              <w:top w:val="single" w:color="auto" w:sz="4" w:space="0"/>
              <w:left w:val="single" w:color="000000" w:sz="4" w:space="0"/>
              <w:bottom w:val="single" w:color="000000" w:sz="4" w:space="0"/>
              <w:right w:val="single" w:color="000000" w:sz="4" w:space="0"/>
            </w:tcBorders>
          </w:tcPr>
          <w:p>
            <w:pPr>
              <w:jc w:val="left"/>
              <w:rPr>
                <w:rFonts w:ascii="仿宋_GB2312" w:hAnsi="宋体" w:eastAsia="仿宋_GB2312"/>
                <w:sz w:val="24"/>
              </w:rPr>
            </w:pPr>
            <w:r>
              <w:rPr>
                <w:rFonts w:hint="eastAsia" w:ascii="仿宋_GB2312" w:hAnsi="宋体" w:eastAsia="仿宋_GB2312"/>
                <w:sz w:val="24"/>
              </w:rPr>
              <w:t>内容完整的前提下，移动电商店铺的图片不能存在模糊失真或者压缩变形的情况出现。</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2分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bottom w:val="single" w:color="000000" w:sz="4" w:space="0"/>
              <w:right w:val="single" w:color="000000" w:sz="4" w:space="0"/>
            </w:tcBorders>
            <w:vAlign w:val="center"/>
          </w:tcPr>
          <w:p>
            <w:pPr>
              <w:widowControl/>
              <w:jc w:val="left"/>
              <w:rPr>
                <w:rFonts w:ascii="仿宋_GB2312" w:hAnsi="宋体" w:eastAsia="仿宋_GB2312"/>
                <w:sz w:val="24"/>
              </w:rPr>
            </w:pPr>
          </w:p>
        </w:tc>
        <w:tc>
          <w:tcPr>
            <w:tcW w:w="6379" w:type="dxa"/>
            <w:gridSpan w:val="2"/>
            <w:tcBorders>
              <w:top w:val="single" w:color="auto" w:sz="4" w:space="0"/>
              <w:left w:val="single" w:color="000000" w:sz="4" w:space="0"/>
              <w:bottom w:val="single" w:color="000000" w:sz="4" w:space="0"/>
              <w:right w:val="single" w:color="000000" w:sz="4" w:space="0"/>
            </w:tcBorders>
          </w:tcPr>
          <w:p>
            <w:pPr>
              <w:jc w:val="left"/>
              <w:rPr>
                <w:rFonts w:ascii="仿宋_GB2312" w:hAnsi="宋体" w:eastAsia="仿宋_GB2312"/>
                <w:sz w:val="24"/>
              </w:rPr>
            </w:pPr>
            <w:r>
              <w:rPr>
                <w:rFonts w:hint="eastAsia" w:ascii="仿宋_GB2312" w:hAnsi="宋体" w:eastAsia="仿宋_GB2312"/>
                <w:sz w:val="24"/>
              </w:rPr>
              <w:t>移动电商店铺的店招设计能够突出店铺的特色，与店标搭配协调</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0.5分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restart"/>
            <w:tcBorders>
              <w:top w:val="single" w:color="auto"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跨境电商店铺</w:t>
            </w:r>
          </w:p>
        </w:tc>
        <w:tc>
          <w:tcPr>
            <w:tcW w:w="709" w:type="dxa"/>
            <w:vMerge w:val="restart"/>
            <w:tcBorders>
              <w:top w:val="single" w:color="auto"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首页</w:t>
            </w:r>
          </w:p>
        </w:tc>
        <w:tc>
          <w:tcPr>
            <w:tcW w:w="5670"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店标设计独特，有一定的创新性，并且能够反映出店铺所销售的商品。</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0.5分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jc w:val="left"/>
              <w:rPr>
                <w:rFonts w:ascii="仿宋_GB2312" w:hAnsi="宋体" w:eastAsia="仿宋_GB2312"/>
                <w:sz w:val="24"/>
              </w:rPr>
            </w:pPr>
          </w:p>
        </w:tc>
        <w:tc>
          <w:tcPr>
            <w:tcW w:w="709" w:type="dxa"/>
            <w:vMerge w:val="continue"/>
            <w:tcBorders>
              <w:left w:val="single" w:color="000000" w:sz="4" w:space="0"/>
              <w:right w:val="single" w:color="000000" w:sz="4" w:space="0"/>
            </w:tcBorders>
          </w:tcPr>
          <w:p>
            <w:pPr>
              <w:jc w:val="left"/>
              <w:rPr>
                <w:rFonts w:ascii="仿宋_GB2312" w:hAnsi="宋体" w:eastAsia="仿宋_GB2312"/>
                <w:sz w:val="24"/>
              </w:rPr>
            </w:pPr>
          </w:p>
        </w:tc>
        <w:tc>
          <w:tcPr>
            <w:tcW w:w="5670"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网店Banner图片主题统一（0.5分），与店铺经营商品具有相关性（0.5分），banner设计具有吸引力并且具有一定的营销导向（0.5分），能够提高店铺整体风格（0.5分）。</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2分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jc w:val="left"/>
              <w:rPr>
                <w:rFonts w:ascii="仿宋_GB2312" w:hAnsi="宋体" w:eastAsia="仿宋_GB2312"/>
                <w:sz w:val="24"/>
              </w:rPr>
            </w:pPr>
          </w:p>
        </w:tc>
        <w:tc>
          <w:tcPr>
            <w:tcW w:w="709" w:type="dxa"/>
            <w:vMerge w:val="continue"/>
            <w:tcBorders>
              <w:left w:val="single" w:color="000000" w:sz="4" w:space="0"/>
              <w:bottom w:val="single" w:color="000000" w:sz="4" w:space="0"/>
              <w:right w:val="single" w:color="000000" w:sz="4" w:space="0"/>
            </w:tcBorders>
          </w:tcPr>
          <w:p>
            <w:pPr>
              <w:jc w:val="left"/>
              <w:rPr>
                <w:rFonts w:ascii="仿宋_GB2312" w:hAnsi="宋体" w:eastAsia="仿宋_GB2312"/>
                <w:sz w:val="24"/>
              </w:rPr>
            </w:pPr>
          </w:p>
        </w:tc>
        <w:tc>
          <w:tcPr>
            <w:tcW w:w="5670"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网店产品展示设计风格统一（0.5分），产品分类清晰（0.5分）</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1分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jc w:val="left"/>
              <w:rPr>
                <w:rFonts w:ascii="仿宋_GB2312" w:hAnsi="宋体" w:eastAsia="仿宋_GB2312"/>
                <w:sz w:val="24"/>
              </w:rPr>
            </w:pPr>
          </w:p>
        </w:tc>
        <w:tc>
          <w:tcPr>
            <w:tcW w:w="709" w:type="dxa"/>
            <w:vMerge w:val="restart"/>
            <w:tcBorders>
              <w:top w:val="single" w:color="auto" w:sz="4" w:space="0"/>
              <w:left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详情页</w:t>
            </w:r>
          </w:p>
        </w:tc>
        <w:tc>
          <w:tcPr>
            <w:tcW w:w="5670"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设置给定商品的英文标题，商品标题体现商品属性特点卖点的关键词（每个关键词0.2分，最高到1分为止），英文表达准确</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1分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jc w:val="left"/>
              <w:rPr>
                <w:rFonts w:ascii="仿宋_GB2312" w:hAnsi="宋体" w:eastAsia="仿宋_GB2312"/>
                <w:sz w:val="24"/>
              </w:rPr>
            </w:pPr>
          </w:p>
        </w:tc>
        <w:tc>
          <w:tcPr>
            <w:tcW w:w="709" w:type="dxa"/>
            <w:vMerge w:val="continue"/>
            <w:tcBorders>
              <w:left w:val="single" w:color="000000" w:sz="4" w:space="0"/>
              <w:right w:val="single" w:color="000000" w:sz="4" w:space="0"/>
            </w:tcBorders>
          </w:tcPr>
          <w:p>
            <w:pPr>
              <w:jc w:val="left"/>
              <w:rPr>
                <w:rFonts w:ascii="仿宋_GB2312" w:hAnsi="宋体" w:eastAsia="仿宋_GB2312"/>
                <w:sz w:val="24"/>
              </w:rPr>
            </w:pPr>
          </w:p>
        </w:tc>
        <w:tc>
          <w:tcPr>
            <w:tcW w:w="5670"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商品图片（6张），图片设计美观，主题突出（0.5分），图片要真实，不过分修饰（</w:t>
            </w:r>
            <w:r>
              <w:rPr>
                <w:rFonts w:ascii="仿宋_GB2312" w:hAnsi="宋体" w:eastAsia="仿宋_GB2312"/>
                <w:sz w:val="24"/>
              </w:rPr>
              <w:t>0.5</w:t>
            </w:r>
            <w:r>
              <w:rPr>
                <w:rFonts w:hint="eastAsia" w:ascii="仿宋_GB2312" w:hAnsi="宋体" w:eastAsia="仿宋_GB2312"/>
                <w:sz w:val="24"/>
              </w:rPr>
              <w:t>分）。</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1分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5" w:hRule="atLeast"/>
        </w:trPr>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vMerge w:val="continue"/>
            <w:tcBorders>
              <w:left w:val="single" w:color="000000" w:sz="4" w:space="0"/>
              <w:right w:val="single" w:color="000000" w:sz="4" w:space="0"/>
            </w:tcBorders>
            <w:vAlign w:val="center"/>
          </w:tcPr>
          <w:p>
            <w:pPr>
              <w:jc w:val="left"/>
              <w:rPr>
                <w:rFonts w:ascii="仿宋_GB2312" w:hAnsi="宋体" w:eastAsia="仿宋_GB2312"/>
                <w:sz w:val="24"/>
              </w:rPr>
            </w:pPr>
          </w:p>
        </w:tc>
        <w:tc>
          <w:tcPr>
            <w:tcW w:w="709" w:type="dxa"/>
            <w:vMerge w:val="continue"/>
            <w:tcBorders>
              <w:left w:val="single" w:color="000000" w:sz="4" w:space="0"/>
              <w:right w:val="single" w:color="000000" w:sz="4" w:space="0"/>
            </w:tcBorders>
          </w:tcPr>
          <w:p>
            <w:pPr>
              <w:jc w:val="left"/>
              <w:rPr>
                <w:rFonts w:ascii="仿宋_GB2312" w:hAnsi="宋体" w:eastAsia="仿宋_GB2312"/>
                <w:sz w:val="24"/>
              </w:rPr>
            </w:pPr>
          </w:p>
        </w:tc>
        <w:tc>
          <w:tcPr>
            <w:tcW w:w="5670"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商品相关属性描述，需包含商品属性，特点，卖点（1分），适用人群，配送，支付，售后，评价等相关内容的信息（1分）；英文表达准确，图片内容真实，不允许过度修饰（1分）。</w:t>
            </w:r>
          </w:p>
        </w:tc>
        <w:tc>
          <w:tcPr>
            <w:tcW w:w="997" w:type="dxa"/>
            <w:tcBorders>
              <w:top w:val="single" w:color="auto"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Merge w:val="continue"/>
            <w:tcBorders>
              <w:left w:val="single" w:color="000000" w:sz="4" w:space="0"/>
              <w:right w:val="single" w:color="000000" w:sz="4" w:space="0"/>
            </w:tcBorders>
            <w:vAlign w:val="center"/>
          </w:tcPr>
          <w:p>
            <w:pPr>
              <w:jc w:val="center"/>
              <w:rPr>
                <w:rFonts w:ascii="仿宋_GB2312" w:hAnsi="宋体" w:eastAsia="仿宋_GB2312"/>
                <w:sz w:val="24"/>
              </w:rPr>
            </w:pPr>
          </w:p>
        </w:tc>
        <w:tc>
          <w:tcPr>
            <w:tcW w:w="746"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营销策划</w:t>
            </w:r>
          </w:p>
        </w:tc>
        <w:tc>
          <w:tcPr>
            <w:tcW w:w="6379" w:type="dxa"/>
            <w:gridSpan w:val="2"/>
            <w:tcBorders>
              <w:top w:val="single" w:color="000000" w:sz="4" w:space="0"/>
              <w:left w:val="single" w:color="000000" w:sz="4" w:space="0"/>
              <w:bottom w:val="single" w:color="000000" w:sz="4" w:space="0"/>
              <w:right w:val="single" w:color="000000" w:sz="4" w:space="0"/>
            </w:tcBorders>
          </w:tcPr>
          <w:p>
            <w:pPr>
              <w:jc w:val="left"/>
              <w:rPr>
                <w:rFonts w:ascii="仿宋_GB2312" w:hAnsi="宋体" w:eastAsia="仿宋_GB2312"/>
                <w:sz w:val="24"/>
              </w:rPr>
            </w:pPr>
            <w:r>
              <w:rPr>
                <w:rFonts w:hint="eastAsia" w:ascii="仿宋_GB2312" w:hAnsi="宋体" w:eastAsia="仿宋_GB2312"/>
                <w:sz w:val="24"/>
              </w:rPr>
              <w:t>网店整体装修中能够体现营销策划的相关内容，含有推荐商品、促销活动的标识和以促销为目的的宣传用语，但是不允许过分夸张（</w:t>
            </w:r>
            <w:r>
              <w:rPr>
                <w:rFonts w:ascii="仿宋_GB2312" w:hAnsi="宋体" w:eastAsia="仿宋_GB2312"/>
                <w:sz w:val="24"/>
              </w:rPr>
              <w:t>1</w:t>
            </w:r>
            <w:r>
              <w:rPr>
                <w:rFonts w:hint="eastAsia" w:ascii="仿宋_GB2312" w:hAnsi="宋体" w:eastAsia="仿宋_GB2312"/>
                <w:sz w:val="24"/>
              </w:rPr>
              <w:t>分）;跨境店铺装修中的促销用语不允许出现错别英文单词（1分）。</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Merge w:val="continue"/>
            <w:tcBorders>
              <w:left w:val="single" w:color="000000" w:sz="4" w:space="0"/>
              <w:bottom w:val="single" w:color="000000" w:sz="4" w:space="0"/>
              <w:right w:val="single" w:color="000000" w:sz="4" w:space="0"/>
            </w:tcBorders>
            <w:vAlign w:val="center"/>
          </w:tcPr>
          <w:p>
            <w:pPr>
              <w:jc w:val="center"/>
              <w:rPr>
                <w:rFonts w:ascii="仿宋_GB2312" w:hAnsi="宋体" w:eastAsia="仿宋_GB2312"/>
                <w:sz w:val="24"/>
              </w:rPr>
            </w:pPr>
          </w:p>
        </w:tc>
        <w:tc>
          <w:tcPr>
            <w:tcW w:w="746"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视觉营销</w:t>
            </w:r>
          </w:p>
        </w:tc>
        <w:tc>
          <w:tcPr>
            <w:tcW w:w="6379" w:type="dxa"/>
            <w:gridSpan w:val="2"/>
            <w:tcBorders>
              <w:top w:val="single" w:color="000000" w:sz="4" w:space="0"/>
              <w:left w:val="single" w:color="000000" w:sz="4" w:space="0"/>
              <w:bottom w:val="single" w:color="000000" w:sz="4" w:space="0"/>
              <w:right w:val="single" w:color="000000" w:sz="4" w:space="0"/>
            </w:tcBorders>
          </w:tcPr>
          <w:p>
            <w:pPr>
              <w:jc w:val="left"/>
              <w:rPr>
                <w:rFonts w:ascii="仿宋_GB2312" w:hAnsi="宋体" w:eastAsia="仿宋_GB2312"/>
                <w:sz w:val="24"/>
              </w:rPr>
            </w:pPr>
            <w:r>
              <w:rPr>
                <w:rFonts w:hint="eastAsia" w:ascii="仿宋_GB2312" w:hAnsi="宋体" w:eastAsia="仿宋_GB2312"/>
                <w:sz w:val="24"/>
              </w:rPr>
              <w:t>店铺首页及商品详情页的装修要重点突出，符合目标消费者的浏览习惯（1分），布局设计上能够引导消费者的视觉关注点，层次清晰，能够通过视觉的冲击和审美视觉感观提高买家的兴趣，达到产品推广的目的（1分）。</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2分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sz w:val="24"/>
              </w:rPr>
            </w:pPr>
            <w:r>
              <w:rPr>
                <w:rFonts w:hint="eastAsia" w:ascii="仿宋_GB2312" w:hAnsi="宋体" w:eastAsia="仿宋_GB2312"/>
                <w:sz w:val="24"/>
              </w:rPr>
              <w:t>客 户</w:t>
            </w:r>
          </w:p>
          <w:p>
            <w:pPr>
              <w:jc w:val="center"/>
              <w:rPr>
                <w:rFonts w:ascii="仿宋_GB2312" w:hAnsi="宋体" w:eastAsia="仿宋_GB2312"/>
                <w:sz w:val="24"/>
              </w:rPr>
            </w:pPr>
            <w:r>
              <w:rPr>
                <w:rFonts w:hint="eastAsia" w:ascii="仿宋_GB2312" w:hAnsi="宋体" w:eastAsia="仿宋_GB2312"/>
                <w:sz w:val="24"/>
              </w:rPr>
              <w:t>服 务</w:t>
            </w:r>
          </w:p>
        </w:tc>
        <w:tc>
          <w:tcPr>
            <w:tcW w:w="746"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回答准确</w:t>
            </w:r>
          </w:p>
        </w:tc>
        <w:tc>
          <w:tcPr>
            <w:tcW w:w="6379" w:type="dxa"/>
            <w:gridSpan w:val="2"/>
            <w:tcBorders>
              <w:top w:val="single" w:color="000000" w:sz="4" w:space="0"/>
              <w:left w:val="single" w:color="000000" w:sz="4" w:space="0"/>
              <w:bottom w:val="single" w:color="000000" w:sz="4" w:space="0"/>
              <w:right w:val="single" w:color="000000" w:sz="4" w:space="0"/>
            </w:tcBorders>
          </w:tcPr>
          <w:p>
            <w:pPr>
              <w:jc w:val="left"/>
              <w:rPr>
                <w:rFonts w:ascii="仿宋_GB2312" w:hAnsi="宋体" w:eastAsia="仿宋_GB2312"/>
                <w:sz w:val="24"/>
              </w:rPr>
            </w:pPr>
            <w:r>
              <w:rPr>
                <w:rFonts w:hint="eastAsia" w:ascii="仿宋_GB2312" w:hAnsi="宋体" w:eastAsia="仿宋_GB2312"/>
                <w:sz w:val="24"/>
              </w:rPr>
              <w:t>每个客户服务团队两名选手，先分别完成系统内的综合素养考核题，各回答</w:t>
            </w:r>
            <w:r>
              <w:rPr>
                <w:rFonts w:ascii="仿宋_GB2312" w:hAnsi="宋体" w:eastAsia="仿宋_GB2312"/>
                <w:sz w:val="24"/>
              </w:rPr>
              <w:t>10</w:t>
            </w:r>
            <w:r>
              <w:rPr>
                <w:rFonts w:hint="eastAsia" w:ascii="仿宋_GB2312" w:hAnsi="宋体" w:eastAsia="仿宋_GB2312"/>
                <w:sz w:val="24"/>
              </w:rPr>
              <w:t>个问题，每题0</w:t>
            </w:r>
            <w:r>
              <w:rPr>
                <w:rFonts w:ascii="仿宋_GB2312" w:hAnsi="宋体" w:eastAsia="仿宋_GB2312"/>
                <w:sz w:val="24"/>
              </w:rPr>
              <w:t>.25</w:t>
            </w:r>
            <w:r>
              <w:rPr>
                <w:rFonts w:hint="eastAsia" w:ascii="仿宋_GB2312" w:hAnsi="宋体" w:eastAsia="仿宋_GB2312"/>
                <w:sz w:val="24"/>
              </w:rPr>
              <w:t>分，再按照不同服务岗位进行分工，在规定的时间（120秒）内，按照相应岗位的标准话术，独立回答来自多个客户的不同问题。每回答正确1题得0.05分。回答错误或者回答超时不得分。以两名选手成绩的总分作为最终成绩。</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5</w:t>
            </w:r>
            <w:r>
              <w:rPr>
                <w:rFonts w:hint="eastAsia" w:ascii="仿宋_GB2312" w:hAnsi="宋体" w:eastAsia="仿宋_GB2312"/>
                <w:sz w:val="24"/>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sz w:val="24"/>
              </w:rPr>
            </w:pPr>
            <w:r>
              <w:rPr>
                <w:rFonts w:hint="eastAsia" w:ascii="仿宋_GB2312" w:hAnsi="宋体" w:eastAsia="仿宋_GB2312"/>
                <w:sz w:val="24"/>
              </w:rPr>
              <w:t>运 营</w:t>
            </w:r>
          </w:p>
          <w:p>
            <w:pPr>
              <w:jc w:val="center"/>
              <w:rPr>
                <w:rFonts w:ascii="仿宋_GB2312" w:hAnsi="宋体" w:eastAsia="仿宋_GB2312"/>
                <w:sz w:val="24"/>
              </w:rPr>
            </w:pPr>
            <w:r>
              <w:rPr>
                <w:rFonts w:hint="eastAsia" w:ascii="仿宋_GB2312" w:hAnsi="宋体" w:eastAsia="仿宋_GB2312"/>
                <w:sz w:val="24"/>
              </w:rPr>
              <w:t>推 广</w:t>
            </w:r>
          </w:p>
        </w:tc>
        <w:tc>
          <w:tcPr>
            <w:tcW w:w="7125" w:type="dxa"/>
            <w:gridSpan w:val="3"/>
            <w:tcBorders>
              <w:top w:val="single" w:color="000000" w:sz="4" w:space="0"/>
              <w:left w:val="single" w:color="000000" w:sz="4" w:space="0"/>
              <w:bottom w:val="single" w:color="000000" w:sz="4" w:space="0"/>
              <w:right w:val="single" w:color="000000" w:sz="4" w:space="0"/>
            </w:tcBorders>
          </w:tcPr>
          <w:p>
            <w:pPr>
              <w:jc w:val="left"/>
              <w:rPr>
                <w:rFonts w:ascii="仿宋_GB2312" w:hAnsi="宋体" w:eastAsia="仿宋_GB2312"/>
                <w:sz w:val="24"/>
              </w:rPr>
            </w:pPr>
            <w:r>
              <w:rPr>
                <w:rFonts w:hint="eastAsia" w:ascii="仿宋_GB2312" w:hAnsi="宋体" w:eastAsia="仿宋_GB2312"/>
                <w:sz w:val="24"/>
              </w:rPr>
              <w:t>软件以各队“所有者权益”为主，企业可持续性经营能力为辅自动计算经营得分，每个赛场根据各队的经营得分进行排序，第一名60分，按照名次递减5分，第二名55分依次类推。</w:t>
            </w:r>
          </w:p>
        </w:tc>
        <w:tc>
          <w:tcPr>
            <w:tcW w:w="997" w:type="dxa"/>
            <w:tcBorders>
              <w:top w:val="single" w:color="000000" w:sz="4" w:space="0"/>
              <w:left w:val="single" w:color="000000" w:sz="4" w:space="0"/>
              <w:bottom w:val="single" w:color="000000" w:sz="4" w:space="0"/>
              <w:right w:val="single" w:color="000000" w:sz="4" w:space="0"/>
            </w:tcBorders>
            <w:vAlign w:val="center"/>
          </w:tcPr>
          <w:p>
            <w:pPr>
              <w:jc w:val="left"/>
              <w:rPr>
                <w:rFonts w:ascii="仿宋_GB2312" w:hAnsi="宋体" w:eastAsia="仿宋_GB2312"/>
                <w:sz w:val="24"/>
              </w:rPr>
            </w:pPr>
            <w:r>
              <w:rPr>
                <w:rFonts w:hint="eastAsia" w:ascii="仿宋_GB2312" w:hAnsi="宋体" w:eastAsia="仿宋_GB2312"/>
                <w:sz w:val="24"/>
              </w:rPr>
              <w:t>60分</w:t>
            </w:r>
          </w:p>
        </w:tc>
      </w:tr>
    </w:tbl>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十二、奖项设定</w:t>
      </w:r>
    </w:p>
    <w:p>
      <w:pPr>
        <w:pStyle w:val="19"/>
        <w:snapToGrid w:val="0"/>
        <w:spacing w:beforeLines="0" w:afterLines="0" w:line="560" w:lineRule="exact"/>
        <w:ind w:firstLine="560"/>
        <w:rPr>
          <w:rFonts w:ascii="仿宋_GB2312" w:hAnsi="仿宋" w:cs="仿宋"/>
        </w:rPr>
      </w:pPr>
      <w:r>
        <w:rPr>
          <w:rFonts w:hint="eastAsia" w:ascii="仿宋_GB2312" w:hAnsi="仿宋" w:cs="仿宋"/>
        </w:rPr>
        <w:t>1.设团体一、二、三等奖，以赛项实际参赛队总数为基数，一、二、三等奖获奖比例分别为10%、20%、30%（小数点后四舍五入）。</w:t>
      </w:r>
    </w:p>
    <w:p>
      <w:pPr>
        <w:spacing w:line="560" w:lineRule="exact"/>
        <w:ind w:firstLine="560"/>
        <w:rPr>
          <w:rFonts w:ascii="仿宋_GB2312" w:hAnsi="仿宋" w:eastAsia="仿宋_GB2312" w:cs="仿宋"/>
          <w:sz w:val="28"/>
          <w:szCs w:val="28"/>
        </w:rPr>
      </w:pPr>
      <w:r>
        <w:rPr>
          <w:rFonts w:hint="eastAsia" w:ascii="仿宋_GB2312" w:hAnsi="仿宋" w:eastAsia="仿宋_GB2312" w:cs="仿宋"/>
          <w:sz w:val="28"/>
          <w:szCs w:val="28"/>
        </w:rPr>
        <w:t>2.获得一等奖的参赛队指导教师由组委会颁发优秀指导教师证书。</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十三、赛场预案</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（一）非正常停电</w:t>
      </w:r>
    </w:p>
    <w:p>
      <w:pPr>
        <w:pStyle w:val="19"/>
        <w:snapToGrid w:val="0"/>
        <w:spacing w:beforeLines="0" w:afterLines="0" w:line="560" w:lineRule="exact"/>
        <w:ind w:firstLine="560"/>
        <w:rPr>
          <w:rFonts w:ascii="仿宋_GB2312" w:hAnsi="仿宋" w:cs="仿宋"/>
        </w:rPr>
      </w:pPr>
      <w:r>
        <w:rPr>
          <w:rFonts w:hint="eastAsia" w:ascii="仿宋_GB2312" w:hAnsi="仿宋" w:cs="仿宋"/>
        </w:rPr>
        <w:t>竞赛现场如出现突然非正常停电的，按下述步骤进行处理：</w:t>
      </w:r>
    </w:p>
    <w:p>
      <w:pPr>
        <w:pStyle w:val="19"/>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裁判员提示参赛选手，工作人员提示观摩人员要保持镇静，防止踩踏事件发生；</w:t>
      </w:r>
    </w:p>
    <w:p>
      <w:pPr>
        <w:pStyle w:val="19"/>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裁判员提示参赛选手在电源保护装置的有效时间内备份计算机操作数据，并等候处理决定；</w:t>
      </w:r>
    </w:p>
    <w:p>
      <w:pPr>
        <w:pStyle w:val="19"/>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必要时，保卫人员开启安全通道，有序疏散现场人员离场；</w:t>
      </w:r>
    </w:p>
    <w:p>
      <w:pPr>
        <w:pStyle w:val="19"/>
        <w:snapToGrid w:val="0"/>
        <w:spacing w:beforeLines="0" w:afterLines="0" w:line="560" w:lineRule="exact"/>
        <w:ind w:firstLine="56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裁判长视情况决定启动备用电源或延迟竞赛。</w:t>
      </w:r>
    </w:p>
    <w:p>
      <w:pPr>
        <w:pStyle w:val="19"/>
        <w:snapToGrid w:val="0"/>
        <w:spacing w:beforeLines="0" w:afterLines="0" w:line="560" w:lineRule="exact"/>
        <w:ind w:firstLine="560"/>
        <w:rPr>
          <w:rFonts w:ascii="仿宋_GB2312" w:hAnsi="仿宋" w:cs="仿宋"/>
        </w:rPr>
      </w:pPr>
      <w:r>
        <w:rPr>
          <w:rFonts w:hint="eastAsia" w:ascii="仿宋_GB2312" w:hAnsi="仿宋" w:cs="仿宋"/>
        </w:rPr>
        <w:t>5</w:t>
      </w:r>
      <w:r>
        <w:rPr>
          <w:rFonts w:ascii="仿宋_GB2312" w:hAnsi="仿宋" w:cs="仿宋"/>
        </w:rPr>
        <w:t>.</w:t>
      </w:r>
      <w:r>
        <w:rPr>
          <w:rFonts w:hint="eastAsia" w:ascii="仿宋_GB2312" w:hAnsi="仿宋" w:cs="仿宋"/>
        </w:rPr>
        <w:t>现场电力恢复后，由裁判组集体商定根据竞赛内容特点的不同可采用继续比赛、顺延比赛时间、重赛等处理办法。</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（二）竞赛设备故障</w:t>
      </w:r>
    </w:p>
    <w:p>
      <w:pPr>
        <w:pStyle w:val="19"/>
        <w:snapToGrid w:val="0"/>
        <w:spacing w:beforeLines="0" w:afterLines="0" w:line="560" w:lineRule="exact"/>
        <w:ind w:firstLine="560"/>
        <w:rPr>
          <w:rFonts w:ascii="仿宋_GB2312" w:hAnsi="仿宋" w:cs="仿宋"/>
        </w:rPr>
      </w:pPr>
      <w:r>
        <w:rPr>
          <w:rFonts w:hint="eastAsia" w:ascii="仿宋_GB2312" w:hAnsi="仿宋" w:cs="仿宋"/>
        </w:rPr>
        <w:t>竞赛过程中，如遇竞赛设备故障，按下列程序报告并处理：</w:t>
      </w:r>
      <w:r>
        <w:rPr>
          <w:rFonts w:ascii="仿宋_GB2312" w:hAnsi="仿宋" w:cs="仿宋"/>
        </w:rPr>
        <w:t xml:space="preserve"> </w:t>
      </w:r>
    </w:p>
    <w:p>
      <w:pPr>
        <w:pStyle w:val="19"/>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参赛选手持“故障”示意牌示意，说明故障现象，裁判员、技术员等应及时予以解决。</w:t>
      </w:r>
    </w:p>
    <w:p>
      <w:pPr>
        <w:pStyle w:val="19"/>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确因设备无法继续操作，经由裁判员提出申请，报裁判长批准后，予以启用备用设备。</w:t>
      </w:r>
    </w:p>
    <w:p>
      <w:pPr>
        <w:pStyle w:val="19"/>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竞赛软件都设置了关键节点的自动备份功能，裁判长根据实际情况授权工作人员恢复备份数据。</w:t>
      </w:r>
    </w:p>
    <w:p>
      <w:pPr>
        <w:pStyle w:val="19"/>
        <w:snapToGrid w:val="0"/>
        <w:spacing w:beforeLines="0" w:afterLines="0" w:line="560" w:lineRule="exact"/>
        <w:ind w:firstLine="56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数据恢复正常后，由裁判组集体商定根据竞赛内容特点的不同可采用继续比赛、顺延比赛时间、重赛等处理办法。</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（三）参赛队员发生意外受伤或急病等情况</w:t>
      </w:r>
    </w:p>
    <w:p>
      <w:pPr>
        <w:pStyle w:val="19"/>
        <w:snapToGrid w:val="0"/>
        <w:spacing w:beforeLines="0" w:afterLines="0" w:line="560" w:lineRule="exact"/>
        <w:ind w:firstLine="560"/>
        <w:rPr>
          <w:rFonts w:ascii="仿宋_GB2312" w:hAnsi="仿宋" w:cs="仿宋"/>
        </w:rPr>
      </w:pPr>
      <w:r>
        <w:rPr>
          <w:rFonts w:hint="eastAsia" w:ascii="仿宋_GB2312" w:hAnsi="仿宋" w:cs="仿宋"/>
        </w:rPr>
        <w:t>参赛队员发生意外受伤或急病等情况，应按下列步骤进行处理：</w:t>
      </w:r>
    </w:p>
    <w:p>
      <w:pPr>
        <w:pStyle w:val="19"/>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参赛选手持“医务”示意牌示意；</w:t>
      </w:r>
    </w:p>
    <w:p>
      <w:pPr>
        <w:pStyle w:val="19"/>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现场医务人员迅速到达现场，救治或急送最近医院进行救治；</w:t>
      </w:r>
    </w:p>
    <w:p>
      <w:pPr>
        <w:pStyle w:val="19"/>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参赛队其他队员可在不违反有关规定的情况下，协同完成竞赛事项。</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（四）参赛现场出现暴力，人员拥堵，急性传染病人员进入等情况</w:t>
      </w:r>
    </w:p>
    <w:p>
      <w:pPr>
        <w:pStyle w:val="19"/>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参赛现场出现暴力，人员拥堵，急性传染病人员进入等情况，应按下述步骤进行处理：</w:t>
      </w:r>
    </w:p>
    <w:p>
      <w:pPr>
        <w:pStyle w:val="19"/>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有关人员迅速向赛项总指挥汇报，并由赛项总指挥向赛项执委会汇报，并由赛项执委会根据事态发展情况确定是否及时报告公安部门，公共卫生部门及医疗部门，在保证赛场内人员人生安全的原则下，尽量不扩大事态；</w:t>
      </w:r>
    </w:p>
    <w:p>
      <w:pPr>
        <w:pStyle w:val="19"/>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根据赛前制定的现场保卫人员的职责范围，以及突发情况应对的赛前演练安排，赛项保卫人员迅速就位，对赛场内除参赛队以外的其他人员进行有序疏散；</w:t>
      </w:r>
    </w:p>
    <w:p>
      <w:pPr>
        <w:pStyle w:val="19"/>
        <w:snapToGrid w:val="0"/>
        <w:spacing w:beforeLines="0" w:afterLines="0" w:line="560" w:lineRule="exact"/>
        <w:ind w:firstLine="56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人员疏散后进行现场清理，如消毒，找出突发事件隐患并进行处理等；</w:t>
      </w:r>
    </w:p>
    <w:p>
      <w:pPr>
        <w:pStyle w:val="19"/>
        <w:snapToGrid w:val="0"/>
        <w:spacing w:beforeLines="0" w:afterLines="0" w:line="560" w:lineRule="exact"/>
        <w:ind w:firstLine="560"/>
        <w:rPr>
          <w:rFonts w:ascii="仿宋_GB2312" w:hAnsi="仿宋" w:cs="仿宋"/>
        </w:rPr>
      </w:pPr>
      <w:r>
        <w:rPr>
          <w:rFonts w:hint="eastAsia" w:ascii="仿宋_GB2312" w:hAnsi="仿宋" w:cs="仿宋"/>
        </w:rPr>
        <w:t>5</w:t>
      </w:r>
      <w:r>
        <w:rPr>
          <w:rFonts w:ascii="仿宋_GB2312" w:hAnsi="仿宋" w:cs="仿宋"/>
        </w:rPr>
        <w:t>.</w:t>
      </w:r>
      <w:r>
        <w:rPr>
          <w:rFonts w:hint="eastAsia" w:ascii="仿宋_GB2312" w:hAnsi="仿宋" w:cs="仿宋"/>
        </w:rPr>
        <w:t>进行处理后，在保证参赛队员人身安全的前提下，继续有序组织竞赛。</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（五）暴雨洪灾，火灾等事故</w:t>
      </w:r>
    </w:p>
    <w:p>
      <w:pPr>
        <w:spacing w:line="560" w:lineRule="exact"/>
        <w:ind w:firstLine="560" w:firstLineChars="200"/>
        <w:rPr>
          <w:rFonts w:ascii="仿宋_GB2312" w:hAnsi="仿宋" w:eastAsia="仿宋_GB2312" w:cs="仿宋"/>
          <w:sz w:val="28"/>
          <w:szCs w:val="28"/>
        </w:rPr>
      </w:pPr>
      <w:r>
        <w:rPr>
          <w:rFonts w:hint="eastAsia" w:ascii="Arial Narrow" w:hAnsi="Arial Narrow" w:eastAsia="仿宋_GB2312"/>
          <w:sz w:val="28"/>
          <w:szCs w:val="30"/>
        </w:rPr>
        <w:t>如遇暴雨洪灾，火灾等</w:t>
      </w:r>
      <w:r>
        <w:rPr>
          <w:rFonts w:hint="eastAsia" w:ascii="仿宋_GB2312" w:hAnsi="仿宋" w:eastAsia="仿宋_GB2312" w:cs="仿宋"/>
          <w:sz w:val="28"/>
          <w:szCs w:val="28"/>
        </w:rPr>
        <w:t>事故，应按下述步骤进行处理：</w:t>
      </w:r>
    </w:p>
    <w:p>
      <w:pPr>
        <w:pStyle w:val="19"/>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赛项执委会负责与公安，医疗，气象，交通等部门取得联系，并根据情况确定是否继续竞赛；</w:t>
      </w:r>
    </w:p>
    <w:p>
      <w:pPr>
        <w:pStyle w:val="19"/>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立即组织相关人员到现场，疏散人群，进行应急处理，如使用灭火装置灭掉明火等，必要时封存竞赛现场，停止竞赛；</w:t>
      </w:r>
    </w:p>
    <w:p>
      <w:pPr>
        <w:pStyle w:val="19"/>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现场裁判做好参赛选手工作，工作人员做好观摩人员的思想工作，确保事态不人为扩张。</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十四、赛项安全</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赛事安全是电子商务技能竞赛一切工作顺利开展的先决条件，是赛事筹备和运行工作必须考虑的核心问题。赛项执委会采取切实有效措施保证大赛期间参赛选手、指导教师、工作人员及观众的人身安全。</w:t>
      </w:r>
    </w:p>
    <w:p>
      <w:pPr>
        <w:pStyle w:val="19"/>
        <w:adjustRightInd w:val="0"/>
        <w:snapToGrid w:val="0"/>
        <w:spacing w:beforeLines="0" w:afterLines="0" w:line="560" w:lineRule="exact"/>
        <w:ind w:firstLine="560"/>
        <w:outlineLvl w:val="1"/>
        <w:rPr>
          <w:rFonts w:ascii="仿宋_GB2312" w:hAnsi="仿宋" w:cs="仿宋"/>
        </w:rPr>
      </w:pPr>
      <w:bookmarkStart w:id="6" w:name="_Toc361563584"/>
      <w:r>
        <w:rPr>
          <w:rFonts w:hint="eastAsia" w:ascii="仿宋_GB2312" w:hAnsi="仿宋" w:cs="仿宋"/>
        </w:rPr>
        <w:t>（一）比赛环境</w:t>
      </w:r>
      <w:bookmarkEnd w:id="6"/>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执委会要求排除安全隐患。</w:t>
      </w:r>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赛场周围要设立警戒线，防止无关人员进入发生意外事件。比赛现场内应参照相关职业岗位的要求为选手提供必要的劳动保护。在具有危险性的操作环节，裁判员要严防选手出现错误操作。</w:t>
      </w:r>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承办单位应提供保证应急预案实施的条件。对于比赛内容涉及高空作业、可能有坠物、大用电量、易发生火灾等情况的赛项，必须明确制度和预案，并配备急救人员与设施。</w:t>
      </w:r>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执委会须会同承办单位制定开放赛场和体验区的人员疏导方案。赛场环境中存在人员密集、车流人流交错的区域，除了设置齐全的指示标志外，须增加引导人员，并开辟备用通道。</w:t>
      </w:r>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大赛期间，承办单位须在赛场管理的关键岗位，增加力量，建立安全管理日志。</w:t>
      </w:r>
    </w:p>
    <w:p>
      <w:pPr>
        <w:pStyle w:val="19"/>
        <w:numPr>
          <w:ilvl w:val="0"/>
          <w:numId w:val="3"/>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参赛选手进入赛位、赛事裁判工作人员进入工作场所，严禁携带通讯、照相摄录设备，禁止携带记录用具。如确有需要，由赛场统一配置、统一管理。赛项可根据需要配置安检设备对进入赛场重要部位的人员进行安检。</w:t>
      </w:r>
    </w:p>
    <w:p>
      <w:pPr>
        <w:pStyle w:val="19"/>
        <w:adjustRightInd w:val="0"/>
        <w:snapToGrid w:val="0"/>
        <w:spacing w:beforeLines="0" w:afterLines="0" w:line="560" w:lineRule="exact"/>
        <w:ind w:firstLine="560"/>
        <w:outlineLvl w:val="1"/>
        <w:rPr>
          <w:rFonts w:ascii="仿宋_GB2312" w:hAnsi="仿宋" w:cs="仿宋"/>
        </w:rPr>
      </w:pPr>
      <w:bookmarkStart w:id="7" w:name="_Toc361563585"/>
      <w:r>
        <w:rPr>
          <w:rFonts w:hint="eastAsia" w:ascii="仿宋_GB2312" w:hAnsi="仿宋" w:cs="仿宋"/>
        </w:rPr>
        <w:t>（二）生活条件</w:t>
      </w:r>
      <w:bookmarkEnd w:id="7"/>
    </w:p>
    <w:p>
      <w:pPr>
        <w:pStyle w:val="19"/>
        <w:numPr>
          <w:ilvl w:val="0"/>
          <w:numId w:val="4"/>
        </w:numPr>
        <w:tabs>
          <w:tab w:val="left" w:pos="0"/>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比赛期间，由指导教师统一安排参赛选手的食宿。</w:t>
      </w:r>
    </w:p>
    <w:p>
      <w:pPr>
        <w:pStyle w:val="19"/>
        <w:numPr>
          <w:ilvl w:val="0"/>
          <w:numId w:val="4"/>
        </w:numPr>
        <w:tabs>
          <w:tab w:val="left" w:pos="0"/>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比赛期间的住宿地应具有宾馆/住宿经营许可资质。</w:t>
      </w:r>
    </w:p>
    <w:p>
      <w:pPr>
        <w:pStyle w:val="19"/>
        <w:numPr>
          <w:ilvl w:val="0"/>
          <w:numId w:val="4"/>
        </w:numPr>
        <w:tabs>
          <w:tab w:val="left" w:pos="0"/>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赛项的安全管理，除了可以采取必要的安全隔离措施外，应严格遵守国家相关法律法规，保护个人隐私和人身自由。</w:t>
      </w:r>
    </w:p>
    <w:p>
      <w:pPr>
        <w:pStyle w:val="19"/>
        <w:adjustRightInd w:val="0"/>
        <w:snapToGrid w:val="0"/>
        <w:spacing w:beforeLines="0" w:afterLines="0" w:line="560" w:lineRule="exact"/>
        <w:ind w:left="560" w:firstLine="0" w:firstLineChars="0"/>
        <w:outlineLvl w:val="1"/>
        <w:rPr>
          <w:rFonts w:ascii="仿宋_GB2312" w:hAnsi="仿宋" w:cs="仿宋"/>
        </w:rPr>
      </w:pPr>
      <w:bookmarkStart w:id="8" w:name="_Toc361563586"/>
      <w:r>
        <w:rPr>
          <w:rFonts w:hint="eastAsia" w:ascii="仿宋_GB2312" w:hAnsi="仿宋" w:cs="仿宋"/>
        </w:rPr>
        <w:t>（三）组队责任</w:t>
      </w:r>
      <w:bookmarkEnd w:id="8"/>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1.各学校组织代表队时，须安排为参赛选手购买大赛期间的人身意外伤害保险。</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2.各学校代表队组成后，须制定相关管理制度，并对所有选手、指导教师进行安全教育。</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3.各参赛队伍须加强对参与比赛人员的安全管理，实现与赛场安全管理的对接。</w:t>
      </w:r>
    </w:p>
    <w:p>
      <w:pPr>
        <w:pStyle w:val="19"/>
        <w:adjustRightInd w:val="0"/>
        <w:snapToGrid w:val="0"/>
        <w:spacing w:beforeLines="0" w:afterLines="0" w:line="560" w:lineRule="exact"/>
        <w:ind w:firstLine="560"/>
        <w:outlineLvl w:val="1"/>
        <w:rPr>
          <w:rFonts w:ascii="仿宋_GB2312" w:hAnsi="仿宋" w:cs="仿宋"/>
        </w:rPr>
      </w:pPr>
      <w:bookmarkStart w:id="9" w:name="_Toc361563587"/>
      <w:r>
        <w:rPr>
          <w:rFonts w:hint="eastAsia" w:ascii="仿宋_GB2312" w:hAnsi="仿宋" w:cs="仿宋"/>
        </w:rPr>
        <w:t>（四）应急处理</w:t>
      </w:r>
      <w:bookmarkEnd w:id="9"/>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比赛期间发生意外事故，发现者应第一时间报告执委会，同时采取措施避免事态扩大。执委会应立即启动预案予以解决并报告组委会。赛项出现重大安全问题可以停赛，是否停赛由执委会决定。事后，执委会应向组委会报告详细情况。</w:t>
      </w:r>
    </w:p>
    <w:p>
      <w:pPr>
        <w:pStyle w:val="19"/>
        <w:adjustRightInd w:val="0"/>
        <w:snapToGrid w:val="0"/>
        <w:spacing w:beforeLines="0" w:afterLines="0" w:line="560" w:lineRule="exact"/>
        <w:ind w:left="560" w:firstLine="0" w:firstLineChars="0"/>
        <w:outlineLvl w:val="1"/>
        <w:rPr>
          <w:rFonts w:ascii="仿宋_GB2312" w:hAnsi="仿宋" w:cs="仿宋"/>
        </w:rPr>
      </w:pPr>
      <w:bookmarkStart w:id="10" w:name="_Toc361563588"/>
      <w:r>
        <w:rPr>
          <w:rFonts w:hint="eastAsia" w:ascii="仿宋_GB2312" w:hAnsi="仿宋" w:cs="仿宋"/>
        </w:rPr>
        <w:t>（五）处罚措施</w:t>
      </w:r>
      <w:bookmarkEnd w:id="10"/>
    </w:p>
    <w:p>
      <w:pPr>
        <w:pStyle w:val="19"/>
        <w:adjustRightInd w:val="0"/>
        <w:snapToGrid w:val="0"/>
        <w:spacing w:beforeLines="0" w:afterLines="0" w:line="560" w:lineRule="exact"/>
        <w:ind w:left="560" w:firstLine="0" w:firstLineChars="0"/>
        <w:rPr>
          <w:rFonts w:ascii="仿宋_GB2312" w:hAnsi="仿宋" w:cs="仿宋"/>
        </w:rPr>
      </w:pPr>
      <w:r>
        <w:rPr>
          <w:rFonts w:hint="eastAsia" w:ascii="仿宋_GB2312" w:hAnsi="仿宋" w:cs="仿宋"/>
        </w:rPr>
        <w:t>1.因参赛队伍原因造成重大安全事故的，取消其获奖资格。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2.参赛队伍有发生重大安全事故隐患，经赛场工作人员提示、警告无效的，可取消其继续比赛的资格。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3.赛事工作人员违规的，按照相应的制度追究责任。情节恶劣并造成重大安全事故的，由司法机关追究相应法律责任。</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十五、竞赛须知</w:t>
      </w:r>
    </w:p>
    <w:p>
      <w:pPr>
        <w:adjustRightInd w:val="0"/>
        <w:snapToGrid w:val="0"/>
        <w:spacing w:line="560" w:lineRule="exact"/>
        <w:ind w:left="562"/>
        <w:outlineLvl w:val="1"/>
        <w:rPr>
          <w:rFonts w:ascii="仿宋_GB2312" w:hAnsi="仿宋" w:eastAsia="仿宋_GB2312" w:cs="仿宋"/>
          <w:sz w:val="28"/>
          <w:szCs w:val="28"/>
        </w:rPr>
      </w:pPr>
      <w:r>
        <w:rPr>
          <w:rFonts w:hint="eastAsia" w:ascii="仿宋_GB2312" w:hAnsi="仿宋" w:eastAsia="仿宋_GB2312" w:cs="仿宋"/>
          <w:sz w:val="28"/>
          <w:szCs w:val="28"/>
        </w:rPr>
        <w:t>（一）参赛队须知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1.参赛队名称统一使用规定的地区代表队名称，不使用学校或其他组织、团体名称；不接受跨校组队报名。</w:t>
      </w:r>
    </w:p>
    <w:p>
      <w:pPr>
        <w:pStyle w:val="19"/>
        <w:adjustRightInd w:val="0"/>
        <w:snapToGrid w:val="0"/>
        <w:spacing w:beforeLines="0" w:afterLines="0" w:line="560" w:lineRule="exact"/>
        <w:ind w:firstLine="560"/>
        <w:rPr>
          <w:rFonts w:ascii="仿宋_GB2312" w:hAnsi="仿宋" w:cs="仿宋"/>
        </w:rPr>
      </w:pPr>
      <w:r>
        <w:rPr>
          <w:rFonts w:ascii="仿宋_GB2312" w:hAnsi="仿宋" w:cs="仿宋"/>
        </w:rPr>
        <w:t>2</w:t>
      </w:r>
      <w:r>
        <w:rPr>
          <w:rFonts w:hint="eastAsia" w:ascii="仿宋_GB2312" w:hAnsi="仿宋" w:cs="仿宋"/>
        </w:rPr>
        <w:t>.参赛队按照大赛赛程安排，凭大赛组委会颁发的参赛证和有效身份证件参加比赛及相关活动。</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3.参赛队员需要购买保险。</w:t>
      </w:r>
    </w:p>
    <w:p>
      <w:pPr>
        <w:adjustRightInd w:val="0"/>
        <w:snapToGrid w:val="0"/>
        <w:spacing w:line="560" w:lineRule="exact"/>
        <w:ind w:left="562"/>
        <w:outlineLvl w:val="1"/>
        <w:rPr>
          <w:rFonts w:ascii="仿宋_GB2312" w:hAnsi="仿宋" w:eastAsia="仿宋_GB2312" w:cs="仿宋"/>
          <w:b/>
          <w:sz w:val="28"/>
          <w:szCs w:val="28"/>
        </w:rPr>
      </w:pPr>
      <w:r>
        <w:rPr>
          <w:rFonts w:hint="eastAsia" w:ascii="仿宋_GB2312" w:hAnsi="仿宋" w:eastAsia="仿宋_GB2312" w:cs="仿宋"/>
          <w:sz w:val="28"/>
          <w:szCs w:val="28"/>
        </w:rPr>
        <w:t>（二）领队、指导教师须知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1.各参赛代表队要发扬良好道德风尚，听从指挥，服从裁判，不弄虚作假。如发现弄虚作假者，取消参赛资格，名次无效。</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2.各代表队领队要坚决执行竞赛的各项规定，加强对参赛人员的管理，做好赛前准备工作，督促选手带好证件等竞赛相关材料。</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3.竞赛过程中，除参加当场次竞赛的选手、执行裁判员、现场工作人员和经批准的人员外，领队、指导教师及其他人员一律不得进入竞赛现场。</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4.参赛代表队若对竞赛过程有异议，在规定的时间内由领队向赛项仲裁工作组提出书面报告。</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5.对申诉的仲裁结果，领队要带头服从和执行，并做好选手工作。参赛选手不得因申诉或对处理意见不服而停止竞赛，否则以弃权处理。</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6.指导老师应及时查看大赛有关赛项的通知和内容，认真研究和掌握本赛项竞赛的规程、技术规范和赛场要求，指导选手做好赛前的一切技术准备和竞赛准备。</w:t>
      </w:r>
    </w:p>
    <w:p>
      <w:pPr>
        <w:pStyle w:val="19"/>
        <w:adjustRightInd w:val="0"/>
        <w:snapToGrid w:val="0"/>
        <w:spacing w:beforeLines="0" w:afterLines="0" w:line="560" w:lineRule="exact"/>
        <w:ind w:firstLine="560"/>
        <w:outlineLvl w:val="1"/>
        <w:rPr>
          <w:rFonts w:ascii="仿宋_GB2312" w:hAnsi="仿宋" w:cs="仿宋"/>
          <w:b/>
        </w:rPr>
      </w:pPr>
      <w:r>
        <w:rPr>
          <w:rFonts w:hint="eastAsia" w:ascii="仿宋_GB2312" w:hAnsi="仿宋" w:cs="仿宋"/>
        </w:rPr>
        <w:t>（三）参赛选手须知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1.参赛选手应按有关要求如实填报个人信息，否则取消竞赛资格。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2.参赛选手凭统一印制的参赛证和有效身份证件参加竞赛。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3.参赛选手应认真学习领会本次竞赛相关文件，自觉遵守大赛纪律，服从指挥，听从安排，文明参赛。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4.参赛选手请勿携带与竞赛无关的电子设备、通讯设备及其他资料与用品。</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5.参赛选手应提前15分钟抵达赛场，凭参赛证、身份证件检录，按要求入场，不得迟到早退。</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6.参赛选手应按抽签结果在指定位置就坐。</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7.参赛选手须在确认竞赛内容和现场设备等无误后开始竞赛。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8.各参赛选手必须按规范要求操作竞赛设备。一旦出现较严重的安全事故，经裁判长批准后将立即取消其参赛资格。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9.竞赛时间终了，选手应全体起立，结束操作。签字确认成绩后方可离开赛场。</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10.在竞赛期间，未经执委会的批准，参赛选手不得接受其他单位和个人进行的与竞赛内容相关的采访。参赛选手不得将竞赛的相关信息私自公布。</w:t>
      </w:r>
    </w:p>
    <w:p>
      <w:pPr>
        <w:pStyle w:val="19"/>
        <w:adjustRightInd w:val="0"/>
        <w:snapToGrid w:val="0"/>
        <w:spacing w:beforeLines="0" w:afterLines="0" w:line="560" w:lineRule="exact"/>
        <w:ind w:firstLine="560"/>
        <w:outlineLvl w:val="1"/>
        <w:rPr>
          <w:rFonts w:ascii="仿宋_GB2312" w:hAnsi="仿宋" w:cs="仿宋"/>
          <w:b/>
        </w:rPr>
      </w:pPr>
      <w:r>
        <w:rPr>
          <w:rFonts w:hint="eastAsia" w:ascii="仿宋_GB2312" w:hAnsi="仿宋" w:cs="仿宋"/>
        </w:rPr>
        <w:t>（四）工作人员须知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1.工作人员必须统一佩戴由大赛组委会签发的相应证件，着装整齐。</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2.工作人员不得影响参赛选手比赛，不允许有影响比赛公平的行为。</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3.服从领导，听从指挥，以高度负责的精神、严肃认真的态度做好各项工作。</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4.熟悉比赛规程，认真遵守各项比赛规则和工作要求。</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5.坚守岗位，如有急事需要离开岗位时，应经领导同意，并做好工作衔接。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6.严格遵守比赛纪律，如发现其他人员有违反比赛纪律的行为，应予以制止。情节严重的，应向竞赛组委会反映。</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7.发扬无私奉献和团结协作的精神，提供热情、优质服务。</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十六、申诉与仲裁</w:t>
      </w:r>
    </w:p>
    <w:p>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本赛项在比赛过程中若出现有失公正或有关人员违规等现象，代表队领队可在比赛结束后（选手赛场比赛内容全部完成）2小时之内向仲裁组提出书面申诉。超过时效不予受理。大赛采取二级仲裁机制。赛项设仲裁工作组，赛区设仲裁委员会。大赛执委会办公室选派人员参加赛区仲裁委员会工作。赛项仲裁工作组在接到申诉后的2小时内组织复议，并及时反馈复议结果。申诉方对复议结果仍有异议，可由各学校领队向赛区仲裁委员会提出申诉。赛区仲裁委员会的仲裁结果为最终结果。</w:t>
      </w:r>
    </w:p>
    <w:p>
      <w:pPr>
        <w:spacing w:line="360" w:lineRule="auto"/>
        <w:rPr>
          <w:rFonts w:ascii="仿宋_GB2312" w:hAnsi="仿宋"/>
          <w:b/>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Arial Narrow">
    <w:altName w:val="Arial"/>
    <w:panose1 w:val="020B0606020202030204"/>
    <w:charset w:val="00"/>
    <w:family w:val="swiss"/>
    <w:pitch w:val="default"/>
    <w:sig w:usb0="00000000" w:usb1="00000000" w:usb2="00000000" w:usb3="00000000" w:csb0="0000009F" w:csb1="00000000"/>
  </w:font>
  <w:font w:name="OEEEEV+FZHTJW--GB1-0">
    <w:altName w:val="宋体"/>
    <w:panose1 w:val="00000000000000000000"/>
    <w:charset w:val="86"/>
    <w:family w:val="roma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21AD2"/>
    <w:multiLevelType w:val="multilevel"/>
    <w:tmpl w:val="11121AD2"/>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37C833D5"/>
    <w:multiLevelType w:val="multilevel"/>
    <w:tmpl w:val="37C833D5"/>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3C9610AF"/>
    <w:multiLevelType w:val="multilevel"/>
    <w:tmpl w:val="3C9610AF"/>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608C2E0E"/>
    <w:multiLevelType w:val="multilevel"/>
    <w:tmpl w:val="608C2E0E"/>
    <w:lvl w:ilvl="0" w:tentative="0">
      <w:start w:val="1"/>
      <w:numFmt w:val="decimal"/>
      <w:lvlText w:val="%1."/>
      <w:lvlJc w:val="left"/>
      <w:pPr>
        <w:ind w:left="988"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502"/>
    <w:rsid w:val="00072F91"/>
    <w:rsid w:val="0011585C"/>
    <w:rsid w:val="001237F3"/>
    <w:rsid w:val="00164F1B"/>
    <w:rsid w:val="0024793B"/>
    <w:rsid w:val="00265573"/>
    <w:rsid w:val="00276F8B"/>
    <w:rsid w:val="0042216D"/>
    <w:rsid w:val="00465ABC"/>
    <w:rsid w:val="005C45D0"/>
    <w:rsid w:val="00646502"/>
    <w:rsid w:val="00694275"/>
    <w:rsid w:val="00836280"/>
    <w:rsid w:val="00A519A9"/>
    <w:rsid w:val="00B26743"/>
    <w:rsid w:val="00B8451F"/>
    <w:rsid w:val="00CD4585"/>
    <w:rsid w:val="00CE06D6"/>
    <w:rsid w:val="44034CCB"/>
    <w:rsid w:val="5A4D0296"/>
    <w:rsid w:val="769733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link w:val="20"/>
    <w:semiHidden/>
    <w:unhideWhenUsed/>
    <w:qFormat/>
    <w:uiPriority w:val="0"/>
    <w:pPr>
      <w:keepNext/>
      <w:keepLines/>
      <w:spacing w:line="412" w:lineRule="auto"/>
      <w:outlineLvl w:val="1"/>
    </w:pPr>
    <w:rPr>
      <w:rFonts w:ascii="Arial" w:hAnsi="Arial" w:eastAsia="黑体"/>
      <w:b/>
      <w:kern w:val="0"/>
      <w:sz w:val="32"/>
      <w:szCs w:val="20"/>
    </w:rPr>
  </w:style>
  <w:style w:type="character" w:default="1" w:styleId="8">
    <w:name w:val="Default Paragraph Font"/>
    <w:semiHidden/>
    <w:unhideWhenUsed/>
    <w:qFormat/>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3">
    <w:name w:val="annotation text"/>
    <w:basedOn w:val="1"/>
    <w:link w:val="21"/>
    <w:unhideWhenUsed/>
    <w:qFormat/>
    <w:uiPriority w:val="0"/>
    <w:pPr>
      <w:jc w:val="left"/>
    </w:pPr>
  </w:style>
  <w:style w:type="paragraph" w:styleId="4">
    <w:name w:val="footer"/>
    <w:basedOn w:val="1"/>
    <w:link w:val="22"/>
    <w:unhideWhenUsed/>
    <w:qFormat/>
    <w:uiPriority w:val="0"/>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character" w:styleId="9">
    <w:name w:val="Hyperlink"/>
    <w:unhideWhenUsed/>
    <w:qFormat/>
    <w:uiPriority w:val="99"/>
    <w:rPr>
      <w:color w:val="136EC2"/>
      <w:u w:val="single"/>
    </w:rPr>
  </w:style>
  <w:style w:type="character" w:customStyle="1" w:styleId="10">
    <w:name w:val="标题 2 字符"/>
    <w:basedOn w:val="8"/>
    <w:semiHidden/>
    <w:qFormat/>
    <w:uiPriority w:val="9"/>
    <w:rPr>
      <w:rFonts w:asciiTheme="majorHAnsi" w:hAnsiTheme="majorHAnsi" w:eastAsiaTheme="majorEastAsia" w:cstheme="majorBidi"/>
      <w:b/>
      <w:bCs/>
      <w:sz w:val="32"/>
      <w:szCs w:val="32"/>
    </w:rPr>
  </w:style>
  <w:style w:type="paragraph" w:customStyle="1" w:styleId="11">
    <w:name w:val="批注文字1"/>
    <w:basedOn w:val="1"/>
    <w:next w:val="3"/>
    <w:link w:val="16"/>
    <w:qFormat/>
    <w:uiPriority w:val="0"/>
    <w:pPr>
      <w:jc w:val="left"/>
    </w:pPr>
    <w:rPr>
      <w:rFonts w:ascii="Times New Roman" w:hAnsi="Times New Roman"/>
    </w:rPr>
  </w:style>
  <w:style w:type="paragraph" w:customStyle="1" w:styleId="12">
    <w:name w:val="页脚1"/>
    <w:basedOn w:val="1"/>
    <w:next w:val="4"/>
    <w:link w:val="14"/>
    <w:qFormat/>
    <w:uiPriority w:val="0"/>
    <w:pPr>
      <w:tabs>
        <w:tab w:val="center" w:pos="4153"/>
        <w:tab w:val="right" w:pos="8306"/>
      </w:tabs>
      <w:snapToGrid w:val="0"/>
      <w:jc w:val="left"/>
    </w:pPr>
    <w:rPr>
      <w:sz w:val="18"/>
      <w:szCs w:val="18"/>
    </w:rPr>
  </w:style>
  <w:style w:type="character" w:customStyle="1" w:styleId="13">
    <w:name w:val="页眉 字符"/>
    <w:basedOn w:val="8"/>
    <w:link w:val="5"/>
    <w:qFormat/>
    <w:uiPriority w:val="99"/>
    <w:rPr>
      <w:rFonts w:ascii="Calibri" w:hAnsi="Calibri" w:eastAsia="宋体" w:cs="Times New Roman"/>
      <w:sz w:val="18"/>
      <w:szCs w:val="18"/>
    </w:rPr>
  </w:style>
  <w:style w:type="character" w:customStyle="1" w:styleId="14">
    <w:name w:val="页脚 字符"/>
    <w:link w:val="12"/>
    <w:qFormat/>
    <w:uiPriority w:val="0"/>
    <w:rPr>
      <w:sz w:val="18"/>
      <w:szCs w:val="18"/>
    </w:rPr>
  </w:style>
  <w:style w:type="character" w:customStyle="1" w:styleId="15">
    <w:name w:val="页脚 字符1"/>
    <w:basedOn w:val="8"/>
    <w:semiHidden/>
    <w:qFormat/>
    <w:uiPriority w:val="99"/>
    <w:rPr>
      <w:rFonts w:ascii="Calibri" w:hAnsi="Calibri" w:eastAsia="宋体" w:cs="Times New Roman"/>
      <w:sz w:val="18"/>
      <w:szCs w:val="18"/>
    </w:rPr>
  </w:style>
  <w:style w:type="character" w:customStyle="1" w:styleId="16">
    <w:name w:val="批注文字 字符1"/>
    <w:link w:val="11"/>
    <w:qFormat/>
    <w:uiPriority w:val="0"/>
    <w:rPr>
      <w:rFonts w:ascii="Times New Roman" w:hAnsi="Times New Roman"/>
      <w:szCs w:val="24"/>
    </w:rPr>
  </w:style>
  <w:style w:type="character" w:customStyle="1" w:styleId="17">
    <w:name w:val="批注文字 字符"/>
    <w:basedOn w:val="8"/>
    <w:semiHidden/>
    <w:qFormat/>
    <w:uiPriority w:val="99"/>
    <w:rPr>
      <w:rFonts w:ascii="Calibri" w:hAnsi="Calibri" w:eastAsia="宋体" w:cs="Times New Roman"/>
      <w:szCs w:val="24"/>
    </w:rPr>
  </w:style>
  <w:style w:type="character" w:customStyle="1" w:styleId="18">
    <w:name w:val="5-内文 Char"/>
    <w:link w:val="19"/>
    <w:qFormat/>
    <w:uiPriority w:val="99"/>
    <w:rPr>
      <w:rFonts w:ascii="Times New Roman" w:hAnsi="Times New Roman" w:eastAsia="仿宋_GB2312"/>
      <w:sz w:val="28"/>
      <w:szCs w:val="28"/>
    </w:rPr>
  </w:style>
  <w:style w:type="paragraph" w:customStyle="1" w:styleId="19">
    <w:name w:val="5-内文"/>
    <w:basedOn w:val="1"/>
    <w:link w:val="18"/>
    <w:qFormat/>
    <w:uiPriority w:val="99"/>
    <w:pPr>
      <w:spacing w:beforeLines="25" w:afterLines="25" w:line="300" w:lineRule="auto"/>
      <w:ind w:firstLine="200" w:firstLineChars="200"/>
    </w:pPr>
    <w:rPr>
      <w:rFonts w:ascii="Times New Roman" w:hAnsi="Times New Roman" w:eastAsia="仿宋_GB2312"/>
      <w:sz w:val="28"/>
      <w:szCs w:val="28"/>
    </w:rPr>
  </w:style>
  <w:style w:type="character" w:customStyle="1" w:styleId="20">
    <w:name w:val="标题 2 字符1"/>
    <w:link w:val="2"/>
    <w:semiHidden/>
    <w:qFormat/>
    <w:locked/>
    <w:uiPriority w:val="0"/>
    <w:rPr>
      <w:rFonts w:ascii="Arial" w:hAnsi="Arial" w:eastAsia="黑体" w:cs="Times New Roman"/>
      <w:b/>
      <w:kern w:val="0"/>
      <w:sz w:val="32"/>
      <w:szCs w:val="20"/>
    </w:rPr>
  </w:style>
  <w:style w:type="character" w:customStyle="1" w:styleId="21">
    <w:name w:val="批注文字 字符2"/>
    <w:basedOn w:val="8"/>
    <w:link w:val="3"/>
    <w:semiHidden/>
    <w:qFormat/>
    <w:uiPriority w:val="99"/>
  </w:style>
  <w:style w:type="character" w:customStyle="1" w:styleId="22">
    <w:name w:val="页脚 字符2"/>
    <w:basedOn w:val="8"/>
    <w:link w:val="4"/>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2326</Words>
  <Characters>13262</Characters>
  <Lines>110</Lines>
  <Paragraphs>31</Paragraphs>
  <TotalTime>10</TotalTime>
  <ScaleCrop>false</ScaleCrop>
  <LinksUpToDate>false</LinksUpToDate>
  <CharactersWithSpaces>15557</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2019-07-22T23:19:00Z</dcterms:created>
  <dc:creator>钟敏</dc:creator>
  <cp:lastModifiedBy>Administrator</cp:lastModifiedBy>
  <dcterms:modified xsi:type="dcterms:W3CDTF">2019-09-04T23:57:21Z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