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7C13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723" w:firstLineChars="200"/>
        <w:jc w:val="center"/>
        <w:textAlignment w:val="auto"/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  <w:t>202</w:t>
      </w:r>
      <w:r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val="en-US" w:eastAsia="zh-CN"/>
        </w:rPr>
        <w:t>5</w:t>
      </w:r>
      <w:r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  <w:t>海南省职业院校技能大赛</w:t>
      </w:r>
    </w:p>
    <w:p w14:paraId="21DB17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723" w:firstLineChars="200"/>
        <w:jc w:val="center"/>
        <w:textAlignment w:val="auto"/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  <w:t>（高职组）</w:t>
      </w:r>
    </w:p>
    <w:p w14:paraId="741BC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723" w:firstLineChars="200"/>
        <w:jc w:val="center"/>
        <w:textAlignment w:val="auto"/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  <w:t>酒</w:t>
      </w:r>
      <w:r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val="en-US" w:eastAsia="zh-CN"/>
        </w:rPr>
        <w:t>水</w:t>
      </w:r>
      <w:r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  <w:t>服务赛项规程</w:t>
      </w:r>
    </w:p>
    <w:p w14:paraId="478C7C28">
      <w:pPr>
        <w:pStyle w:val="4"/>
        <w:spacing w:line="247" w:lineRule="auto"/>
        <w:rPr>
          <w:lang w:eastAsia="zh-CN"/>
        </w:rPr>
      </w:pPr>
    </w:p>
    <w:p w14:paraId="0A0DF2ED">
      <w:pPr>
        <w:pStyle w:val="4"/>
        <w:spacing w:line="247" w:lineRule="auto"/>
        <w:rPr>
          <w:lang w:eastAsia="zh-CN"/>
        </w:rPr>
      </w:pPr>
    </w:p>
    <w:p w14:paraId="51B5186F">
      <w:pPr>
        <w:pStyle w:val="4"/>
        <w:spacing w:line="247" w:lineRule="auto"/>
        <w:rPr>
          <w:lang w:eastAsia="zh-CN"/>
        </w:rPr>
      </w:pPr>
    </w:p>
    <w:p w14:paraId="4D0B26C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kern w:val="2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napToGrid/>
          <w:kern w:val="2"/>
          <w:sz w:val="28"/>
          <w:szCs w:val="28"/>
          <w:lang w:eastAsia="zh-CN"/>
        </w:rPr>
        <w:t>一、赛项名称</w:t>
      </w:r>
    </w:p>
    <w:p w14:paraId="7F0F7E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  <w:t>赛项名称：酒水服务</w:t>
      </w:r>
    </w:p>
    <w:p w14:paraId="617778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jc w:val="both"/>
        <w:textAlignment w:val="auto"/>
        <w:rPr>
          <w:rFonts w:hint="default" w:ascii="仿宋" w:hAnsi="仿宋" w:eastAsia="仿宋" w:cs="仿宋"/>
          <w:b/>
          <w:bCs/>
          <w:snapToGrid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  <w:t>英文名称：</w:t>
      </w:r>
      <w:r>
        <w:rPr>
          <w:rFonts w:hint="eastAsia" w:ascii="仿宋" w:hAnsi="仿宋" w:eastAsia="仿宋" w:cs="仿宋"/>
          <w:b/>
          <w:bCs/>
          <w:snapToGrid/>
          <w:kern w:val="2"/>
          <w:sz w:val="28"/>
          <w:szCs w:val="28"/>
          <w:lang w:val="en-US" w:eastAsia="zh-CN"/>
        </w:rPr>
        <w:t>Beverage Service</w:t>
      </w:r>
    </w:p>
    <w:p w14:paraId="249A91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  <w:t>赛项组别：高等职业教育</w:t>
      </w:r>
    </w:p>
    <w:p w14:paraId="69670C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  <w:t>赛项归属产业：旅游业</w:t>
      </w:r>
    </w:p>
    <w:p w14:paraId="08D6DBC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kern w:val="2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/>
          <w:kern w:val="2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napToGrid/>
          <w:kern w:val="2"/>
          <w:sz w:val="28"/>
          <w:szCs w:val="28"/>
          <w:lang w:eastAsia="zh-CN"/>
        </w:rPr>
        <w:t>竞赛目标</w:t>
      </w:r>
    </w:p>
    <w:p w14:paraId="281294DC">
      <w:pPr>
        <w:pStyle w:val="4"/>
        <w:spacing w:before="180" w:line="311" w:lineRule="auto"/>
        <w:ind w:left="26" w:right="95" w:firstLine="666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（一）</w:t>
      </w:r>
      <w:r>
        <w:rPr>
          <w:rFonts w:hint="eastAsia" w:ascii="仿宋" w:hAnsi="仿宋" w:eastAsia="仿宋" w:cs="仿宋"/>
          <w:b w:val="0"/>
          <w:bCs w:val="0"/>
          <w:snapToGrid w:val="0"/>
          <w:color w:val="000000"/>
          <w:sz w:val="28"/>
          <w:szCs w:val="28"/>
          <w:lang w:val="en-US" w:eastAsia="zh-CN" w:bidi="ar-SA"/>
        </w:rPr>
        <w:t>强化综合育人功能。突出对参赛学生专业技能、职业素养、协同配合、创新意识的考查，提升学生实践动手能力、运用专业技能解决实际问题能力和职业迁移能力培养，提升学生团队协作能力、应变能力、表达能力等综合能力。</w:t>
      </w:r>
    </w:p>
    <w:p w14:paraId="20448E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二）凸显团队合作精神。立足团体赛形式，通过需要团队协作完成的竞赛任务，考验参赛团队的分工协作、沟通配合、优势互补能力，促进团队成员在合作中凝聚共识、高效执行，培养其集体荣誉感与团队协作意识，为未来职业场景中的团队工作奠定基础。​</w:t>
      </w:r>
    </w:p>
    <w:p w14:paraId="1AD8DB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三）促进产教深度融合。通过竞赛，引领高职旅游大类专业专业建设与课程改革，促进产教融合、科教融汇；引导高职旅游大类专业教学从职业岗位能力提升、课程模块设计、教学组织管理、实践教学组织等方面加强研究。</w:t>
      </w:r>
    </w:p>
    <w:p w14:paraId="2BBC26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（四）弘扬工匠精神，增强行业归属感。通过竞赛，展示旅游大类专业学生精湛的操作技艺、良好的职业形象和精益求精的工匠精神，为现代服务业高质量发展奠定高标准的人才基础。</w:t>
      </w:r>
    </w:p>
    <w:p w14:paraId="126EAE53">
      <w:pPr>
        <w:spacing w:line="227" w:lineRule="auto"/>
        <w:ind w:left="686"/>
        <w:rPr>
          <w:rFonts w:ascii="黑体" w:hAnsi="黑体" w:eastAsia="黑体" w:cs="黑体"/>
          <w:sz w:val="31"/>
          <w:szCs w:val="31"/>
        </w:rPr>
      </w:pPr>
      <w:r>
        <w:rPr>
          <w:rFonts w:hint="eastAsia" w:ascii="黑体" w:hAnsi="黑体" w:eastAsia="黑体" w:cs="黑体"/>
          <w:spacing w:val="6"/>
          <w:sz w:val="31"/>
          <w:szCs w:val="31"/>
          <w:lang w:val="en-US" w:eastAsia="zh-CN"/>
        </w:rPr>
        <w:t>三</w:t>
      </w:r>
      <w:r>
        <w:rPr>
          <w:rFonts w:ascii="黑体" w:hAnsi="黑体" w:eastAsia="黑体" w:cs="黑体"/>
          <w:spacing w:val="6"/>
          <w:sz w:val="31"/>
          <w:szCs w:val="31"/>
        </w:rPr>
        <w:t>、</w:t>
      </w:r>
      <w:r>
        <w:rPr>
          <w:rFonts w:hint="eastAsia" w:ascii="黑体" w:hAnsi="黑体" w:eastAsia="黑体" w:cs="黑体"/>
          <w:spacing w:val="6"/>
          <w:sz w:val="31"/>
          <w:szCs w:val="31"/>
          <w:lang w:val="en-US" w:eastAsia="zh-CN"/>
        </w:rPr>
        <w:t>竞赛</w:t>
      </w:r>
      <w:r>
        <w:rPr>
          <w:rFonts w:ascii="黑体" w:hAnsi="黑体" w:eastAsia="黑体" w:cs="黑体"/>
          <w:spacing w:val="6"/>
          <w:sz w:val="31"/>
          <w:szCs w:val="31"/>
        </w:rPr>
        <w:t>项目要求</w:t>
      </w:r>
    </w:p>
    <w:p w14:paraId="31030B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82" w:firstLineChars="200"/>
        <w:textAlignment w:val="auto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-10"/>
          <w:sz w:val="31"/>
          <w:szCs w:val="31"/>
        </w:rPr>
        <w:t>（一）项</w:t>
      </w:r>
      <w:r>
        <w:rPr>
          <w:rFonts w:ascii="楷体" w:hAnsi="楷体" w:eastAsia="楷体" w:cs="楷体"/>
          <w:spacing w:val="-71"/>
          <w:sz w:val="31"/>
          <w:szCs w:val="31"/>
        </w:rPr>
        <w:t xml:space="preserve"> </w:t>
      </w:r>
      <w:r>
        <w:rPr>
          <w:rFonts w:ascii="楷体" w:hAnsi="楷体" w:eastAsia="楷体" w:cs="楷体"/>
          <w:b/>
          <w:bCs/>
          <w:spacing w:val="-10"/>
          <w:sz w:val="31"/>
          <w:szCs w:val="31"/>
        </w:rPr>
        <w:t>目内容</w:t>
      </w:r>
    </w:p>
    <w:p w14:paraId="4602A5E8">
      <w:pPr>
        <w:pStyle w:val="4"/>
        <w:spacing w:before="172" w:line="333" w:lineRule="auto"/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napToGrid w:val="0"/>
          <w:color w:val="000000" w:themeColor="text1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00000"/>
          <w:sz w:val="28"/>
          <w:szCs w:val="28"/>
          <w:lang w:val="en-US" w:eastAsia="zh-CN" w:bidi="ar-SA"/>
        </w:rPr>
        <w:t xml:space="preserve">参赛队伍结合专业实际和教育教学要求，围绕生产、管理、服务一线岗位实际需求，突出技能创新，自主确定参赛项目名称， 自主设计参赛项目内容， </w:t>
      </w:r>
      <w:r>
        <w:rPr>
          <w:rFonts w:hint="eastAsia" w:ascii="仿宋" w:hAnsi="仿宋" w:eastAsia="仿宋" w:cs="仿宋"/>
          <w:b w:val="0"/>
          <w:bCs w:val="0"/>
          <w:snapToGrid w:val="0"/>
          <w:color w:val="000000" w:themeColor="text1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自主选择参赛设备</w:t>
      </w:r>
      <w:r>
        <w:rPr>
          <w:rFonts w:hint="eastAsia" w:ascii="仿宋" w:hAnsi="仿宋" w:eastAsia="仿宋" w:cs="仿宋"/>
          <w:b w:val="0"/>
          <w:bCs w:val="0"/>
          <w:snapToGrid w:val="0"/>
          <w:color w:val="000000" w:themeColor="text1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，但在设计的参赛内容当中需涵盖老酒侍酒服务的内容。</w:t>
      </w:r>
    </w:p>
    <w:p w14:paraId="2F46F49E">
      <w:pPr>
        <w:spacing w:before="2"/>
        <w:ind w:left="692"/>
        <w:outlineLvl w:val="2"/>
        <w:rPr>
          <w:rFonts w:ascii="楷体" w:hAnsi="楷体" w:eastAsia="楷体" w:cs="楷体"/>
          <w:color w:val="000000" w:themeColor="text1"/>
          <w:sz w:val="31"/>
          <w:szCs w:val="31"/>
          <w14:textFill>
            <w14:solidFill>
              <w14:schemeClr w14:val="tx1"/>
            </w14:solidFill>
          </w14:textFill>
        </w:rPr>
      </w:pPr>
      <w:r>
        <w:rPr>
          <w:rFonts w:ascii="楷体" w:hAnsi="楷体" w:eastAsia="楷体" w:cs="楷体"/>
          <w:b/>
          <w:bCs/>
          <w:color w:val="000000" w:themeColor="text1"/>
          <w:spacing w:val="-10"/>
          <w:sz w:val="31"/>
          <w:szCs w:val="31"/>
          <w14:textFill>
            <w14:solidFill>
              <w14:schemeClr w14:val="tx1"/>
            </w14:solidFill>
          </w14:textFill>
        </w:rPr>
        <w:t>（二）项</w:t>
      </w:r>
      <w:r>
        <w:rPr>
          <w:rFonts w:ascii="楷体" w:hAnsi="楷体" w:eastAsia="楷体" w:cs="楷体"/>
          <w:color w:val="000000" w:themeColor="text1"/>
          <w:spacing w:val="-71"/>
          <w:sz w:val="31"/>
          <w:szCs w:val="3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楷体" w:hAnsi="楷体" w:eastAsia="楷体" w:cs="楷体"/>
          <w:b/>
          <w:bCs/>
          <w:color w:val="000000" w:themeColor="text1"/>
          <w:spacing w:val="-10"/>
          <w:sz w:val="31"/>
          <w:szCs w:val="31"/>
          <w14:textFill>
            <w14:solidFill>
              <w14:schemeClr w14:val="tx1"/>
            </w14:solidFill>
          </w14:textFill>
        </w:rPr>
        <w:t>目呈现</w:t>
      </w:r>
    </w:p>
    <w:p w14:paraId="65E85E29">
      <w:pPr>
        <w:pStyle w:val="4"/>
        <w:spacing w:before="172" w:line="333" w:lineRule="auto"/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napToGrid w:val="0"/>
          <w:color w:val="000000" w:themeColor="text1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00000" w:themeColor="text1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参赛队伍根据项目任务，按团队成员分工，同步进行技能操作和现场讲解。技能操作重点展示专业技能熟练程度、规范程度以及解决技术难题的创新能力，现场讲解主要介绍总体思路、技能要点、主要成果、项目创新等。</w:t>
      </w:r>
    </w:p>
    <w:p w14:paraId="695601D4">
      <w:pPr>
        <w:pStyle w:val="4"/>
        <w:spacing w:before="172" w:line="333" w:lineRule="auto"/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napToGrid w:val="0"/>
          <w:color w:val="000000" w:themeColor="text1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00000" w:themeColor="text1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每个项目比赛时长不超过 1 小时，由各参赛队伍根据项目实际需要确定，在技能操作的同时，对关键技术环节进行适当讲解。场地布置及场地恢复的时间不计入1小时内。</w:t>
      </w:r>
    </w:p>
    <w:p w14:paraId="67DFE097">
      <w:pPr>
        <w:spacing w:before="1" w:line="228" w:lineRule="auto"/>
        <w:ind w:left="692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"/>
          <w:sz w:val="31"/>
          <w:szCs w:val="31"/>
        </w:rPr>
        <w:t>（三）评分要素</w:t>
      </w:r>
    </w:p>
    <w:p w14:paraId="73AFEA46">
      <w:pPr>
        <w:spacing w:before="246" w:line="396" w:lineRule="auto"/>
        <w:ind w:left="96" w:right="79" w:firstLine="552"/>
        <w:rPr>
          <w:rFonts w:hint="eastAsia" w:ascii="仿宋" w:hAnsi="仿宋" w:eastAsia="仿宋" w:cs="仿宋"/>
          <w:b w:val="0"/>
          <w:bCs w:val="0"/>
          <w:snapToGrid w:val="0"/>
          <w:color w:val="00000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00000"/>
          <w:sz w:val="28"/>
          <w:szCs w:val="28"/>
          <w:lang w:val="en-US" w:eastAsia="zh-CN" w:bidi="ar-SA"/>
        </w:rPr>
        <w:t>主要从技能水平、职业素养、应用价值、团队合作、创新创意五个方面，按权重对参赛项目作整体评价。其中技能水平方面</w:t>
      </w:r>
      <w:r>
        <w:rPr>
          <w:rFonts w:ascii="仿宋" w:hAnsi="仿宋" w:eastAsia="仿宋" w:cs="仿宋"/>
          <w:spacing w:val="-4"/>
          <w:sz w:val="28"/>
          <w:szCs w:val="28"/>
          <w:lang w:eastAsia="zh-CN"/>
        </w:rPr>
        <w:t>评分方式分为测</w:t>
      </w:r>
      <w:r>
        <w:rPr>
          <w:rFonts w:ascii="仿宋" w:hAnsi="仿宋" w:eastAsia="仿宋" w:cs="仿宋"/>
          <w:spacing w:val="-8"/>
          <w:sz w:val="28"/>
          <w:szCs w:val="28"/>
          <w:lang w:eastAsia="zh-CN"/>
        </w:rPr>
        <w:t>量和评价两类，</w:t>
      </w:r>
      <w:r>
        <w:rPr>
          <w:rFonts w:hint="eastAsia" w:ascii="仿宋" w:hAnsi="仿宋" w:eastAsia="仿宋" w:cs="仿宋"/>
          <w:spacing w:val="-8"/>
          <w:sz w:val="28"/>
          <w:szCs w:val="28"/>
          <w:lang w:val="en-US" w:eastAsia="zh-CN"/>
        </w:rPr>
        <w:t>每类各占该项分值的50%。</w:t>
      </w:r>
      <w:r>
        <w:rPr>
          <w:rFonts w:ascii="仿宋" w:hAnsi="仿宋" w:eastAsia="仿宋" w:cs="仿宋"/>
          <w:spacing w:val="-8"/>
          <w:sz w:val="28"/>
          <w:szCs w:val="28"/>
          <w:lang w:eastAsia="zh-CN"/>
        </w:rPr>
        <w:t>凡可采用客观数据表述的评判称</w:t>
      </w:r>
      <w:r>
        <w:rPr>
          <w:rFonts w:ascii="仿宋" w:hAnsi="仿宋" w:eastAsia="仿宋" w:cs="仿宋"/>
          <w:spacing w:val="-9"/>
          <w:sz w:val="28"/>
          <w:szCs w:val="28"/>
          <w:lang w:eastAsia="zh-CN"/>
        </w:rPr>
        <w:t>为测量；凡需要采用主观描述进行的评判称为评价。</w:t>
      </w:r>
      <w:r>
        <w:rPr>
          <w:rFonts w:hint="eastAsia" w:ascii="仿宋" w:hAnsi="仿宋" w:eastAsia="仿宋" w:cs="仿宋"/>
          <w:b w:val="0"/>
          <w:bCs w:val="0"/>
          <w:snapToGrid w:val="0"/>
          <w:color w:val="000000"/>
          <w:sz w:val="28"/>
          <w:szCs w:val="28"/>
          <w:lang w:val="en-US" w:eastAsia="zh-CN" w:bidi="ar-SA"/>
        </w:rPr>
        <w:t>（详见《2025 年海南省职业院校技能大赛酒水服务赛项评分要素表》 及其附表）。</w:t>
      </w:r>
    </w:p>
    <w:p w14:paraId="0C5AEB29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四、竞赛方式</w:t>
      </w:r>
    </w:p>
    <w:p w14:paraId="468C4E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（一）竞赛方式</w:t>
      </w:r>
    </w:p>
    <w:p w14:paraId="07E31C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本赛项为线下比赛。</w:t>
      </w:r>
    </w:p>
    <w:p w14:paraId="1F55F7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（二）组队要求</w:t>
      </w:r>
    </w:p>
    <w:p w14:paraId="642AC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本赛项为团体赛（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2-4人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），每校限报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3支参赛队伍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。</w:t>
      </w:r>
    </w:p>
    <w:p w14:paraId="14B840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（三）参赛人员要求</w:t>
      </w:r>
    </w:p>
    <w:p w14:paraId="66751B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参赛选手须为全日制正式学籍的在校生。根据2026年世界职业院校技能大赛选拔参赛选手的要求，参赛选手年龄不超过25周岁（即2001年5月1日及以后出生）。五年制学生报名参赛的，四、五年级学生可参加本次大赛。在近两年世界职业院校技能大赛中获金奖的学生，不再参加同一项目（同一组别）的全省竞赛。</w:t>
      </w:r>
      <w:bookmarkStart w:id="0" w:name="_GoBack"/>
      <w:bookmarkEnd w:id="0"/>
    </w:p>
    <w:p w14:paraId="6CCA52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 xml:space="preserve">每个参赛院校配领队1名；每个参赛队伍可报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名指导教师。参赛选手和指导教师报名获得确认后不得随意更换。</w:t>
      </w:r>
    </w:p>
    <w:p w14:paraId="70DD6E9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五、竞赛流程</w:t>
      </w:r>
    </w:p>
    <w:tbl>
      <w:tblPr>
        <w:tblStyle w:val="6"/>
        <w:tblpPr w:leftFromText="180" w:rightFromText="180" w:vertAnchor="text" w:horzAnchor="margin" w:tblpXSpec="center" w:tblpY="217"/>
        <w:tblOverlap w:val="never"/>
        <w:tblW w:w="93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3"/>
        <w:gridCol w:w="1845"/>
        <w:gridCol w:w="2990"/>
        <w:gridCol w:w="1360"/>
        <w:gridCol w:w="2731"/>
      </w:tblGrid>
      <w:tr w14:paraId="4B75A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2318" w:type="dxa"/>
            <w:gridSpan w:val="2"/>
            <w:noWrap w:val="0"/>
            <w:vAlign w:val="center"/>
          </w:tcPr>
          <w:p w14:paraId="60E8579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时间</w:t>
            </w:r>
          </w:p>
        </w:tc>
        <w:tc>
          <w:tcPr>
            <w:tcW w:w="2990" w:type="dxa"/>
            <w:noWrap w:val="0"/>
            <w:vAlign w:val="center"/>
          </w:tcPr>
          <w:p w14:paraId="28BF31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项目</w:t>
            </w:r>
          </w:p>
        </w:tc>
        <w:tc>
          <w:tcPr>
            <w:tcW w:w="1360" w:type="dxa"/>
            <w:noWrap w:val="0"/>
            <w:vAlign w:val="center"/>
          </w:tcPr>
          <w:p w14:paraId="0859448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参加人员</w:t>
            </w:r>
          </w:p>
        </w:tc>
        <w:tc>
          <w:tcPr>
            <w:tcW w:w="2731" w:type="dxa"/>
            <w:noWrap w:val="0"/>
            <w:vAlign w:val="center"/>
          </w:tcPr>
          <w:p w14:paraId="2525C54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地点</w:t>
            </w:r>
          </w:p>
        </w:tc>
      </w:tr>
      <w:tr w14:paraId="20C6F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73" w:type="dxa"/>
            <w:vMerge w:val="restart"/>
            <w:noWrap w:val="0"/>
            <w:vAlign w:val="center"/>
          </w:tcPr>
          <w:p w14:paraId="0707D63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仿宋"/>
                <w:kern w:val="2"/>
                <w:sz w:val="28"/>
                <w:szCs w:val="28"/>
                <w:lang w:val="en-US" w:eastAsia="zh-CN" w:bidi="ar-SA"/>
              </w:rPr>
              <w:t>第一</w:t>
            </w: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天</w:t>
            </w:r>
          </w:p>
        </w:tc>
        <w:tc>
          <w:tcPr>
            <w:tcW w:w="1845" w:type="dxa"/>
            <w:noWrap w:val="0"/>
            <w:vAlign w:val="center"/>
          </w:tcPr>
          <w:p w14:paraId="33DA148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15:00-1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1033D44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参赛队报到</w:t>
            </w:r>
          </w:p>
        </w:tc>
        <w:tc>
          <w:tcPr>
            <w:tcW w:w="1360" w:type="dxa"/>
            <w:noWrap w:val="0"/>
            <w:vAlign w:val="center"/>
          </w:tcPr>
          <w:p w14:paraId="5DBA9D1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全体</w:t>
            </w:r>
          </w:p>
        </w:tc>
        <w:tc>
          <w:tcPr>
            <w:tcW w:w="2731" w:type="dxa"/>
            <w:noWrap w:val="0"/>
            <w:vAlign w:val="center"/>
          </w:tcPr>
          <w:p w14:paraId="2A16E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79E0ED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73" w:type="dxa"/>
            <w:vMerge w:val="continue"/>
            <w:noWrap w:val="0"/>
            <w:vAlign w:val="center"/>
          </w:tcPr>
          <w:p w14:paraId="2D7C31A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6387D30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0-1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2354132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领队会、参赛选手抽签</w:t>
            </w:r>
          </w:p>
        </w:tc>
        <w:tc>
          <w:tcPr>
            <w:tcW w:w="1360" w:type="dxa"/>
            <w:noWrap w:val="0"/>
            <w:vAlign w:val="center"/>
          </w:tcPr>
          <w:p w14:paraId="2A694F9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全体</w:t>
            </w:r>
          </w:p>
        </w:tc>
        <w:tc>
          <w:tcPr>
            <w:tcW w:w="2731" w:type="dxa"/>
            <w:noWrap w:val="0"/>
            <w:vAlign w:val="center"/>
          </w:tcPr>
          <w:p w14:paraId="4F5EA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61F1A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3" w:type="dxa"/>
            <w:vMerge w:val="continue"/>
            <w:noWrap w:val="0"/>
            <w:vAlign w:val="center"/>
          </w:tcPr>
          <w:p w14:paraId="063A2E4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3C507B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17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2778E5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看场地、调设备</w:t>
            </w:r>
          </w:p>
        </w:tc>
        <w:tc>
          <w:tcPr>
            <w:tcW w:w="1360" w:type="dxa"/>
            <w:noWrap w:val="0"/>
            <w:vAlign w:val="center"/>
          </w:tcPr>
          <w:p w14:paraId="0612394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全体</w:t>
            </w:r>
          </w:p>
        </w:tc>
        <w:tc>
          <w:tcPr>
            <w:tcW w:w="2731" w:type="dxa"/>
            <w:noWrap w:val="0"/>
            <w:vAlign w:val="center"/>
          </w:tcPr>
          <w:p w14:paraId="5A594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52099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73" w:type="dxa"/>
            <w:vMerge w:val="restart"/>
            <w:noWrap w:val="0"/>
            <w:vAlign w:val="center"/>
          </w:tcPr>
          <w:p w14:paraId="569D58B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仿宋"/>
                <w:kern w:val="2"/>
                <w:sz w:val="28"/>
                <w:szCs w:val="28"/>
                <w:lang w:val="en-US" w:eastAsia="zh-CN" w:bidi="ar-SA"/>
              </w:rPr>
              <w:t>第</w:t>
            </w: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二天</w:t>
            </w:r>
          </w:p>
        </w:tc>
        <w:tc>
          <w:tcPr>
            <w:tcW w:w="1845" w:type="dxa"/>
            <w:noWrap w:val="0"/>
            <w:vAlign w:val="center"/>
          </w:tcPr>
          <w:p w14:paraId="464084C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08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71E4896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检录</w:t>
            </w:r>
          </w:p>
        </w:tc>
        <w:tc>
          <w:tcPr>
            <w:tcW w:w="1360" w:type="dxa"/>
            <w:noWrap w:val="0"/>
            <w:vAlign w:val="center"/>
          </w:tcPr>
          <w:p w14:paraId="31D1506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参赛选手</w:t>
            </w:r>
          </w:p>
        </w:tc>
        <w:tc>
          <w:tcPr>
            <w:tcW w:w="2731" w:type="dxa"/>
            <w:noWrap w:val="0"/>
            <w:vAlign w:val="center"/>
          </w:tcPr>
          <w:p w14:paraId="1E1DD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7CF8E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73" w:type="dxa"/>
            <w:vMerge w:val="continue"/>
            <w:noWrap w:val="0"/>
            <w:vAlign w:val="center"/>
          </w:tcPr>
          <w:p w14:paraId="4B9B720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49028C3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559ADC9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正式比赛</w:t>
            </w:r>
          </w:p>
        </w:tc>
        <w:tc>
          <w:tcPr>
            <w:tcW w:w="1360" w:type="dxa"/>
            <w:noWrap w:val="0"/>
            <w:vAlign w:val="center"/>
          </w:tcPr>
          <w:p w14:paraId="30A85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参赛选手</w:t>
            </w:r>
          </w:p>
        </w:tc>
        <w:tc>
          <w:tcPr>
            <w:tcW w:w="2731" w:type="dxa"/>
            <w:noWrap w:val="0"/>
            <w:vAlign w:val="center"/>
          </w:tcPr>
          <w:p w14:paraId="458E7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1A520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73" w:type="dxa"/>
            <w:vMerge w:val="continue"/>
            <w:noWrap w:val="0"/>
            <w:vAlign w:val="center"/>
          </w:tcPr>
          <w:p w14:paraId="15E707D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5EB2549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0-1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5A539F9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正式比赛</w:t>
            </w:r>
          </w:p>
        </w:tc>
        <w:tc>
          <w:tcPr>
            <w:tcW w:w="1360" w:type="dxa"/>
            <w:noWrap w:val="0"/>
            <w:vAlign w:val="center"/>
          </w:tcPr>
          <w:p w14:paraId="02F09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参赛选手</w:t>
            </w:r>
          </w:p>
        </w:tc>
        <w:tc>
          <w:tcPr>
            <w:tcW w:w="2731" w:type="dxa"/>
            <w:noWrap w:val="0"/>
            <w:vAlign w:val="center"/>
          </w:tcPr>
          <w:p w14:paraId="68DE0C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6AE0F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73" w:type="dxa"/>
            <w:vMerge w:val="restart"/>
            <w:noWrap w:val="0"/>
            <w:vAlign w:val="center"/>
          </w:tcPr>
          <w:p w14:paraId="7F9247A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仿宋"/>
                <w:kern w:val="2"/>
                <w:sz w:val="28"/>
                <w:szCs w:val="28"/>
                <w:lang w:val="en-US" w:eastAsia="zh-CN" w:bidi="ar-SA"/>
              </w:rPr>
              <w:t>第三</w:t>
            </w: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天</w:t>
            </w:r>
          </w:p>
        </w:tc>
        <w:tc>
          <w:tcPr>
            <w:tcW w:w="1845" w:type="dxa"/>
            <w:noWrap w:val="0"/>
            <w:vAlign w:val="center"/>
          </w:tcPr>
          <w:p w14:paraId="1CC4047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08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126F11E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rightChars="0" w:firstLine="560" w:firstLineChars="20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检录</w:t>
            </w:r>
          </w:p>
        </w:tc>
        <w:tc>
          <w:tcPr>
            <w:tcW w:w="1360" w:type="dxa"/>
            <w:noWrap w:val="0"/>
            <w:vAlign w:val="center"/>
          </w:tcPr>
          <w:p w14:paraId="6828C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参赛选手</w:t>
            </w:r>
          </w:p>
        </w:tc>
        <w:tc>
          <w:tcPr>
            <w:tcW w:w="2731" w:type="dxa"/>
            <w:noWrap w:val="0"/>
            <w:vAlign w:val="center"/>
          </w:tcPr>
          <w:p w14:paraId="18A1D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6EF49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73" w:type="dxa"/>
            <w:vMerge w:val="continue"/>
            <w:noWrap w:val="0"/>
            <w:vAlign w:val="center"/>
          </w:tcPr>
          <w:p w14:paraId="116F563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3E673A5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2B61606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rightChars="0" w:firstLine="560" w:firstLineChars="20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正式比赛</w:t>
            </w:r>
          </w:p>
        </w:tc>
        <w:tc>
          <w:tcPr>
            <w:tcW w:w="1360" w:type="dxa"/>
            <w:noWrap w:val="0"/>
            <w:vAlign w:val="center"/>
          </w:tcPr>
          <w:p w14:paraId="5CCBF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参赛选手</w:t>
            </w:r>
          </w:p>
        </w:tc>
        <w:tc>
          <w:tcPr>
            <w:tcW w:w="2731" w:type="dxa"/>
            <w:noWrap w:val="0"/>
            <w:vAlign w:val="center"/>
          </w:tcPr>
          <w:p w14:paraId="7440C0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3238D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3" w:type="dxa"/>
            <w:vMerge w:val="continue"/>
            <w:noWrap w:val="0"/>
            <w:vAlign w:val="center"/>
          </w:tcPr>
          <w:p w14:paraId="090F147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0A871EE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0-1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5B247F4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rightChars="0" w:firstLine="560" w:firstLineChars="20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正式比赛</w:t>
            </w:r>
          </w:p>
        </w:tc>
        <w:tc>
          <w:tcPr>
            <w:tcW w:w="1360" w:type="dxa"/>
            <w:noWrap w:val="0"/>
            <w:vAlign w:val="center"/>
          </w:tcPr>
          <w:p w14:paraId="0EB15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参赛选手</w:t>
            </w:r>
          </w:p>
        </w:tc>
        <w:tc>
          <w:tcPr>
            <w:tcW w:w="2731" w:type="dxa"/>
            <w:noWrap w:val="0"/>
            <w:vAlign w:val="center"/>
          </w:tcPr>
          <w:p w14:paraId="6F096C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</w:tbl>
    <w:p w14:paraId="08E03BEE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firstLine="280" w:firstLineChars="1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</w:p>
    <w:p w14:paraId="57BE6E2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firstLine="280" w:firstLineChars="1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六、竞赛规则</w:t>
      </w:r>
    </w:p>
    <w:p w14:paraId="367F4A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（一）各参赛团队的抽签结果由团队代表抽签决定。参赛团队按照抽签顺序在规定的时间依次进行比赛。</w:t>
      </w:r>
    </w:p>
    <w:p w14:paraId="1D905F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（二）参赛团队报到当天可熟悉比赛场地。</w:t>
      </w:r>
    </w:p>
    <w:p w14:paraId="598CC3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（三）参赛团队按规定时间到达指定地点，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携带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参赛证、学生证和身份证进行检录后进入竞赛候场区，按抽签顺序依次进行比赛。</w:t>
      </w:r>
    </w:p>
    <w:p w14:paraId="58BCE8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本次大赛不设观摩区域，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竞赛区域除裁判和赛场配备的工作人员外，其他人员未经允许不得进入。</w:t>
      </w:r>
    </w:p>
    <w:p w14:paraId="2B5A72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五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）赛务人员须统一佩戴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大赛工作证件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，着装整齐。</w:t>
      </w:r>
    </w:p>
    <w:p w14:paraId="2048CD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六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）参赛选手不得携带通讯工具和其它未经允许的资料、物品进入比赛场地，不得中途退场。如出现违规、违纪和舞弊等现象，经裁判组裁定取消比赛成绩。</w:t>
      </w:r>
    </w:p>
    <w:p w14:paraId="6C0722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七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）参赛团队在规定时间依次入场候赛，在前一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组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选手退场后由主持人宣布上场，确认现场条件无误后点头示意，由主持人宣布开始比赛，计时开始。现场安排计时提示。</w:t>
      </w:r>
    </w:p>
    <w:p w14:paraId="79E7CE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八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）比赛过程中，参赛选手须严格遵守比赛规则，保证自身安全，并接受裁判员的监督和警示；若因设备故障导致选手中断或终止比赛，由大赛裁判长根据竞赛规程中的预案视具体情况做出裁决。</w:t>
      </w:r>
    </w:p>
    <w:p w14:paraId="0CBBB0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九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）参赛团队成绩经裁判长签字后进行公布。成绩公布 2 小时无异议，由裁判长签字在成绩单上签字确认有效。参赛代表队若对成绩有异议，应在公布后的 2 小时内，由领队按规程向承办院校书面提出复核申请。</w:t>
      </w:r>
    </w:p>
    <w:p w14:paraId="507579B7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七、成绩评定</w:t>
      </w:r>
    </w:p>
    <w:p w14:paraId="2E3C5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（一）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评分方法</w:t>
      </w:r>
    </w:p>
    <w:p w14:paraId="4308B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裁判员选聘</w:t>
      </w:r>
    </w:p>
    <w:p w14:paraId="5C2647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海南省教育厅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在赛项裁判库中抽定赛项裁判人员。</w:t>
      </w:r>
    </w:p>
    <w:p w14:paraId="03A32D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2.裁判员打分要求</w:t>
      </w:r>
    </w:p>
    <w:p w14:paraId="2B8C18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赛前组织裁判培训，统一比赛项目的评分细则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和标准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。现场比赛期间，各裁判根据评分标准独立打分，不得相互讨论，不得干扰其他裁判打分。</w:t>
      </w:r>
    </w:p>
    <w:p w14:paraId="23FC11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3.裁判员数量设置</w:t>
      </w:r>
    </w:p>
    <w:p w14:paraId="2D1C39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本此竞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赛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en-US"/>
          <w14:textFill>
            <w14:solidFill>
              <w14:schemeClr w14:val="tx1"/>
            </w14:solidFill>
          </w14:textFill>
        </w:rPr>
        <w:t>设置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裁判长一名，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en-US"/>
          <w14:textFill>
            <w14:solidFill>
              <w14:schemeClr w14:val="tx1"/>
            </w14:solidFill>
          </w14:textFill>
        </w:rPr>
        <w:t>裁判员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en-US"/>
          <w14:textFill>
            <w14:solidFill>
              <w14:schemeClr w14:val="tx1"/>
            </w14:solidFill>
          </w14:textFill>
        </w:rPr>
        <w:t>名，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裁判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en-US"/>
          <w14:textFill>
            <w14:solidFill>
              <w14:schemeClr w14:val="tx1"/>
            </w14:solidFill>
          </w14:textFill>
        </w:rPr>
        <w:t>根据相应竞赛内容的评分标准为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每个参赛队伍进行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en-US"/>
          <w14:textFill>
            <w14:solidFill>
              <w14:schemeClr w14:val="tx1"/>
            </w14:solidFill>
          </w14:textFill>
        </w:rPr>
        <w:t>评分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，取5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名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裁判的平均分为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每个团队的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最后得分，最后得分保留至小数点后两位。</w:t>
      </w:r>
    </w:p>
    <w:p w14:paraId="592394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4.竞赛名次排序</w:t>
      </w:r>
    </w:p>
    <w:p w14:paraId="7EECBE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竞赛名次按照成绩高低排序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当总成绩相同时，依次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按照技能水平、职业素养、应用价值、团队合作、创新创意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的得分高低排序。</w:t>
      </w:r>
    </w:p>
    <w:p w14:paraId="4F378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分值设置</w:t>
      </w:r>
    </w:p>
    <w:p w14:paraId="2BBC15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总分 100 分，其中：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技能水平60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分，职业素养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10分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、应用价值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10分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、团队合作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10分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、创新创意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10分。</w:t>
      </w:r>
    </w:p>
    <w:p w14:paraId="0FDFFE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6.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成绩复核</w:t>
      </w:r>
    </w:p>
    <w:p w14:paraId="6A8EB1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为保障成绩评判的正确性，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裁判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组将对赛项总成绩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进行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复核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如发现成绩错误，由裁判长更正成绩并签字确认。</w:t>
      </w:r>
    </w:p>
    <w:p w14:paraId="292DFC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7.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最终成绩</w:t>
      </w:r>
    </w:p>
    <w:p w14:paraId="724134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最终成绩经复核无误，经裁判长签字后进行公布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公示时间为2小时。成绩公示无异议后，由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裁判长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在成绩单上签字，并公布竞赛成绩。</w:t>
      </w:r>
    </w:p>
    <w:p w14:paraId="2D0995CC">
      <w:pPr>
        <w:pStyle w:val="2"/>
        <w:rPr>
          <w:rFonts w:hint="eastAsia"/>
          <w:lang w:val="en-US" w:eastAsia="en-US"/>
        </w:rPr>
      </w:pPr>
    </w:p>
    <w:p w14:paraId="2748876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评分细则和标准</w:t>
      </w:r>
    </w:p>
    <w:p w14:paraId="5E6F04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rightChars="0" w:firstLine="241" w:firstLineChars="100"/>
        <w:jc w:val="center"/>
        <w:textAlignment w:val="auto"/>
        <w:rPr>
          <w:rFonts w:hint="eastAsia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sz w:val="24"/>
          <w:szCs w:val="24"/>
          <w:lang w:val="en-US" w:eastAsia="zh-CN" w:bidi="ar-SA"/>
        </w:rPr>
        <w:t>2025 年海南省职业院校技能大赛酒水服务赛项评分要素表</w:t>
      </w:r>
    </w:p>
    <w:tbl>
      <w:tblPr>
        <w:tblStyle w:val="10"/>
        <w:tblW w:w="8798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3"/>
        <w:gridCol w:w="932"/>
        <w:gridCol w:w="2472"/>
        <w:gridCol w:w="4651"/>
      </w:tblGrid>
      <w:tr w14:paraId="24297A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675" w:type="dxa"/>
            <w:gridSpan w:val="2"/>
            <w:noWrap w:val="0"/>
            <w:vAlign w:val="top"/>
          </w:tcPr>
          <w:p w14:paraId="2E9DD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  <w:t>评分指标</w:t>
            </w:r>
          </w:p>
        </w:tc>
        <w:tc>
          <w:tcPr>
            <w:tcW w:w="2472" w:type="dxa"/>
            <w:noWrap w:val="0"/>
            <w:vAlign w:val="top"/>
          </w:tcPr>
          <w:p w14:paraId="4E43C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62" w:firstLineChars="20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观测点</w:t>
            </w:r>
          </w:p>
        </w:tc>
        <w:tc>
          <w:tcPr>
            <w:tcW w:w="4651" w:type="dxa"/>
            <w:noWrap w:val="0"/>
            <w:vAlign w:val="top"/>
          </w:tcPr>
          <w:p w14:paraId="370F9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50" w:firstLineChars="20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8"/>
                <w:sz w:val="24"/>
                <w:szCs w:val="24"/>
              </w:rPr>
              <w:t>说明</w:t>
            </w:r>
          </w:p>
        </w:tc>
      </w:tr>
      <w:tr w14:paraId="288557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3" w:type="dxa"/>
            <w:vMerge w:val="restart"/>
            <w:noWrap w:val="0"/>
            <w:vAlign w:val="top"/>
          </w:tcPr>
          <w:p w14:paraId="0239A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53751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430D2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5A121A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  <w:t>一、</w:t>
            </w:r>
          </w:p>
          <w:p w14:paraId="030D7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  <w:t>技能水平</w:t>
            </w: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 w:cs="仿宋"/>
                <w:spacing w:val="-41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1"/>
                <w:sz w:val="24"/>
                <w:szCs w:val="24"/>
                <w:lang w:val="en-US" w:eastAsia="zh-CN"/>
              </w:rPr>
              <w:t>60分</w:t>
            </w:r>
            <w:r>
              <w:rPr>
                <w:rFonts w:hint="eastAsia" w:ascii="仿宋" w:hAnsi="仿宋" w:eastAsia="仿宋" w:cs="仿宋"/>
                <w:b/>
                <w:bCs/>
                <w:spacing w:val="-6"/>
                <w:sz w:val="24"/>
                <w:szCs w:val="24"/>
              </w:rPr>
              <w:t>）</w:t>
            </w:r>
          </w:p>
        </w:tc>
        <w:tc>
          <w:tcPr>
            <w:tcW w:w="932" w:type="dxa"/>
            <w:vMerge w:val="restart"/>
            <w:tcBorders>
              <w:bottom w:val="nil"/>
            </w:tcBorders>
            <w:noWrap w:val="0"/>
            <w:vAlign w:val="top"/>
          </w:tcPr>
          <w:p w14:paraId="2D3CF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  <w:t>评价分</w:t>
            </w:r>
          </w:p>
          <w:p w14:paraId="2DDFDF37">
            <w:pPr>
              <w:pStyle w:val="4"/>
              <w:rPr>
                <w:rFonts w:hint="default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  <w:t>（30分）</w:t>
            </w:r>
          </w:p>
        </w:tc>
        <w:tc>
          <w:tcPr>
            <w:tcW w:w="2472" w:type="dxa"/>
            <w:noWrap w:val="0"/>
            <w:vAlign w:val="top"/>
          </w:tcPr>
          <w:p w14:paraId="21D1BB68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 w:rightChars="0"/>
              <w:textAlignment w:val="auto"/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  <w:t>1.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en-US" w:bidi="ar-SA"/>
              </w:rPr>
              <w:t xml:space="preserve">操作规范性（  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  <w:t>6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en-US" w:bidi="ar-SA"/>
              </w:rPr>
              <w:t>分）</w:t>
            </w:r>
          </w:p>
        </w:tc>
        <w:tc>
          <w:tcPr>
            <w:tcW w:w="4651" w:type="dxa"/>
            <w:noWrap w:val="0"/>
            <w:vAlign w:val="top"/>
          </w:tcPr>
          <w:p w14:paraId="6945434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技能操作规范，符合行业标准和岗位要求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200B32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  <w:jc w:val="center"/>
        </w:trPr>
        <w:tc>
          <w:tcPr>
            <w:tcW w:w="743" w:type="dxa"/>
            <w:vMerge w:val="continue"/>
            <w:noWrap w:val="0"/>
            <w:vAlign w:val="top"/>
          </w:tcPr>
          <w:p w14:paraId="5F5E75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32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2D8B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56" w:firstLineChars="200"/>
              <w:textAlignment w:val="auto"/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472" w:type="dxa"/>
            <w:noWrap w:val="0"/>
            <w:vAlign w:val="top"/>
          </w:tcPr>
          <w:p w14:paraId="5E16B9AC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 w:rightChars="0"/>
              <w:textAlignment w:val="auto"/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  <w:t>2.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en-US" w:bidi="ar-SA"/>
              </w:rPr>
              <w:t xml:space="preserve">技能熟练度（ </w:t>
            </w:r>
            <w:r>
              <w:rPr>
                <w:rFonts w:hint="eastAsia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  <w:t>7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en-US" w:bidi="ar-SA"/>
              </w:rPr>
              <w:t>分）</w:t>
            </w:r>
          </w:p>
        </w:tc>
        <w:tc>
          <w:tcPr>
            <w:tcW w:w="4651" w:type="dxa"/>
            <w:noWrap w:val="0"/>
            <w:vAlign w:val="top"/>
          </w:tcPr>
          <w:p w14:paraId="5D04661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pacing w:val="-1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知识应用和软硬件等工具使用熟练，操作流畅</w:t>
            </w: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，运用精准，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任务进度控制和时间利用合理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3350B9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3" w:type="dxa"/>
            <w:vMerge w:val="continue"/>
            <w:noWrap w:val="0"/>
            <w:vAlign w:val="top"/>
          </w:tcPr>
          <w:p w14:paraId="1C2ABE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32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1AE6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34F7B84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3.任务难易度（</w:t>
            </w:r>
            <w:r>
              <w:rPr>
                <w:rFonts w:hint="eastAsia" w:ascii="仿宋" w:hAnsi="仿宋" w:eastAsia="仿宋" w:cs="仿宋"/>
                <w:spacing w:val="-52"/>
                <w:sz w:val="24"/>
                <w:szCs w:val="24"/>
              </w:rPr>
              <w:t xml:space="preserve"> </w:t>
            </w:r>
            <w:r>
              <w:rPr>
                <w:rFonts w:hint="eastAsia" w:cs="仿宋"/>
                <w:spacing w:val="-52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分）</w:t>
            </w:r>
          </w:p>
        </w:tc>
        <w:tc>
          <w:tcPr>
            <w:tcW w:w="4651" w:type="dxa"/>
            <w:noWrap w:val="0"/>
            <w:vAlign w:val="top"/>
          </w:tcPr>
          <w:p w14:paraId="239294A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工作任务完整，突出关键技术，具有一定挑战性，需要较高技能水平和解决复杂问题的综合能力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281C0E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3" w:type="dxa"/>
            <w:vMerge w:val="continue"/>
            <w:noWrap w:val="0"/>
            <w:vAlign w:val="top"/>
          </w:tcPr>
          <w:p w14:paraId="562938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32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DEA8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345B4E5E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 w:right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cs="仿宋"/>
                <w:spacing w:val="-5"/>
                <w:sz w:val="24"/>
                <w:szCs w:val="24"/>
                <w:lang w:val="en-US" w:eastAsia="zh-CN"/>
              </w:rPr>
              <w:t>4.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技术先进性（</w:t>
            </w:r>
            <w:r>
              <w:rPr>
                <w:rFonts w:hint="eastAsia" w:ascii="仿宋" w:hAnsi="仿宋" w:eastAsia="仿宋" w:cs="仿宋"/>
                <w:spacing w:val="-47"/>
                <w:sz w:val="24"/>
                <w:szCs w:val="24"/>
              </w:rPr>
              <w:t xml:space="preserve"> </w:t>
            </w:r>
            <w:r>
              <w:rPr>
                <w:rFonts w:hint="eastAsia" w:cs="仿宋"/>
                <w:spacing w:val="-47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 xml:space="preserve"> 分）</w:t>
            </w:r>
          </w:p>
        </w:tc>
        <w:tc>
          <w:tcPr>
            <w:tcW w:w="4651" w:type="dxa"/>
            <w:noWrap w:val="0"/>
            <w:vAlign w:val="top"/>
          </w:tcPr>
          <w:p w14:paraId="54910D3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体现所属行业新标准、新技术、新场景应用，积极</w:t>
            </w: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应用前沿技术、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数字化技术，技术选择恰当</w:t>
            </w:r>
            <w:r>
              <w:rPr>
                <w:rFonts w:hint="eastAsia" w:cs="仿宋"/>
                <w:spacing w:val="-2"/>
                <w:sz w:val="24"/>
                <w:szCs w:val="24"/>
                <w:lang w:eastAsia="zh-CN"/>
              </w:rPr>
              <w:t>。</w:t>
            </w:r>
          </w:p>
        </w:tc>
      </w:tr>
      <w:tr w14:paraId="77BC78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3" w:type="dxa"/>
            <w:vMerge w:val="continue"/>
            <w:noWrap w:val="0"/>
            <w:vAlign w:val="top"/>
          </w:tcPr>
          <w:p w14:paraId="794E1E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32" w:type="dxa"/>
            <w:vMerge w:val="continue"/>
            <w:tcBorders>
              <w:top w:val="nil"/>
            </w:tcBorders>
            <w:noWrap w:val="0"/>
            <w:vAlign w:val="top"/>
          </w:tcPr>
          <w:p w14:paraId="5AD9E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5182D3F4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  <w:lang w:val="en-US" w:eastAsia="zh-CN"/>
              </w:rPr>
              <w:t>5.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现场讲解效果（</w:t>
            </w:r>
            <w:r>
              <w:rPr>
                <w:rFonts w:hint="eastAsia" w:cs="仿宋"/>
                <w:spacing w:val="-1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 xml:space="preserve"> 分）</w:t>
            </w:r>
          </w:p>
        </w:tc>
        <w:tc>
          <w:tcPr>
            <w:tcW w:w="4651" w:type="dxa"/>
            <w:noWrap w:val="0"/>
            <w:vAlign w:val="top"/>
          </w:tcPr>
          <w:p w14:paraId="5A6485F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讲解内容逻辑清晰，重点突出，表达准确</w:t>
            </w:r>
          </w:p>
        </w:tc>
      </w:tr>
      <w:tr w14:paraId="24F135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3" w:type="dxa"/>
            <w:vMerge w:val="continue"/>
            <w:noWrap w:val="0"/>
            <w:vAlign w:val="top"/>
          </w:tcPr>
          <w:p w14:paraId="35B1AE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nil"/>
            </w:tcBorders>
            <w:noWrap w:val="0"/>
            <w:vAlign w:val="top"/>
          </w:tcPr>
          <w:p w14:paraId="0BC12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测量分</w:t>
            </w:r>
          </w:p>
          <w:p w14:paraId="4D90EBA2">
            <w:pPr>
              <w:pStyle w:val="4"/>
              <w:rPr>
                <w:rFonts w:hint="default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（30分）</w:t>
            </w:r>
          </w:p>
        </w:tc>
        <w:tc>
          <w:tcPr>
            <w:tcW w:w="7123" w:type="dxa"/>
            <w:gridSpan w:val="2"/>
            <w:noWrap w:val="0"/>
            <w:vAlign w:val="top"/>
          </w:tcPr>
          <w:p w14:paraId="3306030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default" w:ascii="仿宋" w:hAnsi="仿宋" w:eastAsia="仿宋" w:cs="仿宋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cs="仿宋"/>
                <w:spacing w:val="-1"/>
                <w:sz w:val="24"/>
                <w:szCs w:val="24"/>
                <w:lang w:val="en-US" w:eastAsia="zh-CN"/>
              </w:rPr>
              <w:t>详见2025 年海南省职业院校技能大赛酒水服务赛项老酒侍酒服务评分要素表（附表）</w:t>
            </w:r>
          </w:p>
        </w:tc>
      </w:tr>
      <w:tr w14:paraId="0CB0C2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restart"/>
            <w:tcBorders>
              <w:bottom w:val="nil"/>
            </w:tcBorders>
            <w:noWrap w:val="0"/>
            <w:vAlign w:val="top"/>
          </w:tcPr>
          <w:p w14:paraId="59024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</w:pPr>
          </w:p>
          <w:p w14:paraId="1EA9CED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  <w:t>职业素养</w:t>
            </w:r>
          </w:p>
          <w:p w14:paraId="4D2044E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 w:right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-8"/>
                <w:sz w:val="24"/>
                <w:szCs w:val="24"/>
              </w:rPr>
              <w:t>10分）</w:t>
            </w:r>
          </w:p>
        </w:tc>
        <w:tc>
          <w:tcPr>
            <w:tcW w:w="2472" w:type="dxa"/>
            <w:noWrap w:val="0"/>
            <w:vAlign w:val="top"/>
          </w:tcPr>
          <w:p w14:paraId="0472DEF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1.职业道德与行为规范</w:t>
            </w:r>
            <w:r>
              <w:rPr>
                <w:rFonts w:hint="eastAsia" w:ascii="仿宋" w:hAnsi="仿宋" w:eastAsia="仿宋" w:cs="仿宋"/>
                <w:spacing w:val="14"/>
                <w:sz w:val="24"/>
                <w:szCs w:val="24"/>
              </w:rPr>
              <w:t>（4分）</w:t>
            </w:r>
          </w:p>
        </w:tc>
        <w:tc>
          <w:tcPr>
            <w:tcW w:w="4651" w:type="dxa"/>
            <w:noWrap w:val="0"/>
            <w:vAlign w:val="top"/>
          </w:tcPr>
          <w:p w14:paraId="101679C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诚信守法，尊重知识产权，遵守职业伦理，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展现良好职业风貌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0020B39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3F5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32367BF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2.工匠精神（3 分）</w:t>
            </w:r>
          </w:p>
        </w:tc>
        <w:tc>
          <w:tcPr>
            <w:tcW w:w="4651" w:type="dxa"/>
            <w:noWrap w:val="0"/>
            <w:vAlign w:val="top"/>
          </w:tcPr>
          <w:p w14:paraId="76B07D1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注重细节，精益求精，追求卓越，体现管理意识和质量意识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4ADBD2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continue"/>
            <w:tcBorders>
              <w:top w:val="nil"/>
            </w:tcBorders>
            <w:noWrap w:val="0"/>
            <w:vAlign w:val="top"/>
          </w:tcPr>
          <w:p w14:paraId="67A74E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4FFE131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3.安全意识（3 分）</w:t>
            </w:r>
          </w:p>
        </w:tc>
        <w:tc>
          <w:tcPr>
            <w:tcW w:w="4651" w:type="dxa"/>
            <w:noWrap w:val="0"/>
            <w:vAlign w:val="top"/>
          </w:tcPr>
          <w:p w14:paraId="6BF1537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严格遵守安全规范，具备劳动保护和风险防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范意识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75D910C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restart"/>
            <w:tcBorders>
              <w:bottom w:val="nil"/>
            </w:tcBorders>
            <w:noWrap w:val="0"/>
            <w:vAlign w:val="top"/>
          </w:tcPr>
          <w:p w14:paraId="6CEB1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211EBA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0" w:firstLineChars="0"/>
              <w:textAlignment w:val="auto"/>
              <w:rPr>
                <w:rFonts w:hint="eastAsia" w:ascii="仿宋" w:hAnsi="仿宋" w:eastAsia="仿宋" w:cs="仿宋"/>
                <w:b/>
                <w:bCs/>
                <w:spacing w:val="-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3"/>
                <w:sz w:val="24"/>
                <w:szCs w:val="24"/>
              </w:rPr>
              <w:t>应用价值</w:t>
            </w:r>
          </w:p>
          <w:p w14:paraId="68A4AF3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Chars="0" w:right="0" w:right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-8"/>
                <w:sz w:val="24"/>
                <w:szCs w:val="24"/>
              </w:rPr>
              <w:t>10分）</w:t>
            </w:r>
          </w:p>
        </w:tc>
        <w:tc>
          <w:tcPr>
            <w:tcW w:w="2472" w:type="dxa"/>
            <w:noWrap w:val="0"/>
            <w:vAlign w:val="top"/>
          </w:tcPr>
          <w:p w14:paraId="0AD69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64F8725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1.实用性（4 分）</w:t>
            </w:r>
          </w:p>
        </w:tc>
        <w:tc>
          <w:tcPr>
            <w:tcW w:w="4651" w:type="dxa"/>
            <w:noWrap w:val="0"/>
            <w:vAlign w:val="top"/>
          </w:tcPr>
          <w:p w14:paraId="7CC552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解决方案可直接应用于实践，有效解决</w:t>
            </w:r>
            <w:r>
              <w:rPr>
                <w:rFonts w:hint="eastAsia" w:cs="仿宋"/>
                <w:spacing w:val="-6"/>
                <w:sz w:val="24"/>
                <w:szCs w:val="24"/>
                <w:lang w:eastAsia="zh-CN"/>
              </w:rPr>
              <w:t>旅游企业经营过程</w:t>
            </w: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中的实际问题，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契合产业转型升级、</w:t>
            </w:r>
            <w:r>
              <w:rPr>
                <w:rFonts w:hint="eastAsia" w:ascii="仿宋" w:hAnsi="仿宋" w:eastAsia="仿宋" w:cs="仿宋"/>
                <w:spacing w:val="-55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区域经济社会发展、</w:t>
            </w:r>
            <w:r>
              <w:rPr>
                <w:rFonts w:hint="eastAsia" w:ascii="仿宋" w:hAnsi="仿宋" w:eastAsia="仿宋" w:cs="仿宋"/>
                <w:spacing w:val="-6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乡村振兴、促进高质量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就业等国家战略需求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40C1C2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97BC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5C1A7A4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2.经济性（3 分）</w:t>
            </w:r>
          </w:p>
        </w:tc>
        <w:tc>
          <w:tcPr>
            <w:tcW w:w="4651" w:type="dxa"/>
            <w:noWrap w:val="0"/>
            <w:vAlign w:val="top"/>
          </w:tcPr>
          <w:p w14:paraId="2491BF4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资源利用合理，体现高效益、高质量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5CB11C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continue"/>
            <w:tcBorders>
              <w:top w:val="nil"/>
            </w:tcBorders>
            <w:noWrap w:val="0"/>
            <w:vAlign w:val="top"/>
          </w:tcPr>
          <w:p w14:paraId="052A0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0CBB584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3.可持续性（3 分）</w:t>
            </w:r>
          </w:p>
        </w:tc>
        <w:tc>
          <w:tcPr>
            <w:tcW w:w="4651" w:type="dxa"/>
            <w:noWrap w:val="0"/>
            <w:vAlign w:val="top"/>
          </w:tcPr>
          <w:p w14:paraId="533DE24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具有良好环保意识，绿色低碳，符合产业未来发展方向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430CB3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restart"/>
            <w:tcBorders>
              <w:bottom w:val="nil"/>
            </w:tcBorders>
            <w:noWrap w:val="0"/>
            <w:vAlign w:val="top"/>
          </w:tcPr>
          <w:p w14:paraId="5FC59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7"/>
                <w:sz w:val="24"/>
                <w:szCs w:val="24"/>
              </w:rPr>
              <w:t>四、团队合作</w:t>
            </w:r>
          </w:p>
          <w:p w14:paraId="63C1DF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-8"/>
                <w:sz w:val="24"/>
                <w:szCs w:val="24"/>
              </w:rPr>
              <w:t>10分）</w:t>
            </w:r>
          </w:p>
        </w:tc>
        <w:tc>
          <w:tcPr>
            <w:tcW w:w="2472" w:type="dxa"/>
            <w:noWrap w:val="0"/>
            <w:vAlign w:val="top"/>
          </w:tcPr>
          <w:p w14:paraId="4CD433E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1.团队精神（5 分）</w:t>
            </w:r>
          </w:p>
        </w:tc>
        <w:tc>
          <w:tcPr>
            <w:tcW w:w="4651" w:type="dxa"/>
            <w:noWrap w:val="0"/>
            <w:vAlign w:val="top"/>
          </w:tcPr>
          <w:p w14:paraId="447E709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团队成员能够准确理解共同目标和任务，清楚自己的角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色定位和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职责，团队成员相互尊重、信任和支持，拥有良好的团队氛围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7C8123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continue"/>
            <w:tcBorders>
              <w:top w:val="nil"/>
            </w:tcBorders>
            <w:noWrap w:val="0"/>
            <w:vAlign w:val="top"/>
          </w:tcPr>
          <w:p w14:paraId="49688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5D05F3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2.沟通协作（5 分）</w:t>
            </w:r>
          </w:p>
        </w:tc>
        <w:tc>
          <w:tcPr>
            <w:tcW w:w="4651" w:type="dxa"/>
            <w:noWrap w:val="0"/>
            <w:vAlign w:val="top"/>
          </w:tcPr>
          <w:p w14:paraId="60C2A4C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团队成员在比赛中能够有效沟通、紧密协作，能够相互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补台，共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同应对突发情况</w:t>
            </w:r>
            <w:r>
              <w:rPr>
                <w:rFonts w:hint="eastAsia" w:cs="仿宋"/>
                <w:spacing w:val="-5"/>
                <w:sz w:val="24"/>
                <w:szCs w:val="24"/>
                <w:lang w:eastAsia="zh-CN"/>
              </w:rPr>
              <w:t>。</w:t>
            </w:r>
          </w:p>
        </w:tc>
      </w:tr>
      <w:tr w14:paraId="14E135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restart"/>
            <w:tcBorders>
              <w:bottom w:val="nil"/>
            </w:tcBorders>
            <w:noWrap w:val="0"/>
            <w:vAlign w:val="top"/>
          </w:tcPr>
          <w:p w14:paraId="58554D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4592EF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Chars="0" w:right="0" w:rightChars="0"/>
              <w:textAlignment w:val="auto"/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  <w:lang w:val="en-US" w:eastAsia="zh-CN"/>
              </w:rPr>
              <w:t>五、</w:t>
            </w: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  <w:t>创新创意</w:t>
            </w:r>
          </w:p>
          <w:p w14:paraId="39A707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Chars="0" w:right="0" w:right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-8"/>
                <w:sz w:val="24"/>
                <w:szCs w:val="24"/>
              </w:rPr>
              <w:t>10</w:t>
            </w:r>
            <w:r>
              <w:rPr>
                <w:rFonts w:hint="eastAsia" w:ascii="仿宋" w:hAnsi="仿宋" w:eastAsia="仿宋" w:cs="仿宋"/>
                <w:b/>
                <w:bCs/>
                <w:spacing w:val="11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8"/>
                <w:sz w:val="24"/>
                <w:szCs w:val="24"/>
              </w:rPr>
              <w:t>分）</w:t>
            </w:r>
          </w:p>
        </w:tc>
        <w:tc>
          <w:tcPr>
            <w:tcW w:w="2472" w:type="dxa"/>
            <w:noWrap w:val="0"/>
            <w:vAlign w:val="top"/>
          </w:tcPr>
          <w:p w14:paraId="71A49C6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1.创新意识（4 分）</w:t>
            </w:r>
          </w:p>
        </w:tc>
        <w:tc>
          <w:tcPr>
            <w:tcW w:w="4651" w:type="dxa"/>
            <w:noWrap w:val="0"/>
            <w:vAlign w:val="top"/>
          </w:tcPr>
          <w:p w14:paraId="7686026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体现原始创意、创新和团队成员创新精神、创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新能力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0F2DFC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continue"/>
            <w:tcBorders>
              <w:top w:val="nil"/>
            </w:tcBorders>
            <w:noWrap w:val="0"/>
            <w:vAlign w:val="top"/>
          </w:tcPr>
          <w:p w14:paraId="735F9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06D8A7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2F8108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2.创新成效（6 分）</w:t>
            </w:r>
          </w:p>
        </w:tc>
        <w:tc>
          <w:tcPr>
            <w:tcW w:w="4651" w:type="dxa"/>
            <w:noWrap w:val="0"/>
            <w:vAlign w:val="top"/>
          </w:tcPr>
          <w:p w14:paraId="7C2B51D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在要素整合、新技术应用、服务模式优化等方面具有原创性，侧重创新、实用、产品（技术）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数字化改良、应用性优化、</w:t>
            </w:r>
            <w:r>
              <w:rPr>
                <w:rFonts w:hint="eastAsia" w:ascii="仿宋" w:hAnsi="仿宋" w:eastAsia="仿宋" w:cs="仿宋"/>
                <w:spacing w:val="-52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民生类创意等</w:t>
            </w:r>
            <w:r>
              <w:rPr>
                <w:rFonts w:hint="eastAsia" w:cs="仿宋"/>
                <w:spacing w:val="-4"/>
                <w:sz w:val="24"/>
                <w:szCs w:val="24"/>
                <w:lang w:eastAsia="zh-CN"/>
              </w:rPr>
              <w:t>。</w:t>
            </w:r>
          </w:p>
        </w:tc>
      </w:tr>
    </w:tbl>
    <w:p w14:paraId="67C7E0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right="0" w:righ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说明：1.评分原则为 “突出能力导向、解决实际问题、体现创新因素、确保公平可比”；2.评分要素充分体现综合育人功能，突出教育教学改革创新，共5项评分指标，总分100分；3.每项评分指标包括若干评分观测点，每个观测点有明确的分值；4.评委依据观测点及说明，根据参赛团队的技能操作和现场讲解情况进行评分，避免主观印象影响。</w:t>
      </w:r>
    </w:p>
    <w:p w14:paraId="784742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rightChars="0"/>
        <w:jc w:val="center"/>
        <w:textAlignment w:val="auto"/>
        <w:rPr>
          <w:rFonts w:hint="eastAsia" w:ascii="仿宋" w:hAnsi="仿宋" w:eastAsia="仿宋" w:cs="仿宋"/>
          <w:b/>
          <w:bCs/>
          <w:snapToGrid w:val="0"/>
          <w:color w:val="00000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sz w:val="24"/>
          <w:szCs w:val="24"/>
          <w:lang w:val="en-US" w:eastAsia="zh-CN" w:bidi="ar-SA"/>
        </w:rPr>
        <w:t>2025 年海南省职业院校技能大赛酒水服务赛项老酒侍酒服务评分要素表（附表）</w:t>
      </w:r>
    </w:p>
    <w:tbl>
      <w:tblPr>
        <w:tblStyle w:val="6"/>
        <w:tblW w:w="87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5974"/>
        <w:gridCol w:w="894"/>
        <w:gridCol w:w="943"/>
      </w:tblGrid>
      <w:tr w14:paraId="6D2A8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946" w:type="dxa"/>
            <w:noWrap w:val="0"/>
            <w:vAlign w:val="top"/>
          </w:tcPr>
          <w:p w14:paraId="7B26BE9C">
            <w:pPr>
              <w:spacing w:before="196" w:line="231" w:lineRule="auto"/>
              <w:ind w:left="200"/>
              <w:rPr>
                <w:rFonts w:hint="eastAsia" w:eastAsia="仿宋_GB2312"/>
                <w:kern w:val="0"/>
                <w:sz w:val="24"/>
                <w:lang w:eastAsia="zh-CN"/>
              </w:rPr>
            </w:pPr>
            <w:r>
              <w:rPr>
                <w:rFonts w:hint="eastAsia" w:eastAsia="仿宋_GB2312"/>
                <w:spacing w:val="2"/>
                <w:kern w:val="0"/>
                <w:sz w:val="24"/>
                <w:lang w:val="en-US" w:eastAsia="zh-CN"/>
              </w:rPr>
              <w:t>项目</w:t>
            </w:r>
          </w:p>
        </w:tc>
        <w:tc>
          <w:tcPr>
            <w:tcW w:w="5974" w:type="dxa"/>
            <w:noWrap w:val="0"/>
            <w:vAlign w:val="top"/>
          </w:tcPr>
          <w:p w14:paraId="79C5E4B8">
            <w:pPr>
              <w:spacing w:before="196" w:line="229" w:lineRule="auto"/>
              <w:ind w:left="1865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spacing w:val="8"/>
                <w:kern w:val="0"/>
                <w:sz w:val="24"/>
              </w:rPr>
              <w:t>标准名称或描</w:t>
            </w:r>
            <w:r>
              <w:rPr>
                <w:rFonts w:eastAsia="仿宋_GB2312"/>
                <w:spacing w:val="6"/>
                <w:kern w:val="0"/>
                <w:sz w:val="24"/>
              </w:rPr>
              <w:t>述</w:t>
            </w:r>
          </w:p>
        </w:tc>
        <w:tc>
          <w:tcPr>
            <w:tcW w:w="894" w:type="dxa"/>
            <w:noWrap w:val="0"/>
            <w:vAlign w:val="center"/>
          </w:tcPr>
          <w:p w14:paraId="3932B9D9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spacing w:val="2"/>
                <w:kern w:val="0"/>
                <w:sz w:val="24"/>
              </w:rPr>
              <w:t>权重</w:t>
            </w:r>
          </w:p>
        </w:tc>
        <w:tc>
          <w:tcPr>
            <w:tcW w:w="943" w:type="dxa"/>
            <w:noWrap w:val="0"/>
            <w:vAlign w:val="center"/>
          </w:tcPr>
          <w:p w14:paraId="6BF9099A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spacing w:val="2"/>
                <w:kern w:val="0"/>
                <w:sz w:val="24"/>
              </w:rPr>
              <w:t>评</w:t>
            </w:r>
            <w:r>
              <w:rPr>
                <w:rFonts w:eastAsia="仿宋_GB2312"/>
                <w:spacing w:val="1"/>
                <w:kern w:val="0"/>
                <w:sz w:val="24"/>
              </w:rPr>
              <w:t>分</w:t>
            </w:r>
          </w:p>
        </w:tc>
      </w:tr>
      <w:tr w14:paraId="0C8FFB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946" w:type="dxa"/>
            <w:vMerge w:val="restart"/>
            <w:noWrap w:val="0"/>
            <w:vAlign w:val="center"/>
          </w:tcPr>
          <w:p w14:paraId="767FD220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eastAsia="仿宋_GB2312"/>
                <w:kern w:val="0"/>
                <w:sz w:val="24"/>
                <w:lang w:eastAsia="zh-Hans"/>
              </w:rPr>
              <w:t>点单</w:t>
            </w:r>
          </w:p>
        </w:tc>
        <w:tc>
          <w:tcPr>
            <w:tcW w:w="5974" w:type="dxa"/>
            <w:noWrap w:val="0"/>
            <w:vAlign w:val="center"/>
          </w:tcPr>
          <w:p w14:paraId="0FBBD0BD">
            <w:pPr>
              <w:tabs>
                <w:tab w:val="left" w:pos="1154"/>
              </w:tabs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复述信息完整，必须包括酒庄名（或酒款名）、品种、酒款类型、年份（如有）</w:t>
            </w:r>
          </w:p>
        </w:tc>
        <w:tc>
          <w:tcPr>
            <w:tcW w:w="894" w:type="dxa"/>
            <w:noWrap w:val="0"/>
            <w:vAlign w:val="center"/>
          </w:tcPr>
          <w:p w14:paraId="4B13AED1">
            <w:pPr>
              <w:adjustRightInd w:val="0"/>
              <w:snapToGrid w:val="0"/>
              <w:spacing w:line="231" w:lineRule="auto"/>
              <w:jc w:val="center"/>
              <w:rPr>
                <w:rFonts w:hint="default" w:eastAsia="仿宋_GB2312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2.5</w:t>
            </w:r>
          </w:p>
        </w:tc>
        <w:tc>
          <w:tcPr>
            <w:tcW w:w="943" w:type="dxa"/>
            <w:noWrap w:val="0"/>
            <w:vAlign w:val="center"/>
          </w:tcPr>
          <w:p w14:paraId="43F36675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71D70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615013C1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1278F3D7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  <w:lang w:eastAsia="zh-Hans"/>
              </w:rPr>
              <w:t>拿取酒杯和醒酒器时，</w:t>
            </w:r>
            <w:r>
              <w:rPr>
                <w:rFonts w:eastAsia="仿宋_GB2312"/>
                <w:kern w:val="0"/>
                <w:sz w:val="24"/>
              </w:rPr>
              <w:t>先确认是否洁净，再放入大托盘</w:t>
            </w:r>
          </w:p>
        </w:tc>
        <w:tc>
          <w:tcPr>
            <w:tcW w:w="894" w:type="dxa"/>
            <w:noWrap w:val="0"/>
            <w:vAlign w:val="center"/>
          </w:tcPr>
          <w:p w14:paraId="138E7A27">
            <w:pPr>
              <w:adjustRightInd w:val="0"/>
              <w:snapToGrid w:val="0"/>
              <w:spacing w:line="231" w:lineRule="auto"/>
              <w:jc w:val="center"/>
              <w:rPr>
                <w:rFonts w:hint="eastAsia" w:eastAsia="仿宋_GB2312"/>
                <w:kern w:val="0"/>
                <w:sz w:val="24"/>
                <w:lang w:val="en-US" w:eastAsia="zh-CN"/>
              </w:rPr>
            </w:pPr>
            <w:r>
              <w:rPr>
                <w:rFonts w:eastAsia="仿宋_GB2312"/>
                <w:kern w:val="0"/>
                <w:sz w:val="24"/>
              </w:rPr>
              <w:t>0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.</w:t>
            </w: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943" w:type="dxa"/>
            <w:noWrap w:val="0"/>
            <w:vAlign w:val="center"/>
          </w:tcPr>
          <w:p w14:paraId="0861DA17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26C60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62485A23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3A94EA9D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  <w:lang w:eastAsia="zh-Hans"/>
              </w:rPr>
              <w:t>服务时</w:t>
            </w:r>
            <w:r>
              <w:rPr>
                <w:rFonts w:eastAsia="仿宋_GB2312"/>
                <w:kern w:val="0"/>
                <w:sz w:val="24"/>
              </w:rPr>
              <w:t>沿顺时针路径，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且始终</w:t>
            </w:r>
            <w:r>
              <w:rPr>
                <w:rFonts w:eastAsia="仿宋_GB2312"/>
                <w:kern w:val="0"/>
                <w:sz w:val="24"/>
              </w:rPr>
              <w:t>站在服务对象的右手边</w:t>
            </w:r>
          </w:p>
        </w:tc>
        <w:tc>
          <w:tcPr>
            <w:tcW w:w="894" w:type="dxa"/>
            <w:noWrap w:val="0"/>
            <w:vAlign w:val="center"/>
          </w:tcPr>
          <w:p w14:paraId="38AD55A5">
            <w:pPr>
              <w:adjustRightInd w:val="0"/>
              <w:snapToGrid w:val="0"/>
              <w:spacing w:line="231" w:lineRule="auto"/>
              <w:jc w:val="center"/>
              <w:rPr>
                <w:rFonts w:hint="eastAsia" w:eastAsia="仿宋_GB2312"/>
                <w:kern w:val="0"/>
                <w:sz w:val="24"/>
                <w:lang w:val="en-US" w:eastAsia="zh-CN"/>
              </w:rPr>
            </w:pPr>
            <w:r>
              <w:rPr>
                <w:rFonts w:eastAsia="仿宋_GB2312"/>
                <w:kern w:val="0"/>
                <w:sz w:val="24"/>
              </w:rPr>
              <w:t>0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.</w:t>
            </w: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943" w:type="dxa"/>
            <w:noWrap w:val="0"/>
            <w:vAlign w:val="center"/>
          </w:tcPr>
          <w:p w14:paraId="25714C9A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706D8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1767D584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4B079B57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eastAsia="仿宋_GB2312"/>
                <w:kern w:val="0"/>
                <w:sz w:val="24"/>
                <w:lang w:eastAsia="zh-Hans"/>
              </w:rPr>
              <w:t>酒杯摆放</w:t>
            </w:r>
            <w:r>
              <w:rPr>
                <w:rFonts w:eastAsia="仿宋_GB2312"/>
                <w:kern w:val="0"/>
                <w:sz w:val="24"/>
              </w:rPr>
              <w:t>先客人，后主人。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客人内部先给女士，再给男士</w:t>
            </w:r>
          </w:p>
        </w:tc>
        <w:tc>
          <w:tcPr>
            <w:tcW w:w="894" w:type="dxa"/>
            <w:noWrap w:val="0"/>
            <w:vAlign w:val="center"/>
          </w:tcPr>
          <w:p w14:paraId="113FAC4B">
            <w:pPr>
              <w:adjustRightInd w:val="0"/>
              <w:snapToGrid w:val="0"/>
              <w:spacing w:line="231" w:lineRule="auto"/>
              <w:jc w:val="center"/>
              <w:rPr>
                <w:rFonts w:hint="default" w:eastAsia="仿宋_GB2312"/>
                <w:kern w:val="0"/>
                <w:sz w:val="24"/>
                <w:lang w:val="en-US" w:eastAsia="zh-CN"/>
              </w:rPr>
            </w:pPr>
            <w:r>
              <w:rPr>
                <w:rFonts w:eastAsia="仿宋_GB2312"/>
                <w:kern w:val="0"/>
                <w:sz w:val="24"/>
              </w:rPr>
              <w:t>0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.</w:t>
            </w: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75</w:t>
            </w:r>
          </w:p>
        </w:tc>
        <w:tc>
          <w:tcPr>
            <w:tcW w:w="943" w:type="dxa"/>
            <w:noWrap w:val="0"/>
            <w:vAlign w:val="center"/>
          </w:tcPr>
          <w:p w14:paraId="1863F3C5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087C8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5AF26A41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452E70D8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醒酒器放在侍酒操作台左手边，手电筒立于操作台中央</w:t>
            </w:r>
          </w:p>
        </w:tc>
        <w:tc>
          <w:tcPr>
            <w:tcW w:w="894" w:type="dxa"/>
            <w:noWrap w:val="0"/>
            <w:vAlign w:val="center"/>
          </w:tcPr>
          <w:p w14:paraId="7285AB58">
            <w:pPr>
              <w:adjustRightInd w:val="0"/>
              <w:snapToGrid w:val="0"/>
              <w:spacing w:line="231" w:lineRule="auto"/>
              <w:jc w:val="center"/>
              <w:rPr>
                <w:rFonts w:hint="default" w:eastAsia="仿宋_GB2312"/>
                <w:kern w:val="0"/>
                <w:sz w:val="24"/>
                <w:lang w:val="en-US" w:eastAsia="zh-CN"/>
              </w:rPr>
            </w:pPr>
            <w:r>
              <w:rPr>
                <w:rFonts w:eastAsia="仿宋_GB2312"/>
                <w:kern w:val="0"/>
                <w:sz w:val="24"/>
              </w:rPr>
              <w:t>0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.</w:t>
            </w: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75</w:t>
            </w:r>
          </w:p>
        </w:tc>
        <w:tc>
          <w:tcPr>
            <w:tcW w:w="943" w:type="dxa"/>
            <w:noWrap w:val="0"/>
            <w:vAlign w:val="center"/>
          </w:tcPr>
          <w:p w14:paraId="5F719B6E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741AF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065EA9A5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5368E728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酒杯等玻璃器皿全程不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摇晃、</w:t>
            </w:r>
            <w:r>
              <w:rPr>
                <w:rFonts w:eastAsia="仿宋_GB2312"/>
                <w:kern w:val="0"/>
                <w:sz w:val="24"/>
              </w:rPr>
              <w:t>跌落或损坏</w:t>
            </w:r>
          </w:p>
        </w:tc>
        <w:tc>
          <w:tcPr>
            <w:tcW w:w="894" w:type="dxa"/>
            <w:noWrap w:val="0"/>
            <w:vAlign w:val="center"/>
          </w:tcPr>
          <w:p w14:paraId="44E372B0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5D64D052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78F13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restart"/>
            <w:noWrap w:val="0"/>
            <w:vAlign w:val="center"/>
          </w:tcPr>
          <w:p w14:paraId="452B2DEC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eastAsia="仿宋_GB2312"/>
                <w:kern w:val="0"/>
                <w:sz w:val="24"/>
                <w:lang w:eastAsia="zh-Hans"/>
              </w:rPr>
              <w:t xml:space="preserve">开瓶 </w:t>
            </w:r>
          </w:p>
        </w:tc>
        <w:tc>
          <w:tcPr>
            <w:tcW w:w="5974" w:type="dxa"/>
            <w:noWrap w:val="0"/>
            <w:vAlign w:val="center"/>
          </w:tcPr>
          <w:p w14:paraId="425F4C68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eastAsia="仿宋_GB2312"/>
                <w:kern w:val="0"/>
                <w:sz w:val="24"/>
                <w:lang w:eastAsia="zh-Hans"/>
              </w:rPr>
              <w:t>先取酒篮子和酒布，再取酒</w:t>
            </w:r>
          </w:p>
        </w:tc>
        <w:tc>
          <w:tcPr>
            <w:tcW w:w="894" w:type="dxa"/>
            <w:noWrap w:val="0"/>
            <w:vAlign w:val="center"/>
          </w:tcPr>
          <w:p w14:paraId="5FE51CD3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7831EC86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64FBB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68CC36C5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455D0390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  <w:lang w:eastAsia="zh-Hans"/>
              </w:rPr>
              <w:t>平稳取酒，保持正标朝上，不转动酒瓶</w:t>
            </w:r>
          </w:p>
        </w:tc>
        <w:tc>
          <w:tcPr>
            <w:tcW w:w="894" w:type="dxa"/>
            <w:noWrap w:val="0"/>
            <w:vAlign w:val="center"/>
          </w:tcPr>
          <w:p w14:paraId="111EE5E1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29F1252D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473D9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618B437D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12BA5707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eastAsia="仿宋_GB2312"/>
                <w:kern w:val="0"/>
                <w:sz w:val="24"/>
                <w:lang w:eastAsia="zh-Hans"/>
              </w:rPr>
              <w:t>向客人展示正标，复述信息完整，必须包括酒庄名（或酒款名）、品种、酒款类型、年份（如有）</w:t>
            </w:r>
          </w:p>
        </w:tc>
        <w:tc>
          <w:tcPr>
            <w:tcW w:w="894" w:type="dxa"/>
            <w:noWrap w:val="0"/>
            <w:vAlign w:val="center"/>
          </w:tcPr>
          <w:p w14:paraId="676A0D7B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0BF8CC81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436AF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22007D4C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528A96DC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酒篮子放于手电筒右边，且瓶口朝右</w:t>
            </w:r>
          </w:p>
        </w:tc>
        <w:tc>
          <w:tcPr>
            <w:tcW w:w="894" w:type="dxa"/>
            <w:noWrap w:val="0"/>
            <w:vAlign w:val="center"/>
          </w:tcPr>
          <w:p w14:paraId="3763D7FB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528D40EE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311FD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3F290D72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4F1094B8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沿瓶口凸起处的下沿划开酒帽，酒帽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摘取整齐完整</w:t>
            </w:r>
            <w:r>
              <w:rPr>
                <w:rFonts w:eastAsia="仿宋_GB2312"/>
                <w:kern w:val="0"/>
                <w:sz w:val="24"/>
              </w:rPr>
              <w:t>，取下的酒帽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后放入小碟子</w:t>
            </w:r>
          </w:p>
        </w:tc>
        <w:tc>
          <w:tcPr>
            <w:tcW w:w="894" w:type="dxa"/>
            <w:noWrap w:val="0"/>
            <w:vAlign w:val="center"/>
          </w:tcPr>
          <w:p w14:paraId="11469AF9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24E961C3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7A223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5B7347FE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1606F0C8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使用酒布擦拭瓶口</w:t>
            </w:r>
          </w:p>
        </w:tc>
        <w:tc>
          <w:tcPr>
            <w:tcW w:w="894" w:type="dxa"/>
            <w:noWrap w:val="0"/>
            <w:vAlign w:val="center"/>
          </w:tcPr>
          <w:p w14:paraId="40F92B7A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5071B69D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2DDCE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44D023F0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17F52E80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海马刀使用规范，正确使用两节杠杆，酒塞不钻透</w:t>
            </w:r>
          </w:p>
        </w:tc>
        <w:tc>
          <w:tcPr>
            <w:tcW w:w="894" w:type="dxa"/>
            <w:noWrap w:val="0"/>
            <w:vAlign w:val="center"/>
          </w:tcPr>
          <w:p w14:paraId="70C8C736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26DE94DF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01865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7A241218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6A88C153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  <w:lang w:eastAsia="zh-Hans"/>
              </w:rPr>
              <w:t>拔塞前使用酒布将其包住，</w:t>
            </w:r>
            <w:r>
              <w:rPr>
                <w:rFonts w:eastAsia="仿宋_GB2312"/>
                <w:kern w:val="0"/>
                <w:sz w:val="24"/>
              </w:rPr>
              <w:t>取出酒塞时不发出过于明显的声响，酒液不喷溅</w:t>
            </w:r>
          </w:p>
        </w:tc>
        <w:tc>
          <w:tcPr>
            <w:tcW w:w="894" w:type="dxa"/>
            <w:noWrap w:val="0"/>
            <w:vAlign w:val="center"/>
          </w:tcPr>
          <w:p w14:paraId="23E975AA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4A9951A0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09D63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7D254C39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3E0EC305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从海马刀上取下酒塞后嗅闻，放入小碟子</w:t>
            </w:r>
          </w:p>
        </w:tc>
        <w:tc>
          <w:tcPr>
            <w:tcW w:w="894" w:type="dxa"/>
            <w:noWrap w:val="0"/>
            <w:vAlign w:val="center"/>
          </w:tcPr>
          <w:p w14:paraId="6EE2E652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3BB84361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3F8CD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0C0EC016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13034A62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使用酒布擦拭瓶口</w:t>
            </w:r>
          </w:p>
        </w:tc>
        <w:tc>
          <w:tcPr>
            <w:tcW w:w="894" w:type="dxa"/>
            <w:noWrap w:val="0"/>
            <w:vAlign w:val="center"/>
          </w:tcPr>
          <w:p w14:paraId="77CF33E8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55941C2A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35E23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738EC220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031BFF63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全程酒瓶应斜卧于酒篮子内，不旋转</w:t>
            </w:r>
          </w:p>
        </w:tc>
        <w:tc>
          <w:tcPr>
            <w:tcW w:w="894" w:type="dxa"/>
            <w:noWrap w:val="0"/>
            <w:vAlign w:val="center"/>
          </w:tcPr>
          <w:p w14:paraId="25698BA5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2F8B3495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6F0E5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restart"/>
            <w:noWrap w:val="0"/>
            <w:vAlign w:val="top"/>
          </w:tcPr>
          <w:p w14:paraId="1D182BFB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侍酒师试饮</w:t>
            </w:r>
          </w:p>
          <w:p w14:paraId="6FD323FE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  <w:lang w:eastAsia="zh-Hans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3CD2B46D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礼貌征求主人的同意</w:t>
            </w:r>
          </w:p>
        </w:tc>
        <w:tc>
          <w:tcPr>
            <w:tcW w:w="894" w:type="dxa"/>
            <w:noWrap w:val="0"/>
            <w:vAlign w:val="center"/>
          </w:tcPr>
          <w:p w14:paraId="4DB6D1D8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17E497C5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5AED5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0B13E741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05A565AD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倒酒量10-15mL，不滴洒酒液</w:t>
            </w:r>
          </w:p>
        </w:tc>
        <w:tc>
          <w:tcPr>
            <w:tcW w:w="894" w:type="dxa"/>
            <w:noWrap w:val="0"/>
            <w:vAlign w:val="center"/>
          </w:tcPr>
          <w:p w14:paraId="49EED0E1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0CF8FCA5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54CB6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2D4CB0C0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3212BD94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使用酒布擦拭瓶口</w:t>
            </w:r>
          </w:p>
        </w:tc>
        <w:tc>
          <w:tcPr>
            <w:tcW w:w="894" w:type="dxa"/>
            <w:noWrap w:val="0"/>
            <w:vAlign w:val="center"/>
          </w:tcPr>
          <w:p w14:paraId="6D27D16B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63E54D67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7B79D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072BF779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49CC8288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试饮时侧身或背身，不当着主客人的面</w:t>
            </w:r>
          </w:p>
        </w:tc>
        <w:tc>
          <w:tcPr>
            <w:tcW w:w="894" w:type="dxa"/>
            <w:noWrap w:val="0"/>
            <w:vAlign w:val="center"/>
          </w:tcPr>
          <w:p w14:paraId="186749BA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00B21C3C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248113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restart"/>
            <w:noWrap w:val="0"/>
            <w:vAlign w:val="center"/>
          </w:tcPr>
          <w:p w14:paraId="1C245321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eastAsia="仿宋_GB2312"/>
                <w:kern w:val="0"/>
                <w:sz w:val="24"/>
                <w:lang w:eastAsia="zh-Hans"/>
              </w:rPr>
              <w:t>滗酒</w:t>
            </w:r>
          </w:p>
        </w:tc>
        <w:tc>
          <w:tcPr>
            <w:tcW w:w="5974" w:type="dxa"/>
            <w:noWrap w:val="0"/>
            <w:vAlign w:val="center"/>
          </w:tcPr>
          <w:p w14:paraId="30777A7C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先点亮手电筒，再拿取酒瓶</w:t>
            </w:r>
          </w:p>
        </w:tc>
        <w:tc>
          <w:tcPr>
            <w:tcW w:w="894" w:type="dxa"/>
            <w:noWrap w:val="0"/>
            <w:vAlign w:val="center"/>
          </w:tcPr>
          <w:p w14:paraId="2728AD1E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74D78196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4452D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71D9E406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  <w:lang w:eastAsia="zh-Hans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418CB859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平稳地从酒篮子内取出酒瓶，保持正标朝上，不转动瓶身</w:t>
            </w:r>
          </w:p>
        </w:tc>
        <w:tc>
          <w:tcPr>
            <w:tcW w:w="894" w:type="dxa"/>
            <w:noWrap w:val="0"/>
            <w:vAlign w:val="center"/>
          </w:tcPr>
          <w:p w14:paraId="483E4589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357F16C0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5C1C9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4FC6A510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  <w:lang w:eastAsia="zh-Hans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2321BADE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缓慢平稳地将酒倒入醒酒器，注意瓶肩处，一旦看到沉淀则停止倒酒（如无沉淀，考生应留下少量酒液于瓶内）</w:t>
            </w:r>
          </w:p>
        </w:tc>
        <w:tc>
          <w:tcPr>
            <w:tcW w:w="894" w:type="dxa"/>
            <w:noWrap w:val="0"/>
            <w:vAlign w:val="center"/>
          </w:tcPr>
          <w:p w14:paraId="2AE3ABA7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34B558E2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5271C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15AD8DBD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  <w:lang w:eastAsia="zh-Hans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606B2D15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使用酒布擦拭瓶口</w:t>
            </w:r>
          </w:p>
        </w:tc>
        <w:tc>
          <w:tcPr>
            <w:tcW w:w="894" w:type="dxa"/>
            <w:noWrap w:val="0"/>
            <w:vAlign w:val="center"/>
          </w:tcPr>
          <w:p w14:paraId="2440903A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943" w:type="dxa"/>
            <w:noWrap w:val="0"/>
            <w:vAlign w:val="center"/>
          </w:tcPr>
          <w:p w14:paraId="71792335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7AAEE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946" w:type="dxa"/>
            <w:vMerge w:val="restart"/>
            <w:noWrap w:val="0"/>
            <w:vAlign w:val="center"/>
          </w:tcPr>
          <w:p w14:paraId="62158E8C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  <w:lang w:eastAsia="zh-Hans"/>
              </w:rPr>
            </w:pPr>
            <w:r>
              <w:rPr>
                <w:rFonts w:eastAsia="仿宋_GB2312"/>
                <w:kern w:val="0"/>
                <w:sz w:val="24"/>
                <w:lang w:eastAsia="zh-Hans"/>
              </w:rPr>
              <w:t>侍酒</w:t>
            </w:r>
          </w:p>
        </w:tc>
        <w:tc>
          <w:tcPr>
            <w:tcW w:w="5974" w:type="dxa"/>
            <w:noWrap w:val="0"/>
            <w:vAlign w:val="center"/>
          </w:tcPr>
          <w:p w14:paraId="23304A47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沿顺时针路径，不折返，每次服务时，站在服务对象的右手边，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并</w:t>
            </w:r>
            <w:r>
              <w:rPr>
                <w:rFonts w:eastAsia="仿宋_GB2312"/>
                <w:kern w:val="0"/>
                <w:sz w:val="24"/>
              </w:rPr>
              <w:t>正标朝向服务对象</w:t>
            </w:r>
          </w:p>
        </w:tc>
        <w:tc>
          <w:tcPr>
            <w:tcW w:w="894" w:type="dxa"/>
            <w:noWrap w:val="0"/>
            <w:vAlign w:val="center"/>
          </w:tcPr>
          <w:p w14:paraId="5D175C1A">
            <w:pPr>
              <w:adjustRightInd w:val="0"/>
              <w:snapToGrid w:val="0"/>
              <w:spacing w:line="231" w:lineRule="auto"/>
              <w:jc w:val="center"/>
              <w:rPr>
                <w:rFonts w:hint="eastAsia" w:eastAsia="仿宋_GB2312"/>
                <w:kern w:val="0"/>
                <w:sz w:val="24"/>
                <w:lang w:val="en-US" w:eastAsia="zh-CN"/>
              </w:rPr>
            </w:pPr>
            <w:r>
              <w:rPr>
                <w:rFonts w:eastAsia="仿宋_GB2312"/>
                <w:kern w:val="0"/>
                <w:sz w:val="24"/>
              </w:rPr>
              <w:t>0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.</w:t>
            </w: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943" w:type="dxa"/>
            <w:noWrap w:val="0"/>
            <w:vAlign w:val="center"/>
          </w:tcPr>
          <w:p w14:paraId="060E3E0C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7224C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2EE5E5A3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4BC3D809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持酒布的手应贴于体侧，自然下垂</w:t>
            </w:r>
          </w:p>
        </w:tc>
        <w:tc>
          <w:tcPr>
            <w:tcW w:w="894" w:type="dxa"/>
            <w:noWrap w:val="0"/>
            <w:vAlign w:val="center"/>
          </w:tcPr>
          <w:p w14:paraId="56DE3E62">
            <w:pPr>
              <w:adjustRightInd w:val="0"/>
              <w:snapToGrid w:val="0"/>
              <w:spacing w:line="231" w:lineRule="auto"/>
              <w:jc w:val="center"/>
              <w:rPr>
                <w:rFonts w:hint="default" w:eastAsia="仿宋_GB2312"/>
                <w:kern w:val="0"/>
                <w:sz w:val="24"/>
                <w:lang w:val="en-US" w:eastAsia="zh-CN"/>
              </w:rPr>
            </w:pPr>
            <w:r>
              <w:rPr>
                <w:rFonts w:eastAsia="仿宋_GB2312"/>
                <w:kern w:val="0"/>
                <w:sz w:val="24"/>
              </w:rPr>
              <w:t>0.</w:t>
            </w: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75</w:t>
            </w:r>
          </w:p>
        </w:tc>
        <w:tc>
          <w:tcPr>
            <w:tcW w:w="943" w:type="dxa"/>
            <w:noWrap w:val="0"/>
            <w:vAlign w:val="center"/>
          </w:tcPr>
          <w:p w14:paraId="68FFBC44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75AD6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0799CBE0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221A6DBB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每次倒酒完毕，及时擦拭瓶口，不滴洒酒液</w:t>
            </w:r>
          </w:p>
        </w:tc>
        <w:tc>
          <w:tcPr>
            <w:tcW w:w="894" w:type="dxa"/>
            <w:noWrap w:val="0"/>
            <w:vAlign w:val="center"/>
          </w:tcPr>
          <w:p w14:paraId="15A9D187">
            <w:pPr>
              <w:adjustRightInd w:val="0"/>
              <w:snapToGrid w:val="0"/>
              <w:spacing w:line="231" w:lineRule="auto"/>
              <w:jc w:val="center"/>
              <w:rPr>
                <w:rFonts w:hint="default" w:eastAsia="仿宋_GB2312"/>
                <w:kern w:val="0"/>
                <w:sz w:val="24"/>
                <w:lang w:val="en-US" w:eastAsia="zh-CN"/>
              </w:rPr>
            </w:pPr>
            <w:r>
              <w:rPr>
                <w:rFonts w:eastAsia="仿宋_GB2312"/>
                <w:kern w:val="0"/>
                <w:sz w:val="24"/>
              </w:rPr>
              <w:t>0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.</w:t>
            </w: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75</w:t>
            </w:r>
          </w:p>
        </w:tc>
        <w:tc>
          <w:tcPr>
            <w:tcW w:w="943" w:type="dxa"/>
            <w:noWrap w:val="0"/>
            <w:vAlign w:val="center"/>
          </w:tcPr>
          <w:p w14:paraId="3078F97A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410C4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5DC40FDF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7D98EDDE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  <w:lang w:eastAsia="zh-Hans"/>
              </w:rPr>
              <w:t>给主人试饮时</w:t>
            </w:r>
            <w:r>
              <w:rPr>
                <w:rFonts w:eastAsia="仿宋_GB2312"/>
                <w:kern w:val="0"/>
                <w:sz w:val="24"/>
              </w:rPr>
              <w:t>倒酒量约30mL，得到主人的肯定后，才可开始全桌服务</w:t>
            </w:r>
          </w:p>
        </w:tc>
        <w:tc>
          <w:tcPr>
            <w:tcW w:w="894" w:type="dxa"/>
            <w:noWrap w:val="0"/>
            <w:vAlign w:val="center"/>
          </w:tcPr>
          <w:p w14:paraId="04DB2D45">
            <w:pPr>
              <w:adjustRightInd w:val="0"/>
              <w:snapToGrid w:val="0"/>
              <w:spacing w:line="231" w:lineRule="auto"/>
              <w:jc w:val="center"/>
              <w:rPr>
                <w:rFonts w:hint="eastAsia" w:eastAsia="仿宋_GB2312"/>
                <w:kern w:val="0"/>
                <w:sz w:val="24"/>
                <w:lang w:eastAsia="zh-CN"/>
              </w:rPr>
            </w:pPr>
            <w:r>
              <w:rPr>
                <w:rFonts w:eastAsia="仿宋_GB2312"/>
                <w:kern w:val="0"/>
                <w:sz w:val="24"/>
              </w:rPr>
              <w:t>0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.</w:t>
            </w: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943" w:type="dxa"/>
            <w:noWrap w:val="0"/>
            <w:vAlign w:val="center"/>
          </w:tcPr>
          <w:p w14:paraId="70CFA992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37AEC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230CC9B2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3C3F8F81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主人试饮完毕后，先为客人倒酒，再为主人添酒。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客人内部先给女士倒酒，再给男士倒酒</w:t>
            </w:r>
          </w:p>
        </w:tc>
        <w:tc>
          <w:tcPr>
            <w:tcW w:w="894" w:type="dxa"/>
            <w:noWrap w:val="0"/>
            <w:vAlign w:val="center"/>
          </w:tcPr>
          <w:p w14:paraId="1B4D417D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1</w:t>
            </w:r>
            <w:r>
              <w:rPr>
                <w:rFonts w:eastAsia="仿宋_GB2312"/>
                <w:kern w:val="0"/>
                <w:sz w:val="24"/>
              </w:rPr>
              <w:t>.</w:t>
            </w: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4"/>
              </w:rPr>
              <w:t>5</w:t>
            </w:r>
          </w:p>
        </w:tc>
        <w:tc>
          <w:tcPr>
            <w:tcW w:w="943" w:type="dxa"/>
            <w:noWrap w:val="0"/>
            <w:vAlign w:val="center"/>
          </w:tcPr>
          <w:p w14:paraId="0C261802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59261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448F60B6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7FDEBAC1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约倒至杯肚最宽处</w:t>
            </w:r>
          </w:p>
        </w:tc>
        <w:tc>
          <w:tcPr>
            <w:tcW w:w="894" w:type="dxa"/>
            <w:noWrap w:val="0"/>
            <w:vAlign w:val="center"/>
          </w:tcPr>
          <w:p w14:paraId="2BEABFEA">
            <w:pPr>
              <w:adjustRightInd w:val="0"/>
              <w:snapToGrid w:val="0"/>
              <w:spacing w:line="231" w:lineRule="auto"/>
              <w:jc w:val="center"/>
              <w:rPr>
                <w:rFonts w:hint="eastAsia" w:eastAsia="仿宋_GB2312"/>
                <w:kern w:val="0"/>
                <w:sz w:val="24"/>
                <w:lang w:val="en-US" w:eastAsia="zh-CN"/>
              </w:rPr>
            </w:pPr>
            <w:r>
              <w:rPr>
                <w:rFonts w:eastAsia="仿宋_GB2312"/>
                <w:kern w:val="0"/>
                <w:sz w:val="24"/>
              </w:rPr>
              <w:t>0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.</w:t>
            </w: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943" w:type="dxa"/>
            <w:noWrap w:val="0"/>
            <w:vAlign w:val="center"/>
          </w:tcPr>
          <w:p w14:paraId="55BA8852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7188D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946" w:type="dxa"/>
            <w:vMerge w:val="continue"/>
            <w:noWrap w:val="0"/>
            <w:vAlign w:val="top"/>
          </w:tcPr>
          <w:p w14:paraId="48BDFA19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  <w:lang w:eastAsia="zh-Hans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1CC69BDB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醒酒器和酒瓶放置于餐桌上恰当的位置，确保主客人均可看到正标</w:t>
            </w:r>
          </w:p>
        </w:tc>
        <w:tc>
          <w:tcPr>
            <w:tcW w:w="894" w:type="dxa"/>
            <w:noWrap w:val="0"/>
            <w:vAlign w:val="center"/>
          </w:tcPr>
          <w:p w14:paraId="08140E68">
            <w:pPr>
              <w:adjustRightInd w:val="0"/>
              <w:snapToGrid w:val="0"/>
              <w:spacing w:line="231" w:lineRule="auto"/>
              <w:jc w:val="center"/>
              <w:rPr>
                <w:rFonts w:hint="default" w:eastAsia="仿宋_GB2312"/>
                <w:kern w:val="0"/>
                <w:sz w:val="24"/>
                <w:lang w:val="en-US" w:eastAsia="zh-CN"/>
              </w:rPr>
            </w:pPr>
            <w:r>
              <w:rPr>
                <w:rFonts w:eastAsia="仿宋_GB2312"/>
                <w:kern w:val="0"/>
                <w:sz w:val="24"/>
              </w:rPr>
              <w:t>0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.</w:t>
            </w: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25</w:t>
            </w:r>
          </w:p>
        </w:tc>
        <w:tc>
          <w:tcPr>
            <w:tcW w:w="943" w:type="dxa"/>
            <w:noWrap w:val="0"/>
            <w:vAlign w:val="center"/>
          </w:tcPr>
          <w:p w14:paraId="38091EA6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0EB7D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6" w:type="dxa"/>
            <w:vMerge w:val="continue"/>
            <w:tcBorders>
              <w:bottom w:val="nil"/>
            </w:tcBorders>
            <w:noWrap w:val="0"/>
            <w:vAlign w:val="top"/>
          </w:tcPr>
          <w:p w14:paraId="7F744CDB">
            <w:pPr>
              <w:spacing w:before="196" w:line="231" w:lineRule="auto"/>
              <w:ind w:left="12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21685507">
            <w:pPr>
              <w:adjustRightInd w:val="0"/>
              <w:snapToGrid w:val="0"/>
              <w:ind w:left="63" w:leftChars="3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小碟子（含酒帽和酒塞）放置于酒瓶旁边</w:t>
            </w:r>
          </w:p>
        </w:tc>
        <w:tc>
          <w:tcPr>
            <w:tcW w:w="894" w:type="dxa"/>
            <w:noWrap w:val="0"/>
            <w:vAlign w:val="center"/>
          </w:tcPr>
          <w:p w14:paraId="11D9924F">
            <w:pPr>
              <w:adjustRightInd w:val="0"/>
              <w:snapToGrid w:val="0"/>
              <w:spacing w:line="231" w:lineRule="auto"/>
              <w:jc w:val="center"/>
              <w:rPr>
                <w:rFonts w:hint="eastAsia" w:eastAsia="仿宋_GB2312"/>
                <w:kern w:val="0"/>
                <w:sz w:val="24"/>
                <w:lang w:val="en-US" w:eastAsia="zh-CN"/>
              </w:rPr>
            </w:pPr>
            <w:r>
              <w:rPr>
                <w:rFonts w:eastAsia="仿宋_GB2312"/>
                <w:kern w:val="0"/>
                <w:sz w:val="24"/>
              </w:rPr>
              <w:t>0</w:t>
            </w:r>
            <w:r>
              <w:rPr>
                <w:rFonts w:eastAsia="仿宋_GB2312"/>
                <w:kern w:val="0"/>
                <w:sz w:val="24"/>
                <w:lang w:eastAsia="zh-Hans"/>
              </w:rPr>
              <w:t>.</w:t>
            </w: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943" w:type="dxa"/>
            <w:noWrap w:val="0"/>
            <w:vAlign w:val="center"/>
          </w:tcPr>
          <w:p w14:paraId="0E8BE907">
            <w:pPr>
              <w:adjustRightInd w:val="0"/>
              <w:snapToGrid w:val="0"/>
              <w:spacing w:line="231" w:lineRule="auto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Y/N</w:t>
            </w:r>
          </w:p>
        </w:tc>
      </w:tr>
      <w:tr w14:paraId="44A35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  <w:jc w:val="center"/>
        </w:trPr>
        <w:tc>
          <w:tcPr>
            <w:tcW w:w="946" w:type="dxa"/>
            <w:noWrap w:val="0"/>
            <w:vAlign w:val="center"/>
          </w:tcPr>
          <w:p w14:paraId="74B01D33">
            <w:pPr>
              <w:spacing w:before="196" w:line="231" w:lineRule="auto"/>
              <w:ind w:left="128"/>
              <w:jc w:val="left"/>
              <w:rPr>
                <w:rFonts w:eastAsia="仿宋_GB2312"/>
                <w:kern w:val="0"/>
                <w:sz w:val="24"/>
                <w:lang w:eastAsia="zh-Hans"/>
              </w:rPr>
            </w:pPr>
          </w:p>
        </w:tc>
        <w:tc>
          <w:tcPr>
            <w:tcW w:w="5974" w:type="dxa"/>
            <w:noWrap w:val="0"/>
            <w:vAlign w:val="center"/>
          </w:tcPr>
          <w:p w14:paraId="3331091D">
            <w:pPr>
              <w:adjustRightInd w:val="0"/>
              <w:snapToGrid w:val="0"/>
              <w:ind w:left="73" w:leftChars="30" w:hanging="10"/>
              <w:jc w:val="center"/>
              <w:rPr>
                <w:rFonts w:hint="eastAsia" w:eastAsia="仿宋_GB2312"/>
                <w:spacing w:val="8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spacing w:val="8"/>
                <w:kern w:val="0"/>
                <w:sz w:val="24"/>
                <w:lang w:val="en-US" w:eastAsia="zh-CN"/>
              </w:rPr>
              <w:t>合计</w:t>
            </w:r>
          </w:p>
        </w:tc>
        <w:tc>
          <w:tcPr>
            <w:tcW w:w="894" w:type="dxa"/>
            <w:noWrap w:val="0"/>
            <w:vAlign w:val="center"/>
          </w:tcPr>
          <w:p w14:paraId="3E183920">
            <w:pPr>
              <w:adjustRightInd w:val="0"/>
              <w:snapToGrid w:val="0"/>
              <w:spacing w:line="189" w:lineRule="auto"/>
              <w:jc w:val="center"/>
              <w:rPr>
                <w:rFonts w:hint="default" w:eastAsia="仿宋_GB2312"/>
                <w:spacing w:val="-2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spacing w:val="-2"/>
                <w:kern w:val="0"/>
                <w:sz w:val="24"/>
                <w:lang w:val="en-US" w:eastAsia="zh-CN"/>
              </w:rPr>
              <w:t>30</w:t>
            </w:r>
          </w:p>
        </w:tc>
        <w:tc>
          <w:tcPr>
            <w:tcW w:w="943" w:type="dxa"/>
            <w:noWrap w:val="0"/>
            <w:vAlign w:val="center"/>
          </w:tcPr>
          <w:p w14:paraId="24084938">
            <w:pPr>
              <w:adjustRightInd w:val="0"/>
              <w:snapToGrid w:val="0"/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</w:tbl>
    <w:p w14:paraId="51CDF4E4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3A9A9A0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八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、竞赛须知</w:t>
      </w:r>
    </w:p>
    <w:p w14:paraId="0E401E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方正楷体_GB2312" w:hAnsi="方正楷体_GB2312" w:eastAsia="方正楷体_GB2312" w:cs="方正楷体_GB2312"/>
          <w:sz w:val="28"/>
          <w:szCs w:val="28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  <w:lang w:val="en-US" w:eastAsia="zh-CN"/>
        </w:rPr>
        <w:t>（一）参赛队须知</w:t>
      </w:r>
    </w:p>
    <w:p w14:paraId="52BBEC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1．熟悉竞赛规程，负责做好本参赛队大赛期间的管理工作，负责本参赛队的参赛组织和与大赛的联络。</w:t>
      </w:r>
    </w:p>
    <w:p w14:paraId="7FCDC6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2．贯彻执行大赛各项规定，竞赛期间不私自接触裁判。</w:t>
      </w:r>
    </w:p>
    <w:p w14:paraId="722852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3．准时参加赛前领队会议，并认真传达落实会议精神，确保参赛选手准时参加比赛。</w:t>
      </w:r>
    </w:p>
    <w:p w14:paraId="381083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4．在比赛时需密切留意参赛团队的比赛时间，安排充足人员进行调度，避免出现因迟到而被取消比赛资格的现象。</w:t>
      </w:r>
    </w:p>
    <w:p w14:paraId="608800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5．参赛领队应负责赛事活动期间本队所有人员的疾病防控、人身及财产安全工作，并按规定为参赛选手及参赛人员购买相关保险。</w:t>
      </w:r>
    </w:p>
    <w:p w14:paraId="3A6E5E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方正楷体_GB2312" w:hAnsi="方正楷体_GB2312" w:eastAsia="方正楷体_GB2312" w:cs="方正楷体_GB2312"/>
          <w:sz w:val="28"/>
          <w:szCs w:val="28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  <w:lang w:val="en-US" w:eastAsia="zh-CN"/>
        </w:rPr>
        <w:t>（二）参赛选手须知</w:t>
      </w:r>
    </w:p>
    <w:p w14:paraId="7BC222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1．准备阶段</w:t>
      </w:r>
    </w:p>
    <w:p w14:paraId="5491BF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（1）参赛选手须在规定时间内提交符合要求的比赛资料，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需要志愿者协助的请提前告知承办单位。</w:t>
      </w:r>
    </w:p>
    <w:p w14:paraId="6E71FF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（2）参赛选手按照赛程安排和具体时间前往指定地点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，携带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参赛证、本人学生证和身份证参加比赛。</w:t>
      </w:r>
    </w:p>
    <w:p w14:paraId="563BBD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（3）参赛选手进行操作比赛前须检录。检录时应出示本人身份证及参赛证，检录合格后方可参赛。凡未按时检录或检录不合格者取消参赛资格。</w:t>
      </w:r>
    </w:p>
    <w:p w14:paraId="16B57C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（4）参赛选手须仪表规范，着装干净整洁，女选手可适度化妆以符合岗位要求。</w:t>
      </w:r>
    </w:p>
    <w:p w14:paraId="24D3F4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（5）参赛选手应自觉遵守赛场纪律，服从裁判、听从指挥。</w:t>
      </w:r>
    </w:p>
    <w:p w14:paraId="68AE28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2．比赛阶段</w:t>
      </w:r>
    </w:p>
    <w:p w14:paraId="532600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参赛选手须佩戴相关证件按照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规定时间进行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检录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后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进入比赛场地进行候场，在前一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组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选手完成比赛项目后，在工作人员带领下进入场地进行比赛。</w:t>
      </w:r>
    </w:p>
    <w:p w14:paraId="08B43F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）参赛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团队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在主持人宣布“计时开始”后开始展示。</w:t>
      </w:r>
    </w:p>
    <w:p w14:paraId="2D117A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）参赛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团队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在比赛中，不可出现所在院校及选手本人的任何信息。</w:t>
      </w:r>
    </w:p>
    <w:p w14:paraId="15B4DE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3．结束阶段</w:t>
      </w:r>
    </w:p>
    <w:p w14:paraId="7B7063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（1）参赛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团队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完成各项目后即可离开比赛现场。</w:t>
      </w:r>
    </w:p>
    <w:p w14:paraId="057EF7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）参赛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团队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在竞赛过程中须主动配合裁判的工作，服从裁判安排，如果对竞赛的裁决有异议，须通过领队以书面形式向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承办院校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提出申诉。</w:t>
      </w:r>
    </w:p>
    <w:p w14:paraId="5E1260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方正楷体_GB2312" w:hAnsi="方正楷体_GB2312" w:eastAsia="方正楷体_GB2312" w:cs="方正楷体_GB2312"/>
          <w:sz w:val="28"/>
          <w:szCs w:val="28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  <w:lang w:val="en-US" w:eastAsia="zh-CN"/>
        </w:rPr>
        <w:t>（三）工作人员须知</w:t>
      </w:r>
    </w:p>
    <w:p w14:paraId="645C8B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1．工作人员必须统一佩戴由大赛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工作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证件，着装整齐。</w:t>
      </w:r>
    </w:p>
    <w:p w14:paraId="7903B3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2．工作人员不得影响参赛选手比赛，不允许有影响比赛公平的行为。</w:t>
      </w:r>
    </w:p>
    <w:p w14:paraId="26A5E7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3．服从领导，听从指挥，以高度负责的精神、严肃认真的态度做好各项工作。</w:t>
      </w:r>
    </w:p>
    <w:p w14:paraId="761A2A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4．熟悉比赛规程，认真遵守各项比赛规则和工作要求。</w:t>
      </w:r>
    </w:p>
    <w:p w14:paraId="58BFA9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5．坚守岗位，如有急事需要离开岗位时，应经领导同意，并做好工作衔接。</w:t>
      </w:r>
    </w:p>
    <w:p w14:paraId="1D8CBE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．发扬无私奉献和团结协作的精神，提供热情、优质服务。</w:t>
      </w:r>
    </w:p>
    <w:p w14:paraId="63B0BCF7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九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、组织保障</w:t>
      </w:r>
    </w:p>
    <w:p w14:paraId="28F021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eastAsia="zh-CN"/>
        </w:rPr>
        <w:t>（一）精心组织实施。要进一步提高思想认识，健全组织机构，完善赛事制度，细化工作流程，强化条件保障，抓好组织实施，确保大赛顺利举办。</w:t>
      </w:r>
    </w:p>
    <w:p w14:paraId="599B6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eastAsia="zh-CN"/>
        </w:rPr>
        <w:t>（二）强化监督管理。严格落实裁判遴选标准，对裁判进行系统化培训，提升裁判执裁水平。畅通申诉投诉渠道，严格落实申诉投诉处理流程，对申诉投诉和争议问题及时进行调查处理。进一步强化对赛事全员、全过程的纪律监督。</w:t>
      </w:r>
    </w:p>
    <w:p w14:paraId="1A3BF0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eastAsia="zh-CN"/>
        </w:rPr>
        <w:t>（三）加强宣传引导。通过新媒体平台宣传获奖项目、优秀选手，以及大赛对促进职业教育高质量发展的重要意义，为大赛营造良好氛围。</w:t>
      </w:r>
    </w:p>
    <w:p w14:paraId="5EA1303F">
      <w:pPr>
        <w:pStyle w:val="4"/>
        <w:spacing w:before="172" w:line="333" w:lineRule="auto"/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napToGrid w:val="0"/>
          <w:color w:val="000000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6CC12D2-08B9-4EA4-85D7-D99DFC3261E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D86FF2B2-BC59-419B-908B-C267264D81D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18EEF6DE-6336-400C-B8CB-EC79CA01F774}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  <w:embedRegular r:id="rId4" w:fontKey="{C876A11D-0708-4305-9A89-824471E64342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54AB4868-488A-46A2-A863-F4572A57BFEC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8B57A78D-8C31-4429-A39B-F46FC06A4B7C}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  <w:embedRegular r:id="rId7" w:fontKey="{569A1414-9ACC-4C22-B10B-D6596FD73F52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8" w:fontKey="{76DE82E9-753D-4147-8E3A-854476F005C0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209C12"/>
    <w:multiLevelType w:val="singleLevel"/>
    <w:tmpl w:val="BC209C12"/>
    <w:lvl w:ilvl="0" w:tentative="0">
      <w:start w:val="2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01DF650F"/>
    <w:multiLevelType w:val="singleLevel"/>
    <w:tmpl w:val="01DF650F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836B5A"/>
    <w:rsid w:val="12A86E19"/>
    <w:rsid w:val="152E05A3"/>
    <w:rsid w:val="168F270A"/>
    <w:rsid w:val="213722C1"/>
    <w:rsid w:val="268E084C"/>
    <w:rsid w:val="439A2E12"/>
    <w:rsid w:val="498815D8"/>
    <w:rsid w:val="49C47E1B"/>
    <w:rsid w:val="543F6D6B"/>
    <w:rsid w:val="56836B5A"/>
    <w:rsid w:val="6E714927"/>
    <w:rsid w:val="6F227346"/>
    <w:rsid w:val="766F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  <w:rPr>
      <w:rFonts w:eastAsia="宋体"/>
      <w:sz w:val="21"/>
    </w:rPr>
  </w:style>
  <w:style w:type="paragraph" w:styleId="3">
    <w:name w:val="Body Text Indent"/>
    <w:basedOn w:val="1"/>
    <w:unhideWhenUsed/>
    <w:qFormat/>
    <w:uiPriority w:val="99"/>
    <w:pPr>
      <w:spacing w:after="120" w:afterLines="0" w:afterAutospacing="0"/>
      <w:ind w:left="420" w:leftChars="200"/>
    </w:pPr>
    <w:rPr>
      <w:rFonts w:eastAsia="宋体"/>
      <w:sz w:val="21"/>
    </w:rPr>
  </w:style>
  <w:style w:type="paragraph" w:styleId="4">
    <w:name w:val="Body Text"/>
    <w:basedOn w:val="1"/>
    <w:semiHidden/>
    <w:qFormat/>
    <w:uiPriority w:val="0"/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0"/>
      <w:sz w:val="18"/>
      <w:szCs w:val="18"/>
    </w:rPr>
  </w:style>
  <w:style w:type="character" w:styleId="8">
    <w:name w:val="page number"/>
    <w:qFormat/>
    <w:uiPriority w:val="0"/>
    <w:rPr>
      <w:rFonts w:ascii="Times New Roman" w:hAnsi="Times New Roman" w:eastAsia="宋体" w:cs="Times New Roman"/>
    </w:rPr>
  </w:style>
  <w:style w:type="paragraph" w:customStyle="1" w:styleId="9">
    <w:name w:val="Table Paragraph"/>
    <w:basedOn w:val="1"/>
    <w:qFormat/>
    <w:uiPriority w:val="1"/>
    <w:rPr>
      <w:rFonts w:ascii="仿宋" w:hAnsi="仿宋" w:eastAsia="仿宋" w:cs="仿宋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semiHidden/>
    <w:qFormat/>
    <w:uiPriority w:val="0"/>
    <w:rPr>
      <w:rFonts w:ascii="仿宋" w:hAnsi="仿宋" w:eastAsia="仿宋" w:cs="仿宋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1268</Words>
  <Characters>1387</Characters>
  <Lines>0</Lines>
  <Paragraphs>0</Paragraphs>
  <TotalTime>10</TotalTime>
  <ScaleCrop>false</ScaleCrop>
  <LinksUpToDate>false</LinksUpToDate>
  <CharactersWithSpaces>1397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2025-11-10T15:00:00Z</dcterms:created>
  <dc:creator>WPS_1480488946</dc:creator>
  <cp:lastModifiedBy>A杨</cp:lastModifiedBy>
  <dcterms:modified xsi:type="dcterms:W3CDTF">2025-11-18T04:59:25Z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4F89C7DBC20546C5B82DDCD312DAFAE1_13</vt:lpwstr>
  </property>
  <property fmtid="{D5CDD505-2E9C-101B-9397-08002B2CF9AE}" pid="4" name="KSOTemplateDocerSaveRecord">
    <vt:lpwstr>eyJoZGlkIjoiZjVkYTZmNjVkY2YzZWNlMTY2MThmNmUyMWRkMzU2MWUiLCJ1c2VySWQiOiI0MTY4NjMxNTcifQ==</vt:lpwstr>
  </property>
</Properties>
</file>