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contextualSpacing/>
        <w:jc w:val="center"/>
        <w:rPr>
          <w:rFonts w:hint="eastAsia" w:ascii="方正公文小标宋" w:hAnsi="方正公文小标宋" w:eastAsia="方正公文小标宋" w:cs="方正公文小标宋"/>
          <w:spacing w:val="-4"/>
          <w:sz w:val="36"/>
          <w:szCs w:val="36"/>
          <w:lang w:eastAsia="zh-CN"/>
        </w:rPr>
      </w:pPr>
      <w:r>
        <w:rPr>
          <w:rFonts w:hint="eastAsia" w:ascii="方正公文小标宋" w:hAnsi="方正公文小标宋" w:eastAsia="方正公文小标宋" w:cs="方正公文小标宋"/>
          <w:spacing w:val="-4"/>
          <w:sz w:val="36"/>
          <w:szCs w:val="36"/>
          <w:lang w:eastAsia="zh-CN"/>
        </w:rPr>
        <w:t>2025年海南省高等职业院校技能大赛</w:t>
      </w:r>
    </w:p>
    <w:p>
      <w:pPr>
        <w:spacing w:line="540" w:lineRule="exact"/>
        <w:contextualSpacing/>
        <w:jc w:val="center"/>
        <w:rPr>
          <w:rFonts w:hint="eastAsia" w:ascii="方正公文小标宋" w:hAnsi="方正公文小标宋" w:eastAsia="方正公文小标宋" w:cs="方正公文小标宋"/>
          <w:sz w:val="36"/>
          <w:szCs w:val="36"/>
          <w:lang w:eastAsia="zh-CN"/>
        </w:rPr>
      </w:pPr>
      <w:r>
        <w:rPr>
          <w:rFonts w:hint="eastAsia" w:ascii="方正公文小标宋" w:hAnsi="方正公文小标宋" w:eastAsia="方正公文小标宋" w:cs="方正公文小标宋"/>
          <w:spacing w:val="-4"/>
          <w:sz w:val="36"/>
          <w:szCs w:val="36"/>
          <w:lang w:eastAsia="zh-CN"/>
        </w:rPr>
        <w:t>幼儿教育技能赛项规程</w:t>
      </w:r>
    </w:p>
    <w:p>
      <w:pPr>
        <w:pStyle w:val="11"/>
        <w:spacing w:line="540" w:lineRule="exact"/>
        <w:contextualSpacing/>
        <w:rPr>
          <w:rFonts w:hint="eastAsia" w:ascii="方正公文小标宋" w:hAnsi="方正公文小标宋" w:eastAsia="方正公文小标宋" w:cs="方正公文小标宋"/>
          <w:sz w:val="36"/>
          <w:szCs w:val="36"/>
        </w:rPr>
      </w:pPr>
    </w:p>
    <w:p>
      <w:pPr>
        <w:numPr>
          <w:ilvl w:val="0"/>
          <w:numId w:val="1"/>
        </w:numPr>
        <w:spacing w:line="540" w:lineRule="exact"/>
        <w:ind w:left="567"/>
        <w:contextualSpacing/>
        <w:rPr>
          <w:rFonts w:hint="eastAsia" w:ascii="黑体" w:hAnsi="黑体" w:eastAsia="黑体" w:cs="黑体"/>
          <w:spacing w:val="-8"/>
          <w:sz w:val="28"/>
          <w:szCs w:val="28"/>
          <w:lang w:eastAsia="zh-CN"/>
        </w:rPr>
      </w:pPr>
      <w:r>
        <w:rPr>
          <w:rFonts w:hint="eastAsia" w:ascii="黑体" w:hAnsi="黑体" w:eastAsia="黑体" w:cs="黑体"/>
          <w:spacing w:val="-8"/>
          <w:sz w:val="28"/>
          <w:szCs w:val="28"/>
          <w:lang w:eastAsia="zh-CN"/>
        </w:rPr>
        <w:t>赛</w:t>
      </w:r>
      <w:r>
        <w:rPr>
          <w:rFonts w:hint="eastAsia" w:ascii="黑体" w:hAnsi="黑体" w:eastAsia="黑体" w:cs="黑体"/>
          <w:spacing w:val="-8"/>
          <w:sz w:val="28"/>
          <w:szCs w:val="28"/>
          <w:lang w:val="en-US" w:eastAsia="zh-CN"/>
        </w:rPr>
        <w:t>事</w:t>
      </w:r>
      <w:r>
        <w:rPr>
          <w:rFonts w:hint="eastAsia" w:ascii="黑体" w:hAnsi="黑体" w:eastAsia="黑体" w:cs="黑体"/>
          <w:spacing w:val="-8"/>
          <w:sz w:val="28"/>
          <w:szCs w:val="28"/>
          <w:lang w:eastAsia="zh-CN"/>
        </w:rPr>
        <w:t>名称</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 xml:space="preserve">赛道名称：教育与体育赛道 </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赛</w:t>
      </w:r>
      <w:r>
        <w:rPr>
          <w:rFonts w:hint="eastAsia" w:ascii="仿宋_GB2312" w:hAnsi="Times New Roman" w:eastAsia="仿宋_GB2312" w:cs="Times New Roman"/>
          <w:spacing w:val="2"/>
          <w:sz w:val="28"/>
          <w:szCs w:val="28"/>
          <w:lang w:eastAsia="zh-CN"/>
        </w:rPr>
        <w:t>项名称</w:t>
      </w:r>
      <w:r>
        <w:rPr>
          <w:rFonts w:ascii="仿宋_GB2312" w:hAnsi="Times New Roman" w:eastAsia="仿宋_GB2312" w:cs="Times New Roman"/>
          <w:spacing w:val="2"/>
          <w:sz w:val="28"/>
          <w:szCs w:val="28"/>
          <w:lang w:eastAsia="zh-CN"/>
        </w:rPr>
        <w:t>：</w:t>
      </w:r>
      <w:r>
        <w:rPr>
          <w:rFonts w:hint="eastAsia" w:ascii="仿宋_GB2312" w:hAnsi="Times New Roman" w:eastAsia="仿宋_GB2312" w:cs="Times New Roman"/>
          <w:spacing w:val="2"/>
          <w:sz w:val="28"/>
          <w:szCs w:val="28"/>
          <w:lang w:eastAsia="zh-CN"/>
        </w:rPr>
        <w:t>幼儿教育技能</w:t>
      </w:r>
      <w:r>
        <w:rPr>
          <w:rFonts w:ascii="仿宋_GB2312" w:hAnsi="Times New Roman" w:eastAsia="仿宋_GB2312" w:cs="Times New Roman"/>
          <w:spacing w:val="2"/>
          <w:sz w:val="28"/>
          <w:szCs w:val="28"/>
          <w:lang w:eastAsia="zh-CN"/>
        </w:rPr>
        <w:t xml:space="preserve"> </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赛项归属产业：</w:t>
      </w:r>
      <w:r>
        <w:rPr>
          <w:rFonts w:hint="eastAsia" w:ascii="仿宋_GB2312" w:hAnsi="Times New Roman" w:eastAsia="仿宋_GB2312" w:cs="Times New Roman"/>
          <w:spacing w:val="2"/>
          <w:sz w:val="28"/>
          <w:szCs w:val="28"/>
          <w:lang w:val="en-US" w:eastAsia="zh-CN"/>
        </w:rPr>
        <w:t>学前</w:t>
      </w:r>
      <w:r>
        <w:rPr>
          <w:rFonts w:ascii="仿宋_GB2312" w:hAnsi="Times New Roman" w:eastAsia="仿宋_GB2312" w:cs="Times New Roman"/>
          <w:spacing w:val="2"/>
          <w:sz w:val="28"/>
          <w:szCs w:val="28"/>
          <w:lang w:eastAsia="zh-CN"/>
        </w:rPr>
        <w:t>教育</w:t>
      </w:r>
    </w:p>
    <w:p>
      <w:pPr>
        <w:numPr>
          <w:ilvl w:val="0"/>
          <w:numId w:val="1"/>
        </w:numPr>
        <w:spacing w:line="540" w:lineRule="exact"/>
        <w:ind w:left="566"/>
        <w:contextualSpacing/>
        <w:rPr>
          <w:rFonts w:hint="eastAsia" w:ascii="黑体" w:hAnsi="黑体" w:eastAsia="黑体" w:cs="黑体"/>
          <w:spacing w:val="-8"/>
          <w:sz w:val="28"/>
          <w:szCs w:val="28"/>
          <w:lang w:eastAsia="zh-CN"/>
        </w:rPr>
      </w:pPr>
      <w:r>
        <w:rPr>
          <w:rFonts w:hint="eastAsia" w:ascii="黑体" w:hAnsi="黑体" w:eastAsia="黑体" w:cs="黑体"/>
          <w:spacing w:val="-8"/>
          <w:sz w:val="28"/>
          <w:szCs w:val="28"/>
          <w:lang w:eastAsia="zh-CN"/>
        </w:rPr>
        <w:t>赛事概述</w:t>
      </w:r>
    </w:p>
    <w:p>
      <w:pPr>
        <w:spacing w:line="540" w:lineRule="exact"/>
        <w:ind w:left="565"/>
        <w:contextualSpacing/>
        <w:outlineLvl w:val="2"/>
        <w:rPr>
          <w:rFonts w:hint="eastAsia" w:ascii="楷体_GB2312" w:hAnsi="楷体" w:eastAsia="楷体_GB2312" w:cs="楷体"/>
          <w:sz w:val="28"/>
          <w:szCs w:val="28"/>
        </w:rPr>
      </w:pPr>
      <w:r>
        <w:rPr>
          <w:rFonts w:hint="eastAsia" w:ascii="楷体_GB2312" w:hAnsi="Times New Roman" w:eastAsia="楷体_GB2312" w:cs="Times New Roman"/>
          <w:b/>
          <w:bCs/>
          <w:spacing w:val="-5"/>
          <w:sz w:val="28"/>
          <w:szCs w:val="28"/>
          <w:lang w:eastAsia="zh-CN"/>
        </w:rPr>
        <w:t>（一）</w:t>
      </w:r>
      <w:r>
        <w:rPr>
          <w:rFonts w:hint="eastAsia" w:ascii="楷体_GB2312" w:hAnsi="楷体" w:eastAsia="楷体_GB2312" w:cs="楷体"/>
          <w:b/>
          <w:bCs/>
          <w:spacing w:val="-5"/>
          <w:sz w:val="28"/>
          <w:szCs w:val="28"/>
        </w:rPr>
        <w:t>赛</w:t>
      </w:r>
      <w:r>
        <w:rPr>
          <w:rFonts w:hint="eastAsia" w:ascii="楷体_GB2312" w:hAnsi="楷体" w:eastAsia="楷体_GB2312" w:cs="楷体"/>
          <w:b/>
          <w:bCs/>
          <w:spacing w:val="-5"/>
          <w:sz w:val="28"/>
          <w:szCs w:val="28"/>
          <w:lang w:eastAsia="zh-CN"/>
        </w:rPr>
        <w:t>事</w:t>
      </w:r>
      <w:r>
        <w:rPr>
          <w:rFonts w:hint="eastAsia" w:ascii="楷体_GB2312" w:hAnsi="楷体" w:eastAsia="楷体_GB2312" w:cs="楷体"/>
          <w:b/>
          <w:bCs/>
          <w:spacing w:val="-5"/>
          <w:sz w:val="28"/>
          <w:szCs w:val="28"/>
        </w:rPr>
        <w:t>意义</w:t>
      </w:r>
    </w:p>
    <w:p>
      <w:pPr>
        <w:spacing w:line="540" w:lineRule="exact"/>
        <w:ind w:firstLine="568" w:firstLineChars="200"/>
        <w:jc w:val="both"/>
        <w:rPr>
          <w:rFonts w:hint="eastAsia" w:ascii="仿宋_GB2312" w:hAnsi="仿宋" w:eastAsia="仿宋_GB2312" w:cs="仿宋"/>
          <w:sz w:val="28"/>
          <w:szCs w:val="28"/>
          <w:lang w:eastAsia="zh-CN"/>
        </w:rPr>
      </w:pPr>
      <w:r>
        <w:rPr>
          <w:rFonts w:hint="eastAsia" w:ascii="仿宋_GB2312" w:hAnsi="Times New Roman" w:eastAsia="仿宋_GB2312" w:cs="Times New Roman"/>
          <w:spacing w:val="2"/>
          <w:sz w:val="28"/>
          <w:szCs w:val="28"/>
          <w:lang w:eastAsia="zh-CN"/>
        </w:rPr>
        <w:t>2025</w:t>
      </w:r>
      <w:r>
        <w:rPr>
          <w:rFonts w:hint="eastAsia" w:ascii="仿宋_GB2312" w:hAnsi="仿宋" w:eastAsia="仿宋_GB2312" w:cs="仿宋"/>
          <w:spacing w:val="2"/>
          <w:sz w:val="28"/>
          <w:szCs w:val="28"/>
          <w:lang w:eastAsia="zh-CN"/>
        </w:rPr>
        <w:t>年海南省高等职业院校技能大赛</w:t>
      </w:r>
      <w:r>
        <w:rPr>
          <w:rFonts w:hint="eastAsia" w:ascii="仿宋_GB2312" w:hAnsi="仿宋" w:eastAsia="仿宋_GB2312" w:cs="仿宋"/>
          <w:spacing w:val="-1"/>
          <w:sz w:val="28"/>
          <w:szCs w:val="28"/>
          <w:lang w:eastAsia="zh-CN"/>
        </w:rPr>
        <w:t>幼儿教育技</w:t>
      </w:r>
      <w:r>
        <w:rPr>
          <w:rFonts w:hint="eastAsia" w:ascii="仿宋_GB2312" w:hAnsi="仿宋" w:eastAsia="仿宋_GB2312" w:cs="仿宋"/>
          <w:spacing w:val="-2"/>
          <w:sz w:val="28"/>
          <w:szCs w:val="28"/>
          <w:lang w:eastAsia="zh-CN"/>
        </w:rPr>
        <w:t>能</w:t>
      </w:r>
      <w:r>
        <w:rPr>
          <w:rFonts w:hint="eastAsia" w:ascii="仿宋_GB2312" w:hAnsi="仿宋" w:eastAsia="仿宋_GB2312" w:cs="仿宋"/>
          <w:spacing w:val="-1"/>
          <w:sz w:val="28"/>
          <w:szCs w:val="28"/>
          <w:lang w:eastAsia="zh-CN"/>
        </w:rPr>
        <w:t>竞赛，搭建起</w:t>
      </w:r>
      <w:r>
        <w:rPr>
          <w:rFonts w:hint="eastAsia" w:ascii="仿宋_GB2312" w:hAnsi="仿宋" w:eastAsia="仿宋_GB2312" w:cs="仿宋"/>
          <w:spacing w:val="-1"/>
          <w:sz w:val="28"/>
          <w:szCs w:val="28"/>
          <w:lang w:val="en-US" w:eastAsia="zh-CN"/>
        </w:rPr>
        <w:t>了</w:t>
      </w:r>
      <w:r>
        <w:rPr>
          <w:rFonts w:hint="eastAsia" w:ascii="仿宋_GB2312" w:hAnsi="仿宋" w:eastAsia="仿宋_GB2312" w:cs="仿宋"/>
          <w:spacing w:val="-1"/>
          <w:sz w:val="28"/>
          <w:szCs w:val="28"/>
          <w:lang w:eastAsia="zh-CN"/>
        </w:rPr>
        <w:t>海南省高等职业院校师生技能展示</w:t>
      </w:r>
      <w:r>
        <w:rPr>
          <w:rFonts w:hint="eastAsia" w:ascii="仿宋_GB2312" w:hAnsi="仿宋" w:eastAsia="仿宋_GB2312" w:cs="仿宋"/>
          <w:spacing w:val="-2"/>
          <w:sz w:val="28"/>
          <w:szCs w:val="28"/>
          <w:lang w:eastAsia="zh-CN"/>
        </w:rPr>
        <w:t>与交流的桥梁，展现了职业</w:t>
      </w:r>
      <w:r>
        <w:rPr>
          <w:rFonts w:hint="eastAsia" w:ascii="仿宋_GB2312" w:hAnsi="仿宋" w:eastAsia="仿宋_GB2312" w:cs="仿宋"/>
          <w:spacing w:val="-1"/>
          <w:sz w:val="28"/>
          <w:szCs w:val="28"/>
          <w:lang w:eastAsia="zh-CN"/>
        </w:rPr>
        <w:t>教育在民生领域的育人成果。赛事强调“真问题、真场景”的技能应用，通过真实岗位需求的模拟考核，推动职业教育教学标准与</w:t>
      </w:r>
      <w:r>
        <w:rPr>
          <w:rFonts w:hint="eastAsia" w:ascii="仿宋_GB2312" w:hAnsi="仿宋" w:eastAsia="仿宋_GB2312" w:cs="仿宋"/>
          <w:spacing w:val="-2"/>
          <w:sz w:val="28"/>
          <w:szCs w:val="28"/>
          <w:lang w:eastAsia="zh-CN"/>
        </w:rPr>
        <w:t>行业标准的深度融合，助力培养兼具</w:t>
      </w:r>
      <w:r>
        <w:rPr>
          <w:rFonts w:hint="eastAsia" w:ascii="仿宋_GB2312" w:hAnsi="仿宋" w:eastAsia="仿宋_GB2312" w:cs="仿宋"/>
          <w:spacing w:val="-1"/>
          <w:sz w:val="28"/>
          <w:szCs w:val="28"/>
          <w:lang w:eastAsia="zh-CN"/>
        </w:rPr>
        <w:t>专业能力与职业素养的复合型人才。</w:t>
      </w:r>
    </w:p>
    <w:p>
      <w:pPr>
        <w:spacing w:line="540" w:lineRule="exact"/>
        <w:ind w:firstLine="552" w:firstLineChars="200"/>
        <w:jc w:val="both"/>
        <w:rPr>
          <w:rFonts w:hint="eastAsia" w:ascii="仿宋_GB2312" w:hAnsi="仿宋" w:eastAsia="仿宋_GB2312" w:cs="仿宋"/>
          <w:spacing w:val="-1"/>
          <w:sz w:val="28"/>
          <w:szCs w:val="28"/>
          <w:lang w:eastAsia="zh-CN"/>
        </w:rPr>
      </w:pPr>
      <w:r>
        <w:rPr>
          <w:rFonts w:hint="eastAsia" w:ascii="仿宋_GB2312" w:hAnsi="仿宋" w:eastAsia="仿宋_GB2312" w:cs="仿宋"/>
          <w:spacing w:val="-2"/>
          <w:sz w:val="28"/>
          <w:szCs w:val="28"/>
          <w:lang w:eastAsia="zh-CN"/>
        </w:rPr>
        <w:t>本大赛办赛规模和影响力持续提升，大赛成果不断转化为专业人才培养方案、课程和教学内容，有效推进了校企合作和实习实训基地建设，在引领职业教育</w:t>
      </w:r>
      <w:r>
        <w:rPr>
          <w:rFonts w:hint="eastAsia" w:ascii="仿宋_GB2312" w:hAnsi="Times New Roman" w:eastAsia="仿宋_GB2312" w:cs="Times New Roman"/>
          <w:spacing w:val="-2"/>
          <w:sz w:val="28"/>
          <w:szCs w:val="28"/>
          <w:lang w:eastAsia="zh-CN"/>
        </w:rPr>
        <w:t>“</w:t>
      </w:r>
      <w:r>
        <w:rPr>
          <w:rFonts w:hint="eastAsia" w:ascii="仿宋_GB2312" w:hAnsi="Times New Roman" w:eastAsia="仿宋_GB2312" w:cs="Times New Roman"/>
          <w:spacing w:val="-36"/>
          <w:sz w:val="28"/>
          <w:szCs w:val="28"/>
          <w:lang w:eastAsia="zh-CN"/>
        </w:rPr>
        <w:t xml:space="preserve"> </w:t>
      </w:r>
      <w:r>
        <w:rPr>
          <w:rFonts w:hint="eastAsia" w:ascii="仿宋_GB2312" w:hAnsi="仿宋" w:eastAsia="仿宋_GB2312" w:cs="仿宋"/>
          <w:spacing w:val="-2"/>
          <w:sz w:val="28"/>
          <w:szCs w:val="28"/>
          <w:lang w:eastAsia="zh-CN"/>
        </w:rPr>
        <w:t>三</w:t>
      </w:r>
      <w:r>
        <w:rPr>
          <w:rFonts w:hint="eastAsia" w:ascii="仿宋_GB2312" w:hAnsi="仿宋" w:eastAsia="仿宋_GB2312" w:cs="仿宋"/>
          <w:spacing w:val="-3"/>
          <w:sz w:val="28"/>
          <w:szCs w:val="28"/>
          <w:lang w:eastAsia="zh-CN"/>
        </w:rPr>
        <w:t>教</w:t>
      </w:r>
      <w:r>
        <w:rPr>
          <w:rFonts w:hint="eastAsia" w:ascii="仿宋_GB2312" w:hAnsi="Times New Roman" w:eastAsia="仿宋_GB2312" w:cs="Times New Roman"/>
          <w:spacing w:val="-3"/>
          <w:sz w:val="28"/>
          <w:szCs w:val="28"/>
          <w:lang w:eastAsia="zh-CN"/>
        </w:rPr>
        <w:t>”</w:t>
      </w:r>
      <w:r>
        <w:rPr>
          <w:rFonts w:hint="eastAsia" w:ascii="仿宋_GB2312" w:hAnsi="Times New Roman" w:eastAsia="仿宋_GB2312" w:cs="Times New Roman"/>
          <w:spacing w:val="-31"/>
          <w:sz w:val="28"/>
          <w:szCs w:val="28"/>
          <w:lang w:eastAsia="zh-CN"/>
        </w:rPr>
        <w:t xml:space="preserve"> </w:t>
      </w:r>
      <w:r>
        <w:rPr>
          <w:rFonts w:hint="eastAsia" w:ascii="仿宋_GB2312" w:hAnsi="仿宋" w:eastAsia="仿宋_GB2312" w:cs="仿宋"/>
          <w:spacing w:val="-3"/>
          <w:sz w:val="28"/>
          <w:szCs w:val="28"/>
          <w:lang w:eastAsia="zh-CN"/>
        </w:rPr>
        <w:t>改</w:t>
      </w:r>
      <w:r>
        <w:rPr>
          <w:rFonts w:hint="eastAsia" w:ascii="仿宋_GB2312" w:hAnsi="仿宋" w:eastAsia="仿宋_GB2312" w:cs="仿宋"/>
          <w:spacing w:val="-1"/>
          <w:sz w:val="28"/>
          <w:szCs w:val="28"/>
          <w:lang w:eastAsia="zh-CN"/>
        </w:rPr>
        <w:t>革、提高技术技能人才培养质量、促进高质量就</w:t>
      </w:r>
      <w:r>
        <w:rPr>
          <w:rFonts w:hint="eastAsia" w:ascii="仿宋_GB2312" w:hAnsi="仿宋" w:eastAsia="仿宋_GB2312" w:cs="仿宋"/>
          <w:spacing w:val="-2"/>
          <w:sz w:val="28"/>
          <w:szCs w:val="28"/>
          <w:lang w:eastAsia="zh-CN"/>
        </w:rPr>
        <w:t>业、服务经济社会发展、助力职</w:t>
      </w:r>
      <w:r>
        <w:rPr>
          <w:rFonts w:hint="eastAsia" w:ascii="仿宋_GB2312" w:hAnsi="仿宋" w:eastAsia="仿宋_GB2312" w:cs="仿宋"/>
          <w:spacing w:val="-1"/>
          <w:sz w:val="28"/>
          <w:szCs w:val="28"/>
          <w:lang w:eastAsia="zh-CN"/>
        </w:rPr>
        <w:t>业教育交流合作等方面发挥了重要作用，已经成</w:t>
      </w:r>
      <w:r>
        <w:rPr>
          <w:rFonts w:hint="eastAsia" w:ascii="仿宋_GB2312" w:hAnsi="仿宋" w:eastAsia="仿宋_GB2312" w:cs="仿宋"/>
          <w:spacing w:val="-2"/>
          <w:sz w:val="28"/>
          <w:szCs w:val="28"/>
          <w:lang w:eastAsia="zh-CN"/>
        </w:rPr>
        <w:t>为广大职教师生展示风采、追梦圆梦</w:t>
      </w:r>
      <w:r>
        <w:rPr>
          <w:rFonts w:hint="eastAsia" w:ascii="仿宋_GB2312" w:hAnsi="仿宋" w:eastAsia="仿宋_GB2312" w:cs="仿宋"/>
          <w:spacing w:val="-1"/>
          <w:sz w:val="28"/>
          <w:szCs w:val="28"/>
          <w:lang w:eastAsia="zh-CN"/>
        </w:rPr>
        <w:t>的重要舞台。</w:t>
      </w:r>
    </w:p>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hint="eastAsia" w:ascii="楷体_GB2312" w:hAnsi="Times New Roman" w:eastAsia="楷体_GB2312" w:cs="Times New Roman"/>
          <w:b/>
          <w:bCs/>
          <w:spacing w:val="-5"/>
          <w:sz w:val="28"/>
          <w:szCs w:val="28"/>
          <w:lang w:eastAsia="zh-CN"/>
        </w:rPr>
        <w:t>（二）</w:t>
      </w:r>
      <w:r>
        <w:rPr>
          <w:rFonts w:ascii="楷体_GB2312" w:hAnsi="Times New Roman" w:eastAsia="楷体_GB2312" w:cs="Times New Roman"/>
          <w:b/>
          <w:bCs/>
          <w:spacing w:val="-5"/>
          <w:sz w:val="28"/>
          <w:szCs w:val="28"/>
          <w:lang w:eastAsia="zh-CN"/>
        </w:rPr>
        <w:t>赛</w:t>
      </w:r>
      <w:r>
        <w:rPr>
          <w:rFonts w:hint="eastAsia" w:ascii="楷体_GB2312" w:hAnsi="Times New Roman" w:eastAsia="楷体_GB2312" w:cs="Times New Roman"/>
          <w:b/>
          <w:bCs/>
          <w:spacing w:val="-5"/>
          <w:sz w:val="28"/>
          <w:szCs w:val="28"/>
          <w:lang w:eastAsia="zh-CN"/>
        </w:rPr>
        <w:t>事</w:t>
      </w:r>
      <w:r>
        <w:rPr>
          <w:rFonts w:ascii="楷体_GB2312" w:hAnsi="Times New Roman" w:eastAsia="楷体_GB2312" w:cs="Times New Roman"/>
          <w:b/>
          <w:bCs/>
          <w:spacing w:val="-5"/>
          <w:sz w:val="28"/>
          <w:szCs w:val="28"/>
          <w:lang w:eastAsia="zh-CN"/>
        </w:rPr>
        <w:t>内容</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参赛队伍依据赛项设置，结合所学专业和教育教学实际，围绕生产、管理、服务一线真问题、真场景，自主确定参赛项目名称，自主设计参赛项目内容，自主选择参赛设备，展示真技能。</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参赛队根据工作任务，按团队成员分工，同步进行技能操作和现场讲解。技能操作重点展示专业技能熟练程度、规范程度以及解决技术难题的创新能力，现场讲解主要介绍总体思路、技能要点、主要成果、项目创新等。时长可由各参赛队伍根据项目实际需要确定，不超过 1 小时。竞赛内容应围绕“技能水平、职业素养、应用价值、团队合作、创新创意”要素设计，突出能力导向、解决实际问题、体现创新因素、确保可评可比。</w:t>
      </w:r>
    </w:p>
    <w:p>
      <w:pPr>
        <w:spacing w:before="211" w:line="540" w:lineRule="exact"/>
        <w:ind w:left="565"/>
        <w:contextualSpacing/>
        <w:outlineLvl w:val="2"/>
        <w:rPr>
          <w:rFonts w:ascii="楷体_GB2312" w:hAnsi="Times New Roman" w:eastAsia="楷体_GB2312" w:cs="Times New Roman"/>
          <w:b/>
          <w:bCs/>
          <w:spacing w:val="-5"/>
          <w:sz w:val="28"/>
          <w:szCs w:val="28"/>
          <w:lang w:eastAsia="zh-CN"/>
        </w:rPr>
      </w:pPr>
      <w:r>
        <w:rPr>
          <w:rFonts w:hint="eastAsia" w:ascii="楷体_GB2312" w:hAnsi="Times New Roman" w:eastAsia="楷体_GB2312" w:cs="Times New Roman"/>
          <w:b/>
          <w:bCs/>
          <w:spacing w:val="-5"/>
          <w:sz w:val="28"/>
          <w:szCs w:val="28"/>
          <w:lang w:eastAsia="zh-CN"/>
        </w:rPr>
        <w:t>（三）</w:t>
      </w:r>
      <w:r>
        <w:rPr>
          <w:rFonts w:ascii="楷体_GB2312" w:hAnsi="Times New Roman" w:eastAsia="楷体_GB2312" w:cs="Times New Roman"/>
          <w:b/>
          <w:bCs/>
          <w:spacing w:val="-5"/>
          <w:sz w:val="28"/>
          <w:szCs w:val="28"/>
          <w:lang w:eastAsia="zh-CN"/>
        </w:rPr>
        <w:t>赛</w:t>
      </w:r>
      <w:r>
        <w:rPr>
          <w:rFonts w:hint="eastAsia" w:ascii="楷体_GB2312" w:hAnsi="Times New Roman" w:eastAsia="楷体_GB2312" w:cs="Times New Roman"/>
          <w:b/>
          <w:bCs/>
          <w:spacing w:val="-5"/>
          <w:sz w:val="28"/>
          <w:szCs w:val="28"/>
          <w:lang w:eastAsia="zh-CN"/>
        </w:rPr>
        <w:t>事</w:t>
      </w:r>
      <w:r>
        <w:rPr>
          <w:rFonts w:ascii="楷体_GB2312" w:hAnsi="Times New Roman" w:eastAsia="楷体_GB2312" w:cs="Times New Roman"/>
          <w:b/>
          <w:bCs/>
          <w:spacing w:val="-5"/>
          <w:sz w:val="28"/>
          <w:szCs w:val="28"/>
          <w:lang w:eastAsia="zh-CN"/>
        </w:rPr>
        <w:t>目标</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教育与体育大类赛道以习近平新时代中国特色社会主义思想为指导，认真贯彻落实全国职业教育大会精神，以提升职业院校师生技术技能水平、培育工匠精神、创新意识为宗旨，以解决生产一线实际问题、促进职业教育专业建设和教学改革、提高教育教学质量、培养高素质技术技能人才为导向，重点提升参赛选手的职业行动能力、迁移能力及可持续发展能力。通过对接学前教</w:t>
      </w:r>
      <w:r>
        <w:rPr>
          <w:rFonts w:hint="eastAsia" w:ascii="仿宋_GB2312" w:hAnsi="Times New Roman" w:eastAsia="仿宋_GB2312" w:cs="Times New Roman"/>
          <w:spacing w:val="2"/>
          <w:sz w:val="28"/>
          <w:szCs w:val="28"/>
          <w:lang w:eastAsia="zh-CN"/>
        </w:rPr>
        <w:t>育</w:t>
      </w:r>
      <w:r>
        <w:rPr>
          <w:rFonts w:ascii="仿宋_GB2312" w:hAnsi="Times New Roman" w:eastAsia="仿宋_GB2312" w:cs="Times New Roman"/>
          <w:spacing w:val="2"/>
          <w:sz w:val="28"/>
          <w:szCs w:val="28"/>
          <w:lang w:eastAsia="zh-CN"/>
        </w:rPr>
        <w:t>的产业需求，赛</w:t>
      </w:r>
      <w:r>
        <w:rPr>
          <w:rFonts w:hint="eastAsia" w:ascii="仿宋_GB2312" w:hAnsi="Times New Roman" w:eastAsia="仿宋_GB2312" w:cs="Times New Roman"/>
          <w:spacing w:val="2"/>
          <w:sz w:val="28"/>
          <w:szCs w:val="28"/>
          <w:lang w:eastAsia="zh-CN"/>
        </w:rPr>
        <w:t>项</w:t>
      </w:r>
      <w:r>
        <w:rPr>
          <w:rFonts w:ascii="仿宋_GB2312" w:hAnsi="Times New Roman" w:eastAsia="仿宋_GB2312" w:cs="Times New Roman"/>
          <w:spacing w:val="2"/>
          <w:sz w:val="28"/>
          <w:szCs w:val="28"/>
          <w:lang w:eastAsia="zh-CN"/>
        </w:rPr>
        <w:t>设置既注重考查专业技能的熟练度与规范性，也强调团队协作、创新创意等综合素养，引导职业院校优化人才培养方案制定。同时，赛事创新引入技术先进性、经济性与可持续性等评分维度，推动教育链、人才链与产业链的有效衔接，为区域经济社会高质量发展输送高素质技术技能人才。</w:t>
      </w:r>
    </w:p>
    <w:p>
      <w:pPr>
        <w:spacing w:line="540" w:lineRule="exact"/>
        <w:ind w:firstLine="568" w:firstLineChars="200"/>
        <w:jc w:val="both"/>
        <w:rPr>
          <w:rFonts w:ascii="仿宋_GB2312" w:hAnsi="Times New Roman" w:eastAsia="仿宋_GB2312" w:cs="Times New Roman"/>
          <w:spacing w:val="2"/>
          <w:sz w:val="28"/>
          <w:szCs w:val="28"/>
          <w:lang w:eastAsia="zh-CN"/>
        </w:rPr>
      </w:pPr>
    </w:p>
    <w:p>
      <w:pPr>
        <w:spacing w:line="540" w:lineRule="exact"/>
        <w:ind w:firstLine="568" w:firstLineChars="200"/>
        <w:jc w:val="both"/>
        <w:rPr>
          <w:rFonts w:ascii="仿宋_GB2312" w:hAnsi="Times New Roman" w:eastAsia="仿宋_GB2312" w:cs="Times New Roman"/>
          <w:spacing w:val="2"/>
          <w:sz w:val="28"/>
          <w:szCs w:val="28"/>
          <w:lang w:eastAsia="zh-CN"/>
        </w:rPr>
      </w:pPr>
    </w:p>
    <w:p>
      <w:pPr>
        <w:spacing w:line="540" w:lineRule="exact"/>
        <w:ind w:firstLine="568" w:firstLineChars="200"/>
        <w:jc w:val="both"/>
        <w:rPr>
          <w:rFonts w:ascii="仿宋_GB2312" w:hAnsi="Times New Roman" w:eastAsia="仿宋_GB2312" w:cs="Times New Roman"/>
          <w:spacing w:val="2"/>
          <w:sz w:val="28"/>
          <w:szCs w:val="28"/>
          <w:lang w:eastAsia="zh-CN"/>
        </w:rPr>
      </w:pPr>
    </w:p>
    <w:p>
      <w:pPr>
        <w:spacing w:line="540" w:lineRule="exact"/>
        <w:ind w:firstLine="568" w:firstLineChars="200"/>
        <w:jc w:val="both"/>
        <w:rPr>
          <w:rFonts w:ascii="仿宋_GB2312" w:hAnsi="Times New Roman" w:eastAsia="仿宋_GB2312" w:cs="Times New Roman"/>
          <w:spacing w:val="2"/>
          <w:sz w:val="28"/>
          <w:szCs w:val="28"/>
          <w:lang w:eastAsia="zh-CN"/>
        </w:rPr>
      </w:pPr>
    </w:p>
    <w:p>
      <w:pPr>
        <w:spacing w:line="540" w:lineRule="exact"/>
        <w:ind w:firstLine="568" w:firstLineChars="200"/>
        <w:jc w:val="both"/>
        <w:rPr>
          <w:rFonts w:ascii="仿宋_GB2312" w:hAnsi="Times New Roman" w:eastAsia="仿宋_GB2312" w:cs="Times New Roman"/>
          <w:spacing w:val="2"/>
          <w:sz w:val="28"/>
          <w:szCs w:val="28"/>
          <w:lang w:eastAsia="zh-CN"/>
        </w:rPr>
      </w:pPr>
    </w:p>
    <w:p>
      <w:pPr>
        <w:numPr>
          <w:ilvl w:val="0"/>
          <w:numId w:val="1"/>
        </w:numPr>
        <w:spacing w:line="540" w:lineRule="exact"/>
        <w:ind w:left="567"/>
        <w:contextualSpacing/>
        <w:rPr>
          <w:rFonts w:hint="eastAsia" w:ascii="黑体" w:hAnsi="黑体" w:eastAsia="黑体" w:cs="黑体"/>
          <w:spacing w:val="-8"/>
          <w:sz w:val="28"/>
          <w:szCs w:val="28"/>
          <w:lang w:eastAsia="zh-CN"/>
        </w:rPr>
      </w:pPr>
      <w:r>
        <w:rPr>
          <w:rFonts w:hint="eastAsia" w:ascii="黑体" w:hAnsi="黑体" w:eastAsia="黑体" w:cs="黑体"/>
          <w:spacing w:val="-8"/>
          <w:sz w:val="28"/>
          <w:szCs w:val="28"/>
          <w:lang w:eastAsia="zh-CN"/>
        </w:rPr>
        <w:t>赛事组织流程</w:t>
      </w:r>
    </w:p>
    <w:p>
      <w:pPr>
        <w:numPr>
          <w:ilvl w:val="0"/>
          <w:numId w:val="0"/>
        </w:numPr>
        <w:spacing w:line="540" w:lineRule="exact"/>
        <w:contextualSpacing/>
        <w:rPr>
          <w:rFonts w:hint="eastAsia" w:ascii="黑体" w:hAnsi="黑体" w:eastAsia="黑体" w:cs="黑体"/>
          <w:spacing w:val="-8"/>
          <w:sz w:val="28"/>
          <w:szCs w:val="28"/>
          <w:lang w:eastAsia="zh-CN"/>
        </w:rPr>
      </w:pPr>
    </w:p>
    <w:p>
      <w:pPr>
        <w:spacing w:before="239" w:line="240" w:lineRule="auto"/>
        <w:contextualSpacing/>
        <w:jc w:val="center"/>
        <w:rPr>
          <w:rFonts w:hint="eastAsia" w:ascii="黑体" w:hAnsi="黑体" w:eastAsia="黑体" w:cs="黑体"/>
          <w:spacing w:val="-9"/>
          <w:sz w:val="24"/>
          <w:szCs w:val="24"/>
          <w:lang w:eastAsia="zh-CN"/>
        </w:rPr>
      </w:pPr>
      <w:r>
        <w:rPr>
          <w:rFonts w:hint="eastAsia" w:ascii="黑体" w:hAnsi="黑体" w:eastAsia="黑体" w:cs="黑体"/>
          <w:spacing w:val="-9"/>
          <w:sz w:val="24"/>
          <w:szCs w:val="24"/>
          <w:lang w:eastAsia="zh-CN"/>
        </w:rPr>
        <w:drawing>
          <wp:inline distT="0" distB="0" distL="114300" distR="114300">
            <wp:extent cx="4641850" cy="5323205"/>
            <wp:effectExtent l="0" t="0" r="0" b="0"/>
            <wp:docPr id="1" name="图片 1" descr="截屏2025-11-11 下午4.0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截屏2025-11-11 下午4.04.40"/>
                    <pic:cNvPicPr>
                      <a:picLocks noChangeAspect="1"/>
                    </pic:cNvPicPr>
                  </pic:nvPicPr>
                  <pic:blipFill>
                    <a:blip r:embed="rId6"/>
                    <a:srcRect b="699"/>
                    <a:stretch>
                      <a:fillRect/>
                    </a:stretch>
                  </pic:blipFill>
                  <pic:spPr>
                    <a:xfrm>
                      <a:off x="0" y="0"/>
                      <a:ext cx="4641850" cy="5323205"/>
                    </a:xfrm>
                    <a:prstGeom prst="rect">
                      <a:avLst/>
                    </a:prstGeom>
                  </pic:spPr>
                </pic:pic>
              </a:graphicData>
            </a:graphic>
          </wp:inline>
        </w:drawing>
      </w:r>
    </w:p>
    <w:p>
      <w:pPr>
        <w:spacing w:before="239" w:line="540" w:lineRule="exact"/>
        <w:contextualSpacing/>
        <w:jc w:val="center"/>
        <w:rPr>
          <w:rFonts w:hint="eastAsia" w:ascii="黑体" w:hAnsi="黑体" w:eastAsia="黑体" w:cs="黑体"/>
          <w:spacing w:val="-9"/>
          <w:sz w:val="24"/>
          <w:szCs w:val="24"/>
          <w:lang w:eastAsia="zh-CN"/>
        </w:rPr>
      </w:pPr>
      <w:r>
        <w:rPr>
          <w:rFonts w:hint="eastAsia" w:ascii="黑体" w:hAnsi="黑体" w:eastAsia="黑体" w:cs="黑体"/>
          <w:spacing w:val="-9"/>
          <w:sz w:val="24"/>
          <w:szCs w:val="24"/>
          <w:lang w:eastAsia="zh-CN"/>
        </w:rPr>
        <w:t>图1 赛事组织流程图</w:t>
      </w:r>
    </w:p>
    <w:p>
      <w:pPr>
        <w:kinsoku/>
        <w:autoSpaceDE/>
        <w:autoSpaceDN/>
        <w:adjustRightInd/>
        <w:snapToGrid/>
        <w:textAlignment w:val="auto"/>
        <w:rPr>
          <w:rFonts w:hint="eastAsia" w:ascii="黑体" w:hAnsi="黑体" w:eastAsia="黑体" w:cs="黑体"/>
          <w:spacing w:val="-9"/>
          <w:sz w:val="28"/>
          <w:szCs w:val="28"/>
          <w:lang w:eastAsia="zh-CN"/>
        </w:rPr>
      </w:pPr>
      <w:r>
        <w:rPr>
          <w:rFonts w:hint="eastAsia" w:ascii="黑体" w:hAnsi="黑体" w:eastAsia="黑体" w:cs="黑体"/>
          <w:spacing w:val="-9"/>
          <w:sz w:val="28"/>
          <w:szCs w:val="28"/>
          <w:lang w:eastAsia="zh-CN"/>
        </w:rPr>
        <w:br w:type="page"/>
      </w:r>
    </w:p>
    <w:p>
      <w:pPr>
        <w:numPr>
          <w:ilvl w:val="0"/>
          <w:numId w:val="1"/>
        </w:numPr>
        <w:spacing w:line="540" w:lineRule="exact"/>
        <w:ind w:left="567"/>
        <w:contextualSpacing/>
        <w:rPr>
          <w:rFonts w:hint="eastAsia" w:ascii="黑体" w:hAnsi="黑体" w:eastAsia="黑体" w:cs="黑体"/>
          <w:spacing w:val="-8"/>
          <w:sz w:val="28"/>
          <w:szCs w:val="28"/>
          <w:lang w:eastAsia="zh-CN"/>
        </w:rPr>
      </w:pPr>
      <w:r>
        <w:rPr>
          <w:rFonts w:hint="eastAsia" w:ascii="黑体" w:hAnsi="黑体" w:eastAsia="黑体" w:cs="黑体"/>
          <w:spacing w:val="-8"/>
          <w:sz w:val="28"/>
          <w:szCs w:val="28"/>
          <w:lang w:eastAsia="zh-CN"/>
        </w:rPr>
        <w:t>比赛流程</w:t>
      </w:r>
    </w:p>
    <w:p>
      <w:pPr>
        <w:spacing w:line="540" w:lineRule="exact"/>
        <w:ind w:firstLine="541" w:firstLineChars="200"/>
        <w:contextualSpacing/>
        <w:rPr>
          <w:rFonts w:ascii="楷体_GB2312" w:hAnsi="Times New Roman" w:eastAsia="楷体_GB2312" w:cs="Times New Roman"/>
          <w:b/>
          <w:bCs/>
          <w:spacing w:val="-5"/>
          <w:sz w:val="28"/>
          <w:szCs w:val="28"/>
          <w:lang w:eastAsia="zh-CN"/>
        </w:rPr>
      </w:pPr>
      <w:r>
        <w:rPr>
          <w:rFonts w:ascii="楷体_GB2312" w:hAnsi="Times New Roman" w:eastAsia="楷体_GB2312" w:cs="Times New Roman"/>
          <w:b/>
          <w:bCs/>
          <w:spacing w:val="-5"/>
          <w:sz w:val="28"/>
          <w:szCs w:val="28"/>
          <w:lang w:eastAsia="zh-CN"/>
        </w:rPr>
        <w:drawing>
          <wp:anchor distT="0" distB="0" distL="114300" distR="114300" simplePos="0" relativeHeight="251659264" behindDoc="0" locked="0" layoutInCell="1" allowOverlap="1">
            <wp:simplePos x="0" y="0"/>
            <wp:positionH relativeFrom="column">
              <wp:posOffset>1212215</wp:posOffset>
            </wp:positionH>
            <wp:positionV relativeFrom="paragraph">
              <wp:posOffset>474980</wp:posOffset>
            </wp:positionV>
            <wp:extent cx="3514725" cy="6299200"/>
            <wp:effectExtent l="0" t="0" r="0" b="0"/>
            <wp:wrapTopAndBottom/>
            <wp:docPr id="2" name="图片 2" descr="截屏2025-11-06 上午10.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截屏2025-11-06 上午10.35.44"/>
                    <pic:cNvPicPr>
                      <a:picLocks noChangeAspect="1"/>
                    </pic:cNvPicPr>
                  </pic:nvPicPr>
                  <pic:blipFill>
                    <a:blip r:embed="rId7">
                      <a:extLst>
                        <a:ext uri="{28A0092B-C50C-407E-A947-70E740481C1C}">
                          <a14:useLocalDpi xmlns:a14="http://schemas.microsoft.com/office/drawing/2010/main" val="0"/>
                        </a:ext>
                      </a:extLst>
                    </a:blip>
                    <a:srcRect b="451"/>
                    <a:stretch>
                      <a:fillRect/>
                    </a:stretch>
                  </pic:blipFill>
                  <pic:spPr>
                    <a:xfrm>
                      <a:off x="0" y="0"/>
                      <a:ext cx="3514725" cy="6299200"/>
                    </a:xfrm>
                    <a:prstGeom prst="rect">
                      <a:avLst/>
                    </a:prstGeom>
                  </pic:spPr>
                </pic:pic>
              </a:graphicData>
            </a:graphic>
          </wp:anchor>
        </w:drawing>
      </w:r>
      <w:r>
        <w:rPr>
          <w:rFonts w:hint="eastAsia" w:ascii="楷体_GB2312" w:hAnsi="Times New Roman" w:eastAsia="楷体_GB2312" w:cs="Times New Roman"/>
          <w:b/>
          <w:bCs/>
          <w:spacing w:val="-5"/>
          <w:sz w:val="28"/>
          <w:szCs w:val="28"/>
          <w:lang w:eastAsia="zh-CN"/>
        </w:rPr>
        <w:t>（一）比赛流程图</w:t>
      </w:r>
    </w:p>
    <w:p>
      <w:pPr>
        <w:ind w:firstLine="2664" w:firstLineChars="1200"/>
        <w:rPr>
          <w:rFonts w:ascii="黑体" w:hAnsi="黑体" w:eastAsia="黑体" w:cs="黑体"/>
          <w:spacing w:val="-9"/>
          <w:sz w:val="24"/>
          <w:szCs w:val="24"/>
          <w:lang w:eastAsia="zh-CN"/>
        </w:rPr>
      </w:pPr>
    </w:p>
    <w:p>
      <w:pPr>
        <w:ind w:firstLine="3552" w:firstLineChars="1600"/>
        <w:rPr>
          <w:rFonts w:hint="eastAsia" w:ascii="黑体" w:hAnsi="黑体" w:eastAsia="黑体" w:cs="黑体"/>
          <w:spacing w:val="-9"/>
          <w:sz w:val="24"/>
          <w:szCs w:val="24"/>
          <w:lang w:eastAsia="zh-CN"/>
        </w:rPr>
      </w:pPr>
      <w:r>
        <w:rPr>
          <w:rFonts w:ascii="黑体" w:hAnsi="黑体" w:eastAsia="黑体" w:cs="黑体"/>
          <w:spacing w:val="-9"/>
          <w:sz w:val="24"/>
          <w:szCs w:val="24"/>
          <w:lang w:eastAsia="zh-CN"/>
        </w:rPr>
        <w:t>图</w:t>
      </w:r>
      <w:r>
        <w:rPr>
          <w:rFonts w:hint="eastAsia" w:ascii="黑体" w:hAnsi="黑体" w:eastAsia="黑体" w:cs="黑体"/>
          <w:spacing w:val="-9"/>
          <w:sz w:val="24"/>
          <w:szCs w:val="24"/>
          <w:lang w:eastAsia="zh-CN"/>
        </w:rPr>
        <w:t>2</w:t>
      </w:r>
      <w:r>
        <w:rPr>
          <w:rFonts w:ascii="黑体" w:hAnsi="黑体" w:eastAsia="黑体" w:cs="黑体"/>
          <w:spacing w:val="-9"/>
          <w:sz w:val="24"/>
          <w:szCs w:val="24"/>
          <w:lang w:eastAsia="zh-CN"/>
        </w:rPr>
        <w:t xml:space="preserve"> 赛事比赛流程图</w:t>
      </w:r>
    </w:p>
    <w:p>
      <w:pPr>
        <w:kinsoku/>
        <w:autoSpaceDE/>
        <w:autoSpaceDN/>
        <w:adjustRightInd/>
        <w:snapToGrid/>
        <w:textAlignment w:val="auto"/>
        <w:rPr>
          <w:rFonts w:hint="eastAsia" w:ascii="黑体" w:hAnsi="黑体" w:eastAsia="黑体" w:cs="黑体"/>
          <w:spacing w:val="-9"/>
          <w:sz w:val="24"/>
          <w:szCs w:val="24"/>
          <w:lang w:eastAsia="zh-CN"/>
        </w:rPr>
      </w:pPr>
      <w:r>
        <w:rPr>
          <w:rFonts w:hint="eastAsia" w:ascii="黑体" w:hAnsi="黑体" w:eastAsia="黑体" w:cs="黑体"/>
          <w:spacing w:val="-9"/>
          <w:sz w:val="24"/>
          <w:szCs w:val="24"/>
          <w:lang w:eastAsia="zh-CN"/>
        </w:rPr>
        <w:br w:type="page"/>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0" w:name="_Hlk213369452"/>
      <w:r>
        <w:rPr>
          <w:rFonts w:hint="eastAsia" w:ascii="楷体_GB2312" w:hAnsi="Times New Roman" w:eastAsia="楷体_GB2312" w:cs="Times New Roman"/>
          <w:b/>
          <w:bCs/>
          <w:spacing w:val="-5"/>
          <w:sz w:val="28"/>
          <w:szCs w:val="28"/>
          <w:lang w:eastAsia="zh-CN"/>
        </w:rPr>
        <w:t>（二）比赛日程安排</w:t>
      </w:r>
    </w:p>
    <w:p>
      <w:pPr>
        <w:pStyle w:val="11"/>
        <w:spacing w:line="540" w:lineRule="exact"/>
        <w:contextualSpacing/>
        <w:jc w:val="center"/>
        <w:rPr>
          <w:rFonts w:hint="eastAsia" w:ascii="宋体" w:hAnsi="宋体" w:eastAsia="宋体"/>
          <w:b/>
          <w:bCs/>
          <w:sz w:val="24"/>
          <w:szCs w:val="24"/>
          <w:lang w:eastAsia="zh-CN"/>
        </w:rPr>
      </w:pPr>
      <w:r>
        <w:rPr>
          <w:rFonts w:hint="eastAsia" w:ascii="宋体" w:hAnsi="宋体" w:eastAsia="宋体"/>
          <w:b/>
          <w:bCs/>
          <w:sz w:val="24"/>
          <w:szCs w:val="24"/>
          <w:lang w:eastAsia="zh-CN"/>
        </w:rPr>
        <w:t>表1  比赛日程安排表</w:t>
      </w:r>
    </w:p>
    <w:tbl>
      <w:tblPr>
        <w:tblStyle w:val="18"/>
        <w:tblW w:w="8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9"/>
        <w:gridCol w:w="1452"/>
        <w:gridCol w:w="1645"/>
        <w:gridCol w:w="4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5" w:hRule="atLeast"/>
          <w:jc w:val="center"/>
        </w:trPr>
        <w:tc>
          <w:tcPr>
            <w:tcW w:w="1319"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eastAsia="zh-CN"/>
              </w:rPr>
              <w:t>日期</w:t>
            </w:r>
          </w:p>
        </w:tc>
        <w:tc>
          <w:tcPr>
            <w:tcW w:w="1452"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eastAsia="zh-CN"/>
              </w:rPr>
              <w:t>环节</w:t>
            </w:r>
          </w:p>
        </w:tc>
        <w:tc>
          <w:tcPr>
            <w:tcW w:w="1645"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eastAsia="zh-CN"/>
              </w:rPr>
              <w:t>时间</w:t>
            </w:r>
          </w:p>
        </w:tc>
        <w:tc>
          <w:tcPr>
            <w:tcW w:w="4469"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eastAsia="zh-CN"/>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5" w:hRule="atLeast"/>
          <w:jc w:val="center"/>
        </w:trPr>
        <w:tc>
          <w:tcPr>
            <w:tcW w:w="1319" w:type="dxa"/>
            <w:vMerge w:val="restart"/>
            <w:vAlign w:val="center"/>
          </w:tcPr>
          <w:p>
            <w:pPr>
              <w:pStyle w:val="11"/>
              <w:widowControl w:val="0"/>
              <w:contextualSpacing/>
              <w:jc w:val="center"/>
              <w:rPr>
                <w:rFonts w:hint="default" w:ascii="Times New Roman" w:hAnsi="Times New Roman" w:eastAsia="方正仿宋_GB2312" w:cs="Times New Roman"/>
                <w:sz w:val="24"/>
                <w:szCs w:val="24"/>
                <w:lang w:val="en-US" w:eastAsia="zh-CN"/>
              </w:rPr>
            </w:pPr>
            <w:r>
              <w:rPr>
                <w:rFonts w:hint="eastAsia" w:ascii="Times New Roman" w:hAnsi="Times New Roman" w:eastAsia="方正仿宋_GB2312" w:cs="Times New Roman"/>
                <w:sz w:val="24"/>
                <w:szCs w:val="24"/>
                <w:lang w:val="en-US" w:eastAsia="zh-CN"/>
              </w:rPr>
              <w:t>正式比赛前一天</w:t>
            </w:r>
          </w:p>
        </w:tc>
        <w:tc>
          <w:tcPr>
            <w:tcW w:w="1452" w:type="dxa"/>
            <w:vMerge w:val="restart"/>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 xml:space="preserve">报到、设备存储、领队会议 </w:t>
            </w: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hint="eastAsia" w:ascii="Times New Roman" w:hAnsi="Times New Roman" w:eastAsia="方正仿宋_GB2312" w:cs="Times New Roman"/>
                <w:sz w:val="24"/>
                <w:szCs w:val="24"/>
                <w:lang w:val="en-US" w:eastAsia="zh-CN"/>
              </w:rPr>
              <w:t>9</w:t>
            </w:r>
            <w:r>
              <w:rPr>
                <w:rFonts w:ascii="Times New Roman" w:hAnsi="Times New Roman" w:eastAsia="方正仿宋_GB2312" w:cs="Times New Roman"/>
                <w:sz w:val="24"/>
                <w:szCs w:val="24"/>
                <w:lang w:eastAsia="zh-CN"/>
              </w:rPr>
              <w:t>:00-15:00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参赛队报到、领取资料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0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hint="eastAsia" w:ascii="Times New Roman" w:hAnsi="Times New Roman" w:eastAsia="方正仿宋_GB2312" w:cs="Times New Roman"/>
                <w:sz w:val="24"/>
                <w:szCs w:val="24"/>
                <w:lang w:val="en-US" w:eastAsia="zh-CN"/>
              </w:rPr>
              <w:t>9</w:t>
            </w:r>
            <w:r>
              <w:rPr>
                <w:rFonts w:ascii="Times New Roman" w:hAnsi="Times New Roman" w:eastAsia="方正仿宋_GB2312" w:cs="Times New Roman"/>
                <w:sz w:val="24"/>
                <w:szCs w:val="24"/>
                <w:lang w:eastAsia="zh-CN"/>
              </w:rPr>
              <w:t>:00-15:00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设备调试、确认与存储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15:00-16:00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领队会议、一次加密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15:00-17:00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分批次参观竞赛场地，调试比赛设备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restart"/>
            <w:vAlign w:val="center"/>
          </w:tcPr>
          <w:p>
            <w:pPr>
              <w:pStyle w:val="11"/>
              <w:widowControl w:val="0"/>
              <w:contextualSpacing/>
              <w:jc w:val="center"/>
              <w:rPr>
                <w:rFonts w:hint="default" w:ascii="Times New Roman" w:hAnsi="Times New Roman" w:eastAsia="方正仿宋_GB2312" w:cs="Times New Roman"/>
                <w:sz w:val="24"/>
                <w:szCs w:val="24"/>
                <w:lang w:val="en-US" w:eastAsia="zh-CN"/>
              </w:rPr>
            </w:pPr>
            <w:r>
              <w:rPr>
                <w:rFonts w:hint="eastAsia" w:ascii="Times New Roman" w:hAnsi="Times New Roman" w:eastAsia="方正仿宋_GB2312" w:cs="Times New Roman"/>
                <w:sz w:val="24"/>
                <w:szCs w:val="24"/>
                <w:lang w:val="en-US" w:eastAsia="zh-CN"/>
              </w:rPr>
              <w:t>第一天</w:t>
            </w:r>
          </w:p>
        </w:tc>
        <w:tc>
          <w:tcPr>
            <w:tcW w:w="1452" w:type="dxa"/>
            <w:vMerge w:val="restart"/>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检录侯考</w:t>
            </w: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6:30-7:00</w:t>
            </w:r>
          </w:p>
        </w:tc>
        <w:tc>
          <w:tcPr>
            <w:tcW w:w="4469" w:type="dxa"/>
            <w:vAlign w:val="center"/>
          </w:tcPr>
          <w:p>
            <w:pPr>
              <w:widowControl/>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检录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7:00-7:30</w:t>
            </w:r>
          </w:p>
        </w:tc>
        <w:tc>
          <w:tcPr>
            <w:tcW w:w="4469" w:type="dxa"/>
            <w:vAlign w:val="center"/>
          </w:tcPr>
          <w:p>
            <w:pPr>
              <w:widowControl/>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二次加密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restart"/>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比赛</w:t>
            </w: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7:30</w:t>
            </w:r>
          </w:p>
        </w:tc>
        <w:tc>
          <w:tcPr>
            <w:tcW w:w="4469" w:type="dxa"/>
            <w:vAlign w:val="center"/>
          </w:tcPr>
          <w:p>
            <w:pPr>
              <w:widowControl/>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候赛（裁判组准备就绪后，随时开赛</w:t>
            </w:r>
            <w:r>
              <w:rPr>
                <w:rFonts w:hint="eastAsia" w:ascii="Times New Roman" w:hAnsi="Times New Roman" w:eastAsia="方正仿宋_GB2312" w:cs="Times New Roman"/>
                <w:sz w:val="24"/>
                <w:szCs w:val="24"/>
                <w:lang w:eastAsia="zh-CN" w:bidi="ar"/>
              </w:rPr>
              <w:t>，</w:t>
            </w:r>
            <w:r>
              <w:rPr>
                <w:rFonts w:hint="eastAsia" w:ascii="Times New Roman" w:hAnsi="Times New Roman" w:eastAsia="方正仿宋_GB2312" w:cs="Times New Roman"/>
                <w:sz w:val="24"/>
                <w:szCs w:val="24"/>
                <w:lang w:val="en-US" w:eastAsia="zh-CN" w:bidi="ar"/>
              </w:rPr>
              <w:t>下同。</w:t>
            </w:r>
            <w:r>
              <w:rPr>
                <w:rFonts w:ascii="Times New Roman" w:hAnsi="Times New Roman" w:eastAsia="方正仿宋_GB2312" w:cs="Times New Roman"/>
                <w:sz w:val="24"/>
                <w:szCs w:val="24"/>
                <w:lang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7:30-12:00</w:t>
            </w:r>
          </w:p>
        </w:tc>
        <w:tc>
          <w:tcPr>
            <w:tcW w:w="4469" w:type="dxa"/>
            <w:vAlign w:val="center"/>
          </w:tcPr>
          <w:p>
            <w:pPr>
              <w:widowControl/>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上午场比赛（每组比赛完直接离开赛场，下同。）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12:00-13:00</w:t>
            </w:r>
          </w:p>
        </w:tc>
        <w:tc>
          <w:tcPr>
            <w:tcW w:w="4469" w:type="dxa"/>
            <w:vAlign w:val="center"/>
          </w:tcPr>
          <w:p>
            <w:pPr>
              <w:widowControl/>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13:00-19:00</w:t>
            </w:r>
          </w:p>
        </w:tc>
        <w:tc>
          <w:tcPr>
            <w:tcW w:w="4469" w:type="dxa"/>
            <w:vAlign w:val="center"/>
          </w:tcPr>
          <w:p>
            <w:pPr>
              <w:widowControl/>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下午场比赛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restart"/>
            <w:vAlign w:val="center"/>
          </w:tcPr>
          <w:p>
            <w:pPr>
              <w:pStyle w:val="11"/>
              <w:widowControl w:val="0"/>
              <w:contextualSpacing/>
              <w:jc w:val="center"/>
              <w:rPr>
                <w:rFonts w:hint="default" w:ascii="Times New Roman" w:hAnsi="Times New Roman" w:eastAsia="方正仿宋_GB2312" w:cs="Times New Roman"/>
                <w:sz w:val="24"/>
                <w:szCs w:val="24"/>
                <w:lang w:val="en-US" w:eastAsia="zh-CN"/>
              </w:rPr>
            </w:pPr>
            <w:r>
              <w:rPr>
                <w:rFonts w:hint="eastAsia" w:ascii="Times New Roman" w:hAnsi="Times New Roman" w:eastAsia="方正仿宋_GB2312" w:cs="Times New Roman"/>
                <w:sz w:val="24"/>
                <w:szCs w:val="24"/>
                <w:lang w:val="en-US" w:eastAsia="zh-CN"/>
              </w:rPr>
              <w:t>第二天</w:t>
            </w:r>
          </w:p>
        </w:tc>
        <w:tc>
          <w:tcPr>
            <w:tcW w:w="1452" w:type="dxa"/>
            <w:vMerge w:val="restart"/>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检录侯考</w:t>
            </w:r>
          </w:p>
        </w:tc>
        <w:tc>
          <w:tcPr>
            <w:tcW w:w="1645" w:type="dxa"/>
            <w:vAlign w:val="center"/>
          </w:tcPr>
          <w:p>
            <w:pPr>
              <w:pStyle w:val="15"/>
              <w:widowControl/>
              <w:contextualSpacing/>
              <w:jc w:val="center"/>
              <w:rPr>
                <w:rFonts w:ascii="Times New Roman" w:hAnsi="Times New Roman" w:eastAsia="方正仿宋_GB2312" w:cs="Times New Roman"/>
                <w:szCs w:val="24"/>
                <w:lang w:eastAsia="zh-CN"/>
              </w:rPr>
            </w:pPr>
            <w:r>
              <w:rPr>
                <w:rFonts w:ascii="Times New Roman" w:hAnsi="Times New Roman" w:eastAsia="方正仿宋_GB2312" w:cs="Times New Roman"/>
                <w:snapToGrid/>
                <w:szCs w:val="24"/>
                <w:lang w:eastAsia="zh-CN" w:bidi="ar"/>
              </w:rPr>
              <w:t>6:30-7:00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检录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5"/>
              <w:widowControl/>
              <w:contextualSpacing/>
              <w:jc w:val="center"/>
              <w:rPr>
                <w:rFonts w:ascii="Times New Roman" w:hAnsi="Times New Roman" w:eastAsia="方正仿宋_GB2312" w:cs="Times New Roman"/>
                <w:szCs w:val="24"/>
                <w:lang w:eastAsia="zh-CN"/>
              </w:rPr>
            </w:pPr>
            <w:r>
              <w:rPr>
                <w:rFonts w:ascii="Times New Roman" w:hAnsi="Times New Roman" w:eastAsia="方正仿宋_GB2312" w:cs="Times New Roman"/>
                <w:snapToGrid/>
                <w:szCs w:val="24"/>
                <w:lang w:eastAsia="zh-CN" w:bidi="ar"/>
              </w:rPr>
              <w:t>7:00-7:30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二次加密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restart"/>
            <w:vAlign w:val="center"/>
          </w:tcPr>
          <w:p>
            <w:pPr>
              <w:pStyle w:val="11"/>
              <w:widowControl w:val="0"/>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比赛</w:t>
            </w:r>
          </w:p>
        </w:tc>
        <w:tc>
          <w:tcPr>
            <w:tcW w:w="1645" w:type="dxa"/>
            <w:vAlign w:val="center"/>
          </w:tcPr>
          <w:p>
            <w:pPr>
              <w:pStyle w:val="15"/>
              <w:widowControl/>
              <w:contextualSpacing/>
              <w:jc w:val="center"/>
              <w:rPr>
                <w:rFonts w:ascii="Times New Roman" w:hAnsi="Times New Roman" w:eastAsia="方正仿宋_GB2312" w:cs="Times New Roman"/>
                <w:szCs w:val="24"/>
                <w:lang w:eastAsia="zh-CN"/>
              </w:rPr>
            </w:pPr>
            <w:r>
              <w:rPr>
                <w:rFonts w:ascii="Times New Roman" w:hAnsi="Times New Roman" w:eastAsia="方正仿宋_GB2312" w:cs="Times New Roman"/>
                <w:snapToGrid/>
                <w:szCs w:val="24"/>
                <w:lang w:eastAsia="zh-CN" w:bidi="ar"/>
              </w:rPr>
              <w:t>7:30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候赛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5"/>
              <w:widowControl/>
              <w:contextualSpacing/>
              <w:jc w:val="center"/>
              <w:rPr>
                <w:rFonts w:ascii="Times New Roman" w:hAnsi="Times New Roman" w:eastAsia="方正仿宋_GB2312" w:cs="Times New Roman"/>
                <w:szCs w:val="24"/>
                <w:lang w:eastAsia="zh-CN"/>
              </w:rPr>
            </w:pPr>
            <w:r>
              <w:rPr>
                <w:rFonts w:ascii="Times New Roman" w:hAnsi="Times New Roman" w:eastAsia="方正仿宋_GB2312" w:cs="Times New Roman"/>
                <w:snapToGrid/>
                <w:szCs w:val="24"/>
                <w:lang w:eastAsia="zh-CN" w:bidi="ar"/>
              </w:rPr>
              <w:t>7:30-12:00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上午场比赛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5"/>
              <w:widowControl/>
              <w:contextualSpacing/>
              <w:jc w:val="center"/>
              <w:rPr>
                <w:rFonts w:ascii="Times New Roman" w:hAnsi="Times New Roman" w:eastAsia="方正仿宋_GB2312" w:cs="Times New Roman"/>
                <w:szCs w:val="24"/>
                <w:lang w:eastAsia="zh-CN"/>
              </w:rPr>
            </w:pPr>
            <w:r>
              <w:rPr>
                <w:rFonts w:ascii="Times New Roman" w:hAnsi="Times New Roman" w:eastAsia="方正仿宋_GB2312" w:cs="Times New Roman"/>
                <w:snapToGrid/>
                <w:szCs w:val="24"/>
                <w:lang w:eastAsia="zh-CN" w:bidi="ar"/>
              </w:rPr>
              <w:t>12:00-13:00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5" w:hRule="atLeast"/>
          <w:jc w:val="center"/>
        </w:trPr>
        <w:tc>
          <w:tcPr>
            <w:tcW w:w="1319"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452" w:type="dxa"/>
            <w:vMerge w:val="continue"/>
            <w:vAlign w:val="center"/>
          </w:tcPr>
          <w:p>
            <w:pPr>
              <w:pStyle w:val="11"/>
              <w:widowControl w:val="0"/>
              <w:contextualSpacing/>
              <w:jc w:val="center"/>
              <w:rPr>
                <w:rFonts w:ascii="Times New Roman" w:hAnsi="Times New Roman" w:eastAsia="方正仿宋_GB2312" w:cs="Times New Roman"/>
                <w:sz w:val="24"/>
                <w:szCs w:val="24"/>
                <w:lang w:eastAsia="zh-CN"/>
              </w:rPr>
            </w:pPr>
          </w:p>
        </w:tc>
        <w:tc>
          <w:tcPr>
            <w:tcW w:w="1645" w:type="dxa"/>
            <w:vAlign w:val="center"/>
          </w:tcPr>
          <w:p>
            <w:pPr>
              <w:pStyle w:val="15"/>
              <w:widowControl/>
              <w:contextualSpacing/>
              <w:jc w:val="center"/>
              <w:rPr>
                <w:rFonts w:ascii="Times New Roman" w:hAnsi="Times New Roman" w:eastAsia="方正仿宋_GB2312" w:cs="Times New Roman"/>
                <w:szCs w:val="24"/>
                <w:lang w:eastAsia="zh-CN"/>
              </w:rPr>
            </w:pPr>
            <w:r>
              <w:rPr>
                <w:rFonts w:ascii="Times New Roman" w:hAnsi="Times New Roman" w:eastAsia="方正仿宋_GB2312" w:cs="Times New Roman"/>
                <w:snapToGrid/>
                <w:szCs w:val="24"/>
                <w:lang w:eastAsia="zh-CN" w:bidi="ar"/>
              </w:rPr>
              <w:t>13:00-17:00</w:t>
            </w:r>
          </w:p>
        </w:tc>
        <w:tc>
          <w:tcPr>
            <w:tcW w:w="4469" w:type="dxa"/>
            <w:vAlign w:val="center"/>
          </w:tcPr>
          <w:p>
            <w:pPr>
              <w:widowControl/>
              <w:contextualSpacing/>
              <w:jc w:val="center"/>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bidi="ar"/>
              </w:rPr>
              <w:t>下午场比赛</w:t>
            </w:r>
          </w:p>
        </w:tc>
      </w:tr>
    </w:tbl>
    <w:p>
      <w:pPr>
        <w:spacing w:line="540" w:lineRule="exact"/>
        <w:ind w:firstLine="241" w:firstLineChars="100"/>
        <w:contextualSpacing/>
        <w:rPr>
          <w:rFonts w:ascii="仿宋" w:hAnsi="仿宋" w:eastAsia="仿宋" w:cs="仿宋"/>
          <w:b/>
          <w:bCs/>
          <w:sz w:val="24"/>
          <w:szCs w:val="24"/>
          <w:lang w:eastAsia="zh-CN" w:bidi="ar"/>
        </w:rPr>
      </w:pPr>
      <w:r>
        <w:rPr>
          <w:rFonts w:ascii="仿宋" w:hAnsi="仿宋" w:eastAsia="仿宋" w:cs="仿宋"/>
          <w:b/>
          <w:bCs/>
          <w:sz w:val="24"/>
          <w:szCs w:val="24"/>
          <w:lang w:eastAsia="zh-CN" w:bidi="ar"/>
        </w:rPr>
        <w:t>注：以上为预设时间安排，具体以比赛实际进度为准。</w:t>
      </w:r>
      <w:bookmarkStart w:id="1" w:name="bookmark22"/>
      <w:bookmarkEnd w:id="1"/>
      <w:bookmarkStart w:id="2" w:name="bookmark21"/>
      <w:bookmarkEnd w:id="2"/>
      <w:bookmarkStart w:id="3" w:name="bookmark19"/>
      <w:bookmarkEnd w:id="3"/>
      <w:bookmarkStart w:id="4" w:name="bookmark20"/>
      <w:bookmarkEnd w:id="4"/>
      <w:bookmarkStart w:id="5" w:name="bookmark17"/>
      <w:bookmarkEnd w:id="5"/>
    </w:p>
    <w:p>
      <w:pPr>
        <w:spacing w:line="540" w:lineRule="exact"/>
        <w:ind w:firstLine="241" w:firstLineChars="100"/>
        <w:contextualSpacing/>
        <w:rPr>
          <w:rFonts w:hint="eastAsia" w:ascii="仿宋" w:hAnsi="仿宋" w:eastAsia="仿宋" w:cs="仿宋"/>
          <w:b/>
          <w:bCs/>
          <w:sz w:val="24"/>
          <w:szCs w:val="24"/>
          <w:lang w:eastAsia="zh-CN" w:bidi="ar"/>
        </w:rPr>
      </w:pPr>
    </w:p>
    <w:p>
      <w:pPr>
        <w:numPr>
          <w:ilvl w:val="0"/>
          <w:numId w:val="1"/>
        </w:numPr>
        <w:spacing w:line="540" w:lineRule="exact"/>
        <w:ind w:left="567"/>
        <w:contextualSpacing/>
        <w:rPr>
          <w:rFonts w:hint="eastAsia" w:ascii="黑体" w:hAnsi="黑体" w:eastAsia="黑体" w:cs="黑体"/>
          <w:spacing w:val="-8"/>
          <w:sz w:val="28"/>
          <w:szCs w:val="28"/>
          <w:lang w:eastAsia="zh-CN"/>
        </w:rPr>
      </w:pPr>
      <w:r>
        <w:rPr>
          <w:rFonts w:ascii="黑体" w:hAnsi="黑体" w:eastAsia="黑体" w:cs="黑体"/>
          <w:spacing w:val="-8"/>
          <w:sz w:val="28"/>
          <w:szCs w:val="28"/>
          <w:lang w:eastAsia="zh-CN"/>
        </w:rPr>
        <w:t>比赛规则</w:t>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6" w:name="bookmark24"/>
      <w:bookmarkEnd w:id="6"/>
      <w:bookmarkStart w:id="7" w:name="bookmark23"/>
      <w:bookmarkEnd w:id="7"/>
      <w:r>
        <w:rPr>
          <w:rFonts w:ascii="楷体_GB2312" w:hAnsi="Times New Roman" w:eastAsia="楷体_GB2312" w:cs="Times New Roman"/>
          <w:b/>
          <w:bCs/>
          <w:spacing w:val="-5"/>
          <w:sz w:val="28"/>
          <w:szCs w:val="28"/>
          <w:lang w:eastAsia="zh-CN"/>
        </w:rPr>
        <w:t>（</w:t>
      </w:r>
      <w:r>
        <w:rPr>
          <w:rFonts w:hint="eastAsia" w:ascii="楷体_GB2312" w:hAnsi="Times New Roman" w:eastAsia="楷体_GB2312" w:cs="Times New Roman"/>
          <w:b/>
          <w:bCs/>
          <w:spacing w:val="-5"/>
          <w:sz w:val="28"/>
          <w:szCs w:val="28"/>
          <w:lang w:val="en-US" w:eastAsia="zh-CN"/>
        </w:rPr>
        <w:t>一</w:t>
      </w:r>
      <w:r>
        <w:rPr>
          <w:rFonts w:ascii="楷体_GB2312" w:hAnsi="Times New Roman" w:eastAsia="楷体_GB2312" w:cs="Times New Roman"/>
          <w:b/>
          <w:bCs/>
          <w:spacing w:val="-5"/>
          <w:sz w:val="28"/>
          <w:szCs w:val="28"/>
          <w:lang w:eastAsia="zh-CN"/>
        </w:rPr>
        <w:t>）比赛地点</w:t>
      </w:r>
    </w:p>
    <w:p>
      <w:pPr>
        <w:spacing w:line="540" w:lineRule="exact"/>
        <w:ind w:firstLine="568" w:firstLineChars="200"/>
        <w:jc w:val="both"/>
        <w:rPr>
          <w:rFonts w:hint="eastAsia" w:ascii="仿宋_GB2312" w:hAnsi="Times New Roman" w:eastAsia="仿宋_GB2312" w:cs="Times New Roman"/>
          <w:spacing w:val="2"/>
          <w:sz w:val="28"/>
          <w:szCs w:val="28"/>
          <w:lang w:eastAsia="zh-CN"/>
        </w:rPr>
      </w:pPr>
      <w:bookmarkStart w:id="8" w:name="bookmark26"/>
      <w:bookmarkEnd w:id="8"/>
      <w:bookmarkStart w:id="9" w:name="bookmark25"/>
      <w:bookmarkEnd w:id="9"/>
      <w:r>
        <w:rPr>
          <w:rFonts w:hint="eastAsia" w:ascii="仿宋_GB2312" w:hAnsi="Times New Roman" w:eastAsia="仿宋_GB2312" w:cs="Times New Roman"/>
          <w:spacing w:val="2"/>
          <w:sz w:val="28"/>
          <w:szCs w:val="28"/>
          <w:lang w:eastAsia="zh-CN"/>
        </w:rPr>
        <w:t>海南科技职业大学（云龙校区）</w:t>
      </w:r>
    </w:p>
    <w:p>
      <w:pPr>
        <w:spacing w:line="540" w:lineRule="exact"/>
        <w:ind w:firstLine="568" w:firstLineChars="200"/>
        <w:jc w:val="both"/>
        <w:rPr>
          <w:rFonts w:hint="default" w:ascii="仿宋_GB2312" w:hAnsi="Times New Roman" w:eastAsia="仿宋_GB2312" w:cs="Times New Roman"/>
          <w:spacing w:val="2"/>
          <w:sz w:val="28"/>
          <w:szCs w:val="28"/>
          <w:lang w:val="en-US" w:eastAsia="zh-CN"/>
        </w:rPr>
      </w:pPr>
      <w:r>
        <w:rPr>
          <w:rFonts w:hint="eastAsia" w:ascii="仿宋_GB2312" w:hAnsi="Times New Roman" w:eastAsia="仿宋_GB2312" w:cs="Times New Roman"/>
          <w:spacing w:val="2"/>
          <w:sz w:val="28"/>
          <w:szCs w:val="28"/>
          <w:lang w:val="en-US" w:eastAsia="zh-CN"/>
        </w:rPr>
        <w:t>地址：海口市琼山区云龙镇云定路118号。</w:t>
      </w:r>
    </w:p>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ascii="楷体_GB2312" w:hAnsi="Times New Roman" w:eastAsia="楷体_GB2312" w:cs="Times New Roman"/>
          <w:b/>
          <w:bCs/>
          <w:spacing w:val="-5"/>
          <w:sz w:val="28"/>
          <w:szCs w:val="28"/>
          <w:lang w:eastAsia="zh-CN"/>
        </w:rPr>
        <w:t>（</w:t>
      </w:r>
      <w:r>
        <w:rPr>
          <w:rFonts w:hint="eastAsia" w:ascii="楷体_GB2312" w:hAnsi="Times New Roman" w:eastAsia="楷体_GB2312" w:cs="Times New Roman"/>
          <w:b/>
          <w:bCs/>
          <w:spacing w:val="-5"/>
          <w:sz w:val="28"/>
          <w:szCs w:val="28"/>
          <w:lang w:val="en-US" w:eastAsia="zh-CN"/>
        </w:rPr>
        <w:t>二</w:t>
      </w:r>
      <w:r>
        <w:rPr>
          <w:rFonts w:ascii="楷体_GB2312" w:hAnsi="Times New Roman" w:eastAsia="楷体_GB2312" w:cs="Times New Roman"/>
          <w:b/>
          <w:bCs/>
          <w:spacing w:val="-5"/>
          <w:sz w:val="28"/>
          <w:szCs w:val="28"/>
          <w:lang w:eastAsia="zh-CN"/>
        </w:rPr>
        <w:t>）比赛时长</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每个项目入场设备调试时间不超过10分钟，项目展示比赛时长不超过1小时，项目退场、设备及场地复位时间不超过5分钟。具体时间由参赛队伍根据项目实际需要确定。</w:t>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10" w:name="bookmark28"/>
      <w:bookmarkEnd w:id="10"/>
      <w:bookmarkStart w:id="11" w:name="bookmark27"/>
      <w:bookmarkEnd w:id="11"/>
      <w:r>
        <w:rPr>
          <w:rFonts w:ascii="楷体_GB2312" w:hAnsi="Times New Roman" w:eastAsia="楷体_GB2312" w:cs="Times New Roman"/>
          <w:b/>
          <w:bCs/>
          <w:spacing w:val="-5"/>
          <w:sz w:val="28"/>
          <w:szCs w:val="28"/>
          <w:lang w:eastAsia="zh-CN"/>
        </w:rPr>
        <w:t>（</w:t>
      </w:r>
      <w:r>
        <w:rPr>
          <w:rFonts w:hint="eastAsia" w:ascii="楷体_GB2312" w:hAnsi="Times New Roman" w:eastAsia="楷体_GB2312" w:cs="Times New Roman"/>
          <w:b/>
          <w:bCs/>
          <w:spacing w:val="-5"/>
          <w:sz w:val="28"/>
          <w:szCs w:val="28"/>
          <w:lang w:val="en-US" w:eastAsia="zh-CN"/>
        </w:rPr>
        <w:t>三</w:t>
      </w:r>
      <w:r>
        <w:rPr>
          <w:rFonts w:ascii="楷体_GB2312" w:hAnsi="Times New Roman" w:eastAsia="楷体_GB2312" w:cs="Times New Roman"/>
          <w:b/>
          <w:bCs/>
          <w:spacing w:val="-5"/>
          <w:sz w:val="28"/>
          <w:szCs w:val="28"/>
          <w:lang w:eastAsia="zh-CN"/>
        </w:rPr>
        <w:t>）比赛方式</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采用线下方式。由参赛队伍根据项目实际需要确定，重点突出项目关键环节的技能操作，并进行适当讲解，全程录像。</w:t>
      </w:r>
    </w:p>
    <w:p>
      <w:pPr>
        <w:numPr>
          <w:ilvl w:val="0"/>
          <w:numId w:val="0"/>
        </w:numPr>
        <w:spacing w:line="540" w:lineRule="exact"/>
        <w:ind w:firstLine="541" w:firstLineChars="200"/>
        <w:contextualSpacing/>
        <w:outlineLvl w:val="2"/>
        <w:rPr>
          <w:rFonts w:hint="eastAsia" w:ascii="楷体_GB2312" w:hAnsi="Times New Roman" w:eastAsia="楷体_GB2312" w:cs="Times New Roman"/>
          <w:b/>
          <w:bCs/>
          <w:spacing w:val="-5"/>
          <w:sz w:val="28"/>
          <w:szCs w:val="28"/>
          <w:lang w:val="en-US" w:eastAsia="zh-CN"/>
        </w:rPr>
      </w:pPr>
      <w:r>
        <w:rPr>
          <w:rFonts w:hint="eastAsia" w:ascii="楷体_GB2312" w:hAnsi="Times New Roman" w:eastAsia="楷体_GB2312" w:cs="Times New Roman"/>
          <w:b/>
          <w:bCs/>
          <w:spacing w:val="-5"/>
          <w:sz w:val="28"/>
          <w:szCs w:val="28"/>
          <w:lang w:val="en-US" w:eastAsia="zh-CN"/>
        </w:rPr>
        <w:t>（四）组队方式</w:t>
      </w:r>
    </w:p>
    <w:p>
      <w:pPr>
        <w:spacing w:line="540" w:lineRule="exact"/>
        <w:ind w:firstLine="568" w:firstLineChars="200"/>
        <w:jc w:val="both"/>
        <w:rPr>
          <w:rFonts w:hint="default" w:ascii="仿宋_GB2312" w:hAnsi="Times New Roman" w:eastAsia="仿宋_GB2312" w:cs="Times New Roman"/>
          <w:spacing w:val="2"/>
          <w:sz w:val="28"/>
          <w:szCs w:val="28"/>
          <w:lang w:val="en-US" w:eastAsia="zh-CN"/>
        </w:rPr>
      </w:pPr>
      <w:r>
        <w:rPr>
          <w:rFonts w:hint="eastAsia" w:ascii="仿宋_GB2312" w:hAnsi="Times New Roman" w:eastAsia="仿宋_GB2312" w:cs="Times New Roman"/>
          <w:spacing w:val="2"/>
          <w:sz w:val="28"/>
          <w:szCs w:val="28"/>
          <w:lang w:val="en-US" w:eastAsia="zh-CN"/>
        </w:rPr>
        <w:t>参赛队伍以学校为单位组队，不得跨校组队，每个参赛院校限报4支队伍。比赛为团体赛，每支队伍参赛选手限2-4人。每支参赛队伍指导教师不超过2名。</w:t>
      </w:r>
    </w:p>
    <w:p>
      <w:pPr>
        <w:spacing w:line="540" w:lineRule="exact"/>
        <w:ind w:left="565"/>
        <w:contextualSpacing/>
        <w:outlineLvl w:val="2"/>
        <w:rPr>
          <w:rFonts w:hint="default" w:ascii="楷体_GB2312" w:hAnsi="Times New Roman" w:eastAsia="楷体_GB2312" w:cs="Times New Roman"/>
          <w:b/>
          <w:bCs/>
          <w:spacing w:val="-5"/>
          <w:sz w:val="28"/>
          <w:szCs w:val="28"/>
          <w:lang w:val="en-US" w:eastAsia="zh-CN"/>
        </w:rPr>
      </w:pPr>
      <w:bookmarkStart w:id="12" w:name="bookmark29"/>
      <w:bookmarkEnd w:id="12"/>
      <w:bookmarkStart w:id="13" w:name="bookmark30"/>
      <w:bookmarkEnd w:id="13"/>
      <w:r>
        <w:rPr>
          <w:rFonts w:ascii="楷体_GB2312" w:hAnsi="Times New Roman" w:eastAsia="楷体_GB2312" w:cs="Times New Roman"/>
          <w:b/>
          <w:bCs/>
          <w:spacing w:val="-5"/>
          <w:sz w:val="28"/>
          <w:szCs w:val="28"/>
          <w:lang w:eastAsia="zh-CN"/>
        </w:rPr>
        <w:t>（</w:t>
      </w:r>
      <w:r>
        <w:rPr>
          <w:rFonts w:hint="eastAsia" w:ascii="楷体_GB2312" w:hAnsi="Times New Roman" w:eastAsia="楷体_GB2312" w:cs="Times New Roman"/>
          <w:b/>
          <w:bCs/>
          <w:spacing w:val="-5"/>
          <w:sz w:val="28"/>
          <w:szCs w:val="28"/>
          <w:lang w:val="en-US" w:eastAsia="zh-CN"/>
        </w:rPr>
        <w:t>五</w:t>
      </w:r>
      <w:r>
        <w:rPr>
          <w:rFonts w:ascii="楷体_GB2312" w:hAnsi="Times New Roman" w:eastAsia="楷体_GB2312" w:cs="Times New Roman"/>
          <w:b/>
          <w:bCs/>
          <w:spacing w:val="-5"/>
          <w:sz w:val="28"/>
          <w:szCs w:val="28"/>
          <w:lang w:eastAsia="zh-CN"/>
        </w:rPr>
        <w:t>）</w:t>
      </w:r>
      <w:r>
        <w:rPr>
          <w:rFonts w:hint="eastAsia" w:ascii="楷体_GB2312" w:hAnsi="Times New Roman" w:eastAsia="楷体_GB2312" w:cs="Times New Roman"/>
          <w:b/>
          <w:bCs/>
          <w:spacing w:val="-5"/>
          <w:sz w:val="28"/>
          <w:szCs w:val="28"/>
          <w:lang w:val="en-US" w:eastAsia="zh-CN"/>
        </w:rPr>
        <w:t>参赛资格</w:t>
      </w:r>
    </w:p>
    <w:p>
      <w:pPr>
        <w:spacing w:line="540" w:lineRule="exact"/>
        <w:ind w:firstLine="568" w:firstLineChars="200"/>
        <w:jc w:val="both"/>
        <w:rPr>
          <w:rFonts w:hint="eastAsia" w:ascii="仿宋_GB2312" w:hAnsi="Times New Roman" w:eastAsia="仿宋_GB2312" w:cs="Times New Roman"/>
          <w:spacing w:val="2"/>
          <w:sz w:val="28"/>
          <w:szCs w:val="28"/>
          <w:lang w:val="en-US" w:eastAsia="zh-CN"/>
        </w:rPr>
      </w:pPr>
      <w:r>
        <w:rPr>
          <w:rFonts w:ascii="仿宋_GB2312" w:hAnsi="Times New Roman" w:eastAsia="仿宋_GB2312" w:cs="Times New Roman"/>
          <w:spacing w:val="2"/>
          <w:sz w:val="28"/>
          <w:szCs w:val="28"/>
          <w:lang w:eastAsia="zh-CN"/>
        </w:rPr>
        <w:t>参赛对象为高职（专科）学校、本科层次职业学</w:t>
      </w:r>
      <w:r>
        <w:rPr>
          <w:rFonts w:hint="eastAsia" w:ascii="仿宋_GB2312" w:hAnsi="Times New Roman" w:eastAsia="仿宋_GB2312" w:cs="Times New Roman"/>
          <w:spacing w:val="2"/>
          <w:sz w:val="28"/>
          <w:szCs w:val="28"/>
          <w:lang w:eastAsia="zh-CN"/>
        </w:rPr>
        <w:t>校（含普通本科学校职教本科专业）、普通本科学校专科全日制</w:t>
      </w:r>
      <w:r>
        <w:rPr>
          <w:rFonts w:hint="eastAsia" w:ascii="仿宋_GB2312" w:hAnsi="Times New Roman" w:eastAsia="仿宋_GB2312" w:cs="Times New Roman"/>
          <w:spacing w:val="2"/>
          <w:sz w:val="28"/>
          <w:szCs w:val="28"/>
          <w:lang w:val="en-US" w:eastAsia="zh-CN"/>
        </w:rPr>
        <w:t xml:space="preserve">正式学籍的在校学生。根据 2026 年世界职业院校技能大赛选拔参赛选手的要求，参赛选手年龄不超过 25 周岁（即 2001 年 </w:t>
      </w:r>
      <w:bookmarkStart w:id="37" w:name="_GoBack"/>
      <w:bookmarkEnd w:id="37"/>
      <w:r>
        <w:rPr>
          <w:rFonts w:hint="eastAsia" w:ascii="仿宋_GB2312" w:hAnsi="Times New Roman" w:eastAsia="仿宋_GB2312" w:cs="Times New Roman"/>
          <w:spacing w:val="2"/>
          <w:sz w:val="28"/>
          <w:szCs w:val="28"/>
          <w:lang w:val="en-US" w:eastAsia="zh-CN"/>
        </w:rPr>
        <w:t>5 月 1 日及以后出生）。五年制学生报名参赛的，四、五年级学生可参加本次大赛。在近两年世界职业院校技能大赛中获金奖的学生，不再参加同一项目（同一组别）的全省竞赛。</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参赛对象所学专业须为报名参赛赛项对应的专业类包含的专业。参赛选手与指导老师报名获得审核确认后不得随意更换。如比赛前参赛选手因故无法参赛，须由参赛院校于开赛 5 个工作日之前向大赛办出具书面说明（学校盖章）PDF版提交至大赛办邮箱，经大赛办审批通过在平台上予以退回、更换；少于 5 个工作日，参赛队不得更换参赛选手；选手因特殊原因不能参加比赛时，则视为自动放弃竞赛</w:t>
      </w:r>
      <w:bookmarkStart w:id="14" w:name="bookmark31"/>
      <w:bookmarkEnd w:id="14"/>
      <w:r>
        <w:rPr>
          <w:rFonts w:hint="eastAsia" w:ascii="仿宋_GB2312" w:hAnsi="Times New Roman" w:eastAsia="仿宋_GB2312" w:cs="Times New Roman"/>
          <w:spacing w:val="2"/>
          <w:sz w:val="28"/>
          <w:szCs w:val="28"/>
          <w:lang w:eastAsia="zh-CN"/>
        </w:rPr>
        <w:t>。</w:t>
      </w:r>
    </w:p>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hint="eastAsia" w:ascii="楷体_GB2312" w:hAnsi="Times New Roman" w:eastAsia="楷体_GB2312" w:cs="Times New Roman"/>
          <w:b/>
          <w:bCs/>
          <w:spacing w:val="-5"/>
          <w:sz w:val="28"/>
          <w:szCs w:val="28"/>
          <w:lang w:eastAsia="zh-CN"/>
        </w:rPr>
        <w:t>（</w:t>
      </w:r>
      <w:r>
        <w:rPr>
          <w:rFonts w:hint="eastAsia" w:ascii="楷体_GB2312" w:hAnsi="Times New Roman" w:eastAsia="楷体_GB2312" w:cs="Times New Roman"/>
          <w:b/>
          <w:bCs/>
          <w:spacing w:val="-5"/>
          <w:sz w:val="28"/>
          <w:szCs w:val="28"/>
          <w:lang w:val="en-US" w:eastAsia="zh-CN"/>
        </w:rPr>
        <w:t>六</w:t>
      </w:r>
      <w:r>
        <w:rPr>
          <w:rFonts w:hint="eastAsia" w:ascii="楷体_GB2312" w:hAnsi="Times New Roman" w:eastAsia="楷体_GB2312" w:cs="Times New Roman"/>
          <w:b/>
          <w:bCs/>
          <w:spacing w:val="-5"/>
          <w:sz w:val="28"/>
          <w:szCs w:val="28"/>
          <w:lang w:eastAsia="zh-CN"/>
        </w:rPr>
        <w:t>）</w:t>
      </w:r>
      <w:r>
        <w:rPr>
          <w:rFonts w:ascii="楷体_GB2312" w:hAnsi="Times New Roman" w:eastAsia="楷体_GB2312" w:cs="Times New Roman"/>
          <w:b/>
          <w:bCs/>
          <w:spacing w:val="-5"/>
          <w:sz w:val="28"/>
          <w:szCs w:val="28"/>
          <w:lang w:eastAsia="zh-CN"/>
        </w:rPr>
        <w:t>比赛抽签办法</w:t>
      </w:r>
    </w:p>
    <w:bookmarkEnd w:id="0"/>
    <w:p>
      <w:pPr>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val="en-US" w:eastAsia="zh-CN"/>
        </w:rPr>
        <w:t>比赛前一天</w:t>
      </w:r>
      <w:r>
        <w:rPr>
          <w:rFonts w:ascii="仿宋_GB2312" w:hAnsi="Times New Roman" w:eastAsia="仿宋_GB2312" w:cs="Times New Roman"/>
          <w:spacing w:val="2"/>
          <w:sz w:val="28"/>
          <w:szCs w:val="28"/>
          <w:lang w:eastAsia="zh-CN"/>
        </w:rPr>
        <w:t>领队会后进行现场抽签，抽取各参赛队编号，用参赛队编号替换参赛队伍参赛证等身份信息。第一次加密按大赛报名系统导出的参赛队列表顺序依次抽取参赛队编号。</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比赛当天再进行抽签加密。第二次加密由加密裁判组织参赛队根据各参赛队编号由小到大的顺序依次抽取出场顺序号。</w:t>
      </w:r>
      <w:r>
        <w:rPr>
          <w:rFonts w:hint="eastAsia" w:ascii="仿宋_GB2312" w:hAnsi="Times New Roman" w:eastAsia="仿宋_GB2312" w:cs="Times New Roman"/>
          <w:spacing w:val="2"/>
          <w:sz w:val="28"/>
          <w:szCs w:val="28"/>
          <w:lang w:eastAsia="zh-CN"/>
        </w:rPr>
        <w:t>每支队伍</w:t>
      </w:r>
      <w:r>
        <w:rPr>
          <w:rFonts w:ascii="仿宋_GB2312" w:hAnsi="Times New Roman" w:eastAsia="仿宋_GB2312" w:cs="Times New Roman"/>
          <w:spacing w:val="2"/>
          <w:sz w:val="28"/>
          <w:szCs w:val="28"/>
          <w:lang w:eastAsia="zh-CN"/>
        </w:rPr>
        <w:t>均需进行两次加密。</w:t>
      </w:r>
    </w:p>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ascii="楷体_GB2312" w:hAnsi="Times New Roman" w:eastAsia="楷体_GB2312" w:cs="Times New Roman"/>
          <w:b/>
          <w:bCs/>
          <w:spacing w:val="-5"/>
          <w:sz w:val="28"/>
          <w:szCs w:val="28"/>
          <w:lang w:eastAsia="zh-CN"/>
        </w:rPr>
        <w:t>（</w:t>
      </w:r>
      <w:r>
        <w:rPr>
          <w:rFonts w:hint="eastAsia" w:ascii="楷体_GB2312" w:hAnsi="Times New Roman" w:eastAsia="楷体_GB2312" w:cs="Times New Roman"/>
          <w:b/>
          <w:bCs/>
          <w:spacing w:val="-5"/>
          <w:sz w:val="28"/>
          <w:szCs w:val="28"/>
          <w:lang w:val="en-US" w:eastAsia="zh-CN"/>
        </w:rPr>
        <w:t>七</w:t>
      </w:r>
      <w:r>
        <w:rPr>
          <w:rFonts w:ascii="楷体_GB2312" w:hAnsi="Times New Roman" w:eastAsia="楷体_GB2312" w:cs="Times New Roman"/>
          <w:b/>
          <w:bCs/>
          <w:spacing w:val="-5"/>
          <w:sz w:val="28"/>
          <w:szCs w:val="28"/>
          <w:lang w:eastAsia="zh-CN"/>
        </w:rPr>
        <w:t>）参赛选手入场</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参赛选手应提前15分钟到达赛场，凭三证检录</w:t>
      </w:r>
      <w:r>
        <w:rPr>
          <w:rFonts w:hint="eastAsia" w:ascii="仿宋_GB2312" w:hAnsi="Times New Roman" w:eastAsia="仿宋_GB2312" w:cs="Times New Roman"/>
          <w:spacing w:val="2"/>
          <w:sz w:val="28"/>
          <w:szCs w:val="28"/>
          <w:lang w:eastAsia="zh-CN"/>
        </w:rPr>
        <w:t>（</w:t>
      </w:r>
      <w:r>
        <w:rPr>
          <w:rFonts w:ascii="仿宋_GB2312" w:hAnsi="Times New Roman" w:eastAsia="仿宋_GB2312" w:cs="Times New Roman"/>
          <w:spacing w:val="2"/>
          <w:sz w:val="28"/>
          <w:szCs w:val="28"/>
          <w:lang w:eastAsia="zh-CN"/>
        </w:rPr>
        <w:t>身份证、学生证、参赛证</w:t>
      </w:r>
      <w:r>
        <w:rPr>
          <w:rFonts w:hint="eastAsia" w:ascii="仿宋_GB2312" w:hAnsi="Times New Roman" w:eastAsia="仿宋_GB2312" w:cs="Times New Roman"/>
          <w:spacing w:val="2"/>
          <w:sz w:val="28"/>
          <w:szCs w:val="28"/>
          <w:lang w:eastAsia="zh-CN"/>
        </w:rPr>
        <w:t>）</w:t>
      </w:r>
      <w:r>
        <w:rPr>
          <w:rFonts w:ascii="仿宋_GB2312" w:hAnsi="Times New Roman" w:eastAsia="仿宋_GB2312" w:cs="Times New Roman"/>
          <w:spacing w:val="2"/>
          <w:sz w:val="28"/>
          <w:szCs w:val="28"/>
          <w:lang w:eastAsia="zh-CN"/>
        </w:rPr>
        <w:t>，不得迟到。严禁参赛选手携带与竞赛无关的电子设备、通讯设备及其他相关资料与用品入场。</w:t>
      </w:r>
    </w:p>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ascii="楷体_GB2312" w:hAnsi="Times New Roman" w:eastAsia="楷体_GB2312" w:cs="Times New Roman"/>
          <w:b/>
          <w:bCs/>
          <w:spacing w:val="-5"/>
          <w:sz w:val="28"/>
          <w:szCs w:val="28"/>
          <w:lang w:eastAsia="zh-CN"/>
        </w:rPr>
        <w:t>（</w:t>
      </w:r>
      <w:r>
        <w:rPr>
          <w:rFonts w:hint="eastAsia" w:ascii="楷体_GB2312" w:hAnsi="Times New Roman" w:eastAsia="楷体_GB2312" w:cs="Times New Roman"/>
          <w:b/>
          <w:bCs/>
          <w:spacing w:val="-5"/>
          <w:sz w:val="28"/>
          <w:szCs w:val="28"/>
          <w:lang w:val="en-US" w:eastAsia="zh-CN"/>
        </w:rPr>
        <w:t>八</w:t>
      </w:r>
      <w:r>
        <w:rPr>
          <w:rFonts w:ascii="楷体_GB2312" w:hAnsi="Times New Roman" w:eastAsia="楷体_GB2312" w:cs="Times New Roman"/>
          <w:b/>
          <w:bCs/>
          <w:spacing w:val="-5"/>
          <w:sz w:val="28"/>
          <w:szCs w:val="28"/>
          <w:lang w:eastAsia="zh-CN"/>
        </w:rPr>
        <w:t>）正式比赛</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参赛选手凭二次加密号牌进入备考室，统一听从裁判长发布的竞赛指令，合理利用现场提供的所有条件完成竞赛任务。竞赛过程中，选手须自觉接受裁判员的监督和警示，以确保比赛人身及设备安全。选手因个人操作失误造成人身安全事故和设备故障时，裁判长有权中止该选手竞赛；如非选手个人因素出现设备故障而无法竞赛，由裁判长视具体情况做出裁决，如裁判长确定设备故障可由技术支持人员排除故障后继续竞赛，将给参赛选手补足所耽误的竞赛时间。竞赛结束后，参赛选手须完成现场清理并经裁判员同意后方可离开</w:t>
      </w:r>
      <w:r>
        <w:rPr>
          <w:rFonts w:hint="eastAsia" w:ascii="仿宋_GB2312" w:hAnsi="Times New Roman" w:eastAsia="仿宋_GB2312" w:cs="Times New Roman"/>
          <w:spacing w:val="2"/>
          <w:sz w:val="28"/>
          <w:szCs w:val="28"/>
          <w:lang w:eastAsia="zh-CN"/>
        </w:rPr>
        <w:t>。</w:t>
      </w:r>
    </w:p>
    <w:p>
      <w:pPr>
        <w:numPr>
          <w:ilvl w:val="0"/>
          <w:numId w:val="0"/>
        </w:numPr>
        <w:spacing w:line="540" w:lineRule="exact"/>
        <w:ind w:firstLine="528" w:firstLineChars="200"/>
        <w:contextualSpacing/>
        <w:rPr>
          <w:rFonts w:hint="eastAsia" w:ascii="黑体" w:hAnsi="黑体" w:eastAsia="黑体" w:cs="黑体"/>
          <w:spacing w:val="-8"/>
          <w:sz w:val="28"/>
          <w:szCs w:val="28"/>
          <w:lang w:eastAsia="zh-CN"/>
        </w:rPr>
      </w:pPr>
      <w:r>
        <w:rPr>
          <w:rFonts w:hint="eastAsia" w:ascii="黑体" w:hAnsi="黑体" w:eastAsia="黑体" w:cs="黑体"/>
          <w:spacing w:val="-8"/>
          <w:sz w:val="28"/>
          <w:szCs w:val="28"/>
          <w:lang w:val="en-US" w:eastAsia="zh-CN"/>
        </w:rPr>
        <w:t>六、</w:t>
      </w:r>
      <w:r>
        <w:rPr>
          <w:rFonts w:hint="eastAsia" w:ascii="黑体" w:hAnsi="黑体" w:eastAsia="黑体" w:cs="黑体"/>
          <w:spacing w:val="-8"/>
          <w:sz w:val="28"/>
          <w:szCs w:val="28"/>
          <w:lang w:eastAsia="zh-CN"/>
        </w:rPr>
        <w:t>比</w:t>
      </w:r>
      <w:r>
        <w:rPr>
          <w:rFonts w:ascii="黑体" w:hAnsi="黑体" w:eastAsia="黑体" w:cs="黑体"/>
          <w:spacing w:val="-8"/>
          <w:sz w:val="28"/>
          <w:szCs w:val="28"/>
          <w:lang w:eastAsia="zh-CN"/>
        </w:rPr>
        <w:t>赛场地设备</w:t>
      </w:r>
      <w:r>
        <w:rPr>
          <w:rFonts w:hint="eastAsia" w:ascii="黑体" w:hAnsi="黑体" w:eastAsia="黑体" w:cs="黑体"/>
          <w:spacing w:val="-8"/>
          <w:sz w:val="28"/>
          <w:szCs w:val="28"/>
          <w:lang w:eastAsia="zh-CN"/>
        </w:rPr>
        <w:t>及安全</w:t>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15" w:name="bookmark32"/>
      <w:bookmarkEnd w:id="15"/>
      <w:r>
        <w:rPr>
          <w:rFonts w:hint="eastAsia" w:ascii="楷体_GB2312" w:hAnsi="Times New Roman" w:eastAsia="楷体_GB2312" w:cs="Times New Roman"/>
          <w:b/>
          <w:bCs/>
          <w:spacing w:val="-5"/>
          <w:sz w:val="28"/>
          <w:szCs w:val="28"/>
          <w:lang w:eastAsia="zh-CN"/>
        </w:rPr>
        <w:t>（一）</w:t>
      </w:r>
      <w:r>
        <w:rPr>
          <w:rFonts w:ascii="楷体_GB2312" w:hAnsi="Times New Roman" w:eastAsia="楷体_GB2312" w:cs="Times New Roman"/>
          <w:b/>
          <w:bCs/>
          <w:spacing w:val="-5"/>
          <w:sz w:val="28"/>
          <w:szCs w:val="28"/>
          <w:lang w:eastAsia="zh-CN"/>
        </w:rPr>
        <w:t>赛场描述</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比赛场地划分为检录、候赛室、比赛场、参赛设备存储区、裁判工作区、承办校/参赛人员休息室等区域。现场比赛场地不小于4m×6m，完善的引导标识和监控设施设备，竞赛现场全程高清录音录像。</w:t>
      </w:r>
    </w:p>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hint="eastAsia" w:ascii="楷体_GB2312" w:hAnsi="Times New Roman" w:eastAsia="楷体_GB2312" w:cs="Times New Roman"/>
          <w:b/>
          <w:bCs/>
          <w:spacing w:val="-5"/>
          <w:sz w:val="28"/>
          <w:szCs w:val="28"/>
          <w:lang w:eastAsia="zh-CN"/>
        </w:rPr>
        <w:t>（二）</w:t>
      </w:r>
      <w:r>
        <w:rPr>
          <w:rFonts w:ascii="楷体_GB2312" w:hAnsi="Times New Roman" w:eastAsia="楷体_GB2312" w:cs="Times New Roman"/>
          <w:b/>
          <w:bCs/>
          <w:spacing w:val="-5"/>
          <w:sz w:val="28"/>
          <w:szCs w:val="28"/>
          <w:lang w:eastAsia="zh-CN"/>
        </w:rPr>
        <w:t>设备要求</w:t>
      </w:r>
    </w:p>
    <w:p>
      <w:pPr>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技能操作所需设备和材料不做统一要求，承办院校为参赛队伍提供现有设备和材料清单，供参赛队伍选择使用，不足部分由参赛队伍自行准备。</w:t>
      </w:r>
    </w:p>
    <w:p>
      <w:pPr>
        <w:ind w:firstLine="568" w:firstLineChars="200"/>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承办院校向参赛队伍提供的设备信息清单如表2所示</w:t>
      </w:r>
      <w:r>
        <w:rPr>
          <w:rFonts w:hint="eastAsia" w:ascii="仿宋_GB2312" w:hAnsi="Times New Roman" w:eastAsia="仿宋_GB2312" w:cs="Times New Roman"/>
          <w:spacing w:val="2"/>
          <w:sz w:val="28"/>
          <w:szCs w:val="28"/>
          <w:lang w:eastAsia="zh-CN"/>
        </w:rPr>
        <w:t>。</w:t>
      </w:r>
    </w:p>
    <w:p>
      <w:pPr>
        <w:kinsoku/>
        <w:autoSpaceDE/>
        <w:autoSpaceDN/>
        <w:adjustRightInd/>
        <w:snapToGrid/>
        <w:textAlignment w:val="auto"/>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br w:type="page"/>
      </w:r>
    </w:p>
    <w:p>
      <w:pPr>
        <w:pStyle w:val="11"/>
        <w:spacing w:line="540" w:lineRule="exact"/>
        <w:contextualSpacing/>
        <w:jc w:val="center"/>
        <w:rPr>
          <w:rFonts w:hint="eastAsia" w:ascii="宋体" w:hAnsi="宋体" w:eastAsia="宋体"/>
          <w:b/>
          <w:bCs/>
          <w:sz w:val="24"/>
          <w:szCs w:val="24"/>
          <w:lang w:eastAsia="zh-CN"/>
        </w:rPr>
      </w:pPr>
      <w:r>
        <w:rPr>
          <w:rFonts w:ascii="宋体" w:hAnsi="宋体" w:eastAsia="宋体"/>
          <w:b/>
          <w:bCs/>
          <w:sz w:val="24"/>
          <w:szCs w:val="24"/>
          <w:lang w:eastAsia="zh-CN"/>
        </w:rPr>
        <w:t>表2  承办院校提供的设备和场地信息清单</w:t>
      </w:r>
    </w:p>
    <w:tbl>
      <w:tblPr>
        <w:tblStyle w:val="41"/>
        <w:tblW w:w="88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3"/>
        <w:gridCol w:w="2093"/>
        <w:gridCol w:w="1914"/>
        <w:gridCol w:w="1671"/>
        <w:gridCol w:w="168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58" w:hRule="atLeast"/>
        </w:trPr>
        <w:tc>
          <w:tcPr>
            <w:tcW w:w="1523"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承办院校</w:t>
            </w:r>
          </w:p>
        </w:tc>
        <w:tc>
          <w:tcPr>
            <w:tcW w:w="7360" w:type="dxa"/>
            <w:gridSpan w:val="4"/>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eastAsia="zh-CN"/>
              </w:rPr>
              <w:t>海南科技职业大学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66" w:hRule="atLeast"/>
        </w:trPr>
        <w:tc>
          <w:tcPr>
            <w:tcW w:w="1523"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eastAsia="zh-CN"/>
              </w:rPr>
              <w:t>赛项</w:t>
            </w:r>
          </w:p>
        </w:tc>
        <w:tc>
          <w:tcPr>
            <w:tcW w:w="7360" w:type="dxa"/>
            <w:gridSpan w:val="4"/>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eastAsia="zh-CN"/>
              </w:rPr>
              <w:t>幼儿教育技能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9" w:hRule="atLeast"/>
        </w:trPr>
        <w:tc>
          <w:tcPr>
            <w:tcW w:w="1523"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类别</w:t>
            </w:r>
          </w:p>
        </w:tc>
        <w:tc>
          <w:tcPr>
            <w:tcW w:w="2093"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名称</w:t>
            </w:r>
          </w:p>
        </w:tc>
        <w:tc>
          <w:tcPr>
            <w:tcW w:w="1914"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型号</w:t>
            </w:r>
          </w:p>
        </w:tc>
        <w:tc>
          <w:tcPr>
            <w:tcW w:w="1671"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台套数</w:t>
            </w:r>
          </w:p>
        </w:tc>
        <w:tc>
          <w:tcPr>
            <w:tcW w:w="1682"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0" w:hRule="atLeast"/>
        </w:trPr>
        <w:tc>
          <w:tcPr>
            <w:tcW w:w="1523" w:type="dxa"/>
            <w:vMerge w:val="restart"/>
            <w:tcBorders>
              <w:bottom w:val="nil"/>
            </w:tcBorders>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硬件</w:t>
            </w:r>
          </w:p>
        </w:tc>
        <w:tc>
          <w:tcPr>
            <w:tcW w:w="209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可移动电子屏</w:t>
            </w:r>
          </w:p>
        </w:tc>
        <w:tc>
          <w:tcPr>
            <w:tcW w:w="1914" w:type="dxa"/>
            <w:vAlign w:val="center"/>
          </w:tcPr>
          <w:p>
            <w:pPr>
              <w:contextualSpacing/>
              <w:jc w:val="center"/>
              <w:rPr>
                <w:rFonts w:ascii="Times New Roman" w:hAnsi="Times New Roman" w:eastAsia="方正仿宋_GB2312" w:cs="Times New Roman"/>
                <w:sz w:val="24"/>
                <w:szCs w:val="24"/>
                <w:lang w:eastAsia="zh-CN" w:bidi="ar"/>
              </w:rPr>
            </w:pPr>
            <w:r>
              <w:rPr>
                <w:rFonts w:hint="eastAsia" w:ascii="Times New Roman" w:hAnsi="Times New Roman" w:eastAsia="方正仿宋_GB2312" w:cs="Times New Roman"/>
                <w:sz w:val="24"/>
                <w:szCs w:val="24"/>
                <w:lang w:val="en-US" w:eastAsia="zh-CN" w:bidi="ar"/>
              </w:rPr>
              <w:t>海康威视/云蝶</w:t>
            </w:r>
          </w:p>
        </w:tc>
        <w:tc>
          <w:tcPr>
            <w:tcW w:w="1671" w:type="dxa"/>
            <w:vAlign w:val="center"/>
          </w:tcPr>
          <w:p>
            <w:pPr>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1 台</w:t>
            </w:r>
          </w:p>
        </w:tc>
        <w:tc>
          <w:tcPr>
            <w:tcW w:w="1682" w:type="dxa"/>
            <w:vAlign w:val="center"/>
          </w:tcPr>
          <w:p>
            <w:pPr>
              <w:contextualSpacing/>
              <w:jc w:val="center"/>
              <w:rPr>
                <w:rFonts w:ascii="Times New Roman" w:hAnsi="Times New Roman" w:eastAsia="方正仿宋_GB2312" w:cs="Times New Roman"/>
                <w:sz w:val="24"/>
                <w:szCs w:val="24"/>
                <w:lang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0" w:hRule="atLeast"/>
        </w:trPr>
        <w:tc>
          <w:tcPr>
            <w:tcW w:w="1523" w:type="dxa"/>
            <w:vMerge w:val="continue"/>
            <w:tcBorders>
              <w:top w:val="nil"/>
              <w:bottom w:val="nil"/>
            </w:tcBorders>
          </w:tcPr>
          <w:p>
            <w:pPr>
              <w:spacing w:line="540" w:lineRule="exact"/>
              <w:contextualSpacing/>
              <w:rPr>
                <w:sz w:val="20"/>
              </w:rPr>
            </w:pPr>
          </w:p>
        </w:tc>
        <w:tc>
          <w:tcPr>
            <w:tcW w:w="209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hint="eastAsia" w:ascii="方正仿宋_GB2312" w:hAnsi="方正仿宋_GB2312" w:eastAsia="方正仿宋_GB2312" w:cs="方正仿宋_GB2312"/>
                <w:sz w:val="24"/>
                <w:szCs w:val="24"/>
                <w:lang w:val="en-US" w:eastAsia="zh-CN" w:bidi="ar"/>
              </w:rPr>
              <w:t>支架</w:t>
            </w:r>
            <w:r>
              <w:rPr>
                <w:rFonts w:ascii="方正仿宋_GB2312" w:hAnsi="方正仿宋_GB2312" w:eastAsia="方正仿宋_GB2312" w:cs="方正仿宋_GB2312"/>
                <w:sz w:val="24"/>
                <w:szCs w:val="24"/>
                <w:lang w:eastAsia="zh-CN" w:bidi="ar"/>
              </w:rPr>
              <w:t>白板</w:t>
            </w:r>
          </w:p>
        </w:tc>
        <w:tc>
          <w:tcPr>
            <w:tcW w:w="1914" w:type="dxa"/>
            <w:vAlign w:val="center"/>
          </w:tcPr>
          <w:p>
            <w:pPr>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90*120cm</w:t>
            </w:r>
          </w:p>
        </w:tc>
        <w:tc>
          <w:tcPr>
            <w:tcW w:w="1671" w:type="dxa"/>
            <w:vAlign w:val="center"/>
          </w:tcPr>
          <w:p>
            <w:pPr>
              <w:contextualSpacing/>
              <w:jc w:val="center"/>
              <w:rPr>
                <w:rFonts w:ascii="Times New Roman" w:hAnsi="Times New Roman" w:eastAsia="方正仿宋_GB2312" w:cs="Times New Roman"/>
                <w:sz w:val="24"/>
                <w:szCs w:val="24"/>
                <w:lang w:eastAsia="zh-CN" w:bidi="ar"/>
              </w:rPr>
            </w:pPr>
            <w:r>
              <w:rPr>
                <w:rFonts w:ascii="Times New Roman" w:hAnsi="Times New Roman" w:eastAsia="方正仿宋_GB2312" w:cs="Times New Roman"/>
                <w:sz w:val="24"/>
                <w:szCs w:val="24"/>
                <w:lang w:eastAsia="zh-CN" w:bidi="ar"/>
              </w:rPr>
              <w:t>1 块</w:t>
            </w:r>
          </w:p>
        </w:tc>
        <w:tc>
          <w:tcPr>
            <w:tcW w:w="1682" w:type="dxa"/>
            <w:vAlign w:val="center"/>
          </w:tcPr>
          <w:p>
            <w:pPr>
              <w:contextualSpacing/>
              <w:jc w:val="center"/>
              <w:rPr>
                <w:rFonts w:ascii="Times New Roman" w:hAnsi="Times New Roman" w:eastAsia="方正仿宋_GB2312" w:cs="Times New Roman"/>
                <w:sz w:val="24"/>
                <w:szCs w:val="24"/>
                <w:lang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0" w:hRule="atLeast"/>
        </w:trPr>
        <w:tc>
          <w:tcPr>
            <w:tcW w:w="1523" w:type="dxa"/>
            <w:vMerge w:val="continue"/>
            <w:tcBorders>
              <w:top w:val="nil"/>
            </w:tcBorders>
          </w:tcPr>
          <w:p>
            <w:pPr>
              <w:spacing w:line="540" w:lineRule="exact"/>
              <w:contextualSpacing/>
              <w:rPr>
                <w:sz w:val="20"/>
              </w:rPr>
            </w:pPr>
          </w:p>
        </w:tc>
        <w:tc>
          <w:tcPr>
            <w:tcW w:w="2093" w:type="dxa"/>
            <w:vAlign w:val="center"/>
          </w:tcPr>
          <w:p>
            <w:pPr>
              <w:pStyle w:val="42"/>
              <w:spacing w:before="78"/>
              <w:contextualSpacing/>
              <w:jc w:val="center"/>
              <w:rPr>
                <w:rFonts w:hint="eastAsia" w:ascii="方正仿宋_GB2312" w:hAnsi="方正仿宋_GB2312" w:eastAsia="方正仿宋_GB2312" w:cs="方正仿宋_GB2312"/>
                <w:lang w:eastAsia="zh-CN" w:bidi="ar"/>
              </w:rPr>
            </w:pPr>
            <w:r>
              <w:rPr>
                <w:rFonts w:hint="eastAsia" w:ascii="方正仿宋_GB2312" w:hAnsi="方正仿宋_GB2312" w:eastAsia="方正仿宋_GB2312" w:cs="方正仿宋_GB2312"/>
                <w:lang w:eastAsia="zh-CN" w:bidi="ar"/>
              </w:rPr>
              <w:t>立式钢</w:t>
            </w:r>
            <w:r>
              <w:rPr>
                <w:rFonts w:ascii="方正仿宋_GB2312" w:hAnsi="方正仿宋_GB2312" w:eastAsia="方正仿宋_GB2312" w:cs="方正仿宋_GB2312"/>
                <w:lang w:eastAsia="zh-CN" w:bidi="ar"/>
              </w:rPr>
              <w:t>琴</w:t>
            </w:r>
          </w:p>
        </w:tc>
        <w:tc>
          <w:tcPr>
            <w:tcW w:w="1914" w:type="dxa"/>
            <w:vAlign w:val="center"/>
          </w:tcPr>
          <w:p>
            <w:pPr>
              <w:pStyle w:val="42"/>
              <w:spacing w:before="71"/>
              <w:ind w:firstLine="720" w:firstLineChars="300"/>
              <w:contextualSpacing/>
              <w:jc w:val="both"/>
              <w:rPr>
                <w:rFonts w:ascii="Times New Roman" w:hAnsi="Times New Roman" w:eastAsia="方正仿宋_GB2312" w:cs="Times New Roman"/>
                <w:lang w:eastAsia="zh-CN" w:bidi="ar"/>
              </w:rPr>
            </w:pPr>
            <w:r>
              <w:rPr>
                <w:rFonts w:ascii="Times New Roman" w:hAnsi="Times New Roman" w:eastAsia="方正仿宋_GB2312" w:cs="Times New Roman"/>
                <w:lang w:eastAsia="zh-CN" w:bidi="ar"/>
              </w:rPr>
              <w:t>88 键</w:t>
            </w:r>
          </w:p>
        </w:tc>
        <w:tc>
          <w:tcPr>
            <w:tcW w:w="1671" w:type="dxa"/>
            <w:vAlign w:val="center"/>
          </w:tcPr>
          <w:p>
            <w:pPr>
              <w:pStyle w:val="42"/>
              <w:spacing w:before="78"/>
              <w:contextualSpacing/>
              <w:jc w:val="center"/>
              <w:rPr>
                <w:rFonts w:ascii="Times New Roman" w:hAnsi="Times New Roman" w:eastAsia="方正仿宋_GB2312" w:cs="Times New Roman"/>
                <w:lang w:eastAsia="zh-CN" w:bidi="ar"/>
              </w:rPr>
            </w:pPr>
            <w:r>
              <w:rPr>
                <w:rFonts w:ascii="Times New Roman" w:hAnsi="Times New Roman" w:eastAsia="方正仿宋_GB2312" w:cs="Times New Roman"/>
                <w:lang w:eastAsia="zh-CN" w:bidi="ar"/>
              </w:rPr>
              <w:t>1 台</w:t>
            </w:r>
          </w:p>
        </w:tc>
        <w:tc>
          <w:tcPr>
            <w:tcW w:w="1682" w:type="dxa"/>
            <w:vAlign w:val="center"/>
          </w:tcPr>
          <w:p>
            <w:pPr>
              <w:contextualSpacing/>
              <w:jc w:val="center"/>
              <w:rPr>
                <w:rFonts w:ascii="Times New Roman" w:hAnsi="Times New Roman" w:eastAsia="方正仿宋_GB2312" w:cs="Times New Roman"/>
                <w:sz w:val="24"/>
                <w:szCs w:val="24"/>
                <w:lang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0" w:hRule="atLeast"/>
        </w:trPr>
        <w:tc>
          <w:tcPr>
            <w:tcW w:w="1523" w:type="dxa"/>
            <w:vMerge w:val="continue"/>
            <w:tcBorders>
              <w:top w:val="nil"/>
            </w:tcBorders>
          </w:tcPr>
          <w:p>
            <w:pPr>
              <w:spacing w:line="540" w:lineRule="exact"/>
              <w:contextualSpacing/>
              <w:rPr>
                <w:sz w:val="20"/>
              </w:rPr>
            </w:pPr>
          </w:p>
        </w:tc>
        <w:tc>
          <w:tcPr>
            <w:tcW w:w="2093" w:type="dxa"/>
            <w:vAlign w:val="center"/>
          </w:tcPr>
          <w:p>
            <w:pPr>
              <w:pStyle w:val="42"/>
              <w:spacing w:before="78"/>
              <w:contextualSpacing/>
              <w:jc w:val="center"/>
              <w:rPr>
                <w:rFonts w:hint="default" w:ascii="方正仿宋_GB2312" w:hAnsi="方正仿宋_GB2312" w:eastAsia="方正仿宋_GB2312" w:cs="方正仿宋_GB2312"/>
                <w:lang w:val="en-US" w:eastAsia="zh-CN" w:bidi="ar"/>
              </w:rPr>
            </w:pPr>
            <w:r>
              <w:rPr>
                <w:rFonts w:hint="eastAsia" w:ascii="方正仿宋_GB2312" w:hAnsi="方正仿宋_GB2312" w:eastAsia="方正仿宋_GB2312" w:cs="方正仿宋_GB2312"/>
                <w:lang w:eastAsia="zh-CN" w:bidi="ar"/>
              </w:rPr>
              <w:t>幼儿</w:t>
            </w:r>
            <w:r>
              <w:rPr>
                <w:rFonts w:ascii="方正仿宋_GB2312" w:hAnsi="方正仿宋_GB2312" w:eastAsia="方正仿宋_GB2312" w:cs="方正仿宋_GB2312"/>
                <w:lang w:eastAsia="zh-CN" w:bidi="ar"/>
              </w:rPr>
              <w:t>桌</w:t>
            </w:r>
            <w:r>
              <w:rPr>
                <w:rFonts w:hint="eastAsia" w:ascii="方正仿宋_GB2312" w:hAnsi="方正仿宋_GB2312" w:eastAsia="方正仿宋_GB2312" w:cs="方正仿宋_GB2312"/>
                <w:lang w:val="en-US" w:eastAsia="zh-CN" w:bidi="ar"/>
              </w:rPr>
              <w:t>子</w:t>
            </w:r>
          </w:p>
        </w:tc>
        <w:tc>
          <w:tcPr>
            <w:tcW w:w="1914" w:type="dxa"/>
            <w:vAlign w:val="center"/>
          </w:tcPr>
          <w:p>
            <w:pPr>
              <w:pStyle w:val="42"/>
              <w:spacing w:before="74"/>
              <w:ind w:firstLine="480" w:firstLineChars="200"/>
              <w:contextualSpacing/>
              <w:jc w:val="both"/>
              <w:rPr>
                <w:rFonts w:ascii="Times New Roman" w:hAnsi="Times New Roman" w:eastAsia="方正仿宋_GB2312" w:cs="Times New Roman"/>
                <w:lang w:eastAsia="zh-CN" w:bidi="ar"/>
              </w:rPr>
            </w:pPr>
            <w:r>
              <w:rPr>
                <w:rFonts w:hint="eastAsia" w:ascii="Times New Roman" w:hAnsi="Times New Roman" w:eastAsia="方正仿宋_GB2312" w:cs="Times New Roman"/>
                <w:sz w:val="24"/>
                <w:szCs w:val="24"/>
                <w:lang w:val="en-US" w:eastAsia="zh-CN" w:bidi="ar"/>
              </w:rPr>
              <w:t>120*60</w:t>
            </w:r>
            <w:r>
              <w:rPr>
                <w:rFonts w:hint="default" w:ascii="Times New Roman" w:hAnsi="Times New Roman" w:eastAsia="方正仿宋_GB2312" w:cs="Times New Roman"/>
                <w:sz w:val="24"/>
                <w:szCs w:val="24"/>
                <w:lang w:val="en-US" w:eastAsia="zh-CN" w:bidi="ar"/>
              </w:rPr>
              <w:t>cm</w:t>
            </w:r>
          </w:p>
        </w:tc>
        <w:tc>
          <w:tcPr>
            <w:tcW w:w="1671" w:type="dxa"/>
            <w:vAlign w:val="center"/>
          </w:tcPr>
          <w:p>
            <w:pPr>
              <w:pStyle w:val="42"/>
              <w:spacing w:before="78"/>
              <w:contextualSpacing/>
              <w:jc w:val="center"/>
              <w:rPr>
                <w:rFonts w:hint="default" w:ascii="Times New Roman" w:hAnsi="Times New Roman" w:eastAsia="方正仿宋_GB2312" w:cs="Times New Roman"/>
                <w:lang w:val="en-US" w:eastAsia="zh-CN" w:bidi="ar"/>
              </w:rPr>
            </w:pPr>
            <w:r>
              <w:rPr>
                <w:rFonts w:ascii="Times New Roman" w:hAnsi="Times New Roman" w:eastAsia="方正仿宋_GB2312" w:cs="Times New Roman"/>
                <w:lang w:eastAsia="zh-CN" w:bidi="ar"/>
              </w:rPr>
              <w:t>1</w:t>
            </w:r>
            <w:r>
              <w:rPr>
                <w:rFonts w:hint="eastAsia" w:ascii="Times New Roman" w:hAnsi="Times New Roman" w:eastAsia="方正仿宋_GB2312" w:cs="Times New Roman"/>
                <w:lang w:eastAsia="zh-CN" w:bidi="ar"/>
              </w:rPr>
              <w:t xml:space="preserve"> </w:t>
            </w:r>
            <w:r>
              <w:rPr>
                <w:rFonts w:hint="eastAsia" w:ascii="Times New Roman" w:hAnsi="Times New Roman" w:eastAsia="方正仿宋_GB2312" w:cs="Times New Roman"/>
                <w:lang w:val="en-US" w:eastAsia="zh-CN" w:bidi="ar"/>
              </w:rPr>
              <w:t>台</w:t>
            </w:r>
          </w:p>
        </w:tc>
        <w:tc>
          <w:tcPr>
            <w:tcW w:w="1682" w:type="dxa"/>
            <w:vAlign w:val="center"/>
          </w:tcPr>
          <w:p>
            <w:pPr>
              <w:contextualSpacing/>
              <w:jc w:val="center"/>
              <w:rPr>
                <w:rFonts w:ascii="Times New Roman" w:hAnsi="Times New Roman" w:eastAsia="方正仿宋_GB2312" w:cs="Times New Roman"/>
                <w:sz w:val="24"/>
                <w:szCs w:val="24"/>
                <w:lang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0" w:hRule="atLeast"/>
        </w:trPr>
        <w:tc>
          <w:tcPr>
            <w:tcW w:w="1523" w:type="dxa"/>
            <w:vMerge w:val="continue"/>
            <w:tcBorders>
              <w:top w:val="nil"/>
            </w:tcBorders>
          </w:tcPr>
          <w:p>
            <w:pPr>
              <w:spacing w:line="540" w:lineRule="exact"/>
              <w:contextualSpacing/>
              <w:rPr>
                <w:sz w:val="20"/>
              </w:rPr>
            </w:pPr>
          </w:p>
        </w:tc>
        <w:tc>
          <w:tcPr>
            <w:tcW w:w="2093" w:type="dxa"/>
            <w:vAlign w:val="center"/>
          </w:tcPr>
          <w:p>
            <w:pPr>
              <w:pStyle w:val="42"/>
              <w:spacing w:before="78"/>
              <w:contextualSpacing/>
              <w:jc w:val="center"/>
              <w:rPr>
                <w:rFonts w:hint="default" w:ascii="方正仿宋_GB2312" w:hAnsi="方正仿宋_GB2312" w:eastAsia="方正仿宋_GB2312" w:cs="方正仿宋_GB2312"/>
                <w:lang w:val="en-US" w:eastAsia="zh-CN" w:bidi="ar"/>
              </w:rPr>
            </w:pPr>
            <w:r>
              <w:rPr>
                <w:rFonts w:hint="eastAsia" w:ascii="方正仿宋_GB2312" w:hAnsi="方正仿宋_GB2312" w:eastAsia="方正仿宋_GB2312" w:cs="方正仿宋_GB2312"/>
                <w:lang w:val="en-US" w:eastAsia="zh-CN" w:bidi="ar"/>
              </w:rPr>
              <w:t>幼儿靠背椅</w:t>
            </w:r>
          </w:p>
        </w:tc>
        <w:tc>
          <w:tcPr>
            <w:tcW w:w="1914" w:type="dxa"/>
            <w:vAlign w:val="center"/>
          </w:tcPr>
          <w:p>
            <w:pPr>
              <w:pStyle w:val="42"/>
              <w:spacing w:before="74"/>
              <w:ind w:firstLine="480" w:firstLineChars="200"/>
              <w:contextualSpacing/>
              <w:jc w:val="left"/>
              <w:rPr>
                <w:rFonts w:ascii="Times New Roman" w:hAnsi="Times New Roman" w:eastAsia="方正仿宋_GB2312" w:cs="Times New Roman"/>
                <w:lang w:eastAsia="zh-CN" w:bidi="ar"/>
              </w:rPr>
            </w:pPr>
            <w:r>
              <w:rPr>
                <w:rFonts w:hint="eastAsia" w:ascii="Times New Roman" w:hAnsi="Times New Roman" w:eastAsia="方正仿宋_GB2312" w:cs="Times New Roman"/>
                <w:sz w:val="24"/>
                <w:szCs w:val="24"/>
                <w:lang w:val="en-US" w:eastAsia="zh-CN" w:bidi="ar"/>
              </w:rPr>
              <w:t>35*33*49</w:t>
            </w:r>
            <w:r>
              <w:rPr>
                <w:rFonts w:hint="default" w:ascii="Times New Roman" w:hAnsi="Times New Roman" w:eastAsia="方正仿宋_GB2312" w:cs="Times New Roman"/>
                <w:sz w:val="24"/>
                <w:szCs w:val="24"/>
                <w:lang w:val="en-US" w:eastAsia="zh-CN" w:bidi="ar"/>
              </w:rPr>
              <w:t>cm</w:t>
            </w:r>
          </w:p>
        </w:tc>
        <w:tc>
          <w:tcPr>
            <w:tcW w:w="1671" w:type="dxa"/>
            <w:vAlign w:val="center"/>
          </w:tcPr>
          <w:p>
            <w:pPr>
              <w:pStyle w:val="42"/>
              <w:spacing w:before="78"/>
              <w:contextualSpacing/>
              <w:jc w:val="center"/>
              <w:rPr>
                <w:rFonts w:hint="default" w:ascii="Times New Roman" w:hAnsi="Times New Roman" w:eastAsia="方正仿宋_GB2312" w:cs="Times New Roman"/>
                <w:lang w:val="en-US" w:eastAsia="zh-CN" w:bidi="ar"/>
              </w:rPr>
            </w:pPr>
            <w:r>
              <w:rPr>
                <w:rFonts w:hint="eastAsia" w:ascii="Times New Roman" w:hAnsi="Times New Roman" w:eastAsia="方正仿宋_GB2312" w:cs="Times New Roman"/>
                <w:lang w:val="en-US" w:eastAsia="zh-CN" w:bidi="ar"/>
              </w:rPr>
              <w:t>4张</w:t>
            </w:r>
          </w:p>
        </w:tc>
        <w:tc>
          <w:tcPr>
            <w:tcW w:w="1682" w:type="dxa"/>
            <w:vAlign w:val="center"/>
          </w:tcPr>
          <w:p>
            <w:pPr>
              <w:contextualSpacing/>
              <w:jc w:val="center"/>
              <w:rPr>
                <w:rFonts w:ascii="Times New Roman" w:hAnsi="Times New Roman" w:eastAsia="方正仿宋_GB2312" w:cs="Times New Roman"/>
                <w:sz w:val="24"/>
                <w:szCs w:val="24"/>
                <w:lang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0" w:hRule="atLeast"/>
        </w:trPr>
        <w:tc>
          <w:tcPr>
            <w:tcW w:w="1523" w:type="dxa"/>
            <w:vMerge w:val="continue"/>
            <w:tcBorders>
              <w:top w:val="nil"/>
            </w:tcBorders>
          </w:tcPr>
          <w:p>
            <w:pPr>
              <w:spacing w:line="540" w:lineRule="exact"/>
              <w:contextualSpacing/>
              <w:rPr>
                <w:sz w:val="20"/>
              </w:rPr>
            </w:pPr>
          </w:p>
        </w:tc>
        <w:tc>
          <w:tcPr>
            <w:tcW w:w="2093" w:type="dxa"/>
            <w:vAlign w:val="center"/>
          </w:tcPr>
          <w:p>
            <w:pPr>
              <w:contextualSpacing/>
              <w:jc w:val="center"/>
              <w:rPr>
                <w:rFonts w:hint="default" w:ascii="方正仿宋_GB2312" w:hAnsi="方正仿宋_GB2312" w:eastAsia="方正仿宋_GB2312" w:cs="方正仿宋_GB2312"/>
                <w:sz w:val="24"/>
                <w:szCs w:val="24"/>
                <w:lang w:val="en-US" w:eastAsia="zh-CN" w:bidi="ar"/>
              </w:rPr>
            </w:pPr>
            <w:r>
              <w:rPr>
                <w:rFonts w:hint="eastAsia" w:ascii="方正仿宋_GB2312" w:hAnsi="方正仿宋_GB2312" w:eastAsia="方正仿宋_GB2312" w:cs="方正仿宋_GB2312"/>
                <w:sz w:val="24"/>
                <w:szCs w:val="24"/>
                <w:lang w:eastAsia="zh-CN" w:bidi="ar"/>
              </w:rPr>
              <w:t>学生桌</w:t>
            </w:r>
            <w:r>
              <w:rPr>
                <w:rFonts w:hint="eastAsia" w:ascii="方正仿宋_GB2312" w:hAnsi="方正仿宋_GB2312" w:eastAsia="方正仿宋_GB2312" w:cs="方正仿宋_GB2312"/>
                <w:sz w:val="24"/>
                <w:szCs w:val="24"/>
                <w:lang w:val="en-US" w:eastAsia="zh-CN" w:bidi="ar"/>
              </w:rPr>
              <w:t>子</w:t>
            </w:r>
          </w:p>
        </w:tc>
        <w:tc>
          <w:tcPr>
            <w:tcW w:w="1914" w:type="dxa"/>
            <w:vAlign w:val="center"/>
          </w:tcPr>
          <w:p>
            <w:pPr>
              <w:contextualSpacing/>
              <w:jc w:val="center"/>
              <w:rPr>
                <w:rFonts w:ascii="Times New Roman" w:hAnsi="Times New Roman" w:eastAsia="方正仿宋_GB2312" w:cs="Times New Roman"/>
                <w:sz w:val="24"/>
                <w:szCs w:val="24"/>
                <w:lang w:eastAsia="zh-CN" w:bidi="ar"/>
              </w:rPr>
            </w:pPr>
            <w:r>
              <w:rPr>
                <w:rFonts w:hint="eastAsia" w:ascii="Times New Roman" w:hAnsi="Times New Roman" w:eastAsia="方正仿宋_GB2312" w:cs="Times New Roman"/>
                <w:sz w:val="24"/>
                <w:szCs w:val="24"/>
                <w:lang w:val="en-US" w:eastAsia="zh-CN" w:bidi="ar"/>
              </w:rPr>
              <w:t>110*40</w:t>
            </w:r>
            <w:r>
              <w:rPr>
                <w:rFonts w:hint="default" w:ascii="Times New Roman" w:hAnsi="Times New Roman" w:eastAsia="方正仿宋_GB2312" w:cs="Times New Roman"/>
                <w:sz w:val="24"/>
                <w:szCs w:val="24"/>
                <w:lang w:val="en-US" w:eastAsia="zh-CN" w:bidi="ar"/>
              </w:rPr>
              <w:t>cm</w:t>
            </w:r>
          </w:p>
        </w:tc>
        <w:tc>
          <w:tcPr>
            <w:tcW w:w="1671" w:type="dxa"/>
            <w:vAlign w:val="center"/>
          </w:tcPr>
          <w:p>
            <w:pPr>
              <w:contextualSpacing/>
              <w:jc w:val="center"/>
              <w:rPr>
                <w:rFonts w:hint="default" w:ascii="Times New Roman" w:hAnsi="Times New Roman" w:eastAsia="方正仿宋_GB2312" w:cs="Times New Roman"/>
                <w:sz w:val="24"/>
                <w:szCs w:val="24"/>
                <w:lang w:val="en-US" w:eastAsia="zh-CN" w:bidi="ar"/>
              </w:rPr>
            </w:pPr>
            <w:r>
              <w:rPr>
                <w:rFonts w:hint="eastAsia" w:ascii="Times New Roman" w:hAnsi="Times New Roman" w:eastAsia="方正仿宋_GB2312" w:cs="Times New Roman"/>
                <w:sz w:val="24"/>
                <w:szCs w:val="24"/>
                <w:lang w:val="en-US" w:eastAsia="zh-CN" w:bidi="ar"/>
              </w:rPr>
              <w:t>2张</w:t>
            </w:r>
          </w:p>
        </w:tc>
        <w:tc>
          <w:tcPr>
            <w:tcW w:w="1682" w:type="dxa"/>
            <w:vAlign w:val="center"/>
          </w:tcPr>
          <w:p>
            <w:pPr>
              <w:contextualSpacing/>
              <w:jc w:val="center"/>
              <w:rPr>
                <w:rFonts w:ascii="Times New Roman" w:hAnsi="Times New Roman" w:eastAsia="方正仿宋_GB2312" w:cs="Times New Roman"/>
                <w:sz w:val="24"/>
                <w:szCs w:val="24"/>
                <w:lang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0" w:hRule="atLeast"/>
        </w:trPr>
        <w:tc>
          <w:tcPr>
            <w:tcW w:w="1523" w:type="dxa"/>
            <w:vMerge w:val="continue"/>
            <w:tcBorders>
              <w:top w:val="nil"/>
              <w:bottom w:val="nil"/>
            </w:tcBorders>
          </w:tcPr>
          <w:p>
            <w:pPr>
              <w:spacing w:line="540" w:lineRule="exact"/>
              <w:contextualSpacing/>
              <w:rPr>
                <w:sz w:val="20"/>
                <w:lang w:eastAsia="zh-CN"/>
              </w:rPr>
            </w:pPr>
          </w:p>
        </w:tc>
        <w:tc>
          <w:tcPr>
            <w:tcW w:w="209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翻页笔</w:t>
            </w:r>
          </w:p>
        </w:tc>
        <w:tc>
          <w:tcPr>
            <w:tcW w:w="1914" w:type="dxa"/>
            <w:vAlign w:val="center"/>
          </w:tcPr>
          <w:p>
            <w:pPr>
              <w:contextualSpacing/>
              <w:jc w:val="center"/>
              <w:rPr>
                <w:rFonts w:ascii="Times New Roman" w:hAnsi="Times New Roman" w:eastAsia="方正仿宋_GB2312" w:cs="Times New Roman"/>
                <w:sz w:val="24"/>
                <w:szCs w:val="24"/>
                <w:lang w:eastAsia="zh-CN" w:bidi="ar"/>
              </w:rPr>
            </w:pPr>
          </w:p>
        </w:tc>
        <w:tc>
          <w:tcPr>
            <w:tcW w:w="1671" w:type="dxa"/>
            <w:vAlign w:val="center"/>
          </w:tcPr>
          <w:p>
            <w:pPr>
              <w:contextualSpacing/>
              <w:jc w:val="center"/>
              <w:rPr>
                <w:rFonts w:ascii="Times New Roman" w:hAnsi="Times New Roman" w:eastAsia="方正仿宋_GB2312" w:cs="Times New Roman"/>
                <w:sz w:val="24"/>
                <w:szCs w:val="24"/>
                <w:lang w:eastAsia="zh-CN" w:bidi="ar"/>
              </w:rPr>
            </w:pPr>
            <w:r>
              <w:rPr>
                <w:rFonts w:hint="eastAsia" w:ascii="Times New Roman" w:hAnsi="Times New Roman" w:eastAsia="方正仿宋_GB2312" w:cs="Times New Roman"/>
                <w:sz w:val="24"/>
                <w:szCs w:val="24"/>
                <w:lang w:val="en-US" w:eastAsia="zh-CN" w:bidi="ar"/>
              </w:rPr>
              <w:t>1</w:t>
            </w:r>
            <w:r>
              <w:rPr>
                <w:rFonts w:ascii="Times New Roman" w:hAnsi="Times New Roman" w:eastAsia="方正仿宋_GB2312" w:cs="Times New Roman"/>
                <w:sz w:val="24"/>
                <w:szCs w:val="24"/>
                <w:lang w:eastAsia="zh-CN" w:bidi="ar"/>
              </w:rPr>
              <w:t>支</w:t>
            </w:r>
          </w:p>
        </w:tc>
        <w:tc>
          <w:tcPr>
            <w:tcW w:w="1682" w:type="dxa"/>
            <w:vAlign w:val="center"/>
          </w:tcPr>
          <w:p>
            <w:pPr>
              <w:contextualSpacing/>
              <w:jc w:val="center"/>
              <w:rPr>
                <w:rFonts w:ascii="Times New Roman" w:hAnsi="Times New Roman" w:eastAsia="方正仿宋_GB2312" w:cs="Times New Roman"/>
                <w:sz w:val="24"/>
                <w:szCs w:val="24"/>
                <w:lang w:eastAsia="zh-CN" w:bidi="ar"/>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20" w:hRule="atLeast"/>
        </w:trPr>
        <w:tc>
          <w:tcPr>
            <w:tcW w:w="1523" w:type="dxa"/>
            <w:vMerge w:val="continue"/>
            <w:tcBorders>
              <w:top w:val="nil"/>
            </w:tcBorders>
          </w:tcPr>
          <w:p>
            <w:pPr>
              <w:spacing w:line="540" w:lineRule="exact"/>
              <w:contextualSpacing/>
              <w:rPr>
                <w:sz w:val="20"/>
              </w:rPr>
            </w:pPr>
          </w:p>
        </w:tc>
        <w:tc>
          <w:tcPr>
            <w:tcW w:w="2093" w:type="dxa"/>
            <w:vAlign w:val="center"/>
          </w:tcPr>
          <w:p>
            <w:pPr>
              <w:pStyle w:val="42"/>
              <w:spacing w:before="78"/>
              <w:contextualSpacing/>
              <w:jc w:val="center"/>
              <w:rPr>
                <w:rFonts w:hint="eastAsia" w:ascii="方正仿宋_GB2312" w:hAnsi="方正仿宋_GB2312" w:eastAsia="方正仿宋_GB2312" w:cs="方正仿宋_GB2312"/>
                <w:lang w:eastAsia="zh-CN" w:bidi="ar"/>
              </w:rPr>
            </w:pPr>
            <w:r>
              <w:rPr>
                <w:rFonts w:ascii="方正仿宋_GB2312" w:hAnsi="方正仿宋_GB2312" w:eastAsia="方正仿宋_GB2312" w:cs="方正仿宋_GB2312"/>
                <w:lang w:eastAsia="zh-CN" w:bidi="ar"/>
              </w:rPr>
              <w:t>白板笔</w:t>
            </w:r>
          </w:p>
        </w:tc>
        <w:tc>
          <w:tcPr>
            <w:tcW w:w="1914" w:type="dxa"/>
            <w:vAlign w:val="center"/>
          </w:tcPr>
          <w:p>
            <w:pPr>
              <w:contextualSpacing/>
              <w:jc w:val="center"/>
              <w:rPr>
                <w:rFonts w:ascii="Times New Roman" w:hAnsi="Times New Roman" w:eastAsia="方正仿宋_GB2312" w:cs="Times New Roman"/>
                <w:sz w:val="24"/>
                <w:szCs w:val="24"/>
                <w:lang w:eastAsia="zh-CN" w:bidi="ar"/>
              </w:rPr>
            </w:pPr>
          </w:p>
        </w:tc>
        <w:tc>
          <w:tcPr>
            <w:tcW w:w="1671" w:type="dxa"/>
            <w:vAlign w:val="center"/>
          </w:tcPr>
          <w:p>
            <w:pPr>
              <w:pStyle w:val="42"/>
              <w:spacing w:before="78"/>
              <w:contextualSpacing/>
              <w:jc w:val="center"/>
              <w:rPr>
                <w:rFonts w:ascii="Times New Roman" w:hAnsi="Times New Roman" w:eastAsia="方正仿宋_GB2312" w:cs="Times New Roman"/>
                <w:lang w:eastAsia="zh-CN" w:bidi="ar"/>
              </w:rPr>
            </w:pPr>
            <w:r>
              <w:rPr>
                <w:rFonts w:hint="eastAsia" w:ascii="Times New Roman" w:hAnsi="Times New Roman" w:eastAsia="方正仿宋_GB2312" w:cs="Times New Roman"/>
                <w:lang w:val="en-US" w:eastAsia="zh-CN" w:bidi="ar"/>
              </w:rPr>
              <w:t>4</w:t>
            </w:r>
            <w:r>
              <w:rPr>
                <w:rFonts w:ascii="Times New Roman" w:hAnsi="Times New Roman" w:eastAsia="方正仿宋_GB2312" w:cs="Times New Roman"/>
                <w:lang w:eastAsia="zh-CN" w:bidi="ar"/>
              </w:rPr>
              <w:t xml:space="preserve"> 支</w:t>
            </w:r>
          </w:p>
        </w:tc>
        <w:tc>
          <w:tcPr>
            <w:tcW w:w="1682" w:type="dxa"/>
            <w:vAlign w:val="center"/>
          </w:tcPr>
          <w:p>
            <w:pPr>
              <w:pStyle w:val="42"/>
              <w:spacing w:before="116"/>
              <w:ind w:left="84" w:right="63" w:hanging="8"/>
              <w:contextualSpacing/>
              <w:jc w:val="center"/>
              <w:rPr>
                <w:rFonts w:ascii="Times New Roman" w:hAnsi="Times New Roman" w:eastAsia="方正仿宋_GB2312" w:cs="Times New Roman"/>
                <w:lang w:eastAsia="zh-CN" w:bidi="ar"/>
              </w:rPr>
            </w:pPr>
            <w:r>
              <w:rPr>
                <w:rFonts w:ascii="Times New Roman" w:hAnsi="Times New Roman" w:eastAsia="方正仿宋_GB2312" w:cs="Times New Roman"/>
                <w:lang w:eastAsia="zh-CN" w:bidi="ar"/>
              </w:rPr>
              <w:t>有黑色、 红色两色</w:t>
            </w:r>
          </w:p>
        </w:tc>
      </w:tr>
    </w:tbl>
    <w:p>
      <w:pPr>
        <w:pStyle w:val="11"/>
        <w:spacing w:line="540" w:lineRule="exact"/>
        <w:contextualSpacing/>
        <w:rPr>
          <w:rFonts w:eastAsiaTheme="minorEastAsia"/>
          <w:lang w:eastAsia="zh-CN"/>
        </w:rPr>
      </w:pPr>
    </w:p>
    <w:tbl>
      <w:tblPr>
        <w:tblStyle w:val="41"/>
        <w:tblW w:w="89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8"/>
        <w:gridCol w:w="760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49" w:hRule="atLeast"/>
        </w:trPr>
        <w:tc>
          <w:tcPr>
            <w:tcW w:w="1368"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技术支持</w:t>
            </w:r>
          </w:p>
        </w:tc>
        <w:tc>
          <w:tcPr>
            <w:tcW w:w="7608" w:type="dxa"/>
          </w:tcPr>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（一）技术保障：</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1、配备教学设备专职保障团队，保障竞赛场地软硬件设备正常运行；</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2、配备电力保障团队，保障竞赛场地电力供给，确保竞赛场地照明设备正常运行，确保教室照明充足均匀，以满足比赛需要；</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（二）安全操作规范要求：</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1、所有设备由技术人员统一开启及关闭；</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2、严禁在设备运行过程中进行违规操作，如强行关机、拔插设备连接线、随意移动等；</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3、如需链接外部存储设备拷贝文件需确保设备无病毒；</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如设备出现故障，应立即停止使用，并通知技术人员进行维修，严禁私自处理；</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4、参赛队伍自带的设备，承办校不提供技术支持，参赛队伍自行负责。</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835" w:hRule="atLeast"/>
        </w:trPr>
        <w:tc>
          <w:tcPr>
            <w:tcW w:w="1368"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场地及环境</w:t>
            </w:r>
          </w:p>
        </w:tc>
        <w:tc>
          <w:tcPr>
            <w:tcW w:w="7608" w:type="dxa"/>
          </w:tcPr>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室内场地：</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1、各竞赛场地均光照和通风良好；</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2、每个场地面积大于长宽高8.4*7.8*2.6m，提供不小于4*6m的选手展示空间；</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3、提供水电、互联网连接，场内无上下水、天然气等提供。</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73" w:hRule="atLeast"/>
        </w:trPr>
        <w:tc>
          <w:tcPr>
            <w:tcW w:w="1368" w:type="dxa"/>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其他</w:t>
            </w:r>
          </w:p>
        </w:tc>
        <w:tc>
          <w:tcPr>
            <w:tcW w:w="7608" w:type="dxa"/>
          </w:tcPr>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1、赛场内提供5米7孔插排两个；</w:t>
            </w:r>
          </w:p>
          <w:p>
            <w:pPr>
              <w:kinsoku/>
              <w:overflowPunct w:val="0"/>
              <w:ind w:left="105" w:leftChars="50" w:right="105" w:rightChars="50"/>
              <w:contextualSpacing/>
              <w:jc w:val="both"/>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2、A4纸、黑色签字笔、2B铅笔。</w:t>
            </w:r>
          </w:p>
        </w:tc>
      </w:tr>
    </w:tbl>
    <w:p>
      <w:pPr>
        <w:spacing w:before="41" w:line="540" w:lineRule="exact"/>
        <w:ind w:left="568"/>
        <w:contextualSpacing/>
        <w:rPr>
          <w:rFonts w:hint="eastAsia" w:ascii="仿宋" w:hAnsi="仿宋" w:eastAsia="仿宋" w:cs="仿宋"/>
          <w:b/>
          <w:bCs/>
          <w:spacing w:val="1"/>
          <w:sz w:val="24"/>
          <w:szCs w:val="24"/>
          <w:lang w:eastAsia="zh-CN"/>
        </w:rPr>
      </w:pPr>
      <w:r>
        <w:rPr>
          <w:rFonts w:hint="eastAsia" w:ascii="仿宋" w:hAnsi="仿宋" w:eastAsia="仿宋" w:cs="仿宋"/>
          <w:b/>
          <w:bCs/>
          <w:spacing w:val="1"/>
          <w:sz w:val="24"/>
          <w:szCs w:val="24"/>
          <w:lang w:eastAsia="zh-CN"/>
        </w:rPr>
        <w:t>注：</w:t>
      </w:r>
      <w:r>
        <w:rPr>
          <w:rFonts w:ascii="仿宋" w:hAnsi="仿宋" w:eastAsia="仿宋" w:cs="仿宋"/>
          <w:b/>
          <w:bCs/>
          <w:spacing w:val="1"/>
          <w:sz w:val="24"/>
          <w:szCs w:val="24"/>
          <w:lang w:eastAsia="zh-CN"/>
        </w:rPr>
        <w:t>现场设备技术保障谁提供谁负责。</w:t>
      </w:r>
    </w:p>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hint="eastAsia" w:ascii="楷体_GB2312" w:hAnsi="Times New Roman" w:eastAsia="楷体_GB2312" w:cs="Times New Roman"/>
          <w:b/>
          <w:bCs/>
          <w:spacing w:val="-5"/>
          <w:sz w:val="28"/>
          <w:szCs w:val="28"/>
          <w:lang w:eastAsia="zh-CN"/>
        </w:rPr>
        <w:t>（三）</w:t>
      </w:r>
      <w:r>
        <w:rPr>
          <w:rFonts w:ascii="楷体_GB2312" w:hAnsi="Times New Roman" w:eastAsia="楷体_GB2312" w:cs="Times New Roman"/>
          <w:b/>
          <w:bCs/>
          <w:spacing w:val="-5"/>
          <w:sz w:val="28"/>
          <w:szCs w:val="28"/>
          <w:lang w:eastAsia="zh-CN"/>
        </w:rPr>
        <w:t>赛场安全</w:t>
      </w:r>
    </w:p>
    <w:p>
      <w:pPr>
        <w:spacing w:before="210" w:line="540" w:lineRule="exact"/>
        <w:ind w:left="566"/>
        <w:contextualSpacing/>
        <w:outlineLvl w:val="2"/>
        <w:rPr>
          <w:rFonts w:hint="eastAsia" w:ascii="仿宋_GB2312" w:hAnsi="楷体" w:eastAsia="仿宋_GB2312" w:cs="楷体"/>
          <w:b/>
          <w:bCs/>
          <w:sz w:val="28"/>
          <w:szCs w:val="28"/>
          <w:lang w:eastAsia="zh-CN"/>
        </w:rPr>
      </w:pPr>
      <w:bookmarkStart w:id="16" w:name="bookmark36"/>
      <w:bookmarkEnd w:id="16"/>
      <w:r>
        <w:rPr>
          <w:rFonts w:hint="eastAsia" w:ascii="仿宋_GB2312" w:hAnsi="Times New Roman" w:eastAsia="仿宋_GB2312" w:cs="Times New Roman"/>
          <w:b/>
          <w:bCs/>
          <w:spacing w:val="-4"/>
          <w:sz w:val="28"/>
          <w:szCs w:val="28"/>
          <w:lang w:eastAsia="zh-CN"/>
        </w:rPr>
        <w:t>1.</w:t>
      </w:r>
      <w:r>
        <w:rPr>
          <w:rFonts w:hint="eastAsia" w:ascii="仿宋_GB2312" w:hAnsi="楷体" w:eastAsia="仿宋_GB2312" w:cs="楷体"/>
          <w:b/>
          <w:bCs/>
          <w:spacing w:val="-4"/>
          <w:sz w:val="28"/>
          <w:szCs w:val="28"/>
          <w:lang w:eastAsia="zh-CN"/>
        </w:rPr>
        <w:t>赛场场地安全</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（1）</w:t>
      </w:r>
      <w:r>
        <w:rPr>
          <w:rFonts w:hint="eastAsia" w:ascii="仿宋_GB2312" w:hAnsi="Times New Roman" w:eastAsia="仿宋_GB2312" w:cs="Times New Roman"/>
          <w:spacing w:val="2"/>
          <w:sz w:val="28"/>
          <w:szCs w:val="28"/>
          <w:lang w:eastAsia="zh-CN"/>
        </w:rPr>
        <w:t>承办院校</w:t>
      </w:r>
      <w:r>
        <w:rPr>
          <w:rFonts w:ascii="仿宋_GB2312" w:hAnsi="Times New Roman" w:eastAsia="仿宋_GB2312" w:cs="Times New Roman"/>
          <w:spacing w:val="2"/>
          <w:sz w:val="28"/>
          <w:szCs w:val="28"/>
          <w:lang w:eastAsia="zh-CN"/>
        </w:rPr>
        <w:t>在赛前组织专人对比赛现场进行检查，并对安全工作提出要求。比赛涉及的器材、设备应符合有关安全规定，充分考虑比赛所涉及的器材、设备、耗材可能存在的不安全因素，采取有效防范措施规避风险。</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（2）赛场周围设立警戒线，防止无关人员进入发生意外事件。</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（3）承办单位将制定赛场用电预案，提供医疗和消防安全保障。</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（4）承办</w:t>
      </w:r>
      <w:r>
        <w:rPr>
          <w:rFonts w:hint="eastAsia" w:ascii="仿宋_GB2312" w:hAnsi="Times New Roman" w:eastAsia="仿宋_GB2312" w:cs="Times New Roman"/>
          <w:spacing w:val="2"/>
          <w:sz w:val="28"/>
          <w:szCs w:val="28"/>
          <w:lang w:eastAsia="zh-CN"/>
        </w:rPr>
        <w:t>院校</w:t>
      </w:r>
      <w:r>
        <w:rPr>
          <w:rFonts w:ascii="仿宋_GB2312" w:hAnsi="Times New Roman" w:eastAsia="仿宋_GB2312" w:cs="Times New Roman"/>
          <w:spacing w:val="2"/>
          <w:sz w:val="28"/>
          <w:szCs w:val="28"/>
          <w:lang w:eastAsia="zh-CN"/>
        </w:rPr>
        <w:t>制定赛场和</w:t>
      </w:r>
      <w:r>
        <w:rPr>
          <w:rFonts w:hint="eastAsia" w:ascii="仿宋_GB2312" w:hAnsi="Times New Roman" w:eastAsia="仿宋_GB2312" w:cs="Times New Roman"/>
          <w:spacing w:val="2"/>
          <w:sz w:val="28"/>
          <w:szCs w:val="28"/>
          <w:lang w:eastAsia="zh-CN"/>
        </w:rPr>
        <w:t>休息</w:t>
      </w:r>
      <w:r>
        <w:rPr>
          <w:rFonts w:ascii="仿宋_GB2312" w:hAnsi="Times New Roman" w:eastAsia="仿宋_GB2312" w:cs="Times New Roman"/>
          <w:spacing w:val="2"/>
          <w:sz w:val="28"/>
          <w:szCs w:val="28"/>
          <w:lang w:eastAsia="zh-CN"/>
        </w:rPr>
        <w:t>室的人员疏导方案。</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（5）大赛期间，承办</w:t>
      </w:r>
      <w:r>
        <w:rPr>
          <w:rFonts w:hint="eastAsia" w:ascii="仿宋_GB2312" w:hAnsi="Times New Roman" w:eastAsia="仿宋_GB2312" w:cs="Times New Roman"/>
          <w:spacing w:val="2"/>
          <w:sz w:val="28"/>
          <w:szCs w:val="28"/>
          <w:lang w:eastAsia="zh-CN"/>
        </w:rPr>
        <w:t>院校</w:t>
      </w:r>
      <w:r>
        <w:rPr>
          <w:rFonts w:ascii="仿宋_GB2312" w:hAnsi="Times New Roman" w:eastAsia="仿宋_GB2312" w:cs="Times New Roman"/>
          <w:spacing w:val="2"/>
          <w:sz w:val="28"/>
          <w:szCs w:val="28"/>
          <w:lang w:eastAsia="zh-CN"/>
        </w:rPr>
        <w:t>在赛场管理的关键岗位增加力量，建立安全</w:t>
      </w:r>
      <w:r>
        <w:rPr>
          <w:rFonts w:hint="eastAsia" w:ascii="仿宋_GB2312" w:hAnsi="Times New Roman" w:eastAsia="仿宋_GB2312" w:cs="Times New Roman"/>
          <w:spacing w:val="2"/>
          <w:sz w:val="28"/>
          <w:szCs w:val="28"/>
          <w:lang w:eastAsia="zh-CN"/>
        </w:rPr>
        <w:t>管理日志</w:t>
      </w:r>
      <w:r>
        <w:rPr>
          <w:rFonts w:ascii="仿宋_GB2312" w:hAnsi="Times New Roman" w:eastAsia="仿宋_GB2312" w:cs="Times New Roman"/>
          <w:spacing w:val="2"/>
          <w:sz w:val="28"/>
          <w:szCs w:val="28"/>
          <w:lang w:eastAsia="zh-CN"/>
        </w:rPr>
        <w:t>。</w:t>
      </w:r>
    </w:p>
    <w:p>
      <w:pPr>
        <w:spacing w:before="210" w:line="540" w:lineRule="exact"/>
        <w:ind w:left="566"/>
        <w:contextualSpacing/>
        <w:outlineLvl w:val="2"/>
        <w:rPr>
          <w:rFonts w:ascii="仿宋_GB2312" w:hAnsi="Times New Roman" w:eastAsia="仿宋_GB2312" w:cs="Times New Roman"/>
          <w:b/>
          <w:bCs/>
          <w:spacing w:val="-4"/>
          <w:sz w:val="28"/>
          <w:szCs w:val="28"/>
          <w:lang w:eastAsia="zh-CN"/>
        </w:rPr>
      </w:pPr>
      <w:r>
        <w:rPr>
          <w:rFonts w:ascii="仿宋_GB2312" w:hAnsi="Times New Roman" w:eastAsia="仿宋_GB2312" w:cs="Times New Roman"/>
          <w:b/>
          <w:bCs/>
          <w:spacing w:val="-4"/>
          <w:sz w:val="28"/>
          <w:szCs w:val="28"/>
          <w:lang w:eastAsia="zh-CN"/>
        </w:rPr>
        <w:t>2.赛场人员安全</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（1）参赛单位须为参赛人员（参赛选手、指导教师、领队）购买人身意外伤害保险；有既往病史、患有严重疾病者不得参加比赛。</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（2）参赛选手、裁判、工作人员严禁携带通讯、摄录设备和未经许可的记录用具进入比赛区域。如确有需要，由承办院校统一配置，统一管理。</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（3）所有人员严禁在竞赛场所和禁烟区域吸烟。比赛期间如遇极端天气等意外状况，请各参赛选手、领队、指导教师、工作人员、仲裁组、纪律监督组注意身体健康。如遇身体不适，请及时联系大赛工作人员。</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（4）由于比赛涉及专业录制设备等，线路杂多，请注意自身安全，避免误碰通电的各种设备。赛场周围已设立警戒线，无关人员请勿进入，以防发生意外事件。</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（5）各参赛队伍须加强对参与比赛人员的安全教育与安全管理。比赛期间务必请注意自身的人身和财产安全。比赛休息期间外出的教师或选手更要注意交通安全。</w:t>
      </w:r>
    </w:p>
    <w:p>
      <w:pPr>
        <w:spacing w:before="210" w:line="540" w:lineRule="exact"/>
        <w:ind w:left="566"/>
        <w:contextualSpacing/>
        <w:outlineLvl w:val="2"/>
        <w:rPr>
          <w:rFonts w:ascii="仿宋_GB2312" w:hAnsi="Times New Roman" w:eastAsia="仿宋_GB2312" w:cs="Times New Roman"/>
          <w:b/>
          <w:bCs/>
          <w:spacing w:val="-4"/>
          <w:sz w:val="28"/>
          <w:szCs w:val="28"/>
          <w:lang w:eastAsia="zh-CN"/>
        </w:rPr>
      </w:pPr>
      <w:r>
        <w:rPr>
          <w:rFonts w:ascii="仿宋_GB2312" w:hAnsi="Times New Roman" w:eastAsia="仿宋_GB2312" w:cs="Times New Roman"/>
          <w:b/>
          <w:bCs/>
          <w:spacing w:val="-4"/>
          <w:sz w:val="28"/>
          <w:szCs w:val="28"/>
          <w:lang w:eastAsia="zh-CN"/>
        </w:rPr>
        <w:t>3.</w:t>
      </w:r>
      <w:r>
        <w:rPr>
          <w:rFonts w:hint="eastAsia" w:ascii="仿宋_GB2312" w:hAnsi="Times New Roman" w:eastAsia="仿宋_GB2312" w:cs="Times New Roman"/>
          <w:b/>
          <w:bCs/>
          <w:spacing w:val="-4"/>
          <w:sz w:val="28"/>
          <w:szCs w:val="28"/>
          <w:lang w:eastAsia="zh-CN"/>
        </w:rPr>
        <w:t>应急处置</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比赛期间发生意外事故，发现者应第一时间报告赛项执委会，同时采取措施，避免事态扩大。赛项执委会应立即启动预案予以解决并报告大赛办。赛项出现重大安全问题可以停赛，是否停赛由大赛办决定。事后，赛项执委会应向大赛办报告详细情况。</w:t>
      </w:r>
    </w:p>
    <w:p>
      <w:pPr>
        <w:spacing w:before="210" w:line="540" w:lineRule="exact"/>
        <w:ind w:left="566"/>
        <w:contextualSpacing/>
        <w:outlineLvl w:val="2"/>
        <w:rPr>
          <w:rFonts w:ascii="仿宋_GB2312" w:hAnsi="Times New Roman" w:eastAsia="仿宋_GB2312" w:cs="Times New Roman"/>
          <w:b/>
          <w:bCs/>
          <w:spacing w:val="-4"/>
          <w:sz w:val="28"/>
          <w:szCs w:val="28"/>
          <w:lang w:eastAsia="zh-CN"/>
        </w:rPr>
      </w:pPr>
      <w:bookmarkStart w:id="17" w:name="bookmark38"/>
      <w:bookmarkEnd w:id="17"/>
      <w:r>
        <w:rPr>
          <w:rFonts w:ascii="仿宋_GB2312" w:hAnsi="Times New Roman" w:eastAsia="仿宋_GB2312" w:cs="Times New Roman"/>
          <w:b/>
          <w:bCs/>
          <w:spacing w:val="-4"/>
          <w:sz w:val="28"/>
          <w:szCs w:val="28"/>
          <w:lang w:eastAsia="zh-CN"/>
        </w:rPr>
        <w:t>4.</w:t>
      </w:r>
      <w:r>
        <w:rPr>
          <w:rFonts w:hint="eastAsia" w:ascii="仿宋_GB2312" w:hAnsi="Times New Roman" w:eastAsia="仿宋_GB2312" w:cs="Times New Roman"/>
          <w:b/>
          <w:bCs/>
          <w:spacing w:val="-4"/>
          <w:sz w:val="28"/>
          <w:szCs w:val="28"/>
          <w:lang w:eastAsia="zh-CN"/>
        </w:rPr>
        <w:t>处罚措施</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赛事工作人员违规的，按照相应的制度追究责任。情节恶劣并造成重大安全事故的，由司法机关追究相应法律责任。</w:t>
      </w:r>
    </w:p>
    <w:p>
      <w:pPr>
        <w:spacing w:line="540" w:lineRule="exact"/>
        <w:ind w:left="504"/>
        <w:contextualSpacing/>
        <w:outlineLvl w:val="1"/>
        <w:rPr>
          <w:rFonts w:hint="eastAsia" w:ascii="黑体" w:hAnsi="黑体" w:eastAsia="黑体" w:cs="黑体"/>
          <w:sz w:val="28"/>
          <w:szCs w:val="28"/>
          <w:lang w:eastAsia="zh-CN"/>
        </w:rPr>
      </w:pPr>
      <w:bookmarkStart w:id="18" w:name="bookmark37"/>
      <w:bookmarkEnd w:id="18"/>
      <w:r>
        <w:rPr>
          <w:rFonts w:hint="eastAsia" w:ascii="黑体" w:hAnsi="黑体" w:eastAsia="黑体" w:cs="黑体"/>
          <w:spacing w:val="6"/>
          <w:sz w:val="28"/>
          <w:szCs w:val="28"/>
          <w:lang w:eastAsia="zh-CN"/>
        </w:rPr>
        <w:t>七、</w:t>
      </w:r>
      <w:r>
        <w:rPr>
          <w:rFonts w:ascii="黑体" w:hAnsi="黑体" w:eastAsia="黑体" w:cs="黑体"/>
          <w:spacing w:val="6"/>
          <w:sz w:val="28"/>
          <w:szCs w:val="28"/>
          <w:lang w:eastAsia="zh-CN"/>
        </w:rPr>
        <w:t>评审原则</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成绩评定应充分依据大赛评分要素，坚持公正客观、质量优先、标准统一、透明公开、宁缺毋滥原则，确保评审过程的公正性、客观性和有效性。为保证赛事质量和奖项含金量，如评出的获奖等次、数量未达到设置比例要求，可空缺。</w:t>
      </w:r>
    </w:p>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hint="eastAsia" w:ascii="楷体_GB2312" w:hAnsi="Times New Roman" w:eastAsia="楷体_GB2312" w:cs="Times New Roman"/>
          <w:b/>
          <w:bCs/>
          <w:spacing w:val="-5"/>
          <w:sz w:val="28"/>
          <w:szCs w:val="28"/>
          <w:lang w:eastAsia="zh-CN"/>
        </w:rPr>
        <w:t>（一）</w:t>
      </w:r>
      <w:r>
        <w:rPr>
          <w:rFonts w:ascii="楷体_GB2312" w:hAnsi="Times New Roman" w:eastAsia="楷体_GB2312" w:cs="Times New Roman"/>
          <w:b/>
          <w:bCs/>
          <w:spacing w:val="-5"/>
          <w:sz w:val="28"/>
          <w:szCs w:val="28"/>
          <w:lang w:eastAsia="zh-CN"/>
        </w:rPr>
        <w:t>评分标准</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比赛满分100分，分为技能水平（60%）、职业素养（10%）、应用价值（10%）、团队合作（10%）、创新创意（10%）五个方面，评分细则如表</w:t>
      </w:r>
      <w:r>
        <w:rPr>
          <w:rFonts w:hint="eastAsia" w:ascii="仿宋_GB2312" w:hAnsi="Times New Roman" w:eastAsia="仿宋_GB2312" w:cs="Times New Roman"/>
          <w:spacing w:val="2"/>
          <w:sz w:val="28"/>
          <w:szCs w:val="28"/>
          <w:lang w:eastAsia="zh-CN"/>
        </w:rPr>
        <w:t>3</w:t>
      </w:r>
      <w:r>
        <w:rPr>
          <w:rFonts w:ascii="仿宋_GB2312" w:hAnsi="Times New Roman" w:eastAsia="仿宋_GB2312" w:cs="Times New Roman"/>
          <w:spacing w:val="2"/>
          <w:sz w:val="28"/>
          <w:szCs w:val="28"/>
          <w:lang w:eastAsia="zh-CN"/>
        </w:rPr>
        <w:t>所示</w:t>
      </w:r>
      <w:r>
        <w:rPr>
          <w:rFonts w:hint="eastAsia" w:ascii="仿宋_GB2312" w:hAnsi="Times New Roman" w:eastAsia="仿宋_GB2312" w:cs="Times New Roman"/>
          <w:spacing w:val="2"/>
          <w:sz w:val="28"/>
          <w:szCs w:val="28"/>
          <w:lang w:eastAsia="zh-CN"/>
        </w:rPr>
        <w:t>。</w:t>
      </w: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ascii="宋体" w:hAnsi="宋体" w:eastAsia="宋体"/>
          <w:b/>
          <w:bCs/>
          <w:sz w:val="24"/>
          <w:szCs w:val="24"/>
          <w:lang w:eastAsia="zh-CN"/>
        </w:rPr>
      </w:pPr>
    </w:p>
    <w:p>
      <w:pPr>
        <w:pStyle w:val="11"/>
        <w:spacing w:line="540" w:lineRule="exact"/>
        <w:contextualSpacing/>
        <w:jc w:val="center"/>
        <w:rPr>
          <w:rFonts w:hint="eastAsia" w:ascii="宋体" w:hAnsi="宋体" w:eastAsia="宋体"/>
          <w:b/>
          <w:bCs/>
          <w:sz w:val="24"/>
          <w:szCs w:val="24"/>
          <w:lang w:eastAsia="zh-CN"/>
        </w:rPr>
      </w:pPr>
      <w:r>
        <w:rPr>
          <w:rFonts w:ascii="宋体" w:hAnsi="宋体" w:eastAsia="宋体"/>
          <w:b/>
          <w:bCs/>
          <w:sz w:val="24"/>
          <w:szCs w:val="24"/>
          <w:lang w:eastAsia="zh-CN"/>
        </w:rPr>
        <w:t>表</w:t>
      </w:r>
      <w:r>
        <w:rPr>
          <w:rFonts w:hint="eastAsia" w:ascii="宋体" w:hAnsi="宋体" w:eastAsia="宋体"/>
          <w:b/>
          <w:bCs/>
          <w:sz w:val="24"/>
          <w:szCs w:val="24"/>
          <w:lang w:eastAsia="zh-CN"/>
        </w:rPr>
        <w:t>3</w:t>
      </w:r>
      <w:r>
        <w:rPr>
          <w:rFonts w:ascii="宋体" w:hAnsi="宋体" w:eastAsia="宋体"/>
          <w:b/>
          <w:bCs/>
          <w:sz w:val="24"/>
          <w:szCs w:val="24"/>
          <w:lang w:eastAsia="zh-CN"/>
        </w:rPr>
        <w:t xml:space="preserve">  竞赛评分细则</w:t>
      </w:r>
    </w:p>
    <w:tbl>
      <w:tblPr>
        <w:tblStyle w:val="41"/>
        <w:tblW w:w="91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6"/>
        <w:gridCol w:w="1823"/>
        <w:gridCol w:w="5180"/>
        <w:gridCol w:w="7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7" w:hRule="atLeast"/>
        </w:trPr>
        <w:tc>
          <w:tcPr>
            <w:tcW w:w="1376" w:type="dxa"/>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评分指标</w:t>
            </w:r>
          </w:p>
        </w:tc>
        <w:tc>
          <w:tcPr>
            <w:tcW w:w="1823" w:type="dxa"/>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观察点</w:t>
            </w:r>
          </w:p>
        </w:tc>
        <w:tc>
          <w:tcPr>
            <w:tcW w:w="5180" w:type="dxa"/>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说明</w:t>
            </w:r>
          </w:p>
        </w:tc>
        <w:tc>
          <w:tcPr>
            <w:tcW w:w="743" w:type="dxa"/>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restart"/>
            <w:tcBorders>
              <w:bottom w:val="nil"/>
            </w:tcBorders>
            <w:vAlign w:val="center"/>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 xml:space="preserve">技能水平 </w:t>
            </w:r>
          </w:p>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（60分）</w:t>
            </w: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 xml:space="preserve">操作规范性 </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（10分）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技能操作规范，符合行业标准和岗位要求</w:t>
            </w:r>
          </w:p>
        </w:tc>
        <w:tc>
          <w:tcPr>
            <w:tcW w:w="743" w:type="dxa"/>
            <w:vMerge w:val="restart"/>
            <w:tcBorders>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continue"/>
            <w:tcBorders>
              <w:top w:val="nil"/>
              <w:bottom w:val="nil"/>
            </w:tcBorders>
            <w:vAlign w:val="center"/>
          </w:tcPr>
          <w:p>
            <w:pPr>
              <w:pStyle w:val="11"/>
              <w:widowControl w:val="0"/>
              <w:jc w:val="center"/>
              <w:rPr>
                <w:rFonts w:hint="eastAsia" w:ascii="方正仿宋_GB2312" w:hAnsi="方正仿宋_GB2312" w:eastAsia="方正仿宋_GB2312" w:cs="方正仿宋_GB2312"/>
                <w:b/>
                <w:bCs/>
                <w:sz w:val="24"/>
                <w:szCs w:val="24"/>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 xml:space="preserve">技能熟练度 </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（15分）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知识技术应用和软硬件等工具使用熟练，操作流畅，运用精准，任务进度控制和时间利用合理</w:t>
            </w:r>
          </w:p>
        </w:tc>
        <w:tc>
          <w:tcPr>
            <w:tcW w:w="743" w:type="dxa"/>
            <w:vMerge w:val="continue"/>
            <w:tcBorders>
              <w:top w:val="nil"/>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continue"/>
            <w:tcBorders>
              <w:top w:val="nil"/>
              <w:bottom w:val="nil"/>
            </w:tcBorders>
            <w:vAlign w:val="center"/>
          </w:tcPr>
          <w:p>
            <w:pPr>
              <w:pStyle w:val="11"/>
              <w:widowControl w:val="0"/>
              <w:jc w:val="center"/>
              <w:rPr>
                <w:rFonts w:hint="eastAsia" w:ascii="方正仿宋_GB2312" w:hAnsi="方正仿宋_GB2312" w:eastAsia="方正仿宋_GB2312" w:cs="方正仿宋_GB2312"/>
                <w:b/>
                <w:bCs/>
                <w:sz w:val="24"/>
                <w:szCs w:val="24"/>
                <w:lang w:eastAsia="zh-CN"/>
              </w:rPr>
            </w:pPr>
          </w:p>
        </w:tc>
        <w:tc>
          <w:tcPr>
            <w:tcW w:w="1823" w:type="dxa"/>
            <w:vAlign w:val="center"/>
          </w:tcPr>
          <w:p>
            <w:pPr>
              <w:pStyle w:val="42"/>
              <w:spacing w:before="78"/>
              <w:ind w:left="93" w:right="227" w:hanging="10"/>
              <w:contextualSpacing/>
              <w:jc w:val="center"/>
              <w:rPr>
                <w:rFonts w:hint="eastAsia" w:ascii="方正仿宋_GB2312" w:hAnsi="方正仿宋_GB2312" w:eastAsia="方正仿宋_GB2312" w:cs="方正仿宋_GB2312"/>
                <w:lang w:eastAsia="zh-CN" w:bidi="ar"/>
              </w:rPr>
            </w:pPr>
            <w:r>
              <w:rPr>
                <w:rFonts w:ascii="方正仿宋_GB2312" w:hAnsi="方正仿宋_GB2312" w:eastAsia="方正仿宋_GB2312" w:cs="方正仿宋_GB2312"/>
                <w:lang w:eastAsia="zh-CN" w:bidi="ar"/>
              </w:rPr>
              <w:t>任务难易度 （15分）</w:t>
            </w:r>
          </w:p>
        </w:tc>
        <w:tc>
          <w:tcPr>
            <w:tcW w:w="5180" w:type="dxa"/>
            <w:vAlign w:val="center"/>
          </w:tcPr>
          <w:p>
            <w:pPr>
              <w:pStyle w:val="42"/>
              <w:kinsoku/>
              <w:overflowPunct w:val="0"/>
              <w:spacing w:before="78"/>
              <w:ind w:left="142" w:hanging="106"/>
              <w:contextualSpacing/>
              <w:jc w:val="center"/>
              <w:rPr>
                <w:rFonts w:hint="eastAsia" w:ascii="方正仿宋_GB2312" w:hAnsi="方正仿宋_GB2312" w:eastAsia="方正仿宋_GB2312" w:cs="方正仿宋_GB2312"/>
                <w:lang w:eastAsia="zh-CN" w:bidi="ar"/>
              </w:rPr>
            </w:pPr>
            <w:r>
              <w:rPr>
                <w:rFonts w:ascii="方正仿宋_GB2312" w:hAnsi="方正仿宋_GB2312" w:eastAsia="方正仿宋_GB2312" w:cs="方正仿宋_GB2312"/>
                <w:lang w:eastAsia="zh-CN" w:bidi="ar"/>
              </w:rPr>
              <w:t>工作任务完整，突出关键技术，具有一定挑战性，需要较高技能操作水平和解决复杂问题的综合能力</w:t>
            </w:r>
          </w:p>
        </w:tc>
        <w:tc>
          <w:tcPr>
            <w:tcW w:w="743" w:type="dxa"/>
            <w:vMerge w:val="continue"/>
            <w:tcBorders>
              <w:top w:val="nil"/>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continue"/>
            <w:tcBorders>
              <w:top w:val="nil"/>
              <w:bottom w:val="nil"/>
            </w:tcBorders>
            <w:vAlign w:val="center"/>
          </w:tcPr>
          <w:p>
            <w:pPr>
              <w:pStyle w:val="11"/>
              <w:widowControl w:val="0"/>
              <w:jc w:val="center"/>
              <w:rPr>
                <w:rFonts w:hint="eastAsia" w:ascii="方正仿宋_GB2312" w:hAnsi="方正仿宋_GB2312" w:eastAsia="方正仿宋_GB2312" w:cs="方正仿宋_GB2312"/>
                <w:b/>
                <w:bCs/>
                <w:sz w:val="24"/>
                <w:szCs w:val="24"/>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 xml:space="preserve">技术先进性 </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（15分）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体现所属行业新标准、新技术、新场景应用，积极应用前沿技术，技术选择恰当</w:t>
            </w:r>
          </w:p>
        </w:tc>
        <w:tc>
          <w:tcPr>
            <w:tcW w:w="743" w:type="dxa"/>
            <w:vMerge w:val="continue"/>
            <w:tcBorders>
              <w:top w:val="nil"/>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continue"/>
            <w:tcBorders>
              <w:top w:val="nil"/>
            </w:tcBorders>
            <w:vAlign w:val="center"/>
          </w:tcPr>
          <w:p>
            <w:pPr>
              <w:pStyle w:val="11"/>
              <w:widowControl w:val="0"/>
              <w:jc w:val="center"/>
              <w:rPr>
                <w:rFonts w:hint="eastAsia" w:ascii="方正仿宋_GB2312" w:hAnsi="方正仿宋_GB2312" w:eastAsia="方正仿宋_GB2312" w:cs="方正仿宋_GB2312"/>
                <w:b/>
                <w:bCs/>
                <w:sz w:val="24"/>
                <w:szCs w:val="24"/>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现场讲解效果</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（5分）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讲解内容逻辑清晰，重点突出，表达准确</w:t>
            </w:r>
          </w:p>
        </w:tc>
        <w:tc>
          <w:tcPr>
            <w:tcW w:w="743" w:type="dxa"/>
            <w:vMerge w:val="continue"/>
            <w:tcBorders>
              <w:top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restart"/>
            <w:tcBorders>
              <w:bottom w:val="nil"/>
            </w:tcBorders>
            <w:vAlign w:val="center"/>
          </w:tcPr>
          <w:p>
            <w:pPr>
              <w:pStyle w:val="11"/>
              <w:widowControl w:val="0"/>
              <w:jc w:val="center"/>
              <w:rPr>
                <w:rFonts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 xml:space="preserve">职业素养  </w:t>
            </w:r>
          </w:p>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（10分）</w:t>
            </w: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职业道德与</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行为规范</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（4分）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诚信守法，尊重知识产权，遵守职业伦理，展现良好职业风貌</w:t>
            </w:r>
          </w:p>
        </w:tc>
        <w:tc>
          <w:tcPr>
            <w:tcW w:w="743" w:type="dxa"/>
            <w:vMerge w:val="restart"/>
            <w:tcBorders>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continue"/>
            <w:tcBorders>
              <w:top w:val="nil"/>
              <w:bottom w:val="nil"/>
            </w:tcBorders>
            <w:vAlign w:val="center"/>
          </w:tcPr>
          <w:p>
            <w:pPr>
              <w:spacing w:line="540" w:lineRule="exact"/>
              <w:contextualSpacing/>
              <w:jc w:val="center"/>
              <w:rPr>
                <w:sz w:val="20"/>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工匠精神</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（3分）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注重细节，精益求精，追求卓越，体现管理意识和质量意识</w:t>
            </w:r>
          </w:p>
        </w:tc>
        <w:tc>
          <w:tcPr>
            <w:tcW w:w="743" w:type="dxa"/>
            <w:vMerge w:val="continue"/>
            <w:tcBorders>
              <w:top w:val="nil"/>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continue"/>
            <w:tcBorders>
              <w:top w:val="nil"/>
            </w:tcBorders>
            <w:vAlign w:val="center"/>
          </w:tcPr>
          <w:p>
            <w:pPr>
              <w:spacing w:line="540" w:lineRule="exact"/>
              <w:contextualSpacing/>
              <w:jc w:val="center"/>
              <w:rPr>
                <w:sz w:val="20"/>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安全意识</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（3分）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严格遵守安全规范，具备劳动保护和风险防范意识</w:t>
            </w:r>
          </w:p>
        </w:tc>
        <w:tc>
          <w:tcPr>
            <w:tcW w:w="743" w:type="dxa"/>
            <w:vMerge w:val="continue"/>
            <w:tcBorders>
              <w:top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restart"/>
            <w:tcBorders>
              <w:bottom w:val="nil"/>
            </w:tcBorders>
            <w:vAlign w:val="center"/>
          </w:tcPr>
          <w:p>
            <w:pPr>
              <w:pStyle w:val="11"/>
              <w:widowControl w:val="0"/>
              <w:jc w:val="center"/>
              <w:rPr>
                <w:rFonts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 xml:space="preserve">应用价值  </w:t>
            </w:r>
          </w:p>
          <w:p>
            <w:pPr>
              <w:pStyle w:val="11"/>
              <w:widowControl w:val="0"/>
              <w:jc w:val="center"/>
              <w:rPr>
                <w:sz w:val="20"/>
              </w:rPr>
            </w:pPr>
            <w:r>
              <w:rPr>
                <w:rFonts w:ascii="方正仿宋_GB2312" w:hAnsi="方正仿宋_GB2312" w:eastAsia="方正仿宋_GB2312" w:cs="方正仿宋_GB2312"/>
                <w:b/>
                <w:bCs/>
                <w:sz w:val="24"/>
                <w:szCs w:val="24"/>
                <w:lang w:eastAsia="zh-CN"/>
              </w:rPr>
              <w:t>（10分）</w:t>
            </w: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实用性</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（4分）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解决方案可直接应用于实践，有效解决生产、生活中的实际问题，契合产业转型升级、区域经济社会发展、乡村振兴、促进高质量就业等国家战需求</w:t>
            </w:r>
          </w:p>
        </w:tc>
        <w:tc>
          <w:tcPr>
            <w:tcW w:w="743" w:type="dxa"/>
            <w:vMerge w:val="restart"/>
            <w:tcBorders>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0" w:hRule="atLeast"/>
        </w:trPr>
        <w:tc>
          <w:tcPr>
            <w:tcW w:w="1376" w:type="dxa"/>
            <w:vMerge w:val="continue"/>
            <w:tcBorders>
              <w:top w:val="nil"/>
              <w:bottom w:val="nil"/>
            </w:tcBorders>
          </w:tcPr>
          <w:p>
            <w:pPr>
              <w:spacing w:line="540" w:lineRule="exact"/>
              <w:contextualSpacing/>
              <w:rPr>
                <w:sz w:val="20"/>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经济性</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（3分）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资源利用合理，体现高效益、高质量</w:t>
            </w:r>
          </w:p>
        </w:tc>
        <w:tc>
          <w:tcPr>
            <w:tcW w:w="743" w:type="dxa"/>
            <w:vMerge w:val="continue"/>
            <w:tcBorders>
              <w:top w:val="nil"/>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775" w:hRule="atLeast"/>
        </w:trPr>
        <w:tc>
          <w:tcPr>
            <w:tcW w:w="1376" w:type="dxa"/>
            <w:vMerge w:val="continue"/>
            <w:tcBorders>
              <w:top w:val="nil"/>
            </w:tcBorders>
          </w:tcPr>
          <w:p>
            <w:pPr>
              <w:spacing w:line="540" w:lineRule="exact"/>
              <w:contextualSpacing/>
              <w:rPr>
                <w:sz w:val="20"/>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可持续性</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（3分）</w:t>
            </w:r>
          </w:p>
        </w:tc>
        <w:tc>
          <w:tcPr>
            <w:tcW w:w="5180" w:type="dxa"/>
            <w:vAlign w:val="center"/>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具有良好环保意识，绿色低碳，符合产业未来发 展方向</w:t>
            </w:r>
          </w:p>
        </w:tc>
        <w:tc>
          <w:tcPr>
            <w:tcW w:w="743" w:type="dxa"/>
            <w:vMerge w:val="continue"/>
            <w:tcBorders>
              <w:top w:val="nil"/>
            </w:tcBorders>
          </w:tcPr>
          <w:p>
            <w:pPr>
              <w:spacing w:line="540" w:lineRule="exact"/>
              <w:contextualSpacing/>
              <w:rPr>
                <w:sz w:val="20"/>
                <w:lang w:eastAsia="zh-CN"/>
              </w:rPr>
            </w:pPr>
          </w:p>
        </w:tc>
      </w:tr>
    </w:tbl>
    <w:p>
      <w:pPr>
        <w:rPr>
          <w:lang w:eastAsia="zh-CN"/>
        </w:rPr>
      </w:pPr>
      <w:r>
        <w:rPr>
          <w:lang w:eastAsia="zh-CN"/>
        </w:rPr>
        <w:br w:type="page"/>
      </w:r>
    </w:p>
    <w:tbl>
      <w:tblPr>
        <w:tblStyle w:val="41"/>
        <w:tblW w:w="91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6"/>
        <w:gridCol w:w="1823"/>
        <w:gridCol w:w="5180"/>
        <w:gridCol w:w="7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06" w:hRule="atLeast"/>
        </w:trPr>
        <w:tc>
          <w:tcPr>
            <w:tcW w:w="1376" w:type="dxa"/>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评分指标</w:t>
            </w:r>
          </w:p>
        </w:tc>
        <w:tc>
          <w:tcPr>
            <w:tcW w:w="1823" w:type="dxa"/>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观察点</w:t>
            </w:r>
          </w:p>
        </w:tc>
        <w:tc>
          <w:tcPr>
            <w:tcW w:w="5180" w:type="dxa"/>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说明</w:t>
            </w:r>
          </w:p>
        </w:tc>
        <w:tc>
          <w:tcPr>
            <w:tcW w:w="743" w:type="dxa"/>
          </w:tcPr>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得分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85" w:hRule="atLeast"/>
        </w:trPr>
        <w:tc>
          <w:tcPr>
            <w:tcW w:w="1376" w:type="dxa"/>
            <w:vMerge w:val="restart"/>
            <w:tcBorders>
              <w:bottom w:val="nil"/>
            </w:tcBorders>
            <w:vAlign w:val="center"/>
          </w:tcPr>
          <w:p>
            <w:pPr>
              <w:pStyle w:val="11"/>
              <w:widowControl w:val="0"/>
              <w:jc w:val="center"/>
              <w:rPr>
                <w:rFonts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 xml:space="preserve">团队合作  </w:t>
            </w:r>
          </w:p>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（10分）</w:t>
            </w: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团队精神</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（5分）</w:t>
            </w:r>
          </w:p>
        </w:tc>
        <w:tc>
          <w:tcPr>
            <w:tcW w:w="5180" w:type="dxa"/>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团队成员能够准确理解共同目标和任务，清楚自己的角色定位和职责，团队成员相互尊重、信任和支持，拥有良好的团队氛围</w:t>
            </w:r>
          </w:p>
        </w:tc>
        <w:tc>
          <w:tcPr>
            <w:tcW w:w="743" w:type="dxa"/>
            <w:vMerge w:val="restart"/>
            <w:tcBorders>
              <w:bottom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015" w:hRule="atLeast"/>
        </w:trPr>
        <w:tc>
          <w:tcPr>
            <w:tcW w:w="1376" w:type="dxa"/>
            <w:vMerge w:val="continue"/>
            <w:tcBorders>
              <w:top w:val="nil"/>
            </w:tcBorders>
            <w:vAlign w:val="center"/>
          </w:tcPr>
          <w:p>
            <w:pPr>
              <w:pStyle w:val="11"/>
              <w:widowControl w:val="0"/>
              <w:jc w:val="center"/>
              <w:rPr>
                <w:rFonts w:hint="eastAsia" w:ascii="方正仿宋_GB2312" w:hAnsi="方正仿宋_GB2312" w:eastAsia="方正仿宋_GB2312" w:cs="方正仿宋_GB2312"/>
                <w:b/>
                <w:bCs/>
                <w:sz w:val="24"/>
                <w:szCs w:val="24"/>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沟通协作</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（5分）</w:t>
            </w:r>
          </w:p>
        </w:tc>
        <w:tc>
          <w:tcPr>
            <w:tcW w:w="5180" w:type="dxa"/>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团队成员在比赛中能够有效沟通、紧密协作，能够相互补台，共同应对突发情况</w:t>
            </w:r>
          </w:p>
        </w:tc>
        <w:tc>
          <w:tcPr>
            <w:tcW w:w="743" w:type="dxa"/>
            <w:vMerge w:val="continue"/>
            <w:tcBorders>
              <w:top w:val="nil"/>
            </w:tcBorders>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23" w:hRule="atLeast"/>
        </w:trPr>
        <w:tc>
          <w:tcPr>
            <w:tcW w:w="1376" w:type="dxa"/>
            <w:vMerge w:val="restart"/>
            <w:tcBorders>
              <w:bottom w:val="nil"/>
            </w:tcBorders>
            <w:vAlign w:val="center"/>
          </w:tcPr>
          <w:p>
            <w:pPr>
              <w:pStyle w:val="11"/>
              <w:widowControl w:val="0"/>
              <w:jc w:val="center"/>
              <w:rPr>
                <w:rFonts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 xml:space="preserve">创新创意  </w:t>
            </w:r>
          </w:p>
          <w:p>
            <w:pPr>
              <w:pStyle w:val="11"/>
              <w:widowControl w:val="0"/>
              <w:jc w:val="center"/>
              <w:rPr>
                <w:rFonts w:hint="eastAsia" w:ascii="方正仿宋_GB2312" w:hAnsi="方正仿宋_GB2312" w:eastAsia="方正仿宋_GB2312" w:cs="方正仿宋_GB2312"/>
                <w:b/>
                <w:bCs/>
                <w:sz w:val="24"/>
                <w:szCs w:val="24"/>
                <w:lang w:eastAsia="zh-CN"/>
              </w:rPr>
            </w:pPr>
            <w:r>
              <w:rPr>
                <w:rFonts w:ascii="方正仿宋_GB2312" w:hAnsi="方正仿宋_GB2312" w:eastAsia="方正仿宋_GB2312" w:cs="方正仿宋_GB2312"/>
                <w:b/>
                <w:bCs/>
                <w:sz w:val="24"/>
                <w:szCs w:val="24"/>
                <w:lang w:eastAsia="zh-CN"/>
              </w:rPr>
              <w:t>（10分）</w:t>
            </w: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创新意识</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（4分）</w:t>
            </w:r>
          </w:p>
        </w:tc>
        <w:tc>
          <w:tcPr>
            <w:tcW w:w="5180" w:type="dxa"/>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体现原始创意、创新和团队成员创新精神、创新能力</w:t>
            </w:r>
          </w:p>
        </w:tc>
        <w:tc>
          <w:tcPr>
            <w:tcW w:w="743" w:type="dxa"/>
          </w:tcPr>
          <w:p>
            <w:pPr>
              <w:spacing w:line="540" w:lineRule="exact"/>
              <w:contextualSpacing/>
              <w:rPr>
                <w:sz w:val="20"/>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88" w:hRule="atLeast"/>
        </w:trPr>
        <w:tc>
          <w:tcPr>
            <w:tcW w:w="1376" w:type="dxa"/>
            <w:vMerge w:val="continue"/>
            <w:tcBorders>
              <w:top w:val="nil"/>
            </w:tcBorders>
          </w:tcPr>
          <w:p>
            <w:pPr>
              <w:spacing w:line="540" w:lineRule="exact"/>
              <w:contextualSpacing/>
              <w:rPr>
                <w:sz w:val="20"/>
                <w:lang w:eastAsia="zh-CN"/>
              </w:rPr>
            </w:pPr>
          </w:p>
        </w:tc>
        <w:tc>
          <w:tcPr>
            <w:tcW w:w="1823" w:type="dxa"/>
            <w:vAlign w:val="center"/>
          </w:tcPr>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创新成效</w:t>
            </w:r>
          </w:p>
          <w:p>
            <w:pPr>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（6分）</w:t>
            </w:r>
          </w:p>
        </w:tc>
        <w:tc>
          <w:tcPr>
            <w:tcW w:w="5180" w:type="dxa"/>
          </w:tcPr>
          <w:p>
            <w:pPr>
              <w:kinsoku/>
              <w:overflowPunct w:val="0"/>
              <w:contextualSpacing/>
              <w:jc w:val="center"/>
              <w:rPr>
                <w:rFonts w:hint="eastAsia" w:ascii="方正仿宋_GB2312" w:hAnsi="方正仿宋_GB2312" w:eastAsia="方正仿宋_GB2312" w:cs="方正仿宋_GB2312"/>
                <w:sz w:val="24"/>
                <w:szCs w:val="24"/>
                <w:lang w:eastAsia="zh-CN" w:bidi="ar"/>
              </w:rPr>
            </w:pPr>
            <w:r>
              <w:rPr>
                <w:rFonts w:ascii="方正仿宋_GB2312" w:hAnsi="方正仿宋_GB2312" w:eastAsia="方正仿宋_GB2312" w:cs="方正仿宋_GB2312"/>
                <w:sz w:val="24"/>
                <w:szCs w:val="24"/>
                <w:lang w:eastAsia="zh-CN" w:bidi="ar"/>
              </w:rPr>
              <w:t>在要素整合、新技术应用、工艺流程改进、服务模式优化等方面具有原创性，侧重加工工艺创新、实用技术创新、产品（技术）数字化改良，应用性优化、民生类创意等</w:t>
            </w:r>
          </w:p>
        </w:tc>
        <w:tc>
          <w:tcPr>
            <w:tcW w:w="743" w:type="dxa"/>
          </w:tcPr>
          <w:p>
            <w:pPr>
              <w:spacing w:line="540" w:lineRule="exact"/>
              <w:contextualSpacing/>
              <w:rPr>
                <w:sz w:val="20"/>
                <w:lang w:eastAsia="zh-CN"/>
              </w:rPr>
            </w:pPr>
          </w:p>
        </w:tc>
      </w:tr>
    </w:tbl>
    <w:p>
      <w:pPr>
        <w:spacing w:line="540" w:lineRule="exact"/>
        <w:ind w:left="565"/>
        <w:contextualSpacing/>
        <w:outlineLvl w:val="2"/>
        <w:rPr>
          <w:rFonts w:ascii="楷体_GB2312" w:hAnsi="Times New Roman" w:eastAsia="楷体_GB2312" w:cs="Times New Roman"/>
          <w:b/>
          <w:bCs/>
          <w:spacing w:val="-5"/>
          <w:sz w:val="28"/>
          <w:szCs w:val="28"/>
          <w:lang w:eastAsia="zh-CN"/>
        </w:rPr>
      </w:pPr>
      <w:r>
        <w:rPr>
          <w:rFonts w:hint="eastAsia" w:ascii="楷体_GB2312" w:hAnsi="Times New Roman" w:eastAsia="楷体_GB2312" w:cs="Times New Roman"/>
          <w:b/>
          <w:bCs/>
          <w:spacing w:val="-5"/>
          <w:sz w:val="28"/>
          <w:szCs w:val="28"/>
          <w:lang w:eastAsia="zh-CN"/>
        </w:rPr>
        <w:t>（二）</w:t>
      </w:r>
      <w:r>
        <w:rPr>
          <w:rFonts w:ascii="楷体_GB2312" w:hAnsi="Times New Roman" w:eastAsia="楷体_GB2312" w:cs="Times New Roman"/>
          <w:b/>
          <w:bCs/>
          <w:spacing w:val="-5"/>
          <w:sz w:val="28"/>
          <w:szCs w:val="28"/>
          <w:lang w:eastAsia="zh-CN"/>
        </w:rPr>
        <w:t>评分方式</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参赛选手完成比赛后，评分裁判依据评分指标参考观测点，按五个评分指标及权重对参赛队伍的表现进行独立评分，评分裁判采用百分制现场打分。统分</w:t>
      </w:r>
      <w:r>
        <w:rPr>
          <w:rFonts w:hint="eastAsia" w:ascii="仿宋_GB2312" w:hAnsi="Times New Roman" w:eastAsia="仿宋_GB2312" w:cs="Times New Roman"/>
          <w:spacing w:val="2"/>
          <w:sz w:val="28"/>
          <w:szCs w:val="28"/>
          <w:lang w:eastAsia="zh-CN"/>
        </w:rPr>
        <w:t>人员</w:t>
      </w:r>
      <w:r>
        <w:rPr>
          <w:rFonts w:ascii="仿宋_GB2312" w:hAnsi="Times New Roman" w:eastAsia="仿宋_GB2312" w:cs="Times New Roman"/>
          <w:spacing w:val="2"/>
          <w:sz w:val="28"/>
          <w:szCs w:val="28"/>
          <w:lang w:eastAsia="zh-CN"/>
        </w:rPr>
        <w:t>按照“分数求和”规则，统计得出各参赛队伍得分。</w:t>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19" w:name="bookmark39"/>
      <w:bookmarkEnd w:id="19"/>
      <w:r>
        <w:rPr>
          <w:rFonts w:hint="eastAsia" w:ascii="楷体_GB2312" w:hAnsi="Times New Roman" w:eastAsia="楷体_GB2312" w:cs="Times New Roman"/>
          <w:b/>
          <w:bCs/>
          <w:spacing w:val="-5"/>
          <w:sz w:val="28"/>
          <w:szCs w:val="28"/>
          <w:lang w:eastAsia="zh-CN"/>
        </w:rPr>
        <w:t>（三）</w:t>
      </w:r>
      <w:r>
        <w:rPr>
          <w:rFonts w:ascii="楷体_GB2312" w:hAnsi="Times New Roman" w:eastAsia="楷体_GB2312" w:cs="Times New Roman"/>
          <w:b/>
          <w:bCs/>
          <w:spacing w:val="-5"/>
          <w:sz w:val="28"/>
          <w:szCs w:val="28"/>
          <w:lang w:eastAsia="zh-CN"/>
        </w:rPr>
        <w:t>成绩公示与公布</w:t>
      </w:r>
    </w:p>
    <w:p>
      <w:pPr>
        <w:spacing w:before="210" w:line="540" w:lineRule="exact"/>
        <w:ind w:left="566"/>
        <w:contextualSpacing/>
        <w:outlineLvl w:val="2"/>
        <w:rPr>
          <w:rFonts w:ascii="仿宋_GB2312" w:hAnsi="Times New Roman" w:eastAsia="仿宋_GB2312" w:cs="Times New Roman"/>
          <w:b/>
          <w:bCs/>
          <w:spacing w:val="-4"/>
          <w:sz w:val="28"/>
          <w:szCs w:val="28"/>
          <w:lang w:eastAsia="zh-CN"/>
        </w:rPr>
      </w:pPr>
      <w:bookmarkStart w:id="20" w:name="bookmark40"/>
      <w:bookmarkEnd w:id="20"/>
      <w:r>
        <w:rPr>
          <w:rFonts w:ascii="仿宋_GB2312" w:hAnsi="Times New Roman" w:eastAsia="仿宋_GB2312" w:cs="Times New Roman"/>
          <w:b/>
          <w:bCs/>
          <w:spacing w:val="-4"/>
          <w:sz w:val="28"/>
          <w:szCs w:val="28"/>
          <w:lang w:eastAsia="zh-CN"/>
        </w:rPr>
        <w:t>1.抽检复核</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（1）为保障成绩评判的准确性，监督仲裁组对赛项总成绩排名前25%的所有参赛队伍的成绩进行复核；对其余成绩进行抽检复核，抽检覆盖率不得低于15%。</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（2）监督仲裁组需将复检中发现的错误以书面方式及时告知裁判长，由裁判长更正成绩并签字确认。</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（3）复核、抽检错误率超过5%的，则认定为非小概率事件，裁判组需对所有成绩进行复核。</w:t>
      </w:r>
    </w:p>
    <w:p>
      <w:pPr>
        <w:spacing w:before="210" w:line="540" w:lineRule="exact"/>
        <w:ind w:left="566"/>
        <w:contextualSpacing/>
        <w:outlineLvl w:val="2"/>
        <w:rPr>
          <w:rFonts w:ascii="仿宋_GB2312" w:hAnsi="Times New Roman" w:eastAsia="仿宋_GB2312" w:cs="Times New Roman"/>
          <w:b/>
          <w:bCs/>
          <w:spacing w:val="-4"/>
          <w:sz w:val="28"/>
          <w:szCs w:val="28"/>
          <w:lang w:eastAsia="zh-CN"/>
        </w:rPr>
      </w:pPr>
      <w:r>
        <w:rPr>
          <w:rFonts w:ascii="仿宋_GB2312" w:hAnsi="Times New Roman" w:eastAsia="仿宋_GB2312" w:cs="Times New Roman"/>
          <w:b/>
          <w:bCs/>
          <w:spacing w:val="-4"/>
          <w:sz w:val="28"/>
          <w:szCs w:val="28"/>
          <w:lang w:eastAsia="zh-CN"/>
        </w:rPr>
        <w:t>2.解密</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裁判长正式提交赛位评分结果并复核无误后，加密裁判在监督人员监督下对加密结果进行逐层解密。</w:t>
      </w:r>
    </w:p>
    <w:p>
      <w:pPr>
        <w:spacing w:before="210" w:line="540" w:lineRule="exact"/>
        <w:ind w:left="566"/>
        <w:contextualSpacing/>
        <w:outlineLvl w:val="2"/>
        <w:rPr>
          <w:rFonts w:ascii="仿宋_GB2312" w:hAnsi="Times New Roman" w:eastAsia="仿宋_GB2312" w:cs="Times New Roman"/>
          <w:b/>
          <w:bCs/>
          <w:spacing w:val="-4"/>
          <w:sz w:val="28"/>
          <w:szCs w:val="28"/>
          <w:lang w:eastAsia="zh-CN"/>
        </w:rPr>
      </w:pPr>
      <w:r>
        <w:rPr>
          <w:rFonts w:ascii="仿宋_GB2312" w:hAnsi="Times New Roman" w:eastAsia="仿宋_GB2312" w:cs="Times New Roman"/>
          <w:b/>
          <w:bCs/>
          <w:spacing w:val="-4"/>
          <w:sz w:val="28"/>
          <w:szCs w:val="28"/>
          <w:lang w:eastAsia="zh-CN"/>
        </w:rPr>
        <w:t>3.公示</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将解密后的各参赛队成绩汇总成最终成绩单，经裁判长、监督仲裁组签字后进行公示，公示时间为2小时。成绩公示无异议后，由仲裁员在成绩单上签字，</w:t>
      </w:r>
      <w:r>
        <w:rPr>
          <w:rFonts w:hint="eastAsia" w:ascii="仿宋_GB2312" w:hAnsi="Times New Roman" w:eastAsia="仿宋_GB2312" w:cs="Times New Roman"/>
          <w:spacing w:val="2"/>
          <w:sz w:val="28"/>
          <w:szCs w:val="28"/>
          <w:lang w:eastAsia="zh-CN"/>
        </w:rPr>
        <w:t>予以</w:t>
      </w:r>
      <w:r>
        <w:rPr>
          <w:rFonts w:ascii="仿宋_GB2312" w:hAnsi="Times New Roman" w:eastAsia="仿宋_GB2312" w:cs="Times New Roman"/>
          <w:spacing w:val="2"/>
          <w:sz w:val="28"/>
          <w:szCs w:val="28"/>
          <w:lang w:eastAsia="zh-CN"/>
        </w:rPr>
        <w:t>公布。公示成绩单张贴在</w:t>
      </w:r>
      <w:r>
        <w:rPr>
          <w:rFonts w:hint="eastAsia" w:ascii="仿宋_GB2312" w:hAnsi="Times New Roman" w:eastAsia="仿宋_GB2312" w:cs="Times New Roman"/>
          <w:spacing w:val="2"/>
          <w:sz w:val="28"/>
          <w:szCs w:val="28"/>
          <w:lang w:val="en-US" w:eastAsia="zh-CN"/>
        </w:rPr>
        <w:t>海南科技职业大学</w:t>
      </w:r>
      <w:r>
        <w:rPr>
          <w:rFonts w:hint="eastAsia" w:ascii="仿宋_GB2312" w:hAnsi="Times New Roman" w:eastAsia="仿宋_GB2312" w:cs="Times New Roman"/>
          <w:spacing w:val="2"/>
          <w:sz w:val="28"/>
          <w:szCs w:val="28"/>
          <w:lang w:eastAsia="zh-CN"/>
        </w:rPr>
        <w:t>（具体地点另行通知）</w:t>
      </w:r>
      <w:r>
        <w:rPr>
          <w:rFonts w:ascii="仿宋_GB2312" w:hAnsi="Times New Roman" w:eastAsia="仿宋_GB2312" w:cs="Times New Roman"/>
          <w:spacing w:val="2"/>
          <w:sz w:val="28"/>
          <w:szCs w:val="28"/>
          <w:lang w:eastAsia="zh-CN"/>
        </w:rPr>
        <w:t>。大赛最终成绩经大赛执委会公示无异议后，由大赛组委会公布。</w:t>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21" w:name="bookmark42"/>
      <w:bookmarkEnd w:id="21"/>
      <w:bookmarkStart w:id="22" w:name="bookmark41"/>
      <w:bookmarkEnd w:id="22"/>
      <w:r>
        <w:rPr>
          <w:rFonts w:hint="eastAsia" w:ascii="楷体_GB2312" w:hAnsi="Times New Roman" w:eastAsia="楷体_GB2312" w:cs="Times New Roman"/>
          <w:b/>
          <w:bCs/>
          <w:spacing w:val="-5"/>
          <w:sz w:val="28"/>
          <w:szCs w:val="28"/>
          <w:lang w:eastAsia="zh-CN"/>
        </w:rPr>
        <w:t>（四）</w:t>
      </w:r>
      <w:r>
        <w:rPr>
          <w:rFonts w:ascii="楷体_GB2312" w:hAnsi="Times New Roman" w:eastAsia="楷体_GB2312" w:cs="Times New Roman"/>
          <w:b/>
          <w:bCs/>
          <w:spacing w:val="-5"/>
          <w:sz w:val="28"/>
          <w:szCs w:val="28"/>
          <w:lang w:eastAsia="zh-CN"/>
        </w:rPr>
        <w:t>申诉与仲裁</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参赛队伍认为存在不符合大赛规定、有失公正的评判及工作人员违规行为等情况时，须由该参赛队伍领队在该参赛队比赛结束后2小时内，向仲裁工作组实名提交书面申诉材料。成绩公示后，对成绩有异议的，由该参赛队伍领队在成绩公示期间，向仲裁工作组提交书面申诉材料。超过申诉时效不予受理。申诉报告应对申诉事件的基本情况、发生时间、涉及人员、申诉依据等进行充分、实事求是地叙述，应对申诉诉求清晰、明确地表达。</w:t>
      </w:r>
      <w:bookmarkStart w:id="23" w:name="bookmark48"/>
      <w:bookmarkEnd w:id="23"/>
      <w:bookmarkStart w:id="24" w:name="bookmark45"/>
      <w:bookmarkEnd w:id="24"/>
      <w:bookmarkStart w:id="25" w:name="bookmark43"/>
      <w:bookmarkEnd w:id="25"/>
      <w:bookmarkStart w:id="26" w:name="bookmark46"/>
      <w:bookmarkEnd w:id="26"/>
      <w:bookmarkStart w:id="27" w:name="bookmark47"/>
      <w:bookmarkEnd w:id="27"/>
    </w:p>
    <w:p>
      <w:pPr>
        <w:spacing w:line="540" w:lineRule="exact"/>
        <w:ind w:left="504"/>
        <w:contextualSpacing/>
        <w:outlineLvl w:val="1"/>
        <w:rPr>
          <w:rFonts w:hint="eastAsia" w:ascii="黑体" w:hAnsi="黑体" w:eastAsia="黑体" w:cs="黑体"/>
          <w:spacing w:val="6"/>
          <w:sz w:val="28"/>
          <w:szCs w:val="28"/>
          <w:lang w:eastAsia="zh-CN"/>
        </w:rPr>
      </w:pPr>
      <w:bookmarkStart w:id="28" w:name="bookmark52"/>
      <w:bookmarkEnd w:id="28"/>
      <w:bookmarkStart w:id="29" w:name="bookmark49"/>
      <w:bookmarkEnd w:id="29"/>
      <w:bookmarkStart w:id="30" w:name="bookmark50"/>
      <w:bookmarkEnd w:id="30"/>
      <w:r>
        <w:rPr>
          <w:rFonts w:hint="eastAsia" w:ascii="黑体" w:hAnsi="黑体" w:eastAsia="黑体" w:cs="黑体"/>
          <w:spacing w:val="6"/>
          <w:sz w:val="28"/>
          <w:szCs w:val="28"/>
          <w:lang w:eastAsia="zh-CN"/>
        </w:rPr>
        <w:t>八</w:t>
      </w:r>
      <w:r>
        <w:rPr>
          <w:rFonts w:ascii="黑体" w:hAnsi="黑体" w:eastAsia="黑体" w:cs="黑体"/>
          <w:spacing w:val="6"/>
          <w:sz w:val="28"/>
          <w:szCs w:val="28"/>
          <w:lang w:eastAsia="zh-CN"/>
        </w:rPr>
        <w:t>、人员须知</w:t>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31" w:name="bookmark51"/>
      <w:bookmarkEnd w:id="31"/>
      <w:r>
        <w:rPr>
          <w:rFonts w:ascii="楷体_GB2312" w:hAnsi="Times New Roman" w:eastAsia="楷体_GB2312" w:cs="Times New Roman"/>
          <w:b/>
          <w:bCs/>
          <w:spacing w:val="-5"/>
          <w:sz w:val="28"/>
          <w:szCs w:val="28"/>
          <w:lang w:eastAsia="zh-CN"/>
        </w:rPr>
        <w:t>（一）参赛队须知</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1.</w:t>
      </w:r>
      <w:r>
        <w:rPr>
          <w:rFonts w:ascii="仿宋_GB2312" w:hAnsi="Times New Roman" w:eastAsia="仿宋_GB2312" w:cs="Times New Roman"/>
          <w:spacing w:val="2"/>
          <w:sz w:val="28"/>
          <w:szCs w:val="28"/>
          <w:lang w:eastAsia="zh-CN"/>
        </w:rPr>
        <w:t>参赛队员应自觉遵守赛场纪律，服从裁判、听从指挥、文明竞赛；持证进入赛场，禁止将通讯工具和物料清单以外的物品带入赛场。</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2.</w:t>
      </w:r>
      <w:r>
        <w:rPr>
          <w:rFonts w:ascii="仿宋_GB2312" w:hAnsi="Times New Roman" w:eastAsia="仿宋_GB2312" w:cs="Times New Roman"/>
          <w:spacing w:val="2"/>
          <w:sz w:val="28"/>
          <w:szCs w:val="28"/>
          <w:lang w:eastAsia="zh-CN"/>
        </w:rPr>
        <w:t>组委会统一安排各参赛队在比赛前一天进入赛场熟悉环境情况。</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3.</w:t>
      </w:r>
      <w:r>
        <w:rPr>
          <w:rFonts w:ascii="仿宋_GB2312" w:hAnsi="Times New Roman" w:eastAsia="仿宋_GB2312" w:cs="Times New Roman"/>
          <w:spacing w:val="2"/>
          <w:sz w:val="28"/>
          <w:szCs w:val="28"/>
          <w:lang w:eastAsia="zh-CN"/>
        </w:rPr>
        <w:t>参赛队不允许携带与参赛设备无关的电子产品及通讯工具（物料清单中电子产品视为与竞赛有关），以及其他与竞赛有关的资料和书籍（物料清单中已确认的物品除外），不得以任何方式泄露参赛学校、选手姓名等涉及竞赛场上应该保密的信息。</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4.</w:t>
      </w:r>
      <w:r>
        <w:rPr>
          <w:rFonts w:ascii="仿宋_GB2312" w:hAnsi="Times New Roman" w:eastAsia="仿宋_GB2312" w:cs="Times New Roman"/>
          <w:spacing w:val="2"/>
          <w:sz w:val="28"/>
          <w:szCs w:val="28"/>
          <w:lang w:eastAsia="zh-CN"/>
        </w:rPr>
        <w:t>比赛过程中，参赛选手须严格遵守操作规程和相关准则，保证设备及人身安全，并接受裁判员的监督和警示；若因设备故障导致选手中断或终止比赛，由裁判长视具体情况做出裁决。</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5.</w:t>
      </w:r>
      <w:r>
        <w:rPr>
          <w:rFonts w:ascii="仿宋_GB2312" w:hAnsi="Times New Roman" w:eastAsia="仿宋_GB2312" w:cs="Times New Roman"/>
          <w:spacing w:val="2"/>
          <w:sz w:val="28"/>
          <w:szCs w:val="28"/>
          <w:lang w:eastAsia="zh-CN"/>
        </w:rPr>
        <w:t>在比赛过程中，须遵守比赛项目相关的安全操作流程，防止发生安全事故，参赛选手由于操作失误导致设备不能正常工作，或造成安全事故不能进行比赛的，将被终止比赛</w:t>
      </w:r>
      <w:r>
        <w:rPr>
          <w:rFonts w:hint="eastAsia" w:ascii="仿宋_GB2312" w:hAnsi="Times New Roman" w:eastAsia="仿宋_GB2312" w:cs="Times New Roman"/>
          <w:spacing w:val="2"/>
          <w:sz w:val="28"/>
          <w:szCs w:val="28"/>
          <w:lang w:eastAsia="zh-CN"/>
        </w:rPr>
        <w:t>。</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6</w:t>
      </w:r>
      <w:r>
        <w:rPr>
          <w:rFonts w:ascii="仿宋_GB2312" w:hAnsi="Times New Roman" w:eastAsia="仿宋_GB2312" w:cs="Times New Roman"/>
          <w:spacing w:val="2"/>
          <w:sz w:val="28"/>
          <w:szCs w:val="28"/>
          <w:lang w:eastAsia="zh-CN"/>
        </w:rPr>
        <w:t>.应文明参赛，服从裁判统一指挥，尊重赛场工作人员，自觉维护赛场秩序。如参赛选手因不服从裁判而停止比赛，则以弃权处理。</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7</w:t>
      </w:r>
      <w:r>
        <w:rPr>
          <w:rFonts w:ascii="仿宋_GB2312" w:hAnsi="Times New Roman" w:eastAsia="仿宋_GB2312" w:cs="Times New Roman"/>
          <w:spacing w:val="2"/>
          <w:sz w:val="28"/>
          <w:szCs w:val="28"/>
          <w:lang w:eastAsia="zh-CN"/>
        </w:rPr>
        <w:t>.若参赛队欲提前结束比赛，应向裁判员举手示意，比赛终止时间由裁判员记录，参赛队结束比赛后不得再进行任何操作，且不能提前离场。</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hint="eastAsia" w:ascii="仿宋_GB2312" w:hAnsi="Times New Roman" w:eastAsia="仿宋_GB2312" w:cs="Times New Roman"/>
          <w:spacing w:val="2"/>
          <w:sz w:val="28"/>
          <w:szCs w:val="28"/>
          <w:lang w:eastAsia="zh-CN"/>
        </w:rPr>
        <w:t>8</w:t>
      </w:r>
      <w:r>
        <w:rPr>
          <w:rFonts w:ascii="仿宋_GB2312" w:hAnsi="Times New Roman" w:eastAsia="仿宋_GB2312" w:cs="Times New Roman"/>
          <w:spacing w:val="2"/>
          <w:sz w:val="28"/>
          <w:szCs w:val="28"/>
          <w:lang w:eastAsia="zh-CN"/>
        </w:rPr>
        <w:t>.对于认为有影响参赛队比赛成绩的有关行为，应向指导老师和领队反映，由指导老师和领队按大赛制度规定进行申诉。参赛选手不得利用比赛相关的微信群、QQ群、钉钉群等发表虚假信息和不当言论。</w:t>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32" w:name="bookmark53"/>
      <w:bookmarkEnd w:id="32"/>
      <w:bookmarkStart w:id="33" w:name="bookmark54"/>
      <w:bookmarkEnd w:id="33"/>
      <w:r>
        <w:rPr>
          <w:rFonts w:ascii="楷体_GB2312" w:hAnsi="Times New Roman" w:eastAsia="楷体_GB2312" w:cs="Times New Roman"/>
          <w:b/>
          <w:bCs/>
          <w:spacing w:val="-5"/>
          <w:sz w:val="28"/>
          <w:szCs w:val="28"/>
          <w:lang w:eastAsia="zh-CN"/>
        </w:rPr>
        <w:t>（二）领队须知</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1.做好赛前抽签工作，确认比赛出场顺序，协助大赛承办方组织好本单位比赛选手的各项赛事相关事宜。</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2.做好本单位比赛选手的业务辅导、心理疏导和思想引导工作，对参赛选手及比赛过程报以平和、包容的心态，共同维护竞赛秩序。</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3.自觉遵守竞赛规则，尊重和支持裁判工作，不随意进入比赛现场及其他禁止入内的区域，确保比赛进程的公平、公正、顺畅、高效。</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4.各参赛队要坚决执行比赛的各项规定，加强对参赛人员的管理，做好赛前准备工作，督促选手带好证件和要求自带的工具、材料等。</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5.当本单位参赛选手对比赛进程中出现异常或疑问，应及时了解情况，客观做出判断，并做好选手的安抚工作，经内部进行协商，认为存在不符合大赛规定、有失公正的评判及工作人员违规行为等情况时，须由该参赛队伍领队在本参赛队比赛结束后2小时内，向仲裁工作组实名提交书面申诉材料。成绩公示后，对成绩有异议的，由该参赛队伍领队在成绩公示期间，向仲裁工作组提交书面申诉材料。超过申诉时效不予受理。对仲裁工作组仲裁结果不接受的，可由参赛队伍领队于仲裁结论出具2小时内向赛区仲裁委员会提出申诉，赛区仲裁委员会做出的裁决为最终裁决。存在重大争议的，可提交大赛仲裁委员会进行复核。</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6.参赛选手因申诉或对处理意见不服而停止比赛，以弃权处理。</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7.在组织队伍参赛时，须为参赛队所有人员统一购买大赛离校至返校期间的人身意外伤害保险。出发前须统掌握领队自身、指导老师、参赛选手的身体状况；有既往病史、患有严重疾病者不得参加比赛。因身体原因无法参赛的，参照组委会“人员变更”相关要求执行。</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8.在赛后做好技术总结和工作总结。</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9.明确要求指导教师和参赛选手按制度规定的程序处理比赛过程中出现的争议问题，不得利用比赛相关的微信群、QQ群、钉钉群等发表虚假信息和不当言论。</w:t>
      </w:r>
    </w:p>
    <w:p>
      <w:pPr>
        <w:spacing w:line="540" w:lineRule="exact"/>
        <w:ind w:left="565"/>
        <w:contextualSpacing/>
        <w:outlineLvl w:val="2"/>
        <w:rPr>
          <w:rFonts w:ascii="楷体_GB2312" w:hAnsi="Times New Roman" w:eastAsia="楷体_GB2312" w:cs="Times New Roman"/>
          <w:b/>
          <w:bCs/>
          <w:spacing w:val="-5"/>
          <w:sz w:val="28"/>
          <w:szCs w:val="28"/>
          <w:lang w:eastAsia="zh-CN"/>
        </w:rPr>
      </w:pPr>
      <w:bookmarkStart w:id="34" w:name="bookmark55"/>
      <w:bookmarkEnd w:id="34"/>
      <w:bookmarkStart w:id="35" w:name="bookmark56"/>
      <w:bookmarkEnd w:id="35"/>
      <w:r>
        <w:rPr>
          <w:rFonts w:ascii="楷体_GB2312" w:hAnsi="Times New Roman" w:eastAsia="楷体_GB2312" w:cs="Times New Roman"/>
          <w:b/>
          <w:bCs/>
          <w:spacing w:val="-5"/>
          <w:sz w:val="28"/>
          <w:szCs w:val="28"/>
          <w:lang w:eastAsia="zh-CN"/>
        </w:rPr>
        <w:t>（三）指导老师须知</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1.各参赛队指导老师限报2人，须为本校专兼职教师。</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2.应根据行业产业发展需要结合专业教学，认真指导选手进行项目设计和训练，培养选手的职业综合能力和良好的职业素养。</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3.指导教师应认真研究和掌握本赛项比赛的技术规则和赛场要求，指导选手做好赛前的一切准备工作。</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4.做好选手比赛期间的服务和管理工作，做好选手的安全教育。</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5.应自觉遵守大赛各项制度，尊重裁判、纪律监督、仲裁及工作人员。</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6.要引导和教育参赛选手遵守竞赛规则，不得在网络社交媒体平台、微信群等各种媒体发表、传播有待核实的信息和过激的言论。</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7.参加赛事观摩活动，遵守比赛观摩要求，不得违反相关规定干扰比赛正常进行。</w:t>
      </w:r>
    </w:p>
    <w:p>
      <w:pPr>
        <w:spacing w:before="325" w:line="540" w:lineRule="exact"/>
        <w:ind w:left="667"/>
        <w:contextualSpacing/>
        <w:outlineLvl w:val="1"/>
        <w:rPr>
          <w:rFonts w:hint="eastAsia" w:ascii="黑体" w:hAnsi="黑体" w:eastAsia="黑体" w:cs="黑体"/>
          <w:sz w:val="31"/>
          <w:szCs w:val="31"/>
          <w:lang w:eastAsia="zh-CN"/>
        </w:rPr>
      </w:pPr>
      <w:bookmarkStart w:id="36" w:name="bookmark58"/>
      <w:bookmarkEnd w:id="36"/>
      <w:r>
        <w:rPr>
          <w:rFonts w:ascii="黑体" w:hAnsi="黑体" w:eastAsia="黑体" w:cs="黑体"/>
          <w:spacing w:val="7"/>
          <w:sz w:val="31"/>
          <w:szCs w:val="31"/>
          <w:lang w:eastAsia="zh-CN"/>
        </w:rPr>
        <w:t>（四）参赛选手须知</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1.参赛选手应严格遵守赛场规章、操作规范，保证人身及设备安全，接受裁判员的监督和警示，文明竞赛。</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2.参赛选手凭证入场，在赛场内操作期间要始终佩戴参赛凭证以备检查。</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3.须严格按照规定时间进入候考区和比赛场地。竞赛期间不准携带任何与参赛设备无关的电子产品及通讯工具、与竞赛无关的移动存储器、照相器材等用品以及其他与竞赛有关的资料和书籍（设备清单中物品视为与竞赛相关），否则取消该队参赛资格。不得以任何方式泄露参赛学校、选手姓名等涉及竞赛场上应该保密的信息。</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4.尊重裁判和赛场工作人员，自觉遵守赛场纪律和秩序。</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5.入场后，听从现场裁判指挥，选拔比赛开始后才能开始作业，不得提前进行相关操作。</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6.凡在竞赛期间提前离开的选手作退赛处理。</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7.参赛选手须严格遵守安全操作规范，确保人身及设备安全。竞赛期间，若因选手个人原因出现安全事件或设备故障不能进行竞赛的，由裁判组裁定其竞赛结束，保留竞赛资格，累计其有效竞赛成绩；非选手个人原因出现的设备故障，由裁判组做出裁决，可视具体情况给选手补足排除故障耗费时间，并由参赛队长签字确认。</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8.参赛选手赛场外的管理由各参赛队领队负责。</w:t>
      </w:r>
    </w:p>
    <w:p>
      <w:pPr>
        <w:kinsoku/>
        <w:overflowPunct w:val="0"/>
        <w:spacing w:line="540" w:lineRule="exact"/>
        <w:ind w:firstLine="568" w:firstLineChars="200"/>
        <w:jc w:val="both"/>
        <w:rPr>
          <w:rFonts w:ascii="仿宋_GB2312" w:hAnsi="Times New Roman" w:eastAsia="仿宋_GB2312" w:cs="Times New Roman"/>
          <w:spacing w:val="2"/>
          <w:sz w:val="28"/>
          <w:szCs w:val="28"/>
          <w:lang w:eastAsia="zh-CN"/>
        </w:rPr>
      </w:pPr>
      <w:r>
        <w:rPr>
          <w:rFonts w:ascii="仿宋_GB2312" w:hAnsi="Times New Roman" w:eastAsia="仿宋_GB2312" w:cs="Times New Roman"/>
          <w:spacing w:val="2"/>
          <w:sz w:val="28"/>
          <w:szCs w:val="28"/>
          <w:lang w:eastAsia="zh-CN"/>
        </w:rPr>
        <w:t>9.参赛队欲提前结束竞赛，应向现场裁判举手示意，竞赛所用时间由现场裁判记录。结束竞赛后参赛队不能进行任何与竞赛相关的操作。</w:t>
      </w:r>
    </w:p>
    <w:p>
      <w:pPr>
        <w:kinsoku/>
        <w:overflowPunct w:val="0"/>
        <w:spacing w:line="540" w:lineRule="exact"/>
        <w:ind w:firstLine="568" w:firstLineChars="200"/>
        <w:jc w:val="both"/>
        <w:rPr>
          <w:rFonts w:hint="eastAsia" w:ascii="仿宋_GB2312" w:hAnsi="Times New Roman" w:eastAsia="仿宋_GB2312" w:cs="Times New Roman"/>
          <w:spacing w:val="2"/>
          <w:sz w:val="28"/>
          <w:szCs w:val="28"/>
          <w:lang w:eastAsia="zh-CN"/>
        </w:rPr>
      </w:pPr>
    </w:p>
    <w:sectPr>
      <w:footerReference r:id="rId3" w:type="default"/>
      <w:footerReference r:id="rId4" w:type="even"/>
      <w:pgSz w:w="11906" w:h="16838"/>
      <w:pgMar w:top="2098" w:right="1474" w:bottom="1985" w:left="1588"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等线 Light">
    <w:altName w:val="汉仪中等线KW"/>
    <w:panose1 w:val="02010600030101010101"/>
    <w:charset w:val="86"/>
    <w:family w:val="auto"/>
    <w:pitch w:val="default"/>
    <w:sig w:usb0="00000000" w:usb1="00000000" w:usb2="00000016" w:usb3="00000000" w:csb0="0004000F" w:csb1="00000000"/>
  </w:font>
  <w:font w:name="仿宋">
    <w:altName w:val="方正仿宋_GBK"/>
    <w:panose1 w:val="02010609060101010101"/>
    <w:charset w:val="86"/>
    <w:family w:val="modern"/>
    <w:pitch w:val="default"/>
    <w:sig w:usb0="00000000" w:usb1="00000000"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仿宋_GB2312">
    <w:altName w:val="方正仿宋_GBK"/>
    <w:panose1 w:val="02010609030101010101"/>
    <w:charset w:val="86"/>
    <w:family w:val="modern"/>
    <w:pitch w:val="default"/>
    <w:sig w:usb0="00000000" w:usb1="00000000" w:usb2="00000010" w:usb3="00000000" w:csb0="00040000" w:csb1="00000000"/>
  </w:font>
  <w:font w:name="楷体_GB2312">
    <w:altName w:val="汉仪楷体简"/>
    <w:panose1 w:val="02010609030101010101"/>
    <w:charset w:val="86"/>
    <w:family w:val="modern"/>
    <w:pitch w:val="default"/>
    <w:sig w:usb0="00000000" w:usb1="00000000" w:usb2="00000010" w:usb3="00000000" w:csb0="00040000" w:csb1="00000000"/>
  </w:font>
  <w:font w:name="楷体">
    <w:altName w:val="汉仪楷体KW"/>
    <w:panose1 w:val="02010609060101010101"/>
    <w:charset w:val="86"/>
    <w:family w:val="modern"/>
    <w:pitch w:val="default"/>
    <w:sig w:usb0="00000000" w:usb1="00000000"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楷体简">
    <w:panose1 w:val="02010600000101010101"/>
    <w:charset w:val="86"/>
    <w:family w:val="auto"/>
    <w:pitch w:val="default"/>
    <w:sig w:usb0="00000001" w:usb1="080E0800" w:usb2="00000002" w:usb3="00000000" w:csb0="00040000" w:csb1="00000000"/>
  </w:font>
  <w:font w:name="汉仪书宋二KW">
    <w:panose1 w:val="00020600040101010101"/>
    <w:charset w:val="86"/>
    <w:family w:val="auto"/>
    <w:pitch w:val="default"/>
    <w:sig w:usb0="A00002BF" w:usb1="18EF7CFA" w:usb2="00000016" w:usb3="00000000" w:csb0="0004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 w:name="汉仪楷体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等线 Light">
    <w:altName w:val="汉仪中等线KW"/>
    <w:panose1 w:val="00000000000000000000"/>
    <w:charset w:val="00"/>
    <w:family w:val="auto"/>
    <w:pitch w:val="default"/>
    <w:sig w:usb0="00000000" w:usb1="00000000" w:usb2="00000000" w:usb3="00000000" w:csb0="00000000" w:csb1="00000000"/>
  </w:font>
  <w:font w:name="仿宋_GB2312">
    <w:altName w:val="方正仿宋_GBK"/>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12"/>
          <w:jc w:val="right"/>
          <w:rPr>
            <w:rFonts w:hint="eastAsia"/>
          </w:rPr>
        </w:pPr>
        <w:r>
          <w:fldChar w:fldCharType="begin"/>
        </w:r>
        <w:r>
          <w:instrText xml:space="preserve">PAGE   \* MERGEFORMAT</w:instrText>
        </w:r>
        <w:r>
          <w:fldChar w:fldCharType="separate"/>
        </w:r>
        <w:r>
          <w:rPr>
            <w:lang w:val="zh-CN" w:eastAsia="zh-CN"/>
          </w:rPr>
          <w:t>2</w:t>
        </w:r>
        <w:r>
          <w:fldChar w:fldCharType="end"/>
        </w:r>
      </w:p>
    </w:sdtContent>
  </w:sdt>
  <w:p>
    <w:pPr>
      <w:pStyle w:val="12"/>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31591247"/>
      <w:docPartObj>
        <w:docPartGallery w:val="autotext"/>
      </w:docPartObj>
    </w:sdtPr>
    <w:sdtContent>
      <w:p>
        <w:pPr>
          <w:pStyle w:val="12"/>
          <w:rPr>
            <w:rFonts w:hint="eastAsia"/>
          </w:rPr>
        </w:pPr>
        <w:r>
          <w:fldChar w:fldCharType="begin"/>
        </w:r>
        <w:r>
          <w:instrText xml:space="preserve">PAGE   \* MERGEFORMAT</w:instrText>
        </w:r>
        <w:r>
          <w:fldChar w:fldCharType="separate"/>
        </w:r>
        <w:r>
          <w:rPr>
            <w:lang w:val="zh-CN" w:eastAsia="zh-CN"/>
          </w:rPr>
          <w:t>2</w:t>
        </w:r>
        <w:r>
          <w:fldChar w:fldCharType="end"/>
        </w:r>
      </w:p>
    </w:sdtContent>
  </w:sdt>
  <w:p>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E27A32"/>
    <w:multiLevelType w:val="singleLevel"/>
    <w:tmpl w:val="77E27A32"/>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886"/>
    <w:rsid w:val="00193B31"/>
    <w:rsid w:val="00441892"/>
    <w:rsid w:val="004B1DD6"/>
    <w:rsid w:val="00517220"/>
    <w:rsid w:val="00596886"/>
    <w:rsid w:val="00761AEE"/>
    <w:rsid w:val="00B61696"/>
    <w:rsid w:val="00C946D9"/>
    <w:rsid w:val="00F32422"/>
    <w:rsid w:val="1C28391F"/>
    <w:rsid w:val="38BFE583"/>
    <w:rsid w:val="61BFDD33"/>
    <w:rsid w:val="9F516CD7"/>
    <w:rsid w:val="BDBBCAF9"/>
    <w:rsid w:val="CF3F476F"/>
    <w:rsid w:val="FF7B14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14:ligatures w14:val="standardContextual"/>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2F5597"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2F5597"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2F5597"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2F5597" w:themeColor="accent1" w:themeShade="BF"/>
      <w:sz w:val="24"/>
      <w:szCs w:val="24"/>
    </w:rPr>
  </w:style>
  <w:style w:type="paragraph" w:styleId="7">
    <w:name w:val="heading 6"/>
    <w:basedOn w:val="1"/>
    <w:next w:val="1"/>
    <w:link w:val="25"/>
    <w:semiHidden/>
    <w:unhideWhenUsed/>
    <w:qFormat/>
    <w:uiPriority w:val="9"/>
    <w:pPr>
      <w:keepNext/>
      <w:keepLines/>
      <w:spacing w:before="40"/>
      <w:outlineLvl w:val="5"/>
    </w:pPr>
    <w:rPr>
      <w:rFonts w:cstheme="majorBidi"/>
      <w:b/>
      <w:bCs/>
      <w:color w:val="2F5597" w:themeColor="accent1" w:themeShade="BF"/>
    </w:rPr>
  </w:style>
  <w:style w:type="paragraph" w:styleId="8">
    <w:name w:val="heading 7"/>
    <w:basedOn w:val="1"/>
    <w:next w:val="1"/>
    <w:link w:val="26"/>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Body Text"/>
    <w:basedOn w:val="1"/>
    <w:link w:val="40"/>
    <w:semiHidden/>
    <w:qFormat/>
    <w:uiPriority w:val="0"/>
  </w:style>
  <w:style w:type="paragraph" w:styleId="12">
    <w:name w:val="footer"/>
    <w:basedOn w:val="1"/>
    <w:link w:val="39"/>
    <w:unhideWhenUsed/>
    <w:qFormat/>
    <w:uiPriority w:val="99"/>
    <w:pPr>
      <w:tabs>
        <w:tab w:val="center" w:pos="4153"/>
        <w:tab w:val="right" w:pos="8306"/>
      </w:tabs>
    </w:pPr>
    <w:rPr>
      <w:sz w:val="18"/>
      <w:szCs w:val="18"/>
    </w:rPr>
  </w:style>
  <w:style w:type="paragraph" w:styleId="13">
    <w:name w:val="header"/>
    <w:basedOn w:val="1"/>
    <w:link w:val="38"/>
    <w:unhideWhenUsed/>
    <w:qFormat/>
    <w:uiPriority w:val="99"/>
    <w:pPr>
      <w:tabs>
        <w:tab w:val="center" w:pos="4153"/>
        <w:tab w:val="right" w:pos="8306"/>
      </w:tabs>
      <w:jc w:val="center"/>
    </w:pPr>
    <w:rPr>
      <w:sz w:val="18"/>
      <w:szCs w:val="18"/>
    </w:rPr>
  </w:style>
  <w:style w:type="paragraph" w:styleId="14">
    <w:name w:val="Subtitle"/>
    <w:basedOn w:val="1"/>
    <w:next w:val="1"/>
    <w:link w:val="30"/>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Normal (Web)"/>
    <w:basedOn w:val="1"/>
    <w:qFormat/>
    <w:uiPriority w:val="0"/>
    <w:rPr>
      <w:sz w:val="24"/>
    </w:rPr>
  </w:style>
  <w:style w:type="paragraph" w:styleId="16">
    <w:name w:val="Title"/>
    <w:basedOn w:val="1"/>
    <w:next w:val="1"/>
    <w:link w:val="29"/>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8">
    <w:name w:val="Table Grid"/>
    <w:basedOn w:val="1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customStyle="1" w:styleId="20">
    <w:name w:val="标题 1 字符"/>
    <w:basedOn w:val="19"/>
    <w:link w:val="2"/>
    <w:qFormat/>
    <w:uiPriority w:val="9"/>
    <w:rPr>
      <w:rFonts w:asciiTheme="majorHAnsi" w:hAnsiTheme="majorHAnsi" w:eastAsiaTheme="majorEastAsia" w:cstheme="majorBidi"/>
      <w:color w:val="2F5597" w:themeColor="accent1" w:themeShade="BF"/>
      <w:sz w:val="48"/>
      <w:szCs w:val="48"/>
    </w:rPr>
  </w:style>
  <w:style w:type="character" w:customStyle="1" w:styleId="21">
    <w:name w:val="标题 2 字符"/>
    <w:basedOn w:val="19"/>
    <w:link w:val="3"/>
    <w:semiHidden/>
    <w:qFormat/>
    <w:uiPriority w:val="9"/>
    <w:rPr>
      <w:rFonts w:asciiTheme="majorHAnsi" w:hAnsiTheme="majorHAnsi" w:eastAsiaTheme="majorEastAsia" w:cstheme="majorBidi"/>
      <w:color w:val="2F5597" w:themeColor="accent1" w:themeShade="BF"/>
      <w:sz w:val="40"/>
      <w:szCs w:val="40"/>
    </w:rPr>
  </w:style>
  <w:style w:type="character" w:customStyle="1" w:styleId="22">
    <w:name w:val="标题 3 字符"/>
    <w:basedOn w:val="19"/>
    <w:link w:val="4"/>
    <w:semiHidden/>
    <w:qFormat/>
    <w:uiPriority w:val="9"/>
    <w:rPr>
      <w:rFonts w:asciiTheme="majorHAnsi" w:hAnsiTheme="majorHAnsi" w:eastAsiaTheme="majorEastAsia" w:cstheme="majorBidi"/>
      <w:color w:val="2F5597" w:themeColor="accent1" w:themeShade="BF"/>
      <w:sz w:val="32"/>
      <w:szCs w:val="32"/>
    </w:rPr>
  </w:style>
  <w:style w:type="character" w:customStyle="1" w:styleId="23">
    <w:name w:val="标题 4 字符"/>
    <w:basedOn w:val="19"/>
    <w:link w:val="5"/>
    <w:semiHidden/>
    <w:qFormat/>
    <w:uiPriority w:val="9"/>
    <w:rPr>
      <w:rFonts w:cstheme="majorBidi"/>
      <w:color w:val="2F5597" w:themeColor="accent1" w:themeShade="BF"/>
      <w:sz w:val="28"/>
      <w:szCs w:val="28"/>
    </w:rPr>
  </w:style>
  <w:style w:type="character" w:customStyle="1" w:styleId="24">
    <w:name w:val="标题 5 字符"/>
    <w:basedOn w:val="19"/>
    <w:link w:val="6"/>
    <w:semiHidden/>
    <w:qFormat/>
    <w:uiPriority w:val="9"/>
    <w:rPr>
      <w:rFonts w:cstheme="majorBidi"/>
      <w:color w:val="2F5597" w:themeColor="accent1" w:themeShade="BF"/>
      <w:sz w:val="24"/>
      <w:szCs w:val="24"/>
    </w:rPr>
  </w:style>
  <w:style w:type="character" w:customStyle="1" w:styleId="25">
    <w:name w:val="标题 6 字符"/>
    <w:basedOn w:val="19"/>
    <w:link w:val="7"/>
    <w:semiHidden/>
    <w:qFormat/>
    <w:uiPriority w:val="9"/>
    <w:rPr>
      <w:rFonts w:cstheme="majorBidi"/>
      <w:b/>
      <w:bCs/>
      <w:color w:val="2F5597" w:themeColor="accent1" w:themeShade="BF"/>
    </w:rPr>
  </w:style>
  <w:style w:type="character" w:customStyle="1" w:styleId="26">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9"/>
    <w:link w:val="16"/>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9"/>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9"/>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9"/>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明显引用 字符"/>
    <w:basedOn w:val="19"/>
    <w:link w:val="35"/>
    <w:qFormat/>
    <w:uiPriority w:val="30"/>
    <w:rPr>
      <w:i/>
      <w:iCs/>
      <w:color w:val="2F5597" w:themeColor="accent1" w:themeShade="BF"/>
    </w:rPr>
  </w:style>
  <w:style w:type="character" w:customStyle="1" w:styleId="37">
    <w:name w:val="Intense Reference"/>
    <w:basedOn w:val="19"/>
    <w:qFormat/>
    <w:uiPriority w:val="32"/>
    <w:rPr>
      <w:b/>
      <w:bCs/>
      <w:smallCaps/>
      <w:color w:val="2F5597" w:themeColor="accent1" w:themeShade="BF"/>
      <w:spacing w:val="5"/>
    </w:rPr>
  </w:style>
  <w:style w:type="character" w:customStyle="1" w:styleId="38">
    <w:name w:val="页眉 字符"/>
    <w:basedOn w:val="19"/>
    <w:link w:val="13"/>
    <w:qFormat/>
    <w:uiPriority w:val="99"/>
    <w:rPr>
      <w:sz w:val="18"/>
      <w:szCs w:val="18"/>
    </w:rPr>
  </w:style>
  <w:style w:type="character" w:customStyle="1" w:styleId="39">
    <w:name w:val="页脚 字符"/>
    <w:basedOn w:val="19"/>
    <w:link w:val="12"/>
    <w:qFormat/>
    <w:uiPriority w:val="99"/>
    <w:rPr>
      <w:sz w:val="18"/>
      <w:szCs w:val="18"/>
    </w:rPr>
  </w:style>
  <w:style w:type="character" w:customStyle="1" w:styleId="40">
    <w:name w:val="正文文本 字符"/>
    <w:basedOn w:val="19"/>
    <w:link w:val="11"/>
    <w:semiHidden/>
    <w:qFormat/>
    <w:uiPriority w:val="0"/>
    <w:rPr>
      <w:rFonts w:ascii="Arial" w:hAnsi="Arial" w:eastAsia="Arial" w:cs="Arial"/>
      <w:snapToGrid w:val="0"/>
      <w:color w:val="000000"/>
      <w:kern w:val="0"/>
      <w:szCs w:val="21"/>
      <w:lang w:eastAsia="en-US"/>
    </w:rPr>
  </w:style>
  <w:style w:type="table" w:customStyle="1" w:styleId="41">
    <w:name w:val="Table Normal"/>
    <w:semiHidden/>
    <w:unhideWhenUsed/>
    <w:qFormat/>
    <w:uiPriority w:val="0"/>
    <w:rPr>
      <w:rFonts w:ascii="Times New Roman" w:hAnsi="Times New Roman" w:eastAsia="宋体" w:cs="Times New Roman"/>
      <w:kern w:val="0"/>
      <w:sz w:val="20"/>
      <w:szCs w:val="20"/>
    </w:rPr>
    <w:tblPr>
      <w:tblCellMar>
        <w:top w:w="0" w:type="dxa"/>
        <w:left w:w="0" w:type="dxa"/>
        <w:bottom w:w="0" w:type="dxa"/>
        <w:right w:w="0" w:type="dxa"/>
      </w:tblCellMar>
    </w:tblPr>
  </w:style>
  <w:style w:type="paragraph" w:customStyle="1" w:styleId="42">
    <w:name w:val="Table Text"/>
    <w:basedOn w:val="1"/>
    <w:semiHidden/>
    <w:qFormat/>
    <w:uiPriority w:val="0"/>
    <w:rPr>
      <w:rFonts w:ascii="仿宋" w:hAnsi="仿宋" w:eastAsia="仿宋" w:cs="仿宋"/>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4694</Words>
  <Characters>4950</Characters>
  <Lines>58</Lines>
  <Paragraphs>16</Paragraphs>
  <TotalTime>30</TotalTime>
  <ScaleCrop>false</ScaleCrop>
  <LinksUpToDate>false</LinksUpToDate>
  <CharactersWithSpaces>4992</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2025-11-08T17:05:00Z</dcterms:created>
  <dc:creator>747834514@qq.com</dc:creator>
  <cp:lastModifiedBy>忘了吧</cp:lastModifiedBy>
  <dcterms:modified xsi:type="dcterms:W3CDTF">2025-11-18T13:38:09Z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EFFDB7339040F53E41061C692EFAE8DD_43</vt:lpwstr>
  </property>
  <property fmtid="{D5CDD505-2E9C-101B-9397-08002B2CF9AE}" pid="4" name="KSOTemplateDocerSaveRecord">
    <vt:lpwstr>eyJoZGlkIjoiMzNjZDU3MTc1YzBiMjAyZThkZmZiMDQxMjkxY2FjZjYiLCJ1c2VySWQiOiI2ODMyNDQzMTQifQ==</vt:lpwstr>
  </property>
</Properties>
</file>