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55EDDE">
      <w:pPr>
        <w:keepNext w:val="0"/>
        <w:keepLines w:val="0"/>
        <w:pageBreakBefore w:val="0"/>
        <w:wordWrap/>
        <w:overflowPunct/>
        <w:topLinePunct w:val="0"/>
        <w:bidi w:val="0"/>
        <w:adjustRightInd w:val="0"/>
        <w:snapToGrid w:val="0"/>
        <w:spacing w:line="560" w:lineRule="atLeast"/>
        <w:ind w:left="0" w:right="0"/>
        <w:jc w:val="center"/>
        <w:outlineLvl w:val="0"/>
        <w:rPr>
          <w:rFonts w:hint="eastAsia" w:ascii="宋体" w:hAnsi="宋体" w:eastAsia="宋体" w:cs="宋体"/>
          <w:b w:val="0"/>
          <w:bCs w:val="0"/>
          <w:spacing w:val="-5"/>
          <w:sz w:val="52"/>
          <w:szCs w:val="52"/>
          <w:lang w:val="en-US" w:eastAsia="zh-CN"/>
        </w:rPr>
      </w:pPr>
    </w:p>
    <w:p w14:paraId="07975707">
      <w:pPr>
        <w:keepNext w:val="0"/>
        <w:keepLines w:val="0"/>
        <w:pageBreakBefore w:val="0"/>
        <w:wordWrap/>
        <w:overflowPunct/>
        <w:topLinePunct w:val="0"/>
        <w:bidi w:val="0"/>
        <w:adjustRightInd w:val="0"/>
        <w:snapToGrid w:val="0"/>
        <w:spacing w:line="560" w:lineRule="atLeast"/>
        <w:ind w:left="0" w:right="0"/>
        <w:jc w:val="center"/>
        <w:outlineLvl w:val="0"/>
        <w:rPr>
          <w:rFonts w:hint="eastAsia" w:ascii="宋体" w:hAnsi="宋体" w:eastAsia="宋体" w:cs="宋体"/>
          <w:b w:val="0"/>
          <w:bCs w:val="0"/>
          <w:spacing w:val="-5"/>
          <w:sz w:val="52"/>
          <w:szCs w:val="52"/>
          <w:lang w:val="en-US" w:eastAsia="zh-CN"/>
        </w:rPr>
      </w:pPr>
    </w:p>
    <w:p w14:paraId="6AF3181B">
      <w:pPr>
        <w:keepNext w:val="0"/>
        <w:keepLines w:val="0"/>
        <w:pageBreakBefore w:val="0"/>
        <w:wordWrap/>
        <w:overflowPunct/>
        <w:topLinePunct w:val="0"/>
        <w:bidi w:val="0"/>
        <w:adjustRightInd w:val="0"/>
        <w:snapToGrid w:val="0"/>
        <w:spacing w:line="560" w:lineRule="atLeast"/>
        <w:ind w:left="0" w:right="0"/>
        <w:jc w:val="center"/>
        <w:outlineLvl w:val="0"/>
        <w:rPr>
          <w:rFonts w:hint="eastAsia" w:ascii="宋体" w:hAnsi="宋体" w:eastAsia="宋体" w:cs="宋体"/>
          <w:b w:val="0"/>
          <w:bCs w:val="0"/>
          <w:spacing w:val="-5"/>
          <w:sz w:val="52"/>
          <w:szCs w:val="52"/>
          <w:lang w:val="en-US" w:eastAsia="zh-CN"/>
        </w:rPr>
      </w:pPr>
    </w:p>
    <w:p w14:paraId="50A9B382">
      <w:pPr>
        <w:keepNext w:val="0"/>
        <w:keepLines w:val="0"/>
        <w:pageBreakBefore w:val="0"/>
        <w:wordWrap/>
        <w:overflowPunct/>
        <w:topLinePunct w:val="0"/>
        <w:bidi w:val="0"/>
        <w:adjustRightInd w:val="0"/>
        <w:snapToGrid w:val="0"/>
        <w:spacing w:line="560" w:lineRule="atLeast"/>
        <w:ind w:left="0" w:right="0"/>
        <w:jc w:val="center"/>
        <w:outlineLvl w:val="0"/>
        <w:rPr>
          <w:rFonts w:hint="eastAsia" w:ascii="宋体" w:hAnsi="宋体" w:eastAsia="宋体" w:cs="宋体"/>
          <w:b w:val="0"/>
          <w:bCs w:val="0"/>
          <w:spacing w:val="-5"/>
          <w:sz w:val="52"/>
          <w:szCs w:val="52"/>
          <w:lang w:val="en-US" w:eastAsia="zh-CN"/>
        </w:rPr>
      </w:pPr>
      <w:r>
        <w:rPr>
          <w:rFonts w:hint="eastAsia" w:ascii="宋体" w:hAnsi="宋体" w:eastAsia="宋体" w:cs="宋体"/>
          <w:b w:val="0"/>
          <w:bCs w:val="0"/>
          <w:spacing w:val="-5"/>
          <w:sz w:val="52"/>
          <w:szCs w:val="52"/>
          <w:lang w:val="en-US" w:eastAsia="zh-CN"/>
        </w:rPr>
        <w:t>2026年海南省职业院校职业技能大赛</w:t>
      </w:r>
    </w:p>
    <w:p w14:paraId="19D66C94">
      <w:pPr>
        <w:keepNext w:val="0"/>
        <w:keepLines w:val="0"/>
        <w:pageBreakBefore w:val="0"/>
        <w:wordWrap/>
        <w:overflowPunct/>
        <w:topLinePunct w:val="0"/>
        <w:bidi w:val="0"/>
        <w:adjustRightInd w:val="0"/>
        <w:snapToGrid w:val="0"/>
        <w:spacing w:line="560" w:lineRule="atLeast"/>
        <w:ind w:left="0" w:right="0"/>
        <w:jc w:val="center"/>
        <w:outlineLvl w:val="0"/>
        <w:rPr>
          <w:rFonts w:hint="eastAsia"/>
          <w:lang w:eastAsia="zh-CN"/>
        </w:rPr>
      </w:pPr>
      <w:r>
        <w:rPr>
          <w:rFonts w:hint="eastAsia" w:ascii="宋体" w:hAnsi="宋体" w:eastAsia="宋体" w:cs="宋体"/>
          <w:b w:val="0"/>
          <w:bCs w:val="0"/>
          <w:spacing w:val="-5"/>
          <w:sz w:val="52"/>
          <w:szCs w:val="52"/>
          <w:lang w:val="en-US" w:eastAsia="zh-CN"/>
        </w:rPr>
        <w:t>学生技能竞赛</w:t>
      </w:r>
      <w:r>
        <w:rPr>
          <w:rFonts w:hint="eastAsia" w:ascii="宋体" w:hAnsi="宋体" w:eastAsia="宋体" w:cs="宋体"/>
          <w:b w:val="0"/>
          <w:bCs w:val="0"/>
          <w:spacing w:val="-5"/>
          <w:sz w:val="52"/>
          <w:szCs w:val="52"/>
          <w:lang w:val="en-US" w:eastAsia="zh-CN"/>
        </w:rPr>
        <w:t>（</w:t>
      </w:r>
      <w:r>
        <w:rPr>
          <w:rFonts w:hint="eastAsia" w:ascii="宋体" w:hAnsi="宋体" w:eastAsia="宋体" w:cs="宋体"/>
          <w:b w:val="0"/>
          <w:bCs w:val="0"/>
          <w:spacing w:val="-5"/>
          <w:sz w:val="52"/>
          <w:szCs w:val="52"/>
          <w:lang w:val="en-US" w:eastAsia="zh-CN"/>
        </w:rPr>
        <w:t>高职组</w:t>
      </w:r>
      <w:r>
        <w:rPr>
          <w:rFonts w:hint="eastAsia" w:ascii="宋体" w:hAnsi="宋体" w:eastAsia="宋体" w:cs="宋体"/>
          <w:b w:val="0"/>
          <w:bCs w:val="0"/>
          <w:spacing w:val="-5"/>
          <w:sz w:val="52"/>
          <w:szCs w:val="52"/>
          <w:lang w:val="en-US" w:eastAsia="zh-CN"/>
        </w:rPr>
        <w:t>）</w:t>
      </w:r>
    </w:p>
    <w:p w14:paraId="2A92BF31">
      <w:pPr>
        <w:keepNext w:val="0"/>
        <w:keepLines w:val="0"/>
        <w:pageBreakBefore w:val="0"/>
        <w:wordWrap/>
        <w:overflowPunct/>
        <w:topLinePunct w:val="0"/>
        <w:bidi w:val="0"/>
        <w:adjustRightInd w:val="0"/>
        <w:snapToGrid w:val="0"/>
        <w:spacing w:line="560" w:lineRule="atLeast"/>
        <w:ind w:left="0" w:right="0"/>
        <w:jc w:val="center"/>
        <w:outlineLvl w:val="0"/>
        <w:rPr>
          <w:rFonts w:hint="eastAsia" w:ascii="宋体" w:hAnsi="宋体" w:eastAsia="宋体" w:cs="宋体"/>
          <w:b w:val="0"/>
          <w:bCs w:val="0"/>
          <w:spacing w:val="-5"/>
          <w:sz w:val="52"/>
          <w:szCs w:val="52"/>
          <w:lang w:eastAsia="zh-CN"/>
        </w:rPr>
      </w:pPr>
      <w:r>
        <w:rPr>
          <w:rFonts w:hint="eastAsia" w:ascii="宋体" w:hAnsi="宋体" w:eastAsia="宋体" w:cs="宋体"/>
          <w:b w:val="0"/>
          <w:bCs w:val="0"/>
          <w:spacing w:val="-5"/>
          <w:sz w:val="52"/>
          <w:szCs w:val="52"/>
          <w:lang w:val="en-US" w:eastAsia="zh-CN"/>
        </w:rPr>
        <w:t>机电一体化技术</w:t>
      </w:r>
      <w:r>
        <w:rPr>
          <w:rFonts w:hint="eastAsia" w:ascii="宋体" w:hAnsi="宋体" w:eastAsia="宋体" w:cs="宋体"/>
          <w:b w:val="0"/>
          <w:bCs w:val="0"/>
          <w:spacing w:val="-5"/>
          <w:sz w:val="52"/>
          <w:szCs w:val="52"/>
          <w:lang w:eastAsia="zh-CN"/>
        </w:rPr>
        <w:t>赛项规程</w:t>
      </w:r>
    </w:p>
    <w:p w14:paraId="563B4DFF">
      <w:pPr>
        <w:keepNext w:val="0"/>
        <w:keepLines w:val="0"/>
        <w:pageBreakBefore w:val="0"/>
        <w:widowControl w:val="0"/>
        <w:kinsoku/>
        <w:wordWrap/>
        <w:overflowPunct/>
        <w:topLinePunct w:val="0"/>
        <w:autoSpaceDE/>
        <w:autoSpaceDN/>
        <w:bidi w:val="0"/>
        <w:adjustRightInd w:val="0"/>
        <w:snapToGrid w:val="0"/>
        <w:spacing w:line="560" w:lineRule="atLeast"/>
        <w:ind w:left="0" w:right="0"/>
        <w:jc w:val="center"/>
        <w:textAlignment w:val="auto"/>
        <w:rPr>
          <w:rFonts w:hint="eastAsia" w:ascii="方正小标宋简体" w:hAnsi="方正小标宋简体" w:eastAsia="方正小标宋简体" w:cs="方正小标宋简体"/>
          <w:snapToGrid/>
          <w:kern w:val="2"/>
          <w:sz w:val="52"/>
          <w:szCs w:val="52"/>
          <w:lang w:eastAsia="zh-CN"/>
        </w:rPr>
      </w:pPr>
    </w:p>
    <w:p w14:paraId="3AFC4997">
      <w:pPr>
        <w:keepNext w:val="0"/>
        <w:keepLines w:val="0"/>
        <w:pageBreakBefore w:val="0"/>
        <w:widowControl w:val="0"/>
        <w:kinsoku/>
        <w:wordWrap/>
        <w:overflowPunct/>
        <w:topLinePunct w:val="0"/>
        <w:autoSpaceDE/>
        <w:autoSpaceDN/>
        <w:bidi w:val="0"/>
        <w:adjustRightInd w:val="0"/>
        <w:snapToGrid w:val="0"/>
        <w:spacing w:line="560" w:lineRule="atLeast"/>
        <w:ind w:left="0" w:right="0"/>
        <w:jc w:val="center"/>
        <w:textAlignment w:val="auto"/>
        <w:rPr>
          <w:rFonts w:ascii="Calibri" w:hAnsi="Calibri" w:eastAsia="宋体" w:cs="Times New Roman"/>
          <w:snapToGrid/>
          <w:kern w:val="2"/>
          <w:szCs w:val="22"/>
          <w:lang w:eastAsia="zh-CN"/>
        </w:rPr>
      </w:pPr>
    </w:p>
    <w:p w14:paraId="48F6F7F3">
      <w:pPr>
        <w:keepNext w:val="0"/>
        <w:keepLines w:val="0"/>
        <w:pageBreakBefore w:val="0"/>
        <w:widowControl w:val="0"/>
        <w:kinsoku/>
        <w:wordWrap/>
        <w:overflowPunct/>
        <w:topLinePunct w:val="0"/>
        <w:autoSpaceDE/>
        <w:autoSpaceDN/>
        <w:bidi w:val="0"/>
        <w:adjustRightInd w:val="0"/>
        <w:snapToGrid w:val="0"/>
        <w:spacing w:line="560" w:lineRule="atLeast"/>
        <w:ind w:left="0" w:right="0"/>
        <w:jc w:val="center"/>
        <w:textAlignment w:val="auto"/>
        <w:rPr>
          <w:rFonts w:ascii="Calibri" w:hAnsi="Calibri" w:eastAsia="宋体" w:cs="Times New Roman"/>
          <w:snapToGrid/>
          <w:kern w:val="2"/>
          <w:szCs w:val="22"/>
          <w:lang w:eastAsia="zh-CN"/>
        </w:rPr>
      </w:pPr>
    </w:p>
    <w:p w14:paraId="72B13279">
      <w:pPr>
        <w:keepNext w:val="0"/>
        <w:keepLines w:val="0"/>
        <w:pageBreakBefore w:val="0"/>
        <w:widowControl w:val="0"/>
        <w:kinsoku/>
        <w:wordWrap/>
        <w:overflowPunct/>
        <w:topLinePunct w:val="0"/>
        <w:autoSpaceDE/>
        <w:autoSpaceDN/>
        <w:bidi w:val="0"/>
        <w:adjustRightInd w:val="0"/>
        <w:snapToGrid w:val="0"/>
        <w:spacing w:line="560" w:lineRule="atLeast"/>
        <w:ind w:left="0" w:right="0"/>
        <w:jc w:val="center"/>
        <w:textAlignment w:val="auto"/>
        <w:rPr>
          <w:rFonts w:ascii="Calibri" w:hAnsi="Calibri" w:eastAsia="宋体" w:cs="Times New Roman"/>
          <w:snapToGrid/>
          <w:kern w:val="2"/>
          <w:szCs w:val="22"/>
          <w:lang w:eastAsia="zh-CN"/>
        </w:rPr>
      </w:pPr>
    </w:p>
    <w:p w14:paraId="2CA66EB1">
      <w:pPr>
        <w:keepNext w:val="0"/>
        <w:keepLines w:val="0"/>
        <w:pageBreakBefore w:val="0"/>
        <w:widowControl w:val="0"/>
        <w:kinsoku/>
        <w:wordWrap/>
        <w:overflowPunct/>
        <w:topLinePunct w:val="0"/>
        <w:autoSpaceDE/>
        <w:autoSpaceDN/>
        <w:bidi w:val="0"/>
        <w:adjustRightInd w:val="0"/>
        <w:snapToGrid w:val="0"/>
        <w:spacing w:line="560" w:lineRule="atLeast"/>
        <w:ind w:left="0" w:right="0"/>
        <w:jc w:val="center"/>
        <w:textAlignment w:val="auto"/>
        <w:rPr>
          <w:rFonts w:ascii="Calibri" w:hAnsi="Calibri" w:eastAsia="宋体" w:cs="Times New Roman"/>
          <w:snapToGrid/>
          <w:kern w:val="2"/>
          <w:sz w:val="48"/>
          <w:szCs w:val="48"/>
          <w:lang w:eastAsia="zh-CN"/>
        </w:rPr>
      </w:pPr>
    </w:p>
    <w:p w14:paraId="3F299358">
      <w:pPr>
        <w:keepNext w:val="0"/>
        <w:keepLines w:val="0"/>
        <w:pageBreakBefore w:val="0"/>
        <w:widowControl w:val="0"/>
        <w:kinsoku/>
        <w:wordWrap/>
        <w:overflowPunct/>
        <w:topLinePunct w:val="0"/>
        <w:autoSpaceDE/>
        <w:autoSpaceDN/>
        <w:bidi w:val="0"/>
        <w:adjustRightInd w:val="0"/>
        <w:snapToGrid w:val="0"/>
        <w:spacing w:line="560" w:lineRule="atLeast"/>
        <w:ind w:left="0" w:right="0"/>
        <w:jc w:val="center"/>
        <w:textAlignment w:val="auto"/>
        <w:rPr>
          <w:rFonts w:ascii="Calibri" w:hAnsi="Calibri" w:eastAsia="宋体" w:cs="Times New Roman"/>
          <w:snapToGrid/>
          <w:kern w:val="2"/>
          <w:sz w:val="48"/>
          <w:szCs w:val="48"/>
          <w:lang w:eastAsia="zh-CN"/>
        </w:rPr>
      </w:pPr>
    </w:p>
    <w:p w14:paraId="1641C54C">
      <w:pPr>
        <w:keepNext w:val="0"/>
        <w:keepLines w:val="0"/>
        <w:pageBreakBefore w:val="0"/>
        <w:widowControl w:val="0"/>
        <w:kinsoku/>
        <w:wordWrap/>
        <w:overflowPunct/>
        <w:topLinePunct w:val="0"/>
        <w:autoSpaceDE/>
        <w:autoSpaceDN/>
        <w:bidi w:val="0"/>
        <w:adjustRightInd w:val="0"/>
        <w:snapToGrid w:val="0"/>
        <w:spacing w:line="720" w:lineRule="auto"/>
        <w:ind w:left="1260" w:leftChars="600" w:right="0"/>
        <w:jc w:val="both"/>
        <w:textAlignment w:val="auto"/>
        <w:rPr>
          <w:rFonts w:hint="eastAsia" w:ascii="黑体" w:hAnsi="黑体" w:eastAsia="黑体" w:cs="黑体"/>
          <w:snapToGrid/>
          <w:kern w:val="2"/>
          <w:sz w:val="32"/>
          <w:szCs w:val="32"/>
          <w:u w:val="single"/>
          <w:lang w:eastAsia="zh-CN"/>
        </w:rPr>
      </w:pPr>
      <w:r>
        <w:rPr>
          <w:rFonts w:hint="eastAsia" w:ascii="黑体" w:hAnsi="黑体" w:eastAsia="黑体" w:cs="黑体"/>
          <w:snapToGrid/>
          <w:kern w:val="2"/>
          <w:sz w:val="32"/>
          <w:szCs w:val="32"/>
          <w:lang w:eastAsia="zh-CN"/>
        </w:rPr>
        <w:t>赛项名称：</w:t>
      </w:r>
      <w:r>
        <w:rPr>
          <w:rFonts w:hint="eastAsia" w:ascii="黑体" w:hAnsi="黑体" w:eastAsia="黑体" w:cs="黑体"/>
          <w:snapToGrid/>
          <w:kern w:val="2"/>
          <w:sz w:val="32"/>
          <w:szCs w:val="32"/>
          <w:u w:val="single"/>
          <w:lang w:eastAsia="zh-CN"/>
        </w:rPr>
        <w:t xml:space="preserve">    </w:t>
      </w:r>
      <w:r>
        <w:rPr>
          <w:rFonts w:hint="eastAsia" w:ascii="黑体" w:hAnsi="黑体" w:eastAsia="黑体" w:cs="黑体"/>
          <w:snapToGrid/>
          <w:kern w:val="2"/>
          <w:sz w:val="32"/>
          <w:szCs w:val="32"/>
          <w:u w:val="single"/>
          <w:lang w:val="en-US" w:eastAsia="zh-CN"/>
        </w:rPr>
        <w:t xml:space="preserve">   机电一体化技术</w:t>
      </w:r>
      <w:r>
        <w:rPr>
          <w:rFonts w:hint="eastAsia" w:ascii="黑体" w:hAnsi="黑体" w:eastAsia="黑体" w:cs="黑体"/>
          <w:snapToGrid/>
          <w:kern w:val="2"/>
          <w:sz w:val="32"/>
          <w:szCs w:val="32"/>
          <w:u w:val="single"/>
          <w:lang w:eastAsia="zh-CN"/>
        </w:rPr>
        <w:t xml:space="preserve">         </w:t>
      </w:r>
    </w:p>
    <w:p w14:paraId="1C42ADB0">
      <w:pPr>
        <w:keepNext w:val="0"/>
        <w:keepLines w:val="0"/>
        <w:pageBreakBefore w:val="0"/>
        <w:widowControl w:val="0"/>
        <w:kinsoku/>
        <w:wordWrap/>
        <w:overflowPunct/>
        <w:topLinePunct w:val="0"/>
        <w:autoSpaceDE/>
        <w:autoSpaceDN/>
        <w:bidi w:val="0"/>
        <w:adjustRightInd w:val="0"/>
        <w:snapToGrid w:val="0"/>
        <w:spacing w:line="720" w:lineRule="auto"/>
        <w:ind w:left="1260" w:leftChars="600" w:right="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英文名称：</w:t>
      </w:r>
      <w:r>
        <w:rPr>
          <w:rFonts w:hint="eastAsia" w:ascii="黑体" w:hAnsi="黑体" w:eastAsia="黑体" w:cs="黑体"/>
          <w:snapToGrid/>
          <w:kern w:val="2"/>
          <w:sz w:val="32"/>
          <w:szCs w:val="32"/>
          <w:u w:val="single"/>
          <w:lang w:eastAsia="zh-CN"/>
        </w:rPr>
        <w:t xml:space="preserve">   Mechatronics Technology    </w:t>
      </w:r>
    </w:p>
    <w:p w14:paraId="5100E84B">
      <w:pPr>
        <w:keepNext w:val="0"/>
        <w:keepLines w:val="0"/>
        <w:pageBreakBefore w:val="0"/>
        <w:widowControl w:val="0"/>
        <w:kinsoku/>
        <w:wordWrap/>
        <w:overflowPunct/>
        <w:topLinePunct w:val="0"/>
        <w:autoSpaceDE/>
        <w:autoSpaceDN/>
        <w:bidi w:val="0"/>
        <w:adjustRightInd w:val="0"/>
        <w:snapToGrid w:val="0"/>
        <w:spacing w:line="720" w:lineRule="auto"/>
        <w:ind w:left="1260" w:leftChars="600" w:right="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赛项组别：</w:t>
      </w:r>
      <w:r>
        <w:rPr>
          <w:rFonts w:hint="eastAsia" w:ascii="黑体" w:hAnsi="黑体" w:eastAsia="黑体" w:cs="黑体"/>
          <w:snapToGrid/>
          <w:kern w:val="2"/>
          <w:sz w:val="32"/>
          <w:szCs w:val="32"/>
          <w:u w:val="single"/>
          <w:lang w:eastAsia="zh-CN"/>
        </w:rPr>
        <w:t xml:space="preserve">       </w:t>
      </w:r>
      <w:r>
        <w:rPr>
          <w:rFonts w:hint="eastAsia" w:ascii="黑体" w:hAnsi="黑体" w:eastAsia="黑体" w:cs="黑体"/>
          <w:snapToGrid/>
          <w:kern w:val="2"/>
          <w:sz w:val="32"/>
          <w:szCs w:val="32"/>
          <w:u w:val="single"/>
          <w:lang w:val="en-US" w:eastAsia="zh-CN"/>
        </w:rPr>
        <w:t xml:space="preserve"> </w:t>
      </w:r>
      <w:r>
        <w:rPr>
          <w:rFonts w:hint="eastAsia" w:ascii="黑体" w:hAnsi="黑体" w:eastAsia="黑体" w:cs="黑体"/>
          <w:snapToGrid/>
          <w:kern w:val="2"/>
          <w:sz w:val="32"/>
          <w:szCs w:val="32"/>
          <w:u w:val="single"/>
          <w:lang w:eastAsia="zh-CN"/>
        </w:rPr>
        <w:t xml:space="preserve">高职学生组   </w:t>
      </w:r>
      <w:r>
        <w:rPr>
          <w:rFonts w:hint="eastAsia" w:ascii="黑体" w:hAnsi="黑体" w:eastAsia="黑体" w:cs="黑体"/>
          <w:snapToGrid/>
          <w:kern w:val="2"/>
          <w:sz w:val="32"/>
          <w:szCs w:val="32"/>
          <w:u w:val="single"/>
          <w:lang w:val="en-US" w:eastAsia="zh-CN"/>
        </w:rPr>
        <w:t xml:space="preserve">    </w:t>
      </w:r>
      <w:r>
        <w:rPr>
          <w:rFonts w:hint="eastAsia" w:ascii="黑体" w:hAnsi="黑体" w:eastAsia="黑体" w:cs="黑体"/>
          <w:snapToGrid/>
          <w:kern w:val="2"/>
          <w:sz w:val="32"/>
          <w:szCs w:val="32"/>
          <w:u w:val="single"/>
          <w:lang w:eastAsia="zh-CN"/>
        </w:rPr>
        <w:t xml:space="preserve">     </w:t>
      </w:r>
    </w:p>
    <w:p w14:paraId="1E769074">
      <w:pPr>
        <w:keepNext w:val="0"/>
        <w:keepLines w:val="0"/>
        <w:pageBreakBefore w:val="0"/>
        <w:widowControl w:val="0"/>
        <w:kinsoku/>
        <w:wordWrap/>
        <w:overflowPunct/>
        <w:topLinePunct w:val="0"/>
        <w:autoSpaceDE/>
        <w:autoSpaceDN/>
        <w:bidi w:val="0"/>
        <w:adjustRightInd w:val="0"/>
        <w:snapToGrid w:val="0"/>
        <w:spacing w:line="720" w:lineRule="auto"/>
        <w:ind w:left="1260" w:leftChars="600" w:right="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赛项编号：</w:t>
      </w:r>
      <w:r>
        <w:rPr>
          <w:rFonts w:hint="eastAsia" w:ascii="黑体" w:hAnsi="黑体" w:eastAsia="黑体" w:cs="黑体"/>
          <w:snapToGrid/>
          <w:kern w:val="2"/>
          <w:sz w:val="32"/>
          <w:szCs w:val="32"/>
          <w:u w:val="single"/>
          <w:lang w:eastAsia="zh-CN"/>
        </w:rPr>
        <w:t xml:space="preserve">        </w:t>
      </w:r>
      <w:r>
        <w:rPr>
          <w:rFonts w:hint="eastAsia" w:ascii="黑体" w:hAnsi="黑体" w:eastAsia="黑体" w:cs="黑体"/>
          <w:snapToGrid/>
          <w:kern w:val="2"/>
          <w:sz w:val="32"/>
          <w:szCs w:val="32"/>
          <w:u w:val="single"/>
          <w:lang w:val="en-US" w:eastAsia="zh-CN"/>
        </w:rPr>
        <w:t xml:space="preserve">  GZ006</w:t>
      </w:r>
      <w:r>
        <w:rPr>
          <w:rFonts w:hint="eastAsia" w:ascii="黑体" w:hAnsi="黑体" w:eastAsia="黑体" w:cs="黑体"/>
          <w:snapToGrid/>
          <w:kern w:val="2"/>
          <w:sz w:val="32"/>
          <w:szCs w:val="32"/>
          <w:u w:val="single"/>
          <w:lang w:val="en-US" w:eastAsia="zh-CN"/>
        </w:rPr>
        <w:t xml:space="preserve">      </w:t>
      </w:r>
      <w:r>
        <w:rPr>
          <w:rFonts w:hint="eastAsia" w:ascii="黑体" w:hAnsi="黑体" w:eastAsia="黑体" w:cs="黑体"/>
          <w:snapToGrid/>
          <w:kern w:val="2"/>
          <w:sz w:val="32"/>
          <w:szCs w:val="32"/>
          <w:u w:val="single"/>
          <w:lang w:eastAsia="zh-CN"/>
        </w:rPr>
        <w:t xml:space="preserve">    </w:t>
      </w:r>
      <w:r>
        <w:rPr>
          <w:rFonts w:hint="eastAsia" w:ascii="黑体" w:hAnsi="黑体" w:eastAsia="黑体" w:cs="黑体"/>
          <w:snapToGrid/>
          <w:kern w:val="2"/>
          <w:sz w:val="32"/>
          <w:szCs w:val="32"/>
          <w:u w:val="single"/>
          <w:lang w:val="en-US" w:eastAsia="zh-CN"/>
        </w:rPr>
        <w:t xml:space="preserve">  </w:t>
      </w:r>
      <w:r>
        <w:rPr>
          <w:rFonts w:hint="eastAsia" w:ascii="黑体" w:hAnsi="黑体" w:eastAsia="黑体" w:cs="黑体"/>
          <w:snapToGrid/>
          <w:kern w:val="2"/>
          <w:sz w:val="32"/>
          <w:szCs w:val="32"/>
          <w:u w:val="single"/>
          <w:lang w:eastAsia="zh-CN"/>
        </w:rPr>
        <w:t xml:space="preserve">   </w:t>
      </w:r>
    </w:p>
    <w:p w14:paraId="144554D6">
      <w:pPr>
        <w:keepNext w:val="0"/>
        <w:keepLines w:val="0"/>
        <w:pageBreakBefore w:val="0"/>
        <w:widowControl w:val="0"/>
        <w:kinsoku/>
        <w:wordWrap/>
        <w:overflowPunct/>
        <w:topLinePunct w:val="0"/>
        <w:autoSpaceDE/>
        <w:autoSpaceDN/>
        <w:bidi w:val="0"/>
        <w:adjustRightInd w:val="0"/>
        <w:snapToGrid w:val="0"/>
        <w:spacing w:line="560" w:lineRule="atLeast"/>
        <w:ind w:left="0" w:right="0"/>
        <w:jc w:val="center"/>
        <w:textAlignment w:val="auto"/>
        <w:rPr>
          <w:rFonts w:ascii="Calibri" w:hAnsi="Calibri" w:eastAsia="宋体" w:cs="Times New Roman"/>
          <w:snapToGrid/>
          <w:kern w:val="2"/>
          <w:sz w:val="30"/>
          <w:szCs w:val="22"/>
          <w:lang w:eastAsia="zh-CN"/>
        </w:rPr>
      </w:pPr>
    </w:p>
    <w:p w14:paraId="35DFBC10">
      <w:pPr>
        <w:keepNext w:val="0"/>
        <w:keepLines w:val="0"/>
        <w:pageBreakBefore w:val="0"/>
        <w:wordWrap/>
        <w:overflowPunct/>
        <w:topLinePunct w:val="0"/>
        <w:bidi w:val="0"/>
        <w:adjustRightInd w:val="0"/>
        <w:snapToGrid w:val="0"/>
        <w:spacing w:line="560" w:lineRule="atLeast"/>
        <w:ind w:left="0" w:right="0"/>
        <w:rPr>
          <w:rFonts w:ascii="Arial"/>
          <w:sz w:val="21"/>
        </w:rPr>
      </w:pPr>
    </w:p>
    <w:p w14:paraId="0F4D57F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eastAsia" w:ascii="黑体" w:hAnsi="黑体" w:eastAsia="黑体" w:cs="黑体"/>
          <w:snapToGrid/>
          <w:kern w:val="2"/>
          <w:sz w:val="32"/>
          <w:szCs w:val="32"/>
          <w:lang w:val="en-US" w:eastAsia="zh-CN"/>
        </w:rPr>
        <w:sectPr>
          <w:pgSz w:w="11907" w:h="16839"/>
          <w:pgMar w:top="1431" w:right="1785" w:bottom="1348" w:left="1785" w:header="0" w:footer="1036" w:gutter="0"/>
          <w:cols w:space="720" w:num="1"/>
        </w:sectPr>
      </w:pPr>
    </w:p>
    <w:p w14:paraId="4926212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一、赛项信息</w:t>
      </w:r>
    </w:p>
    <w:p w14:paraId="0F2E807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赛项名称：机电一体化技术</w:t>
      </w:r>
    </w:p>
    <w:p w14:paraId="36EEC57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英文名称：Mechatronics Technology</w:t>
      </w:r>
    </w:p>
    <w:p w14:paraId="079849B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赛项组别：高职学生组</w:t>
      </w:r>
    </w:p>
    <w:p w14:paraId="6B28101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方正仿宋_GB2312" w:hAnsi="方正仿宋_GB2312" w:eastAsia="方正仿宋_GB2312" w:cs="方正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赛项归属：智能装备应用赛道</w:t>
      </w:r>
    </w:p>
    <w:p w14:paraId="2777E0B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二、竞赛目标</w:t>
      </w:r>
    </w:p>
    <w:p w14:paraId="40BAA25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本赛项服务人的全面发展、服务经济社会发展、服务国家发展战略，对接新技术、新产业、新业态、新模式，促进职普融通、产教融合、科教融汇，满足产教协同育人目标，引领专业建设和教学改革。比赛内容覆盖机电一体化技术、机电设备技术、工业机器人技术、电气自动化技术、智能制造装备技术等专业的核心知识和技术技能。通过竞赛引领教育与产业、学校与企业、课程设置与职业岗位的深度衔接，对接国家职业标准、职业技能等级证书，推进“岗课赛证”综合育人，引领全省职业院校机电大类、自动化大类专业建设、实训基地建设、师资队伍能力提升、课程教学改革和内容优化，培养机电领域具有精湛技术、娴熟技能、创新意识和工匠精神的技术技能人才。</w:t>
      </w:r>
    </w:p>
    <w:p w14:paraId="2193AF9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三、竞赛内容</w:t>
      </w:r>
    </w:p>
    <w:p w14:paraId="343EF8A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赛项重点检验选手在PLC控制技术、工业机器人应用技术、变频控制技术、伺服控制技术、工业传感器技术、电机驱动技术、气压传动技术、组态控制技术、工业现场总线等方面的知识和技能，要求选手具备系统方案规划、设备安装、电气连接、程序编写、功能调试、运行维护、故障排除、系统优化等方面分析问题和解决问题的能力，以及应用新技术、新方法提升设备性能或功能的创新能力。此外，赛项还评价选手的工作效率、临场应变、质量意识、安全意识、节能环保意识和规范操作等职业素养水平。</w:t>
      </w:r>
    </w:p>
    <w:p w14:paraId="47A36E5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(一)知识技能点</w:t>
      </w:r>
    </w:p>
    <w:p w14:paraId="24D1C5D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系统规划设计、设备安装与电气连接、工业机器人应用、设备检修、PLC编程调试、触摸屏组态控制、组网通信、电动机驱动与控制、故障诊断与维修、系统运行与改进。</w:t>
      </w:r>
    </w:p>
    <w:p w14:paraId="1E0C131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(二)竞赛时长</w:t>
      </w:r>
    </w:p>
    <w:p w14:paraId="3AEB50C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竞赛时长2小时。</w:t>
      </w:r>
    </w:p>
    <w:p w14:paraId="717F3CC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(三)竞赛内容的组成与成绩比例</w:t>
      </w:r>
    </w:p>
    <w:p w14:paraId="1CBAE37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1.模块一：工作单元的机械拆装、电气接线</w:t>
      </w:r>
    </w:p>
    <w:p w14:paraId="305B64F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任务1：单元的机械装调(20%)</w:t>
      </w:r>
    </w:p>
    <w:p w14:paraId="4B53FB6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参赛选手按工作任务书给定的机械装配图，完成设备中若干个单元或者模块的机械、气路等安装，并进行初步调试。</w:t>
      </w:r>
    </w:p>
    <w:p w14:paraId="41501FD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任务2：单元的电气安装(15%)</w:t>
      </w:r>
    </w:p>
    <w:p w14:paraId="3A34AC5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参赛选手按工作任务书给定的电气原理图、接线图，完成设备中若干个单元或者模块的线路连接，并进行初步调试。</w:t>
      </w:r>
    </w:p>
    <w:p w14:paraId="42F582C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2.模块二：单元的编程与调试、系统优化</w:t>
      </w:r>
    </w:p>
    <w:p w14:paraId="42FC153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任务3：工作单元的编程调试(45%)</w:t>
      </w:r>
    </w:p>
    <w:p w14:paraId="5C47E83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参赛选手按任务书给定的设备功能要求，完成设备中若干个单元的PLC编程、触摸屏组态、工业机器人系统配置与编程调试、机器视觉识别、RFID读写数据、伺服驱动器和变频器参数设置等工作，能实现工作单元调试运行。</w:t>
      </w:r>
    </w:p>
    <w:p w14:paraId="5F99041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任务4：自动线系统程序优化与调试(15%)</w:t>
      </w:r>
    </w:p>
    <w:p w14:paraId="3A89E1A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参赛选手按任务书的要求，完成触摸屏组态、系统网络通讯设置与编程、系统优化编程与调试，以及系统性能、功能升级所需之必要的硬件改造和编程调试，实现系统的整体运行。</w:t>
      </w:r>
    </w:p>
    <w:p w14:paraId="0C94B2D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3.模块三：职业素养与安全意识</w:t>
      </w:r>
    </w:p>
    <w:p w14:paraId="1FA926A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任务5：职业素养与安全意识(5%)</w:t>
      </w:r>
    </w:p>
    <w:p w14:paraId="1809CFA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考核参赛选手的安全操作规范，设施设备、工具仪器使用规范，卫生清洁习惯，穿戴规范，工作纪律，文明礼貌、比赛用时等表现。</w:t>
      </w:r>
    </w:p>
    <w:p w14:paraId="20A51A7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四、竞赛方式</w:t>
      </w:r>
    </w:p>
    <w:p w14:paraId="6246281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1.竞赛以团体赛方式进行。每个参赛队2名选手，性别不限，须为同校在籍高职学生，不得跨校组队，其中队长1名；最多2名指导教师。凡在本赛项的往届世界</w:t>
      </w:r>
      <w:r>
        <w:rPr>
          <w:rFonts w:hint="default" w:ascii="仿宋_GB2312" w:hAnsi="仿宋_GB2312" w:eastAsia="仿宋_GB2312" w:cs="仿宋_GB2312"/>
          <w:snapToGrid/>
          <w:kern w:val="2"/>
          <w:sz w:val="32"/>
          <w:szCs w:val="32"/>
          <w:lang w:val="en-US" w:eastAsia="zh-CN"/>
        </w:rPr>
        <w:t>职业院校技能大赛中获得一等奖的选手，不得再参加本次比赛。</w:t>
      </w:r>
      <w:r>
        <w:rPr>
          <w:rFonts w:hint="eastAsia" w:ascii="仿宋_GB2312" w:hAnsi="仿宋_GB2312" w:eastAsia="仿宋_GB2312" w:cs="仿宋_GB2312"/>
          <w:snapToGrid/>
          <w:kern w:val="2"/>
          <w:sz w:val="32"/>
          <w:szCs w:val="32"/>
          <w:lang w:val="en-US" w:eastAsia="zh-CN"/>
        </w:rPr>
        <w:t>不计选手个人成绩，统计竞赛队的总成绩进行排序。</w:t>
      </w:r>
    </w:p>
    <w:p w14:paraId="70BB9C4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2.2名选手在竞赛现场按照竞赛任务要求，相互配合完成竞赛任务。</w:t>
      </w:r>
    </w:p>
    <w:p w14:paraId="4BD78B2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3.竞赛时间2小时，包括安装、接线、编程和调试运行等，比赛总成绩满分100分。</w:t>
      </w:r>
    </w:p>
    <w:p w14:paraId="088AFEE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4.视参赛队伍数量确定竞赛场次，由组委会办公室按照竞赛流程组织各领队参加公开抽签，确定各队参赛场次。参赛队按照抽签确定的参赛时段分批次进入比赛场地参赛。</w:t>
      </w:r>
    </w:p>
    <w:p w14:paraId="0803683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5.赛场的赛位统一编制赛位号，参赛队比赛前20分钟到赛项指定地点接受检录，进场前10分钟抽签决定赛位号，抽签结束后，随即按照抽取的赛位号进场，在对应的赛位上完成竞赛规定的赛项任务。</w:t>
      </w:r>
    </w:p>
    <w:p w14:paraId="0205088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五、竞赛流程</w:t>
      </w:r>
    </w:p>
    <w:p w14:paraId="0ACC35A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 xml:space="preserve">（一） 竞赛日程安排 </w:t>
      </w:r>
    </w:p>
    <w:p w14:paraId="6661187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竞赛共两天，主要包含：参赛队报到——组织参赛选手赛前熟悉场地、介绍比赛规程、交流——举办开赛式——正式比赛——比赛结束——成绩发布会。</w:t>
      </w:r>
    </w:p>
    <w:p w14:paraId="102B162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竞赛日程安排如下（暂定）</w:t>
      </w:r>
    </w:p>
    <w:tbl>
      <w:tblPr>
        <w:tblStyle w:val="7"/>
        <w:tblpPr w:leftFromText="180" w:rightFromText="180" w:vertAnchor="text" w:horzAnchor="page" w:tblpX="1846" w:tblpY="417"/>
        <w:tblOverlap w:val="neve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5"/>
        <w:gridCol w:w="2575"/>
        <w:gridCol w:w="5336"/>
      </w:tblGrid>
      <w:tr w14:paraId="50F93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Align w:val="center"/>
          </w:tcPr>
          <w:p w14:paraId="142C754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日期</w:t>
            </w:r>
          </w:p>
        </w:tc>
        <w:tc>
          <w:tcPr>
            <w:tcW w:w="1421" w:type="pct"/>
            <w:vAlign w:val="center"/>
          </w:tcPr>
          <w:p w14:paraId="22F97CC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时间</w:t>
            </w:r>
          </w:p>
        </w:tc>
        <w:tc>
          <w:tcPr>
            <w:tcW w:w="2945" w:type="pct"/>
            <w:vAlign w:val="center"/>
          </w:tcPr>
          <w:p w14:paraId="32EC41B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内容</w:t>
            </w:r>
          </w:p>
        </w:tc>
      </w:tr>
      <w:tr w14:paraId="37F4E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32" w:type="pct"/>
            <w:vMerge w:val="restart"/>
            <w:vAlign w:val="center"/>
          </w:tcPr>
          <w:p w14:paraId="7E51454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第一天</w:t>
            </w:r>
          </w:p>
        </w:tc>
        <w:tc>
          <w:tcPr>
            <w:tcW w:w="1421" w:type="pct"/>
            <w:vAlign w:val="center"/>
          </w:tcPr>
          <w:p w14:paraId="3EF1E67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10</w:t>
            </w:r>
            <w:r>
              <w:rPr>
                <w:rFonts w:hint="default" w:ascii="方正仿宋_GB2312" w:hAnsi="方正仿宋_GB2312" w:eastAsia="方正仿宋_GB2312" w:cs="方正仿宋_GB2312"/>
                <w:spacing w:val="14"/>
                <w:sz w:val="24"/>
                <w:szCs w:val="24"/>
                <w:lang w:val="en-US" w:eastAsia="zh-CN"/>
              </w:rPr>
              <w:t>︰00-14︰00</w:t>
            </w:r>
          </w:p>
        </w:tc>
        <w:tc>
          <w:tcPr>
            <w:tcW w:w="2945" w:type="pct"/>
            <w:vAlign w:val="center"/>
          </w:tcPr>
          <w:p w14:paraId="37A4D91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报到</w:t>
            </w:r>
            <w:r>
              <w:rPr>
                <w:rFonts w:hint="eastAsia" w:ascii="方正仿宋_GB2312" w:hAnsi="方正仿宋_GB2312" w:eastAsia="方正仿宋_GB2312" w:cs="方正仿宋_GB2312"/>
                <w:spacing w:val="14"/>
                <w:sz w:val="24"/>
                <w:szCs w:val="24"/>
                <w:lang w:val="en-US" w:eastAsia="zh-CN"/>
              </w:rPr>
              <w:t>、安排住宿、参赛选手资格审查</w:t>
            </w:r>
          </w:p>
        </w:tc>
      </w:tr>
      <w:tr w14:paraId="61ACC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Merge w:val="continue"/>
            <w:vAlign w:val="center"/>
          </w:tcPr>
          <w:p w14:paraId="48C224C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262977D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14︰30-15︰30</w:t>
            </w:r>
          </w:p>
        </w:tc>
        <w:tc>
          <w:tcPr>
            <w:tcW w:w="2945" w:type="pct"/>
            <w:vAlign w:val="center"/>
          </w:tcPr>
          <w:p w14:paraId="37CF30F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裁判专家会议</w:t>
            </w:r>
          </w:p>
        </w:tc>
      </w:tr>
      <w:tr w14:paraId="007E7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Merge w:val="continue"/>
            <w:vAlign w:val="center"/>
          </w:tcPr>
          <w:p w14:paraId="5172F76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632E391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15︰30-16︰30</w:t>
            </w:r>
          </w:p>
        </w:tc>
        <w:tc>
          <w:tcPr>
            <w:tcW w:w="2945" w:type="pct"/>
            <w:vAlign w:val="center"/>
          </w:tcPr>
          <w:p w14:paraId="0CEA987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选手熟悉赛场及设备</w:t>
            </w:r>
          </w:p>
        </w:tc>
      </w:tr>
      <w:tr w14:paraId="3E171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Merge w:val="continue"/>
            <w:vAlign w:val="center"/>
          </w:tcPr>
          <w:p w14:paraId="2CC6564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2C10DB5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16︰30-17︰30</w:t>
            </w:r>
          </w:p>
        </w:tc>
        <w:tc>
          <w:tcPr>
            <w:tcW w:w="2945" w:type="pct"/>
            <w:vAlign w:val="center"/>
          </w:tcPr>
          <w:p w14:paraId="2C5B2DF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eastAsia"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领队会议、赛前说明交流会议、抽场次签</w:t>
            </w:r>
          </w:p>
          <w:p w14:paraId="65F36B2F">
            <w:pPr>
              <w:pStyle w:val="6"/>
              <w:ind w:left="0" w:leftChars="0" w:firstLine="0" w:firstLineChars="0"/>
              <w:rPr>
                <w:rFonts w:hint="default"/>
                <w:lang w:val="en-US" w:eastAsia="zh-CN"/>
              </w:rPr>
            </w:pPr>
            <w:r>
              <w:rPr>
                <w:rFonts w:hint="eastAsia" w:ascii="方正仿宋_GB2312" w:hAnsi="方正仿宋_GB2312" w:eastAsia="方正仿宋_GB2312" w:cs="方正仿宋_GB2312"/>
                <w:spacing w:val="14"/>
                <w:sz w:val="24"/>
                <w:szCs w:val="24"/>
                <w:lang w:val="en-US" w:eastAsia="zh-CN"/>
              </w:rPr>
              <w:t>检查并封存设备和工具</w:t>
            </w:r>
          </w:p>
        </w:tc>
      </w:tr>
      <w:tr w14:paraId="3EFDD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Merge w:val="restart"/>
            <w:vAlign w:val="center"/>
          </w:tcPr>
          <w:p w14:paraId="40BCEFB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p w14:paraId="22CEEA4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p w14:paraId="482CCBD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第二天</w:t>
            </w:r>
          </w:p>
          <w:p w14:paraId="7E9AAF5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p w14:paraId="6399AD9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29BCA83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0</w:t>
            </w:r>
            <w:r>
              <w:rPr>
                <w:rFonts w:hint="eastAsia" w:ascii="方正仿宋_GB2312" w:hAnsi="方正仿宋_GB2312" w:eastAsia="方正仿宋_GB2312" w:cs="方正仿宋_GB2312"/>
                <w:spacing w:val="14"/>
                <w:sz w:val="24"/>
                <w:szCs w:val="24"/>
                <w:lang w:val="en-US" w:eastAsia="zh-CN"/>
              </w:rPr>
              <w:t>8</w:t>
            </w:r>
            <w:r>
              <w:rPr>
                <w:rFonts w:hint="default" w:ascii="方正仿宋_GB2312" w:hAnsi="方正仿宋_GB2312" w:eastAsia="方正仿宋_GB2312" w:cs="方正仿宋_GB2312"/>
                <w:spacing w:val="14"/>
                <w:sz w:val="24"/>
                <w:szCs w:val="24"/>
                <w:lang w:val="en-US" w:eastAsia="zh-CN"/>
              </w:rPr>
              <w:t>︰</w:t>
            </w:r>
            <w:r>
              <w:rPr>
                <w:rFonts w:hint="eastAsia" w:ascii="方正仿宋_GB2312" w:hAnsi="方正仿宋_GB2312" w:eastAsia="方正仿宋_GB2312" w:cs="方正仿宋_GB2312"/>
                <w:spacing w:val="14"/>
                <w:sz w:val="24"/>
                <w:szCs w:val="24"/>
                <w:lang w:val="en-US" w:eastAsia="zh-CN"/>
              </w:rPr>
              <w:t>0</w:t>
            </w:r>
            <w:r>
              <w:rPr>
                <w:rFonts w:hint="default" w:ascii="方正仿宋_GB2312" w:hAnsi="方正仿宋_GB2312" w:eastAsia="方正仿宋_GB2312" w:cs="方正仿宋_GB2312"/>
                <w:spacing w:val="14"/>
                <w:sz w:val="24"/>
                <w:szCs w:val="24"/>
                <w:lang w:val="en-US" w:eastAsia="zh-CN"/>
              </w:rPr>
              <w:t>0-0</w:t>
            </w:r>
            <w:r>
              <w:rPr>
                <w:rFonts w:hint="eastAsia" w:ascii="方正仿宋_GB2312" w:hAnsi="方正仿宋_GB2312" w:eastAsia="方正仿宋_GB2312" w:cs="方正仿宋_GB2312"/>
                <w:spacing w:val="14"/>
                <w:sz w:val="24"/>
                <w:szCs w:val="24"/>
                <w:lang w:val="en-US" w:eastAsia="zh-CN"/>
              </w:rPr>
              <w:t>8</w:t>
            </w:r>
            <w:r>
              <w:rPr>
                <w:rFonts w:hint="default" w:ascii="方正仿宋_GB2312" w:hAnsi="方正仿宋_GB2312" w:eastAsia="方正仿宋_GB2312" w:cs="方正仿宋_GB2312"/>
                <w:spacing w:val="14"/>
                <w:sz w:val="24"/>
                <w:szCs w:val="24"/>
                <w:lang w:val="en-US" w:eastAsia="zh-CN"/>
              </w:rPr>
              <w:t>︰</w:t>
            </w:r>
            <w:r>
              <w:rPr>
                <w:rFonts w:hint="eastAsia" w:ascii="方正仿宋_GB2312" w:hAnsi="方正仿宋_GB2312" w:eastAsia="方正仿宋_GB2312" w:cs="方正仿宋_GB2312"/>
                <w:spacing w:val="14"/>
                <w:sz w:val="24"/>
                <w:szCs w:val="24"/>
                <w:lang w:val="en-US" w:eastAsia="zh-CN"/>
              </w:rPr>
              <w:t>2</w:t>
            </w:r>
            <w:r>
              <w:rPr>
                <w:rFonts w:hint="default" w:ascii="方正仿宋_GB2312" w:hAnsi="方正仿宋_GB2312" w:eastAsia="方正仿宋_GB2312" w:cs="方正仿宋_GB2312"/>
                <w:spacing w:val="14"/>
                <w:sz w:val="24"/>
                <w:szCs w:val="24"/>
                <w:lang w:val="en-US" w:eastAsia="zh-CN"/>
              </w:rPr>
              <w:t>0</w:t>
            </w:r>
          </w:p>
        </w:tc>
        <w:tc>
          <w:tcPr>
            <w:tcW w:w="2945" w:type="pct"/>
            <w:vAlign w:val="center"/>
          </w:tcPr>
          <w:p w14:paraId="16C9D5B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第一场</w:t>
            </w:r>
            <w:r>
              <w:rPr>
                <w:rFonts w:hint="default" w:ascii="方正仿宋_GB2312" w:hAnsi="方正仿宋_GB2312" w:eastAsia="方正仿宋_GB2312" w:cs="方正仿宋_GB2312"/>
                <w:spacing w:val="14"/>
                <w:sz w:val="24"/>
                <w:szCs w:val="24"/>
                <w:lang w:val="en-US" w:eastAsia="zh-CN"/>
              </w:rPr>
              <w:t>选手检录、工位抽签</w:t>
            </w:r>
          </w:p>
        </w:tc>
      </w:tr>
      <w:tr w14:paraId="06BD6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Merge w:val="continue"/>
            <w:vAlign w:val="center"/>
          </w:tcPr>
          <w:p w14:paraId="5790884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7D21F50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0</w:t>
            </w:r>
            <w:r>
              <w:rPr>
                <w:rFonts w:hint="eastAsia" w:ascii="方正仿宋_GB2312" w:hAnsi="方正仿宋_GB2312" w:eastAsia="方正仿宋_GB2312" w:cs="方正仿宋_GB2312"/>
                <w:spacing w:val="14"/>
                <w:sz w:val="24"/>
                <w:szCs w:val="24"/>
                <w:lang w:val="en-US" w:eastAsia="zh-CN"/>
              </w:rPr>
              <w:t>8</w:t>
            </w:r>
            <w:r>
              <w:rPr>
                <w:rFonts w:hint="default" w:ascii="方正仿宋_GB2312" w:hAnsi="方正仿宋_GB2312" w:eastAsia="方正仿宋_GB2312" w:cs="方正仿宋_GB2312"/>
                <w:spacing w:val="14"/>
                <w:sz w:val="24"/>
                <w:szCs w:val="24"/>
                <w:lang w:val="en-US" w:eastAsia="zh-CN"/>
              </w:rPr>
              <w:t>︰</w:t>
            </w:r>
            <w:r>
              <w:rPr>
                <w:rFonts w:hint="eastAsia" w:ascii="方正仿宋_GB2312" w:hAnsi="方正仿宋_GB2312" w:eastAsia="方正仿宋_GB2312" w:cs="方正仿宋_GB2312"/>
                <w:spacing w:val="14"/>
                <w:sz w:val="24"/>
                <w:szCs w:val="24"/>
                <w:lang w:val="en-US" w:eastAsia="zh-CN"/>
              </w:rPr>
              <w:t>2</w:t>
            </w:r>
            <w:r>
              <w:rPr>
                <w:rFonts w:hint="default" w:ascii="方正仿宋_GB2312" w:hAnsi="方正仿宋_GB2312" w:eastAsia="方正仿宋_GB2312" w:cs="方正仿宋_GB2312"/>
                <w:spacing w:val="14"/>
                <w:sz w:val="24"/>
                <w:szCs w:val="24"/>
                <w:lang w:val="en-US" w:eastAsia="zh-CN"/>
              </w:rPr>
              <w:t>0-0</w:t>
            </w:r>
            <w:r>
              <w:rPr>
                <w:rFonts w:hint="eastAsia" w:ascii="方正仿宋_GB2312" w:hAnsi="方正仿宋_GB2312" w:eastAsia="方正仿宋_GB2312" w:cs="方正仿宋_GB2312"/>
                <w:spacing w:val="14"/>
                <w:sz w:val="24"/>
                <w:szCs w:val="24"/>
                <w:lang w:val="en-US" w:eastAsia="zh-CN"/>
              </w:rPr>
              <w:t>8</w:t>
            </w:r>
            <w:r>
              <w:rPr>
                <w:rFonts w:hint="default" w:ascii="方正仿宋_GB2312" w:hAnsi="方正仿宋_GB2312" w:eastAsia="方正仿宋_GB2312" w:cs="方正仿宋_GB2312"/>
                <w:spacing w:val="14"/>
                <w:sz w:val="24"/>
                <w:szCs w:val="24"/>
                <w:lang w:val="en-US" w:eastAsia="zh-CN"/>
              </w:rPr>
              <w:t>︰</w:t>
            </w:r>
            <w:r>
              <w:rPr>
                <w:rFonts w:hint="eastAsia" w:ascii="方正仿宋_GB2312" w:hAnsi="方正仿宋_GB2312" w:eastAsia="方正仿宋_GB2312" w:cs="方正仿宋_GB2312"/>
                <w:spacing w:val="14"/>
                <w:sz w:val="24"/>
                <w:szCs w:val="24"/>
                <w:lang w:val="en-US" w:eastAsia="zh-CN"/>
              </w:rPr>
              <w:t>4</w:t>
            </w:r>
            <w:r>
              <w:rPr>
                <w:rFonts w:hint="default" w:ascii="方正仿宋_GB2312" w:hAnsi="方正仿宋_GB2312" w:eastAsia="方正仿宋_GB2312" w:cs="方正仿宋_GB2312"/>
                <w:spacing w:val="14"/>
                <w:sz w:val="24"/>
                <w:szCs w:val="24"/>
                <w:lang w:val="en-US" w:eastAsia="zh-CN"/>
              </w:rPr>
              <w:t>0</w:t>
            </w:r>
          </w:p>
        </w:tc>
        <w:tc>
          <w:tcPr>
            <w:tcW w:w="2945" w:type="pct"/>
            <w:vAlign w:val="center"/>
          </w:tcPr>
          <w:p w14:paraId="35ABE3A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题目发放，选手进场，检查工位设备、元件、工具等。</w:t>
            </w:r>
          </w:p>
        </w:tc>
      </w:tr>
      <w:tr w14:paraId="5B6C5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32" w:type="pct"/>
            <w:vMerge w:val="continue"/>
            <w:vAlign w:val="center"/>
          </w:tcPr>
          <w:p w14:paraId="0D8AC2F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19CED07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0</w:t>
            </w:r>
            <w:r>
              <w:rPr>
                <w:rFonts w:hint="eastAsia" w:ascii="方正仿宋_GB2312" w:hAnsi="方正仿宋_GB2312" w:eastAsia="方正仿宋_GB2312" w:cs="方正仿宋_GB2312"/>
                <w:spacing w:val="14"/>
                <w:sz w:val="24"/>
                <w:szCs w:val="24"/>
                <w:lang w:val="en-US" w:eastAsia="zh-CN"/>
              </w:rPr>
              <w:t>8</w:t>
            </w:r>
            <w:r>
              <w:rPr>
                <w:rFonts w:hint="default" w:ascii="方正仿宋_GB2312" w:hAnsi="方正仿宋_GB2312" w:eastAsia="方正仿宋_GB2312" w:cs="方正仿宋_GB2312"/>
                <w:spacing w:val="14"/>
                <w:sz w:val="24"/>
                <w:szCs w:val="24"/>
                <w:lang w:val="en-US" w:eastAsia="zh-CN"/>
              </w:rPr>
              <w:t>︰</w:t>
            </w:r>
            <w:r>
              <w:rPr>
                <w:rFonts w:hint="eastAsia" w:ascii="方正仿宋_GB2312" w:hAnsi="方正仿宋_GB2312" w:eastAsia="方正仿宋_GB2312" w:cs="方正仿宋_GB2312"/>
                <w:spacing w:val="14"/>
                <w:sz w:val="24"/>
                <w:szCs w:val="24"/>
                <w:lang w:val="en-US" w:eastAsia="zh-CN"/>
              </w:rPr>
              <w:t>4</w:t>
            </w:r>
            <w:r>
              <w:rPr>
                <w:rFonts w:hint="default" w:ascii="方正仿宋_GB2312" w:hAnsi="方正仿宋_GB2312" w:eastAsia="方正仿宋_GB2312" w:cs="方正仿宋_GB2312"/>
                <w:spacing w:val="14"/>
                <w:sz w:val="24"/>
                <w:szCs w:val="24"/>
                <w:lang w:val="en-US" w:eastAsia="zh-CN"/>
              </w:rPr>
              <w:t>0-1</w:t>
            </w:r>
            <w:r>
              <w:rPr>
                <w:rFonts w:hint="eastAsia" w:ascii="方正仿宋_GB2312" w:hAnsi="方正仿宋_GB2312" w:eastAsia="方正仿宋_GB2312" w:cs="方正仿宋_GB2312"/>
                <w:spacing w:val="14"/>
                <w:sz w:val="24"/>
                <w:szCs w:val="24"/>
                <w:lang w:val="en-US" w:eastAsia="zh-CN"/>
              </w:rPr>
              <w:t>0</w:t>
            </w:r>
            <w:r>
              <w:rPr>
                <w:rFonts w:hint="default" w:ascii="方正仿宋_GB2312" w:hAnsi="方正仿宋_GB2312" w:eastAsia="方正仿宋_GB2312" w:cs="方正仿宋_GB2312"/>
                <w:spacing w:val="14"/>
                <w:sz w:val="24"/>
                <w:szCs w:val="24"/>
                <w:lang w:val="en-US" w:eastAsia="zh-CN"/>
              </w:rPr>
              <w:t>︰</w:t>
            </w:r>
            <w:r>
              <w:rPr>
                <w:rFonts w:hint="eastAsia" w:ascii="方正仿宋_GB2312" w:hAnsi="方正仿宋_GB2312" w:eastAsia="方正仿宋_GB2312" w:cs="方正仿宋_GB2312"/>
                <w:spacing w:val="14"/>
                <w:sz w:val="24"/>
                <w:szCs w:val="24"/>
                <w:lang w:val="en-US" w:eastAsia="zh-CN"/>
              </w:rPr>
              <w:t>4</w:t>
            </w:r>
            <w:r>
              <w:rPr>
                <w:rFonts w:hint="default" w:ascii="方正仿宋_GB2312" w:hAnsi="方正仿宋_GB2312" w:eastAsia="方正仿宋_GB2312" w:cs="方正仿宋_GB2312"/>
                <w:spacing w:val="14"/>
                <w:sz w:val="24"/>
                <w:szCs w:val="24"/>
                <w:lang w:val="en-US" w:eastAsia="zh-CN"/>
              </w:rPr>
              <w:t>0</w:t>
            </w:r>
          </w:p>
        </w:tc>
        <w:tc>
          <w:tcPr>
            <w:tcW w:w="2945" w:type="pct"/>
            <w:vAlign w:val="center"/>
          </w:tcPr>
          <w:p w14:paraId="5295B13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第一场竞赛</w:t>
            </w:r>
          </w:p>
        </w:tc>
      </w:tr>
      <w:tr w14:paraId="2D562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32" w:type="pct"/>
            <w:vMerge w:val="continue"/>
            <w:vAlign w:val="center"/>
          </w:tcPr>
          <w:p w14:paraId="5F3B67C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061CCC8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1</w:t>
            </w:r>
            <w:r>
              <w:rPr>
                <w:rFonts w:hint="eastAsia" w:ascii="方正仿宋_GB2312" w:hAnsi="方正仿宋_GB2312" w:eastAsia="方正仿宋_GB2312" w:cs="方正仿宋_GB2312"/>
                <w:spacing w:val="14"/>
                <w:sz w:val="24"/>
                <w:szCs w:val="24"/>
                <w:lang w:val="en-US" w:eastAsia="zh-CN"/>
              </w:rPr>
              <w:t>0</w:t>
            </w:r>
            <w:r>
              <w:rPr>
                <w:rFonts w:hint="default" w:ascii="方正仿宋_GB2312" w:hAnsi="方正仿宋_GB2312" w:eastAsia="方正仿宋_GB2312" w:cs="方正仿宋_GB2312"/>
                <w:spacing w:val="14"/>
                <w:sz w:val="24"/>
                <w:szCs w:val="24"/>
                <w:lang w:val="en-US" w:eastAsia="zh-CN"/>
              </w:rPr>
              <w:t>︰</w:t>
            </w:r>
            <w:r>
              <w:rPr>
                <w:rFonts w:hint="eastAsia" w:ascii="方正仿宋_GB2312" w:hAnsi="方正仿宋_GB2312" w:eastAsia="方正仿宋_GB2312" w:cs="方正仿宋_GB2312"/>
                <w:spacing w:val="14"/>
                <w:sz w:val="24"/>
                <w:szCs w:val="24"/>
                <w:lang w:val="en-US" w:eastAsia="zh-CN"/>
              </w:rPr>
              <w:t>4</w:t>
            </w:r>
            <w:r>
              <w:rPr>
                <w:rFonts w:hint="default" w:ascii="方正仿宋_GB2312" w:hAnsi="方正仿宋_GB2312" w:eastAsia="方正仿宋_GB2312" w:cs="方正仿宋_GB2312"/>
                <w:spacing w:val="14"/>
                <w:sz w:val="24"/>
                <w:szCs w:val="24"/>
                <w:lang w:val="en-US" w:eastAsia="zh-CN"/>
              </w:rPr>
              <w:t>0</w:t>
            </w:r>
            <w:r>
              <w:rPr>
                <w:rFonts w:hint="eastAsia" w:ascii="方正仿宋_GB2312" w:hAnsi="方正仿宋_GB2312" w:eastAsia="方正仿宋_GB2312" w:cs="方正仿宋_GB2312"/>
                <w:spacing w:val="14"/>
                <w:sz w:val="24"/>
                <w:szCs w:val="24"/>
                <w:lang w:val="en-US" w:eastAsia="zh-CN"/>
              </w:rPr>
              <w:t>-</w:t>
            </w:r>
            <w:r>
              <w:rPr>
                <w:rFonts w:hint="default" w:ascii="方正仿宋_GB2312" w:hAnsi="方正仿宋_GB2312" w:eastAsia="方正仿宋_GB2312" w:cs="方正仿宋_GB2312"/>
                <w:spacing w:val="14"/>
                <w:sz w:val="24"/>
                <w:szCs w:val="24"/>
                <w:lang w:val="en-US" w:eastAsia="zh-CN"/>
              </w:rPr>
              <w:t>1</w:t>
            </w:r>
            <w:r>
              <w:rPr>
                <w:rFonts w:hint="eastAsia" w:ascii="方正仿宋_GB2312" w:hAnsi="方正仿宋_GB2312" w:eastAsia="方正仿宋_GB2312" w:cs="方正仿宋_GB2312"/>
                <w:spacing w:val="14"/>
                <w:sz w:val="24"/>
                <w:szCs w:val="24"/>
                <w:lang w:val="en-US" w:eastAsia="zh-CN"/>
              </w:rPr>
              <w:t>3</w:t>
            </w:r>
            <w:r>
              <w:rPr>
                <w:rFonts w:hint="default" w:ascii="方正仿宋_GB2312" w:hAnsi="方正仿宋_GB2312" w:eastAsia="方正仿宋_GB2312" w:cs="方正仿宋_GB2312"/>
                <w:spacing w:val="14"/>
                <w:sz w:val="24"/>
                <w:szCs w:val="24"/>
                <w:lang w:val="en-US" w:eastAsia="zh-CN"/>
              </w:rPr>
              <w:t>︰</w:t>
            </w:r>
            <w:r>
              <w:rPr>
                <w:rFonts w:hint="eastAsia" w:ascii="方正仿宋_GB2312" w:hAnsi="方正仿宋_GB2312" w:eastAsia="方正仿宋_GB2312" w:cs="方正仿宋_GB2312"/>
                <w:spacing w:val="14"/>
                <w:sz w:val="24"/>
                <w:szCs w:val="24"/>
                <w:lang w:val="en-US" w:eastAsia="zh-CN"/>
              </w:rPr>
              <w:t>0</w:t>
            </w:r>
            <w:r>
              <w:rPr>
                <w:rFonts w:hint="default" w:ascii="方正仿宋_GB2312" w:hAnsi="方正仿宋_GB2312" w:eastAsia="方正仿宋_GB2312" w:cs="方正仿宋_GB2312"/>
                <w:spacing w:val="14"/>
                <w:sz w:val="24"/>
                <w:szCs w:val="24"/>
                <w:lang w:val="en-US" w:eastAsia="zh-CN"/>
              </w:rPr>
              <w:t>0</w:t>
            </w:r>
          </w:p>
        </w:tc>
        <w:tc>
          <w:tcPr>
            <w:tcW w:w="2945" w:type="pct"/>
            <w:vAlign w:val="center"/>
          </w:tcPr>
          <w:p w14:paraId="4D9C8C7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午餐、午休、第一场评分，设备复原</w:t>
            </w:r>
          </w:p>
        </w:tc>
      </w:tr>
      <w:tr w14:paraId="16DE5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Merge w:val="continue"/>
            <w:vAlign w:val="center"/>
          </w:tcPr>
          <w:p w14:paraId="3F7FB72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41D1BFE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1</w:t>
            </w:r>
            <w:r>
              <w:rPr>
                <w:rFonts w:hint="eastAsia" w:ascii="方正仿宋_GB2312" w:hAnsi="方正仿宋_GB2312" w:eastAsia="方正仿宋_GB2312" w:cs="方正仿宋_GB2312"/>
                <w:spacing w:val="14"/>
                <w:sz w:val="24"/>
                <w:szCs w:val="24"/>
                <w:lang w:val="en-US" w:eastAsia="zh-CN"/>
              </w:rPr>
              <w:t>3</w:t>
            </w:r>
            <w:r>
              <w:rPr>
                <w:rFonts w:hint="default" w:ascii="方正仿宋_GB2312" w:hAnsi="方正仿宋_GB2312" w:eastAsia="方正仿宋_GB2312" w:cs="方正仿宋_GB2312"/>
                <w:spacing w:val="14"/>
                <w:sz w:val="24"/>
                <w:szCs w:val="24"/>
                <w:lang w:val="en-US" w:eastAsia="zh-CN"/>
              </w:rPr>
              <w:t>︰</w:t>
            </w:r>
            <w:r>
              <w:rPr>
                <w:rFonts w:hint="eastAsia" w:ascii="方正仿宋_GB2312" w:hAnsi="方正仿宋_GB2312" w:eastAsia="方正仿宋_GB2312" w:cs="方正仿宋_GB2312"/>
                <w:spacing w:val="14"/>
                <w:sz w:val="24"/>
                <w:szCs w:val="24"/>
                <w:lang w:val="en-US" w:eastAsia="zh-CN"/>
              </w:rPr>
              <w:t>0</w:t>
            </w:r>
            <w:r>
              <w:rPr>
                <w:rFonts w:hint="default" w:ascii="方正仿宋_GB2312" w:hAnsi="方正仿宋_GB2312" w:eastAsia="方正仿宋_GB2312" w:cs="方正仿宋_GB2312"/>
                <w:spacing w:val="14"/>
                <w:sz w:val="24"/>
                <w:szCs w:val="24"/>
                <w:lang w:val="en-US" w:eastAsia="zh-CN"/>
              </w:rPr>
              <w:t>0-13︰</w:t>
            </w:r>
            <w:r>
              <w:rPr>
                <w:rFonts w:hint="eastAsia" w:ascii="方正仿宋_GB2312" w:hAnsi="方正仿宋_GB2312" w:eastAsia="方正仿宋_GB2312" w:cs="方正仿宋_GB2312"/>
                <w:spacing w:val="14"/>
                <w:sz w:val="24"/>
                <w:szCs w:val="24"/>
                <w:lang w:val="en-US" w:eastAsia="zh-CN"/>
              </w:rPr>
              <w:t>2</w:t>
            </w:r>
            <w:r>
              <w:rPr>
                <w:rFonts w:hint="default" w:ascii="方正仿宋_GB2312" w:hAnsi="方正仿宋_GB2312" w:eastAsia="方正仿宋_GB2312" w:cs="方正仿宋_GB2312"/>
                <w:spacing w:val="14"/>
                <w:sz w:val="24"/>
                <w:szCs w:val="24"/>
                <w:lang w:val="en-US" w:eastAsia="zh-CN"/>
              </w:rPr>
              <w:t>0</w:t>
            </w:r>
          </w:p>
        </w:tc>
        <w:tc>
          <w:tcPr>
            <w:tcW w:w="2945" w:type="pct"/>
            <w:vAlign w:val="center"/>
          </w:tcPr>
          <w:p w14:paraId="5D1158D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第二场</w:t>
            </w:r>
            <w:r>
              <w:rPr>
                <w:rFonts w:hint="default" w:ascii="方正仿宋_GB2312" w:hAnsi="方正仿宋_GB2312" w:eastAsia="方正仿宋_GB2312" w:cs="方正仿宋_GB2312"/>
                <w:spacing w:val="14"/>
                <w:sz w:val="24"/>
                <w:szCs w:val="24"/>
                <w:lang w:val="en-US" w:eastAsia="zh-CN"/>
              </w:rPr>
              <w:t>选手检录、工位抽签</w:t>
            </w:r>
          </w:p>
        </w:tc>
      </w:tr>
      <w:tr w14:paraId="40B68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Merge w:val="continue"/>
            <w:vAlign w:val="center"/>
          </w:tcPr>
          <w:p w14:paraId="73DE0FA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41DDC99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13︰</w:t>
            </w:r>
            <w:r>
              <w:rPr>
                <w:rFonts w:hint="eastAsia" w:ascii="方正仿宋_GB2312" w:hAnsi="方正仿宋_GB2312" w:eastAsia="方正仿宋_GB2312" w:cs="方正仿宋_GB2312"/>
                <w:spacing w:val="14"/>
                <w:sz w:val="24"/>
                <w:szCs w:val="24"/>
                <w:lang w:val="en-US" w:eastAsia="zh-CN"/>
              </w:rPr>
              <w:t>2</w:t>
            </w:r>
            <w:r>
              <w:rPr>
                <w:rFonts w:hint="default" w:ascii="方正仿宋_GB2312" w:hAnsi="方正仿宋_GB2312" w:eastAsia="方正仿宋_GB2312" w:cs="方正仿宋_GB2312"/>
                <w:spacing w:val="14"/>
                <w:sz w:val="24"/>
                <w:szCs w:val="24"/>
                <w:lang w:val="en-US" w:eastAsia="zh-CN"/>
              </w:rPr>
              <w:t>0-1</w:t>
            </w:r>
            <w:r>
              <w:rPr>
                <w:rFonts w:hint="eastAsia" w:ascii="方正仿宋_GB2312" w:hAnsi="方正仿宋_GB2312" w:eastAsia="方正仿宋_GB2312" w:cs="方正仿宋_GB2312"/>
                <w:spacing w:val="14"/>
                <w:sz w:val="24"/>
                <w:szCs w:val="24"/>
                <w:lang w:val="en-US" w:eastAsia="zh-CN"/>
              </w:rPr>
              <w:t>3</w:t>
            </w:r>
            <w:r>
              <w:rPr>
                <w:rFonts w:hint="default" w:ascii="方正仿宋_GB2312" w:hAnsi="方正仿宋_GB2312" w:eastAsia="方正仿宋_GB2312" w:cs="方正仿宋_GB2312"/>
                <w:spacing w:val="14"/>
                <w:sz w:val="24"/>
                <w:szCs w:val="24"/>
                <w:lang w:val="en-US" w:eastAsia="zh-CN"/>
              </w:rPr>
              <w:t>︰</w:t>
            </w:r>
            <w:r>
              <w:rPr>
                <w:rFonts w:hint="eastAsia" w:ascii="方正仿宋_GB2312" w:hAnsi="方正仿宋_GB2312" w:eastAsia="方正仿宋_GB2312" w:cs="方正仿宋_GB2312"/>
                <w:spacing w:val="14"/>
                <w:sz w:val="24"/>
                <w:szCs w:val="24"/>
                <w:lang w:val="en-US" w:eastAsia="zh-CN"/>
              </w:rPr>
              <w:t>4</w:t>
            </w:r>
            <w:r>
              <w:rPr>
                <w:rFonts w:hint="default" w:ascii="方正仿宋_GB2312" w:hAnsi="方正仿宋_GB2312" w:eastAsia="方正仿宋_GB2312" w:cs="方正仿宋_GB2312"/>
                <w:spacing w:val="14"/>
                <w:sz w:val="24"/>
                <w:szCs w:val="24"/>
                <w:lang w:val="en-US" w:eastAsia="zh-CN"/>
              </w:rPr>
              <w:t>0</w:t>
            </w:r>
          </w:p>
        </w:tc>
        <w:tc>
          <w:tcPr>
            <w:tcW w:w="2945" w:type="pct"/>
            <w:vAlign w:val="center"/>
          </w:tcPr>
          <w:p w14:paraId="5F1AC63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选手进场，检查工位设备、元件、工具等</w:t>
            </w:r>
          </w:p>
        </w:tc>
      </w:tr>
      <w:tr w14:paraId="4F974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Merge w:val="continue"/>
            <w:vAlign w:val="center"/>
          </w:tcPr>
          <w:p w14:paraId="2615DD0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shd w:val="clear" w:color="auto" w:fill="auto"/>
            <w:vAlign w:val="center"/>
          </w:tcPr>
          <w:p w14:paraId="222D80E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napToGrid w:val="0"/>
                <w:color w:val="000000"/>
                <w:spacing w:val="14"/>
                <w:kern w:val="0"/>
                <w:sz w:val="24"/>
                <w:szCs w:val="24"/>
                <w:lang w:val="en-US" w:eastAsia="zh-CN" w:bidi="ar-SA"/>
              </w:rPr>
            </w:pPr>
            <w:r>
              <w:rPr>
                <w:rFonts w:hint="default" w:ascii="方正仿宋_GB2312" w:hAnsi="方正仿宋_GB2312" w:eastAsia="方正仿宋_GB2312" w:cs="方正仿宋_GB2312"/>
                <w:spacing w:val="14"/>
                <w:sz w:val="24"/>
                <w:szCs w:val="24"/>
                <w:lang w:val="en-US" w:eastAsia="zh-CN"/>
              </w:rPr>
              <w:t>1</w:t>
            </w:r>
            <w:r>
              <w:rPr>
                <w:rFonts w:hint="eastAsia" w:ascii="方正仿宋_GB2312" w:hAnsi="方正仿宋_GB2312" w:eastAsia="方正仿宋_GB2312" w:cs="方正仿宋_GB2312"/>
                <w:spacing w:val="14"/>
                <w:sz w:val="24"/>
                <w:szCs w:val="24"/>
                <w:lang w:val="en-US" w:eastAsia="zh-CN"/>
              </w:rPr>
              <w:t>3</w:t>
            </w:r>
            <w:r>
              <w:rPr>
                <w:rFonts w:hint="default" w:ascii="方正仿宋_GB2312" w:hAnsi="方正仿宋_GB2312" w:eastAsia="方正仿宋_GB2312" w:cs="方正仿宋_GB2312"/>
                <w:spacing w:val="14"/>
                <w:sz w:val="24"/>
                <w:szCs w:val="24"/>
                <w:lang w:val="en-US" w:eastAsia="zh-CN"/>
              </w:rPr>
              <w:t>︰</w:t>
            </w:r>
            <w:r>
              <w:rPr>
                <w:rFonts w:hint="eastAsia" w:ascii="方正仿宋_GB2312" w:hAnsi="方正仿宋_GB2312" w:eastAsia="方正仿宋_GB2312" w:cs="方正仿宋_GB2312"/>
                <w:spacing w:val="14"/>
                <w:sz w:val="24"/>
                <w:szCs w:val="24"/>
                <w:lang w:val="en-US" w:eastAsia="zh-CN"/>
              </w:rPr>
              <w:t>4</w:t>
            </w:r>
            <w:r>
              <w:rPr>
                <w:rFonts w:hint="default" w:ascii="方正仿宋_GB2312" w:hAnsi="方正仿宋_GB2312" w:eastAsia="方正仿宋_GB2312" w:cs="方正仿宋_GB2312"/>
                <w:spacing w:val="14"/>
                <w:sz w:val="24"/>
                <w:szCs w:val="24"/>
                <w:lang w:val="en-US" w:eastAsia="zh-CN"/>
              </w:rPr>
              <w:t>0-1</w:t>
            </w:r>
            <w:r>
              <w:rPr>
                <w:rFonts w:hint="eastAsia" w:ascii="方正仿宋_GB2312" w:hAnsi="方正仿宋_GB2312" w:eastAsia="方正仿宋_GB2312" w:cs="方正仿宋_GB2312"/>
                <w:spacing w:val="14"/>
                <w:sz w:val="24"/>
                <w:szCs w:val="24"/>
                <w:lang w:val="en-US" w:eastAsia="zh-CN"/>
              </w:rPr>
              <w:t>5</w:t>
            </w:r>
            <w:r>
              <w:rPr>
                <w:rFonts w:hint="default" w:ascii="方正仿宋_GB2312" w:hAnsi="方正仿宋_GB2312" w:eastAsia="方正仿宋_GB2312" w:cs="方正仿宋_GB2312"/>
                <w:spacing w:val="14"/>
                <w:sz w:val="24"/>
                <w:szCs w:val="24"/>
                <w:lang w:val="en-US" w:eastAsia="zh-CN"/>
              </w:rPr>
              <w:t>︰</w:t>
            </w:r>
            <w:r>
              <w:rPr>
                <w:rFonts w:hint="eastAsia" w:ascii="方正仿宋_GB2312" w:hAnsi="方正仿宋_GB2312" w:eastAsia="方正仿宋_GB2312" w:cs="方正仿宋_GB2312"/>
                <w:spacing w:val="14"/>
                <w:sz w:val="24"/>
                <w:szCs w:val="24"/>
                <w:lang w:val="en-US" w:eastAsia="zh-CN"/>
              </w:rPr>
              <w:t>4</w:t>
            </w:r>
            <w:r>
              <w:rPr>
                <w:rFonts w:hint="default" w:ascii="方正仿宋_GB2312" w:hAnsi="方正仿宋_GB2312" w:eastAsia="方正仿宋_GB2312" w:cs="方正仿宋_GB2312"/>
                <w:spacing w:val="14"/>
                <w:sz w:val="24"/>
                <w:szCs w:val="24"/>
                <w:lang w:val="en-US" w:eastAsia="zh-CN"/>
              </w:rPr>
              <w:t>0</w:t>
            </w:r>
          </w:p>
        </w:tc>
        <w:tc>
          <w:tcPr>
            <w:tcW w:w="2945" w:type="pct"/>
            <w:shd w:val="clear" w:color="auto" w:fill="auto"/>
            <w:vAlign w:val="center"/>
          </w:tcPr>
          <w:p w14:paraId="29D7DFD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napToGrid w:val="0"/>
                <w:color w:val="000000"/>
                <w:spacing w:val="14"/>
                <w:kern w:val="0"/>
                <w:sz w:val="24"/>
                <w:szCs w:val="24"/>
                <w:lang w:val="en-US" w:eastAsia="zh-CN" w:bidi="ar-SA"/>
              </w:rPr>
            </w:pPr>
            <w:r>
              <w:rPr>
                <w:rFonts w:hint="default" w:ascii="方正仿宋_GB2312" w:hAnsi="方正仿宋_GB2312" w:eastAsia="方正仿宋_GB2312" w:cs="方正仿宋_GB2312"/>
                <w:spacing w:val="14"/>
                <w:sz w:val="24"/>
                <w:szCs w:val="24"/>
                <w:lang w:val="en-US" w:eastAsia="zh-CN"/>
              </w:rPr>
              <w:t>第二场竞赛</w:t>
            </w:r>
          </w:p>
        </w:tc>
      </w:tr>
      <w:tr w14:paraId="08D4A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Merge w:val="continue"/>
            <w:vAlign w:val="center"/>
          </w:tcPr>
          <w:p w14:paraId="4CF75CB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195EC14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15：40-17：40</w:t>
            </w:r>
          </w:p>
        </w:tc>
        <w:tc>
          <w:tcPr>
            <w:tcW w:w="2945" w:type="pct"/>
            <w:vAlign w:val="center"/>
          </w:tcPr>
          <w:p w14:paraId="5BE98A4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评分</w:t>
            </w:r>
          </w:p>
        </w:tc>
      </w:tr>
      <w:tr w14:paraId="20FEB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2" w:type="pct"/>
            <w:vMerge w:val="continue"/>
            <w:vAlign w:val="center"/>
          </w:tcPr>
          <w:p w14:paraId="536BB57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p>
        </w:tc>
        <w:tc>
          <w:tcPr>
            <w:tcW w:w="1421" w:type="pct"/>
            <w:vAlign w:val="center"/>
          </w:tcPr>
          <w:p w14:paraId="2622CF8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17:40</w:t>
            </w:r>
          </w:p>
        </w:tc>
        <w:tc>
          <w:tcPr>
            <w:tcW w:w="2945" w:type="pct"/>
            <w:vAlign w:val="center"/>
          </w:tcPr>
          <w:p w14:paraId="15D144D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点评会</w:t>
            </w:r>
          </w:p>
        </w:tc>
      </w:tr>
    </w:tbl>
    <w:p w14:paraId="2D589B5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9" w:firstLineChars="200"/>
        <w:jc w:val="both"/>
        <w:textAlignment w:val="auto"/>
        <w:rPr>
          <w:rFonts w:hint="eastAsia" w:ascii="方正仿宋_GB2312" w:hAnsi="方正仿宋_GB2312" w:eastAsia="方正仿宋_GB2312" w:cs="方正仿宋_GB2312"/>
          <w:b/>
          <w:bCs/>
          <w:spacing w:val="14"/>
          <w:sz w:val="32"/>
          <w:szCs w:val="32"/>
          <w:lang w:val="en-US" w:eastAsia="zh-CN"/>
        </w:rPr>
      </w:pPr>
      <w:r>
        <w:rPr>
          <w:rFonts w:hint="eastAsia" w:ascii="方正仿宋_GB2312" w:hAnsi="方正仿宋_GB2312" w:eastAsia="方正仿宋_GB2312" w:cs="方正仿宋_GB2312"/>
          <w:b/>
          <w:bCs/>
          <w:spacing w:val="14"/>
          <w:sz w:val="32"/>
          <w:szCs w:val="32"/>
          <w:lang w:val="en-US" w:eastAsia="zh-CN"/>
        </w:rPr>
        <w:t>注：竞赛日程将根据报名队伍数量做调整，最终日程表以《竞赛指南》为准。</w:t>
      </w:r>
    </w:p>
    <w:p w14:paraId="4323881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方正楷体_GB2312" w:hAnsi="方正楷体_GB2312" w:eastAsia="方正楷体_GB2312" w:cs="方正楷体_GB2312"/>
          <w:b w:val="0"/>
          <w:bCs w:val="0"/>
          <w:snapToGrid/>
          <w:kern w:val="2"/>
          <w:sz w:val="32"/>
          <w:szCs w:val="32"/>
          <w:lang w:val="en-US" w:eastAsia="zh-CN"/>
        </w:rPr>
      </w:pPr>
    </w:p>
    <w:p w14:paraId="58640AD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方正楷体_GB2312" w:hAnsi="方正楷体_GB2312" w:eastAsia="方正楷体_GB2312" w:cs="方正楷体_GB2312"/>
          <w:b w:val="0"/>
          <w:bCs w:val="0"/>
          <w:snapToGrid/>
          <w:kern w:val="2"/>
          <w:sz w:val="32"/>
          <w:szCs w:val="32"/>
          <w:lang w:val="en-US" w:eastAsia="zh-CN"/>
        </w:rPr>
      </w:pPr>
    </w:p>
    <w:p w14:paraId="029061B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方正楷体_GB2312" w:hAnsi="方正楷体_GB2312" w:eastAsia="方正楷体_GB2312" w:cs="方正楷体_GB2312"/>
          <w:b w:val="0"/>
          <w:bCs w:val="0"/>
          <w:snapToGrid/>
          <w:kern w:val="2"/>
          <w:sz w:val="32"/>
          <w:szCs w:val="32"/>
          <w:lang w:val="en-US" w:eastAsia="zh-CN"/>
        </w:rPr>
      </w:pPr>
    </w:p>
    <w:p w14:paraId="0EFBFC2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方正楷体_GB2312" w:hAnsi="方正楷体_GB2312" w:eastAsia="方正楷体_GB2312" w:cs="方正楷体_GB2312"/>
          <w:b w:val="0"/>
          <w:bCs w:val="0"/>
          <w:snapToGrid/>
          <w:kern w:val="2"/>
          <w:sz w:val="32"/>
          <w:szCs w:val="32"/>
          <w:lang w:val="en-US" w:eastAsia="zh-CN"/>
        </w:rPr>
      </w:pPr>
    </w:p>
    <w:p w14:paraId="76B0429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方正楷体_GB2312" w:hAnsi="方正楷体_GB2312" w:eastAsia="方正楷体_GB2312" w:cs="方正楷体_GB2312"/>
          <w:b w:val="0"/>
          <w:bCs w:val="0"/>
          <w:snapToGrid/>
          <w:kern w:val="2"/>
          <w:sz w:val="32"/>
          <w:szCs w:val="32"/>
          <w:lang w:val="en-US" w:eastAsia="zh-CN"/>
        </w:rPr>
      </w:pPr>
    </w:p>
    <w:p w14:paraId="46E2327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方正楷体_GB2312" w:hAnsi="方正楷体_GB2312" w:eastAsia="方正楷体_GB2312" w:cs="方正楷体_GB2312"/>
          <w:b w:val="0"/>
          <w:bCs w:val="0"/>
          <w:snapToGrid/>
          <w:kern w:val="2"/>
          <w:sz w:val="32"/>
          <w:szCs w:val="32"/>
          <w:lang w:val="en-US" w:eastAsia="zh-CN"/>
        </w:rPr>
      </w:pPr>
    </w:p>
    <w:p w14:paraId="3E89DC3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方正楷体_GB2312" w:hAnsi="方正楷体_GB2312" w:eastAsia="方正楷体_GB2312" w:cs="方正楷体_GB2312"/>
          <w:b w:val="0"/>
          <w:bCs w:val="0"/>
          <w:snapToGrid/>
          <w:kern w:val="2"/>
          <w:sz w:val="32"/>
          <w:szCs w:val="32"/>
          <w:lang w:val="en-US" w:eastAsia="zh-CN"/>
        </w:rPr>
      </w:pPr>
    </w:p>
    <w:p w14:paraId="0DA5C55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方正楷体_GB2312" w:hAnsi="方正楷体_GB2312" w:eastAsia="方正楷体_GB2312" w:cs="方正楷体_GB2312"/>
          <w:b w:val="0"/>
          <w:bCs w:val="0"/>
          <w:snapToGrid/>
          <w:kern w:val="2"/>
          <w:sz w:val="32"/>
          <w:szCs w:val="32"/>
          <w:lang w:val="en-US" w:eastAsia="zh-CN"/>
        </w:rPr>
      </w:pPr>
    </w:p>
    <w:p w14:paraId="5C0D7BC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方正楷体_GB2312" w:hAnsi="方正楷体_GB2312" w:eastAsia="方正楷体_GB2312" w:cs="方正楷体_GB2312"/>
          <w:b w:val="0"/>
          <w:bCs w:val="0"/>
          <w:snapToGrid/>
          <w:kern w:val="2"/>
          <w:sz w:val="32"/>
          <w:szCs w:val="32"/>
          <w:lang w:val="en-US" w:eastAsia="zh-CN"/>
        </w:rPr>
      </w:pPr>
    </w:p>
    <w:p w14:paraId="7D284D7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方正楷体_GB2312" w:hAnsi="方正楷体_GB2312" w:eastAsia="方正楷体_GB2312" w:cs="方正楷体_GB2312"/>
          <w:b w:val="0"/>
          <w:bCs w:val="0"/>
          <w:snapToGrid/>
          <w:kern w:val="2"/>
          <w:sz w:val="32"/>
          <w:szCs w:val="32"/>
          <w:lang w:val="en-US" w:eastAsia="zh-CN"/>
        </w:rPr>
      </w:pPr>
    </w:p>
    <w:p w14:paraId="4CDF4A4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方正楷体_GB2312" w:hAnsi="方正楷体_GB2312" w:eastAsia="方正楷体_GB2312" w:cs="方正楷体_GB2312"/>
          <w:b w:val="0"/>
          <w:bCs w:val="0"/>
          <w:snapToGrid/>
          <w:kern w:val="2"/>
          <w:sz w:val="32"/>
          <w:szCs w:val="32"/>
          <w:lang w:val="en-US" w:eastAsia="zh-CN"/>
        </w:rPr>
      </w:pPr>
    </w:p>
    <w:p w14:paraId="5154544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（二）竞赛流程</w:t>
      </w:r>
    </w:p>
    <w:p w14:paraId="1A0035F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center"/>
        <w:textAlignment w:val="auto"/>
        <w:rPr>
          <w:rFonts w:hint="default" w:ascii="方正仿宋_GB2312" w:hAnsi="方正仿宋_GB2312" w:eastAsia="方正仿宋_GB2312" w:cs="方正仿宋_GB2312"/>
          <w:spacing w:val="14"/>
          <w:sz w:val="32"/>
          <w:szCs w:val="32"/>
          <w:lang w:val="en-US" w:eastAsia="zh-CN"/>
        </w:rPr>
      </w:pPr>
      <w:r>
        <w:drawing>
          <wp:inline distT="0" distB="0" distL="114300" distR="114300">
            <wp:extent cx="3598545" cy="6358890"/>
            <wp:effectExtent l="0" t="0" r="8255" b="381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7"/>
                    <a:srcRect t="2581" b="2710"/>
                    <a:stretch>
                      <a:fillRect/>
                    </a:stretch>
                  </pic:blipFill>
                  <pic:spPr>
                    <a:xfrm>
                      <a:off x="0" y="0"/>
                      <a:ext cx="3598545" cy="6358890"/>
                    </a:xfrm>
                    <a:prstGeom prst="rect">
                      <a:avLst/>
                    </a:prstGeom>
                    <a:noFill/>
                    <a:ln>
                      <a:noFill/>
                    </a:ln>
                  </pic:spPr>
                </pic:pic>
              </a:graphicData>
            </a:graphic>
          </wp:inline>
        </w:drawing>
      </w:r>
    </w:p>
    <w:p w14:paraId="23037D5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六、竞赛规则</w:t>
      </w:r>
    </w:p>
    <w:p w14:paraId="40D315D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（一）竞赛报名</w:t>
      </w:r>
    </w:p>
    <w:p w14:paraId="56C3582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1.参赛队及参赛选手资格：参赛选手须为2026年度高等职业学校全日制在籍学生（含职教本科），五年制高职四、五年级的全日制在籍学生。</w:t>
      </w:r>
    </w:p>
    <w:p w14:paraId="054BB2B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2.人员变更：参赛选手和指导教师报名获得确认后不得随意更换。如备赛过程中参赛选手和指导教师因故无法参赛，须由选手所在学校出具书面说明，经大赛执委会办公室核实后予以更换，补充人员需满足本赛项参赛选手资格并接受审核；团体赛选手因特殊原因不能参加比赛时，则视为自动放弃竞赛；竞赛开始后，参赛队不得更换参赛选手，若有参赛队员缺席，不得补充参赛选手。</w:t>
      </w:r>
    </w:p>
    <w:p w14:paraId="6C38C78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（二）熟悉场地</w:t>
      </w:r>
    </w:p>
    <w:p w14:paraId="385AF64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1.各参赛队领队、指导教师、参赛选手在规定时间进入赛场指定观察区，不允许进入比赛区，可以熟悉赛场环境和设备准备情况。</w:t>
      </w:r>
    </w:p>
    <w:p w14:paraId="0A2E3F2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2.熟悉场地时严格遵守大赛各种制度，严禁拥挤，喧哗，以免发生意外事故。</w:t>
      </w:r>
    </w:p>
    <w:p w14:paraId="2BE257D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（三）入场规则</w:t>
      </w:r>
    </w:p>
    <w:p w14:paraId="6ED2D52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1.工作人员将对各参赛选手的身份进行核对。</w:t>
      </w:r>
    </w:p>
    <w:p w14:paraId="1257603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2.参赛选手不允许携带任何通讯及存储设备（自带电脑不能联网）、纸质材料等物品，检查合格后进入赛场抽签区。</w:t>
      </w:r>
    </w:p>
    <w:p w14:paraId="10739AA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（四）赛场规则</w:t>
      </w:r>
    </w:p>
    <w:p w14:paraId="524100B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1.选手进入赛场后，必须听从现场裁判的统一布置和指挥。</w:t>
      </w:r>
    </w:p>
    <w:p w14:paraId="7443099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2.比赛过程中，参赛选手必须严格遵守安全操作规程，确保人身和设备安全，并接受现场裁判和技术人员的监督和警示。</w:t>
      </w:r>
    </w:p>
    <w:p w14:paraId="6C58BCE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3.经现场裁判和技术人员检验，确因设备、元器件故障或损坏而更换设备或元器件者，依据从报告现场裁判到完成更换的用时酌情补时，原则上补时最多不超过10分钟。非设备、元器件自身故障者，不予补时。</w:t>
      </w:r>
    </w:p>
    <w:p w14:paraId="708B613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（五）离场规则</w:t>
      </w:r>
    </w:p>
    <w:p w14:paraId="3FEE1ED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1.比赛结束信号给出，由裁判长宣布终止比赛。</w:t>
      </w:r>
    </w:p>
    <w:p w14:paraId="389622B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2.完成功能成绩评定的选手，应按电气安装职业岗位的要求，清理比赛工位上的工具、整理比赛工位及其周边的清洁，使之符合职业规范。</w:t>
      </w:r>
    </w:p>
    <w:p w14:paraId="452717A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eastAsia"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（六）结果公布</w:t>
      </w:r>
    </w:p>
    <w:p w14:paraId="1C5B7CB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将解密后的各参赛队结果汇总，经裁判长、监督员和仲裁员签字后，在竞赛结束6小时内公布。</w:t>
      </w:r>
    </w:p>
    <w:p w14:paraId="0C2931A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七、技术规范</w:t>
      </w:r>
    </w:p>
    <w:p w14:paraId="3CA0245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赛项所涉及专业的岗位，主要包括电气控制系统安装、调试与维护岗位，所针对的职业工种为电工、装配钳工、机械设备安装工等工种。</w:t>
      </w:r>
    </w:p>
    <w:p w14:paraId="7111060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GB/T6988.1-2008《电气技术用文件的编制》；</w:t>
      </w:r>
    </w:p>
    <w:p w14:paraId="40668DB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GB/T4728.1-2018《电气简图用图形符号》；</w:t>
      </w:r>
    </w:p>
    <w:p w14:paraId="03C494F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GB/T5465.2-2008《电气设备用图形符号》；</w:t>
      </w:r>
    </w:p>
    <w:p w14:paraId="3FCE5CE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GB/T7159-1987《电气技术中的文字符号制订通则》；</w:t>
      </w:r>
    </w:p>
    <w:p w14:paraId="30A4D7E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GB11291-2011《工业环境用机器人安全要求》；</w:t>
      </w:r>
    </w:p>
    <w:p w14:paraId="3A8E269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GB50254—2014《电气装置安装工程低压电器施工及验收规范》；</w:t>
      </w:r>
    </w:p>
    <w:p w14:paraId="3E3217C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GB/T4458.4-2003《机械制图尺寸注法》；</w:t>
      </w:r>
    </w:p>
    <w:p w14:paraId="0375EAD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GB/T4458.5-2003《机械制图尺寸公差与配合注法》；</w:t>
      </w:r>
    </w:p>
    <w:p w14:paraId="25321EE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GB/T4458.1-2002《机械制图图样画法视图》；</w:t>
      </w:r>
    </w:p>
    <w:p w14:paraId="7D67375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GB/T26099.1-2010《机械产品三维建模通用规则第1部分：通用要求》；</w:t>
      </w:r>
    </w:p>
    <w:p w14:paraId="00536D1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GB/T26099.2-2010《机械产品三维建模通用规则第2部分：零件建模》；</w:t>
      </w:r>
    </w:p>
    <w:p w14:paraId="76CDA63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《世界技能大赛机电一体化项目技术规范》；</w:t>
      </w:r>
    </w:p>
    <w:p w14:paraId="0B995F9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电工国家职业标准（职业编码6-31-01-03）；</w:t>
      </w:r>
    </w:p>
    <w:p w14:paraId="6E2BEB2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工具钳工国家职业标准（职业编码6-05-02-02）；</w:t>
      </w:r>
    </w:p>
    <w:p w14:paraId="0E13731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装配钳工国家职业标准（职业编码6-05-02-01）；</w:t>
      </w:r>
    </w:p>
    <w:p w14:paraId="365233D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机械设备安装工国家职业标准（职业编码6-23-10-01）</w:t>
      </w:r>
    </w:p>
    <w:p w14:paraId="3A2E95A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default" w:ascii="黑体" w:hAnsi="黑体" w:eastAsia="黑体" w:cs="黑体"/>
          <w:snapToGrid/>
          <w:kern w:val="2"/>
          <w:sz w:val="32"/>
          <w:szCs w:val="32"/>
          <w:lang w:val="en-US" w:eastAsia="zh-CN"/>
        </w:rPr>
      </w:pPr>
      <w:r>
        <w:rPr>
          <w:rFonts w:hint="default" w:ascii="黑体" w:hAnsi="黑体" w:eastAsia="黑体" w:cs="黑体"/>
          <w:snapToGrid/>
          <w:kern w:val="2"/>
          <w:sz w:val="32"/>
          <w:szCs w:val="32"/>
          <w:lang w:val="en-US" w:eastAsia="zh-CN"/>
        </w:rPr>
        <w:t>八、技术环境</w:t>
      </w:r>
    </w:p>
    <w:p w14:paraId="1F6A569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w:t>
      </w:r>
      <w:r>
        <w:rPr>
          <w:rFonts w:hint="default" w:ascii="方正楷体_GB2312" w:hAnsi="方正楷体_GB2312" w:eastAsia="方正楷体_GB2312" w:cs="方正楷体_GB2312"/>
          <w:b w:val="0"/>
          <w:bCs w:val="0"/>
          <w:snapToGrid/>
          <w:kern w:val="2"/>
          <w:sz w:val="32"/>
          <w:szCs w:val="32"/>
          <w:lang w:val="en-US" w:eastAsia="zh-CN"/>
        </w:rPr>
        <w:t>一</w:t>
      </w:r>
      <w:r>
        <w:rPr>
          <w:rFonts w:hint="eastAsia" w:ascii="方正楷体_GB2312" w:hAnsi="方正楷体_GB2312" w:eastAsia="方正楷体_GB2312" w:cs="方正楷体_GB2312"/>
          <w:b w:val="0"/>
          <w:bCs w:val="0"/>
          <w:snapToGrid/>
          <w:kern w:val="2"/>
          <w:sz w:val="32"/>
          <w:szCs w:val="32"/>
          <w:lang w:val="en-US" w:eastAsia="zh-CN"/>
        </w:rPr>
        <w:t>）</w:t>
      </w:r>
      <w:r>
        <w:rPr>
          <w:rFonts w:hint="default" w:ascii="方正楷体_GB2312" w:hAnsi="方正楷体_GB2312" w:eastAsia="方正楷体_GB2312" w:cs="方正楷体_GB2312"/>
          <w:b w:val="0"/>
          <w:bCs w:val="0"/>
          <w:snapToGrid/>
          <w:kern w:val="2"/>
          <w:sz w:val="32"/>
          <w:szCs w:val="32"/>
          <w:lang w:val="en-US" w:eastAsia="zh-CN"/>
        </w:rPr>
        <w:t>竞赛环境</w:t>
      </w:r>
    </w:p>
    <w:p w14:paraId="6F24258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default" w:ascii="仿宋_GB2312" w:hAnsi="仿宋_GB2312" w:eastAsia="仿宋_GB2312" w:cs="仿宋_GB2312"/>
          <w:snapToGrid/>
          <w:kern w:val="2"/>
          <w:sz w:val="32"/>
          <w:szCs w:val="32"/>
          <w:lang w:val="en-US" w:eastAsia="zh-CN"/>
        </w:rPr>
      </w:pPr>
      <w:r>
        <w:rPr>
          <w:rFonts w:hint="default" w:ascii="仿宋_GB2312" w:hAnsi="仿宋_GB2312" w:eastAsia="仿宋_GB2312" w:cs="仿宋_GB2312"/>
          <w:snapToGrid/>
          <w:kern w:val="2"/>
          <w:sz w:val="32"/>
          <w:szCs w:val="32"/>
          <w:lang w:val="en-US" w:eastAsia="zh-CN"/>
        </w:rPr>
        <w:t>1.竞赛场地：平整、明亮、通风良好，</w:t>
      </w:r>
      <w:r>
        <w:rPr>
          <w:rFonts w:hint="eastAsia" w:ascii="仿宋_GB2312" w:hAnsi="仿宋_GB2312" w:eastAsia="仿宋_GB2312" w:cs="仿宋_GB2312"/>
          <w:snapToGrid/>
          <w:kern w:val="2"/>
          <w:sz w:val="32"/>
          <w:szCs w:val="32"/>
          <w:lang w:val="en-US" w:eastAsia="zh-CN"/>
        </w:rPr>
        <w:t>单工位</w:t>
      </w:r>
      <w:r>
        <w:rPr>
          <w:rFonts w:hint="default" w:ascii="仿宋_GB2312" w:hAnsi="仿宋_GB2312" w:eastAsia="仿宋_GB2312" w:cs="仿宋_GB2312"/>
          <w:snapToGrid/>
          <w:kern w:val="2"/>
          <w:sz w:val="32"/>
          <w:szCs w:val="32"/>
          <w:lang w:val="en-US" w:eastAsia="zh-CN"/>
        </w:rPr>
        <w:t>面积≥</w:t>
      </w:r>
      <w:r>
        <w:rPr>
          <w:rFonts w:hint="eastAsia" w:ascii="仿宋_GB2312" w:hAnsi="仿宋_GB2312" w:eastAsia="仿宋_GB2312" w:cs="仿宋_GB2312"/>
          <w:snapToGrid/>
          <w:kern w:val="2"/>
          <w:sz w:val="32"/>
          <w:szCs w:val="32"/>
          <w:lang w:val="en-US" w:eastAsia="zh-CN"/>
        </w:rPr>
        <w:t>2</w:t>
      </w:r>
      <w:r>
        <w:rPr>
          <w:rFonts w:hint="default" w:ascii="仿宋_GB2312" w:hAnsi="仿宋_GB2312" w:eastAsia="仿宋_GB2312" w:cs="仿宋_GB2312"/>
          <w:snapToGrid/>
          <w:kern w:val="2"/>
          <w:sz w:val="32"/>
          <w:szCs w:val="32"/>
          <w:lang w:val="en-US" w:eastAsia="zh-CN"/>
        </w:rPr>
        <w:t>0m²,净高≥3m。</w:t>
      </w:r>
    </w:p>
    <w:p w14:paraId="3846503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default" w:ascii="仿宋_GB2312" w:hAnsi="仿宋_GB2312" w:eastAsia="仿宋_GB2312" w:cs="仿宋_GB2312"/>
          <w:snapToGrid/>
          <w:kern w:val="2"/>
          <w:sz w:val="32"/>
          <w:szCs w:val="32"/>
          <w:lang w:val="en-US" w:eastAsia="zh-CN"/>
        </w:rPr>
      </w:pPr>
      <w:r>
        <w:rPr>
          <w:rFonts w:hint="default" w:ascii="仿宋_GB2312" w:hAnsi="仿宋_GB2312" w:eastAsia="仿宋_GB2312" w:cs="仿宋_GB2312"/>
          <w:snapToGrid/>
          <w:kern w:val="2"/>
          <w:sz w:val="32"/>
          <w:szCs w:val="32"/>
          <w:lang w:val="en-US" w:eastAsia="zh-CN"/>
        </w:rPr>
        <w:t>2.竞赛工位：提供220V单相交流电源，设备电源与电脑电源独立供电。工位标明工位号，布置竞赛设备1套、装配桌1张、准备桌1张、电脑桌2张、凳子2张，竞赛场地加装工位隔离带。计算机最低配置要求：CPU4核(3.5GHZ)、DDR4-8G内存、</w:t>
      </w:r>
      <w:r>
        <w:rPr>
          <w:rFonts w:hint="eastAsia" w:ascii="仿宋_GB2312" w:hAnsi="仿宋_GB2312" w:eastAsia="仿宋_GB2312" w:cs="仿宋_GB2312"/>
          <w:snapToGrid/>
          <w:kern w:val="2"/>
          <w:sz w:val="32"/>
          <w:szCs w:val="32"/>
          <w:lang w:val="en-US" w:eastAsia="zh-CN"/>
        </w:rPr>
        <w:t>512</w:t>
      </w:r>
      <w:r>
        <w:rPr>
          <w:rFonts w:hint="default" w:ascii="仿宋_GB2312" w:hAnsi="仿宋_GB2312" w:eastAsia="仿宋_GB2312" w:cs="仿宋_GB2312"/>
          <w:snapToGrid/>
          <w:kern w:val="2"/>
          <w:sz w:val="32"/>
          <w:szCs w:val="32"/>
          <w:lang w:val="en-US" w:eastAsia="zh-CN"/>
        </w:rPr>
        <w:t>TBHHD硬盘、液晶显示器、以太网口。</w:t>
      </w:r>
      <w:r>
        <w:rPr>
          <w:rFonts w:hint="eastAsia" w:ascii="仿宋_GB2312" w:hAnsi="仿宋_GB2312" w:eastAsia="仿宋_GB2312" w:cs="仿宋_GB2312"/>
          <w:snapToGrid/>
          <w:kern w:val="2"/>
          <w:sz w:val="32"/>
          <w:szCs w:val="32"/>
          <w:lang w:val="en-US" w:eastAsia="zh-CN"/>
        </w:rPr>
        <w:t>参赛选手可自带电脑，博途软件使用V18。</w:t>
      </w:r>
    </w:p>
    <w:p w14:paraId="4364C64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w:t>
      </w:r>
      <w:r>
        <w:rPr>
          <w:rFonts w:hint="default" w:ascii="方正楷体_GB2312" w:hAnsi="方正楷体_GB2312" w:eastAsia="方正楷体_GB2312" w:cs="方正楷体_GB2312"/>
          <w:b w:val="0"/>
          <w:bCs w:val="0"/>
          <w:snapToGrid/>
          <w:kern w:val="2"/>
          <w:sz w:val="32"/>
          <w:szCs w:val="32"/>
          <w:lang w:val="en-US" w:eastAsia="zh-CN"/>
        </w:rPr>
        <w:t>二</w:t>
      </w:r>
      <w:r>
        <w:rPr>
          <w:rFonts w:hint="eastAsia" w:ascii="方正楷体_GB2312" w:hAnsi="方正楷体_GB2312" w:eastAsia="方正楷体_GB2312" w:cs="方正楷体_GB2312"/>
          <w:b w:val="0"/>
          <w:bCs w:val="0"/>
          <w:snapToGrid/>
          <w:kern w:val="2"/>
          <w:sz w:val="32"/>
          <w:szCs w:val="32"/>
          <w:lang w:val="en-US" w:eastAsia="zh-CN"/>
        </w:rPr>
        <w:t>）</w:t>
      </w:r>
      <w:r>
        <w:rPr>
          <w:rFonts w:hint="default" w:ascii="方正楷体_GB2312" w:hAnsi="方正楷体_GB2312" w:eastAsia="方正楷体_GB2312" w:cs="方正楷体_GB2312"/>
          <w:b w:val="0"/>
          <w:bCs w:val="0"/>
          <w:snapToGrid/>
          <w:kern w:val="2"/>
          <w:sz w:val="32"/>
          <w:szCs w:val="32"/>
          <w:lang w:val="en-US" w:eastAsia="zh-CN"/>
        </w:rPr>
        <w:t>技术平台</w:t>
      </w:r>
    </w:p>
    <w:p w14:paraId="690CBF8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default" w:ascii="仿宋_GB2312" w:hAnsi="仿宋_GB2312" w:eastAsia="仿宋_GB2312" w:cs="仿宋_GB2312"/>
          <w:snapToGrid/>
          <w:kern w:val="2"/>
          <w:sz w:val="32"/>
          <w:szCs w:val="32"/>
          <w:lang w:val="en-US" w:eastAsia="zh-CN"/>
        </w:rPr>
      </w:pPr>
      <w:r>
        <w:rPr>
          <w:rFonts w:hint="default" w:ascii="仿宋_GB2312" w:hAnsi="仿宋_GB2312" w:eastAsia="仿宋_GB2312" w:cs="仿宋_GB2312"/>
          <w:snapToGrid/>
          <w:kern w:val="2"/>
          <w:sz w:val="32"/>
          <w:szCs w:val="32"/>
          <w:lang w:val="en-US" w:eastAsia="zh-CN"/>
        </w:rPr>
        <w:t>技术平台为一条小型自动化生产线，需要按客户要求进行组装、编程、调试、设计仿真、升级改造。其中包括设计、安装、调试机械部件和电气系统，并能完成设备控制系统和人机界面编程，对自动化生产线进行维护、维修、系统集成与技术改进等工作。</w:t>
      </w:r>
    </w:p>
    <w:p w14:paraId="04FE503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default" w:ascii="仿宋_GB2312" w:hAnsi="仿宋_GB2312" w:eastAsia="仿宋_GB2312" w:cs="仿宋_GB2312"/>
          <w:snapToGrid/>
          <w:kern w:val="2"/>
          <w:sz w:val="32"/>
          <w:szCs w:val="32"/>
          <w:lang w:val="en-US" w:eastAsia="zh-CN"/>
        </w:rPr>
      </w:pPr>
      <w:r>
        <w:rPr>
          <w:rFonts w:hint="default" w:ascii="仿宋_GB2312" w:hAnsi="仿宋_GB2312" w:eastAsia="仿宋_GB2312" w:cs="仿宋_GB2312"/>
          <w:snapToGrid/>
          <w:kern w:val="2"/>
          <w:sz w:val="32"/>
          <w:szCs w:val="32"/>
          <w:lang w:val="en-US" w:eastAsia="zh-CN"/>
        </w:rPr>
        <w:t>本赛项竞赛平台应包括颗粒上料单元、加盖拧盖单元、检测分拣单元、工业机器人搬运单元和智能仓储单元等组成，包括了智能装配、自动包装、不合格品分类分拣、自动化立体仓储（库位≥15个）及智能物流、自动检测质量控制、生产过程数据采集及控制系统等，是一个完整的智能工厂模拟装置。应用了工业机器人技术、PLC控制技术、变频控制技术、伺服控制技术、工业传感器技术、电机驱动技术等工业自动化相关技术。</w:t>
      </w:r>
    </w:p>
    <w:p w14:paraId="361C41D6">
      <w:pPr>
        <w:keepNext w:val="0"/>
        <w:keepLines w:val="0"/>
        <w:pageBreakBefore w:val="0"/>
        <w:widowControl w:val="0"/>
        <w:numPr>
          <w:numId w:val="0"/>
        </w:numPr>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（三）主要</w:t>
      </w:r>
      <w:r>
        <w:rPr>
          <w:rFonts w:hint="default" w:ascii="方正楷体_GB2312" w:hAnsi="方正楷体_GB2312" w:eastAsia="方正楷体_GB2312" w:cs="方正楷体_GB2312"/>
          <w:b w:val="0"/>
          <w:bCs w:val="0"/>
          <w:snapToGrid/>
          <w:kern w:val="2"/>
          <w:sz w:val="32"/>
          <w:szCs w:val="32"/>
          <w:lang w:val="en-US" w:eastAsia="zh-CN"/>
        </w:rPr>
        <w:t>技术参数</w:t>
      </w:r>
    </w:p>
    <w:tbl>
      <w:tblPr>
        <w:tblStyle w:val="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3"/>
        <w:gridCol w:w="6833"/>
      </w:tblGrid>
      <w:tr w14:paraId="5ACE5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44552A3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系统电源</w:t>
            </w:r>
          </w:p>
        </w:tc>
        <w:tc>
          <w:tcPr>
            <w:tcW w:w="3772" w:type="pct"/>
            <w:vAlign w:val="center"/>
          </w:tcPr>
          <w:p w14:paraId="01B0EEB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单相三线制AC220V</w:t>
            </w:r>
          </w:p>
        </w:tc>
      </w:tr>
      <w:tr w14:paraId="54E65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14216EA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额定电压</w:t>
            </w:r>
          </w:p>
        </w:tc>
        <w:tc>
          <w:tcPr>
            <w:tcW w:w="3772" w:type="pct"/>
            <w:vAlign w:val="center"/>
          </w:tcPr>
          <w:p w14:paraId="56929A7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AC220V ±5%</w:t>
            </w:r>
          </w:p>
        </w:tc>
      </w:tr>
      <w:tr w14:paraId="38035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3FB2F58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额定功率</w:t>
            </w:r>
          </w:p>
        </w:tc>
        <w:tc>
          <w:tcPr>
            <w:tcW w:w="3772" w:type="pct"/>
            <w:vAlign w:val="center"/>
          </w:tcPr>
          <w:p w14:paraId="2E75877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1.9kw</w:t>
            </w:r>
          </w:p>
        </w:tc>
      </w:tr>
      <w:tr w14:paraId="41FB5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37578D2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环境湿度</w:t>
            </w:r>
          </w:p>
        </w:tc>
        <w:tc>
          <w:tcPr>
            <w:tcW w:w="3772" w:type="pct"/>
            <w:vAlign w:val="center"/>
          </w:tcPr>
          <w:p w14:paraId="3012DAE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w:t>
            </w:r>
            <w:r>
              <w:rPr>
                <w:rFonts w:hint="eastAsia" w:ascii="方正仿宋_GB2312" w:hAnsi="方正仿宋_GB2312" w:eastAsia="方正仿宋_GB2312" w:cs="方正仿宋_GB2312"/>
                <w:spacing w:val="14"/>
                <w:sz w:val="32"/>
                <w:szCs w:val="32"/>
                <w:lang w:val="en-US" w:eastAsia="zh-CN"/>
              </w:rPr>
              <w:t>90</w:t>
            </w:r>
            <w:r>
              <w:rPr>
                <w:rFonts w:hint="default" w:ascii="方正仿宋_GB2312" w:hAnsi="方正仿宋_GB2312" w:eastAsia="方正仿宋_GB2312" w:cs="方正仿宋_GB2312"/>
                <w:spacing w:val="14"/>
                <w:sz w:val="32"/>
                <w:szCs w:val="32"/>
                <w:lang w:val="en-US" w:eastAsia="zh-CN"/>
              </w:rPr>
              <w:t>%</w:t>
            </w:r>
          </w:p>
        </w:tc>
      </w:tr>
      <w:tr w14:paraId="007A7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563375B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设备尺寸</w:t>
            </w:r>
          </w:p>
        </w:tc>
        <w:tc>
          <w:tcPr>
            <w:tcW w:w="3772" w:type="pct"/>
            <w:vAlign w:val="center"/>
          </w:tcPr>
          <w:p w14:paraId="14D9DF9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单站60</w:t>
            </w:r>
            <w:r>
              <w:rPr>
                <w:rFonts w:hint="default" w:ascii="方正仿宋_GB2312" w:hAnsi="方正仿宋_GB2312" w:eastAsia="方正仿宋_GB2312" w:cs="方正仿宋_GB2312"/>
                <w:spacing w:val="14"/>
                <w:sz w:val="32"/>
                <w:szCs w:val="32"/>
                <w:lang w:val="en-US" w:eastAsia="zh-CN"/>
              </w:rPr>
              <w:t>0</w:t>
            </w:r>
            <w:r>
              <w:rPr>
                <w:rFonts w:hint="eastAsia" w:ascii="方正仿宋_GB2312" w:hAnsi="方正仿宋_GB2312" w:eastAsia="方正仿宋_GB2312" w:cs="方正仿宋_GB2312"/>
                <w:spacing w:val="14"/>
                <w:sz w:val="32"/>
                <w:szCs w:val="32"/>
                <w:lang w:val="en-US" w:eastAsia="zh-CN"/>
              </w:rPr>
              <w:t>m</w:t>
            </w:r>
            <w:r>
              <w:rPr>
                <w:rFonts w:hint="default" w:ascii="方正仿宋_GB2312" w:hAnsi="方正仿宋_GB2312" w:eastAsia="方正仿宋_GB2312" w:cs="方正仿宋_GB2312"/>
                <w:spacing w:val="14"/>
                <w:sz w:val="32"/>
                <w:szCs w:val="32"/>
                <w:lang w:val="en-US" w:eastAsia="zh-CN"/>
              </w:rPr>
              <w:t>m×7</w:t>
            </w:r>
            <w:r>
              <w:rPr>
                <w:rFonts w:hint="eastAsia" w:ascii="方正仿宋_GB2312" w:hAnsi="方正仿宋_GB2312" w:eastAsia="方正仿宋_GB2312" w:cs="方正仿宋_GB2312"/>
                <w:spacing w:val="14"/>
                <w:sz w:val="32"/>
                <w:szCs w:val="32"/>
                <w:lang w:val="en-US" w:eastAsia="zh-CN"/>
              </w:rPr>
              <w:t>00m</w:t>
            </w:r>
            <w:r>
              <w:rPr>
                <w:rFonts w:hint="default" w:ascii="方正仿宋_GB2312" w:hAnsi="方正仿宋_GB2312" w:eastAsia="方正仿宋_GB2312" w:cs="方正仿宋_GB2312"/>
                <w:spacing w:val="14"/>
                <w:sz w:val="32"/>
                <w:szCs w:val="32"/>
                <w:lang w:val="en-US" w:eastAsia="zh-CN"/>
              </w:rPr>
              <w:t>m×150</w:t>
            </w:r>
            <w:r>
              <w:rPr>
                <w:rFonts w:hint="eastAsia" w:ascii="方正仿宋_GB2312" w:hAnsi="方正仿宋_GB2312" w:eastAsia="方正仿宋_GB2312" w:cs="方正仿宋_GB2312"/>
                <w:spacing w:val="14"/>
                <w:sz w:val="32"/>
                <w:szCs w:val="32"/>
                <w:lang w:val="en-US" w:eastAsia="zh-CN"/>
              </w:rPr>
              <w:t>0m</w:t>
            </w:r>
            <w:r>
              <w:rPr>
                <w:rFonts w:hint="default" w:ascii="方正仿宋_GB2312" w:hAnsi="方正仿宋_GB2312" w:eastAsia="方正仿宋_GB2312" w:cs="方正仿宋_GB2312"/>
                <w:spacing w:val="14"/>
                <w:sz w:val="32"/>
                <w:szCs w:val="32"/>
                <w:lang w:val="en-US" w:eastAsia="zh-CN"/>
              </w:rPr>
              <w:t>m(长×宽×高)</w:t>
            </w:r>
          </w:p>
        </w:tc>
      </w:tr>
      <w:tr w14:paraId="67965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633C74A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安全保护功能</w:t>
            </w:r>
          </w:p>
        </w:tc>
        <w:tc>
          <w:tcPr>
            <w:tcW w:w="3772" w:type="pct"/>
            <w:vAlign w:val="center"/>
          </w:tcPr>
          <w:p w14:paraId="545AED9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急停按钮，漏电保护，过流保护</w:t>
            </w:r>
          </w:p>
        </w:tc>
      </w:tr>
      <w:tr w14:paraId="050E7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0CB4279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PLC</w:t>
            </w:r>
          </w:p>
        </w:tc>
        <w:tc>
          <w:tcPr>
            <w:tcW w:w="3772" w:type="pct"/>
            <w:vAlign w:val="center"/>
          </w:tcPr>
          <w:p w14:paraId="78C317E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西门子1200</w:t>
            </w:r>
            <w:r>
              <w:rPr>
                <w:rFonts w:hint="default" w:ascii="方正仿宋_GB2312" w:hAnsi="方正仿宋_GB2312" w:eastAsia="方正仿宋_GB2312" w:cs="方正仿宋_GB2312"/>
                <w:spacing w:val="14"/>
                <w:sz w:val="32"/>
                <w:szCs w:val="32"/>
                <w:lang w:val="en-US" w:eastAsia="zh-CN"/>
              </w:rPr>
              <w:t>系列</w:t>
            </w:r>
          </w:p>
        </w:tc>
      </w:tr>
      <w:tr w14:paraId="4A008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6CBDF1D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触摸屏</w:t>
            </w:r>
          </w:p>
        </w:tc>
        <w:tc>
          <w:tcPr>
            <w:tcW w:w="3772" w:type="pct"/>
            <w:vAlign w:val="center"/>
          </w:tcPr>
          <w:p w14:paraId="4A7F4A1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型号：KTP700（7寸彩屏）</w:t>
            </w:r>
          </w:p>
        </w:tc>
      </w:tr>
      <w:tr w14:paraId="2F2A1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05A6520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伺服系统驱动器</w:t>
            </w:r>
          </w:p>
        </w:tc>
        <w:tc>
          <w:tcPr>
            <w:tcW w:w="3772" w:type="pct"/>
            <w:vAlign w:val="center"/>
          </w:tcPr>
          <w:p w14:paraId="0BFE9DC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西门子V90</w:t>
            </w:r>
          </w:p>
        </w:tc>
      </w:tr>
      <w:tr w14:paraId="51091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27C0369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变频器</w:t>
            </w:r>
          </w:p>
        </w:tc>
        <w:tc>
          <w:tcPr>
            <w:tcW w:w="3772" w:type="pct"/>
            <w:vAlign w:val="center"/>
          </w:tcPr>
          <w:p w14:paraId="238DA22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西门子G120变频器</w:t>
            </w:r>
          </w:p>
        </w:tc>
      </w:tr>
      <w:tr w14:paraId="23F1B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04D97B8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步进系统驱动器</w:t>
            </w:r>
          </w:p>
        </w:tc>
        <w:tc>
          <w:tcPr>
            <w:tcW w:w="3772" w:type="pct"/>
            <w:vAlign w:val="center"/>
          </w:tcPr>
          <w:p w14:paraId="7722534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雷赛DM422S</w:t>
            </w:r>
          </w:p>
        </w:tc>
      </w:tr>
      <w:tr w14:paraId="6C914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07279D9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工业机器人</w:t>
            </w:r>
          </w:p>
        </w:tc>
        <w:tc>
          <w:tcPr>
            <w:tcW w:w="3772" w:type="pct"/>
            <w:vAlign w:val="center"/>
          </w:tcPr>
          <w:p w14:paraId="1CFB954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6轴机器人，型号：IRB 120 ,3kg，0.58米,控制器 IRC5</w:t>
            </w:r>
          </w:p>
        </w:tc>
      </w:tr>
      <w:tr w14:paraId="4ED35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7" w:type="pct"/>
            <w:vAlign w:val="center"/>
          </w:tcPr>
          <w:p w14:paraId="7816777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平台软件</w:t>
            </w:r>
          </w:p>
        </w:tc>
        <w:tc>
          <w:tcPr>
            <w:tcW w:w="3772" w:type="pct"/>
            <w:vAlign w:val="center"/>
          </w:tcPr>
          <w:p w14:paraId="0AFB886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eastAsia"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计算机操作系统：Win10、Win1</w:t>
            </w:r>
            <w:r>
              <w:rPr>
                <w:rFonts w:hint="eastAsia" w:ascii="方正仿宋_GB2312" w:hAnsi="方正仿宋_GB2312" w:eastAsia="方正仿宋_GB2312" w:cs="方正仿宋_GB2312"/>
                <w:spacing w:val="14"/>
                <w:sz w:val="32"/>
                <w:szCs w:val="32"/>
                <w:lang w:val="en-US" w:eastAsia="zh-CN"/>
              </w:rPr>
              <w:t>1</w:t>
            </w:r>
          </w:p>
          <w:p w14:paraId="55E33ED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PLC编程软件</w:t>
            </w:r>
            <w:r>
              <w:rPr>
                <w:rFonts w:hint="eastAsia" w:ascii="方正仿宋_GB2312" w:hAnsi="方正仿宋_GB2312" w:eastAsia="方正仿宋_GB2312" w:cs="方正仿宋_GB2312"/>
                <w:spacing w:val="14"/>
                <w:sz w:val="32"/>
                <w:szCs w:val="32"/>
                <w:lang w:val="en-US" w:eastAsia="zh-CN"/>
              </w:rPr>
              <w:t>：博途V18</w:t>
            </w:r>
          </w:p>
          <w:p w14:paraId="45B6B82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办公软件：WPS office</w:t>
            </w:r>
          </w:p>
          <w:p w14:paraId="3207C2C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32"/>
                <w:szCs w:val="32"/>
                <w:lang w:val="en-US" w:eastAsia="zh-CN"/>
              </w:rPr>
            </w:pPr>
            <w:r>
              <w:rPr>
                <w:rFonts w:hint="default" w:ascii="方正仿宋_GB2312" w:hAnsi="方正仿宋_GB2312" w:eastAsia="方正仿宋_GB2312" w:cs="方正仿宋_GB2312"/>
                <w:spacing w:val="14"/>
                <w:sz w:val="32"/>
                <w:szCs w:val="32"/>
                <w:lang w:val="en-US" w:eastAsia="zh-CN"/>
              </w:rPr>
              <w:t>阅读器：PDF阅读器</w:t>
            </w:r>
          </w:p>
        </w:tc>
      </w:tr>
    </w:tbl>
    <w:p w14:paraId="394F249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（四）工装夹具</w:t>
      </w:r>
    </w:p>
    <w:tbl>
      <w:tblPr>
        <w:tblStyle w:val="10"/>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68"/>
        <w:gridCol w:w="2870"/>
        <w:gridCol w:w="4811"/>
      </w:tblGrid>
      <w:tr w14:paraId="36E7EA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660" w:type="pct"/>
            <w:vAlign w:val="top"/>
          </w:tcPr>
          <w:p w14:paraId="0EE8071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序号</w:t>
            </w:r>
          </w:p>
        </w:tc>
        <w:tc>
          <w:tcPr>
            <w:tcW w:w="1621" w:type="pct"/>
            <w:vAlign w:val="top"/>
          </w:tcPr>
          <w:p w14:paraId="7E33AC8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物料名称</w:t>
            </w:r>
          </w:p>
        </w:tc>
        <w:tc>
          <w:tcPr>
            <w:tcW w:w="2717" w:type="pct"/>
            <w:vAlign w:val="top"/>
          </w:tcPr>
          <w:p w14:paraId="2240E7C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规格型号</w:t>
            </w:r>
          </w:p>
        </w:tc>
      </w:tr>
      <w:tr w14:paraId="1DB34F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660" w:type="pct"/>
            <w:vAlign w:val="top"/>
          </w:tcPr>
          <w:p w14:paraId="12EFBFF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w:t>
            </w:r>
          </w:p>
        </w:tc>
        <w:tc>
          <w:tcPr>
            <w:tcW w:w="1621" w:type="pct"/>
            <w:vAlign w:val="top"/>
          </w:tcPr>
          <w:p w14:paraId="48704AB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数字万用表</w:t>
            </w:r>
          </w:p>
        </w:tc>
        <w:tc>
          <w:tcPr>
            <w:tcW w:w="2717" w:type="pct"/>
            <w:vAlign w:val="top"/>
          </w:tcPr>
          <w:p w14:paraId="46811F7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p>
        </w:tc>
      </w:tr>
      <w:tr w14:paraId="479E4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660" w:type="pct"/>
            <w:vAlign w:val="top"/>
          </w:tcPr>
          <w:p w14:paraId="644071A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2</w:t>
            </w:r>
          </w:p>
        </w:tc>
        <w:tc>
          <w:tcPr>
            <w:tcW w:w="1621" w:type="pct"/>
            <w:vAlign w:val="top"/>
          </w:tcPr>
          <w:p w14:paraId="2DC0F88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尖嘴钳</w:t>
            </w:r>
          </w:p>
        </w:tc>
        <w:tc>
          <w:tcPr>
            <w:tcW w:w="2717" w:type="pct"/>
            <w:vAlign w:val="top"/>
          </w:tcPr>
          <w:p w14:paraId="11E5143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6寸</w:t>
            </w:r>
          </w:p>
        </w:tc>
      </w:tr>
      <w:tr w14:paraId="43419F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660" w:type="pct"/>
            <w:vAlign w:val="top"/>
          </w:tcPr>
          <w:p w14:paraId="1569941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3</w:t>
            </w:r>
          </w:p>
        </w:tc>
        <w:tc>
          <w:tcPr>
            <w:tcW w:w="1621" w:type="pct"/>
            <w:vAlign w:val="top"/>
          </w:tcPr>
          <w:p w14:paraId="07C76C9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斜口钳</w:t>
            </w:r>
          </w:p>
        </w:tc>
        <w:tc>
          <w:tcPr>
            <w:tcW w:w="2717" w:type="pct"/>
            <w:vAlign w:val="top"/>
          </w:tcPr>
          <w:p w14:paraId="29E3360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6寸</w:t>
            </w:r>
          </w:p>
        </w:tc>
      </w:tr>
      <w:tr w14:paraId="7E77BA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7" w:hRule="atLeast"/>
        </w:trPr>
        <w:tc>
          <w:tcPr>
            <w:tcW w:w="660" w:type="pct"/>
            <w:vAlign w:val="top"/>
          </w:tcPr>
          <w:p w14:paraId="4F543B1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4</w:t>
            </w:r>
          </w:p>
        </w:tc>
        <w:tc>
          <w:tcPr>
            <w:tcW w:w="1621" w:type="pct"/>
            <w:vAlign w:val="top"/>
          </w:tcPr>
          <w:p w14:paraId="56B376D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老虎钳</w:t>
            </w:r>
          </w:p>
        </w:tc>
        <w:tc>
          <w:tcPr>
            <w:tcW w:w="2717" w:type="pct"/>
            <w:vAlign w:val="top"/>
          </w:tcPr>
          <w:p w14:paraId="2D90F65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8寸</w:t>
            </w:r>
          </w:p>
        </w:tc>
      </w:tr>
      <w:tr w14:paraId="06769C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660" w:type="pct"/>
            <w:vAlign w:val="top"/>
          </w:tcPr>
          <w:p w14:paraId="7D7E3A1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5</w:t>
            </w:r>
          </w:p>
        </w:tc>
        <w:tc>
          <w:tcPr>
            <w:tcW w:w="1621" w:type="pct"/>
            <w:vAlign w:val="top"/>
          </w:tcPr>
          <w:p w14:paraId="08EB17B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螺丝刀</w:t>
            </w:r>
          </w:p>
        </w:tc>
        <w:tc>
          <w:tcPr>
            <w:tcW w:w="2717" w:type="pct"/>
            <w:vAlign w:val="top"/>
          </w:tcPr>
          <w:p w14:paraId="02A062E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大十字(6.0*100mm)</w:t>
            </w:r>
          </w:p>
        </w:tc>
      </w:tr>
      <w:tr w14:paraId="07560B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660" w:type="pct"/>
            <w:vAlign w:val="top"/>
          </w:tcPr>
          <w:p w14:paraId="4CF74B8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6</w:t>
            </w:r>
          </w:p>
        </w:tc>
        <w:tc>
          <w:tcPr>
            <w:tcW w:w="1621" w:type="pct"/>
            <w:vAlign w:val="top"/>
          </w:tcPr>
          <w:p w14:paraId="2EFD907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螺丝刀</w:t>
            </w:r>
          </w:p>
        </w:tc>
        <w:tc>
          <w:tcPr>
            <w:tcW w:w="2717" w:type="pct"/>
            <w:vAlign w:val="top"/>
          </w:tcPr>
          <w:p w14:paraId="44EE9F6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大一字(6.0*100mm)</w:t>
            </w:r>
          </w:p>
        </w:tc>
      </w:tr>
      <w:tr w14:paraId="13DBE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660" w:type="pct"/>
            <w:vAlign w:val="top"/>
          </w:tcPr>
          <w:p w14:paraId="0B7886A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7</w:t>
            </w:r>
          </w:p>
        </w:tc>
        <w:tc>
          <w:tcPr>
            <w:tcW w:w="1621" w:type="pct"/>
            <w:vAlign w:val="top"/>
          </w:tcPr>
          <w:p w14:paraId="2CDB44F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螺丝刀</w:t>
            </w:r>
          </w:p>
        </w:tc>
        <w:tc>
          <w:tcPr>
            <w:tcW w:w="2717" w:type="pct"/>
            <w:vAlign w:val="top"/>
          </w:tcPr>
          <w:p w14:paraId="0AD32A6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小十字(3.0*75mm)</w:t>
            </w:r>
          </w:p>
        </w:tc>
      </w:tr>
      <w:tr w14:paraId="14EFCC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660" w:type="pct"/>
            <w:vAlign w:val="top"/>
          </w:tcPr>
          <w:p w14:paraId="71616F9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8</w:t>
            </w:r>
          </w:p>
        </w:tc>
        <w:tc>
          <w:tcPr>
            <w:tcW w:w="1621" w:type="pct"/>
            <w:vAlign w:val="top"/>
          </w:tcPr>
          <w:p w14:paraId="22894F8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螺丝刀</w:t>
            </w:r>
          </w:p>
        </w:tc>
        <w:tc>
          <w:tcPr>
            <w:tcW w:w="2717" w:type="pct"/>
            <w:vAlign w:val="top"/>
          </w:tcPr>
          <w:p w14:paraId="624B973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小一字(3.0*75mm)</w:t>
            </w:r>
          </w:p>
        </w:tc>
      </w:tr>
      <w:tr w14:paraId="690802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7" w:hRule="atLeast"/>
        </w:trPr>
        <w:tc>
          <w:tcPr>
            <w:tcW w:w="660" w:type="pct"/>
            <w:vAlign w:val="top"/>
          </w:tcPr>
          <w:p w14:paraId="12812EA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9</w:t>
            </w:r>
          </w:p>
        </w:tc>
        <w:tc>
          <w:tcPr>
            <w:tcW w:w="1621" w:type="pct"/>
            <w:vAlign w:val="top"/>
          </w:tcPr>
          <w:p w14:paraId="44E41C4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内六角扳手</w:t>
            </w:r>
          </w:p>
        </w:tc>
        <w:tc>
          <w:tcPr>
            <w:tcW w:w="2717" w:type="pct"/>
            <w:vAlign w:val="top"/>
          </w:tcPr>
          <w:p w14:paraId="700223D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M1.5-M109件套</w:t>
            </w:r>
          </w:p>
        </w:tc>
      </w:tr>
      <w:tr w14:paraId="01EDDF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660" w:type="pct"/>
            <w:vAlign w:val="top"/>
          </w:tcPr>
          <w:p w14:paraId="7C6C6ED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10</w:t>
            </w:r>
          </w:p>
        </w:tc>
        <w:tc>
          <w:tcPr>
            <w:tcW w:w="1621" w:type="pct"/>
            <w:vAlign w:val="top"/>
          </w:tcPr>
          <w:p w14:paraId="572A5B5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卡簧钳</w:t>
            </w:r>
          </w:p>
        </w:tc>
        <w:tc>
          <w:tcPr>
            <w:tcW w:w="2717" w:type="pct"/>
            <w:vAlign w:val="top"/>
          </w:tcPr>
          <w:p w14:paraId="48A3324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轴用</w:t>
            </w:r>
          </w:p>
        </w:tc>
      </w:tr>
      <w:tr w14:paraId="69D38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660" w:type="pct"/>
            <w:vAlign w:val="top"/>
          </w:tcPr>
          <w:p w14:paraId="689DDA1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11</w:t>
            </w:r>
          </w:p>
        </w:tc>
        <w:tc>
          <w:tcPr>
            <w:tcW w:w="1621" w:type="pct"/>
            <w:vAlign w:val="top"/>
          </w:tcPr>
          <w:p w14:paraId="1C348A6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卡簧钳</w:t>
            </w:r>
          </w:p>
        </w:tc>
        <w:tc>
          <w:tcPr>
            <w:tcW w:w="2717" w:type="pct"/>
            <w:vAlign w:val="top"/>
          </w:tcPr>
          <w:p w14:paraId="123774E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孔用</w:t>
            </w:r>
          </w:p>
        </w:tc>
      </w:tr>
      <w:tr w14:paraId="00380C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660" w:type="pct"/>
            <w:vAlign w:val="top"/>
          </w:tcPr>
          <w:p w14:paraId="53E6EE1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12</w:t>
            </w:r>
          </w:p>
        </w:tc>
        <w:tc>
          <w:tcPr>
            <w:tcW w:w="1621" w:type="pct"/>
            <w:vAlign w:val="top"/>
          </w:tcPr>
          <w:p w14:paraId="1E4B328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钢直尺</w:t>
            </w:r>
          </w:p>
        </w:tc>
        <w:tc>
          <w:tcPr>
            <w:tcW w:w="2717" w:type="pct"/>
            <w:vAlign w:val="top"/>
          </w:tcPr>
          <w:p w14:paraId="7DB880F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500mm</w:t>
            </w:r>
          </w:p>
        </w:tc>
      </w:tr>
      <w:tr w14:paraId="7EDA8C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660" w:type="pct"/>
            <w:vAlign w:val="top"/>
          </w:tcPr>
          <w:p w14:paraId="7B73252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13</w:t>
            </w:r>
          </w:p>
        </w:tc>
        <w:tc>
          <w:tcPr>
            <w:tcW w:w="1621" w:type="pct"/>
            <w:vAlign w:val="top"/>
          </w:tcPr>
          <w:p w14:paraId="759B4F8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游标卡尺</w:t>
            </w:r>
          </w:p>
        </w:tc>
        <w:tc>
          <w:tcPr>
            <w:tcW w:w="2717" w:type="pct"/>
            <w:vAlign w:val="top"/>
          </w:tcPr>
          <w:p w14:paraId="2689B6D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0-150mm分度值0.02</w:t>
            </w:r>
          </w:p>
        </w:tc>
      </w:tr>
      <w:tr w14:paraId="7766D1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660" w:type="pct"/>
            <w:vAlign w:val="top"/>
          </w:tcPr>
          <w:p w14:paraId="5412876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14</w:t>
            </w:r>
          </w:p>
        </w:tc>
        <w:tc>
          <w:tcPr>
            <w:tcW w:w="1621" w:type="pct"/>
            <w:vAlign w:val="top"/>
          </w:tcPr>
          <w:p w14:paraId="244D1DE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卷尺</w:t>
            </w:r>
          </w:p>
        </w:tc>
        <w:tc>
          <w:tcPr>
            <w:tcW w:w="2717" w:type="pct"/>
            <w:vAlign w:val="top"/>
          </w:tcPr>
          <w:p w14:paraId="4D70D26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3m</w:t>
            </w:r>
          </w:p>
        </w:tc>
      </w:tr>
      <w:tr w14:paraId="51ED9E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660" w:type="pct"/>
            <w:vAlign w:val="top"/>
          </w:tcPr>
          <w:p w14:paraId="21B53BC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15</w:t>
            </w:r>
          </w:p>
        </w:tc>
        <w:tc>
          <w:tcPr>
            <w:tcW w:w="1621" w:type="pct"/>
            <w:vAlign w:val="top"/>
          </w:tcPr>
          <w:p w14:paraId="1F88B69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r>
              <w:rPr>
                <w:rFonts w:hint="eastAsia" w:ascii="方正仿宋_GB2312" w:hAnsi="方正仿宋_GB2312" w:eastAsia="方正仿宋_GB2312" w:cs="方正仿宋_GB2312"/>
                <w:spacing w:val="14"/>
                <w:sz w:val="32"/>
                <w:szCs w:val="32"/>
                <w:lang w:val="en-US" w:eastAsia="zh-CN"/>
              </w:rPr>
              <w:t>水平尺</w:t>
            </w:r>
          </w:p>
        </w:tc>
        <w:tc>
          <w:tcPr>
            <w:tcW w:w="2717" w:type="pct"/>
            <w:vAlign w:val="top"/>
          </w:tcPr>
          <w:p w14:paraId="4893093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eastAsia" w:ascii="方正仿宋_GB2312" w:hAnsi="方正仿宋_GB2312" w:eastAsia="方正仿宋_GB2312" w:cs="方正仿宋_GB2312"/>
                <w:spacing w:val="14"/>
                <w:sz w:val="32"/>
                <w:szCs w:val="32"/>
                <w:lang w:val="en-US" w:eastAsia="zh-CN"/>
              </w:rPr>
            </w:pPr>
          </w:p>
        </w:tc>
      </w:tr>
    </w:tbl>
    <w:p w14:paraId="71C05D2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99" w:firstLineChars="200"/>
        <w:jc w:val="both"/>
        <w:textAlignment w:val="auto"/>
        <w:rPr>
          <w:rFonts w:hint="default" w:ascii="方正仿宋_GB2312" w:hAnsi="方正仿宋_GB2312" w:eastAsia="方正仿宋_GB2312" w:cs="方正仿宋_GB2312"/>
          <w:b/>
          <w:bCs/>
          <w:spacing w:val="14"/>
          <w:sz w:val="32"/>
          <w:szCs w:val="32"/>
          <w:lang w:val="en-US" w:eastAsia="zh-CN"/>
        </w:rPr>
      </w:pPr>
      <w:r>
        <w:rPr>
          <w:rFonts w:hint="eastAsia" w:ascii="方正仿宋_GB2312" w:hAnsi="方正仿宋_GB2312" w:eastAsia="方正仿宋_GB2312" w:cs="方正仿宋_GB2312"/>
          <w:b/>
          <w:bCs/>
          <w:spacing w:val="14"/>
          <w:sz w:val="32"/>
          <w:szCs w:val="32"/>
          <w:lang w:val="en-US" w:eastAsia="zh-CN"/>
        </w:rPr>
        <w:t>注：最终以《竞赛指南》为准，可自带工装夹具。</w:t>
      </w:r>
    </w:p>
    <w:p w14:paraId="5996ED8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九、竞赛样题</w:t>
      </w:r>
    </w:p>
    <w:p w14:paraId="0BACF55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snapToGrid/>
          <w:color w:val="auto"/>
          <w:kern w:val="2"/>
          <w:sz w:val="32"/>
          <w:szCs w:val="32"/>
          <w:lang w:val="en-US" w:eastAsia="zh-CN"/>
        </w:rPr>
      </w:pPr>
      <w:r>
        <w:rPr>
          <w:rFonts w:hint="eastAsia" w:ascii="仿宋_GB2312" w:hAnsi="仿宋_GB2312" w:eastAsia="仿宋_GB2312" w:cs="仿宋_GB2312"/>
          <w:snapToGrid/>
          <w:color w:val="auto"/>
          <w:kern w:val="2"/>
          <w:sz w:val="32"/>
          <w:szCs w:val="32"/>
          <w:lang w:val="en-US" w:eastAsia="zh-CN"/>
        </w:rPr>
        <w:t>本赛项样题见附件。</w:t>
      </w:r>
    </w:p>
    <w:p w14:paraId="0EEEF0C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十、成绩评定</w:t>
      </w:r>
    </w:p>
    <w:p w14:paraId="7A10AED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default" w:ascii="方正楷体_GB2312" w:hAnsi="方正楷体_GB2312" w:eastAsia="方正楷体_GB2312" w:cs="方正楷体_GB2312"/>
          <w:b w:val="0"/>
          <w:bCs w:val="0"/>
          <w:snapToGrid/>
          <w:kern w:val="2"/>
          <w:sz w:val="32"/>
          <w:szCs w:val="32"/>
          <w:lang w:val="en-US" w:eastAsia="zh-CN"/>
        </w:rPr>
        <w:t>（一）评分标准的制定原则</w:t>
      </w:r>
    </w:p>
    <w:p w14:paraId="6F64367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default" w:ascii="仿宋_GB2312" w:hAnsi="仿宋_GB2312" w:eastAsia="仿宋_GB2312" w:cs="仿宋_GB2312"/>
          <w:snapToGrid/>
          <w:kern w:val="2"/>
          <w:sz w:val="32"/>
          <w:szCs w:val="32"/>
          <w:lang w:val="en-US" w:eastAsia="zh-CN"/>
        </w:rPr>
      </w:pPr>
      <w:r>
        <w:rPr>
          <w:rFonts w:hint="default" w:ascii="仿宋_GB2312" w:hAnsi="仿宋_GB2312" w:eastAsia="仿宋_GB2312" w:cs="仿宋_GB2312"/>
          <w:snapToGrid/>
          <w:kern w:val="2"/>
          <w:sz w:val="32"/>
          <w:szCs w:val="32"/>
          <w:lang w:val="en-US" w:eastAsia="zh-CN"/>
        </w:rPr>
        <w:t>按照世界技能大赛要求，依据参赛选手完成的情况实施综合评定。评定依据结合国家及行业的相关标准和规范，全面评价参赛选手职业能力的要求，本着“科学严谨、公正公平、可操作性强”的原则制定评分标准。</w:t>
      </w:r>
    </w:p>
    <w:p w14:paraId="20DE584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p>
    <w:p w14:paraId="41606E0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default" w:ascii="方正楷体_GB2312" w:hAnsi="方正楷体_GB2312" w:eastAsia="方正楷体_GB2312" w:cs="方正楷体_GB2312"/>
          <w:b w:val="0"/>
          <w:bCs w:val="0"/>
          <w:snapToGrid/>
          <w:kern w:val="2"/>
          <w:sz w:val="32"/>
          <w:szCs w:val="32"/>
          <w:lang w:val="en-US" w:eastAsia="zh-CN"/>
        </w:rPr>
        <w:t>（二）评分标准</w:t>
      </w:r>
    </w:p>
    <w:p w14:paraId="57A4AA0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default" w:ascii="仿宋_GB2312" w:hAnsi="仿宋_GB2312" w:eastAsia="仿宋_GB2312" w:cs="仿宋_GB2312"/>
          <w:snapToGrid/>
          <w:kern w:val="2"/>
          <w:sz w:val="32"/>
          <w:szCs w:val="32"/>
          <w:lang w:val="en-US" w:eastAsia="zh-CN"/>
        </w:rPr>
      </w:pPr>
      <w:r>
        <w:rPr>
          <w:rFonts w:hint="default" w:ascii="仿宋_GB2312" w:hAnsi="仿宋_GB2312" w:eastAsia="仿宋_GB2312" w:cs="仿宋_GB2312"/>
          <w:snapToGrid/>
          <w:kern w:val="2"/>
          <w:sz w:val="32"/>
          <w:szCs w:val="32"/>
          <w:lang w:val="en-US" w:eastAsia="zh-CN"/>
        </w:rPr>
        <w:t>比赛满分100分，分为三个模块、</w:t>
      </w:r>
      <w:r>
        <w:rPr>
          <w:rFonts w:hint="eastAsia" w:ascii="仿宋_GB2312" w:hAnsi="仿宋_GB2312" w:eastAsia="仿宋_GB2312" w:cs="仿宋_GB2312"/>
          <w:snapToGrid/>
          <w:kern w:val="2"/>
          <w:sz w:val="32"/>
          <w:szCs w:val="32"/>
          <w:lang w:val="en-US" w:eastAsia="zh-CN"/>
        </w:rPr>
        <w:t>五</w:t>
      </w:r>
      <w:r>
        <w:rPr>
          <w:rFonts w:hint="default" w:ascii="仿宋_GB2312" w:hAnsi="仿宋_GB2312" w:eastAsia="仿宋_GB2312" w:cs="仿宋_GB2312"/>
          <w:snapToGrid/>
          <w:kern w:val="2"/>
          <w:sz w:val="32"/>
          <w:szCs w:val="32"/>
          <w:lang w:val="en-US" w:eastAsia="zh-CN"/>
        </w:rPr>
        <w:t>个任务，计分时精确到小数点后两位，详细评分细则如下：</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944"/>
        <w:gridCol w:w="745"/>
        <w:gridCol w:w="3189"/>
        <w:gridCol w:w="1353"/>
        <w:gridCol w:w="918"/>
      </w:tblGrid>
      <w:tr w14:paraId="5E805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6" w:hRule="atLeast"/>
          <w:tblHeader/>
          <w:jc w:val="center"/>
        </w:trPr>
        <w:tc>
          <w:tcPr>
            <w:tcW w:w="503" w:type="pct"/>
            <w:vAlign w:val="center"/>
          </w:tcPr>
          <w:p w14:paraId="6DD8665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模块</w:t>
            </w:r>
          </w:p>
        </w:tc>
        <w:tc>
          <w:tcPr>
            <w:tcW w:w="1072" w:type="pct"/>
            <w:vAlign w:val="center"/>
          </w:tcPr>
          <w:p w14:paraId="032A159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试题任务</w:t>
            </w:r>
          </w:p>
        </w:tc>
        <w:tc>
          <w:tcPr>
            <w:tcW w:w="411" w:type="pct"/>
            <w:vAlign w:val="center"/>
          </w:tcPr>
          <w:p w14:paraId="4F439F2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比例</w:t>
            </w:r>
          </w:p>
        </w:tc>
        <w:tc>
          <w:tcPr>
            <w:tcW w:w="1759" w:type="pct"/>
            <w:vAlign w:val="center"/>
          </w:tcPr>
          <w:p w14:paraId="0AF9E6F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评分要求</w:t>
            </w:r>
          </w:p>
        </w:tc>
        <w:tc>
          <w:tcPr>
            <w:tcW w:w="746" w:type="pct"/>
            <w:vAlign w:val="center"/>
          </w:tcPr>
          <w:p w14:paraId="3B7A8BD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评分方式</w:t>
            </w:r>
          </w:p>
        </w:tc>
        <w:tc>
          <w:tcPr>
            <w:tcW w:w="506" w:type="pct"/>
            <w:vAlign w:val="center"/>
          </w:tcPr>
          <w:p w14:paraId="2947F19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分数比</w:t>
            </w:r>
            <w:r>
              <w:rPr>
                <w:rFonts w:hint="eastAsia" w:ascii="方正仿宋_GB2312" w:hAnsi="方正仿宋_GB2312" w:eastAsia="方正仿宋_GB2312" w:cs="方正仿宋_GB2312"/>
                <w:spacing w:val="14"/>
                <w:sz w:val="24"/>
                <w:szCs w:val="24"/>
                <w:lang w:val="en-US" w:eastAsia="zh-CN"/>
              </w:rPr>
              <w:t xml:space="preserve"> </w:t>
            </w:r>
            <w:r>
              <w:rPr>
                <w:rFonts w:hint="default" w:ascii="方正仿宋_GB2312" w:hAnsi="方正仿宋_GB2312" w:eastAsia="方正仿宋_GB2312" w:cs="方正仿宋_GB2312"/>
                <w:spacing w:val="14"/>
                <w:sz w:val="24"/>
                <w:szCs w:val="24"/>
                <w:lang w:val="en-US" w:eastAsia="zh-CN"/>
              </w:rPr>
              <w:t>重</w:t>
            </w:r>
          </w:p>
        </w:tc>
      </w:tr>
      <w:tr w14:paraId="49044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restart"/>
            <w:vAlign w:val="center"/>
          </w:tcPr>
          <w:p w14:paraId="01691CB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模块一</w:t>
            </w:r>
          </w:p>
        </w:tc>
        <w:tc>
          <w:tcPr>
            <w:tcW w:w="1072" w:type="pct"/>
            <w:vMerge w:val="restart"/>
            <w:vAlign w:val="center"/>
          </w:tcPr>
          <w:p w14:paraId="163A793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任务 1：</w:t>
            </w:r>
          </w:p>
          <w:p w14:paraId="79D6387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单元机械装调</w:t>
            </w:r>
          </w:p>
        </w:tc>
        <w:tc>
          <w:tcPr>
            <w:tcW w:w="411" w:type="pct"/>
            <w:vMerge w:val="restart"/>
            <w:vAlign w:val="center"/>
          </w:tcPr>
          <w:p w14:paraId="73267F2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2</w:t>
            </w:r>
            <w:r>
              <w:rPr>
                <w:rFonts w:hint="eastAsia" w:ascii="方正仿宋_GB2312" w:hAnsi="方正仿宋_GB2312" w:eastAsia="方正仿宋_GB2312" w:cs="方正仿宋_GB2312"/>
                <w:spacing w:val="14"/>
                <w:sz w:val="24"/>
                <w:szCs w:val="24"/>
                <w:lang w:val="en-US" w:eastAsia="zh-CN"/>
              </w:rPr>
              <w:t>0</w:t>
            </w:r>
            <w:r>
              <w:rPr>
                <w:rFonts w:hint="default" w:ascii="方正仿宋_GB2312" w:hAnsi="方正仿宋_GB2312" w:eastAsia="方正仿宋_GB2312" w:cs="方正仿宋_GB2312"/>
                <w:spacing w:val="14"/>
                <w:sz w:val="24"/>
                <w:szCs w:val="24"/>
                <w:lang w:val="en-US" w:eastAsia="zh-CN"/>
              </w:rPr>
              <w:t>%</w:t>
            </w:r>
          </w:p>
        </w:tc>
        <w:tc>
          <w:tcPr>
            <w:tcW w:w="1759" w:type="pct"/>
            <w:vAlign w:val="center"/>
          </w:tcPr>
          <w:p w14:paraId="31243CB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元件装配完整性</w:t>
            </w:r>
          </w:p>
        </w:tc>
        <w:tc>
          <w:tcPr>
            <w:tcW w:w="746" w:type="pct"/>
            <w:vAlign w:val="center"/>
          </w:tcPr>
          <w:p w14:paraId="085AB5D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506" w:type="pct"/>
            <w:vAlign w:val="center"/>
          </w:tcPr>
          <w:p w14:paraId="22BD014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10%</w:t>
            </w:r>
          </w:p>
        </w:tc>
      </w:tr>
      <w:tr w14:paraId="08833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blHeader/>
          <w:jc w:val="center"/>
        </w:trPr>
        <w:tc>
          <w:tcPr>
            <w:tcW w:w="503" w:type="pct"/>
            <w:vMerge w:val="continue"/>
            <w:vAlign w:val="center"/>
          </w:tcPr>
          <w:p w14:paraId="1F6FDC9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eastAsia" w:ascii="方正仿宋_GB2312" w:hAnsi="方正仿宋_GB2312" w:eastAsia="方正仿宋_GB2312" w:cs="方正仿宋_GB2312"/>
                <w:spacing w:val="14"/>
                <w:sz w:val="24"/>
                <w:szCs w:val="24"/>
                <w:lang w:val="en-US" w:eastAsia="zh-CN"/>
              </w:rPr>
            </w:pPr>
          </w:p>
        </w:tc>
        <w:tc>
          <w:tcPr>
            <w:tcW w:w="1072" w:type="pct"/>
            <w:vMerge w:val="continue"/>
            <w:vAlign w:val="center"/>
          </w:tcPr>
          <w:p w14:paraId="386639D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vAlign w:val="center"/>
          </w:tcPr>
          <w:p w14:paraId="7C70374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759" w:type="pct"/>
            <w:shd w:val="clear" w:color="auto" w:fill="auto"/>
            <w:vAlign w:val="center"/>
          </w:tcPr>
          <w:p w14:paraId="254C4B6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机械装配工艺与性能</w:t>
            </w:r>
          </w:p>
        </w:tc>
        <w:tc>
          <w:tcPr>
            <w:tcW w:w="746" w:type="pct"/>
            <w:shd w:val="clear" w:color="auto" w:fill="auto"/>
            <w:vAlign w:val="center"/>
          </w:tcPr>
          <w:p w14:paraId="2808049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506" w:type="pct"/>
            <w:shd w:val="clear" w:color="auto" w:fill="auto"/>
            <w:vAlign w:val="center"/>
          </w:tcPr>
          <w:p w14:paraId="7683259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center"/>
              <w:textAlignment w:val="auto"/>
              <w:rPr>
                <w:rFonts w:hint="default" w:ascii="方正仿宋_GB2312" w:hAnsi="方正仿宋_GB2312" w:eastAsia="方正仿宋_GB2312" w:cs="方正仿宋_GB2312"/>
                <w:snapToGrid w:val="0"/>
                <w:color w:val="000000"/>
                <w:spacing w:val="14"/>
                <w:kern w:val="0"/>
                <w:sz w:val="24"/>
                <w:szCs w:val="24"/>
                <w:lang w:val="en-US" w:eastAsia="zh-CN" w:bidi="ar-SA"/>
              </w:rPr>
            </w:pPr>
            <w:r>
              <w:rPr>
                <w:rFonts w:hint="eastAsia" w:ascii="方正仿宋_GB2312" w:hAnsi="方正仿宋_GB2312" w:eastAsia="方正仿宋_GB2312" w:cs="方正仿宋_GB2312"/>
                <w:spacing w:val="14"/>
                <w:sz w:val="24"/>
                <w:szCs w:val="24"/>
                <w:lang w:val="en-US" w:eastAsia="zh-CN"/>
              </w:rPr>
              <w:t>10</w:t>
            </w:r>
            <w:r>
              <w:rPr>
                <w:rFonts w:hint="default" w:ascii="方正仿宋_GB2312" w:hAnsi="方正仿宋_GB2312" w:eastAsia="方正仿宋_GB2312" w:cs="方正仿宋_GB2312"/>
                <w:spacing w:val="14"/>
                <w:sz w:val="24"/>
                <w:szCs w:val="24"/>
                <w:lang w:val="en-US" w:eastAsia="zh-CN"/>
              </w:rPr>
              <w:t>%</w:t>
            </w:r>
          </w:p>
        </w:tc>
      </w:tr>
      <w:tr w14:paraId="02D69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vAlign w:val="center"/>
          </w:tcPr>
          <w:p w14:paraId="65F2B1E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restart"/>
            <w:tcBorders>
              <w:left w:val="single" w:color="auto" w:sz="6" w:space="0"/>
              <w:bottom w:val="single" w:color="auto" w:sz="6" w:space="0"/>
              <w:right w:val="single" w:color="auto" w:sz="6" w:space="0"/>
            </w:tcBorders>
            <w:vAlign w:val="center"/>
          </w:tcPr>
          <w:p w14:paraId="327B820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任务 2：</w:t>
            </w:r>
          </w:p>
          <w:p w14:paraId="35058C8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单元电气连接</w:t>
            </w:r>
          </w:p>
          <w:p w14:paraId="5F49AE7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restart"/>
            <w:tcBorders>
              <w:left w:val="single" w:color="auto" w:sz="6" w:space="0"/>
              <w:bottom w:val="single" w:color="auto" w:sz="6" w:space="0"/>
              <w:right w:val="single" w:color="auto" w:sz="6" w:space="0"/>
            </w:tcBorders>
            <w:vAlign w:val="center"/>
          </w:tcPr>
          <w:p w14:paraId="151A6E5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15</w:t>
            </w:r>
            <w:r>
              <w:rPr>
                <w:rFonts w:hint="default" w:ascii="方正仿宋_GB2312" w:hAnsi="方正仿宋_GB2312" w:eastAsia="方正仿宋_GB2312" w:cs="方正仿宋_GB2312"/>
                <w:spacing w:val="14"/>
                <w:sz w:val="24"/>
                <w:szCs w:val="24"/>
                <w:lang w:val="en-US" w:eastAsia="zh-CN"/>
              </w:rPr>
              <w:t>%</w:t>
            </w:r>
          </w:p>
        </w:tc>
        <w:tc>
          <w:tcPr>
            <w:tcW w:w="1759" w:type="pct"/>
            <w:tcBorders>
              <w:left w:val="single" w:color="auto" w:sz="6" w:space="0"/>
              <w:bottom w:val="single" w:color="auto" w:sz="6" w:space="0"/>
              <w:right w:val="single" w:color="auto" w:sz="6" w:space="0"/>
            </w:tcBorders>
            <w:vAlign w:val="top"/>
          </w:tcPr>
          <w:p w14:paraId="2E70509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电路连接I/O测试</w:t>
            </w:r>
          </w:p>
        </w:tc>
        <w:tc>
          <w:tcPr>
            <w:tcW w:w="746" w:type="pct"/>
            <w:tcBorders>
              <w:left w:val="single" w:color="auto" w:sz="6" w:space="0"/>
              <w:bottom w:val="single" w:color="auto" w:sz="6" w:space="0"/>
            </w:tcBorders>
            <w:vAlign w:val="center"/>
          </w:tcPr>
          <w:p w14:paraId="243D29F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506" w:type="pct"/>
            <w:tcBorders>
              <w:left w:val="single" w:color="auto" w:sz="6" w:space="0"/>
              <w:bottom w:val="single" w:color="auto" w:sz="6" w:space="0"/>
            </w:tcBorders>
            <w:vAlign w:val="center"/>
          </w:tcPr>
          <w:p w14:paraId="63F5DBC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5</w:t>
            </w:r>
            <w:r>
              <w:rPr>
                <w:rFonts w:hint="default" w:ascii="方正仿宋_GB2312" w:hAnsi="方正仿宋_GB2312" w:eastAsia="方正仿宋_GB2312" w:cs="方正仿宋_GB2312"/>
                <w:spacing w:val="14"/>
                <w:sz w:val="24"/>
                <w:szCs w:val="24"/>
                <w:lang w:val="en-US" w:eastAsia="zh-CN"/>
              </w:rPr>
              <w:t>%</w:t>
            </w:r>
          </w:p>
        </w:tc>
      </w:tr>
      <w:tr w14:paraId="4E437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vAlign w:val="center"/>
          </w:tcPr>
          <w:p w14:paraId="505B107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tcBorders>
              <w:top w:val="single" w:color="auto" w:sz="6" w:space="0"/>
              <w:left w:val="single" w:color="auto" w:sz="6" w:space="0"/>
              <w:bottom w:val="single" w:color="auto" w:sz="6" w:space="0"/>
              <w:right w:val="single" w:color="auto" w:sz="6" w:space="0"/>
            </w:tcBorders>
            <w:vAlign w:val="center"/>
          </w:tcPr>
          <w:p w14:paraId="70A332E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tcBorders>
              <w:top w:val="single" w:color="auto" w:sz="6" w:space="0"/>
              <w:left w:val="single" w:color="auto" w:sz="6" w:space="0"/>
              <w:bottom w:val="single" w:color="auto" w:sz="6" w:space="0"/>
              <w:right w:val="single" w:color="auto" w:sz="6" w:space="0"/>
            </w:tcBorders>
            <w:vAlign w:val="center"/>
          </w:tcPr>
          <w:p w14:paraId="5F69875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759" w:type="pct"/>
            <w:tcBorders>
              <w:top w:val="single" w:color="auto" w:sz="6" w:space="0"/>
              <w:left w:val="single" w:color="auto" w:sz="6" w:space="0"/>
              <w:bottom w:val="single" w:color="auto" w:sz="6" w:space="0"/>
              <w:right w:val="single" w:color="auto" w:sz="6" w:space="0"/>
            </w:tcBorders>
            <w:vAlign w:val="top"/>
          </w:tcPr>
          <w:p w14:paraId="2CF9577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电气连接正确性</w:t>
            </w:r>
          </w:p>
        </w:tc>
        <w:tc>
          <w:tcPr>
            <w:tcW w:w="746" w:type="pct"/>
            <w:tcBorders>
              <w:top w:val="single" w:color="auto" w:sz="6" w:space="0"/>
              <w:left w:val="single" w:color="auto" w:sz="6" w:space="0"/>
              <w:bottom w:val="single" w:color="auto" w:sz="6" w:space="0"/>
            </w:tcBorders>
            <w:vAlign w:val="center"/>
          </w:tcPr>
          <w:p w14:paraId="6A2B8FA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506" w:type="pct"/>
            <w:tcBorders>
              <w:top w:val="single" w:color="auto" w:sz="6" w:space="0"/>
              <w:left w:val="single" w:color="auto" w:sz="6" w:space="0"/>
              <w:bottom w:val="single" w:color="auto" w:sz="6" w:space="0"/>
            </w:tcBorders>
            <w:shd w:val="clear" w:color="auto" w:fill="auto"/>
            <w:vAlign w:val="center"/>
          </w:tcPr>
          <w:p w14:paraId="1D90D5C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center"/>
              <w:textAlignment w:val="auto"/>
              <w:rPr>
                <w:rFonts w:hint="eastAsia" w:ascii="方正仿宋_GB2312" w:hAnsi="方正仿宋_GB2312" w:eastAsia="方正仿宋_GB2312" w:cs="方正仿宋_GB2312"/>
                <w:snapToGrid w:val="0"/>
                <w:color w:val="000000"/>
                <w:spacing w:val="14"/>
                <w:kern w:val="0"/>
                <w:sz w:val="24"/>
                <w:szCs w:val="24"/>
                <w:lang w:val="en-US" w:eastAsia="zh-CN" w:bidi="ar-SA"/>
              </w:rPr>
            </w:pPr>
            <w:r>
              <w:rPr>
                <w:rFonts w:hint="eastAsia" w:ascii="方正仿宋_GB2312" w:hAnsi="方正仿宋_GB2312" w:eastAsia="方正仿宋_GB2312" w:cs="方正仿宋_GB2312"/>
                <w:spacing w:val="14"/>
                <w:sz w:val="24"/>
                <w:szCs w:val="24"/>
                <w:lang w:val="en-US" w:eastAsia="zh-CN"/>
              </w:rPr>
              <w:t>6</w:t>
            </w:r>
            <w:r>
              <w:rPr>
                <w:rFonts w:hint="default" w:ascii="方正仿宋_GB2312" w:hAnsi="方正仿宋_GB2312" w:eastAsia="方正仿宋_GB2312" w:cs="方正仿宋_GB2312"/>
                <w:spacing w:val="14"/>
                <w:sz w:val="24"/>
                <w:szCs w:val="24"/>
                <w:lang w:val="en-US" w:eastAsia="zh-CN"/>
              </w:rPr>
              <w:t>%</w:t>
            </w:r>
          </w:p>
        </w:tc>
      </w:tr>
      <w:tr w14:paraId="2736B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tcBorders>
              <w:bottom w:val="single" w:color="auto" w:sz="6" w:space="0"/>
            </w:tcBorders>
            <w:vAlign w:val="center"/>
          </w:tcPr>
          <w:p w14:paraId="297B709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tcBorders>
              <w:top w:val="single" w:color="auto" w:sz="6" w:space="0"/>
              <w:left w:val="single" w:color="auto" w:sz="6" w:space="0"/>
              <w:bottom w:val="single" w:color="auto" w:sz="6" w:space="0"/>
              <w:right w:val="single" w:color="auto" w:sz="6" w:space="0"/>
            </w:tcBorders>
            <w:vAlign w:val="center"/>
          </w:tcPr>
          <w:p w14:paraId="6FFE09F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tcBorders>
              <w:top w:val="single" w:color="auto" w:sz="6" w:space="0"/>
              <w:left w:val="single" w:color="auto" w:sz="6" w:space="0"/>
              <w:bottom w:val="single" w:color="auto" w:sz="6" w:space="0"/>
              <w:right w:val="single" w:color="auto" w:sz="6" w:space="0"/>
            </w:tcBorders>
            <w:vAlign w:val="center"/>
          </w:tcPr>
          <w:p w14:paraId="2221DE1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759" w:type="pct"/>
            <w:tcBorders>
              <w:top w:val="single" w:color="auto" w:sz="6" w:space="0"/>
              <w:left w:val="single" w:color="auto" w:sz="6" w:space="0"/>
              <w:bottom w:val="single" w:color="auto" w:sz="6" w:space="0"/>
              <w:right w:val="single" w:color="auto" w:sz="6" w:space="0"/>
            </w:tcBorders>
            <w:vAlign w:val="center"/>
          </w:tcPr>
          <w:p w14:paraId="58E8FB0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电气连接工艺</w:t>
            </w:r>
          </w:p>
        </w:tc>
        <w:tc>
          <w:tcPr>
            <w:tcW w:w="746" w:type="pct"/>
            <w:tcBorders>
              <w:top w:val="single" w:color="auto" w:sz="6" w:space="0"/>
              <w:left w:val="single" w:color="auto" w:sz="6" w:space="0"/>
              <w:bottom w:val="single" w:color="auto" w:sz="6" w:space="0"/>
            </w:tcBorders>
            <w:vAlign w:val="center"/>
          </w:tcPr>
          <w:p w14:paraId="02BB86C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506" w:type="pct"/>
            <w:tcBorders>
              <w:top w:val="single" w:color="auto" w:sz="6" w:space="0"/>
              <w:left w:val="single" w:color="auto" w:sz="6" w:space="0"/>
              <w:bottom w:val="single" w:color="auto" w:sz="6" w:space="0"/>
            </w:tcBorders>
            <w:shd w:val="clear" w:color="auto" w:fill="auto"/>
            <w:vAlign w:val="center"/>
          </w:tcPr>
          <w:p w14:paraId="24FB906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center"/>
              <w:textAlignment w:val="auto"/>
              <w:rPr>
                <w:rFonts w:hint="default" w:ascii="方正仿宋_GB2312" w:hAnsi="方正仿宋_GB2312" w:eastAsia="方正仿宋_GB2312" w:cs="方正仿宋_GB2312"/>
                <w:snapToGrid w:val="0"/>
                <w:color w:val="000000"/>
                <w:spacing w:val="14"/>
                <w:kern w:val="0"/>
                <w:sz w:val="24"/>
                <w:szCs w:val="24"/>
                <w:lang w:val="en-US" w:eastAsia="zh-CN" w:bidi="ar-SA"/>
              </w:rPr>
            </w:pPr>
            <w:r>
              <w:rPr>
                <w:rFonts w:hint="eastAsia" w:ascii="方正仿宋_GB2312" w:hAnsi="方正仿宋_GB2312" w:eastAsia="方正仿宋_GB2312" w:cs="方正仿宋_GB2312"/>
                <w:spacing w:val="14"/>
                <w:sz w:val="24"/>
                <w:szCs w:val="24"/>
                <w:lang w:val="en-US" w:eastAsia="zh-CN"/>
              </w:rPr>
              <w:t>4</w:t>
            </w:r>
            <w:r>
              <w:rPr>
                <w:rFonts w:hint="default" w:ascii="方正仿宋_GB2312" w:hAnsi="方正仿宋_GB2312" w:eastAsia="方正仿宋_GB2312" w:cs="方正仿宋_GB2312"/>
                <w:spacing w:val="14"/>
                <w:sz w:val="24"/>
                <w:szCs w:val="24"/>
                <w:lang w:val="en-US" w:eastAsia="zh-CN"/>
              </w:rPr>
              <w:t>%</w:t>
            </w:r>
          </w:p>
        </w:tc>
      </w:tr>
      <w:tr w14:paraId="3E07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restart"/>
            <w:tcBorders>
              <w:top w:val="single" w:color="auto" w:sz="6" w:space="0"/>
              <w:right w:val="single" w:color="auto" w:sz="6" w:space="0"/>
            </w:tcBorders>
            <w:vAlign w:val="center"/>
          </w:tcPr>
          <w:p w14:paraId="4513261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模块二</w:t>
            </w:r>
          </w:p>
        </w:tc>
        <w:tc>
          <w:tcPr>
            <w:tcW w:w="1072" w:type="pct"/>
            <w:vMerge w:val="restart"/>
            <w:tcBorders>
              <w:top w:val="single" w:color="auto" w:sz="6" w:space="0"/>
              <w:left w:val="single" w:color="auto" w:sz="6" w:space="0"/>
              <w:bottom w:val="single" w:color="auto" w:sz="6" w:space="0"/>
              <w:right w:val="single" w:color="auto" w:sz="6" w:space="0"/>
            </w:tcBorders>
            <w:vAlign w:val="center"/>
          </w:tcPr>
          <w:p w14:paraId="7B431D7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 xml:space="preserve">任务 </w:t>
            </w:r>
            <w:r>
              <w:rPr>
                <w:rFonts w:hint="eastAsia" w:ascii="方正仿宋_GB2312" w:hAnsi="方正仿宋_GB2312" w:eastAsia="方正仿宋_GB2312" w:cs="方正仿宋_GB2312"/>
                <w:spacing w:val="14"/>
                <w:sz w:val="24"/>
                <w:szCs w:val="24"/>
                <w:lang w:val="en-US" w:eastAsia="zh-CN"/>
              </w:rPr>
              <w:t>3</w:t>
            </w:r>
            <w:r>
              <w:rPr>
                <w:rFonts w:hint="default" w:ascii="方正仿宋_GB2312" w:hAnsi="方正仿宋_GB2312" w:eastAsia="方正仿宋_GB2312" w:cs="方正仿宋_GB2312"/>
                <w:spacing w:val="14"/>
                <w:sz w:val="24"/>
                <w:szCs w:val="24"/>
                <w:lang w:val="en-US" w:eastAsia="zh-CN"/>
              </w:rPr>
              <w:t>：</w:t>
            </w:r>
          </w:p>
          <w:p w14:paraId="5DFA740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单元编程调试</w:t>
            </w:r>
          </w:p>
          <w:p w14:paraId="2DF6234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restart"/>
            <w:tcBorders>
              <w:top w:val="single" w:color="auto" w:sz="6" w:space="0"/>
              <w:left w:val="single" w:color="auto" w:sz="6" w:space="0"/>
              <w:bottom w:val="single" w:color="auto" w:sz="6" w:space="0"/>
              <w:right w:val="single" w:color="auto" w:sz="6" w:space="0"/>
            </w:tcBorders>
            <w:vAlign w:val="center"/>
          </w:tcPr>
          <w:p w14:paraId="49D100C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45</w:t>
            </w:r>
            <w:r>
              <w:rPr>
                <w:rFonts w:hint="default" w:ascii="方正仿宋_GB2312" w:hAnsi="方正仿宋_GB2312" w:eastAsia="方正仿宋_GB2312" w:cs="方正仿宋_GB2312"/>
                <w:spacing w:val="14"/>
                <w:sz w:val="24"/>
                <w:szCs w:val="24"/>
                <w:lang w:val="en-US" w:eastAsia="zh-CN"/>
              </w:rPr>
              <w:t>%</w:t>
            </w:r>
          </w:p>
        </w:tc>
        <w:tc>
          <w:tcPr>
            <w:tcW w:w="1759" w:type="pct"/>
            <w:tcBorders>
              <w:top w:val="single" w:color="auto" w:sz="6" w:space="0"/>
              <w:left w:val="single" w:color="auto" w:sz="6" w:space="0"/>
              <w:bottom w:val="single" w:color="auto" w:sz="6" w:space="0"/>
              <w:right w:val="single" w:color="auto" w:sz="6" w:space="0"/>
            </w:tcBorders>
            <w:vAlign w:val="center"/>
          </w:tcPr>
          <w:p w14:paraId="5078D87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PLC功能编程与调试</w:t>
            </w:r>
          </w:p>
        </w:tc>
        <w:tc>
          <w:tcPr>
            <w:tcW w:w="746" w:type="pct"/>
            <w:tcBorders>
              <w:top w:val="single" w:color="auto" w:sz="6" w:space="0"/>
              <w:left w:val="single" w:color="auto" w:sz="6" w:space="0"/>
              <w:bottom w:val="single" w:color="auto" w:sz="6" w:space="0"/>
            </w:tcBorders>
            <w:vAlign w:val="center"/>
          </w:tcPr>
          <w:p w14:paraId="2CCE33C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506" w:type="pct"/>
            <w:tcBorders>
              <w:top w:val="single" w:color="auto" w:sz="6" w:space="0"/>
              <w:left w:val="single" w:color="auto" w:sz="6" w:space="0"/>
              <w:bottom w:val="single" w:color="auto" w:sz="6" w:space="0"/>
            </w:tcBorders>
            <w:vAlign w:val="center"/>
          </w:tcPr>
          <w:p w14:paraId="236AC03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25</w:t>
            </w:r>
            <w:r>
              <w:rPr>
                <w:rFonts w:hint="default" w:ascii="方正仿宋_GB2312" w:hAnsi="方正仿宋_GB2312" w:eastAsia="方正仿宋_GB2312" w:cs="方正仿宋_GB2312"/>
                <w:spacing w:val="14"/>
                <w:sz w:val="24"/>
                <w:szCs w:val="24"/>
                <w:lang w:val="en-US" w:eastAsia="zh-CN"/>
              </w:rPr>
              <w:t>%</w:t>
            </w:r>
          </w:p>
        </w:tc>
      </w:tr>
      <w:tr w14:paraId="18005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tcBorders>
              <w:right w:val="single" w:color="auto" w:sz="6" w:space="0"/>
            </w:tcBorders>
            <w:vAlign w:val="center"/>
          </w:tcPr>
          <w:p w14:paraId="1E54DA9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tcBorders>
              <w:top w:val="single" w:color="auto" w:sz="6" w:space="0"/>
              <w:left w:val="single" w:color="auto" w:sz="6" w:space="0"/>
              <w:bottom w:val="single" w:color="auto" w:sz="6" w:space="0"/>
              <w:right w:val="single" w:color="auto" w:sz="6" w:space="0"/>
            </w:tcBorders>
            <w:vAlign w:val="center"/>
          </w:tcPr>
          <w:p w14:paraId="0232E4E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tcBorders>
              <w:top w:val="single" w:color="auto" w:sz="6" w:space="0"/>
              <w:left w:val="single" w:color="auto" w:sz="6" w:space="0"/>
              <w:bottom w:val="single" w:color="auto" w:sz="6" w:space="0"/>
              <w:right w:val="single" w:color="auto" w:sz="6" w:space="0"/>
            </w:tcBorders>
            <w:vAlign w:val="center"/>
          </w:tcPr>
          <w:p w14:paraId="17E77BE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759" w:type="pct"/>
            <w:tcBorders>
              <w:top w:val="single" w:color="auto" w:sz="6" w:space="0"/>
              <w:left w:val="single" w:color="auto" w:sz="6" w:space="0"/>
              <w:bottom w:val="single" w:color="auto" w:sz="6" w:space="0"/>
              <w:right w:val="single" w:color="auto" w:sz="6" w:space="0"/>
            </w:tcBorders>
            <w:vAlign w:val="center"/>
          </w:tcPr>
          <w:p w14:paraId="0E3FEFE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机器人编程</w:t>
            </w:r>
          </w:p>
        </w:tc>
        <w:tc>
          <w:tcPr>
            <w:tcW w:w="746" w:type="pct"/>
            <w:tcBorders>
              <w:top w:val="single" w:color="auto" w:sz="6" w:space="0"/>
              <w:left w:val="single" w:color="auto" w:sz="6" w:space="0"/>
              <w:bottom w:val="single" w:color="auto" w:sz="6" w:space="0"/>
            </w:tcBorders>
            <w:vAlign w:val="center"/>
          </w:tcPr>
          <w:p w14:paraId="37F5327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506" w:type="pct"/>
            <w:tcBorders>
              <w:top w:val="single" w:color="auto" w:sz="6" w:space="0"/>
              <w:left w:val="single" w:color="auto" w:sz="6" w:space="0"/>
              <w:bottom w:val="single" w:color="auto" w:sz="6" w:space="0"/>
            </w:tcBorders>
            <w:vAlign w:val="center"/>
          </w:tcPr>
          <w:p w14:paraId="2DECD5C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10</w:t>
            </w:r>
            <w:r>
              <w:rPr>
                <w:rFonts w:hint="default" w:ascii="方正仿宋_GB2312" w:hAnsi="方正仿宋_GB2312" w:eastAsia="方正仿宋_GB2312" w:cs="方正仿宋_GB2312"/>
                <w:spacing w:val="14"/>
                <w:sz w:val="24"/>
                <w:szCs w:val="24"/>
                <w:lang w:val="en-US" w:eastAsia="zh-CN"/>
              </w:rPr>
              <w:t>%</w:t>
            </w:r>
          </w:p>
        </w:tc>
      </w:tr>
      <w:tr w14:paraId="2100F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tcBorders>
              <w:right w:val="single" w:color="auto" w:sz="6" w:space="0"/>
            </w:tcBorders>
            <w:vAlign w:val="center"/>
          </w:tcPr>
          <w:p w14:paraId="1217BAB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tcBorders>
              <w:top w:val="single" w:color="auto" w:sz="6" w:space="0"/>
              <w:left w:val="single" w:color="auto" w:sz="6" w:space="0"/>
              <w:bottom w:val="single" w:color="auto" w:sz="6" w:space="0"/>
              <w:right w:val="single" w:color="auto" w:sz="6" w:space="0"/>
            </w:tcBorders>
            <w:vAlign w:val="center"/>
          </w:tcPr>
          <w:p w14:paraId="20A2933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tcBorders>
              <w:top w:val="single" w:color="auto" w:sz="6" w:space="0"/>
              <w:left w:val="single" w:color="auto" w:sz="6" w:space="0"/>
              <w:bottom w:val="single" w:color="auto" w:sz="6" w:space="0"/>
              <w:right w:val="single" w:color="auto" w:sz="6" w:space="0"/>
            </w:tcBorders>
            <w:vAlign w:val="center"/>
          </w:tcPr>
          <w:p w14:paraId="49A85E8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759" w:type="pct"/>
            <w:tcBorders>
              <w:top w:val="single" w:color="auto" w:sz="6" w:space="0"/>
              <w:left w:val="single" w:color="auto" w:sz="6" w:space="0"/>
              <w:bottom w:val="single" w:color="auto" w:sz="6" w:space="0"/>
              <w:right w:val="single" w:color="auto" w:sz="6" w:space="0"/>
            </w:tcBorders>
            <w:vAlign w:val="center"/>
          </w:tcPr>
          <w:p w14:paraId="57C7CDB7">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传感器、变频器参数、伺服参数、步进电机参数设置与调试等</w:t>
            </w:r>
          </w:p>
        </w:tc>
        <w:tc>
          <w:tcPr>
            <w:tcW w:w="746" w:type="pct"/>
            <w:tcBorders>
              <w:top w:val="single" w:color="auto" w:sz="6" w:space="0"/>
              <w:left w:val="single" w:color="auto" w:sz="6" w:space="0"/>
              <w:bottom w:val="single" w:color="auto" w:sz="6" w:space="0"/>
            </w:tcBorders>
            <w:vAlign w:val="center"/>
          </w:tcPr>
          <w:p w14:paraId="0464212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506" w:type="pct"/>
            <w:tcBorders>
              <w:top w:val="single" w:color="auto" w:sz="6" w:space="0"/>
              <w:left w:val="single" w:color="auto" w:sz="6" w:space="0"/>
              <w:bottom w:val="single" w:color="auto" w:sz="6" w:space="0"/>
            </w:tcBorders>
            <w:vAlign w:val="center"/>
          </w:tcPr>
          <w:p w14:paraId="606DE89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10</w:t>
            </w:r>
            <w:r>
              <w:rPr>
                <w:rFonts w:hint="default" w:ascii="方正仿宋_GB2312" w:hAnsi="方正仿宋_GB2312" w:eastAsia="方正仿宋_GB2312" w:cs="方正仿宋_GB2312"/>
                <w:spacing w:val="14"/>
                <w:sz w:val="24"/>
                <w:szCs w:val="24"/>
                <w:lang w:val="en-US" w:eastAsia="zh-CN"/>
              </w:rPr>
              <w:t>%</w:t>
            </w:r>
          </w:p>
        </w:tc>
      </w:tr>
      <w:tr w14:paraId="7A226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tcBorders>
              <w:right w:val="single" w:color="auto" w:sz="6" w:space="0"/>
            </w:tcBorders>
            <w:vAlign w:val="center"/>
          </w:tcPr>
          <w:p w14:paraId="238217A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restart"/>
            <w:tcBorders>
              <w:top w:val="single" w:color="auto" w:sz="6" w:space="0"/>
              <w:left w:val="single" w:color="auto" w:sz="6" w:space="0"/>
              <w:bottom w:val="single" w:color="auto" w:sz="6" w:space="0"/>
              <w:right w:val="single" w:color="auto" w:sz="6" w:space="0"/>
            </w:tcBorders>
            <w:vAlign w:val="center"/>
          </w:tcPr>
          <w:p w14:paraId="3C6C8D9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ascii="仿宋" w:hAnsi="仿宋" w:eastAsia="仿宋" w:cs="仿宋"/>
                <w:snapToGrid w:val="0"/>
                <w:color w:val="000000"/>
                <w:kern w:val="0"/>
                <w:sz w:val="24"/>
                <w:szCs w:val="24"/>
                <w:lang w:val="en-US" w:eastAsia="zh-CN" w:bidi="ar"/>
              </w:rPr>
            </w:pPr>
            <w:r>
              <w:rPr>
                <w:rFonts w:ascii="仿宋" w:hAnsi="仿宋" w:eastAsia="仿宋" w:cs="仿宋"/>
                <w:snapToGrid w:val="0"/>
                <w:color w:val="000000"/>
                <w:kern w:val="0"/>
                <w:sz w:val="24"/>
                <w:szCs w:val="24"/>
                <w:lang w:val="en-US" w:eastAsia="zh-CN" w:bidi="ar"/>
              </w:rPr>
              <w:t xml:space="preserve">任务 </w:t>
            </w:r>
            <w:r>
              <w:rPr>
                <w:rFonts w:hint="eastAsia" w:ascii="仿宋" w:hAnsi="仿宋" w:eastAsia="仿宋" w:cs="仿宋"/>
                <w:snapToGrid w:val="0"/>
                <w:color w:val="000000"/>
                <w:kern w:val="0"/>
                <w:sz w:val="24"/>
                <w:szCs w:val="24"/>
                <w:lang w:val="en-US" w:eastAsia="zh-CN" w:bidi="ar"/>
              </w:rPr>
              <w:t>4</w:t>
            </w:r>
            <w:r>
              <w:rPr>
                <w:rFonts w:ascii="仿宋" w:hAnsi="仿宋" w:eastAsia="仿宋" w:cs="仿宋"/>
                <w:snapToGrid w:val="0"/>
                <w:color w:val="000000"/>
                <w:kern w:val="0"/>
                <w:sz w:val="24"/>
                <w:szCs w:val="24"/>
                <w:lang w:val="en-US" w:eastAsia="zh-CN" w:bidi="ar"/>
              </w:rPr>
              <w:t>：</w:t>
            </w:r>
          </w:p>
          <w:p w14:paraId="4D1415D1">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仿宋" w:hAnsi="仿宋" w:eastAsia="仿宋" w:cs="仿宋"/>
                <w:snapToGrid w:val="0"/>
                <w:color w:val="000000"/>
                <w:kern w:val="0"/>
                <w:sz w:val="24"/>
                <w:szCs w:val="24"/>
                <w:lang w:val="en-US" w:eastAsia="zh-CN" w:bidi="ar"/>
              </w:rPr>
              <w:t>系统程序优化与调试</w:t>
            </w:r>
          </w:p>
        </w:tc>
        <w:tc>
          <w:tcPr>
            <w:tcW w:w="411" w:type="pct"/>
            <w:vMerge w:val="restart"/>
            <w:tcBorders>
              <w:top w:val="single" w:color="auto" w:sz="6" w:space="0"/>
              <w:left w:val="single" w:color="auto" w:sz="6" w:space="0"/>
              <w:bottom w:val="single" w:color="auto" w:sz="6" w:space="0"/>
              <w:right w:val="single" w:color="auto" w:sz="6" w:space="0"/>
            </w:tcBorders>
            <w:vAlign w:val="center"/>
          </w:tcPr>
          <w:p w14:paraId="50D3B48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15</w:t>
            </w:r>
            <w:r>
              <w:rPr>
                <w:rFonts w:hint="default" w:ascii="方正仿宋_GB2312" w:hAnsi="方正仿宋_GB2312" w:eastAsia="方正仿宋_GB2312" w:cs="方正仿宋_GB2312"/>
                <w:spacing w:val="14"/>
                <w:sz w:val="24"/>
                <w:szCs w:val="24"/>
                <w:lang w:val="en-US" w:eastAsia="zh-CN"/>
              </w:rPr>
              <w:t>%</w:t>
            </w:r>
          </w:p>
        </w:tc>
        <w:tc>
          <w:tcPr>
            <w:tcW w:w="1759" w:type="pct"/>
            <w:tcBorders>
              <w:top w:val="single" w:color="auto" w:sz="6" w:space="0"/>
              <w:left w:val="single" w:color="auto" w:sz="6" w:space="0"/>
              <w:bottom w:val="single" w:color="auto" w:sz="6" w:space="0"/>
              <w:right w:val="single" w:color="auto" w:sz="6" w:space="0"/>
            </w:tcBorders>
            <w:vAlign w:val="top"/>
          </w:tcPr>
          <w:p w14:paraId="3EF1CB1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网络通信设置与编程</w:t>
            </w:r>
          </w:p>
        </w:tc>
        <w:tc>
          <w:tcPr>
            <w:tcW w:w="746" w:type="pct"/>
            <w:tcBorders>
              <w:top w:val="single" w:color="auto" w:sz="6" w:space="0"/>
              <w:left w:val="single" w:color="auto" w:sz="6" w:space="0"/>
              <w:bottom w:val="single" w:color="auto" w:sz="6" w:space="0"/>
            </w:tcBorders>
            <w:vAlign w:val="center"/>
          </w:tcPr>
          <w:p w14:paraId="2EAABA6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506" w:type="pct"/>
            <w:tcBorders>
              <w:top w:val="single" w:color="auto" w:sz="6" w:space="0"/>
              <w:left w:val="single" w:color="auto" w:sz="6" w:space="0"/>
              <w:bottom w:val="single" w:color="auto" w:sz="6" w:space="0"/>
            </w:tcBorders>
            <w:vAlign w:val="center"/>
          </w:tcPr>
          <w:p w14:paraId="1F4ABE9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3</w:t>
            </w:r>
            <w:r>
              <w:rPr>
                <w:rFonts w:hint="default" w:ascii="方正仿宋_GB2312" w:hAnsi="方正仿宋_GB2312" w:eastAsia="方正仿宋_GB2312" w:cs="方正仿宋_GB2312"/>
                <w:spacing w:val="14"/>
                <w:sz w:val="24"/>
                <w:szCs w:val="24"/>
                <w:lang w:val="en-US" w:eastAsia="zh-CN"/>
              </w:rPr>
              <w:t>%</w:t>
            </w:r>
          </w:p>
        </w:tc>
      </w:tr>
      <w:tr w14:paraId="34A86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tcBorders>
              <w:right w:val="single" w:color="auto" w:sz="6" w:space="0"/>
            </w:tcBorders>
            <w:vAlign w:val="center"/>
          </w:tcPr>
          <w:p w14:paraId="3148557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tcBorders>
              <w:top w:val="single" w:color="auto" w:sz="6" w:space="0"/>
              <w:left w:val="single" w:color="auto" w:sz="6" w:space="0"/>
              <w:bottom w:val="single" w:color="auto" w:sz="6" w:space="0"/>
              <w:right w:val="single" w:color="auto" w:sz="6" w:space="0"/>
            </w:tcBorders>
            <w:vAlign w:val="center"/>
          </w:tcPr>
          <w:p w14:paraId="7E4D912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tcBorders>
              <w:top w:val="single" w:color="auto" w:sz="6" w:space="0"/>
              <w:left w:val="single" w:color="auto" w:sz="6" w:space="0"/>
              <w:bottom w:val="single" w:color="auto" w:sz="6" w:space="0"/>
              <w:right w:val="single" w:color="auto" w:sz="6" w:space="0"/>
            </w:tcBorders>
            <w:vAlign w:val="center"/>
          </w:tcPr>
          <w:p w14:paraId="1F8EB1D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759" w:type="pct"/>
            <w:tcBorders>
              <w:top w:val="single" w:color="auto" w:sz="6" w:space="0"/>
              <w:left w:val="single" w:color="auto" w:sz="6" w:space="0"/>
              <w:bottom w:val="single" w:color="auto" w:sz="6" w:space="0"/>
              <w:right w:val="single" w:color="auto" w:sz="6" w:space="0"/>
            </w:tcBorders>
            <w:vAlign w:val="top"/>
          </w:tcPr>
          <w:p w14:paraId="74A3573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PLC及机器人的程序优化</w:t>
            </w:r>
          </w:p>
        </w:tc>
        <w:tc>
          <w:tcPr>
            <w:tcW w:w="746" w:type="pct"/>
            <w:tcBorders>
              <w:top w:val="single" w:color="auto" w:sz="6" w:space="0"/>
              <w:left w:val="single" w:color="auto" w:sz="6" w:space="0"/>
              <w:bottom w:val="single" w:color="auto" w:sz="6" w:space="0"/>
            </w:tcBorders>
            <w:vAlign w:val="center"/>
          </w:tcPr>
          <w:p w14:paraId="2718F13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506" w:type="pct"/>
            <w:tcBorders>
              <w:top w:val="single" w:color="auto" w:sz="6" w:space="0"/>
              <w:left w:val="single" w:color="auto" w:sz="6" w:space="0"/>
              <w:bottom w:val="single" w:color="auto" w:sz="6" w:space="0"/>
            </w:tcBorders>
            <w:vAlign w:val="center"/>
          </w:tcPr>
          <w:p w14:paraId="6A7A6EA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5</w:t>
            </w:r>
            <w:r>
              <w:rPr>
                <w:rFonts w:hint="default" w:ascii="方正仿宋_GB2312" w:hAnsi="方正仿宋_GB2312" w:eastAsia="方正仿宋_GB2312" w:cs="方正仿宋_GB2312"/>
                <w:spacing w:val="14"/>
                <w:sz w:val="24"/>
                <w:szCs w:val="24"/>
                <w:lang w:val="en-US" w:eastAsia="zh-CN"/>
              </w:rPr>
              <w:t>%</w:t>
            </w:r>
          </w:p>
        </w:tc>
      </w:tr>
      <w:tr w14:paraId="4FC50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tcBorders>
              <w:right w:val="single" w:color="auto" w:sz="6" w:space="0"/>
            </w:tcBorders>
            <w:vAlign w:val="center"/>
          </w:tcPr>
          <w:p w14:paraId="33EBAFC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tcBorders>
              <w:top w:val="single" w:color="auto" w:sz="6" w:space="0"/>
              <w:left w:val="single" w:color="auto" w:sz="6" w:space="0"/>
              <w:bottom w:val="single" w:color="auto" w:sz="6" w:space="0"/>
              <w:right w:val="single" w:color="auto" w:sz="6" w:space="0"/>
            </w:tcBorders>
            <w:vAlign w:val="center"/>
          </w:tcPr>
          <w:p w14:paraId="7B53FED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tcBorders>
              <w:top w:val="single" w:color="auto" w:sz="6" w:space="0"/>
              <w:left w:val="single" w:color="auto" w:sz="6" w:space="0"/>
              <w:bottom w:val="single" w:color="auto" w:sz="6" w:space="0"/>
              <w:right w:val="single" w:color="auto" w:sz="6" w:space="0"/>
            </w:tcBorders>
            <w:vAlign w:val="center"/>
          </w:tcPr>
          <w:p w14:paraId="5FEE6E0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759" w:type="pct"/>
            <w:tcBorders>
              <w:top w:val="single" w:color="auto" w:sz="6" w:space="0"/>
              <w:left w:val="single" w:color="auto" w:sz="6" w:space="0"/>
              <w:bottom w:val="single" w:color="auto" w:sz="6" w:space="0"/>
              <w:right w:val="single" w:color="auto" w:sz="6" w:space="0"/>
            </w:tcBorders>
            <w:vAlign w:val="top"/>
          </w:tcPr>
          <w:p w14:paraId="388E9F2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触摸屏组态与优化</w:t>
            </w:r>
          </w:p>
        </w:tc>
        <w:tc>
          <w:tcPr>
            <w:tcW w:w="746" w:type="pct"/>
            <w:tcBorders>
              <w:top w:val="single" w:color="auto" w:sz="6" w:space="0"/>
              <w:left w:val="single" w:color="auto" w:sz="6" w:space="0"/>
              <w:bottom w:val="single" w:color="auto" w:sz="6" w:space="0"/>
            </w:tcBorders>
            <w:vAlign w:val="center"/>
          </w:tcPr>
          <w:p w14:paraId="01AB549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506" w:type="pct"/>
            <w:tcBorders>
              <w:top w:val="single" w:color="auto" w:sz="6" w:space="0"/>
              <w:left w:val="single" w:color="auto" w:sz="6" w:space="0"/>
              <w:bottom w:val="single" w:color="auto" w:sz="6" w:space="0"/>
            </w:tcBorders>
            <w:vAlign w:val="center"/>
          </w:tcPr>
          <w:p w14:paraId="2245728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2%</w:t>
            </w:r>
          </w:p>
        </w:tc>
      </w:tr>
      <w:tr w14:paraId="77FD2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tcBorders>
              <w:bottom w:val="single" w:color="auto" w:sz="6" w:space="0"/>
              <w:right w:val="single" w:color="auto" w:sz="6" w:space="0"/>
            </w:tcBorders>
            <w:vAlign w:val="center"/>
          </w:tcPr>
          <w:p w14:paraId="48E74BD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tcBorders>
              <w:top w:val="single" w:color="auto" w:sz="6" w:space="0"/>
              <w:left w:val="single" w:color="auto" w:sz="6" w:space="0"/>
              <w:bottom w:val="single" w:color="auto" w:sz="6" w:space="0"/>
              <w:right w:val="single" w:color="auto" w:sz="6" w:space="0"/>
            </w:tcBorders>
            <w:vAlign w:val="center"/>
          </w:tcPr>
          <w:p w14:paraId="373BACE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tcBorders>
              <w:top w:val="single" w:color="auto" w:sz="6" w:space="0"/>
              <w:left w:val="single" w:color="auto" w:sz="6" w:space="0"/>
              <w:bottom w:val="single" w:color="auto" w:sz="6" w:space="0"/>
              <w:right w:val="single" w:color="auto" w:sz="6" w:space="0"/>
            </w:tcBorders>
            <w:vAlign w:val="center"/>
          </w:tcPr>
          <w:p w14:paraId="7D7655E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759" w:type="pct"/>
            <w:tcBorders>
              <w:top w:val="single" w:color="auto" w:sz="6" w:space="0"/>
              <w:left w:val="single" w:color="auto" w:sz="6" w:space="0"/>
              <w:bottom w:val="single" w:color="auto" w:sz="6" w:space="0"/>
              <w:right w:val="single" w:color="auto" w:sz="6" w:space="0"/>
            </w:tcBorders>
            <w:vAlign w:val="top"/>
          </w:tcPr>
          <w:p w14:paraId="4C62C8E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功能/性能升级</w:t>
            </w:r>
          </w:p>
        </w:tc>
        <w:tc>
          <w:tcPr>
            <w:tcW w:w="746" w:type="pct"/>
            <w:tcBorders>
              <w:top w:val="single" w:color="auto" w:sz="6" w:space="0"/>
              <w:left w:val="single" w:color="auto" w:sz="6" w:space="0"/>
              <w:bottom w:val="single" w:color="auto" w:sz="6" w:space="0"/>
            </w:tcBorders>
            <w:vAlign w:val="center"/>
          </w:tcPr>
          <w:p w14:paraId="2763BEB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结果评分</w:t>
            </w:r>
          </w:p>
        </w:tc>
        <w:tc>
          <w:tcPr>
            <w:tcW w:w="506" w:type="pct"/>
            <w:tcBorders>
              <w:top w:val="single" w:color="auto" w:sz="6" w:space="0"/>
              <w:left w:val="single" w:color="auto" w:sz="6" w:space="0"/>
              <w:bottom w:val="single" w:color="auto" w:sz="6" w:space="0"/>
            </w:tcBorders>
            <w:vAlign w:val="center"/>
          </w:tcPr>
          <w:p w14:paraId="67CFB57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5</w:t>
            </w:r>
            <w:r>
              <w:rPr>
                <w:rFonts w:hint="default" w:ascii="方正仿宋_GB2312" w:hAnsi="方正仿宋_GB2312" w:eastAsia="方正仿宋_GB2312" w:cs="方正仿宋_GB2312"/>
                <w:spacing w:val="14"/>
                <w:sz w:val="24"/>
                <w:szCs w:val="24"/>
                <w:lang w:val="en-US" w:eastAsia="zh-CN"/>
              </w:rPr>
              <w:t>%</w:t>
            </w:r>
          </w:p>
        </w:tc>
      </w:tr>
      <w:tr w14:paraId="24C54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restart"/>
            <w:tcBorders>
              <w:top w:val="single" w:color="auto" w:sz="6" w:space="0"/>
              <w:bottom w:val="single" w:color="auto" w:sz="6" w:space="0"/>
              <w:right w:val="single" w:color="auto" w:sz="6" w:space="0"/>
            </w:tcBorders>
            <w:vAlign w:val="center"/>
          </w:tcPr>
          <w:p w14:paraId="0680D02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模块三</w:t>
            </w:r>
          </w:p>
        </w:tc>
        <w:tc>
          <w:tcPr>
            <w:tcW w:w="1072" w:type="pct"/>
            <w:vMerge w:val="restart"/>
            <w:tcBorders>
              <w:top w:val="single" w:color="auto" w:sz="6" w:space="0"/>
              <w:left w:val="single" w:color="auto" w:sz="6" w:space="0"/>
              <w:bottom w:val="single" w:color="auto" w:sz="6" w:space="0"/>
              <w:right w:val="single" w:color="auto" w:sz="6" w:space="0"/>
            </w:tcBorders>
            <w:vAlign w:val="center"/>
          </w:tcPr>
          <w:p w14:paraId="24C5B8C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ascii="仿宋" w:hAnsi="仿宋" w:eastAsia="仿宋" w:cs="仿宋"/>
                <w:snapToGrid w:val="0"/>
                <w:color w:val="000000"/>
                <w:kern w:val="0"/>
                <w:sz w:val="24"/>
                <w:szCs w:val="24"/>
                <w:lang w:val="en-US" w:eastAsia="zh-CN" w:bidi="ar"/>
              </w:rPr>
            </w:pPr>
            <w:r>
              <w:rPr>
                <w:rFonts w:ascii="仿宋" w:hAnsi="仿宋" w:eastAsia="仿宋" w:cs="仿宋"/>
                <w:snapToGrid w:val="0"/>
                <w:color w:val="000000"/>
                <w:kern w:val="0"/>
                <w:sz w:val="24"/>
                <w:szCs w:val="24"/>
                <w:lang w:val="en-US" w:eastAsia="zh-CN" w:bidi="ar"/>
              </w:rPr>
              <w:t xml:space="preserve">任务 </w:t>
            </w:r>
            <w:r>
              <w:rPr>
                <w:rFonts w:hint="eastAsia" w:ascii="仿宋" w:hAnsi="仿宋" w:eastAsia="仿宋" w:cs="仿宋"/>
                <w:snapToGrid w:val="0"/>
                <w:color w:val="000000"/>
                <w:kern w:val="0"/>
                <w:sz w:val="24"/>
                <w:szCs w:val="24"/>
                <w:lang w:val="en-US" w:eastAsia="zh-CN" w:bidi="ar"/>
              </w:rPr>
              <w:t>5</w:t>
            </w:r>
            <w:r>
              <w:rPr>
                <w:rFonts w:ascii="仿宋" w:hAnsi="仿宋" w:eastAsia="仿宋" w:cs="仿宋"/>
                <w:snapToGrid w:val="0"/>
                <w:color w:val="000000"/>
                <w:kern w:val="0"/>
                <w:sz w:val="24"/>
                <w:szCs w:val="24"/>
                <w:lang w:val="en-US" w:eastAsia="zh-CN" w:bidi="ar"/>
              </w:rPr>
              <w:t>：</w:t>
            </w:r>
          </w:p>
          <w:p w14:paraId="1D932C97">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职业素养与安全意识</w:t>
            </w:r>
          </w:p>
        </w:tc>
        <w:tc>
          <w:tcPr>
            <w:tcW w:w="411" w:type="pct"/>
            <w:vMerge w:val="restart"/>
            <w:tcBorders>
              <w:top w:val="single" w:color="auto" w:sz="6" w:space="0"/>
              <w:left w:val="single" w:color="auto" w:sz="6" w:space="0"/>
              <w:bottom w:val="single" w:color="auto" w:sz="6" w:space="0"/>
              <w:right w:val="single" w:color="auto" w:sz="6" w:space="0"/>
            </w:tcBorders>
            <w:vAlign w:val="center"/>
          </w:tcPr>
          <w:p w14:paraId="2E8D686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5%</w:t>
            </w:r>
          </w:p>
        </w:tc>
        <w:tc>
          <w:tcPr>
            <w:tcW w:w="1759" w:type="pct"/>
            <w:tcBorders>
              <w:top w:val="single" w:color="auto" w:sz="6" w:space="0"/>
              <w:left w:val="single" w:color="auto" w:sz="6" w:space="0"/>
              <w:bottom w:val="single" w:color="auto" w:sz="6" w:space="0"/>
              <w:right w:val="single" w:color="auto" w:sz="6" w:space="0"/>
            </w:tcBorders>
            <w:vAlign w:val="center"/>
          </w:tcPr>
          <w:p w14:paraId="40B41EA7">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设备、工具仪器使用操作安全规范</w:t>
            </w:r>
            <w:r>
              <w:rPr>
                <w:rFonts w:hint="eastAsia" w:ascii="方正仿宋_GB2312" w:hAnsi="方正仿宋_GB2312" w:eastAsia="方正仿宋_GB2312" w:cs="方正仿宋_GB2312"/>
                <w:spacing w:val="14"/>
                <w:sz w:val="24"/>
                <w:szCs w:val="24"/>
                <w:lang w:val="en-US" w:eastAsia="zh-CN"/>
              </w:rPr>
              <w:t>；</w:t>
            </w:r>
            <w:r>
              <w:rPr>
                <w:rFonts w:hint="default" w:ascii="方正仿宋_GB2312" w:hAnsi="方正仿宋_GB2312" w:eastAsia="方正仿宋_GB2312" w:cs="方正仿宋_GB2312"/>
                <w:spacing w:val="14"/>
                <w:sz w:val="24"/>
                <w:szCs w:val="24"/>
                <w:lang w:val="en-US" w:eastAsia="zh-CN"/>
              </w:rPr>
              <w:t>穿戴规范</w:t>
            </w:r>
          </w:p>
        </w:tc>
        <w:tc>
          <w:tcPr>
            <w:tcW w:w="746" w:type="pct"/>
            <w:tcBorders>
              <w:top w:val="single" w:color="auto" w:sz="6" w:space="0"/>
              <w:left w:val="single" w:color="auto" w:sz="6" w:space="0"/>
              <w:bottom w:val="single" w:color="auto" w:sz="6" w:space="0"/>
            </w:tcBorders>
            <w:vAlign w:val="center"/>
          </w:tcPr>
          <w:p w14:paraId="0345CAB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过程评分</w:t>
            </w:r>
          </w:p>
        </w:tc>
        <w:tc>
          <w:tcPr>
            <w:tcW w:w="506" w:type="pct"/>
            <w:tcBorders>
              <w:top w:val="single" w:color="auto" w:sz="6" w:space="0"/>
              <w:left w:val="single" w:color="auto" w:sz="6" w:space="0"/>
              <w:bottom w:val="single" w:color="auto" w:sz="6" w:space="0"/>
            </w:tcBorders>
            <w:vAlign w:val="center"/>
          </w:tcPr>
          <w:p w14:paraId="13E28CF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3</w:t>
            </w:r>
            <w:r>
              <w:rPr>
                <w:rFonts w:hint="default" w:ascii="方正仿宋_GB2312" w:hAnsi="方正仿宋_GB2312" w:eastAsia="方正仿宋_GB2312" w:cs="方正仿宋_GB2312"/>
                <w:spacing w:val="14"/>
                <w:sz w:val="24"/>
                <w:szCs w:val="24"/>
                <w:lang w:val="en-US" w:eastAsia="zh-CN"/>
              </w:rPr>
              <w:t>%</w:t>
            </w:r>
          </w:p>
        </w:tc>
      </w:tr>
      <w:tr w14:paraId="054CA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03" w:type="pct"/>
            <w:vMerge w:val="continue"/>
            <w:tcBorders>
              <w:right w:val="single" w:color="auto" w:sz="6" w:space="0"/>
            </w:tcBorders>
            <w:vAlign w:val="center"/>
          </w:tcPr>
          <w:p w14:paraId="1900CFD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072" w:type="pct"/>
            <w:vMerge w:val="continue"/>
            <w:tcBorders>
              <w:left w:val="single" w:color="auto" w:sz="6" w:space="0"/>
              <w:right w:val="single" w:color="auto" w:sz="6" w:space="0"/>
            </w:tcBorders>
            <w:vAlign w:val="center"/>
          </w:tcPr>
          <w:p w14:paraId="6FF0BA5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411" w:type="pct"/>
            <w:vMerge w:val="continue"/>
            <w:tcBorders>
              <w:left w:val="single" w:color="auto" w:sz="6" w:space="0"/>
              <w:right w:val="single" w:color="auto" w:sz="6" w:space="0"/>
            </w:tcBorders>
            <w:vAlign w:val="center"/>
          </w:tcPr>
          <w:p w14:paraId="3AFB90B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p>
        </w:tc>
        <w:tc>
          <w:tcPr>
            <w:tcW w:w="1759" w:type="pct"/>
            <w:tcBorders>
              <w:top w:val="single" w:color="auto" w:sz="6" w:space="0"/>
              <w:left w:val="single" w:color="auto" w:sz="6" w:space="0"/>
              <w:bottom w:val="single" w:color="auto" w:sz="6" w:space="0"/>
              <w:right w:val="single" w:color="auto" w:sz="6" w:space="0"/>
            </w:tcBorders>
            <w:vAlign w:val="center"/>
          </w:tcPr>
          <w:p w14:paraId="1ACEC15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现场管理与文明素养</w:t>
            </w:r>
          </w:p>
        </w:tc>
        <w:tc>
          <w:tcPr>
            <w:tcW w:w="746" w:type="pct"/>
            <w:tcBorders>
              <w:top w:val="single" w:color="auto" w:sz="6" w:space="0"/>
              <w:left w:val="single" w:color="auto" w:sz="6" w:space="0"/>
              <w:bottom w:val="single" w:color="auto" w:sz="6" w:space="0"/>
            </w:tcBorders>
            <w:vAlign w:val="center"/>
          </w:tcPr>
          <w:p w14:paraId="0828413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both"/>
              <w:textAlignment w:val="auto"/>
              <w:rPr>
                <w:rFonts w:hint="default" w:ascii="方正仿宋_GB2312" w:hAnsi="方正仿宋_GB2312" w:eastAsia="方正仿宋_GB2312" w:cs="方正仿宋_GB2312"/>
                <w:spacing w:val="14"/>
                <w:sz w:val="24"/>
                <w:szCs w:val="24"/>
                <w:lang w:val="en-US" w:eastAsia="zh-CN"/>
              </w:rPr>
            </w:pPr>
            <w:r>
              <w:rPr>
                <w:rFonts w:hint="default" w:ascii="方正仿宋_GB2312" w:hAnsi="方正仿宋_GB2312" w:eastAsia="方正仿宋_GB2312" w:cs="方正仿宋_GB2312"/>
                <w:spacing w:val="14"/>
                <w:sz w:val="24"/>
                <w:szCs w:val="24"/>
                <w:lang w:val="en-US" w:eastAsia="zh-CN"/>
              </w:rPr>
              <w:t>过程评分</w:t>
            </w:r>
          </w:p>
        </w:tc>
        <w:tc>
          <w:tcPr>
            <w:tcW w:w="506" w:type="pct"/>
            <w:tcBorders>
              <w:top w:val="single" w:color="auto" w:sz="6" w:space="0"/>
              <w:left w:val="single" w:color="auto" w:sz="6" w:space="0"/>
              <w:bottom w:val="single" w:color="auto" w:sz="6" w:space="0"/>
            </w:tcBorders>
            <w:vAlign w:val="center"/>
          </w:tcPr>
          <w:p w14:paraId="31582DF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0" w:firstLineChars="0"/>
              <w:jc w:val="center"/>
              <w:textAlignment w:val="auto"/>
              <w:rPr>
                <w:rFonts w:hint="default" w:ascii="方正仿宋_GB2312" w:hAnsi="方正仿宋_GB2312" w:eastAsia="方正仿宋_GB2312" w:cs="方正仿宋_GB2312"/>
                <w:spacing w:val="14"/>
                <w:sz w:val="24"/>
                <w:szCs w:val="24"/>
                <w:lang w:val="en-US" w:eastAsia="zh-CN"/>
              </w:rPr>
            </w:pPr>
            <w:r>
              <w:rPr>
                <w:rFonts w:hint="eastAsia" w:ascii="方正仿宋_GB2312" w:hAnsi="方正仿宋_GB2312" w:eastAsia="方正仿宋_GB2312" w:cs="方正仿宋_GB2312"/>
                <w:spacing w:val="14"/>
                <w:sz w:val="24"/>
                <w:szCs w:val="24"/>
                <w:lang w:val="en-US" w:eastAsia="zh-CN"/>
              </w:rPr>
              <w:t>2</w:t>
            </w:r>
            <w:r>
              <w:rPr>
                <w:rFonts w:hint="default" w:ascii="方正仿宋_GB2312" w:hAnsi="方正仿宋_GB2312" w:eastAsia="方正仿宋_GB2312" w:cs="方正仿宋_GB2312"/>
                <w:spacing w:val="14"/>
                <w:sz w:val="24"/>
                <w:szCs w:val="24"/>
                <w:lang w:val="en-US" w:eastAsia="zh-CN"/>
              </w:rPr>
              <w:t>%</w:t>
            </w:r>
          </w:p>
        </w:tc>
      </w:tr>
    </w:tbl>
    <w:p w14:paraId="3FC186C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bookmarkStart w:id="0" w:name="_GoBack"/>
      <w:bookmarkEnd w:id="0"/>
      <w:r>
        <w:rPr>
          <w:rFonts w:hint="default" w:ascii="方正楷体_GB2312" w:hAnsi="方正楷体_GB2312" w:eastAsia="方正楷体_GB2312" w:cs="方正楷体_GB2312"/>
          <w:b w:val="0"/>
          <w:bCs w:val="0"/>
          <w:snapToGrid/>
          <w:kern w:val="2"/>
          <w:sz w:val="32"/>
          <w:szCs w:val="32"/>
          <w:lang w:val="en-US" w:eastAsia="zh-CN"/>
        </w:rPr>
        <w:t>（三）评分方式</w:t>
      </w:r>
    </w:p>
    <w:p w14:paraId="3C83E26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default" w:ascii="仿宋_GB2312" w:hAnsi="仿宋_GB2312" w:eastAsia="仿宋_GB2312" w:cs="仿宋_GB2312"/>
          <w:snapToGrid/>
          <w:kern w:val="2"/>
          <w:sz w:val="32"/>
          <w:szCs w:val="32"/>
          <w:lang w:val="en-US" w:eastAsia="zh-CN"/>
        </w:rPr>
      </w:pPr>
      <w:r>
        <w:rPr>
          <w:rFonts w:hint="default" w:ascii="仿宋_GB2312" w:hAnsi="仿宋_GB2312" w:eastAsia="仿宋_GB2312" w:cs="仿宋_GB2312"/>
          <w:snapToGrid/>
          <w:kern w:val="2"/>
          <w:sz w:val="32"/>
          <w:szCs w:val="32"/>
          <w:lang w:val="en-US" w:eastAsia="zh-CN"/>
        </w:rPr>
        <w:t>1.评判记分采用纸质记分与信息化相结合方式，过程评分由裁判在纸质文件进行评分记录，也可以利用竞赛信息系统作为竞赛评价工具，选手信息、赛程安排、评分标准、分数统计、各项成绩排名，均实现数字化。</w:t>
      </w:r>
    </w:p>
    <w:p w14:paraId="7834540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default" w:ascii="仿宋_GB2312" w:hAnsi="仿宋_GB2312" w:eastAsia="仿宋_GB2312" w:cs="仿宋_GB2312"/>
          <w:snapToGrid/>
          <w:kern w:val="2"/>
          <w:sz w:val="32"/>
          <w:szCs w:val="32"/>
          <w:lang w:val="en-US" w:eastAsia="zh-CN"/>
        </w:rPr>
      </w:pPr>
      <w:r>
        <w:rPr>
          <w:rFonts w:hint="default" w:ascii="仿宋_GB2312" w:hAnsi="仿宋_GB2312" w:eastAsia="仿宋_GB2312" w:cs="仿宋_GB2312"/>
          <w:snapToGrid/>
          <w:kern w:val="2"/>
          <w:sz w:val="32"/>
          <w:szCs w:val="32"/>
          <w:lang w:val="en-US" w:eastAsia="zh-CN"/>
        </w:rPr>
        <w:t>2.采取纸笔测量方式依据主观判断评判的，由裁判员按照评判标准和裁判长安排独立评判。</w:t>
      </w:r>
    </w:p>
    <w:p w14:paraId="25F6D86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default" w:ascii="仿宋_GB2312" w:hAnsi="仿宋_GB2312" w:eastAsia="仿宋_GB2312" w:cs="仿宋_GB2312"/>
          <w:snapToGrid/>
          <w:kern w:val="2"/>
          <w:sz w:val="32"/>
          <w:szCs w:val="32"/>
          <w:lang w:val="en-US" w:eastAsia="zh-CN"/>
        </w:rPr>
      </w:pPr>
      <w:r>
        <w:rPr>
          <w:rFonts w:hint="default" w:ascii="仿宋_GB2312" w:hAnsi="仿宋_GB2312" w:eastAsia="仿宋_GB2312" w:cs="仿宋_GB2312"/>
          <w:snapToGrid/>
          <w:kern w:val="2"/>
          <w:sz w:val="32"/>
          <w:szCs w:val="32"/>
          <w:lang w:val="en-US" w:eastAsia="zh-CN"/>
        </w:rPr>
        <w:t>3.采取现场操作评价方式依据客观数据评判的，由裁判长按3</w:t>
      </w:r>
      <w:r>
        <w:rPr>
          <w:rFonts w:hint="eastAsia" w:ascii="仿宋_GB2312" w:hAnsi="仿宋_GB2312" w:eastAsia="仿宋_GB2312" w:cs="仿宋_GB2312"/>
          <w:snapToGrid/>
          <w:kern w:val="2"/>
          <w:sz w:val="32"/>
          <w:szCs w:val="32"/>
          <w:lang w:val="en-US" w:eastAsia="zh-CN"/>
        </w:rPr>
        <w:t>名裁判员一组组成评判小组，每名裁判员按照“0-3”4个分数等级（0分为不符合技能要求，1分为基本符合技能要求，2分为符合技能要求，3分为超出技能要求）独立评判，如3名裁判员之间的评判结果差距超出1个分数等级，则重新进行评判。</w:t>
      </w:r>
    </w:p>
    <w:p w14:paraId="15E12FD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4.选手与裁判共同对功能实现部分和故障检修部分的评价项目进行结果评分。评判过程应反映选手精益求精的工匠精神，对装配过程中出现设备碰撞、超出桌面范围、物料损坏、贴标顺序不对、标签掉落等造成不合格产品者一律不得分；运行过程中不得用手帮忙；出现卡塞、掉落等情况，给予第二次评分机会，否则评分到此结束。</w:t>
      </w:r>
    </w:p>
    <w:p w14:paraId="0B9EE61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5.裁判按照评分表进行各评价项目进行结果评分，职业素养部分进行全过程评分。</w:t>
      </w:r>
    </w:p>
    <w:p w14:paraId="3893F12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6.在竞赛时段，参赛选手有不服从裁判及监考、扰乱赛场秩序等行为情节严重的，取消参赛队评奖资格。有作弊行为的，取消参赛队评奖资格。裁判宣布竞赛时间到，选手仍强行操作的，取消参赛队奖项评比资格。</w:t>
      </w:r>
    </w:p>
    <w:p w14:paraId="46D8B04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7.按比赛成绩从高分到低分排列参赛队的名次。如竞赛成绩相同时，工艺规范评分项的成绩高的名次在前；竞赛成绩和工艺规范评分项均相同时，职业素养项的成绩高的名次在前；如上述均相同时，比赛完成用时少的名次在前。</w:t>
      </w:r>
    </w:p>
    <w:p w14:paraId="704E9E3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8.选手有下列情形，需从比赛成绩中扣分：</w:t>
      </w:r>
    </w:p>
    <w:p w14:paraId="64FAB5B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（1）违反比赛规定、赛场纪律，由现场裁判员负责记录，并酌情扣1-5分。</w:t>
      </w:r>
    </w:p>
    <w:p w14:paraId="3CB1AF4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2）在完成工作任务的过程中违反操作规程或因操作不当，造成设备损坏或影响其他选手比赛的，扣5-10分；因操作不当导致人身或设备安全事故，扣10-20分；情况严重者报赛项执委会批准，由裁判长宣布终止该选手的比赛，竞赛成绩以0分计算。</w:t>
      </w:r>
    </w:p>
    <w:p w14:paraId="276553F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（3）损坏赛场提供的设备，污染赛场环境等不符合职业规范</w:t>
      </w:r>
      <w:r>
        <w:rPr>
          <w:rFonts w:hint="default" w:ascii="仿宋_GB2312" w:hAnsi="仿宋_GB2312" w:eastAsia="仿宋_GB2312" w:cs="仿宋_GB2312"/>
          <w:snapToGrid/>
          <w:kern w:val="2"/>
          <w:sz w:val="32"/>
          <w:szCs w:val="32"/>
          <w:lang w:val="en-US" w:eastAsia="zh-CN"/>
        </w:rPr>
        <w:t>的行为，视情节扣分。</w:t>
      </w:r>
    </w:p>
    <w:p w14:paraId="3F38965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（四）成绩审核与公布</w:t>
      </w:r>
    </w:p>
    <w:p w14:paraId="21CB69C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记分员将解密后的各参赛队成绩汇总成最终成绩单，经裁判长、监督仲裁组签字后进行公示。公示时间为两小时。成绩公示无异议后，由仲裁员在成绩单上签字，并在闭赛式上公布。</w:t>
      </w:r>
    </w:p>
    <w:p w14:paraId="34F1B49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default" w:ascii="黑体" w:hAnsi="黑体" w:eastAsia="黑体" w:cs="黑体"/>
          <w:snapToGrid/>
          <w:kern w:val="2"/>
          <w:sz w:val="32"/>
          <w:szCs w:val="32"/>
          <w:lang w:val="en-US" w:eastAsia="zh-CN"/>
        </w:rPr>
      </w:pPr>
    </w:p>
    <w:p w14:paraId="5EFA5A4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default" w:ascii="黑体" w:hAnsi="黑体" w:eastAsia="黑体" w:cs="黑体"/>
          <w:snapToGrid/>
          <w:kern w:val="2"/>
          <w:sz w:val="32"/>
          <w:szCs w:val="32"/>
          <w:lang w:val="en-US" w:eastAsia="zh-CN"/>
        </w:rPr>
      </w:pPr>
      <w:r>
        <w:rPr>
          <w:rFonts w:hint="default" w:ascii="黑体" w:hAnsi="黑体" w:eastAsia="黑体" w:cs="黑体"/>
          <w:snapToGrid/>
          <w:kern w:val="2"/>
          <w:sz w:val="32"/>
          <w:szCs w:val="32"/>
          <w:lang w:val="en-US" w:eastAsia="zh-CN"/>
        </w:rPr>
        <w:t>十</w:t>
      </w:r>
      <w:r>
        <w:rPr>
          <w:rFonts w:hint="eastAsia" w:ascii="黑体" w:hAnsi="黑体" w:eastAsia="黑体" w:cs="黑体"/>
          <w:snapToGrid/>
          <w:kern w:val="2"/>
          <w:sz w:val="32"/>
          <w:szCs w:val="32"/>
          <w:lang w:val="en-US" w:eastAsia="zh-CN"/>
        </w:rPr>
        <w:t>一</w:t>
      </w:r>
      <w:r>
        <w:rPr>
          <w:rFonts w:hint="default" w:ascii="黑体" w:hAnsi="黑体" w:eastAsia="黑体" w:cs="黑体"/>
          <w:snapToGrid/>
          <w:kern w:val="2"/>
          <w:sz w:val="32"/>
          <w:szCs w:val="32"/>
          <w:lang w:val="en-US" w:eastAsia="zh-CN"/>
        </w:rPr>
        <w:t>、奖项设置</w:t>
      </w:r>
    </w:p>
    <w:p w14:paraId="11EF6AF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（一）参赛选手奖励</w:t>
      </w:r>
    </w:p>
    <w:p w14:paraId="75E31D4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根据比赛成绩，从高到低排序，按实际参赛队伍数的10%设一等奖，20%设二等奖，30%设三等奖。</w:t>
      </w:r>
    </w:p>
    <w:p w14:paraId="30F4525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（二）指导教师奖励</w:t>
      </w:r>
    </w:p>
    <w:p w14:paraId="32F260E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对获奖参赛队的指导教师颁发优秀指导教师奖。</w:t>
      </w:r>
    </w:p>
    <w:p w14:paraId="444A41E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十二、赛项安全</w:t>
      </w:r>
    </w:p>
    <w:p w14:paraId="6F01364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（一）赛场组织与管理人员</w:t>
      </w:r>
    </w:p>
    <w:p w14:paraId="63E99A4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执委会须在赛前组织专人对比赛现场、住宿场所和交通保障进行考察，并对安全工作提出明确要求。赛场的布置，赛场内的器材、设备，应符合国家有关安全规定。在赛场管理的关键岗位，增加力量，建立安全管理日志。</w:t>
      </w:r>
    </w:p>
    <w:p w14:paraId="1E466CB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（二）裁判员</w:t>
      </w:r>
    </w:p>
    <w:p w14:paraId="17084E8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在具有危险性的操作环节，裁判员要严防选手出现错误操作。</w:t>
      </w:r>
    </w:p>
    <w:p w14:paraId="38F5C27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竞赛期间，保守竞赛秘密，不得向各参赛队领队、指导教师及选手泄露、暗示大赛秘密。严格执行竞赛纪律，除应向参赛选手交代的竞赛须知外，不得向参赛选手暗示解答与竞赛有关的问题，更不得向选手进行指导或提供方便。实行回避制度，不得与参赛选手及相关人员接触或联系。</w:t>
      </w:r>
    </w:p>
    <w:p w14:paraId="6DF03B0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（三）参赛人员</w:t>
      </w:r>
    </w:p>
    <w:p w14:paraId="71A9CCE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各学校组织代表队时，须安排为参赛选手购买大赛期间的人身意外伤害保险。出发前须统一组织对参赛队所有人员进行体检，掌握领队、指导老师、参赛选手的身体状况；有既往病史、患有严重疾病者不得参加比赛。参赛选手应严格遵守赛场规章、操作规程和</w:t>
      </w:r>
      <w:r>
        <w:rPr>
          <w:rFonts w:hint="default" w:ascii="仿宋_GB2312" w:hAnsi="仿宋_GB2312" w:eastAsia="仿宋_GB2312" w:cs="仿宋_GB2312"/>
          <w:snapToGrid/>
          <w:kern w:val="2"/>
          <w:sz w:val="32"/>
          <w:szCs w:val="32"/>
          <w:lang w:val="en-US" w:eastAsia="zh-CN"/>
        </w:rPr>
        <w:t>工艺准则，保证人身及设备安全，接受裁判员的监督和警示，文明</w:t>
      </w:r>
      <w:r>
        <w:rPr>
          <w:rFonts w:hint="eastAsia" w:ascii="仿宋_GB2312" w:hAnsi="仿宋_GB2312" w:eastAsia="仿宋_GB2312" w:cs="仿宋_GB2312"/>
          <w:snapToGrid/>
          <w:kern w:val="2"/>
          <w:sz w:val="32"/>
          <w:szCs w:val="32"/>
          <w:lang w:val="en-US" w:eastAsia="zh-CN"/>
        </w:rPr>
        <w:t>竞赛。</w:t>
      </w:r>
    </w:p>
    <w:p w14:paraId="1E72E86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十三、赛项预案</w:t>
      </w:r>
    </w:p>
    <w:p w14:paraId="7D07A16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（一）消防预案</w:t>
      </w:r>
    </w:p>
    <w:p w14:paraId="2FB859C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1.建立与应急消防部门的协调机制，保证比赛安全，制定应急预案，及时处置突发事件。标明安全出口、消防通道、警戒区、紧急疏散通道。</w:t>
      </w:r>
    </w:p>
    <w:p w14:paraId="59219E4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2.按防火安全要求安置灭火器，并指定责任人在紧急时候使用。</w:t>
      </w:r>
    </w:p>
    <w:p w14:paraId="5288F1F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3.设置消防人员和保安人员的专线联系。</w:t>
      </w:r>
    </w:p>
    <w:p w14:paraId="759ACCC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（二）供电预案</w:t>
      </w:r>
    </w:p>
    <w:p w14:paraId="379960B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成立安全用电保障工作小组，负责与电力部门沟通事宜，保证比赛期间电力供应正常，及出现异常情况时及时解决问题。</w:t>
      </w:r>
    </w:p>
    <w:p w14:paraId="56047F9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（三）医疗预案</w:t>
      </w:r>
    </w:p>
    <w:p w14:paraId="739E6F3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1.在赛场警戒线范围内设置医疗保障服务站，提供可能发生的急救、伤口处理等应急服务。</w:t>
      </w:r>
    </w:p>
    <w:p w14:paraId="1B7D70C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2.赛场提供应急医疗措施，设置医护人员的专线联系，确定对方联系人，由场地安全负责人对口联系。</w:t>
      </w:r>
    </w:p>
    <w:p w14:paraId="4D2FBF7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（四）设备预案</w:t>
      </w:r>
    </w:p>
    <w:p w14:paraId="0403C6C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1.赛场内配备一定数量的设备维护工程技术人员，处置设备可能出现的问题，辅助裁判确认竞赛设备和电脑软件状态，快速识别问题根源并及时有效釆取措施，保障竞赛顺利进行。</w:t>
      </w:r>
    </w:p>
    <w:p w14:paraId="018153F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2.竞赛前1周，竞赛平台按照赛项专家组要求进入赛场，并进行满负荷动作测试连续24小时，确保零故障。</w:t>
      </w:r>
    </w:p>
    <w:p w14:paraId="081ED58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3.赛位超过24小时不间断的软件操作运行测试，并在竞赛现</w:t>
      </w:r>
      <w:r>
        <w:rPr>
          <w:rFonts w:hint="default" w:ascii="仿宋_GB2312" w:hAnsi="仿宋_GB2312" w:eastAsia="仿宋_GB2312" w:cs="仿宋_GB2312"/>
          <w:snapToGrid/>
          <w:kern w:val="2"/>
          <w:sz w:val="32"/>
          <w:szCs w:val="32"/>
          <w:lang w:val="en-US" w:eastAsia="zh-CN"/>
        </w:rPr>
        <w:t>场提供足够数量的电脑备机。</w:t>
      </w:r>
    </w:p>
    <w:p w14:paraId="4E4F2E8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（五）疫情防控</w:t>
      </w:r>
    </w:p>
    <w:p w14:paraId="0604914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按大赛承办单位属地疫情防控相关要求执行。</w:t>
      </w:r>
    </w:p>
    <w:p w14:paraId="790F01B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十四、竞赛须知</w:t>
      </w:r>
    </w:p>
    <w:p w14:paraId="0653FF1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（一）参赛队须知</w:t>
      </w:r>
    </w:p>
    <w:p w14:paraId="0587A7C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1.参赛队选手在报名获得确认后，原则上不再更换，如筹备过程中，选手因故不能参赛，所在学校需出具书面说明并按相关参赛选手资格补充人员并接受审核。竞赛开始后，参赛队不得更换参赛选手，允许队员缺席竞赛。</w:t>
      </w:r>
    </w:p>
    <w:p w14:paraId="75D7BBA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2.参赛队按照大赛赛程安排凭大赛组委会颁发的参赛证和有效身份证件参加比赛及相关活动。</w:t>
      </w:r>
    </w:p>
    <w:p w14:paraId="0DEFAEA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3.各参赛队按赛项执委会统一安排参加比赛前熟悉场地环境的活动。</w:t>
      </w:r>
    </w:p>
    <w:p w14:paraId="6310490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4.各参赛队按赛项执委会统一要求，准时参加赛前领队会和抽签仪式。</w:t>
      </w:r>
    </w:p>
    <w:p w14:paraId="7534C6C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5.各参赛队在比赛期间，应保证所有参赛选手的安全，防止交通事故和其它意外事故的发生，为参赛选手购买人身意外保险。</w:t>
      </w:r>
    </w:p>
    <w:p w14:paraId="06414E7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6.各参赛队要发扬良好道德风尚，听从指挥，服从裁判，不弄虚作假。</w:t>
      </w:r>
    </w:p>
    <w:p w14:paraId="02CB165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（二）指导教师须知</w:t>
      </w:r>
    </w:p>
    <w:p w14:paraId="38D450A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1.各指导教师要发扬良好道德风尚，听从指挥，服从裁判，不弄虚作假。</w:t>
      </w:r>
    </w:p>
    <w:p w14:paraId="65E017D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2.指导教师应认真研究和掌握本赛项比赛的技术规则和赛场要求，指导选手做好赛前的一切准备工作。</w:t>
      </w:r>
    </w:p>
    <w:p w14:paraId="75E2D94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3.指导教师应在赛后做好技术总结和工作总结。</w:t>
      </w:r>
    </w:p>
    <w:p w14:paraId="6F99446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（三）参赛选手须知</w:t>
      </w:r>
    </w:p>
    <w:p w14:paraId="618B707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1.参赛选手严格遵守赛场规章、操作规程和工艺准则，保证人身及设备安全，接受裁判员的监督和警示，文明竞赛。</w:t>
      </w:r>
    </w:p>
    <w:p w14:paraId="0D043A9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2.参赛选手凭证进入赛场，在赛场内操作期间应当始终佩戴参赛凭证以备检查。</w:t>
      </w:r>
    </w:p>
    <w:p w14:paraId="14F75AE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3.竞赛期间不准携带任何通讯工具、移动存储器、照相器材等与竞赛无关的用品，否则取消该队参赛资格。</w:t>
      </w:r>
    </w:p>
    <w:p w14:paraId="72977A8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4.尊重裁判和赛场工作人员，自觉遵守赛场纪律和秩序。</w:t>
      </w:r>
    </w:p>
    <w:p w14:paraId="71A80FD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5.参赛选手必须严格遵守操作规程和工艺准则，接受裁判员的监督和警示，保证人身及设备安全；因操作失误，致使设备发生短路、烧坏电机、变频器或PLC等重要设备的事故，致使设备不能正常工作，或发生人身安全事故不能进行竞赛的，裁判有权终止竞赛。</w:t>
      </w:r>
    </w:p>
    <w:p w14:paraId="424913B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6.入场后，选手必须确认材料、工具、量具等是否齐全，开赛信号发出前不能启动设备；竞赛过程中，各竞赛队自行确定分工、工作程序和时间安排，在赛位上完成竞赛项目，严禁作弊行为；饮水等由赛场统一提供。</w:t>
      </w:r>
    </w:p>
    <w:p w14:paraId="417A679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7.凡在竞赛期间提前离开的选手作退赛处理。</w:t>
      </w:r>
    </w:p>
    <w:p w14:paraId="1430F09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8.在竞赛中如遇非人为因素造成的设备故障，经裁判确认后，可向裁判长申请补足排除故障的时间。查找设备故障原因及排除设备故障不属于竞赛内容。</w:t>
      </w:r>
    </w:p>
    <w:p w14:paraId="3E57BCA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9.参赛选手赛场外的管理由各参赛队领队和指导教师负责。</w:t>
      </w:r>
    </w:p>
    <w:p w14:paraId="06853AB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10.参赛选手须达到电工职业资格安全标准的要求。</w:t>
      </w:r>
    </w:p>
    <w:p w14:paraId="2B26B6D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11.参赛队欲提前结束竞赛，应向现场裁判举手示意，竞赛所用时间由现场裁判记录。结束竞赛后参赛队不能进行任何与竞赛相关的操作。</w:t>
      </w:r>
    </w:p>
    <w:p w14:paraId="1DAFD1C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12.各竞赛队按照大赛要求和赛题要求提交递交竞赛成果，禁止在竞赛成果上做任何与竞赛无关的记号。</w:t>
      </w:r>
    </w:p>
    <w:p w14:paraId="6D50D7D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13.竞赛操作结束后，参赛队要确认成功提交竞赛要求的文件，裁判员在比赛结果的规定位置做标记，并与参赛队一起签字确认。</w:t>
      </w:r>
    </w:p>
    <w:p w14:paraId="74559A9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outlineLvl w:val="1"/>
        <w:rPr>
          <w:rFonts w:hint="default" w:ascii="方正楷体_GB2312" w:hAnsi="方正楷体_GB2312" w:eastAsia="方正楷体_GB2312" w:cs="方正楷体_GB2312"/>
          <w:b w:val="0"/>
          <w:bCs w:val="0"/>
          <w:snapToGrid/>
          <w:kern w:val="2"/>
          <w:sz w:val="32"/>
          <w:szCs w:val="32"/>
          <w:lang w:val="en-US" w:eastAsia="zh-CN"/>
        </w:rPr>
      </w:pPr>
      <w:r>
        <w:rPr>
          <w:rFonts w:hint="eastAsia" w:ascii="方正楷体_GB2312" w:hAnsi="方正楷体_GB2312" w:eastAsia="方正楷体_GB2312" w:cs="方正楷体_GB2312"/>
          <w:b w:val="0"/>
          <w:bCs w:val="0"/>
          <w:snapToGrid/>
          <w:kern w:val="2"/>
          <w:sz w:val="32"/>
          <w:szCs w:val="32"/>
          <w:lang w:val="en-US" w:eastAsia="zh-CN"/>
        </w:rPr>
        <w:t>（四）工作人员须知</w:t>
      </w:r>
    </w:p>
    <w:p w14:paraId="016110F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1.工作人员必须服从赛项执委会统一指挥，佩戴工作人员标识，认真履行职责，做好大赛服务工作。</w:t>
      </w:r>
    </w:p>
    <w:p w14:paraId="6A7D476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2.工作人员按照分工准时上岗，不得擅自离岗，应认真履行各自的工作职责，保证大赛工作的顺利进行。</w:t>
      </w:r>
    </w:p>
    <w:p w14:paraId="3B664DF9">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3.工作人员应在规定的区域内工作，未经许可，不得擅自进入大赛场地。如需进场，需经过裁判长同意，核准证件，由裁判跟随</w:t>
      </w:r>
      <w:r>
        <w:rPr>
          <w:rFonts w:hint="default" w:ascii="仿宋_GB2312" w:hAnsi="仿宋_GB2312" w:eastAsia="仿宋_GB2312" w:cs="仿宋_GB2312"/>
          <w:snapToGrid/>
          <w:kern w:val="2"/>
          <w:sz w:val="32"/>
          <w:szCs w:val="32"/>
          <w:lang w:val="en-US" w:eastAsia="zh-CN"/>
        </w:rPr>
        <w:t>入场。</w:t>
      </w:r>
    </w:p>
    <w:p w14:paraId="7D3676D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4.如遇突发事件，须及时向裁判员报告，同时做好疏导工作，避免重大事故发生，确保大赛圆满成功。</w:t>
      </w:r>
    </w:p>
    <w:p w14:paraId="3E4197B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5.大赛期间，工作人员不得干涉职责之外的事宜，不得利用工作之便，弄虚作假、徇私舞弊。如有上述现象或因工作不负责任的情况，造成大赛程序无法继续进行，由赛项执委会视情节轻重，给予通报批评或停止工作，并通知其所在单位做出相应处理。</w:t>
      </w:r>
    </w:p>
    <w:p w14:paraId="1D459F8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十五、申诉与仲裁</w:t>
      </w:r>
    </w:p>
    <w:p w14:paraId="4B643B5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1.各参赛队对不符合赛项规程规定的仪器、设备、工装、材料、物件、计算机软硬件、竞赛使用工具、用品，竞赛执裁、赛场管理，以及工作人员的不规范行为等，可向赛项监督仲裁组提出申诉。申诉主体为参赛队领队，参赛队领队可在申诉受理时间段内向监督仲裁组提出书面申诉。</w:t>
      </w:r>
    </w:p>
    <w:p w14:paraId="2C93178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2.书面申诉报告应对申诉事件的现象、发生时间、涉及人员、申诉依据等进行充分、实事求是的叙述，并由领队签名。非书面申诉不予受理。</w:t>
      </w:r>
    </w:p>
    <w:p w14:paraId="314516D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3.提出申诉的时间应在比赛结束后2小时内，超过时效不予受理。赛项仲裁工作在接到申诉报告后的2小时内组织复议，并及时将复议结果以书面形式告知申诉方。申诉方对复议结果仍有异议，可由参赛队领队向赛区仲裁委员会提出申诉。赛区仲裁委员会的仲裁结果为最终结果。</w:t>
      </w:r>
    </w:p>
    <w:p w14:paraId="13D40BD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4.仲裁结果由申诉人签收，不能代收，如在约定时间和地点申诉人离开，视为自行放弃申诉。</w:t>
      </w:r>
    </w:p>
    <w:p w14:paraId="621DF3F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5.申诉方可随时提出放弃申诉。</w:t>
      </w:r>
    </w:p>
    <w:p w14:paraId="1EAB6FB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6.申诉方不得以任何理由采取过激行为扰乱赛场秩序。</w:t>
      </w:r>
    </w:p>
    <w:sectPr>
      <w:footerReference r:id="rId5" w:type="default"/>
      <w:pgSz w:w="11906" w:h="16838"/>
      <w:pgMar w:top="2098" w:right="1474" w:bottom="1984" w:left="1587" w:header="0" w:footer="1134"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8313852-834E-41AB-BF37-DA0A01F98CE2}"/>
  </w:font>
  <w:font w:name="黑体">
    <w:panose1 w:val="02010609060101010101"/>
    <w:charset w:val="86"/>
    <w:family w:val="auto"/>
    <w:pitch w:val="default"/>
    <w:sig w:usb0="800002BF" w:usb1="38CF7CFA" w:usb2="00000016" w:usb3="00000000" w:csb0="00040001" w:csb1="00000000"/>
    <w:embedRegular r:id="rId2" w:fontKey="{C3507D66-20EB-4754-8804-DC61596E8C3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9BEDEAF5-1B24-4687-A775-D7362D477D2E}"/>
  </w:font>
  <w:font w:name="仿宋">
    <w:panose1 w:val="02010609060101010101"/>
    <w:charset w:val="86"/>
    <w:family w:val="auto"/>
    <w:pitch w:val="default"/>
    <w:sig w:usb0="800002BF" w:usb1="38CF7CFA" w:usb2="00000016" w:usb3="00000000" w:csb0="00040001" w:csb1="00000000"/>
    <w:embedRegular r:id="rId4" w:fontKey="{E90E8CD6-BB1C-4057-8D86-A8BA1A700D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方正仿宋_GB2312">
    <w:panose1 w:val="02000000000000000000"/>
    <w:charset w:val="86"/>
    <w:family w:val="auto"/>
    <w:pitch w:val="default"/>
    <w:sig w:usb0="A00002BF" w:usb1="184F6CFA" w:usb2="00000012" w:usb3="00000000" w:csb0="00040001" w:csb1="00000000"/>
    <w:embedRegular r:id="rId5" w:fontKey="{E6603E87-A4C9-43F2-9ED6-D2591B6A5435}"/>
  </w:font>
  <w:font w:name="方正楷体_GB2312">
    <w:panose1 w:val="02000000000000000000"/>
    <w:charset w:val="86"/>
    <w:family w:val="auto"/>
    <w:pitch w:val="default"/>
    <w:sig w:usb0="A00002BF" w:usb1="184F6CFA" w:usb2="00000012" w:usb3="00000000" w:csb0="00040001" w:csb1="00000000"/>
    <w:embedRegular r:id="rId6" w:fontKey="{6A2223FE-E399-4097-8E97-F31A0423F14A}"/>
  </w:font>
  <w:font w:name="WPSEMBED3">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embedRegular r:id="rId7" w:fontKey="{5158CE18-B39F-4CD1-88AB-425A3DBAF60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75C86">
    <w:pPr>
      <w:spacing w:line="186" w:lineRule="auto"/>
      <w:ind w:left="7858"/>
      <w:rPr>
        <w:rFonts w:ascii="Times New Roman" w:hAnsi="Times New Roman" w:eastAsia="Times New Roman" w:cs="Times New Roman"/>
        <w:sz w:val="39"/>
        <w:szCs w:val="39"/>
      </w:rPr>
    </w:pPr>
    <w:r>
      <w:rPr>
        <w:sz w:val="39"/>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026DDF">
                          <w:pPr>
                            <w:pStyle w:val="4"/>
                          </w:pPr>
                          <w:r>
                            <w:t xml:space="preserve">— </w:t>
                          </w:r>
                          <w:r>
                            <w:fldChar w:fldCharType="begin"/>
                          </w:r>
                          <w:r>
                            <w:instrText xml:space="preserve"> PAGE  \* MERGEFORMAT </w:instrText>
                          </w:r>
                          <w:r>
                            <w:fldChar w:fldCharType="separate"/>
                          </w:r>
                          <w:r>
                            <w:t>26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B026DDF">
                    <w:pPr>
                      <w:pStyle w:val="4"/>
                    </w:pPr>
                    <w:r>
                      <w:t xml:space="preserve">— </w:t>
                    </w:r>
                    <w:r>
                      <w:fldChar w:fldCharType="begin"/>
                    </w:r>
                    <w:r>
                      <w:instrText xml:space="preserve"> PAGE  \* MERGEFORMAT </w:instrText>
                    </w:r>
                    <w:r>
                      <w:fldChar w:fldCharType="separate"/>
                    </w:r>
                    <w:r>
                      <w:t>26</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2B120A"/>
    <w:rsid w:val="00375332"/>
    <w:rsid w:val="00B15DA9"/>
    <w:rsid w:val="00BC3A1F"/>
    <w:rsid w:val="010B3C0B"/>
    <w:rsid w:val="01A85D51"/>
    <w:rsid w:val="03265180"/>
    <w:rsid w:val="04AC5B58"/>
    <w:rsid w:val="04D74983"/>
    <w:rsid w:val="04FC263C"/>
    <w:rsid w:val="07302A71"/>
    <w:rsid w:val="07B611C8"/>
    <w:rsid w:val="08EE04EE"/>
    <w:rsid w:val="0BF528DE"/>
    <w:rsid w:val="0BFC5617"/>
    <w:rsid w:val="0C1666D9"/>
    <w:rsid w:val="0C3C77C2"/>
    <w:rsid w:val="0C75617E"/>
    <w:rsid w:val="0D613984"/>
    <w:rsid w:val="0D6416B8"/>
    <w:rsid w:val="0DE85E53"/>
    <w:rsid w:val="0E1A0028"/>
    <w:rsid w:val="0ED91C40"/>
    <w:rsid w:val="0F0549A4"/>
    <w:rsid w:val="0FA91612"/>
    <w:rsid w:val="1107074A"/>
    <w:rsid w:val="111D5E14"/>
    <w:rsid w:val="117A3266"/>
    <w:rsid w:val="12A367ED"/>
    <w:rsid w:val="12D469A6"/>
    <w:rsid w:val="12F72695"/>
    <w:rsid w:val="13222922"/>
    <w:rsid w:val="13C46A1B"/>
    <w:rsid w:val="13D6674E"/>
    <w:rsid w:val="13FC61B5"/>
    <w:rsid w:val="14002FC9"/>
    <w:rsid w:val="147A17CF"/>
    <w:rsid w:val="15D54F0F"/>
    <w:rsid w:val="160B6B83"/>
    <w:rsid w:val="167A5AB7"/>
    <w:rsid w:val="171C6B6E"/>
    <w:rsid w:val="17F378CF"/>
    <w:rsid w:val="19E82D37"/>
    <w:rsid w:val="1A7F18ED"/>
    <w:rsid w:val="1AFA143C"/>
    <w:rsid w:val="1B762CF0"/>
    <w:rsid w:val="1BB1787F"/>
    <w:rsid w:val="1C577A1E"/>
    <w:rsid w:val="1C6341E6"/>
    <w:rsid w:val="1C83078D"/>
    <w:rsid w:val="1CD06430"/>
    <w:rsid w:val="1D8010B3"/>
    <w:rsid w:val="1EEE2B9E"/>
    <w:rsid w:val="1F5C21FD"/>
    <w:rsid w:val="1F9951FF"/>
    <w:rsid w:val="1FB738D7"/>
    <w:rsid w:val="20085EE1"/>
    <w:rsid w:val="2099122F"/>
    <w:rsid w:val="20A7394C"/>
    <w:rsid w:val="21042B4C"/>
    <w:rsid w:val="22EA5D72"/>
    <w:rsid w:val="231A0405"/>
    <w:rsid w:val="2329689A"/>
    <w:rsid w:val="23A777BF"/>
    <w:rsid w:val="257B04DA"/>
    <w:rsid w:val="25A42208"/>
    <w:rsid w:val="26A92787"/>
    <w:rsid w:val="26BC7B44"/>
    <w:rsid w:val="279A7D67"/>
    <w:rsid w:val="27A61EA5"/>
    <w:rsid w:val="27C97B0A"/>
    <w:rsid w:val="297840D8"/>
    <w:rsid w:val="298229DA"/>
    <w:rsid w:val="2A241B69"/>
    <w:rsid w:val="2A877FCC"/>
    <w:rsid w:val="2ABA0028"/>
    <w:rsid w:val="2ADB28FF"/>
    <w:rsid w:val="2AE337D3"/>
    <w:rsid w:val="2B465B0F"/>
    <w:rsid w:val="2B481888"/>
    <w:rsid w:val="2B9F12F8"/>
    <w:rsid w:val="2C4B7881"/>
    <w:rsid w:val="2CB573F1"/>
    <w:rsid w:val="2DF9330D"/>
    <w:rsid w:val="2E5642BC"/>
    <w:rsid w:val="2E586286"/>
    <w:rsid w:val="2EB51040"/>
    <w:rsid w:val="2EF57F78"/>
    <w:rsid w:val="2F3F11F4"/>
    <w:rsid w:val="2FBA3766"/>
    <w:rsid w:val="307355F9"/>
    <w:rsid w:val="316513E5"/>
    <w:rsid w:val="31684A32"/>
    <w:rsid w:val="31DE4CF4"/>
    <w:rsid w:val="34983880"/>
    <w:rsid w:val="355C2AFF"/>
    <w:rsid w:val="35CB1A33"/>
    <w:rsid w:val="36211653"/>
    <w:rsid w:val="36286E2C"/>
    <w:rsid w:val="36B10C29"/>
    <w:rsid w:val="36D16BD5"/>
    <w:rsid w:val="379A790F"/>
    <w:rsid w:val="383C2774"/>
    <w:rsid w:val="387E4B3B"/>
    <w:rsid w:val="397523E2"/>
    <w:rsid w:val="39E3559D"/>
    <w:rsid w:val="39E430C3"/>
    <w:rsid w:val="39F33306"/>
    <w:rsid w:val="3A0F6392"/>
    <w:rsid w:val="3B5E12EE"/>
    <w:rsid w:val="3CC7379A"/>
    <w:rsid w:val="3D224E5C"/>
    <w:rsid w:val="3DB81269"/>
    <w:rsid w:val="3E0B50C2"/>
    <w:rsid w:val="3E612F34"/>
    <w:rsid w:val="3ECD4126"/>
    <w:rsid w:val="3FA96941"/>
    <w:rsid w:val="40302BBE"/>
    <w:rsid w:val="41186412"/>
    <w:rsid w:val="42093594"/>
    <w:rsid w:val="42984458"/>
    <w:rsid w:val="435C1F1C"/>
    <w:rsid w:val="43A713E9"/>
    <w:rsid w:val="44ED3288"/>
    <w:rsid w:val="44FD4D0B"/>
    <w:rsid w:val="458163A0"/>
    <w:rsid w:val="45BD255B"/>
    <w:rsid w:val="467F03FC"/>
    <w:rsid w:val="475A49C5"/>
    <w:rsid w:val="47A53E92"/>
    <w:rsid w:val="48515DC8"/>
    <w:rsid w:val="49E113CD"/>
    <w:rsid w:val="4B0B4954"/>
    <w:rsid w:val="4B614545"/>
    <w:rsid w:val="4CD6689C"/>
    <w:rsid w:val="4F2E29BF"/>
    <w:rsid w:val="4F4F2935"/>
    <w:rsid w:val="500A342C"/>
    <w:rsid w:val="503F0BFC"/>
    <w:rsid w:val="512C73D2"/>
    <w:rsid w:val="529E1C09"/>
    <w:rsid w:val="52F1442F"/>
    <w:rsid w:val="53C41B44"/>
    <w:rsid w:val="541A5CB0"/>
    <w:rsid w:val="5563713A"/>
    <w:rsid w:val="57266671"/>
    <w:rsid w:val="578266DD"/>
    <w:rsid w:val="58094D1D"/>
    <w:rsid w:val="5A731BCE"/>
    <w:rsid w:val="5A785436"/>
    <w:rsid w:val="5B0D3DD0"/>
    <w:rsid w:val="5B4D68C3"/>
    <w:rsid w:val="5BF60D08"/>
    <w:rsid w:val="5CB14C2F"/>
    <w:rsid w:val="5CD728E8"/>
    <w:rsid w:val="5D421E4C"/>
    <w:rsid w:val="5D494E68"/>
    <w:rsid w:val="5D7E7207"/>
    <w:rsid w:val="5E3E0745"/>
    <w:rsid w:val="5E6A153A"/>
    <w:rsid w:val="5EFD0600"/>
    <w:rsid w:val="5FAD7930"/>
    <w:rsid w:val="5FC627A0"/>
    <w:rsid w:val="607D33CA"/>
    <w:rsid w:val="60AC0838"/>
    <w:rsid w:val="61926332"/>
    <w:rsid w:val="619C4100"/>
    <w:rsid w:val="62A10197"/>
    <w:rsid w:val="636724EC"/>
    <w:rsid w:val="637F3391"/>
    <w:rsid w:val="63BF7C32"/>
    <w:rsid w:val="63F84A67"/>
    <w:rsid w:val="650730DA"/>
    <w:rsid w:val="651D7306"/>
    <w:rsid w:val="652C63CF"/>
    <w:rsid w:val="656071F2"/>
    <w:rsid w:val="657038D9"/>
    <w:rsid w:val="65BD4645"/>
    <w:rsid w:val="65CC6636"/>
    <w:rsid w:val="663012BB"/>
    <w:rsid w:val="67170A7A"/>
    <w:rsid w:val="67AC1670"/>
    <w:rsid w:val="67CB74FC"/>
    <w:rsid w:val="69E5416A"/>
    <w:rsid w:val="6A127EF9"/>
    <w:rsid w:val="6C5D623A"/>
    <w:rsid w:val="6CBF5146"/>
    <w:rsid w:val="6DCA34AB"/>
    <w:rsid w:val="6F1654F2"/>
    <w:rsid w:val="6F5B73A8"/>
    <w:rsid w:val="6F9B77A5"/>
    <w:rsid w:val="706C6A24"/>
    <w:rsid w:val="70CD6084"/>
    <w:rsid w:val="713734FD"/>
    <w:rsid w:val="719170B1"/>
    <w:rsid w:val="726D188A"/>
    <w:rsid w:val="728704B4"/>
    <w:rsid w:val="72C60FDD"/>
    <w:rsid w:val="72F316A6"/>
    <w:rsid w:val="72FD0776"/>
    <w:rsid w:val="74324450"/>
    <w:rsid w:val="74890514"/>
    <w:rsid w:val="74AA2238"/>
    <w:rsid w:val="75031BCE"/>
    <w:rsid w:val="753961D2"/>
    <w:rsid w:val="75B769B0"/>
    <w:rsid w:val="76CE0460"/>
    <w:rsid w:val="7772528F"/>
    <w:rsid w:val="782D565A"/>
    <w:rsid w:val="78397B5B"/>
    <w:rsid w:val="783B1B25"/>
    <w:rsid w:val="79921C19"/>
    <w:rsid w:val="7BC10593"/>
    <w:rsid w:val="7CC85951"/>
    <w:rsid w:val="7D0C3A90"/>
    <w:rsid w:val="7D20578D"/>
    <w:rsid w:val="7E1C5F55"/>
    <w:rsid w:val="7F8659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3"/>
    <w:basedOn w:val="1"/>
    <w:next w:val="1"/>
    <w:qFormat/>
    <w:uiPriority w:val="0"/>
    <w:pPr>
      <w:keepNext/>
      <w:keepLines/>
      <w:spacing w:before="260" w:after="260" w:line="413" w:lineRule="auto"/>
      <w:outlineLvl w:val="2"/>
    </w:pPr>
    <w:rPr>
      <w:rFonts w:ascii="Times New Roman" w:hAnsi="Times New Roman"/>
      <w:b/>
      <w:bCs/>
      <w:kern w:val="0"/>
      <w:sz w:val="32"/>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Body Text First Indent"/>
    <w:basedOn w:val="3"/>
    <w:qFormat/>
    <w:uiPriority w:val="0"/>
    <w:pPr>
      <w:spacing w:line="360" w:lineRule="auto"/>
      <w:ind w:firstLine="420" w:firstLineChars="100"/>
    </w:pPr>
    <w:rPr>
      <w:rFonts w:ascii="微软雅黑" w:hAnsi="微软雅黑" w:eastAsia="微软雅黑" w:cs="微软雅黑"/>
      <w:szCs w:val="21"/>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rPr>
      <w:rFonts w:ascii="宋体" w:hAnsi="宋体" w:eastAsia="宋体" w:cs="宋体"/>
      <w:sz w:val="45"/>
      <w:szCs w:val="45"/>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23</Pages>
  <Words>6107</Words>
  <Characters>6720</Characters>
  <TotalTime>1</TotalTime>
  <ScaleCrop>false</ScaleCrop>
  <LinksUpToDate>false</LinksUpToDate>
  <CharactersWithSpaces>6808</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2025-11-11T13:47:00Z</dcterms:created>
  <dc:creator>LENOVO</dc:creator>
  <cp:lastModifiedBy>李恬 </cp:lastModifiedBy>
  <dcterms:modified xsi:type="dcterms:W3CDTF">2026-10-21T10:04:27Z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2025-11-11T13:47:22Z</vt:filetime>
  </property>
  <property fmtid="{D5CDD505-2E9C-101B-9397-08002B2CF9AE}" pid="4" name="UsrData">
    <vt:lpwstr>6912cddd9e8319001fd3da1cwl</vt:lpwstr>
  </property>
  <property fmtid="{D5CDD505-2E9C-101B-9397-08002B2CF9AE}" pid="5" name="KSOProductBuildVer">
    <vt:lpwstr>2052-12.1.0.28505</vt:lpwstr>
  </property>
  <property fmtid="{D5CDD505-2E9C-101B-9397-08002B2CF9AE}" pid="6" name="ICV">
    <vt:lpwstr>B514CA28407D45999A4BECF469AC23C1_13</vt:lpwstr>
  </property>
  <property fmtid="{D5CDD505-2E9C-101B-9397-08002B2CF9AE}" pid="7" name="KSOTemplateDocerSaveRecord">
    <vt:lpwstr>eyJoZGlkIjoiMjY3MjgxNTc2NTBmZGEyZDc3ODk5MmE0MDY2OTY4YWMiLCJ1c2VySWQiOiI1Mjk4NDU0OTcifQ==</vt:lpwstr>
  </property>
</Properties>
</file>