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BD0F2">
      <w:pPr>
        <w:keepNext w:val="0"/>
        <w:keepLines w:val="0"/>
        <w:pageBreakBefore w:val="0"/>
        <w:widowControl w:val="0"/>
        <w:kinsoku/>
        <w:wordWrap/>
        <w:overflowPunct/>
        <w:topLinePunct w:val="0"/>
        <w:autoSpaceDE/>
        <w:autoSpaceDN/>
        <w:bidi w:val="0"/>
        <w:adjustRightInd/>
        <w:spacing w:before="0" w:beforeLines="0" w:after="0" w:afterLines="0" w:line="540" w:lineRule="exact"/>
        <w:jc w:val="center"/>
        <w:textAlignment w:val="auto"/>
        <w:outlineLvl w:val="0"/>
        <w:rPr>
          <w:rFonts w:ascii="Times New Roman" w:hAnsi="Times New Roman" w:eastAsia="方正小标宋简体" w:cs="Times New Roman"/>
          <w:sz w:val="32"/>
          <w:szCs w:val="32"/>
        </w:rPr>
      </w:pPr>
      <w:r>
        <w:rPr>
          <w:rFonts w:hint="eastAsia" w:ascii="Times New Roman" w:hAnsi="Times New Roman" w:eastAsia="方正小标宋简体" w:cs="Times New Roman"/>
          <w:sz w:val="36"/>
          <w:szCs w:val="36"/>
          <w:lang w:val="en-US" w:eastAsia="zh-CN"/>
        </w:rPr>
        <w:t>2026年海南省高等</w:t>
      </w:r>
      <w:r>
        <w:rPr>
          <w:rFonts w:ascii="Times New Roman" w:hAnsi="Times New Roman" w:eastAsia="方正小标宋简体" w:cs="Times New Roman"/>
          <w:sz w:val="36"/>
          <w:szCs w:val="36"/>
        </w:rPr>
        <w:t>职业院校技能大赛</w:t>
      </w:r>
    </w:p>
    <w:p w14:paraId="67F5135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jc w:val="center"/>
        <w:textAlignment w:val="auto"/>
        <w:outlineLvl w:val="0"/>
        <w:rPr>
          <w:rFonts w:hint="eastAsia" w:ascii="Times New Roman" w:hAnsi="Times New Roman" w:eastAsia="方正小标宋简体" w:cs="Times New Roman"/>
          <w:sz w:val="32"/>
          <w:szCs w:val="32"/>
        </w:rPr>
      </w:pPr>
      <w:r>
        <w:rPr>
          <w:rFonts w:hint="eastAsia" w:ascii="Times New Roman" w:hAnsi="Times New Roman" w:eastAsia="方正小标宋简体" w:cs="Times New Roman"/>
          <w:sz w:val="36"/>
          <w:szCs w:val="36"/>
          <w:lang w:val="en-US" w:eastAsia="zh-CN"/>
        </w:rPr>
        <w:t>船舶航行安全管理技术赛项规程</w:t>
      </w:r>
    </w:p>
    <w:p w14:paraId="75851520">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7BAD940E">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7E39FD1E">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40821FB5">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2BCDB74D">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2B9D8FEB">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4E572099">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62361530">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4AA42E00">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7D7E4CB8">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653CDDA6">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0256527F">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708EDD94">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660CD7D1">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1D8A7F49">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0695B546">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7DF5A055">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43839066">
      <w:pPr>
        <w:snapToGrid w:val="0"/>
        <w:spacing w:before="0" w:beforeLines="0" w:after="0" w:afterLines="0" w:line="540" w:lineRule="exact"/>
        <w:jc w:val="center"/>
        <w:rPr>
          <w:rFonts w:hint="eastAsia" w:ascii="Times New Roman" w:hAnsi="Times New Roman" w:eastAsia="方正小标宋简体" w:cs="Times New Roman"/>
          <w:sz w:val="32"/>
          <w:szCs w:val="32"/>
        </w:rPr>
      </w:pPr>
    </w:p>
    <w:p w14:paraId="67B585AC">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8"/>
          <w:szCs w:val="28"/>
        </w:rPr>
      </w:pPr>
    </w:p>
    <w:p w14:paraId="58AD3D5C">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8"/>
          <w:szCs w:val="28"/>
        </w:rPr>
      </w:pPr>
    </w:p>
    <w:p w14:paraId="2461461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8"/>
          <w:szCs w:val="28"/>
        </w:rPr>
      </w:pPr>
    </w:p>
    <w:p w14:paraId="577F7D72">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一、赛项名称</w:t>
      </w:r>
    </w:p>
    <w:p w14:paraId="44A39C8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rPr>
        <w:t>赛项名称：</w:t>
      </w:r>
      <w:r>
        <w:rPr>
          <w:rFonts w:hint="eastAsia" w:ascii="Times New Roman" w:hAnsi="Times New Roman" w:eastAsia="仿宋_GB2312" w:cs="Times New Roman"/>
          <w:sz w:val="28"/>
          <w:szCs w:val="28"/>
          <w:lang w:val="en-US" w:eastAsia="zh-CN"/>
        </w:rPr>
        <w:t>船舶航行安全管理技术</w:t>
      </w:r>
    </w:p>
    <w:p w14:paraId="5B31881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rPr>
      </w:pPr>
      <w:r>
        <w:rPr>
          <w:rFonts w:hint="eastAsia" w:ascii="Times New Roman" w:hAnsi="Times New Roman" w:eastAsia="仿宋_GB2312" w:cs="Times New Roman"/>
          <w:sz w:val="28"/>
          <w:szCs w:val="28"/>
        </w:rPr>
        <w:t>英文名称：Safety Management Technology of Ship Navigation</w:t>
      </w:r>
    </w:p>
    <w:p w14:paraId="637E84D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rPr>
      </w:pPr>
      <w:r>
        <w:rPr>
          <w:rFonts w:hint="eastAsia" w:ascii="Times New Roman" w:hAnsi="Times New Roman" w:eastAsia="仿宋_GB2312" w:cs="Times New Roman"/>
          <w:sz w:val="28"/>
          <w:szCs w:val="28"/>
        </w:rPr>
        <w:t>赛项组别：高职组</w:t>
      </w:r>
    </w:p>
    <w:p w14:paraId="3123EDF0">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default"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赛道组别：航海技术</w:t>
      </w:r>
    </w:p>
    <w:p w14:paraId="17742EE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rPr>
      </w:pPr>
      <w:r>
        <w:rPr>
          <w:rFonts w:hint="eastAsia" w:ascii="Times New Roman" w:hAnsi="Times New Roman" w:eastAsia="仿宋_GB2312" w:cs="Times New Roman"/>
          <w:sz w:val="28"/>
          <w:szCs w:val="28"/>
        </w:rPr>
        <w:t>赛项归属：</w:t>
      </w:r>
      <w:r>
        <w:rPr>
          <w:rFonts w:hint="eastAsia" w:ascii="Times New Roman" w:hAnsi="Times New Roman" w:eastAsia="仿宋_GB2312" w:cs="Times New Roman"/>
          <w:sz w:val="28"/>
          <w:szCs w:val="28"/>
          <w:lang w:val="en-US" w:eastAsia="zh-CN"/>
        </w:rPr>
        <w:t>水上运输</w:t>
      </w:r>
      <w:r>
        <w:rPr>
          <w:rFonts w:hint="eastAsia" w:ascii="Times New Roman" w:hAnsi="Times New Roman" w:eastAsia="仿宋_GB2312" w:cs="Times New Roman"/>
          <w:sz w:val="28"/>
          <w:szCs w:val="28"/>
        </w:rPr>
        <w:t>类</w:t>
      </w:r>
    </w:p>
    <w:p w14:paraId="325AC61F">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二、竞赛目的</w:t>
      </w:r>
    </w:p>
    <w:p w14:paraId="7204EB5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rPr>
      </w:pPr>
      <w:r>
        <w:rPr>
          <w:rFonts w:hint="eastAsia" w:ascii="Times New Roman" w:hAnsi="Times New Roman" w:eastAsia="仿宋_GB2312" w:cs="Times New Roman"/>
          <w:sz w:val="28"/>
          <w:szCs w:val="28"/>
        </w:rPr>
        <w:t>通过竞赛，检验、展示</w:t>
      </w:r>
      <w:r>
        <w:rPr>
          <w:rFonts w:hint="eastAsia" w:ascii="Times New Roman" w:hAnsi="Times New Roman" w:eastAsia="仿宋_GB2312" w:cs="Times New Roman"/>
          <w:sz w:val="28"/>
          <w:szCs w:val="28"/>
          <w:lang w:val="en-US" w:eastAsia="zh-CN"/>
        </w:rPr>
        <w:t>海南省</w:t>
      </w:r>
      <w:r>
        <w:rPr>
          <w:rFonts w:hint="eastAsia" w:ascii="Times New Roman" w:hAnsi="Times New Roman" w:eastAsia="仿宋_GB2312" w:cs="Times New Roman"/>
          <w:sz w:val="28"/>
          <w:szCs w:val="28"/>
        </w:rPr>
        <w:t>高职院校水上运输类相关专业教学改革成果以及学生岗位通用技能与职业能力，引领和促进院校相关专业教学改革，充分发挥大赛对职业教育“树旗、导航、定标、催化”作用，激发和调动行业、企业关注和参与职业教育的主动性和积极性，提升职业教育的吸引力和人才培养水平。</w:t>
      </w:r>
    </w:p>
    <w:p w14:paraId="42B6BA3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rPr>
      </w:pPr>
      <w:r>
        <w:rPr>
          <w:rFonts w:hint="eastAsia" w:ascii="Times New Roman" w:hAnsi="Times New Roman" w:eastAsia="仿宋_GB2312" w:cs="Times New Roman"/>
          <w:sz w:val="28"/>
          <w:szCs w:val="28"/>
        </w:rPr>
        <w:t>本项竞赛，重点检验参赛选手货物配载方案编制、航海图书管理、航行路线绘制、航行风险评估、引导船舶安全航行、保持正规瞭望、避免船舶碰撞、突发航行事件处置的综合职业技能、团队协作能力和航海职业素养。同时，考核参赛选手统筹交通状况、水文气象、仪器设备等综合因素的分析能力和工作效率，提升参赛选手安全意识、环保意识和规则意识等职业素养。引领</w:t>
      </w:r>
      <w:r>
        <w:rPr>
          <w:rFonts w:hint="eastAsia" w:ascii="Times New Roman" w:hAnsi="Times New Roman" w:eastAsia="仿宋_GB2312" w:cs="Times New Roman"/>
          <w:sz w:val="28"/>
          <w:szCs w:val="28"/>
          <w:lang w:val="en-US" w:eastAsia="zh-CN"/>
        </w:rPr>
        <w:t>海南省</w:t>
      </w:r>
      <w:r>
        <w:rPr>
          <w:rFonts w:hint="eastAsia" w:ascii="Times New Roman" w:hAnsi="Times New Roman" w:eastAsia="仿宋_GB2312" w:cs="Times New Roman"/>
          <w:sz w:val="28"/>
          <w:szCs w:val="28"/>
        </w:rPr>
        <w:t>高职院校水上运输类专业建设、实训基地建设，提升师资队伍能力，优化课程教学改革，促进岗课赛证、工学结合人才培养模式的深入推广，提升水上运输类专业学生实践动手能力，促进船舶安全生产管理精通、专业实践技能娴熟、善于创新的高素质现代航运技术技能型人才的培养。</w:t>
      </w:r>
    </w:p>
    <w:p w14:paraId="5FB3372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三、竞赛内容</w:t>
      </w:r>
    </w:p>
    <w:p w14:paraId="629561C2">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（一）配载计划编制</w:t>
      </w:r>
    </w:p>
    <w:p w14:paraId="5372AD2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1.货物资料收集与分析：能根据船舶资料，判断船舶容重性能和静水力性能，能根据货物资料，判断货物特性，并核算船舶载货能力。</w:t>
      </w:r>
    </w:p>
    <w:p w14:paraId="05E2375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2.拟定配载方案：按舱容比分配各舱货物重量，正确安排各票货物的舱位和货位，保证货物运输质量。</w:t>
      </w:r>
    </w:p>
    <w:p w14:paraId="38C549D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船舶稳性核算：能计算船舶初稳性的衡量指标GM，并判断是否符合稳性规则对初稳性的要求；能正确判断自由液面、载荷移动、重量增减、货物悬挂对船舶初稳性的影响；能保证整个航次中稳性状况始终处在安全限度之内。</w:t>
      </w:r>
    </w:p>
    <w:p w14:paraId="2ABD6DD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4.船舶强度核算：能正确判断货物操作对船舶总纵强度的影响；能正确判断货物操作对船舶局部强度的影响。</w:t>
      </w:r>
    </w:p>
    <w:p w14:paraId="5C4304B0">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5.船舶吃水差核算：能正确计算吃水差，能通过调整货物或加压载水的方法，使船舶的纵向浮态满足一定的要求。</w:t>
      </w:r>
    </w:p>
    <w:p w14:paraId="00083B63">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（二）船舶航行值班</w:t>
      </w:r>
    </w:p>
    <w:p w14:paraId="35F8CF1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1.船舶操纵技能：各种航行状态下保持正规瞭望，能有效控制船速，能保持船舶定向航行，能在风流中控制好船位和航向，能根据国际海上避碰规则采取行动避免碰撞。</w:t>
      </w:r>
    </w:p>
    <w:p w14:paraId="4C81757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2.船舶定位与导航技能：正确查阅、运用航海图书资料助航信息，能合理制定航行计划，能熟练使用各类助航仪器，准确识别、运用助航标志，能合理利用多种定位方式确定船位，引导船舶安全航行。</w:t>
      </w:r>
    </w:p>
    <w:p w14:paraId="14D4E62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3.船舶交流技能：根据海上通信规则，熟练操作通信设备，能运用IMO标准用语进行船间交流，船岸交流，能高效进行内部沟通。</w:t>
      </w:r>
    </w:p>
    <w:p w14:paraId="643ABA6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4.船舶应急技能：能够有效运用、管理驾驶台资源，提升主机故障、舵机故障、全船失电等船舶紧急情况下的船舶应急应变能力。</w:t>
      </w:r>
    </w:p>
    <w:p w14:paraId="7CE5FF5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赛项各模块设置、竞赛内容、比赛时间和分值占比如下：</w:t>
      </w:r>
    </w:p>
    <w:tbl>
      <w:tblPr>
        <w:tblStyle w:val="5"/>
        <w:tblW w:w="48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4"/>
        <w:gridCol w:w="1172"/>
        <w:gridCol w:w="4192"/>
        <w:gridCol w:w="1216"/>
        <w:gridCol w:w="946"/>
      </w:tblGrid>
      <w:tr w14:paraId="10E51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4" w:hRule="atLeast"/>
          <w:jc w:val="center"/>
        </w:trPr>
        <w:tc>
          <w:tcPr>
            <w:tcW w:w="1373" w:type="pct"/>
            <w:gridSpan w:val="2"/>
            <w:noWrap w:val="0"/>
            <w:vAlign w:val="center"/>
          </w:tcPr>
          <w:p w14:paraId="21D34055">
            <w:pPr>
              <w:adjustRightInd w:val="0"/>
              <w:snapToGrid w:val="0"/>
              <w:spacing w:before="0" w:after="0" w:line="300" w:lineRule="auto"/>
              <w:jc w:val="center"/>
              <w:rPr>
                <w:rFonts w:hint="eastAsia" w:ascii="仿宋_GB2312" w:hAnsi="仿宋_GB2312" w:eastAsia="仿宋_GB2312" w:cs="仿宋_GB2312"/>
                <w:b/>
                <w:sz w:val="24"/>
                <w:szCs w:val="28"/>
              </w:rPr>
            </w:pPr>
            <w:r>
              <w:rPr>
                <w:rFonts w:hint="eastAsia" w:ascii="Times New Roman" w:hAnsi="Times New Roman" w:eastAsia="宋体" w:cs="Times New Roman"/>
                <w:b/>
                <w:bCs/>
                <w:sz w:val="24"/>
                <w:szCs w:val="24"/>
              </w:rPr>
              <w:t>模块</w:t>
            </w:r>
          </w:p>
        </w:tc>
        <w:tc>
          <w:tcPr>
            <w:tcW w:w="2392" w:type="pct"/>
            <w:noWrap w:val="0"/>
            <w:vAlign w:val="center"/>
          </w:tcPr>
          <w:p w14:paraId="2117B1C4">
            <w:pPr>
              <w:adjustRightInd w:val="0"/>
              <w:snapToGrid w:val="0"/>
              <w:spacing w:before="0" w:after="0" w:line="300" w:lineRule="auto"/>
              <w:jc w:val="center"/>
              <w:rPr>
                <w:rFonts w:hint="eastAsia" w:ascii="仿宋_GB2312" w:hAnsi="仿宋_GB2312" w:eastAsia="仿宋_GB2312" w:cs="仿宋_GB2312"/>
                <w:b/>
                <w:sz w:val="24"/>
                <w:szCs w:val="28"/>
              </w:rPr>
            </w:pPr>
            <w:r>
              <w:rPr>
                <w:rFonts w:hint="eastAsia" w:ascii="Times New Roman" w:hAnsi="Times New Roman" w:eastAsia="宋体" w:cs="Times New Roman"/>
                <w:b/>
                <w:bCs/>
                <w:sz w:val="24"/>
                <w:szCs w:val="24"/>
              </w:rPr>
              <w:t>主要内容</w:t>
            </w:r>
          </w:p>
        </w:tc>
        <w:tc>
          <w:tcPr>
            <w:tcW w:w="694" w:type="pct"/>
            <w:noWrap w:val="0"/>
            <w:vAlign w:val="center"/>
          </w:tcPr>
          <w:p w14:paraId="0BB7BD2A">
            <w:pPr>
              <w:adjustRightInd w:val="0"/>
              <w:snapToGrid w:val="0"/>
              <w:spacing w:before="0" w:after="0" w:line="300" w:lineRule="auto"/>
              <w:jc w:val="center"/>
              <w:rPr>
                <w:rFonts w:hint="eastAsia" w:ascii="仿宋_GB2312" w:hAnsi="仿宋_GB2312" w:eastAsia="仿宋_GB2312" w:cs="仿宋_GB2312"/>
                <w:b/>
                <w:sz w:val="24"/>
                <w:szCs w:val="28"/>
              </w:rPr>
            </w:pPr>
            <w:r>
              <w:rPr>
                <w:rFonts w:hint="eastAsia" w:ascii="Times New Roman" w:hAnsi="Times New Roman" w:eastAsia="宋体" w:cs="Times New Roman"/>
                <w:b/>
                <w:bCs/>
                <w:sz w:val="24"/>
                <w:szCs w:val="24"/>
              </w:rPr>
              <w:t>比赛时长</w:t>
            </w:r>
          </w:p>
        </w:tc>
        <w:tc>
          <w:tcPr>
            <w:tcW w:w="540" w:type="pct"/>
            <w:noWrap w:val="0"/>
            <w:vAlign w:val="center"/>
          </w:tcPr>
          <w:p w14:paraId="06B3CD5B">
            <w:pPr>
              <w:adjustRightInd w:val="0"/>
              <w:snapToGrid w:val="0"/>
              <w:spacing w:before="0" w:after="0" w:line="300" w:lineRule="auto"/>
              <w:jc w:val="center"/>
              <w:rPr>
                <w:rFonts w:hint="eastAsia" w:ascii="仿宋_GB2312" w:hAnsi="仿宋_GB2312" w:eastAsia="仿宋_GB2312" w:cs="仿宋_GB2312"/>
                <w:b/>
                <w:sz w:val="24"/>
                <w:szCs w:val="28"/>
              </w:rPr>
            </w:pPr>
            <w:r>
              <w:rPr>
                <w:rFonts w:hint="eastAsia" w:ascii="Times New Roman" w:hAnsi="Times New Roman" w:eastAsia="宋体" w:cs="Times New Roman"/>
                <w:b/>
                <w:bCs/>
                <w:sz w:val="24"/>
                <w:szCs w:val="24"/>
              </w:rPr>
              <w:t>分值</w:t>
            </w:r>
          </w:p>
        </w:tc>
      </w:tr>
      <w:tr w14:paraId="480DB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jc w:val="center"/>
        </w:trPr>
        <w:tc>
          <w:tcPr>
            <w:tcW w:w="704" w:type="pct"/>
            <w:noWrap w:val="0"/>
            <w:vAlign w:val="center"/>
          </w:tcPr>
          <w:p w14:paraId="0B1E140B">
            <w:pPr>
              <w:adjustRightInd w:val="0"/>
              <w:snapToGrid w:val="0"/>
              <w:spacing w:before="0" w:after="0" w:line="300" w:lineRule="auto"/>
              <w:jc w:val="center"/>
              <w:rPr>
                <w:rFonts w:hint="eastAsia" w:ascii="仿宋_GB2312" w:hAnsi="仿宋_GB2312" w:eastAsia="仿宋_GB2312" w:cs="仿宋_GB2312"/>
                <w:b/>
                <w:sz w:val="24"/>
              </w:rPr>
            </w:pPr>
            <w:r>
              <w:rPr>
                <w:rFonts w:hint="eastAsia" w:ascii="Times New Roman" w:hAnsi="Times New Roman" w:eastAsia="仿宋_GB2312" w:cs="Times New Roman"/>
                <w:b w:val="0"/>
                <w:sz w:val="21"/>
                <w:szCs w:val="21"/>
              </w:rPr>
              <w:t>模块一</w:t>
            </w:r>
          </w:p>
        </w:tc>
        <w:tc>
          <w:tcPr>
            <w:tcW w:w="669" w:type="pct"/>
            <w:noWrap w:val="0"/>
            <w:vAlign w:val="center"/>
          </w:tcPr>
          <w:p w14:paraId="3FF14482">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商船货物配载</w:t>
            </w:r>
          </w:p>
        </w:tc>
        <w:tc>
          <w:tcPr>
            <w:tcW w:w="2392" w:type="pct"/>
            <w:noWrap w:val="0"/>
            <w:vAlign w:val="center"/>
          </w:tcPr>
          <w:p w14:paraId="59F893DC">
            <w:pPr>
              <w:spacing w:before="0" w:after="0" w:line="300" w:lineRule="auto"/>
              <w:rPr>
                <w:rFonts w:hint="eastAsia" w:ascii="仿宋_GB2312" w:hAnsi="仿宋_GB2312" w:eastAsia="仿宋_GB2312" w:cs="仿宋_GB2312"/>
                <w:sz w:val="24"/>
              </w:rPr>
            </w:pPr>
            <w:r>
              <w:rPr>
                <w:rFonts w:hint="eastAsia" w:ascii="Times New Roman" w:hAnsi="Times New Roman" w:eastAsia="仿宋_GB2312" w:cs="Times New Roman"/>
                <w:sz w:val="21"/>
                <w:szCs w:val="21"/>
              </w:rPr>
              <w:t>核算船舶载货能力；按舱容比分配各舱货物重量；拟定初配方案；全面检查初配方案；核算船舶稳性、吃水差和纵强度；绘制正式配载图等</w:t>
            </w:r>
          </w:p>
        </w:tc>
        <w:tc>
          <w:tcPr>
            <w:tcW w:w="694" w:type="pct"/>
            <w:noWrap w:val="0"/>
            <w:vAlign w:val="center"/>
          </w:tcPr>
          <w:p w14:paraId="61A1C19D">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4h</w:t>
            </w:r>
          </w:p>
        </w:tc>
        <w:tc>
          <w:tcPr>
            <w:tcW w:w="540" w:type="pct"/>
            <w:noWrap w:val="0"/>
            <w:vAlign w:val="center"/>
          </w:tcPr>
          <w:p w14:paraId="1FFD5092">
            <w:pPr>
              <w:spacing w:before="0" w:after="0" w:line="300" w:lineRule="auto"/>
              <w:jc w:val="center"/>
              <w:rPr>
                <w:rFonts w:hint="default" w:ascii="仿宋_GB2312" w:hAnsi="仿宋_GB2312" w:eastAsia="仿宋_GB2312" w:cs="仿宋_GB2312"/>
                <w:sz w:val="24"/>
                <w:lang w:val="en-US"/>
              </w:rPr>
            </w:pPr>
            <w:r>
              <w:rPr>
                <w:rFonts w:hint="eastAsia" w:ascii="Times New Roman" w:hAnsi="Times New Roman" w:eastAsia="仿宋_GB2312" w:cs="Times New Roman"/>
                <w:sz w:val="21"/>
                <w:szCs w:val="21"/>
                <w:lang w:val="en-US" w:eastAsia="zh-CN"/>
              </w:rPr>
              <w:t>100</w:t>
            </w:r>
          </w:p>
        </w:tc>
      </w:tr>
      <w:tr w14:paraId="6D12E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jc w:val="center"/>
        </w:trPr>
        <w:tc>
          <w:tcPr>
            <w:tcW w:w="704" w:type="pct"/>
            <w:noWrap w:val="0"/>
            <w:vAlign w:val="center"/>
          </w:tcPr>
          <w:p w14:paraId="24037C95">
            <w:pPr>
              <w:adjustRightInd w:val="0"/>
              <w:snapToGrid w:val="0"/>
              <w:spacing w:before="0" w:after="0" w:line="300" w:lineRule="auto"/>
              <w:jc w:val="center"/>
              <w:rPr>
                <w:rFonts w:hint="eastAsia" w:ascii="仿宋_GB2312" w:hAnsi="仿宋_GB2312" w:eastAsia="仿宋_GB2312" w:cs="仿宋_GB2312"/>
                <w:b/>
                <w:sz w:val="24"/>
                <w:lang w:val="en-US" w:eastAsia="zh-CN"/>
              </w:rPr>
            </w:pPr>
            <w:r>
              <w:rPr>
                <w:rFonts w:hint="eastAsia" w:ascii="Times New Roman" w:hAnsi="Times New Roman" w:eastAsia="仿宋_GB2312" w:cs="Times New Roman"/>
                <w:b w:val="0"/>
                <w:sz w:val="21"/>
                <w:szCs w:val="21"/>
              </w:rPr>
              <w:t>模块</w:t>
            </w:r>
            <w:r>
              <w:rPr>
                <w:rFonts w:hint="eastAsia" w:ascii="Times New Roman" w:hAnsi="Times New Roman" w:eastAsia="仿宋_GB2312" w:cs="Times New Roman"/>
                <w:b w:val="0"/>
                <w:sz w:val="21"/>
                <w:szCs w:val="21"/>
                <w:lang w:val="en-US" w:eastAsia="zh-CN"/>
              </w:rPr>
              <w:t>二</w:t>
            </w:r>
          </w:p>
        </w:tc>
        <w:tc>
          <w:tcPr>
            <w:tcW w:w="669" w:type="pct"/>
            <w:noWrap w:val="0"/>
            <w:vAlign w:val="center"/>
          </w:tcPr>
          <w:p w14:paraId="355C7D34">
            <w:pPr>
              <w:spacing w:before="0" w:after="0" w:line="300" w:lineRule="auto"/>
              <w:jc w:val="center"/>
              <w:rPr>
                <w:rFonts w:hint="eastAsia" w:ascii="仿宋_GB2312" w:hAnsi="仿宋_GB2312" w:eastAsia="仿宋_GB2312" w:cs="仿宋_GB2312"/>
                <w:sz w:val="24"/>
                <w:lang w:eastAsia="zh-CN"/>
              </w:rPr>
            </w:pPr>
            <w:r>
              <w:rPr>
                <w:rFonts w:hint="eastAsia" w:eastAsia="仿宋_GB2312" w:cs="Times New Roman"/>
                <w:sz w:val="21"/>
                <w:szCs w:val="21"/>
                <w:lang w:val="en-US" w:eastAsia="zh-CN"/>
              </w:rPr>
              <w:t>船舶</w:t>
            </w:r>
            <w:r>
              <w:rPr>
                <w:rFonts w:hint="eastAsia" w:ascii="Times New Roman" w:hAnsi="Times New Roman" w:eastAsia="仿宋_GB2312" w:cs="Times New Roman"/>
                <w:sz w:val="21"/>
                <w:szCs w:val="21"/>
              </w:rPr>
              <w:t>航行</w:t>
            </w:r>
            <w:r>
              <w:rPr>
                <w:rFonts w:hint="eastAsia" w:eastAsia="仿宋_GB2312" w:cs="Times New Roman"/>
                <w:sz w:val="21"/>
                <w:szCs w:val="21"/>
                <w:lang w:val="en-US" w:eastAsia="zh-CN"/>
              </w:rPr>
              <w:t>值班</w:t>
            </w:r>
          </w:p>
        </w:tc>
        <w:tc>
          <w:tcPr>
            <w:tcW w:w="2392" w:type="pct"/>
            <w:noWrap w:val="0"/>
            <w:vAlign w:val="center"/>
          </w:tcPr>
          <w:p w14:paraId="4486FD85">
            <w:pPr>
              <w:spacing w:before="0" w:after="0" w:line="300" w:lineRule="auto"/>
              <w:rPr>
                <w:rFonts w:hint="eastAsia" w:ascii="仿宋_GB2312" w:hAnsi="仿宋_GB2312" w:eastAsia="仿宋_GB2312" w:cs="仿宋_GB2312"/>
                <w:sz w:val="24"/>
              </w:rPr>
            </w:pPr>
            <w:r>
              <w:rPr>
                <w:rFonts w:hint="eastAsia" w:ascii="Times New Roman" w:hAnsi="Times New Roman" w:eastAsia="仿宋_GB2312" w:cs="Times New Roman"/>
                <w:sz w:val="21"/>
                <w:szCs w:val="21"/>
              </w:rPr>
              <w:t>船舶操纵；航行值班；船舶定位与导航；船舶通信；船舶应急等</w:t>
            </w:r>
          </w:p>
        </w:tc>
        <w:tc>
          <w:tcPr>
            <w:tcW w:w="694" w:type="pct"/>
            <w:noWrap w:val="0"/>
            <w:vAlign w:val="center"/>
          </w:tcPr>
          <w:p w14:paraId="315B7034">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1h</w:t>
            </w:r>
          </w:p>
        </w:tc>
        <w:tc>
          <w:tcPr>
            <w:tcW w:w="540" w:type="pct"/>
            <w:noWrap w:val="0"/>
            <w:vAlign w:val="center"/>
          </w:tcPr>
          <w:p w14:paraId="36E05B58">
            <w:pPr>
              <w:spacing w:before="0" w:after="0" w:line="300" w:lineRule="auto"/>
              <w:jc w:val="center"/>
              <w:rPr>
                <w:rFonts w:hint="default" w:ascii="仿宋_GB2312" w:hAnsi="仿宋_GB2312" w:eastAsia="仿宋_GB2312" w:cs="仿宋_GB2312"/>
                <w:sz w:val="24"/>
                <w:lang w:val="en-US" w:eastAsia="zh-CN"/>
              </w:rPr>
            </w:pPr>
            <w:r>
              <w:rPr>
                <w:rFonts w:hint="eastAsia" w:ascii="Times New Roman" w:hAnsi="Times New Roman" w:eastAsia="仿宋_GB2312" w:cs="Times New Roman"/>
                <w:sz w:val="21"/>
                <w:szCs w:val="21"/>
                <w:lang w:val="en-US" w:eastAsia="zh-CN"/>
              </w:rPr>
              <w:t>100</w:t>
            </w:r>
          </w:p>
        </w:tc>
      </w:tr>
    </w:tbl>
    <w:p w14:paraId="457D1AEE">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四、竞赛方式</w:t>
      </w:r>
    </w:p>
    <w:p w14:paraId="431A342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本赛项为团体赛，由</w:t>
      </w:r>
      <w:r>
        <w:rPr>
          <w:rFonts w:hint="eastAsia"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名学生选手组成。每个参赛队必须参加</w:t>
      </w:r>
      <w:r>
        <w:rPr>
          <w:rFonts w:hint="eastAsia"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个模块竞赛，其中，模块一：商船货物配载由</w:t>
      </w:r>
      <w:r>
        <w:rPr>
          <w:rFonts w:hint="eastAsia"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名选手同时参赛；模块二：</w:t>
      </w:r>
      <w:r>
        <w:rPr>
          <w:rFonts w:hint="eastAsia" w:eastAsia="仿宋_GB2312" w:cs="Times New Roman"/>
          <w:sz w:val="28"/>
          <w:szCs w:val="28"/>
          <w:lang w:val="en-US" w:eastAsia="zh-CN"/>
        </w:rPr>
        <w:t>船舶</w:t>
      </w:r>
      <w:r>
        <w:rPr>
          <w:rFonts w:hint="eastAsia" w:ascii="Times New Roman" w:hAnsi="Times New Roman" w:eastAsia="仿宋_GB2312" w:cs="Times New Roman"/>
          <w:sz w:val="28"/>
          <w:szCs w:val="28"/>
          <w:lang w:val="en-US" w:eastAsia="zh-CN"/>
        </w:rPr>
        <w:t>航行</w:t>
      </w:r>
      <w:r>
        <w:rPr>
          <w:rFonts w:hint="eastAsia" w:eastAsia="仿宋_GB2312" w:cs="Times New Roman"/>
          <w:sz w:val="28"/>
          <w:szCs w:val="28"/>
          <w:lang w:val="en-US" w:eastAsia="zh-CN"/>
        </w:rPr>
        <w:t>值班</w:t>
      </w:r>
      <w:r>
        <w:rPr>
          <w:rFonts w:hint="eastAsia" w:ascii="Times New Roman" w:hAnsi="Times New Roman" w:eastAsia="仿宋_GB2312" w:cs="Times New Roman"/>
          <w:sz w:val="28"/>
          <w:szCs w:val="28"/>
          <w:lang w:val="en-US" w:eastAsia="zh-CN"/>
        </w:rPr>
        <w:t>由</w:t>
      </w:r>
      <w:r>
        <w:rPr>
          <w:rFonts w:hint="eastAsia"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名选手同时参赛。所有模块均采用线下实操方式进行比赛，各模块参赛赛位采用抽签方式确定，模块一为个人赛，模块二采用分组赛制，同一组3～5个参赛队，组内同时开</w:t>
      </w:r>
      <w:bookmarkStart w:id="5" w:name="_GoBack"/>
      <w:bookmarkEnd w:id="5"/>
      <w:r>
        <w:rPr>
          <w:rFonts w:hint="eastAsia" w:ascii="Times New Roman" w:hAnsi="Times New Roman" w:eastAsia="仿宋_GB2312" w:cs="Times New Roman"/>
          <w:sz w:val="28"/>
          <w:szCs w:val="28"/>
          <w:lang w:val="en-US" w:eastAsia="zh-CN"/>
        </w:rPr>
        <w:t>赛，组间依次开赛。</w:t>
      </w:r>
    </w:p>
    <w:p w14:paraId="596DD53E">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五、竞赛流程</w:t>
      </w:r>
    </w:p>
    <w:p w14:paraId="34963A6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（一）竞赛日程与场次安排</w:t>
      </w:r>
    </w:p>
    <w:tbl>
      <w:tblPr>
        <w:tblStyle w:val="5"/>
        <w:tblW w:w="50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753"/>
        <w:gridCol w:w="1871"/>
        <w:gridCol w:w="3647"/>
        <w:gridCol w:w="1660"/>
      </w:tblGrid>
      <w:tr w14:paraId="17C1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981" w:type="pct"/>
            <w:noWrap w:val="0"/>
            <w:vAlign w:val="center"/>
          </w:tcPr>
          <w:p w14:paraId="268CC66F">
            <w:pPr>
              <w:spacing w:before="0" w:after="0" w:line="300" w:lineRule="auto"/>
              <w:jc w:val="center"/>
              <w:rPr>
                <w:rFonts w:hint="eastAsia" w:ascii="仿宋_GB2312" w:hAnsi="仿宋_GB2312" w:eastAsia="仿宋_GB2312" w:cs="仿宋_GB2312"/>
                <w:b/>
                <w:bCs/>
                <w:sz w:val="24"/>
                <w:lang w:eastAsia="zh-CN"/>
              </w:rPr>
            </w:pPr>
            <w:r>
              <w:rPr>
                <w:rFonts w:hint="eastAsia" w:ascii="Times New Roman" w:hAnsi="Times New Roman" w:eastAsia="宋体" w:cs="Times New Roman"/>
                <w:b/>
                <w:bCs/>
                <w:sz w:val="24"/>
                <w:szCs w:val="24"/>
              </w:rPr>
              <w:t>日</w:t>
            </w:r>
            <w:r>
              <w:rPr>
                <w:rFonts w:hint="eastAsia" w:ascii="Times New Roman" w:hAnsi="Times New Roman" w:eastAsia="宋体" w:cs="Times New Roman"/>
                <w:b/>
                <w:bCs/>
                <w:sz w:val="24"/>
                <w:szCs w:val="24"/>
                <w:lang w:val="en-US" w:eastAsia="zh-CN"/>
              </w:rPr>
              <w:t>期</w:t>
            </w:r>
          </w:p>
        </w:tc>
        <w:tc>
          <w:tcPr>
            <w:tcW w:w="1047" w:type="pct"/>
            <w:noWrap w:val="0"/>
            <w:vAlign w:val="center"/>
          </w:tcPr>
          <w:p w14:paraId="5F079D5B">
            <w:pPr>
              <w:spacing w:before="0" w:after="0" w:line="300" w:lineRule="auto"/>
              <w:jc w:val="center"/>
              <w:rPr>
                <w:rFonts w:hint="eastAsia" w:ascii="仿宋_GB2312" w:hAnsi="仿宋_GB2312" w:eastAsia="仿宋_GB2312" w:cs="仿宋_GB2312"/>
                <w:b/>
                <w:bCs/>
                <w:sz w:val="24"/>
              </w:rPr>
            </w:pPr>
            <w:r>
              <w:rPr>
                <w:rFonts w:hint="eastAsia" w:ascii="Times New Roman" w:hAnsi="Times New Roman" w:eastAsia="宋体" w:cs="Times New Roman"/>
                <w:b/>
                <w:bCs/>
                <w:sz w:val="24"/>
                <w:szCs w:val="24"/>
              </w:rPr>
              <w:t>时间</w:t>
            </w:r>
          </w:p>
        </w:tc>
        <w:tc>
          <w:tcPr>
            <w:tcW w:w="2041" w:type="pct"/>
            <w:noWrap w:val="0"/>
            <w:vAlign w:val="center"/>
          </w:tcPr>
          <w:p w14:paraId="1A6B9900">
            <w:pPr>
              <w:spacing w:before="0" w:after="0" w:line="300" w:lineRule="auto"/>
              <w:jc w:val="center"/>
              <w:rPr>
                <w:rFonts w:hint="eastAsia" w:ascii="仿宋_GB2312" w:hAnsi="仿宋_GB2312" w:eastAsia="仿宋_GB2312" w:cs="仿宋_GB2312"/>
                <w:b/>
                <w:bCs/>
                <w:sz w:val="24"/>
              </w:rPr>
            </w:pPr>
            <w:r>
              <w:rPr>
                <w:rFonts w:hint="eastAsia" w:ascii="Times New Roman" w:hAnsi="Times New Roman" w:eastAsia="宋体" w:cs="Times New Roman"/>
                <w:b/>
                <w:bCs/>
                <w:sz w:val="24"/>
                <w:szCs w:val="24"/>
              </w:rPr>
              <w:t>内容</w:t>
            </w:r>
          </w:p>
        </w:tc>
        <w:tc>
          <w:tcPr>
            <w:tcW w:w="929" w:type="pct"/>
            <w:noWrap w:val="0"/>
            <w:vAlign w:val="center"/>
          </w:tcPr>
          <w:p w14:paraId="6F11E73D">
            <w:pPr>
              <w:spacing w:before="0" w:after="0" w:line="300" w:lineRule="auto"/>
              <w:jc w:val="center"/>
              <w:rPr>
                <w:rFonts w:hint="eastAsia" w:ascii="仿宋_GB2312" w:hAnsi="仿宋_GB2312" w:eastAsia="仿宋_GB2312" w:cs="仿宋_GB2312"/>
                <w:b/>
                <w:bCs/>
                <w:sz w:val="24"/>
              </w:rPr>
            </w:pPr>
            <w:r>
              <w:rPr>
                <w:rFonts w:hint="eastAsia" w:ascii="Times New Roman" w:hAnsi="Times New Roman" w:eastAsia="宋体" w:cs="Times New Roman"/>
                <w:b/>
                <w:bCs/>
                <w:sz w:val="24"/>
                <w:szCs w:val="24"/>
              </w:rPr>
              <w:t>地点</w:t>
            </w:r>
          </w:p>
        </w:tc>
      </w:tr>
      <w:tr w14:paraId="330B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restart"/>
            <w:noWrap w:val="0"/>
            <w:vAlign w:val="center"/>
          </w:tcPr>
          <w:p w14:paraId="31579DE3">
            <w:pPr>
              <w:spacing w:before="0" w:after="0" w:line="300" w:lineRule="auto"/>
              <w:jc w:val="center"/>
              <w:rPr>
                <w:rFonts w:hint="eastAsia" w:ascii="仿宋_GB2312" w:hAnsi="仿宋_GB2312" w:eastAsia="仿宋_GB2312" w:cs="仿宋_GB2312"/>
                <w:sz w:val="24"/>
                <w:lang w:val="en-US" w:eastAsia="zh-CN"/>
              </w:rPr>
            </w:pPr>
            <w:r>
              <w:rPr>
                <w:rFonts w:hint="eastAsia" w:eastAsia="仿宋_GB2312" w:cs="Times New Roman"/>
                <w:sz w:val="21"/>
                <w:szCs w:val="21"/>
                <w:lang w:val="en-US" w:eastAsia="zh-CN"/>
              </w:rPr>
              <w:t>第一天</w:t>
            </w:r>
          </w:p>
        </w:tc>
        <w:tc>
          <w:tcPr>
            <w:tcW w:w="1047" w:type="pct"/>
            <w:noWrap w:val="0"/>
            <w:vAlign w:val="center"/>
          </w:tcPr>
          <w:p w14:paraId="68A81549">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08:30-12:00</w:t>
            </w:r>
          </w:p>
        </w:tc>
        <w:tc>
          <w:tcPr>
            <w:tcW w:w="2041" w:type="pct"/>
            <w:noWrap w:val="0"/>
            <w:vAlign w:val="center"/>
          </w:tcPr>
          <w:p w14:paraId="2D84E8CF">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裁判培训</w:t>
            </w:r>
          </w:p>
        </w:tc>
        <w:tc>
          <w:tcPr>
            <w:tcW w:w="929" w:type="pct"/>
            <w:noWrap w:val="0"/>
            <w:vAlign w:val="center"/>
          </w:tcPr>
          <w:p w14:paraId="69F04CA3">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指定地点</w:t>
            </w:r>
          </w:p>
        </w:tc>
      </w:tr>
      <w:tr w14:paraId="4985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631967C5">
            <w:pPr>
              <w:spacing w:line="0" w:lineRule="atLeast"/>
              <w:jc w:val="center"/>
              <w:rPr>
                <w:rFonts w:hint="eastAsia" w:ascii="仿宋_GB2312" w:hAnsi="仿宋_GB2312" w:eastAsia="仿宋_GB2312" w:cs="仿宋_GB2312"/>
                <w:sz w:val="24"/>
              </w:rPr>
            </w:pPr>
          </w:p>
        </w:tc>
        <w:tc>
          <w:tcPr>
            <w:tcW w:w="1047" w:type="pct"/>
            <w:noWrap w:val="0"/>
            <w:vAlign w:val="center"/>
          </w:tcPr>
          <w:p w14:paraId="4A99176A">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13:30-15:30</w:t>
            </w:r>
          </w:p>
        </w:tc>
        <w:tc>
          <w:tcPr>
            <w:tcW w:w="2041" w:type="pct"/>
            <w:noWrap w:val="0"/>
            <w:vAlign w:val="center"/>
          </w:tcPr>
          <w:p w14:paraId="6B5A2F97">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赛场检查</w:t>
            </w:r>
          </w:p>
        </w:tc>
        <w:tc>
          <w:tcPr>
            <w:tcW w:w="929" w:type="pct"/>
            <w:noWrap w:val="0"/>
            <w:vAlign w:val="center"/>
          </w:tcPr>
          <w:p w14:paraId="010AC599">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赛场</w:t>
            </w:r>
          </w:p>
        </w:tc>
      </w:tr>
      <w:tr w14:paraId="674C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37532844">
            <w:pPr>
              <w:spacing w:line="0" w:lineRule="atLeast"/>
              <w:jc w:val="center"/>
              <w:rPr>
                <w:rFonts w:hint="eastAsia" w:ascii="仿宋_GB2312" w:hAnsi="仿宋_GB2312" w:eastAsia="仿宋_GB2312" w:cs="仿宋_GB2312"/>
                <w:sz w:val="24"/>
              </w:rPr>
            </w:pPr>
          </w:p>
        </w:tc>
        <w:tc>
          <w:tcPr>
            <w:tcW w:w="1047" w:type="pct"/>
            <w:noWrap w:val="0"/>
            <w:vAlign w:val="center"/>
          </w:tcPr>
          <w:p w14:paraId="497B9D97">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15:40前</w:t>
            </w:r>
          </w:p>
        </w:tc>
        <w:tc>
          <w:tcPr>
            <w:tcW w:w="2041" w:type="pct"/>
            <w:noWrap w:val="0"/>
            <w:vAlign w:val="center"/>
          </w:tcPr>
          <w:p w14:paraId="0266B13E">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参赛队报到</w:t>
            </w:r>
          </w:p>
        </w:tc>
        <w:tc>
          <w:tcPr>
            <w:tcW w:w="929" w:type="pct"/>
            <w:noWrap w:val="0"/>
            <w:vAlign w:val="center"/>
          </w:tcPr>
          <w:p w14:paraId="543065A6">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酒店</w:t>
            </w:r>
          </w:p>
        </w:tc>
      </w:tr>
      <w:tr w14:paraId="22E0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5857A262">
            <w:pPr>
              <w:spacing w:line="0" w:lineRule="atLeast"/>
              <w:jc w:val="center"/>
              <w:rPr>
                <w:rFonts w:hint="eastAsia" w:ascii="仿宋_GB2312" w:hAnsi="仿宋_GB2312" w:eastAsia="仿宋_GB2312" w:cs="仿宋_GB2312"/>
                <w:sz w:val="24"/>
              </w:rPr>
            </w:pPr>
          </w:p>
        </w:tc>
        <w:tc>
          <w:tcPr>
            <w:tcW w:w="1047" w:type="pct"/>
            <w:noWrap w:val="0"/>
            <w:vAlign w:val="center"/>
          </w:tcPr>
          <w:p w14:paraId="741A0455">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16:00-17:00</w:t>
            </w:r>
          </w:p>
        </w:tc>
        <w:tc>
          <w:tcPr>
            <w:tcW w:w="2041" w:type="pct"/>
            <w:noWrap w:val="0"/>
            <w:vAlign w:val="center"/>
          </w:tcPr>
          <w:p w14:paraId="10EAE5B6">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领队会（赛前说明、抽检录号、分组号及组内检录号）</w:t>
            </w:r>
          </w:p>
        </w:tc>
        <w:tc>
          <w:tcPr>
            <w:tcW w:w="929" w:type="pct"/>
            <w:noWrap w:val="0"/>
            <w:vAlign w:val="center"/>
          </w:tcPr>
          <w:p w14:paraId="7C4B3948">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领队会会场</w:t>
            </w:r>
          </w:p>
        </w:tc>
      </w:tr>
      <w:tr w14:paraId="4203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36B82CAB">
            <w:pPr>
              <w:spacing w:line="0" w:lineRule="atLeast"/>
              <w:jc w:val="center"/>
              <w:rPr>
                <w:rFonts w:hint="eastAsia" w:ascii="仿宋_GB2312" w:hAnsi="仿宋_GB2312" w:eastAsia="仿宋_GB2312" w:cs="仿宋_GB2312"/>
                <w:sz w:val="24"/>
              </w:rPr>
            </w:pPr>
          </w:p>
        </w:tc>
        <w:tc>
          <w:tcPr>
            <w:tcW w:w="1047" w:type="pct"/>
            <w:noWrap w:val="0"/>
            <w:vAlign w:val="center"/>
          </w:tcPr>
          <w:p w14:paraId="4562EB5E">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16:00-18:30</w:t>
            </w:r>
          </w:p>
        </w:tc>
        <w:tc>
          <w:tcPr>
            <w:tcW w:w="2041" w:type="pct"/>
            <w:noWrap w:val="0"/>
            <w:vAlign w:val="center"/>
          </w:tcPr>
          <w:p w14:paraId="31278389">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熟悉赛场</w:t>
            </w:r>
          </w:p>
        </w:tc>
        <w:tc>
          <w:tcPr>
            <w:tcW w:w="929" w:type="pct"/>
            <w:noWrap w:val="0"/>
            <w:vAlign w:val="center"/>
          </w:tcPr>
          <w:p w14:paraId="1EB1A29D">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赛场</w:t>
            </w:r>
          </w:p>
        </w:tc>
      </w:tr>
      <w:tr w14:paraId="458C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restart"/>
            <w:noWrap w:val="0"/>
            <w:vAlign w:val="center"/>
          </w:tcPr>
          <w:p w14:paraId="197C9107">
            <w:pPr>
              <w:spacing w:before="0" w:after="0" w:line="300" w:lineRule="auto"/>
              <w:jc w:val="center"/>
              <w:rPr>
                <w:rFonts w:hint="eastAsia" w:ascii="仿宋_GB2312" w:hAnsi="仿宋_GB2312" w:eastAsia="仿宋_GB2312" w:cs="仿宋_GB2312"/>
                <w:sz w:val="24"/>
                <w:lang w:val="en-US"/>
              </w:rPr>
            </w:pPr>
            <w:r>
              <w:rPr>
                <w:rFonts w:hint="eastAsia" w:eastAsia="仿宋_GB2312" w:cs="Times New Roman"/>
                <w:sz w:val="21"/>
                <w:szCs w:val="21"/>
                <w:lang w:val="en-US" w:eastAsia="zh-CN"/>
              </w:rPr>
              <w:t>第二天</w:t>
            </w:r>
          </w:p>
        </w:tc>
        <w:tc>
          <w:tcPr>
            <w:tcW w:w="1047" w:type="pct"/>
            <w:noWrap w:val="0"/>
            <w:vAlign w:val="center"/>
          </w:tcPr>
          <w:p w14:paraId="1400D07B">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0</w:t>
            </w:r>
            <w:r>
              <w:rPr>
                <w:rFonts w:hint="eastAsia" w:ascii="Times New Roman" w:hAnsi="Times New Roman" w:eastAsia="仿宋_GB2312" w:cs="Times New Roman"/>
                <w:sz w:val="21"/>
                <w:szCs w:val="21"/>
                <w:lang w:val="en-US" w:eastAsia="zh-CN"/>
              </w:rPr>
              <w:t>8</w:t>
            </w:r>
            <w:r>
              <w:rPr>
                <w:rFonts w:hint="eastAsia" w:ascii="Times New Roman" w:hAnsi="Times New Roman" w:eastAsia="仿宋_GB2312" w:cs="Times New Roman"/>
                <w:sz w:val="21"/>
                <w:szCs w:val="21"/>
              </w:rPr>
              <w:t>:</w:t>
            </w:r>
            <w:r>
              <w:rPr>
                <w:rFonts w:hint="eastAsia" w:ascii="Times New Roman" w:hAnsi="Times New Roman" w:eastAsia="仿宋_GB2312" w:cs="Times New Roman"/>
                <w:sz w:val="21"/>
                <w:szCs w:val="21"/>
                <w:lang w:val="en-US" w:eastAsia="zh-CN"/>
              </w:rPr>
              <w:t>30</w:t>
            </w:r>
            <w:r>
              <w:rPr>
                <w:rFonts w:hint="eastAsia" w:ascii="Times New Roman" w:hAnsi="Times New Roman" w:eastAsia="仿宋_GB2312" w:cs="Times New Roman"/>
                <w:sz w:val="21"/>
                <w:szCs w:val="21"/>
              </w:rPr>
              <w:t>-09:</w:t>
            </w:r>
            <w:r>
              <w:rPr>
                <w:rFonts w:hint="eastAsia" w:ascii="Times New Roman" w:hAnsi="Times New Roman" w:eastAsia="仿宋_GB2312" w:cs="Times New Roman"/>
                <w:sz w:val="21"/>
                <w:szCs w:val="21"/>
                <w:lang w:val="en-US" w:eastAsia="zh-CN"/>
              </w:rPr>
              <w:t>0</w:t>
            </w:r>
            <w:r>
              <w:rPr>
                <w:rFonts w:hint="eastAsia" w:ascii="Times New Roman" w:hAnsi="Times New Roman" w:eastAsia="仿宋_GB2312" w:cs="Times New Roman"/>
                <w:sz w:val="21"/>
                <w:szCs w:val="21"/>
              </w:rPr>
              <w:t>0</w:t>
            </w:r>
          </w:p>
        </w:tc>
        <w:tc>
          <w:tcPr>
            <w:tcW w:w="2041" w:type="pct"/>
            <w:noWrap w:val="0"/>
            <w:vAlign w:val="center"/>
          </w:tcPr>
          <w:p w14:paraId="388C6A04">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开幕式</w:t>
            </w:r>
          </w:p>
        </w:tc>
        <w:tc>
          <w:tcPr>
            <w:tcW w:w="929" w:type="pct"/>
            <w:noWrap w:val="0"/>
            <w:vAlign w:val="center"/>
          </w:tcPr>
          <w:p w14:paraId="7050B9CA">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开幕式会场</w:t>
            </w:r>
          </w:p>
        </w:tc>
      </w:tr>
      <w:tr w14:paraId="6756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5ABE02FC">
            <w:pPr>
              <w:spacing w:line="0" w:lineRule="atLeast"/>
              <w:jc w:val="center"/>
              <w:rPr>
                <w:rFonts w:hint="eastAsia" w:ascii="仿宋_GB2312" w:hAnsi="仿宋_GB2312" w:eastAsia="仿宋_GB2312" w:cs="仿宋_GB2312"/>
                <w:sz w:val="24"/>
              </w:rPr>
            </w:pPr>
          </w:p>
        </w:tc>
        <w:tc>
          <w:tcPr>
            <w:tcW w:w="1047" w:type="pct"/>
            <w:noWrap w:val="0"/>
            <w:vAlign w:val="center"/>
          </w:tcPr>
          <w:p w14:paraId="40BC0EBF">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09:</w:t>
            </w:r>
            <w:r>
              <w:rPr>
                <w:rFonts w:hint="eastAsia" w:ascii="Times New Roman" w:hAnsi="Times New Roman" w:eastAsia="仿宋_GB2312" w:cs="Times New Roman"/>
                <w:sz w:val="21"/>
                <w:szCs w:val="21"/>
                <w:lang w:val="en-US" w:eastAsia="zh-CN"/>
              </w:rPr>
              <w:t>00</w:t>
            </w:r>
            <w:r>
              <w:rPr>
                <w:rFonts w:hint="eastAsia" w:ascii="Times New Roman" w:hAnsi="Times New Roman" w:eastAsia="仿宋_GB2312" w:cs="Times New Roman"/>
                <w:sz w:val="21"/>
                <w:szCs w:val="21"/>
              </w:rPr>
              <w:t>-09:</w:t>
            </w:r>
            <w:r>
              <w:rPr>
                <w:rFonts w:hint="eastAsia" w:ascii="Times New Roman" w:hAnsi="Times New Roman" w:eastAsia="仿宋_GB2312" w:cs="Times New Roman"/>
                <w:sz w:val="21"/>
                <w:szCs w:val="21"/>
                <w:lang w:val="en-US" w:eastAsia="zh-CN"/>
              </w:rPr>
              <w:t>3</w:t>
            </w:r>
            <w:r>
              <w:rPr>
                <w:rFonts w:hint="eastAsia" w:ascii="Times New Roman" w:hAnsi="Times New Roman" w:eastAsia="仿宋_GB2312" w:cs="Times New Roman"/>
                <w:sz w:val="21"/>
                <w:szCs w:val="21"/>
              </w:rPr>
              <w:t>0</w:t>
            </w:r>
          </w:p>
        </w:tc>
        <w:tc>
          <w:tcPr>
            <w:tcW w:w="2041" w:type="pct"/>
            <w:noWrap w:val="0"/>
            <w:vAlign w:val="center"/>
          </w:tcPr>
          <w:p w14:paraId="7F4E099E">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选手检录</w:t>
            </w:r>
          </w:p>
        </w:tc>
        <w:tc>
          <w:tcPr>
            <w:tcW w:w="929" w:type="pct"/>
            <w:noWrap w:val="0"/>
            <w:vAlign w:val="center"/>
          </w:tcPr>
          <w:p w14:paraId="43BF8D37">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检录室</w:t>
            </w:r>
          </w:p>
        </w:tc>
      </w:tr>
      <w:tr w14:paraId="2E46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7B43E692">
            <w:pPr>
              <w:spacing w:line="0" w:lineRule="atLeast"/>
              <w:jc w:val="center"/>
              <w:rPr>
                <w:rFonts w:hint="eastAsia" w:ascii="仿宋_GB2312" w:hAnsi="仿宋_GB2312" w:eastAsia="仿宋_GB2312" w:cs="仿宋_GB2312"/>
                <w:sz w:val="24"/>
              </w:rPr>
            </w:pPr>
          </w:p>
        </w:tc>
        <w:tc>
          <w:tcPr>
            <w:tcW w:w="1047" w:type="pct"/>
            <w:noWrap w:val="0"/>
            <w:vAlign w:val="center"/>
          </w:tcPr>
          <w:p w14:paraId="7ADAA39A">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lang w:val="en-US" w:eastAsia="zh-CN"/>
              </w:rPr>
              <w:t>9</w:t>
            </w:r>
            <w:r>
              <w:rPr>
                <w:rFonts w:hint="eastAsia" w:ascii="Times New Roman" w:hAnsi="Times New Roman" w:eastAsia="仿宋_GB2312" w:cs="Times New Roman"/>
                <w:sz w:val="21"/>
                <w:szCs w:val="21"/>
              </w:rPr>
              <w:t>:</w:t>
            </w:r>
            <w:r>
              <w:rPr>
                <w:rFonts w:hint="eastAsia" w:ascii="Times New Roman" w:hAnsi="Times New Roman" w:eastAsia="仿宋_GB2312" w:cs="Times New Roman"/>
                <w:sz w:val="21"/>
                <w:szCs w:val="21"/>
                <w:lang w:val="en-US" w:eastAsia="zh-CN"/>
              </w:rPr>
              <w:t>4</w:t>
            </w:r>
            <w:r>
              <w:rPr>
                <w:rFonts w:hint="eastAsia" w:ascii="Times New Roman" w:hAnsi="Times New Roman" w:eastAsia="仿宋_GB2312" w:cs="Times New Roman"/>
                <w:sz w:val="21"/>
                <w:szCs w:val="21"/>
              </w:rPr>
              <w:t>0-1</w:t>
            </w:r>
            <w:r>
              <w:rPr>
                <w:rFonts w:hint="eastAsia" w:ascii="Times New Roman" w:hAnsi="Times New Roman" w:eastAsia="仿宋_GB2312" w:cs="Times New Roman"/>
                <w:sz w:val="21"/>
                <w:szCs w:val="21"/>
                <w:lang w:val="en-US" w:eastAsia="zh-CN"/>
              </w:rPr>
              <w:t>3</w:t>
            </w:r>
            <w:r>
              <w:rPr>
                <w:rFonts w:hint="eastAsia" w:ascii="Times New Roman" w:hAnsi="Times New Roman" w:eastAsia="仿宋_GB2312" w:cs="Times New Roman"/>
                <w:sz w:val="21"/>
                <w:szCs w:val="21"/>
              </w:rPr>
              <w:t>:</w:t>
            </w:r>
            <w:r>
              <w:rPr>
                <w:rFonts w:hint="eastAsia" w:ascii="Times New Roman" w:hAnsi="Times New Roman" w:eastAsia="仿宋_GB2312" w:cs="Times New Roman"/>
                <w:sz w:val="21"/>
                <w:szCs w:val="21"/>
                <w:lang w:val="en-US" w:eastAsia="zh-CN"/>
              </w:rPr>
              <w:t>3</w:t>
            </w:r>
            <w:r>
              <w:rPr>
                <w:rFonts w:hint="eastAsia" w:ascii="Times New Roman" w:hAnsi="Times New Roman" w:eastAsia="仿宋_GB2312" w:cs="Times New Roman"/>
                <w:sz w:val="21"/>
                <w:szCs w:val="21"/>
              </w:rPr>
              <w:t>0</w:t>
            </w:r>
          </w:p>
        </w:tc>
        <w:tc>
          <w:tcPr>
            <w:tcW w:w="2041" w:type="pct"/>
            <w:noWrap w:val="0"/>
            <w:vAlign w:val="center"/>
          </w:tcPr>
          <w:p w14:paraId="7C1B74D0">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模块一竞赛</w:t>
            </w:r>
          </w:p>
        </w:tc>
        <w:tc>
          <w:tcPr>
            <w:tcW w:w="929" w:type="pct"/>
            <w:noWrap w:val="0"/>
            <w:vAlign w:val="center"/>
          </w:tcPr>
          <w:p w14:paraId="1FD90227">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赛场</w:t>
            </w:r>
          </w:p>
        </w:tc>
      </w:tr>
      <w:tr w14:paraId="3E77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32E8925C">
            <w:pPr>
              <w:spacing w:line="0" w:lineRule="atLeast"/>
              <w:jc w:val="center"/>
              <w:rPr>
                <w:rFonts w:hint="eastAsia" w:ascii="仿宋_GB2312" w:hAnsi="仿宋_GB2312" w:eastAsia="仿宋_GB2312" w:cs="仿宋_GB2312"/>
                <w:sz w:val="24"/>
              </w:rPr>
            </w:pPr>
          </w:p>
        </w:tc>
        <w:tc>
          <w:tcPr>
            <w:tcW w:w="1047" w:type="pct"/>
            <w:shd w:val="clear" w:color="auto" w:fill="auto"/>
            <w:noWrap w:val="0"/>
            <w:vAlign w:val="center"/>
          </w:tcPr>
          <w:p w14:paraId="2286481F">
            <w:pPr>
              <w:spacing w:before="0" w:after="0" w:line="300" w:lineRule="auto"/>
              <w:jc w:val="center"/>
              <w:rPr>
                <w:rFonts w:hint="eastAsia"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sz w:val="21"/>
                <w:szCs w:val="21"/>
              </w:rPr>
              <w:t>1</w:t>
            </w:r>
            <w:r>
              <w:rPr>
                <w:rFonts w:hint="eastAsia" w:ascii="Times New Roman" w:hAnsi="Times New Roman" w:eastAsia="仿宋_GB2312" w:cs="Times New Roman"/>
                <w:sz w:val="21"/>
                <w:szCs w:val="21"/>
                <w:lang w:val="en-US" w:eastAsia="zh-CN"/>
              </w:rPr>
              <w:t>3</w:t>
            </w:r>
            <w:r>
              <w:rPr>
                <w:rFonts w:hint="eastAsia" w:ascii="Times New Roman" w:hAnsi="Times New Roman" w:eastAsia="仿宋_GB2312" w:cs="Times New Roman"/>
                <w:sz w:val="21"/>
                <w:szCs w:val="21"/>
              </w:rPr>
              <w:t>:</w:t>
            </w:r>
            <w:r>
              <w:rPr>
                <w:rFonts w:hint="eastAsia" w:ascii="Times New Roman" w:hAnsi="Times New Roman" w:eastAsia="仿宋_GB2312" w:cs="Times New Roman"/>
                <w:sz w:val="21"/>
                <w:szCs w:val="21"/>
                <w:lang w:val="en-US" w:eastAsia="zh-CN"/>
              </w:rPr>
              <w:t>3</w:t>
            </w:r>
            <w:r>
              <w:rPr>
                <w:rFonts w:hint="eastAsia" w:ascii="Times New Roman" w:hAnsi="Times New Roman" w:eastAsia="仿宋_GB2312" w:cs="Times New Roman"/>
                <w:sz w:val="21"/>
                <w:szCs w:val="21"/>
              </w:rPr>
              <w:t>0-1</w:t>
            </w:r>
            <w:r>
              <w:rPr>
                <w:rFonts w:hint="eastAsia" w:ascii="Times New Roman" w:hAnsi="Times New Roman" w:eastAsia="仿宋_GB2312" w:cs="Times New Roman"/>
                <w:sz w:val="21"/>
                <w:szCs w:val="21"/>
                <w:lang w:val="en-US" w:eastAsia="zh-CN"/>
              </w:rPr>
              <w:t>7</w:t>
            </w:r>
            <w:r>
              <w:rPr>
                <w:rFonts w:hint="eastAsia" w:ascii="Times New Roman" w:hAnsi="Times New Roman" w:eastAsia="仿宋_GB2312" w:cs="Times New Roman"/>
                <w:sz w:val="21"/>
                <w:szCs w:val="21"/>
              </w:rPr>
              <w:t>:00</w:t>
            </w:r>
          </w:p>
        </w:tc>
        <w:tc>
          <w:tcPr>
            <w:tcW w:w="2041" w:type="pct"/>
            <w:shd w:val="clear" w:color="auto" w:fill="auto"/>
            <w:noWrap w:val="0"/>
            <w:vAlign w:val="center"/>
          </w:tcPr>
          <w:p w14:paraId="326EA209">
            <w:pPr>
              <w:spacing w:before="0" w:after="0" w:line="300" w:lineRule="auto"/>
              <w:jc w:val="center"/>
              <w:rPr>
                <w:rFonts w:hint="eastAsia"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sz w:val="21"/>
                <w:szCs w:val="21"/>
              </w:rPr>
              <w:t>模块</w:t>
            </w:r>
            <w:r>
              <w:rPr>
                <w:rFonts w:hint="eastAsia" w:ascii="Times New Roman" w:hAnsi="Times New Roman" w:eastAsia="仿宋_GB2312" w:cs="Times New Roman"/>
                <w:sz w:val="21"/>
                <w:szCs w:val="21"/>
                <w:lang w:val="en-US" w:eastAsia="zh-CN"/>
              </w:rPr>
              <w:t>二</w:t>
            </w:r>
            <w:r>
              <w:rPr>
                <w:rFonts w:hint="eastAsia" w:ascii="Times New Roman" w:hAnsi="Times New Roman" w:eastAsia="仿宋_GB2312" w:cs="Times New Roman"/>
                <w:sz w:val="21"/>
                <w:szCs w:val="21"/>
              </w:rPr>
              <w:t>竞赛</w:t>
            </w:r>
          </w:p>
        </w:tc>
        <w:tc>
          <w:tcPr>
            <w:tcW w:w="929" w:type="pct"/>
            <w:shd w:val="clear" w:color="auto" w:fill="auto"/>
            <w:noWrap w:val="0"/>
            <w:vAlign w:val="center"/>
          </w:tcPr>
          <w:p w14:paraId="5403BE7A">
            <w:pPr>
              <w:spacing w:before="0" w:after="0" w:line="300" w:lineRule="auto"/>
              <w:jc w:val="center"/>
              <w:rPr>
                <w:rFonts w:hint="eastAsia"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sz w:val="21"/>
                <w:szCs w:val="21"/>
              </w:rPr>
              <w:t>赛场</w:t>
            </w:r>
          </w:p>
        </w:tc>
      </w:tr>
      <w:tr w14:paraId="2F32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7810AD66">
            <w:pPr>
              <w:spacing w:line="0" w:lineRule="atLeast"/>
              <w:jc w:val="center"/>
              <w:rPr>
                <w:rFonts w:hint="eastAsia" w:ascii="仿宋_GB2312" w:hAnsi="仿宋_GB2312" w:eastAsia="仿宋_GB2312" w:cs="仿宋_GB2312"/>
                <w:sz w:val="24"/>
              </w:rPr>
            </w:pPr>
          </w:p>
        </w:tc>
        <w:tc>
          <w:tcPr>
            <w:tcW w:w="1047" w:type="pct"/>
            <w:shd w:val="clear" w:color="auto" w:fill="auto"/>
            <w:noWrap w:val="0"/>
            <w:vAlign w:val="center"/>
          </w:tcPr>
          <w:p w14:paraId="43E4BCF9">
            <w:pPr>
              <w:spacing w:before="0" w:after="0" w:line="300" w:lineRule="auto"/>
              <w:jc w:val="center"/>
              <w:rPr>
                <w:rFonts w:hint="eastAsia"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sz w:val="21"/>
                <w:szCs w:val="21"/>
                <w:lang w:val="en-US" w:eastAsia="zh-CN"/>
              </w:rPr>
              <w:t>17:00-18:00</w:t>
            </w:r>
          </w:p>
        </w:tc>
        <w:tc>
          <w:tcPr>
            <w:tcW w:w="2041" w:type="pct"/>
            <w:shd w:val="clear" w:color="auto" w:fill="auto"/>
            <w:noWrap w:val="0"/>
            <w:vAlign w:val="center"/>
          </w:tcPr>
          <w:p w14:paraId="6441E017">
            <w:pPr>
              <w:spacing w:before="0" w:after="0" w:line="300" w:lineRule="auto"/>
              <w:jc w:val="center"/>
              <w:rPr>
                <w:rFonts w:hint="eastAsia"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sz w:val="21"/>
                <w:szCs w:val="21"/>
                <w:lang w:val="en-US" w:eastAsia="zh-CN"/>
              </w:rPr>
              <w:t>成绩评定</w:t>
            </w:r>
          </w:p>
        </w:tc>
        <w:tc>
          <w:tcPr>
            <w:tcW w:w="929" w:type="pct"/>
            <w:noWrap w:val="0"/>
            <w:vAlign w:val="center"/>
          </w:tcPr>
          <w:p w14:paraId="545A8E48">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赛场</w:t>
            </w:r>
          </w:p>
        </w:tc>
      </w:tr>
      <w:tr w14:paraId="1A08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1" w:type="pct"/>
            <w:vMerge w:val="continue"/>
            <w:noWrap w:val="0"/>
            <w:vAlign w:val="center"/>
          </w:tcPr>
          <w:p w14:paraId="4B49E207">
            <w:pPr>
              <w:spacing w:line="0" w:lineRule="atLeast"/>
              <w:jc w:val="center"/>
              <w:rPr>
                <w:rFonts w:hint="eastAsia" w:ascii="仿宋_GB2312" w:hAnsi="仿宋_GB2312" w:eastAsia="仿宋_GB2312" w:cs="仿宋_GB2312"/>
                <w:sz w:val="24"/>
              </w:rPr>
            </w:pPr>
          </w:p>
        </w:tc>
        <w:tc>
          <w:tcPr>
            <w:tcW w:w="1047" w:type="pct"/>
            <w:noWrap w:val="0"/>
            <w:vAlign w:val="center"/>
          </w:tcPr>
          <w:p w14:paraId="10F034A4">
            <w:pPr>
              <w:spacing w:before="0" w:after="0" w:line="300" w:lineRule="auto"/>
              <w:jc w:val="center"/>
              <w:rPr>
                <w:rFonts w:hint="default" w:ascii="仿宋_GB2312" w:hAnsi="仿宋_GB2312" w:eastAsia="仿宋_GB2312" w:cs="仿宋_GB2312"/>
                <w:sz w:val="24"/>
                <w:lang w:val="en-US" w:eastAsia="zh-CN"/>
              </w:rPr>
            </w:pPr>
            <w:r>
              <w:rPr>
                <w:rFonts w:hint="eastAsia" w:ascii="Times New Roman" w:hAnsi="Times New Roman" w:eastAsia="仿宋_GB2312" w:cs="Times New Roman"/>
                <w:sz w:val="21"/>
                <w:szCs w:val="21"/>
                <w:lang w:val="en-US" w:eastAsia="zh-CN"/>
              </w:rPr>
              <w:t>18:00-19:00</w:t>
            </w:r>
          </w:p>
        </w:tc>
        <w:tc>
          <w:tcPr>
            <w:tcW w:w="2041" w:type="pct"/>
            <w:shd w:val="clear" w:color="auto" w:fill="auto"/>
            <w:noWrap w:val="0"/>
            <w:vAlign w:val="center"/>
          </w:tcPr>
          <w:p w14:paraId="1FF353CE">
            <w:pPr>
              <w:spacing w:before="0" w:after="0" w:line="300" w:lineRule="auto"/>
              <w:jc w:val="center"/>
              <w:rPr>
                <w:rFonts w:hint="default" w:ascii="仿宋_GB2312" w:hAnsi="仿宋_GB2312" w:eastAsia="仿宋_GB2312" w:cs="仿宋_GB2312"/>
                <w:kern w:val="2"/>
                <w:sz w:val="24"/>
                <w:szCs w:val="21"/>
                <w:lang w:val="en-US" w:eastAsia="zh-CN" w:bidi="ar-SA"/>
              </w:rPr>
            </w:pPr>
            <w:r>
              <w:rPr>
                <w:rFonts w:hint="eastAsia" w:ascii="Times New Roman" w:hAnsi="Times New Roman" w:eastAsia="仿宋_GB2312" w:cs="Times New Roman"/>
                <w:kern w:val="2"/>
                <w:sz w:val="21"/>
                <w:szCs w:val="21"/>
                <w:lang w:val="en-US" w:eastAsia="zh-CN" w:bidi="ar-SA"/>
              </w:rPr>
              <w:t>闭幕式（</w:t>
            </w:r>
            <w:r>
              <w:rPr>
                <w:rFonts w:hint="eastAsia" w:ascii="Times New Roman" w:hAnsi="Times New Roman" w:eastAsia="仿宋_GB2312" w:cs="Times New Roman"/>
                <w:sz w:val="21"/>
                <w:szCs w:val="21"/>
                <w:lang w:val="en-US" w:eastAsia="zh-CN"/>
              </w:rPr>
              <w:t>成绩公布）</w:t>
            </w:r>
          </w:p>
        </w:tc>
        <w:tc>
          <w:tcPr>
            <w:tcW w:w="929" w:type="pct"/>
            <w:noWrap w:val="0"/>
            <w:vAlign w:val="center"/>
          </w:tcPr>
          <w:p w14:paraId="74DCC323">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lang w:val="en-US" w:eastAsia="zh-CN"/>
              </w:rPr>
              <w:t>闭幕式会场</w:t>
            </w:r>
          </w:p>
        </w:tc>
      </w:tr>
    </w:tbl>
    <w:p w14:paraId="140C0FB0">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（二）参赛选手竞赛过程</w:t>
      </w:r>
    </w:p>
    <w:tbl>
      <w:tblPr>
        <w:tblStyle w:val="5"/>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9"/>
        <w:gridCol w:w="1351"/>
        <w:gridCol w:w="2003"/>
        <w:gridCol w:w="2871"/>
        <w:gridCol w:w="1926"/>
      </w:tblGrid>
      <w:tr w14:paraId="7799E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00" w:type="pct"/>
            <w:noWrap w:val="0"/>
            <w:vAlign w:val="center"/>
          </w:tcPr>
          <w:p w14:paraId="7A64E055">
            <w:pPr>
              <w:spacing w:before="0" w:after="0" w:line="300" w:lineRule="auto"/>
              <w:jc w:val="center"/>
              <w:rPr>
                <w:rFonts w:hint="eastAsia" w:ascii="仿宋_GB2312" w:hAnsi="仿宋_GB2312" w:eastAsia="仿宋_GB2312" w:cs="仿宋_GB2312"/>
                <w:b/>
                <w:bCs/>
                <w:sz w:val="24"/>
                <w:szCs w:val="28"/>
              </w:rPr>
            </w:pPr>
            <w:r>
              <w:rPr>
                <w:rFonts w:hint="eastAsia" w:ascii="Times New Roman" w:hAnsi="Times New Roman" w:eastAsia="宋体" w:cs="Times New Roman"/>
                <w:b/>
                <w:bCs/>
                <w:sz w:val="24"/>
                <w:szCs w:val="24"/>
              </w:rPr>
              <w:t>序号</w:t>
            </w:r>
          </w:p>
        </w:tc>
        <w:tc>
          <w:tcPr>
            <w:tcW w:w="762" w:type="pct"/>
            <w:noWrap w:val="0"/>
            <w:vAlign w:val="center"/>
          </w:tcPr>
          <w:p w14:paraId="6B49A59D">
            <w:pPr>
              <w:spacing w:before="0" w:after="0" w:line="300" w:lineRule="auto"/>
              <w:jc w:val="center"/>
              <w:rPr>
                <w:rFonts w:hint="eastAsia" w:ascii="仿宋_GB2312" w:hAnsi="仿宋_GB2312" w:eastAsia="仿宋_GB2312" w:cs="仿宋_GB2312"/>
                <w:b/>
                <w:bCs/>
                <w:sz w:val="24"/>
                <w:szCs w:val="28"/>
              </w:rPr>
            </w:pPr>
            <w:r>
              <w:rPr>
                <w:rFonts w:hint="eastAsia" w:ascii="Times New Roman" w:hAnsi="Times New Roman" w:eastAsia="宋体" w:cs="Times New Roman"/>
                <w:b/>
                <w:bCs/>
                <w:sz w:val="24"/>
                <w:szCs w:val="24"/>
              </w:rPr>
              <w:t>时间</w:t>
            </w:r>
          </w:p>
        </w:tc>
        <w:tc>
          <w:tcPr>
            <w:tcW w:w="1130" w:type="pct"/>
            <w:noWrap w:val="0"/>
            <w:vAlign w:val="center"/>
          </w:tcPr>
          <w:p w14:paraId="48F369E0">
            <w:pPr>
              <w:spacing w:before="0" w:after="0" w:line="300" w:lineRule="auto"/>
              <w:jc w:val="center"/>
              <w:rPr>
                <w:rFonts w:hint="eastAsia" w:ascii="仿宋_GB2312" w:hAnsi="仿宋_GB2312" w:eastAsia="仿宋_GB2312" w:cs="仿宋_GB2312"/>
                <w:b/>
                <w:bCs/>
                <w:sz w:val="24"/>
                <w:szCs w:val="28"/>
              </w:rPr>
            </w:pPr>
            <w:r>
              <w:rPr>
                <w:rFonts w:hint="eastAsia" w:ascii="Times New Roman" w:hAnsi="Times New Roman" w:eastAsia="宋体" w:cs="Times New Roman"/>
                <w:b/>
                <w:bCs/>
                <w:sz w:val="24"/>
                <w:szCs w:val="24"/>
              </w:rPr>
              <w:t>事项</w:t>
            </w:r>
          </w:p>
        </w:tc>
        <w:tc>
          <w:tcPr>
            <w:tcW w:w="1619" w:type="pct"/>
            <w:noWrap w:val="0"/>
            <w:vAlign w:val="center"/>
          </w:tcPr>
          <w:p w14:paraId="19628B57">
            <w:pPr>
              <w:spacing w:before="0" w:after="0" w:line="300" w:lineRule="auto"/>
              <w:jc w:val="center"/>
              <w:rPr>
                <w:rFonts w:hint="eastAsia" w:ascii="仿宋_GB2312" w:hAnsi="仿宋_GB2312" w:eastAsia="仿宋_GB2312" w:cs="仿宋_GB2312"/>
                <w:b/>
                <w:bCs/>
                <w:sz w:val="24"/>
                <w:szCs w:val="28"/>
              </w:rPr>
            </w:pPr>
            <w:r>
              <w:rPr>
                <w:rFonts w:hint="eastAsia" w:ascii="Times New Roman" w:hAnsi="Times New Roman" w:eastAsia="宋体" w:cs="Times New Roman"/>
                <w:b/>
                <w:bCs/>
                <w:sz w:val="24"/>
                <w:szCs w:val="24"/>
              </w:rPr>
              <w:t>内容</w:t>
            </w:r>
          </w:p>
        </w:tc>
        <w:tc>
          <w:tcPr>
            <w:tcW w:w="1086" w:type="pct"/>
            <w:noWrap w:val="0"/>
            <w:vAlign w:val="center"/>
          </w:tcPr>
          <w:p w14:paraId="3C6D7D28">
            <w:pPr>
              <w:spacing w:before="0" w:after="0" w:line="300" w:lineRule="auto"/>
              <w:jc w:val="center"/>
              <w:rPr>
                <w:rFonts w:hint="eastAsia" w:ascii="仿宋_GB2312" w:hAnsi="仿宋_GB2312" w:eastAsia="仿宋_GB2312" w:cs="仿宋_GB2312"/>
                <w:b/>
                <w:bCs/>
                <w:sz w:val="24"/>
                <w:szCs w:val="28"/>
              </w:rPr>
            </w:pPr>
            <w:r>
              <w:rPr>
                <w:rFonts w:hint="eastAsia" w:ascii="Times New Roman" w:hAnsi="Times New Roman" w:eastAsia="宋体" w:cs="Times New Roman"/>
                <w:b/>
                <w:bCs/>
                <w:sz w:val="24"/>
                <w:szCs w:val="24"/>
              </w:rPr>
              <w:t>说明</w:t>
            </w:r>
          </w:p>
        </w:tc>
      </w:tr>
      <w:tr w14:paraId="7085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7EBC9307">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1</w:t>
            </w:r>
          </w:p>
        </w:tc>
        <w:tc>
          <w:tcPr>
            <w:tcW w:w="762" w:type="pct"/>
            <w:vMerge w:val="restart"/>
            <w:noWrap w:val="0"/>
            <w:vAlign w:val="center"/>
          </w:tcPr>
          <w:p w14:paraId="213026A6">
            <w:pPr>
              <w:spacing w:before="0" w:after="0" w:line="300" w:lineRule="auto"/>
              <w:jc w:val="center"/>
              <w:rPr>
                <w:rFonts w:hint="eastAsia" w:ascii="仿宋_GB2312" w:hAnsi="仿宋_GB2312" w:eastAsia="仿宋_GB2312" w:cs="仿宋_GB2312"/>
                <w:sz w:val="24"/>
                <w:lang w:val="en-US" w:eastAsia="zh-CN"/>
              </w:rPr>
            </w:pPr>
            <w:r>
              <w:rPr>
                <w:rFonts w:hint="eastAsia" w:eastAsia="仿宋_GB2312" w:cs="Times New Roman"/>
                <w:sz w:val="21"/>
                <w:szCs w:val="21"/>
                <w:lang w:val="en-US" w:eastAsia="zh-CN"/>
              </w:rPr>
              <w:t>第二天</w:t>
            </w:r>
          </w:p>
        </w:tc>
        <w:tc>
          <w:tcPr>
            <w:tcW w:w="1130" w:type="pct"/>
            <w:noWrap w:val="0"/>
            <w:vAlign w:val="center"/>
          </w:tcPr>
          <w:p w14:paraId="1772E6D3">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选手检录、加密</w:t>
            </w:r>
          </w:p>
        </w:tc>
        <w:tc>
          <w:tcPr>
            <w:tcW w:w="1619" w:type="pct"/>
            <w:noWrap w:val="0"/>
            <w:vAlign w:val="center"/>
          </w:tcPr>
          <w:p w14:paraId="4301B02A">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凭组委会规定有效证件检录、两次加密</w:t>
            </w:r>
          </w:p>
        </w:tc>
        <w:tc>
          <w:tcPr>
            <w:tcW w:w="1086" w:type="pct"/>
            <w:noWrap w:val="0"/>
            <w:vAlign w:val="center"/>
          </w:tcPr>
          <w:p w14:paraId="35F1CEB0">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开赛前10分钟截止</w:t>
            </w:r>
          </w:p>
        </w:tc>
      </w:tr>
      <w:tr w14:paraId="78F6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5B5FD095">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2</w:t>
            </w:r>
          </w:p>
        </w:tc>
        <w:tc>
          <w:tcPr>
            <w:tcW w:w="762" w:type="pct"/>
            <w:vMerge w:val="continue"/>
            <w:noWrap w:val="0"/>
            <w:vAlign w:val="center"/>
          </w:tcPr>
          <w:p w14:paraId="103D61C2">
            <w:pPr>
              <w:spacing w:line="0" w:lineRule="atLeast"/>
              <w:jc w:val="center"/>
              <w:rPr>
                <w:rFonts w:hint="eastAsia" w:ascii="仿宋_GB2312" w:hAnsi="仿宋_GB2312" w:eastAsia="仿宋_GB2312" w:cs="仿宋_GB2312"/>
                <w:sz w:val="24"/>
              </w:rPr>
            </w:pPr>
          </w:p>
        </w:tc>
        <w:tc>
          <w:tcPr>
            <w:tcW w:w="1130" w:type="pct"/>
            <w:noWrap w:val="0"/>
            <w:vAlign w:val="center"/>
          </w:tcPr>
          <w:p w14:paraId="76B27B45">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模块一竞赛</w:t>
            </w:r>
          </w:p>
        </w:tc>
        <w:tc>
          <w:tcPr>
            <w:tcW w:w="1619" w:type="pct"/>
            <w:noWrap w:val="0"/>
            <w:vAlign w:val="center"/>
          </w:tcPr>
          <w:p w14:paraId="23913EF1">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依据二次加密号进入指定赛位，规定时间内完成竞赛</w:t>
            </w:r>
          </w:p>
        </w:tc>
        <w:tc>
          <w:tcPr>
            <w:tcW w:w="1086" w:type="pct"/>
            <w:noWrap w:val="0"/>
            <w:vAlign w:val="center"/>
          </w:tcPr>
          <w:p w14:paraId="544AFF85">
            <w:pPr>
              <w:spacing w:before="0" w:after="0" w:line="300" w:lineRule="auto"/>
              <w:jc w:val="center"/>
              <w:rPr>
                <w:rFonts w:hint="eastAsia" w:ascii="仿宋_GB2312" w:hAnsi="仿宋_GB2312" w:eastAsia="仿宋_GB2312" w:cs="仿宋_GB2312"/>
                <w:sz w:val="24"/>
              </w:rPr>
            </w:pPr>
          </w:p>
        </w:tc>
      </w:tr>
      <w:tr w14:paraId="457F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6896AA7C">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3</w:t>
            </w:r>
          </w:p>
        </w:tc>
        <w:tc>
          <w:tcPr>
            <w:tcW w:w="762" w:type="pct"/>
            <w:vMerge w:val="continue"/>
            <w:noWrap w:val="0"/>
            <w:vAlign w:val="center"/>
          </w:tcPr>
          <w:p w14:paraId="75C8FA54">
            <w:pPr>
              <w:spacing w:line="0" w:lineRule="atLeast"/>
              <w:jc w:val="center"/>
              <w:rPr>
                <w:rFonts w:hint="eastAsia" w:ascii="仿宋_GB2312" w:hAnsi="仿宋_GB2312" w:eastAsia="仿宋_GB2312" w:cs="仿宋_GB2312"/>
                <w:sz w:val="24"/>
              </w:rPr>
            </w:pPr>
          </w:p>
        </w:tc>
        <w:tc>
          <w:tcPr>
            <w:tcW w:w="1130" w:type="pct"/>
            <w:noWrap w:val="0"/>
            <w:vAlign w:val="center"/>
          </w:tcPr>
          <w:p w14:paraId="09083316">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模块</w:t>
            </w:r>
            <w:r>
              <w:rPr>
                <w:rFonts w:hint="eastAsia" w:ascii="Times New Roman" w:hAnsi="Times New Roman" w:eastAsia="仿宋_GB2312" w:cs="Times New Roman"/>
                <w:sz w:val="21"/>
                <w:szCs w:val="21"/>
                <w:lang w:val="en-US" w:eastAsia="zh-CN"/>
              </w:rPr>
              <w:t>二</w:t>
            </w:r>
            <w:r>
              <w:rPr>
                <w:rFonts w:hint="eastAsia" w:ascii="Times New Roman" w:hAnsi="Times New Roman" w:eastAsia="仿宋_GB2312" w:cs="Times New Roman"/>
                <w:sz w:val="21"/>
                <w:szCs w:val="21"/>
              </w:rPr>
              <w:t>竞赛</w:t>
            </w:r>
          </w:p>
        </w:tc>
        <w:tc>
          <w:tcPr>
            <w:tcW w:w="1619" w:type="pct"/>
            <w:noWrap w:val="0"/>
            <w:vAlign w:val="center"/>
          </w:tcPr>
          <w:p w14:paraId="481AB8A8">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依据分组抽检顺序号检录、凭二次加密号进入指定场地，在规定时间内完成竞赛</w:t>
            </w:r>
          </w:p>
        </w:tc>
        <w:tc>
          <w:tcPr>
            <w:tcW w:w="1086" w:type="pct"/>
            <w:noWrap w:val="0"/>
            <w:vAlign w:val="center"/>
          </w:tcPr>
          <w:p w14:paraId="2E703141">
            <w:pPr>
              <w:spacing w:before="0" w:after="0" w:line="300" w:lineRule="auto"/>
              <w:jc w:val="center"/>
              <w:rPr>
                <w:rFonts w:hint="eastAsia" w:ascii="仿宋_GB2312" w:hAnsi="仿宋_GB2312" w:eastAsia="仿宋_GB2312" w:cs="仿宋_GB2312"/>
                <w:sz w:val="24"/>
              </w:rPr>
            </w:pPr>
          </w:p>
        </w:tc>
      </w:tr>
      <w:tr w14:paraId="3FA8B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32ECCD7B">
            <w:pPr>
              <w:spacing w:before="0" w:after="0" w:line="300" w:lineRule="auto"/>
              <w:jc w:val="center"/>
              <w:rPr>
                <w:rFonts w:hint="eastAsia" w:ascii="仿宋_GB2312" w:hAnsi="仿宋_GB2312" w:eastAsia="仿宋_GB2312" w:cs="仿宋_GB2312"/>
                <w:sz w:val="24"/>
                <w:lang w:val="en-US" w:eastAsia="zh-CN"/>
              </w:rPr>
            </w:pPr>
            <w:r>
              <w:rPr>
                <w:rFonts w:hint="eastAsia" w:ascii="Times New Roman" w:hAnsi="Times New Roman" w:eastAsia="仿宋_GB2312" w:cs="Times New Roman"/>
                <w:sz w:val="21"/>
                <w:szCs w:val="21"/>
                <w:lang w:val="en-US" w:eastAsia="zh-CN"/>
              </w:rPr>
              <w:t>4</w:t>
            </w:r>
          </w:p>
        </w:tc>
        <w:tc>
          <w:tcPr>
            <w:tcW w:w="762" w:type="pct"/>
            <w:vMerge w:val="continue"/>
            <w:noWrap w:val="0"/>
            <w:vAlign w:val="center"/>
          </w:tcPr>
          <w:p w14:paraId="7FE979F3">
            <w:pPr>
              <w:spacing w:line="0" w:lineRule="atLeast"/>
              <w:jc w:val="center"/>
              <w:rPr>
                <w:rFonts w:hint="eastAsia" w:ascii="仿宋_GB2312" w:hAnsi="仿宋_GB2312" w:eastAsia="仿宋_GB2312" w:cs="仿宋_GB2312"/>
                <w:sz w:val="24"/>
              </w:rPr>
            </w:pPr>
          </w:p>
        </w:tc>
        <w:tc>
          <w:tcPr>
            <w:tcW w:w="1130" w:type="pct"/>
            <w:noWrap w:val="0"/>
            <w:vAlign w:val="center"/>
          </w:tcPr>
          <w:p w14:paraId="3C73146F">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结束</w:t>
            </w:r>
          </w:p>
        </w:tc>
        <w:tc>
          <w:tcPr>
            <w:tcW w:w="1619" w:type="pct"/>
            <w:noWrap w:val="0"/>
            <w:vAlign w:val="center"/>
          </w:tcPr>
          <w:p w14:paraId="38D967DE">
            <w:pPr>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领取有效证件</w:t>
            </w:r>
          </w:p>
        </w:tc>
        <w:tc>
          <w:tcPr>
            <w:tcW w:w="1086" w:type="pct"/>
            <w:noWrap w:val="0"/>
            <w:vAlign w:val="center"/>
          </w:tcPr>
          <w:p w14:paraId="30964F7A">
            <w:pPr>
              <w:spacing w:before="0" w:after="0" w:line="300" w:lineRule="auto"/>
              <w:jc w:val="center"/>
              <w:rPr>
                <w:rFonts w:hint="eastAsia" w:ascii="仿宋_GB2312" w:hAnsi="仿宋_GB2312" w:eastAsia="仿宋_GB2312" w:cs="仿宋_GB2312"/>
                <w:sz w:val="24"/>
              </w:rPr>
            </w:pPr>
          </w:p>
        </w:tc>
      </w:tr>
    </w:tbl>
    <w:p w14:paraId="7F0A625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六、竞赛命题</w:t>
      </w:r>
    </w:p>
    <w:p w14:paraId="62E42C5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黑体" w:cs="Times New Roman"/>
          <w:sz w:val="24"/>
          <w:szCs w:val="24"/>
        </w:rPr>
      </w:pPr>
      <w:r>
        <w:rPr>
          <w:rFonts w:hint="eastAsia" w:ascii="Times New Roman" w:hAnsi="Times New Roman" w:eastAsia="仿宋_GB2312" w:cs="Times New Roman"/>
          <w:sz w:val="28"/>
          <w:szCs w:val="28"/>
          <w:lang w:val="en-US" w:eastAsia="zh-CN"/>
        </w:rPr>
        <w:t>赛项采用公开试题。试题于竞赛前两周发布。</w:t>
      </w:r>
    </w:p>
    <w:p w14:paraId="0E16482D">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七、竞赛规则</w:t>
      </w:r>
    </w:p>
    <w:p w14:paraId="15C942FC">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（一）选手报名</w:t>
      </w:r>
    </w:p>
    <w:p w14:paraId="779388CA">
      <w:pPr>
        <w:spacing w:before="104" w:line="342" w:lineRule="auto"/>
        <w:ind w:firstLine="619"/>
        <w:jc w:val="both"/>
        <w:rPr>
          <w:rFonts w:ascii="仿宋" w:hAnsi="仿宋" w:eastAsia="仿宋" w:cs="仿宋"/>
          <w:sz w:val="32"/>
          <w:szCs w:val="32"/>
        </w:rPr>
      </w:pPr>
      <w:r>
        <w:rPr>
          <w:rFonts w:hint="eastAsia" w:ascii="Times New Roman" w:hAnsi="Times New Roman" w:eastAsia="仿宋_GB2312" w:cs="Times New Roman"/>
          <w:sz w:val="28"/>
          <w:szCs w:val="28"/>
          <w:lang w:val="en-US" w:eastAsia="zh-CN"/>
        </w:rPr>
        <w:t>参赛选手须为高等学校全日制在籍高职高专类学生</w:t>
      </w:r>
      <w:r>
        <w:rPr>
          <w:rFonts w:hint="eastAsia" w:eastAsia="仿宋_GB2312" w:cs="Times New Roman"/>
          <w:sz w:val="28"/>
          <w:szCs w:val="28"/>
          <w:lang w:val="en-US" w:eastAsia="zh-CN"/>
        </w:rPr>
        <w:t>，</w:t>
      </w:r>
      <w:r>
        <w:rPr>
          <w:rFonts w:hint="eastAsia" w:ascii="Times New Roman" w:hAnsi="Times New Roman" w:eastAsia="仿宋_GB2312" w:cs="Times New Roman"/>
          <w:sz w:val="28"/>
          <w:szCs w:val="28"/>
          <w:lang w:val="en-US" w:eastAsia="zh-CN"/>
        </w:rPr>
        <w:t>参赛选手年龄不超过25周岁(即2002年5月1日及以后出生)。在2025年世界职业院校技能大赛争夺赛中获一等奖的选手，不能再参加今年同一项目 (同一组别)的全省竞赛。</w:t>
      </w:r>
    </w:p>
    <w:p w14:paraId="17966728">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（二）熟悉场地</w:t>
      </w:r>
    </w:p>
    <w:p w14:paraId="6A0AB2A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赛项承办方将安排各参赛队统一有序的熟悉场地，熟悉场地时，须在指定区域内；熟悉场地严格遵守大赛各种制度，不发表有损大赛整体形象的言论，严禁拥挤、喧哗，以免发生意外事故。</w:t>
      </w:r>
    </w:p>
    <w:p w14:paraId="05D7AC63">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（三）入场规则</w:t>
      </w:r>
    </w:p>
    <w:p w14:paraId="7A3FF01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选手需在模块开始前10分钟完成检录、加密，进入赛场须按照二次加密号进入指定赛位。比赛开始10分钟后，迟到选手不得入场。参赛选手不允许携带任何通讯及存储设备、纸质材料等物品进入赛场，赛场内提供比赛必备用品（纸、笔、饮用水和食物等）。</w:t>
      </w:r>
    </w:p>
    <w:p w14:paraId="1A004400">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（四）赛场规则</w:t>
      </w:r>
    </w:p>
    <w:p w14:paraId="223BEC2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选手进入赛场赛位后，必须听从现场裁判员的统一指挥，对比赛用品要进行确认，如有问题及时向裁判员报告。比赛开始，裁判员将下发赛题，参赛队自行安排选手分工、工作流程和时间安排，在裁判员指令下“开始”“结束”比赛，赛场设有计时装置，用于选手了解比赛用时。比赛过程中，须严格遵守比赛规程，因个人误操作造成设备故障时，裁判长有权终止该队比赛，如非选手个人原因出现的设备故障而无法比赛时，由裁判长视情况做出裁决；选手不得随意离开赛位，不得与其他队选手交流，遇到问题可举手向裁判员示意询问处理，否则按照作弊处理。比赛结束后，需对本队比赛用品进行整理。比赛过程中，除裁判员、工作人员外的其余人员未经组委会同意不得进入场地。</w:t>
      </w:r>
    </w:p>
    <w:p w14:paraId="2750E5B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（五）离场规则</w:t>
      </w:r>
    </w:p>
    <w:p w14:paraId="7DC1AC50">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裁判员宣布“结束”指令后，所有参赛队立即停止操作，参赛队须与裁判员签字（签署赛位号）确认，并提交赛卷，裁判员检查确认后，参赛队方可离场。参赛队若提前结束比赛，应由参赛队向裁判员举手示意，竞赛终止情况由裁判员和参赛队（签署赛位号）共同签署记录，参赛队结束比赛后不得再进行任何操作，不允许提前离场。</w:t>
      </w:r>
    </w:p>
    <w:p w14:paraId="32673EC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w:t>
      </w:r>
      <w:r>
        <w:rPr>
          <w:rFonts w:hint="eastAsia" w:ascii="Times New Roman" w:hAnsi="Times New Roman" w:eastAsia="楷体_GB2312" w:cs="Times New Roman"/>
          <w:b/>
          <w:bCs/>
          <w:color w:val="auto"/>
          <w:sz w:val="28"/>
          <w:szCs w:val="28"/>
          <w:highlight w:val="none"/>
          <w:lang w:val="en-US" w:eastAsia="zh-CN"/>
        </w:rPr>
        <w:t>六</w:t>
      </w:r>
      <w:r>
        <w:rPr>
          <w:rFonts w:hint="eastAsia" w:ascii="Times New Roman" w:hAnsi="Times New Roman" w:eastAsia="楷体_GB2312" w:cs="Times New Roman"/>
          <w:b/>
          <w:bCs/>
          <w:color w:val="auto"/>
          <w:sz w:val="28"/>
          <w:szCs w:val="28"/>
          <w:highlight w:val="none"/>
        </w:rPr>
        <w:t>）成绩评定</w:t>
      </w:r>
    </w:p>
    <w:p w14:paraId="0C5AF5E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竞赛3个模块均以百分计，各模块均由评分裁判依据各模块评分标准，对参赛队提交结果进行综合性评价，各队所得成绩直接计入总成绩。各项成绩经核对无误后，均需裁判长、监督仲裁组人员签字确认。成绩抽查复核将遵照大赛相关规定执行。</w:t>
      </w:r>
    </w:p>
    <w:p w14:paraId="65222178">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w:t>
      </w:r>
      <w:r>
        <w:rPr>
          <w:rFonts w:hint="eastAsia" w:ascii="Times New Roman" w:hAnsi="Times New Roman" w:eastAsia="楷体_GB2312" w:cs="Times New Roman"/>
          <w:b/>
          <w:bCs/>
          <w:color w:val="auto"/>
          <w:sz w:val="28"/>
          <w:szCs w:val="28"/>
          <w:highlight w:val="none"/>
          <w:lang w:val="en-US" w:eastAsia="zh-CN"/>
        </w:rPr>
        <w:t>七</w:t>
      </w:r>
      <w:r>
        <w:rPr>
          <w:rFonts w:hint="eastAsia" w:ascii="Times New Roman" w:hAnsi="Times New Roman" w:eastAsia="楷体_GB2312" w:cs="Times New Roman"/>
          <w:b/>
          <w:bCs/>
          <w:color w:val="auto"/>
          <w:sz w:val="28"/>
          <w:szCs w:val="28"/>
          <w:highlight w:val="none"/>
        </w:rPr>
        <w:t>）结果公布</w:t>
      </w:r>
    </w:p>
    <w:p w14:paraId="72B2736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记分员将解密后的各队成绩进行汇总，经裁判长、监督仲裁组签字后，公布比赛结果。公示2小时无异议后，将赛项总成绩的最终结果录入赛务管理系统，经裁判长、监督仲裁组组长在系统导出成绩单上审核签字后，在闭幕式上宣布。</w:t>
      </w:r>
    </w:p>
    <w:p w14:paraId="54FDCCA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八、竞赛环境</w:t>
      </w:r>
    </w:p>
    <w:p w14:paraId="02E6DAD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b/>
          <w:bCs/>
          <w:sz w:val="28"/>
          <w:szCs w:val="28"/>
          <w:lang w:val="en-US" w:eastAsia="zh-CN"/>
        </w:rPr>
        <w:t>1.商船货物配载赛场情况</w:t>
      </w:r>
    </w:p>
    <w:p w14:paraId="0E5CBBE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default"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（1）模块一赛场在18-506，候赛区在18-501。</w:t>
      </w:r>
    </w:p>
    <w:p w14:paraId="55A888F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（2）工位可以满足20个团队同时比赛。</w:t>
      </w:r>
    </w:p>
    <w:p w14:paraId="724551F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2" w:firstLineChars="200"/>
        <w:jc w:val="left"/>
        <w:textAlignment w:val="auto"/>
        <w:outlineLvl w:val="1"/>
        <w:rPr>
          <w:rFonts w:hint="default" w:ascii="仿宋_GB2312" w:hAnsi="仿宋_GB2312" w:eastAsia="仿宋_GB2312" w:cs="仿宋_GB2312"/>
          <w:sz w:val="24"/>
          <w:szCs w:val="24"/>
          <w:lang w:val="en-US" w:eastAsia="zh-CN"/>
        </w:rPr>
      </w:pPr>
      <w:r>
        <w:rPr>
          <w:rFonts w:hint="eastAsia" w:ascii="Times New Roman" w:hAnsi="Times New Roman" w:eastAsia="仿宋_GB2312" w:cs="Times New Roman"/>
          <w:b/>
          <w:bCs/>
          <w:sz w:val="28"/>
          <w:szCs w:val="28"/>
          <w:lang w:val="en-US" w:eastAsia="zh-CN"/>
        </w:rPr>
        <w:t>2.航行安全管理赛场情况</w:t>
      </w:r>
    </w:p>
    <w:p w14:paraId="48B65F2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（1）模块二赛场在18-1208航海模拟器实训室，候赛区在18-501。</w:t>
      </w:r>
    </w:p>
    <w:p w14:paraId="441EB75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（2）实训室同时可进行2个团队进行比赛。</w:t>
      </w:r>
    </w:p>
    <w:p w14:paraId="15D8AAF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九、技术规范</w:t>
      </w:r>
    </w:p>
    <w:p w14:paraId="1CB8F840">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（一）操作规范与标准</w:t>
      </w:r>
    </w:p>
    <w:p w14:paraId="2145541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 w:hAnsi="仿宋" w:eastAsia="仿宋" w:cs="仿宋"/>
          <w:sz w:val="24"/>
          <w:szCs w:val="24"/>
          <w:lang w:val="en-US" w:eastAsia="zh-CN"/>
        </w:rPr>
      </w:pPr>
      <w:r>
        <w:rPr>
          <w:rFonts w:hint="eastAsia" w:ascii="Times New Roman" w:hAnsi="Times New Roman" w:eastAsia="仿宋_GB2312" w:cs="Times New Roman"/>
          <w:sz w:val="28"/>
          <w:szCs w:val="28"/>
          <w:lang w:val="en-US" w:eastAsia="zh-CN"/>
        </w:rPr>
        <w:t>比赛中各项操作及评分按照行业通行的技术规范和职业标准执行，具体如表所示。</w:t>
      </w:r>
    </w:p>
    <w:tbl>
      <w:tblPr>
        <w:tblStyle w:val="5"/>
        <w:tblW w:w="8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5"/>
        <w:gridCol w:w="2764"/>
        <w:gridCol w:w="4044"/>
      </w:tblGrid>
      <w:tr w14:paraId="0608B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1655" w:type="dxa"/>
            <w:noWrap w:val="0"/>
            <w:vAlign w:val="center"/>
          </w:tcPr>
          <w:p w14:paraId="17A1E1E7">
            <w:pPr>
              <w:autoSpaceDE w:val="0"/>
              <w:autoSpaceDN w:val="0"/>
              <w:adjustRightInd w:val="0"/>
              <w:snapToGrid w:val="0"/>
              <w:spacing w:before="0" w:after="0" w:line="300" w:lineRule="auto"/>
              <w:jc w:val="center"/>
              <w:rPr>
                <w:rFonts w:hint="eastAsia" w:ascii="仿宋_GB2312" w:hAnsi="仿宋_GB2312" w:eastAsia="仿宋_GB2312" w:cs="仿宋_GB2312"/>
                <w:b/>
                <w:bCs/>
                <w:sz w:val="24"/>
                <w:szCs w:val="28"/>
                <w:highlight w:val="none"/>
              </w:rPr>
            </w:pPr>
            <w:r>
              <w:rPr>
                <w:rFonts w:hint="eastAsia" w:ascii="Times New Roman" w:hAnsi="Times New Roman" w:eastAsia="宋体" w:cs="Times New Roman"/>
                <w:b/>
                <w:bCs/>
                <w:sz w:val="24"/>
                <w:szCs w:val="24"/>
                <w:highlight w:val="none"/>
              </w:rPr>
              <w:t>模块</w:t>
            </w:r>
          </w:p>
        </w:tc>
        <w:tc>
          <w:tcPr>
            <w:tcW w:w="2764" w:type="dxa"/>
            <w:noWrap w:val="0"/>
            <w:vAlign w:val="center"/>
          </w:tcPr>
          <w:p w14:paraId="3DDA7E2E">
            <w:pPr>
              <w:autoSpaceDE w:val="0"/>
              <w:autoSpaceDN w:val="0"/>
              <w:adjustRightInd w:val="0"/>
              <w:snapToGrid w:val="0"/>
              <w:spacing w:before="0" w:after="0" w:line="300" w:lineRule="auto"/>
              <w:jc w:val="center"/>
              <w:rPr>
                <w:rFonts w:hint="eastAsia" w:ascii="仿宋_GB2312" w:hAnsi="仿宋_GB2312" w:eastAsia="仿宋_GB2312" w:cs="仿宋_GB2312"/>
                <w:b/>
                <w:bCs/>
                <w:sz w:val="24"/>
                <w:szCs w:val="28"/>
                <w:highlight w:val="none"/>
              </w:rPr>
            </w:pPr>
            <w:r>
              <w:rPr>
                <w:rFonts w:hint="eastAsia" w:ascii="Times New Roman" w:hAnsi="Times New Roman" w:eastAsia="宋体" w:cs="Times New Roman"/>
                <w:b/>
                <w:bCs/>
                <w:sz w:val="24"/>
                <w:szCs w:val="24"/>
                <w:highlight w:val="none"/>
              </w:rPr>
              <w:t>竞赛内容</w:t>
            </w:r>
          </w:p>
        </w:tc>
        <w:tc>
          <w:tcPr>
            <w:tcW w:w="4044" w:type="dxa"/>
            <w:noWrap w:val="0"/>
            <w:vAlign w:val="center"/>
          </w:tcPr>
          <w:p w14:paraId="1E0C76CF">
            <w:pPr>
              <w:autoSpaceDE w:val="0"/>
              <w:autoSpaceDN w:val="0"/>
              <w:adjustRightInd w:val="0"/>
              <w:snapToGrid w:val="0"/>
              <w:spacing w:before="0" w:after="0" w:line="300" w:lineRule="auto"/>
              <w:jc w:val="center"/>
              <w:rPr>
                <w:rFonts w:hint="eastAsia" w:ascii="仿宋_GB2312" w:hAnsi="仿宋_GB2312" w:eastAsia="仿宋_GB2312" w:cs="仿宋_GB2312"/>
                <w:b/>
                <w:bCs/>
                <w:sz w:val="24"/>
                <w:szCs w:val="28"/>
                <w:highlight w:val="none"/>
              </w:rPr>
            </w:pPr>
            <w:r>
              <w:rPr>
                <w:rFonts w:hint="eastAsia" w:ascii="Times New Roman" w:hAnsi="Times New Roman" w:eastAsia="宋体" w:cs="Times New Roman"/>
                <w:b/>
                <w:bCs/>
                <w:sz w:val="24"/>
                <w:szCs w:val="24"/>
                <w:highlight w:val="none"/>
              </w:rPr>
              <w:t>操作规范与标准</w:t>
            </w:r>
          </w:p>
        </w:tc>
      </w:tr>
      <w:tr w14:paraId="393D3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655" w:type="dxa"/>
            <w:noWrap w:val="0"/>
            <w:vAlign w:val="center"/>
          </w:tcPr>
          <w:p w14:paraId="5ECE2260">
            <w:pPr>
              <w:autoSpaceDE w:val="0"/>
              <w:autoSpaceDN w:val="0"/>
              <w:adjustRightInd w:val="0"/>
              <w:snapToGrid w:val="0"/>
              <w:spacing w:before="0" w:after="0" w:line="300" w:lineRule="auto"/>
              <w:jc w:val="center"/>
              <w:rPr>
                <w:rFonts w:hint="eastAsia" w:ascii="仿宋_GB2312" w:hAnsi="仿宋_GB2312" w:eastAsia="仿宋_GB2312" w:cs="仿宋_GB2312"/>
                <w:color w:val="000000"/>
                <w:sz w:val="24"/>
              </w:rPr>
            </w:pPr>
            <w:r>
              <w:rPr>
                <w:rFonts w:hint="eastAsia" w:ascii="Times New Roman" w:hAnsi="Times New Roman" w:eastAsia="仿宋_GB2312" w:cs="Times New Roman"/>
                <w:color w:val="000000"/>
                <w:sz w:val="21"/>
                <w:szCs w:val="21"/>
              </w:rPr>
              <w:t>模块一：</w:t>
            </w:r>
          </w:p>
          <w:p w14:paraId="5E86B2C3">
            <w:pPr>
              <w:autoSpaceDE w:val="0"/>
              <w:autoSpaceDN w:val="0"/>
              <w:adjustRightInd w:val="0"/>
              <w:snapToGrid w:val="0"/>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color w:val="000000"/>
                <w:sz w:val="21"/>
                <w:szCs w:val="21"/>
              </w:rPr>
              <w:t>商船货物配载</w:t>
            </w:r>
          </w:p>
        </w:tc>
        <w:tc>
          <w:tcPr>
            <w:tcW w:w="2764" w:type="dxa"/>
            <w:noWrap w:val="0"/>
            <w:vAlign w:val="center"/>
          </w:tcPr>
          <w:p w14:paraId="3D8BE4D6">
            <w:pPr>
              <w:autoSpaceDE w:val="0"/>
              <w:autoSpaceDN w:val="0"/>
              <w:adjustRightInd w:val="0"/>
              <w:snapToGrid w:val="0"/>
              <w:spacing w:before="0" w:after="0" w:line="300" w:lineRule="auto"/>
              <w:jc w:val="both"/>
              <w:rPr>
                <w:rFonts w:hint="eastAsia" w:ascii="仿宋_GB2312" w:hAnsi="仿宋_GB2312" w:eastAsia="仿宋_GB2312" w:cs="仿宋_GB2312"/>
                <w:sz w:val="24"/>
              </w:rPr>
            </w:pPr>
            <w:r>
              <w:rPr>
                <w:rFonts w:hint="eastAsia" w:ascii="Times New Roman" w:hAnsi="Times New Roman" w:eastAsia="仿宋_GB2312" w:cs="Times New Roman"/>
                <w:color w:val="000000"/>
                <w:sz w:val="21"/>
                <w:szCs w:val="21"/>
              </w:rPr>
              <w:t>核算船舶载货能力；按舱容比分配各舱货物重量；拟定初配方案；全面检查初配方案；核算船舶稳性、吃水差和纵强度；绘制正式配载图</w:t>
            </w:r>
          </w:p>
        </w:tc>
        <w:tc>
          <w:tcPr>
            <w:tcW w:w="4044" w:type="dxa"/>
            <w:noWrap w:val="0"/>
            <w:vAlign w:val="center"/>
          </w:tcPr>
          <w:p w14:paraId="7ED4CB3F">
            <w:pPr>
              <w:autoSpaceDE w:val="0"/>
              <w:autoSpaceDN w:val="0"/>
              <w:adjustRightInd w:val="0"/>
              <w:snapToGrid w:val="0"/>
              <w:spacing w:before="0" w:after="0" w:line="300" w:lineRule="auto"/>
              <w:jc w:val="both"/>
              <w:rPr>
                <w:rFonts w:hint="eastAsia" w:ascii="仿宋_GB2312" w:hAnsi="仿宋_GB2312" w:eastAsia="仿宋_GB2312" w:cs="仿宋_GB2312"/>
                <w:color w:val="000000"/>
                <w:sz w:val="24"/>
              </w:rPr>
            </w:pPr>
            <w:bookmarkStart w:id="0" w:name="_Hlk132369194"/>
            <w:r>
              <w:rPr>
                <w:rFonts w:hint="eastAsia" w:ascii="Times New Roman" w:hAnsi="Times New Roman" w:eastAsia="仿宋_GB2312" w:cs="Times New Roman"/>
                <w:color w:val="000000"/>
                <w:sz w:val="21"/>
                <w:szCs w:val="21"/>
              </w:rPr>
              <w:t>1.《货物积载和系固安全操作规则》</w:t>
            </w:r>
            <w:bookmarkEnd w:id="0"/>
            <w:r>
              <w:rPr>
                <w:rFonts w:hint="eastAsia" w:ascii="Times New Roman" w:hAnsi="Times New Roman" w:eastAsia="仿宋_GB2312" w:cs="Times New Roman"/>
                <w:color w:val="000000"/>
                <w:sz w:val="21"/>
                <w:szCs w:val="21"/>
              </w:rPr>
              <w:t>；</w:t>
            </w:r>
          </w:p>
          <w:p w14:paraId="53D69AEE">
            <w:pPr>
              <w:autoSpaceDE w:val="0"/>
              <w:autoSpaceDN w:val="0"/>
              <w:adjustRightInd w:val="0"/>
              <w:snapToGrid w:val="0"/>
              <w:spacing w:before="0" w:after="0" w:line="300" w:lineRule="auto"/>
              <w:jc w:val="both"/>
              <w:rPr>
                <w:rFonts w:hint="eastAsia" w:ascii="仿宋_GB2312" w:hAnsi="仿宋_GB2312" w:eastAsia="仿宋_GB2312" w:cs="仿宋_GB2312"/>
                <w:color w:val="000000"/>
                <w:sz w:val="24"/>
              </w:rPr>
            </w:pPr>
            <w:r>
              <w:rPr>
                <w:rFonts w:hint="eastAsia" w:ascii="Times New Roman" w:hAnsi="Times New Roman" w:eastAsia="仿宋_GB2312" w:cs="Times New Roman"/>
                <w:color w:val="000000"/>
                <w:sz w:val="21"/>
                <w:szCs w:val="21"/>
              </w:rPr>
              <w:t>2.《1974年国际海上人命与安全公约》（SOLAS公约）；</w:t>
            </w:r>
          </w:p>
          <w:p w14:paraId="5B524E84">
            <w:pPr>
              <w:autoSpaceDE w:val="0"/>
              <w:autoSpaceDN w:val="0"/>
              <w:adjustRightInd w:val="0"/>
              <w:snapToGrid w:val="0"/>
              <w:spacing w:before="0" w:after="0" w:line="300" w:lineRule="auto"/>
              <w:jc w:val="both"/>
              <w:rPr>
                <w:rFonts w:hint="eastAsia" w:ascii="仿宋_GB2312" w:hAnsi="仿宋_GB2312" w:eastAsia="仿宋_GB2312" w:cs="仿宋_GB2312"/>
                <w:color w:val="000000"/>
                <w:sz w:val="24"/>
              </w:rPr>
            </w:pPr>
            <w:r>
              <w:rPr>
                <w:rFonts w:hint="eastAsia" w:ascii="Times New Roman" w:hAnsi="Times New Roman" w:eastAsia="仿宋_GB2312" w:cs="Times New Roman"/>
                <w:color w:val="000000"/>
                <w:sz w:val="21"/>
                <w:szCs w:val="21"/>
              </w:rPr>
              <w:t>3.稳性计算书使用说明；</w:t>
            </w:r>
          </w:p>
          <w:p w14:paraId="7B2BFF29">
            <w:pPr>
              <w:autoSpaceDE w:val="0"/>
              <w:autoSpaceDN w:val="0"/>
              <w:adjustRightInd w:val="0"/>
              <w:snapToGrid w:val="0"/>
              <w:spacing w:before="0" w:after="0" w:line="300" w:lineRule="auto"/>
              <w:jc w:val="both"/>
              <w:rPr>
                <w:rFonts w:hint="eastAsia" w:ascii="仿宋_GB2312" w:hAnsi="仿宋_GB2312" w:eastAsia="仿宋_GB2312" w:cs="仿宋_GB2312"/>
                <w:color w:val="000000"/>
                <w:sz w:val="24"/>
              </w:rPr>
            </w:pPr>
            <w:r>
              <w:rPr>
                <w:rFonts w:hint="eastAsia" w:ascii="Times New Roman" w:hAnsi="Times New Roman" w:eastAsia="仿宋_GB2312" w:cs="Times New Roman"/>
                <w:color w:val="000000"/>
                <w:sz w:val="21"/>
                <w:szCs w:val="21"/>
              </w:rPr>
              <w:t>4.《海船船员培训大纲（2021版）》；</w:t>
            </w:r>
          </w:p>
          <w:p w14:paraId="03A88BA5">
            <w:pPr>
              <w:autoSpaceDE w:val="0"/>
              <w:autoSpaceDN w:val="0"/>
              <w:adjustRightInd w:val="0"/>
              <w:snapToGrid w:val="0"/>
              <w:spacing w:before="0" w:after="0" w:line="300" w:lineRule="auto"/>
              <w:jc w:val="both"/>
              <w:rPr>
                <w:rFonts w:hint="eastAsia" w:ascii="仿宋_GB2312" w:hAnsi="仿宋_GB2312" w:eastAsia="仿宋_GB2312" w:cs="仿宋_GB2312"/>
                <w:color w:val="FF0000"/>
                <w:sz w:val="24"/>
              </w:rPr>
            </w:pPr>
            <w:r>
              <w:rPr>
                <w:rFonts w:hint="eastAsia" w:ascii="Times New Roman" w:hAnsi="Times New Roman" w:eastAsia="仿宋_GB2312" w:cs="Times New Roman"/>
                <w:color w:val="000000"/>
                <w:sz w:val="21"/>
                <w:szCs w:val="21"/>
              </w:rPr>
              <w:t>5.《海船船员考试大纲（2022版）》</w:t>
            </w:r>
          </w:p>
        </w:tc>
      </w:tr>
      <w:tr w14:paraId="799A9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655" w:type="dxa"/>
            <w:noWrap w:val="0"/>
            <w:vAlign w:val="center"/>
          </w:tcPr>
          <w:p w14:paraId="11C753EA">
            <w:pPr>
              <w:autoSpaceDE w:val="0"/>
              <w:autoSpaceDN w:val="0"/>
              <w:adjustRightInd w:val="0"/>
              <w:snapToGrid w:val="0"/>
              <w:spacing w:before="0" w:after="0" w:line="300" w:lineRule="auto"/>
              <w:jc w:val="center"/>
              <w:rPr>
                <w:rFonts w:hint="eastAsia" w:ascii="仿宋_GB2312" w:hAnsi="仿宋_GB2312" w:eastAsia="仿宋_GB2312" w:cs="仿宋_GB2312"/>
                <w:sz w:val="24"/>
              </w:rPr>
            </w:pPr>
            <w:r>
              <w:rPr>
                <w:rFonts w:hint="eastAsia" w:ascii="Times New Roman" w:hAnsi="Times New Roman" w:eastAsia="仿宋_GB2312" w:cs="Times New Roman"/>
                <w:sz w:val="21"/>
                <w:szCs w:val="21"/>
              </w:rPr>
              <w:t>模块</w:t>
            </w:r>
            <w:r>
              <w:rPr>
                <w:rFonts w:hint="eastAsia" w:ascii="Times New Roman" w:hAnsi="Times New Roman" w:eastAsia="仿宋_GB2312" w:cs="Times New Roman"/>
                <w:sz w:val="21"/>
                <w:szCs w:val="21"/>
                <w:lang w:val="en-US" w:eastAsia="zh-CN"/>
              </w:rPr>
              <w:t>二</w:t>
            </w:r>
            <w:r>
              <w:rPr>
                <w:rFonts w:hint="eastAsia" w:ascii="Times New Roman" w:hAnsi="Times New Roman" w:eastAsia="仿宋_GB2312" w:cs="Times New Roman"/>
                <w:sz w:val="21"/>
                <w:szCs w:val="21"/>
              </w:rPr>
              <w:t>：</w:t>
            </w:r>
          </w:p>
          <w:p w14:paraId="1A1563ED">
            <w:pPr>
              <w:autoSpaceDE w:val="0"/>
              <w:autoSpaceDN w:val="0"/>
              <w:adjustRightInd w:val="0"/>
              <w:snapToGrid w:val="0"/>
              <w:spacing w:before="0" w:after="0" w:line="300" w:lineRule="auto"/>
              <w:jc w:val="center"/>
              <w:rPr>
                <w:rFonts w:hint="eastAsia" w:ascii="仿宋_GB2312" w:hAnsi="仿宋_GB2312" w:eastAsia="仿宋_GB2312" w:cs="仿宋_GB2312"/>
                <w:sz w:val="24"/>
                <w:lang w:eastAsia="zh-CN"/>
              </w:rPr>
            </w:pPr>
            <w:r>
              <w:rPr>
                <w:rFonts w:hint="eastAsia" w:eastAsia="仿宋_GB2312" w:cs="Times New Roman"/>
                <w:sz w:val="21"/>
                <w:szCs w:val="21"/>
                <w:lang w:val="en-US" w:eastAsia="zh-CN"/>
              </w:rPr>
              <w:t>船舶</w:t>
            </w:r>
            <w:r>
              <w:rPr>
                <w:rFonts w:hint="eastAsia" w:ascii="Times New Roman" w:hAnsi="Times New Roman" w:eastAsia="仿宋_GB2312" w:cs="Times New Roman"/>
                <w:sz w:val="21"/>
                <w:szCs w:val="21"/>
              </w:rPr>
              <w:t>航行</w:t>
            </w:r>
            <w:r>
              <w:rPr>
                <w:rFonts w:hint="eastAsia" w:eastAsia="仿宋_GB2312" w:cs="Times New Roman"/>
                <w:sz w:val="21"/>
                <w:szCs w:val="21"/>
                <w:lang w:val="en-US" w:eastAsia="zh-CN"/>
              </w:rPr>
              <w:t>值班</w:t>
            </w:r>
          </w:p>
        </w:tc>
        <w:tc>
          <w:tcPr>
            <w:tcW w:w="2764" w:type="dxa"/>
            <w:noWrap w:val="0"/>
            <w:vAlign w:val="center"/>
          </w:tcPr>
          <w:p w14:paraId="459C95AF">
            <w:pPr>
              <w:autoSpaceDE w:val="0"/>
              <w:autoSpaceDN w:val="0"/>
              <w:adjustRightInd w:val="0"/>
              <w:snapToGrid w:val="0"/>
              <w:spacing w:before="0" w:after="0" w:line="300" w:lineRule="auto"/>
              <w:jc w:val="both"/>
              <w:rPr>
                <w:rFonts w:hint="eastAsia" w:ascii="仿宋_GB2312" w:hAnsi="仿宋_GB2312" w:eastAsia="仿宋_GB2312" w:cs="仿宋_GB2312"/>
                <w:sz w:val="24"/>
              </w:rPr>
            </w:pPr>
            <w:r>
              <w:rPr>
                <w:rFonts w:hint="eastAsia" w:ascii="Times New Roman" w:hAnsi="Times New Roman" w:eastAsia="仿宋_GB2312" w:cs="Times New Roman"/>
                <w:sz w:val="21"/>
                <w:szCs w:val="21"/>
              </w:rPr>
              <w:t>在海图上绘制指定水道航行计划；保持正规瞭望，正确进行陆标定位，判断会遇局面，采取避碰行动，正确处置航行突发事件，确保船舶安全航行</w:t>
            </w:r>
          </w:p>
        </w:tc>
        <w:tc>
          <w:tcPr>
            <w:tcW w:w="4044" w:type="dxa"/>
            <w:noWrap w:val="0"/>
            <w:vAlign w:val="center"/>
          </w:tcPr>
          <w:p w14:paraId="0D3B967D">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r>
              <w:rPr>
                <w:rFonts w:hint="eastAsia" w:ascii="Times New Roman" w:hAnsi="Times New Roman" w:eastAsia="仿宋_GB2312" w:cs="Times New Roman"/>
                <w:color w:val="000000"/>
                <w:kern w:val="0"/>
                <w:sz w:val="21"/>
                <w:szCs w:val="21"/>
                <w:lang w:bidi="zh-CN"/>
              </w:rPr>
              <w:t>1.《国际防止船舶造成污染公约》；</w:t>
            </w:r>
          </w:p>
          <w:p w14:paraId="11BDCB49">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bookmarkStart w:id="1" w:name="_Hlk132369370"/>
            <w:r>
              <w:rPr>
                <w:rFonts w:hint="eastAsia" w:ascii="Times New Roman" w:hAnsi="Times New Roman" w:eastAsia="仿宋_GB2312" w:cs="Times New Roman"/>
                <w:color w:val="000000"/>
                <w:kern w:val="0"/>
                <w:sz w:val="21"/>
                <w:szCs w:val="21"/>
                <w:lang w:bidi="zh-CN"/>
              </w:rPr>
              <w:t>2.《1974年国际海上人命与安全公约》；</w:t>
            </w:r>
          </w:p>
          <w:p w14:paraId="23B28BCD">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r>
              <w:rPr>
                <w:rFonts w:hint="eastAsia" w:ascii="Times New Roman" w:hAnsi="Times New Roman" w:eastAsia="仿宋_GB2312" w:cs="Times New Roman"/>
                <w:color w:val="000000"/>
                <w:kern w:val="0"/>
                <w:sz w:val="21"/>
                <w:szCs w:val="21"/>
                <w:lang w:bidi="zh-CN"/>
              </w:rPr>
              <w:t>3.《1978年海员培训、发证和值班标准国际公约》马尼拉修正案；</w:t>
            </w:r>
          </w:p>
          <w:p w14:paraId="40550215">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r>
              <w:rPr>
                <w:rFonts w:hint="eastAsia" w:ascii="Times New Roman" w:hAnsi="Times New Roman" w:eastAsia="仿宋_GB2312" w:cs="Times New Roman"/>
                <w:color w:val="000000"/>
                <w:kern w:val="0"/>
                <w:sz w:val="21"/>
                <w:szCs w:val="21"/>
                <w:lang w:bidi="zh-CN"/>
              </w:rPr>
              <w:t>4.《海船船员培训大纲（2021版）》；</w:t>
            </w:r>
          </w:p>
          <w:p w14:paraId="55CC7CC7">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r>
              <w:rPr>
                <w:rFonts w:hint="eastAsia" w:ascii="Times New Roman" w:hAnsi="Times New Roman" w:eastAsia="仿宋_GB2312" w:cs="Times New Roman"/>
                <w:color w:val="000000"/>
                <w:kern w:val="0"/>
                <w:sz w:val="21"/>
                <w:szCs w:val="21"/>
                <w:lang w:bidi="zh-CN"/>
              </w:rPr>
              <w:t>5.《海船船员考试大纲（2022版）》；</w:t>
            </w:r>
          </w:p>
          <w:bookmarkEnd w:id="1"/>
          <w:p w14:paraId="587BE1E4">
            <w:pPr>
              <w:autoSpaceDE w:val="0"/>
              <w:autoSpaceDN w:val="0"/>
              <w:spacing w:before="0" w:after="0" w:line="300" w:lineRule="auto"/>
              <w:jc w:val="both"/>
              <w:rPr>
                <w:rFonts w:hint="eastAsia" w:ascii="仿宋_GB2312" w:hAnsi="仿宋_GB2312" w:eastAsia="仿宋_GB2312" w:cs="仿宋_GB2312"/>
                <w:color w:val="000000"/>
                <w:kern w:val="0"/>
                <w:sz w:val="24"/>
                <w:lang w:bidi="zh-CN"/>
              </w:rPr>
            </w:pPr>
            <w:r>
              <w:rPr>
                <w:rFonts w:hint="eastAsia" w:ascii="Times New Roman" w:hAnsi="Times New Roman" w:eastAsia="仿宋_GB2312" w:cs="Times New Roman"/>
                <w:color w:val="000000"/>
                <w:kern w:val="0"/>
                <w:sz w:val="21"/>
                <w:szCs w:val="21"/>
                <w:lang w:bidi="zh-CN"/>
              </w:rPr>
              <w:t>6.</w:t>
            </w:r>
            <w:r>
              <w:rPr>
                <w:rFonts w:hint="eastAsia" w:ascii="Times New Roman" w:hAnsi="Times New Roman" w:eastAsia="仿宋_GB2312" w:cs="Times New Roman"/>
                <w:color w:val="000000"/>
                <w:sz w:val="21"/>
                <w:szCs w:val="21"/>
              </w:rPr>
              <w:t>交通部海图作业试行规则；</w:t>
            </w:r>
          </w:p>
          <w:p w14:paraId="70D5F90D">
            <w:pPr>
              <w:autoSpaceDE w:val="0"/>
              <w:autoSpaceDN w:val="0"/>
              <w:adjustRightInd w:val="0"/>
              <w:snapToGrid w:val="0"/>
              <w:spacing w:before="0" w:after="0" w:line="300" w:lineRule="auto"/>
              <w:jc w:val="both"/>
              <w:rPr>
                <w:rFonts w:hint="eastAsia" w:ascii="仿宋_GB2312" w:hAnsi="仿宋_GB2312" w:eastAsia="仿宋_GB2312" w:cs="仿宋_GB2312"/>
                <w:color w:val="FF0000"/>
                <w:sz w:val="24"/>
              </w:rPr>
            </w:pPr>
            <w:r>
              <w:rPr>
                <w:rFonts w:hint="eastAsia" w:ascii="Times New Roman" w:hAnsi="Times New Roman" w:eastAsia="仿宋_GB2312" w:cs="Times New Roman"/>
                <w:color w:val="000000"/>
                <w:kern w:val="0"/>
                <w:sz w:val="21"/>
                <w:szCs w:val="21"/>
                <w:lang w:bidi="zh-CN"/>
              </w:rPr>
              <w:t>7.中华人民共和国交通运输行业标准2021 JT/T 1380.1—2021海船船员培训模拟器训练要求 第1部分：船舶操纵模拟器A级船舶操纵模拟器要求；2021 JT/T 1380.3—2021海船船员培训模拟器训练要求 第3部分：雷达模拟器；2021 JT/T 1380.4—2021海船船员培训模拟器训练要求第4部分：电子海图显示与信息系统模拟器</w:t>
            </w:r>
          </w:p>
        </w:tc>
      </w:tr>
    </w:tbl>
    <w:p w14:paraId="0C2A6018">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（二）专业知识要求</w:t>
      </w:r>
    </w:p>
    <w:p w14:paraId="7F1A9AB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本赛项包括</w:t>
      </w:r>
      <w:bookmarkStart w:id="2" w:name="_Hlk132315471"/>
      <w:r>
        <w:rPr>
          <w:rFonts w:hint="eastAsia" w:ascii="Times New Roman" w:hAnsi="Times New Roman" w:eastAsia="仿宋_GB2312" w:cs="Times New Roman"/>
          <w:sz w:val="28"/>
          <w:szCs w:val="28"/>
          <w:lang w:val="en-US" w:eastAsia="zh-CN"/>
        </w:rPr>
        <w:t>商船货物配载、</w:t>
      </w:r>
      <w:r>
        <w:rPr>
          <w:rFonts w:hint="eastAsia" w:eastAsia="仿宋_GB2312" w:cs="Times New Roman"/>
          <w:sz w:val="28"/>
          <w:szCs w:val="28"/>
          <w:lang w:val="en-US" w:eastAsia="zh-CN"/>
        </w:rPr>
        <w:t>船舶</w:t>
      </w:r>
      <w:r>
        <w:rPr>
          <w:rFonts w:hint="eastAsia" w:ascii="Times New Roman" w:hAnsi="Times New Roman" w:eastAsia="仿宋_GB2312" w:cs="Times New Roman"/>
          <w:sz w:val="28"/>
          <w:szCs w:val="28"/>
          <w:lang w:val="en-US" w:eastAsia="zh-CN"/>
        </w:rPr>
        <w:t>航行</w:t>
      </w:r>
      <w:r>
        <w:rPr>
          <w:rFonts w:hint="eastAsia" w:eastAsia="仿宋_GB2312" w:cs="Times New Roman"/>
          <w:sz w:val="28"/>
          <w:szCs w:val="28"/>
          <w:lang w:val="en-US" w:eastAsia="zh-CN"/>
        </w:rPr>
        <w:t>值班</w:t>
      </w:r>
      <w:r>
        <w:rPr>
          <w:rFonts w:hint="eastAsia" w:ascii="Times New Roman" w:hAnsi="Times New Roman" w:eastAsia="仿宋_GB2312" w:cs="Times New Roman"/>
          <w:sz w:val="28"/>
          <w:szCs w:val="28"/>
          <w:lang w:val="en-US" w:eastAsia="zh-CN"/>
        </w:rPr>
        <w:t>两个模块</w:t>
      </w:r>
      <w:bookmarkEnd w:id="2"/>
      <w:r>
        <w:rPr>
          <w:rFonts w:hint="eastAsia" w:ascii="Times New Roman" w:hAnsi="Times New Roman" w:eastAsia="仿宋_GB2312" w:cs="Times New Roman"/>
          <w:sz w:val="28"/>
          <w:szCs w:val="28"/>
          <w:lang w:val="en-US" w:eastAsia="zh-CN"/>
        </w:rPr>
        <w:t>，参赛选手应具备船舶货物运输、航线航法、定位导航、船舶操纵、船舶值班、海上通信和船舶应急等专业知识。</w:t>
      </w:r>
    </w:p>
    <w:p w14:paraId="31C9E67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（三）专业技能要求</w:t>
      </w:r>
    </w:p>
    <w:p w14:paraId="442DC3A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本赛项包括商船货物配载、</w:t>
      </w:r>
      <w:r>
        <w:rPr>
          <w:rFonts w:hint="eastAsia" w:eastAsia="仿宋_GB2312" w:cs="Times New Roman"/>
          <w:sz w:val="28"/>
          <w:szCs w:val="28"/>
          <w:lang w:val="en-US" w:eastAsia="zh-CN"/>
        </w:rPr>
        <w:t>船舶</w:t>
      </w:r>
      <w:r>
        <w:rPr>
          <w:rFonts w:hint="eastAsia" w:ascii="Times New Roman" w:hAnsi="Times New Roman" w:eastAsia="仿宋_GB2312" w:cs="Times New Roman"/>
          <w:sz w:val="28"/>
          <w:szCs w:val="28"/>
          <w:lang w:val="en-US" w:eastAsia="zh-CN"/>
        </w:rPr>
        <w:t>航行</w:t>
      </w:r>
      <w:r>
        <w:rPr>
          <w:rFonts w:hint="eastAsia" w:eastAsia="仿宋_GB2312" w:cs="Times New Roman"/>
          <w:sz w:val="28"/>
          <w:szCs w:val="28"/>
          <w:lang w:val="en-US" w:eastAsia="zh-CN"/>
        </w:rPr>
        <w:t>值班</w:t>
      </w:r>
      <w:r>
        <w:rPr>
          <w:rFonts w:hint="eastAsia" w:ascii="Times New Roman" w:hAnsi="Times New Roman" w:eastAsia="仿宋_GB2312" w:cs="Times New Roman"/>
          <w:sz w:val="28"/>
          <w:szCs w:val="28"/>
          <w:lang w:val="en-US" w:eastAsia="zh-CN"/>
        </w:rPr>
        <w:t>两个模块，参赛选手应具备货物配载、海图作业、航线设计、绘制航线、船舶操控、航行值班、仪器使用、应急处置等专业技能。</w:t>
      </w:r>
    </w:p>
    <w:p w14:paraId="4A7C1499">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十、技术平台</w:t>
      </w:r>
    </w:p>
    <w:p w14:paraId="10E0B54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比赛使用设备由承办单位筹备。包括所有海图、资料、仪器、设备及比赛用品</w:t>
      </w:r>
      <w:r>
        <w:rPr>
          <w:rFonts w:hint="eastAsia" w:eastAsia="仿宋_GB2312" w:cs="Times New Roman"/>
          <w:sz w:val="28"/>
          <w:szCs w:val="28"/>
          <w:lang w:val="en-US" w:eastAsia="zh-CN"/>
        </w:rPr>
        <w:t>。</w:t>
      </w:r>
    </w:p>
    <w:p w14:paraId="3AF379A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b/>
          <w:bCs/>
          <w:sz w:val="28"/>
          <w:szCs w:val="28"/>
          <w:lang w:val="en-US" w:eastAsia="zh-CN"/>
        </w:rPr>
        <w:t>1.商船货物配载</w:t>
      </w:r>
    </w:p>
    <w:p w14:paraId="6AD2843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每个参赛队：计算器2个，中性笔2支，铅笔4支，削笔刀1个，橡皮1块，船舶资料一套。</w:t>
      </w:r>
    </w:p>
    <w:p w14:paraId="61A5B08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b/>
          <w:bCs/>
          <w:sz w:val="28"/>
          <w:szCs w:val="28"/>
          <w:lang w:val="en-US" w:eastAsia="zh-CN"/>
        </w:rPr>
        <w:t>2.</w:t>
      </w:r>
      <w:r>
        <w:rPr>
          <w:rFonts w:hint="eastAsia" w:eastAsia="仿宋_GB2312" w:cs="Times New Roman"/>
          <w:b/>
          <w:bCs/>
          <w:sz w:val="28"/>
          <w:szCs w:val="28"/>
          <w:lang w:val="en-US" w:eastAsia="zh-CN"/>
        </w:rPr>
        <w:t>船舶</w:t>
      </w:r>
      <w:r>
        <w:rPr>
          <w:rFonts w:hint="eastAsia" w:ascii="Times New Roman" w:hAnsi="Times New Roman" w:eastAsia="仿宋_GB2312" w:cs="Times New Roman"/>
          <w:b/>
          <w:bCs/>
          <w:sz w:val="28"/>
          <w:szCs w:val="28"/>
          <w:lang w:val="en-US" w:eastAsia="zh-CN"/>
        </w:rPr>
        <w:t>航行</w:t>
      </w:r>
      <w:r>
        <w:rPr>
          <w:rFonts w:hint="eastAsia" w:eastAsia="仿宋_GB2312" w:cs="Times New Roman"/>
          <w:b/>
          <w:bCs/>
          <w:sz w:val="28"/>
          <w:szCs w:val="28"/>
          <w:lang w:val="en-US" w:eastAsia="zh-CN"/>
        </w:rPr>
        <w:t>值班</w:t>
      </w:r>
    </w:p>
    <w:p w14:paraId="09BE6FF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每个参赛队：中性笔2支，铅笔4支，削笔刀1个，橡皮1块，平行尺1把，航海三角板一套，圆规一个，相关海图，图书资料，航海模拟器（大连海事大学V.Dragon 5000）。</w:t>
      </w:r>
    </w:p>
    <w:p w14:paraId="1D837A84">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十一、成绩评定</w:t>
      </w:r>
    </w:p>
    <w:p w14:paraId="488C767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（一）评分标准制订原则</w:t>
      </w:r>
    </w:p>
    <w:p w14:paraId="3C50079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竞赛题目以实际项目为基础，注重知识、技能并重，重点考核货物配载、航线设计、船舶值班与避碰、船舶操纵、航海仪器操作、航行突发事件处置等相关理论知识与技能，侧重专业技能的综合运用，符合船舶甲板部技术人员、船舶业务员培养需求的特点。</w:t>
      </w:r>
    </w:p>
    <w:p w14:paraId="60B272D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2.成绩评定的评判标准，参考行业国际通行技术规范和职业标准。</w:t>
      </w:r>
    </w:p>
    <w:p w14:paraId="6BC37E1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3.在高职组赛事裁判委员会领导下，赛项裁判组负责赛项成绩评定工作。</w:t>
      </w:r>
    </w:p>
    <w:p w14:paraId="58BDBB4C">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（二）评分标准</w:t>
      </w:r>
    </w:p>
    <w:p w14:paraId="3EFDB81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赛项成绩按照所设竞赛模块进行分配，各模块占比与各模块评价指标占比如下：</w:t>
      </w:r>
    </w:p>
    <w:tbl>
      <w:tblPr>
        <w:tblStyle w:val="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850"/>
        <w:gridCol w:w="709"/>
        <w:gridCol w:w="3713"/>
        <w:gridCol w:w="709"/>
        <w:gridCol w:w="977"/>
      </w:tblGrid>
      <w:tr w14:paraId="47E85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blHeader/>
          <w:jc w:val="center"/>
        </w:trPr>
        <w:tc>
          <w:tcPr>
            <w:tcW w:w="1646" w:type="dxa"/>
            <w:noWrap w:val="0"/>
            <w:vAlign w:val="center"/>
          </w:tcPr>
          <w:p w14:paraId="100BB83A">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赛项模块</w:t>
            </w:r>
          </w:p>
        </w:tc>
        <w:tc>
          <w:tcPr>
            <w:tcW w:w="850" w:type="dxa"/>
            <w:noWrap w:val="0"/>
            <w:vAlign w:val="center"/>
          </w:tcPr>
          <w:p w14:paraId="529F1B2F">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竞赛</w:t>
            </w:r>
          </w:p>
          <w:p w14:paraId="2DED5970">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时长</w:t>
            </w:r>
          </w:p>
        </w:tc>
        <w:tc>
          <w:tcPr>
            <w:tcW w:w="709" w:type="dxa"/>
            <w:noWrap w:val="0"/>
            <w:vAlign w:val="center"/>
          </w:tcPr>
          <w:p w14:paraId="2DA07559">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单项总分</w:t>
            </w:r>
          </w:p>
        </w:tc>
        <w:tc>
          <w:tcPr>
            <w:tcW w:w="3713" w:type="dxa"/>
            <w:noWrap w:val="0"/>
            <w:vAlign w:val="center"/>
          </w:tcPr>
          <w:p w14:paraId="04CC3739">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评价指标</w:t>
            </w:r>
          </w:p>
        </w:tc>
        <w:tc>
          <w:tcPr>
            <w:tcW w:w="709" w:type="dxa"/>
            <w:noWrap w:val="0"/>
            <w:vAlign w:val="center"/>
          </w:tcPr>
          <w:p w14:paraId="2EFDBF87">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分值</w:t>
            </w:r>
          </w:p>
        </w:tc>
        <w:tc>
          <w:tcPr>
            <w:tcW w:w="977" w:type="dxa"/>
            <w:noWrap w:val="0"/>
            <w:vAlign w:val="center"/>
          </w:tcPr>
          <w:p w14:paraId="6BEC4357">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
                <w:sz w:val="24"/>
              </w:rPr>
            </w:pPr>
            <w:r>
              <w:rPr>
                <w:rFonts w:hint="eastAsia" w:ascii="Times New Roman" w:hAnsi="Times New Roman" w:eastAsia="宋体" w:cs="Times New Roman"/>
                <w:b/>
                <w:bCs/>
                <w:sz w:val="24"/>
                <w:szCs w:val="24"/>
              </w:rPr>
              <w:t>总分占比</w:t>
            </w:r>
          </w:p>
        </w:tc>
      </w:tr>
      <w:tr w14:paraId="08814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restart"/>
            <w:noWrap w:val="0"/>
            <w:vAlign w:val="center"/>
          </w:tcPr>
          <w:p w14:paraId="0049788C">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模块一：</w:t>
            </w:r>
          </w:p>
          <w:p w14:paraId="34F2B23F">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商船货物配资</w:t>
            </w:r>
          </w:p>
        </w:tc>
        <w:tc>
          <w:tcPr>
            <w:tcW w:w="850" w:type="dxa"/>
            <w:vMerge w:val="restart"/>
            <w:noWrap w:val="0"/>
            <w:vAlign w:val="center"/>
          </w:tcPr>
          <w:p w14:paraId="4E8401C3">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4h</w:t>
            </w:r>
          </w:p>
        </w:tc>
        <w:tc>
          <w:tcPr>
            <w:tcW w:w="709" w:type="dxa"/>
            <w:vMerge w:val="restart"/>
            <w:noWrap w:val="0"/>
            <w:vAlign w:val="center"/>
          </w:tcPr>
          <w:p w14:paraId="709818F8">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100</w:t>
            </w:r>
          </w:p>
        </w:tc>
        <w:tc>
          <w:tcPr>
            <w:tcW w:w="3713" w:type="dxa"/>
            <w:noWrap w:val="0"/>
            <w:vAlign w:val="center"/>
          </w:tcPr>
          <w:p w14:paraId="01187198">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核算船舶载货能力</w:t>
            </w:r>
          </w:p>
        </w:tc>
        <w:tc>
          <w:tcPr>
            <w:tcW w:w="709" w:type="dxa"/>
            <w:noWrap w:val="0"/>
            <w:vAlign w:val="center"/>
          </w:tcPr>
          <w:p w14:paraId="7D109128">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restart"/>
            <w:noWrap w:val="0"/>
            <w:vAlign w:val="center"/>
          </w:tcPr>
          <w:p w14:paraId="1EDBEB1D">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lang w:val="en-US" w:eastAsia="zh-CN"/>
              </w:rPr>
              <w:t>5</w:t>
            </w:r>
            <w:r>
              <w:rPr>
                <w:rFonts w:hint="eastAsia" w:ascii="Times New Roman" w:hAnsi="Times New Roman" w:eastAsia="仿宋_GB2312" w:cs="Times New Roman"/>
                <w:bCs w:val="0"/>
                <w:color w:val="000000"/>
                <w:sz w:val="21"/>
                <w:szCs w:val="21"/>
              </w:rPr>
              <w:t>0%</w:t>
            </w:r>
          </w:p>
        </w:tc>
      </w:tr>
      <w:tr w14:paraId="1A514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2C1C5A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6295994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5561F02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1474390B">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分配各舱货物重量</w:t>
            </w:r>
          </w:p>
        </w:tc>
        <w:tc>
          <w:tcPr>
            <w:tcW w:w="709" w:type="dxa"/>
            <w:noWrap w:val="0"/>
            <w:vAlign w:val="center"/>
          </w:tcPr>
          <w:p w14:paraId="09CEFD70">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5C0EA9D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EB01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02EE459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B574F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827DD3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5E6FA3DB">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拟定初配方案</w:t>
            </w:r>
          </w:p>
        </w:tc>
        <w:tc>
          <w:tcPr>
            <w:tcW w:w="709" w:type="dxa"/>
            <w:noWrap w:val="0"/>
            <w:vAlign w:val="center"/>
          </w:tcPr>
          <w:p w14:paraId="34A52615">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20</w:t>
            </w:r>
          </w:p>
        </w:tc>
        <w:tc>
          <w:tcPr>
            <w:tcW w:w="977" w:type="dxa"/>
            <w:vMerge w:val="continue"/>
            <w:noWrap w:val="0"/>
            <w:vAlign w:val="center"/>
          </w:tcPr>
          <w:p w14:paraId="38C443B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7D1F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F472EC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3C1BBE9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67549B0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E412A34">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全面检查初配方案</w:t>
            </w:r>
          </w:p>
        </w:tc>
        <w:tc>
          <w:tcPr>
            <w:tcW w:w="709" w:type="dxa"/>
            <w:noWrap w:val="0"/>
            <w:vAlign w:val="center"/>
          </w:tcPr>
          <w:p w14:paraId="10EC1EF6">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2DE1765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09B97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517A55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D94340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E16E1C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E7CD6A1">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核算船舶稳性、吃水差和纵强度</w:t>
            </w:r>
          </w:p>
        </w:tc>
        <w:tc>
          <w:tcPr>
            <w:tcW w:w="709" w:type="dxa"/>
            <w:noWrap w:val="0"/>
            <w:vAlign w:val="center"/>
          </w:tcPr>
          <w:p w14:paraId="57F2B411">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40</w:t>
            </w:r>
          </w:p>
        </w:tc>
        <w:tc>
          <w:tcPr>
            <w:tcW w:w="977" w:type="dxa"/>
            <w:vMerge w:val="continue"/>
            <w:noWrap w:val="0"/>
            <w:vAlign w:val="center"/>
          </w:tcPr>
          <w:p w14:paraId="436942E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0D9F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73DD87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57B87D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4FC8AD8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194F07D0">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绘制正式配载图</w:t>
            </w:r>
          </w:p>
        </w:tc>
        <w:tc>
          <w:tcPr>
            <w:tcW w:w="709" w:type="dxa"/>
            <w:noWrap w:val="0"/>
            <w:vAlign w:val="center"/>
          </w:tcPr>
          <w:p w14:paraId="7A2EE2EE">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115797A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B10D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F08FF4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0A5A280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866CA3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BC3F476">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选取航次所需海图</w:t>
            </w:r>
          </w:p>
        </w:tc>
        <w:tc>
          <w:tcPr>
            <w:tcW w:w="709" w:type="dxa"/>
            <w:noWrap w:val="0"/>
            <w:vAlign w:val="center"/>
          </w:tcPr>
          <w:p w14:paraId="74FCBD06">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5</w:t>
            </w:r>
          </w:p>
        </w:tc>
        <w:tc>
          <w:tcPr>
            <w:tcW w:w="977" w:type="dxa"/>
            <w:vMerge w:val="continue"/>
            <w:noWrap w:val="0"/>
            <w:vAlign w:val="center"/>
          </w:tcPr>
          <w:p w14:paraId="6AEB56FD">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6864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51F82F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4201808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F53871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04735B1">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绘制计划航线</w:t>
            </w:r>
          </w:p>
        </w:tc>
        <w:tc>
          <w:tcPr>
            <w:tcW w:w="709" w:type="dxa"/>
            <w:noWrap w:val="0"/>
            <w:vAlign w:val="center"/>
          </w:tcPr>
          <w:p w14:paraId="568E888A">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40</w:t>
            </w:r>
          </w:p>
        </w:tc>
        <w:tc>
          <w:tcPr>
            <w:tcW w:w="977" w:type="dxa"/>
            <w:vMerge w:val="continue"/>
            <w:noWrap w:val="0"/>
            <w:vAlign w:val="center"/>
          </w:tcPr>
          <w:p w14:paraId="0D3958D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7E89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28EC5C9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27C2C1D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390AFEF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720741A2">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航线标注</w:t>
            </w:r>
          </w:p>
        </w:tc>
        <w:tc>
          <w:tcPr>
            <w:tcW w:w="709" w:type="dxa"/>
            <w:noWrap w:val="0"/>
            <w:vAlign w:val="center"/>
          </w:tcPr>
          <w:p w14:paraId="4B8E00F1">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25</w:t>
            </w:r>
          </w:p>
        </w:tc>
        <w:tc>
          <w:tcPr>
            <w:tcW w:w="977" w:type="dxa"/>
            <w:vMerge w:val="continue"/>
            <w:noWrap w:val="0"/>
            <w:vAlign w:val="center"/>
          </w:tcPr>
          <w:p w14:paraId="1F5C925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5B5E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999B3C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5881FA8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3D7E1A6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36970F64">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填写航线用表</w:t>
            </w:r>
          </w:p>
        </w:tc>
        <w:tc>
          <w:tcPr>
            <w:tcW w:w="709" w:type="dxa"/>
            <w:noWrap w:val="0"/>
            <w:vAlign w:val="center"/>
          </w:tcPr>
          <w:p w14:paraId="5C8741B3">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5</w:t>
            </w:r>
          </w:p>
        </w:tc>
        <w:tc>
          <w:tcPr>
            <w:tcW w:w="977" w:type="dxa"/>
            <w:vMerge w:val="continue"/>
            <w:noWrap w:val="0"/>
            <w:vAlign w:val="center"/>
          </w:tcPr>
          <w:p w14:paraId="4323559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B3C5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E2962C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DBE3FB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4C565DB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5E0F37A9">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航次风险识别</w:t>
            </w:r>
          </w:p>
        </w:tc>
        <w:tc>
          <w:tcPr>
            <w:tcW w:w="709" w:type="dxa"/>
            <w:noWrap w:val="0"/>
            <w:vAlign w:val="center"/>
          </w:tcPr>
          <w:p w14:paraId="51F33AE5">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24925D5A">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342E8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B238E6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69BE0E5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6B96D50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3E4F2D16">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航行注意事项</w:t>
            </w:r>
          </w:p>
        </w:tc>
        <w:tc>
          <w:tcPr>
            <w:tcW w:w="709" w:type="dxa"/>
            <w:noWrap w:val="0"/>
            <w:vAlign w:val="center"/>
          </w:tcPr>
          <w:p w14:paraId="6A01B84D">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7ECD3F6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0F001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restart"/>
            <w:noWrap w:val="0"/>
            <w:vAlign w:val="center"/>
          </w:tcPr>
          <w:p w14:paraId="6B34F3CF">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模块</w:t>
            </w:r>
            <w:r>
              <w:rPr>
                <w:rFonts w:hint="eastAsia" w:ascii="Times New Roman" w:hAnsi="Times New Roman" w:eastAsia="仿宋_GB2312" w:cs="Times New Roman"/>
                <w:bCs w:val="0"/>
                <w:color w:val="000000"/>
                <w:sz w:val="21"/>
                <w:szCs w:val="21"/>
                <w:lang w:val="en-US" w:eastAsia="zh-CN"/>
              </w:rPr>
              <w:t>二</w:t>
            </w:r>
            <w:r>
              <w:rPr>
                <w:rFonts w:hint="eastAsia" w:ascii="Times New Roman" w:hAnsi="Times New Roman" w:eastAsia="仿宋_GB2312" w:cs="Times New Roman"/>
                <w:bCs w:val="0"/>
                <w:color w:val="000000"/>
                <w:sz w:val="21"/>
                <w:szCs w:val="21"/>
              </w:rPr>
              <w:t>：</w:t>
            </w:r>
          </w:p>
          <w:p w14:paraId="742197FB">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lang w:eastAsia="zh-CN"/>
              </w:rPr>
            </w:pPr>
            <w:r>
              <w:rPr>
                <w:rFonts w:hint="eastAsia" w:eastAsia="仿宋_GB2312" w:cs="Times New Roman"/>
                <w:bCs w:val="0"/>
                <w:color w:val="000000"/>
                <w:sz w:val="21"/>
                <w:szCs w:val="21"/>
                <w:lang w:val="en-US" w:eastAsia="zh-CN"/>
              </w:rPr>
              <w:t>船舶</w:t>
            </w:r>
            <w:r>
              <w:rPr>
                <w:rFonts w:hint="eastAsia" w:ascii="Times New Roman" w:hAnsi="Times New Roman" w:eastAsia="仿宋_GB2312" w:cs="Times New Roman"/>
                <w:bCs w:val="0"/>
                <w:color w:val="000000"/>
                <w:sz w:val="21"/>
                <w:szCs w:val="21"/>
              </w:rPr>
              <w:t>航行</w:t>
            </w:r>
            <w:r>
              <w:rPr>
                <w:rFonts w:hint="eastAsia" w:eastAsia="仿宋_GB2312" w:cs="Times New Roman"/>
                <w:bCs w:val="0"/>
                <w:color w:val="000000"/>
                <w:sz w:val="21"/>
                <w:szCs w:val="21"/>
                <w:lang w:val="en-US" w:eastAsia="zh-CN"/>
              </w:rPr>
              <w:t>值班</w:t>
            </w:r>
          </w:p>
        </w:tc>
        <w:tc>
          <w:tcPr>
            <w:tcW w:w="850" w:type="dxa"/>
            <w:vMerge w:val="restart"/>
            <w:noWrap w:val="0"/>
            <w:vAlign w:val="center"/>
          </w:tcPr>
          <w:p w14:paraId="3958867B">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1h</w:t>
            </w:r>
          </w:p>
        </w:tc>
        <w:tc>
          <w:tcPr>
            <w:tcW w:w="709" w:type="dxa"/>
            <w:vMerge w:val="restart"/>
            <w:noWrap w:val="0"/>
            <w:vAlign w:val="center"/>
          </w:tcPr>
          <w:p w14:paraId="21BA61C8">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100</w:t>
            </w:r>
          </w:p>
        </w:tc>
        <w:tc>
          <w:tcPr>
            <w:tcW w:w="3713" w:type="dxa"/>
            <w:noWrap w:val="0"/>
            <w:vAlign w:val="center"/>
          </w:tcPr>
          <w:p w14:paraId="259F1778">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color w:val="000000"/>
                <w:kern w:val="0"/>
                <w:sz w:val="21"/>
                <w:szCs w:val="21"/>
                <w:lang w:bidi="zh-CN"/>
              </w:rPr>
              <w:t>指定水道航线设计/航行准备</w:t>
            </w:r>
          </w:p>
        </w:tc>
        <w:tc>
          <w:tcPr>
            <w:tcW w:w="709" w:type="dxa"/>
            <w:noWrap w:val="0"/>
            <w:vAlign w:val="center"/>
          </w:tcPr>
          <w:p w14:paraId="7F99C033">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15</w:t>
            </w:r>
          </w:p>
        </w:tc>
        <w:tc>
          <w:tcPr>
            <w:tcW w:w="977" w:type="dxa"/>
            <w:vMerge w:val="restart"/>
            <w:noWrap w:val="0"/>
            <w:vAlign w:val="center"/>
          </w:tcPr>
          <w:p w14:paraId="65D9741F">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lang w:val="en-US" w:eastAsia="zh-CN"/>
              </w:rPr>
              <w:t>5</w:t>
            </w:r>
            <w:r>
              <w:rPr>
                <w:rFonts w:hint="eastAsia" w:ascii="Times New Roman" w:hAnsi="Times New Roman" w:eastAsia="仿宋_GB2312" w:cs="Times New Roman"/>
                <w:bCs w:val="0"/>
                <w:color w:val="000000"/>
                <w:sz w:val="21"/>
                <w:szCs w:val="21"/>
              </w:rPr>
              <w:t>0%</w:t>
            </w:r>
          </w:p>
        </w:tc>
      </w:tr>
      <w:tr w14:paraId="4D396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879536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4A0467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34866D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0128ECD">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color w:val="000000"/>
                <w:kern w:val="0"/>
                <w:sz w:val="21"/>
                <w:szCs w:val="21"/>
                <w:lang w:val="zh-CN" w:bidi="zh-CN"/>
              </w:rPr>
              <w:t>船舶定位</w:t>
            </w:r>
          </w:p>
        </w:tc>
        <w:tc>
          <w:tcPr>
            <w:tcW w:w="709" w:type="dxa"/>
            <w:noWrap w:val="0"/>
            <w:vAlign w:val="center"/>
          </w:tcPr>
          <w:p w14:paraId="0B5582D8">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15</w:t>
            </w:r>
          </w:p>
        </w:tc>
        <w:tc>
          <w:tcPr>
            <w:tcW w:w="977" w:type="dxa"/>
            <w:vMerge w:val="continue"/>
            <w:noWrap w:val="0"/>
            <w:vAlign w:val="center"/>
          </w:tcPr>
          <w:p w14:paraId="50641E9A">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63A0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FD90F8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06F45FA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50A34F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1DB2240">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color w:val="000000"/>
                <w:kern w:val="0"/>
                <w:sz w:val="21"/>
                <w:szCs w:val="21"/>
                <w:lang w:bidi="zh-CN"/>
              </w:rPr>
              <w:t>沟通联系</w:t>
            </w:r>
          </w:p>
        </w:tc>
        <w:tc>
          <w:tcPr>
            <w:tcW w:w="709" w:type="dxa"/>
            <w:noWrap w:val="0"/>
            <w:vAlign w:val="center"/>
          </w:tcPr>
          <w:p w14:paraId="0D27B387">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15</w:t>
            </w:r>
          </w:p>
        </w:tc>
        <w:tc>
          <w:tcPr>
            <w:tcW w:w="977" w:type="dxa"/>
            <w:vMerge w:val="continue"/>
            <w:noWrap w:val="0"/>
            <w:vAlign w:val="center"/>
          </w:tcPr>
          <w:p w14:paraId="6FB623F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3865D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60C679E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70B0FC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48AD208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6E1C6E97">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操纵与避碰</w:t>
            </w:r>
          </w:p>
        </w:tc>
        <w:tc>
          <w:tcPr>
            <w:tcW w:w="709" w:type="dxa"/>
            <w:noWrap w:val="0"/>
            <w:vAlign w:val="center"/>
          </w:tcPr>
          <w:p w14:paraId="5A9B8EF9">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30</w:t>
            </w:r>
          </w:p>
        </w:tc>
        <w:tc>
          <w:tcPr>
            <w:tcW w:w="977" w:type="dxa"/>
            <w:vMerge w:val="continue"/>
            <w:noWrap w:val="0"/>
            <w:vAlign w:val="center"/>
          </w:tcPr>
          <w:p w14:paraId="682C42EA">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EBC8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68D263B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45DFAAE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4C03C7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09CA127">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应急处置</w:t>
            </w:r>
          </w:p>
        </w:tc>
        <w:tc>
          <w:tcPr>
            <w:tcW w:w="709" w:type="dxa"/>
            <w:noWrap w:val="0"/>
            <w:vAlign w:val="center"/>
          </w:tcPr>
          <w:p w14:paraId="769017EC">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15</w:t>
            </w:r>
          </w:p>
        </w:tc>
        <w:tc>
          <w:tcPr>
            <w:tcW w:w="977" w:type="dxa"/>
            <w:vMerge w:val="continue"/>
            <w:noWrap w:val="0"/>
            <w:vAlign w:val="center"/>
          </w:tcPr>
          <w:p w14:paraId="7155833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BC8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01889F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367EA97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C59A72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628A6042">
            <w:pPr>
              <w:keepNext w:val="0"/>
              <w:keepLines w:val="0"/>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预设航程的完成</w:t>
            </w:r>
          </w:p>
        </w:tc>
        <w:tc>
          <w:tcPr>
            <w:tcW w:w="709" w:type="dxa"/>
            <w:noWrap w:val="0"/>
            <w:vAlign w:val="center"/>
          </w:tcPr>
          <w:p w14:paraId="48179C6E">
            <w:pPr>
              <w:keepNext w:val="0"/>
              <w:keepLines w:val="0"/>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10</w:t>
            </w:r>
          </w:p>
        </w:tc>
        <w:tc>
          <w:tcPr>
            <w:tcW w:w="977" w:type="dxa"/>
            <w:vMerge w:val="continue"/>
            <w:noWrap w:val="0"/>
            <w:vAlign w:val="center"/>
          </w:tcPr>
          <w:p w14:paraId="43EC868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012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604" w:type="dxa"/>
            <w:gridSpan w:val="6"/>
            <w:noWrap w:val="0"/>
            <w:vAlign w:val="center"/>
          </w:tcPr>
          <w:p w14:paraId="1FC3DAD7">
            <w:pPr>
              <w:keepNext w:val="0"/>
              <w:keepLines w:val="0"/>
              <w:pageBreakBefore w:val="0"/>
              <w:widowControl w:val="0"/>
              <w:kinsoku/>
              <w:wordWrap/>
              <w:overflowPunct/>
              <w:topLinePunct w:val="0"/>
              <w:autoSpaceDE/>
              <w:autoSpaceDN/>
              <w:bidi w:val="0"/>
              <w:adjustRightInd/>
              <w:snapToGrid/>
              <w:spacing w:before="0" w:after="0" w:line="300" w:lineRule="auto"/>
              <w:jc w:val="left"/>
              <w:textAlignment w:val="auto"/>
              <w:rPr>
                <w:rFonts w:hint="eastAsia" w:ascii="仿宋_GB2312" w:hAnsi="仿宋_GB2312" w:eastAsia="仿宋_GB2312" w:cs="仿宋_GB2312"/>
                <w:bCs/>
                <w:color w:val="000000"/>
                <w:sz w:val="24"/>
              </w:rPr>
            </w:pPr>
            <w:r>
              <w:rPr>
                <w:rFonts w:hint="eastAsia" w:ascii="Times New Roman" w:hAnsi="Times New Roman" w:eastAsia="仿宋_GB2312" w:cs="Times New Roman"/>
                <w:bCs w:val="0"/>
                <w:color w:val="000000"/>
                <w:sz w:val="21"/>
                <w:szCs w:val="21"/>
              </w:rPr>
              <w:t>赛项总分=模块一成绩*</w:t>
            </w:r>
            <w:r>
              <w:rPr>
                <w:rFonts w:hint="eastAsia" w:ascii="Times New Roman" w:hAnsi="Times New Roman" w:eastAsia="仿宋_GB2312" w:cs="Times New Roman"/>
                <w:bCs w:val="0"/>
                <w:color w:val="000000"/>
                <w:sz w:val="21"/>
                <w:szCs w:val="21"/>
                <w:lang w:val="en-US" w:eastAsia="zh-CN"/>
              </w:rPr>
              <w:t>5</w:t>
            </w:r>
            <w:r>
              <w:rPr>
                <w:rFonts w:hint="eastAsia" w:ascii="Times New Roman" w:hAnsi="Times New Roman" w:eastAsia="仿宋_GB2312" w:cs="Times New Roman"/>
                <w:bCs w:val="0"/>
                <w:color w:val="000000"/>
                <w:sz w:val="21"/>
                <w:szCs w:val="21"/>
              </w:rPr>
              <w:t>0%+模块二成绩*</w:t>
            </w:r>
            <w:r>
              <w:rPr>
                <w:rFonts w:hint="eastAsia" w:ascii="Times New Roman" w:hAnsi="Times New Roman" w:eastAsia="仿宋_GB2312" w:cs="Times New Roman"/>
                <w:bCs w:val="0"/>
                <w:color w:val="000000"/>
                <w:sz w:val="21"/>
                <w:szCs w:val="21"/>
                <w:lang w:val="en-US" w:eastAsia="zh-CN"/>
              </w:rPr>
              <w:t>5</w:t>
            </w:r>
            <w:r>
              <w:rPr>
                <w:rFonts w:hint="eastAsia" w:ascii="Times New Roman" w:hAnsi="Times New Roman" w:eastAsia="仿宋_GB2312" w:cs="Times New Roman"/>
                <w:bCs w:val="0"/>
                <w:color w:val="000000"/>
                <w:sz w:val="21"/>
                <w:szCs w:val="21"/>
              </w:rPr>
              <w:t>0%</w:t>
            </w:r>
          </w:p>
        </w:tc>
      </w:tr>
    </w:tbl>
    <w:p w14:paraId="378010F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竞赛成绩采用100分制，每一个模块单独计分。每个模块不进行另外加分。每个模块评分依据参照各自评分标准执行，涉及计算的裁判要认真核对计算结果的准确性。竞赛过程中，如果发生以下问题或事故，则在参赛队总分中作扣分处理。操作标准如下：</w:t>
      </w:r>
    </w:p>
    <w:p w14:paraId="0A54A8B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1）在完成工作任务的过程中，违反操作规程或操作不当，但未造成设备损坏或影响其他选手比赛的，扣5～10分；造成设备损坏或影响他人比赛情节严重的，报竞赛执委会批准，由裁判组长宣布终止比赛，不计竞赛成绩。</w:t>
      </w:r>
    </w:p>
    <w:p w14:paraId="0F6EE9B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（2）参赛选手有不服从裁判、扰乱赛场秩序等行为扣10分，情节严重的，取消参赛队竞赛成绩。有作弊行为的，取消参赛队参赛资格。</w:t>
      </w:r>
    </w:p>
    <w:p w14:paraId="3072235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（3）违反赛场纪律，依据情节轻重，扣1～5分。情节特别严重，并产生不良后果的，则报竞赛执委会批准，由裁判组长宣布终止该选手的比赛。</w:t>
      </w:r>
    </w:p>
    <w:p w14:paraId="124939C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（4）裁判宣布竞赛时间到，选手仍继续操作的，由现场裁判负责记录扣1～5分，情节严重，警告无效的，取消参赛资格。</w:t>
      </w:r>
    </w:p>
    <w:p w14:paraId="33CA230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5）成绩复核：为保障成绩评判的准确性，监督仲裁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235A2D9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6）成绩公布：各参赛队比赛成绩，经裁判长、监督仲裁组组长签字后，公布比赛结果。公布2小时无异议后，将赛项总成绩的最终结果录入赛务管理系统，经裁判长、监督仲裁组组长在系统导出成绩单上审核签字后，在闭赛式上宣布。</w:t>
      </w:r>
    </w:p>
    <w:p w14:paraId="4FBBAD47">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（三）裁判组成</w:t>
      </w:r>
    </w:p>
    <w:p w14:paraId="644E927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裁判应熟悉并掌握商船货物配载、航行路线设计、船舶值班与避碰、船舶操纵、航海仪器操作等相关知识与技能。其中，院校裁判需具有高级职称和甲类大副及以上技术职务，并具有不少于5年及以上航海技术专业教学经历；行业、企业裁判需具有甲类船长职业资格，并具有不少于12个月的船长任职资历。</w:t>
      </w:r>
    </w:p>
    <w:p w14:paraId="410DD31A">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rPr>
        <w:t>（四）评分方法</w:t>
      </w:r>
    </w:p>
    <w:p w14:paraId="2F24E8E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1.赛项裁判工作组负责赛项成绩评定工作，本着“公开、公平、公正、科学、规范、透明、无异议”的原则，由评分裁判员根据评分标准进行评判。</w:t>
      </w:r>
    </w:p>
    <w:p w14:paraId="493DE05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2.评分裁判组按模块设置。模块一设4个裁判，每名裁判负责对每个赛位的操作规范、现场表现和操作结果评分，独立填写评分表，完成评分工作，并在评分表上签字确认；各队成绩取平均分</w:t>
      </w:r>
      <w:bookmarkStart w:id="3" w:name="_Hlk132317716"/>
      <w:r>
        <w:rPr>
          <w:rFonts w:hint="eastAsia" w:ascii="Times New Roman" w:hAnsi="Times New Roman" w:eastAsia="仿宋_GB2312" w:cs="Times New Roman"/>
          <w:sz w:val="28"/>
          <w:szCs w:val="28"/>
          <w:lang w:val="en-US" w:eastAsia="zh-CN"/>
        </w:rPr>
        <w:t>（保留小数点后两位）计入总成绩</w:t>
      </w:r>
      <w:bookmarkEnd w:id="3"/>
      <w:r>
        <w:rPr>
          <w:rFonts w:hint="eastAsia" w:ascii="Times New Roman" w:hAnsi="Times New Roman" w:eastAsia="仿宋_GB2312" w:cs="Times New Roman"/>
          <w:sz w:val="28"/>
          <w:szCs w:val="28"/>
          <w:lang w:val="en-US" w:eastAsia="zh-CN"/>
        </w:rPr>
        <w:t>。模块二每队设2个裁判，每组开赛前，随机抽签，每名裁判各自独立的填写评分表，完成评分工作</w:t>
      </w:r>
      <w:bookmarkStart w:id="4" w:name="_Hlk132319650"/>
      <w:r>
        <w:rPr>
          <w:rFonts w:hint="eastAsia" w:ascii="Times New Roman" w:hAnsi="Times New Roman" w:eastAsia="仿宋_GB2312" w:cs="Times New Roman"/>
          <w:sz w:val="28"/>
          <w:szCs w:val="28"/>
          <w:lang w:val="en-US" w:eastAsia="zh-CN"/>
        </w:rPr>
        <w:t>，并在评分表上签字确认</w:t>
      </w:r>
      <w:bookmarkEnd w:id="4"/>
      <w:r>
        <w:rPr>
          <w:rFonts w:hint="eastAsia" w:ascii="Times New Roman" w:hAnsi="Times New Roman" w:eastAsia="仿宋_GB2312" w:cs="Times New Roman"/>
          <w:sz w:val="28"/>
          <w:szCs w:val="28"/>
          <w:lang w:val="en-US" w:eastAsia="zh-CN"/>
        </w:rPr>
        <w:t>；各队成绩取平均分（保留小数点后两位）计入总成绩。</w:t>
      </w:r>
    </w:p>
    <w:p w14:paraId="14504EA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3.参赛选手根据赛卷的要求进行操作。对于需要记录数据和结果的考核点，由选手记录在答题纸中。</w:t>
      </w:r>
    </w:p>
    <w:p w14:paraId="3FBA0D1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4.参赛队成绩由各赛项裁判组统一评定。竞赛只计团体竞赛成绩，不计参赛选手个人成绩。竞赛名次按照得分高低排序，如参赛队最终成绩出现并列，以模块二单项成绩高者胜出。</w:t>
      </w:r>
    </w:p>
    <w:p w14:paraId="0C1BCCD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在竞赛过程中，参赛选手如有舞弊、不服从裁判判决、扰乱赛场秩序等行为，由现场裁判员按照规定扣减相应分数。竞赛过程中如出现明显导致安全隐患行为，现场裁判员有权终止比赛资格，竞赛成绩记为零分。</w:t>
      </w:r>
    </w:p>
    <w:p w14:paraId="3908A52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十二、赛场预案</w:t>
      </w:r>
    </w:p>
    <w:p w14:paraId="487C4FBD">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lang w:val="en-US" w:eastAsia="zh-CN"/>
        </w:rPr>
        <w:t>（一）总体预案</w:t>
      </w:r>
    </w:p>
    <w:p w14:paraId="631E97C9">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w:t>
      </w:r>
      <w:r>
        <w:rPr>
          <w:rFonts w:hint="eastAsia" w:ascii="Times New Roman" w:hAnsi="Times New Roman" w:eastAsia="仿宋_GB2312" w:cs="Times New Roman"/>
          <w:sz w:val="28"/>
          <w:szCs w:val="28"/>
          <w:lang w:val="en-US" w:eastAsia="zh-CN"/>
        </w:rPr>
        <w:t>赛场周围设学生志愿者维持秩序，所有参赛人员必须凭身份证、学生证和报名表等有效证件进入场地，防止无关人员进入发生意外事件。比赛当天赛场管理的关键岗位，增加安保力量。</w:t>
      </w:r>
    </w:p>
    <w:p w14:paraId="3CBDF4C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制定赛场的人员疏导方案。赛场环境中存在人员密集、车流人流交错的区域，除了设置齐全的指示标志外，须增加引导人员，并开辟备用通道。</w:t>
      </w:r>
    </w:p>
    <w:p w14:paraId="5875F9A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w:t>
      </w:r>
      <w:r>
        <w:rPr>
          <w:rFonts w:hint="eastAsia" w:ascii="Times New Roman" w:hAnsi="Times New Roman" w:eastAsia="仿宋_GB2312" w:cs="Times New Roman"/>
          <w:sz w:val="28"/>
          <w:szCs w:val="28"/>
          <w:lang w:val="en-US" w:eastAsia="zh-CN"/>
        </w:rPr>
        <w:t>赛场提供参赛选手休息教室。如因特殊原因造成竞赛无法按时进行，竞赛时间将根据实际情况顺延，保证各参赛队均在相同时间内完成竞赛。</w:t>
      </w:r>
    </w:p>
    <w:p w14:paraId="306A8B6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w:t>
      </w:r>
      <w:r>
        <w:rPr>
          <w:rFonts w:hint="eastAsia" w:ascii="Times New Roman" w:hAnsi="Times New Roman" w:eastAsia="仿宋_GB2312" w:cs="Times New Roman"/>
          <w:sz w:val="28"/>
          <w:szCs w:val="28"/>
          <w:lang w:val="en-US" w:eastAsia="zh-CN"/>
        </w:rPr>
        <w:t>赛场准备备用海图、图书、作业工具及仪器设备及软件。竞赛过程中，若仪器发生故障，参赛队员须向当值裁判员报告，由仪器厂商工程师到现场检查，工程师确认仪器有故障、且经现场当值裁判员认可后可以更换重测。若仪器无故障，工程师检查仪器的时间计入竞赛时间。</w:t>
      </w:r>
    </w:p>
    <w:p w14:paraId="753967B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w:t>
      </w:r>
      <w:r>
        <w:rPr>
          <w:rFonts w:hint="eastAsia" w:ascii="Times New Roman" w:hAnsi="Times New Roman" w:eastAsia="仿宋_GB2312" w:cs="Times New Roman"/>
          <w:sz w:val="28"/>
          <w:szCs w:val="28"/>
          <w:lang w:val="en-US" w:eastAsia="zh-CN"/>
        </w:rPr>
        <w:t>赛项采取切实有效措施保证大赛期间参赛选手、指导教师、裁判员、工作人员及观众的人身安全。</w:t>
      </w:r>
    </w:p>
    <w:p w14:paraId="68BBE254">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lang w:val="en-US" w:eastAsia="zh-CN"/>
        </w:rPr>
        <w:t>（二）供电保障预案</w:t>
      </w:r>
    </w:p>
    <w:p w14:paraId="6FA5C04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w:t>
      </w:r>
      <w:r>
        <w:rPr>
          <w:rFonts w:hint="eastAsia" w:ascii="Times New Roman" w:hAnsi="Times New Roman" w:eastAsia="仿宋_GB2312" w:cs="Times New Roman"/>
          <w:sz w:val="28"/>
          <w:szCs w:val="28"/>
          <w:lang w:val="en-US" w:eastAsia="zh-CN"/>
        </w:rPr>
        <w:t>承办单位事先协调当地供电部门，保证竞赛当天的正常供电；赛场双路供电，备用</w:t>
      </w:r>
      <w:r>
        <w:rPr>
          <w:rFonts w:hint="default" w:ascii="Times New Roman" w:hAnsi="Times New Roman" w:eastAsia="仿宋_GB2312" w:cs="Times New Roman"/>
          <w:sz w:val="28"/>
          <w:szCs w:val="28"/>
          <w:lang w:val="en-US" w:eastAsia="zh-CN"/>
        </w:rPr>
        <w:t>UPS</w:t>
      </w:r>
      <w:r>
        <w:rPr>
          <w:rFonts w:hint="eastAsia" w:ascii="Times New Roman" w:hAnsi="Times New Roman" w:eastAsia="仿宋_GB2312" w:cs="Times New Roman"/>
          <w:sz w:val="28"/>
          <w:szCs w:val="28"/>
          <w:lang w:val="en-US" w:eastAsia="zh-CN"/>
        </w:rPr>
        <w:t>，双保障，以保证航海模拟器赛场的正常供电。</w:t>
      </w:r>
    </w:p>
    <w:p w14:paraId="107CECB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航海模拟器比赛过程中出现设备断电、故障等意外时，现场裁判按照实际竞赛用时计时，并对现场情况进行记录。</w:t>
      </w:r>
    </w:p>
    <w:p w14:paraId="0DC0550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w:t>
      </w:r>
      <w:r>
        <w:rPr>
          <w:rFonts w:hint="eastAsia" w:ascii="Times New Roman" w:hAnsi="Times New Roman" w:eastAsia="仿宋_GB2312" w:cs="Times New Roman"/>
          <w:sz w:val="28"/>
          <w:szCs w:val="28"/>
          <w:lang w:val="en-US" w:eastAsia="zh-CN"/>
        </w:rPr>
        <w:t>航海模拟器赛场布置，做好用电安全的措施。</w:t>
      </w:r>
    </w:p>
    <w:p w14:paraId="25652FCF">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Times New Roman" w:hAnsi="Times New Roman" w:eastAsia="楷体_GB2312" w:cs="Times New Roman"/>
          <w:b/>
          <w:bCs/>
          <w:color w:val="auto"/>
          <w:sz w:val="28"/>
          <w:szCs w:val="28"/>
          <w:highlight w:val="none"/>
          <w:lang w:val="en-US" w:eastAsia="zh-CN"/>
        </w:rPr>
      </w:pPr>
      <w:r>
        <w:rPr>
          <w:rFonts w:hint="eastAsia" w:ascii="Times New Roman" w:hAnsi="Times New Roman" w:eastAsia="楷体_GB2312" w:cs="Times New Roman"/>
          <w:b/>
          <w:bCs/>
          <w:color w:val="auto"/>
          <w:sz w:val="28"/>
          <w:szCs w:val="28"/>
          <w:highlight w:val="none"/>
          <w:lang w:val="en-US" w:eastAsia="zh-CN"/>
        </w:rPr>
        <w:t>（三）航海模拟器保障及处预案</w:t>
      </w:r>
    </w:p>
    <w:p w14:paraId="5DA0154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w:t>
      </w:r>
      <w:r>
        <w:rPr>
          <w:rFonts w:hint="eastAsia" w:ascii="Times New Roman" w:hAnsi="Times New Roman" w:eastAsia="仿宋_GB2312" w:cs="Times New Roman"/>
          <w:sz w:val="28"/>
          <w:szCs w:val="28"/>
          <w:lang w:val="en-US" w:eastAsia="zh-CN"/>
        </w:rPr>
        <w:t>仪器厂家对竞赛航海模拟器，进行严格的功能测试。除保证足够的竞赛用仪器外，备用三套航海模拟器本船。</w:t>
      </w:r>
    </w:p>
    <w:p w14:paraId="7965ABF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仪器厂家技术支持人员至少有</w:t>
      </w:r>
      <w:r>
        <w:rPr>
          <w:rFonts w:hint="default" w:ascii="Times New Roman" w:hAnsi="Times New Roman" w:eastAsia="仿宋_GB2312" w:cs="Times New Roman"/>
          <w:sz w:val="28"/>
          <w:szCs w:val="28"/>
          <w:lang w:val="en-US" w:eastAsia="zh-CN"/>
        </w:rPr>
        <w:t>3</w:t>
      </w:r>
      <w:r>
        <w:rPr>
          <w:rFonts w:hint="eastAsia" w:ascii="Times New Roman" w:hAnsi="Times New Roman" w:eastAsia="仿宋_GB2312" w:cs="Times New Roman"/>
          <w:sz w:val="28"/>
          <w:szCs w:val="28"/>
          <w:lang w:val="en-US" w:eastAsia="zh-CN"/>
        </w:rPr>
        <w:t>人在比赛现场，负责现场竞赛仪器故障处理。</w:t>
      </w:r>
    </w:p>
    <w:p w14:paraId="141CAB2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rPr>
      </w:pPr>
      <w:r>
        <w:rPr>
          <w:rFonts w:hint="eastAsia" w:ascii="Times New Roman" w:hAnsi="Times New Roman" w:eastAsia="楷体_GB2312" w:cs="Times New Roman"/>
          <w:b/>
          <w:bCs/>
          <w:color w:val="auto"/>
          <w:sz w:val="28"/>
          <w:szCs w:val="28"/>
          <w:highlight w:val="none"/>
          <w:lang w:val="en-US" w:eastAsia="zh-CN"/>
        </w:rPr>
        <w:t>（四）医疗及安全预案</w:t>
      </w:r>
    </w:p>
    <w:p w14:paraId="5D45D1B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w:t>
      </w:r>
      <w:r>
        <w:rPr>
          <w:rFonts w:hint="eastAsia" w:ascii="Times New Roman" w:hAnsi="Times New Roman" w:eastAsia="仿宋_GB2312" w:cs="Times New Roman"/>
          <w:sz w:val="28"/>
          <w:szCs w:val="28"/>
          <w:lang w:val="en-US" w:eastAsia="zh-CN"/>
        </w:rPr>
        <w:t>赛场内设置医疗救护区，竞赛期间，安排医生随时处理突发的医疗事件。</w:t>
      </w:r>
    </w:p>
    <w:p w14:paraId="42D2A3B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w:t>
      </w:r>
      <w:r>
        <w:rPr>
          <w:rFonts w:hint="eastAsia" w:ascii="Times New Roman" w:hAnsi="Times New Roman" w:eastAsia="仿宋_GB2312" w:cs="Times New Roman"/>
          <w:sz w:val="28"/>
          <w:szCs w:val="28"/>
          <w:lang w:val="en-US" w:eastAsia="zh-CN"/>
        </w:rPr>
        <w:t>比赛期间发生意外事故和安全问题，发现者应第一时间报告赛项执委会，赛项执委会应采取中止比赛、快速疏散人群等措施避免事态扩大，并第一时间报告海南省职业院校技能大赛办公室。</w:t>
      </w:r>
    </w:p>
    <w:p w14:paraId="40B7B89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十三、申诉与仲裁</w:t>
      </w:r>
    </w:p>
    <w:p w14:paraId="51ED72A9">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大赛采取二级仲裁机制。各赛项设赛项仲裁工作组，大赛执委会设仲裁委员会。各参赛队对不符合大赛和赛项规程规定的仪器、设备、工装、材料、物件、计算机软硬件、竞赛使用工具、用品，竞赛执裁、赛场管理，以及工作人员的不规范行为等，可向赛项仲裁工作组提出申诉。申诉主体为参赛队领队。申诉启动时，领队向赛项仲裁工作组递交亲笔签字同意的书面申诉报告。申诉报告应对申诉事件的现象、发生时间、涉及人员、申诉依据等进行充分、实事求是地叙述。非书面申诉不予受理。</w:t>
      </w:r>
    </w:p>
    <w:p w14:paraId="39B31AF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提出申诉的时间应在竞赛结束后（选手赛场竞赛内容全部完成）2小时内，超过时效不予受理。赛项仲裁工作组在接到申诉报告后的2小时内组织复议，并及时将复议结果以书面形式告知申诉方。申诉方对复议结果仍有异议，可由高职院校领队向仲裁委员会提出申诉。仲裁委员会的仲裁结果为最终结果。申诉方可随时提出放弃申诉。</w:t>
      </w:r>
    </w:p>
    <w:p w14:paraId="5CB9249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十四、竞赛观摩</w:t>
      </w:r>
    </w:p>
    <w:p w14:paraId="64AA264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说明本赛项公开观摩的对象、时间与形式，结合本赛项的特点提出观摩时应遵守的纪律等要求。所有赛项都应合理安排现场直播方式的公开观摩。</w:t>
      </w:r>
    </w:p>
    <w:p w14:paraId="1FA2D1C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场内设定观摩区域，向媒体、企业代表、院校师生等社会公众开放，不允许有大声喧哗等影响参赛选手竞赛的行为发生。指导教师不能进入赛场内指导，可以在观摩区观摩。赛场外设立展览展示区域，设专人接待讲解。为保障大赛顺利进行，在观摩期间应遵循以下原则：</w:t>
      </w:r>
    </w:p>
    <w:p w14:paraId="7BC3F8F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1.除与竞赛直接有关工作人员、裁判员、参赛选手外，其余人员均为观摩观众。</w:t>
      </w:r>
    </w:p>
    <w:p w14:paraId="381FF09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2.请勿在选手准备或比赛中交谈或欢呼；请勿对选手打手势，包括哑语沟通等明示、暗示行为，禁止鼓掌喝彩等发出声音的行为。</w:t>
      </w:r>
    </w:p>
    <w:p w14:paraId="100C5F67">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3.请勿在观摩区内使用相机、摄像机等一切对比赛正常进行造成干扰的带有闪光灯及快门音的设备。</w:t>
      </w:r>
    </w:p>
    <w:p w14:paraId="663A030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4.不得违反海南省职业院校技能大赛规定的各项纪律。请站在规划的观摩区内观看比赛，并遵循赛场内工作人员和竞赛裁判人员的指挥，不得有围攻裁判员、选手或者其他工作的人员的行为。</w:t>
      </w:r>
    </w:p>
    <w:p w14:paraId="4F7A808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5.观摩期间，严重违纪者除本人被逐出观摩区外，还将视情况严重程度对所在代表队选手的成绩进行扣分直至取消比赛资格。</w:t>
      </w:r>
    </w:p>
    <w:p w14:paraId="1E9BA91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6.如果对裁判裁决产生质疑的，请通过各参赛队领队向赛项仲裁组提出，不得在赛场观摩区现场发言。</w:t>
      </w:r>
    </w:p>
    <w:p w14:paraId="1F54E82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7.保持观摩区整洁，所有个人产生的废弃物由个人全部带出，严禁在观摩区吸烟。</w:t>
      </w:r>
    </w:p>
    <w:p w14:paraId="3D82A4C9">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十五、竞赛直播及全程录像</w:t>
      </w:r>
    </w:p>
    <w:p w14:paraId="65AA156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default"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赛场内、开（闭）幕式会场内部署无盲点路线设备，能实时录制并播送赛场、开（闭）幕式情况。竞赛期间，将在指定地点设立赛事直播观看点，实时直播赛事进行情况，并在不违背大赛管理规定的情况下，运用承办单位抖音官方账号进行赛事精彩直播。同时，邀请行业媒体、属地新闻媒体对参赛院校、参赛选手、指导教师、大赛专家、特邀嘉宾进行采访，宣传大赛的特点、亮点、体会与收获。此外，在比赛全程，利用多媒体技术与设备录制赛事视频资料，记录竞赛全过程，为宣传、仲裁、资源转化提供全面的信息资源，为赛后资源转化提供素材。做好资源转化，制作优秀选手、指导教师采访，制作裁判专家点评，在规定的网站公布，突出赛项的技能重点和优势特色，扩大赛项的影响力。赛项过程全程录像。</w:t>
      </w:r>
    </w:p>
    <w:p w14:paraId="51E3B835">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jc w:val="left"/>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8"/>
          <w:szCs w:val="28"/>
        </w:rPr>
        <w:t>十六、竞赛须知</w:t>
      </w:r>
    </w:p>
    <w:p w14:paraId="59D21CF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仿宋_GB2312" w:hAnsi="仿宋_GB2312" w:eastAsia="仿宋_GB2312" w:cs="仿宋_GB2312"/>
          <w:sz w:val="24"/>
          <w:szCs w:val="24"/>
          <w:lang w:val="en-US" w:eastAsia="zh-CN"/>
        </w:rPr>
      </w:pPr>
      <w:r>
        <w:rPr>
          <w:rFonts w:hint="eastAsia" w:ascii="Times New Roman" w:hAnsi="Times New Roman" w:eastAsia="仿宋_GB2312" w:cs="Times New Roman"/>
          <w:sz w:val="28"/>
          <w:szCs w:val="28"/>
          <w:lang w:val="en-US" w:eastAsia="zh-CN"/>
        </w:rPr>
        <w:t>分别阐述本赛项参赛队、指导教师、参赛选手、工作人员等应重点注意的事项。对参赛队重点说明参赛学生是否需要购买保险，对指导教师重点说明带队和指导要求，对参赛选手重点说明比赛纪律和仪表仪容，对工作人员重点说明工作规范和纪律等。</w:t>
      </w:r>
    </w:p>
    <w:p w14:paraId="5137451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Times New Roman" w:hAnsi="Times New Roman" w:eastAsia="楷体_GB2312" w:cs="Times New Roman"/>
          <w:b/>
          <w:bCs/>
          <w:color w:val="auto"/>
          <w:sz w:val="28"/>
          <w:szCs w:val="28"/>
          <w:highlight w:val="none"/>
          <w:lang w:val="en-US" w:eastAsia="zh-CN"/>
        </w:rPr>
        <w:t>（一）参赛队须知</w:t>
      </w:r>
    </w:p>
    <w:p w14:paraId="1D93DB8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1.参赛队名称统一使用规定的地区代表队名称，不使用学校或其他组织、团体名称。</w:t>
      </w:r>
    </w:p>
    <w:p w14:paraId="684577C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2.参赛队员在报名获得审核确认后，原则上不再更换，如筹备过程中，队员因故不能参赛，所在学校需出具书面说明并按相关规定补充人员并接受审核；竞赛开始后，参赛队不得更换参赛队员。</w:t>
      </w:r>
    </w:p>
    <w:p w14:paraId="18117EB1">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3.竞赛前指定一名领队或指导教师抽签，确定竞赛顺序、出场竞赛等。</w:t>
      </w:r>
    </w:p>
    <w:p w14:paraId="2247C7D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4.比赛前30分钟参赛选手进入赛场候赛区。</w:t>
      </w:r>
    </w:p>
    <w:p w14:paraId="7067EEF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5.参赛队按照大赛规程凭借身份证和学生证参加竞赛及相关活动。</w:t>
      </w:r>
    </w:p>
    <w:p w14:paraId="5A7EA09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6.参赛队应做好安全、疫情防控措施，保证大赛期间选手、指导教师和工作人员的人身安全，须为选手购买大赛期间的人身意外伤害保险。参赛队员统一着装，须符合安全生产及竞赛要求。</w:t>
      </w:r>
    </w:p>
    <w:p w14:paraId="6AE9A289">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7.参赛队统一使用赛场提供的竞赛设备、仪器、计算器等。</w:t>
      </w:r>
    </w:p>
    <w:p w14:paraId="20975DAA">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8.如在竞赛过程中出现特殊情况，由各代表队与现场工作人员协调联系和反映，不得以任何理由中断竞赛或中途带选手退场。</w:t>
      </w:r>
    </w:p>
    <w:p w14:paraId="5CCEB90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9.各参赛队必须按操作规程要求竞赛，在竞赛过程中不按操作要求，出现人为损坏赛项提供的设备情况，由参赛队照价赔偿。</w:t>
      </w:r>
    </w:p>
    <w:p w14:paraId="5DD281D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10.本竞赛项目的解释权归赛项执委会。</w:t>
      </w:r>
    </w:p>
    <w:p w14:paraId="14B664B6">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Times New Roman" w:hAnsi="Times New Roman" w:eastAsia="楷体_GB2312" w:cs="Times New Roman"/>
          <w:b/>
          <w:bCs/>
          <w:color w:val="auto"/>
          <w:sz w:val="28"/>
          <w:szCs w:val="28"/>
          <w:highlight w:val="none"/>
          <w:lang w:val="en-US" w:eastAsia="zh-CN"/>
        </w:rPr>
        <w:t>（二）指导教师须知</w:t>
      </w:r>
    </w:p>
    <w:p w14:paraId="3A02C60B">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1.每个参赛队最多可配指导教师2名，指导教师经报名、审核后确定，一经确定不得更换，允许指导教师缺席竞赛。</w:t>
      </w:r>
    </w:p>
    <w:p w14:paraId="52301F25">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2.严格遵守赛场规章制度。</w:t>
      </w:r>
    </w:p>
    <w:p w14:paraId="25ED72A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3.指导教师应自觉遵守竞赛规则，不得进入赛场指导选手完成工作任务。</w:t>
      </w:r>
    </w:p>
    <w:p w14:paraId="67AAC91D">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4.指导教师应按时参加组织的相关会议。</w:t>
      </w:r>
    </w:p>
    <w:p w14:paraId="6D953A8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5.指导教师要做好本队参赛选手的有关组织工作，督促选手按组委会制定时间和地点报到；做好选手的后勤保障、安全工作，自觉维护赛场秩序。</w:t>
      </w:r>
    </w:p>
    <w:p w14:paraId="7D40F486">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Times New Roman" w:hAnsi="Times New Roman" w:eastAsia="楷体_GB2312" w:cs="Times New Roman"/>
          <w:b/>
          <w:bCs/>
          <w:color w:val="auto"/>
          <w:sz w:val="28"/>
          <w:szCs w:val="28"/>
          <w:highlight w:val="none"/>
          <w:lang w:val="en-US" w:eastAsia="zh-CN"/>
        </w:rPr>
        <w:t>（三）参赛选手须知</w:t>
      </w:r>
    </w:p>
    <w:p w14:paraId="4AD23A8F">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1.参赛选手应严格遵守赛场规章、操作规程和工艺准则，保证人身及设备安全，接受裁判员的监督和警示，文明竞赛。</w:t>
      </w:r>
    </w:p>
    <w:p w14:paraId="089B3340">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2.参赛选手务必于赛前30分钟到赛场侯赛区等候，迟到10分钟以上按弃权处理。已检录入场的参赛选手未经允许，不得擅自离开赛场。</w:t>
      </w:r>
    </w:p>
    <w:p w14:paraId="4DBBC54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3.比赛期间严禁携带任何手机等通讯工具、移动存储器、照相器材等与竞赛无关的用品入场，否则取消该队参赛资格。</w:t>
      </w:r>
    </w:p>
    <w:p w14:paraId="39BAC40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4.尊重裁判和赛场工作人员，自觉遵守赛场纪律和秩序。</w:t>
      </w:r>
    </w:p>
    <w:p w14:paraId="3E11917C">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5.参赛选手必须严格遵守操作规程，接受裁判员的监督和警示，保证人身及设备安全；因操作失误，致使设备损坏或不能正常使用，或发生人身安全事故不能进行比赛等特殊情况，裁判有权终止比赛。</w:t>
      </w:r>
    </w:p>
    <w:p w14:paraId="27F7B57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6.竞赛过程中，各参赛队自行确定分工、工作程序和时间安排，在赛位上完成竞赛项目，严禁作弊行为。</w:t>
      </w:r>
    </w:p>
    <w:p w14:paraId="16FF0E0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7.各模块比赛期间，选手连续工作，饮水、食品由赛场统一提供。选手休息或如厕时间均计算在比赛时间内。</w:t>
      </w:r>
    </w:p>
    <w:p w14:paraId="506E6F9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8.凡在竞赛期间提前结束比赛的选手，不得在竞赛过程中再次返回赛场。</w:t>
      </w:r>
    </w:p>
    <w:p w14:paraId="36C1CA03">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9.比赛中如遇非人为因素造成的设备故障，经裁判确认后，可向裁判申请补足排除故障的时间。</w:t>
      </w:r>
    </w:p>
    <w:p w14:paraId="4F603DA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10.参赛选手赛场外的管理由各参赛队领队和指导教师负责。</w:t>
      </w:r>
    </w:p>
    <w:p w14:paraId="33E702B6">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11.结束比赛时，参赛选手应向现场裁判员举手示意，提交赛卷和成果，由现场裁判员记录比赛终止时间；比赛结束后，参赛选手不能进行任何与竞赛相关的操作。</w:t>
      </w:r>
    </w:p>
    <w:p w14:paraId="7C3F213B">
      <w:pPr>
        <w:keepNext w:val="0"/>
        <w:keepLines w:val="0"/>
        <w:pageBreakBefore w:val="0"/>
        <w:widowControl w:val="0"/>
        <w:kinsoku/>
        <w:wordWrap/>
        <w:overflowPunct/>
        <w:topLinePunct w:val="0"/>
        <w:autoSpaceDE/>
        <w:autoSpaceDN/>
        <w:bidi w:val="0"/>
        <w:adjustRightInd w:val="0"/>
        <w:snapToGrid w:val="0"/>
        <w:spacing w:before="0" w:beforeLines="0" w:after="0" w:afterLines="0" w:line="540" w:lineRule="exact"/>
        <w:ind w:firstLine="562" w:firstLineChars="200"/>
        <w:jc w:val="left"/>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Times New Roman" w:hAnsi="Times New Roman" w:eastAsia="楷体_GB2312" w:cs="Times New Roman"/>
          <w:b/>
          <w:bCs/>
          <w:color w:val="auto"/>
          <w:sz w:val="28"/>
          <w:szCs w:val="28"/>
          <w:highlight w:val="none"/>
          <w:lang w:val="en-US" w:eastAsia="zh-CN"/>
        </w:rPr>
        <w:t>（四）工作人员须知</w:t>
      </w:r>
    </w:p>
    <w:p w14:paraId="2CB7589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1.树立服务观念，一切为选手着想，以高度负责的精神、严肃认真的态度和严谨细致的作风，积极完成本职任务。</w:t>
      </w:r>
    </w:p>
    <w:p w14:paraId="5937656E">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2.工作人员必须服从统一领导，严格遵守竞赛纪律及时间安排，严守工作岗位，不得无故离岗。</w:t>
      </w:r>
    </w:p>
    <w:p w14:paraId="540D90B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3.工作人员必须着装整齐，统一佩戴由大赛组委会签发的相应 证件，精神饱满、热情服务。</w:t>
      </w:r>
    </w:p>
    <w:p w14:paraId="0D94B7E2">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4.熟悉赛项指南，严格按照工作程序和有关规定办事，遇突发事件，按照安全工作预案，组织指挥人员疏散，确保人员安全。</w:t>
      </w:r>
    </w:p>
    <w:p w14:paraId="410AEE20">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5.工作人员未经允许不得随意进入比赛现场。</w:t>
      </w:r>
    </w:p>
    <w:p w14:paraId="5A7FA714">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6.比赛现场不得聊天、打闹等可能影响参赛选手的任何举动；不得私自与参赛选手交谈。</w:t>
      </w:r>
    </w:p>
    <w:p w14:paraId="6EEEF248">
      <w:pPr>
        <w:keepNext w:val="0"/>
        <w:keepLines w:val="0"/>
        <w:pageBreakBefore w:val="0"/>
        <w:widowControl w:val="0"/>
        <w:kinsoku/>
        <w:wordWrap/>
        <w:overflowPunct/>
        <w:topLinePunct w:val="0"/>
        <w:autoSpaceDE/>
        <w:autoSpaceDN/>
        <w:bidi w:val="0"/>
        <w:adjustRightInd/>
        <w:snapToGrid w:val="0"/>
        <w:spacing w:before="0" w:beforeLines="0" w:after="0" w:afterLines="0" w:line="540" w:lineRule="exact"/>
        <w:ind w:firstLine="560" w:firstLineChars="200"/>
        <w:jc w:val="both"/>
        <w:textAlignment w:val="auto"/>
        <w:rPr>
          <w:rFonts w:hint="eastAsia" w:ascii="Times New Roman" w:hAnsi="Times New Roman" w:eastAsia="仿宋_GB2312" w:cs="Times New Roman"/>
          <w:sz w:val="28"/>
          <w:szCs w:val="28"/>
          <w:lang w:val="en-US" w:eastAsia="zh-CN"/>
        </w:rPr>
      </w:pPr>
    </w:p>
    <w:sectPr>
      <w:footerReference r:id="rId3"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26C622-88DB-4A31-9FE5-E8D85BAA50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43DC31CD-2FEC-4043-9472-BAD13F30FA5D}"/>
  </w:font>
  <w:font w:name="方正小标宋简体">
    <w:panose1 w:val="02000000000000000000"/>
    <w:charset w:val="86"/>
    <w:family w:val="auto"/>
    <w:pitch w:val="default"/>
    <w:sig w:usb0="00000001" w:usb1="08000000" w:usb2="00000000" w:usb3="00000000" w:csb0="00040000" w:csb1="00000000"/>
    <w:embedRegular r:id="rId3" w:fontKey="{C53FA2F5-39F4-4197-BAD5-7C87155068FF}"/>
  </w:font>
  <w:font w:name="仿宋_GB2312">
    <w:panose1 w:val="02010609030101010101"/>
    <w:charset w:val="86"/>
    <w:family w:val="modern"/>
    <w:pitch w:val="default"/>
    <w:sig w:usb0="00000001" w:usb1="080E0000" w:usb2="00000000" w:usb3="00000000" w:csb0="00040000" w:csb1="00000000"/>
    <w:embedRegular r:id="rId4" w:fontKey="{ED74E6E7-D7F1-417B-850E-B2D9AD0C2918}"/>
  </w:font>
  <w:font w:name="楷体_GB2312">
    <w:altName w:val="楷体"/>
    <w:panose1 w:val="00000000000000000000"/>
    <w:charset w:val="00"/>
    <w:family w:val="auto"/>
    <w:pitch w:val="default"/>
    <w:sig w:usb0="00000000" w:usb1="00000000" w:usb2="00000000" w:usb3="00000000" w:csb0="00000000" w:csb1="00000000"/>
    <w:embedRegular r:id="rId5" w:fontKey="{BEB295CB-EC3C-4577-8DC5-3F180345811F}"/>
  </w:font>
  <w:font w:name="楷体">
    <w:panose1 w:val="02010609060101010101"/>
    <w:charset w:val="86"/>
    <w:family w:val="auto"/>
    <w:pitch w:val="default"/>
    <w:sig w:usb0="800002BF" w:usb1="38CF7CFA" w:usb2="00000016" w:usb3="00000000" w:csb0="00040001"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76434">
    <w:pPr>
      <w:jc w:val="center"/>
    </w:pPr>
    <w:r>
      <w:rPr>
        <w:rFonts w:ascii="Times New Roman" w:hAnsi="Times New Roman" w:eastAsia="仿宋_GB2312" w:cs="Times New Roman"/>
        <w:sz w:val="28"/>
        <w:szCs w:val="28"/>
      </w:rPr>
      <w:t xml:space="preserve">— </w:t>
    </w:r>
    <w:r>
      <w:rPr>
        <w:rFonts w:ascii="Times New Roman" w:hAnsi="Times New Roman" w:eastAsia="仿宋_GB2312" w:cs="Times New Roman"/>
        <w:sz w:val="28"/>
        <w:szCs w:val="28"/>
      </w:rPr>
      <w:fldChar w:fldCharType="begin"/>
    </w:r>
    <w:r>
      <w:rPr>
        <w:rFonts w:ascii="Times New Roman" w:hAnsi="Times New Roman" w:eastAsia="仿宋_GB2312" w:cs="Times New Roman"/>
        <w:sz w:val="28"/>
        <w:szCs w:val="28"/>
      </w:rPr>
      <w:instrText xml:space="preserve"> PAGE   \* MERGEFORMAT </w:instrText>
    </w:r>
    <w:r>
      <w:rPr>
        <w:rFonts w:ascii="Times New Roman" w:hAnsi="Times New Roman" w:eastAsia="仿宋_GB2312" w:cs="Times New Roman"/>
        <w:sz w:val="28"/>
        <w:szCs w:val="28"/>
      </w:rPr>
      <w:fldChar w:fldCharType="separate"/>
    </w:r>
    <w:r>
      <w:rPr>
        <w:rFonts w:ascii="Times New Roman" w:hAnsi="Times New Roman" w:eastAsia="仿宋_GB2312" w:cs="Times New Roman"/>
        <w:sz w:val="28"/>
        <w:szCs w:val="28"/>
      </w:rPr>
      <w:t>1</w:t>
    </w:r>
    <w:r>
      <w:rPr>
        <w:rFonts w:ascii="Times New Roman" w:hAnsi="Times New Roman" w:eastAsia="仿宋_GB2312" w:cs="Times New Roman"/>
        <w:sz w:val="28"/>
        <w:szCs w:val="28"/>
      </w:rPr>
      <w:fldChar w:fldCharType="end"/>
    </w:r>
    <w:r>
      <w:rPr>
        <w:rFonts w:ascii="Times New Roman" w:hAnsi="Times New Roman" w:eastAsia="仿宋_GB2312" w:cs="Times New Roman"/>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mMDUxZWE2OGU5MGUxMjhkYmYzZDk4YjE0MzFkNGQifQ=="/>
    <w:docVar w:name="KSO_WPS_MARK_KEY" w:val="40424b72-74df-408f-b485-cac8adc86a3e"/>
  </w:docVars>
  <w:rsids>
    <w:rsidRoot w:val="49561DBF"/>
    <w:rsid w:val="00EF7950"/>
    <w:rsid w:val="03251029"/>
    <w:rsid w:val="04333FF8"/>
    <w:rsid w:val="0B0F03B9"/>
    <w:rsid w:val="0B6F187B"/>
    <w:rsid w:val="0C3343D4"/>
    <w:rsid w:val="0F243685"/>
    <w:rsid w:val="0F4B55A7"/>
    <w:rsid w:val="0FCE2BD0"/>
    <w:rsid w:val="102E7AAB"/>
    <w:rsid w:val="111D4AEA"/>
    <w:rsid w:val="115F7F57"/>
    <w:rsid w:val="121C1C51"/>
    <w:rsid w:val="13473875"/>
    <w:rsid w:val="141F00F5"/>
    <w:rsid w:val="14495172"/>
    <w:rsid w:val="16AF39DB"/>
    <w:rsid w:val="17B00A25"/>
    <w:rsid w:val="183D6D9C"/>
    <w:rsid w:val="18763132"/>
    <w:rsid w:val="188822F6"/>
    <w:rsid w:val="1CAE2A48"/>
    <w:rsid w:val="1EA93551"/>
    <w:rsid w:val="21B31BD4"/>
    <w:rsid w:val="22C81225"/>
    <w:rsid w:val="25683F34"/>
    <w:rsid w:val="26285A40"/>
    <w:rsid w:val="2678022B"/>
    <w:rsid w:val="29B75B16"/>
    <w:rsid w:val="2B4A2B42"/>
    <w:rsid w:val="2D6A6991"/>
    <w:rsid w:val="302A3B58"/>
    <w:rsid w:val="35DA3B9F"/>
    <w:rsid w:val="3739594F"/>
    <w:rsid w:val="3740083B"/>
    <w:rsid w:val="38951247"/>
    <w:rsid w:val="3D4A629D"/>
    <w:rsid w:val="3E5B60DB"/>
    <w:rsid w:val="3E93599B"/>
    <w:rsid w:val="3FE76631"/>
    <w:rsid w:val="41F64055"/>
    <w:rsid w:val="435F7508"/>
    <w:rsid w:val="43E73EDC"/>
    <w:rsid w:val="45662DD1"/>
    <w:rsid w:val="49561DBF"/>
    <w:rsid w:val="49D34B5F"/>
    <w:rsid w:val="4C686736"/>
    <w:rsid w:val="4FA527A9"/>
    <w:rsid w:val="55005A82"/>
    <w:rsid w:val="556C6E75"/>
    <w:rsid w:val="57AE5833"/>
    <w:rsid w:val="5E8D3AF6"/>
    <w:rsid w:val="5FB30996"/>
    <w:rsid w:val="5FDE049F"/>
    <w:rsid w:val="65F078B1"/>
    <w:rsid w:val="7141099D"/>
    <w:rsid w:val="749A65CD"/>
    <w:rsid w:val="763C069A"/>
    <w:rsid w:val="79396BCF"/>
    <w:rsid w:val="7F8813C8"/>
    <w:rsid w:val="7FFC05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50</Words>
  <Characters>53</Characters>
  <Lines>0</Lines>
  <Paragraphs>0</Paragraphs>
  <TotalTime>52</TotalTime>
  <ScaleCrop>false</ScaleCrop>
  <LinksUpToDate>false</LinksUpToDate>
  <CharactersWithSpaces>53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2024-11-04T01:19:00Z</dcterms:created>
  <dc:creator>苏文学（Spencer）</dc:creator>
  <cp:lastModifiedBy>海南科技缪从金</cp:lastModifiedBy>
  <dcterms:modified xsi:type="dcterms:W3CDTF">2026-10-22T01:26:27Z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38EE54B534AB4A198AA8DFA8D9880CA0_13</vt:lpwstr>
  </property>
  <property fmtid="{D5CDD505-2E9C-101B-9397-08002B2CF9AE}" pid="4" name="KSOTemplateDocerSaveRecord">
    <vt:lpwstr>eyJoZGlkIjoiYzg1ZDU2NjQyYmVhMDZmMTliODk0MDQ4ZWYxZWFhODkiLCJ1c2VySWQiOiI4MDUxOTYwMTgifQ==</vt:lpwstr>
  </property>
</Properties>
</file>