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F5258">
      <w:pPr>
        <w:jc w:val="center"/>
        <w:rPr>
          <w:rFonts w:ascii="Times New Roman" w:hAnsi="Times New Roman" w:eastAsia="方正小标宋简体"/>
          <w:sz w:val="72"/>
          <w:szCs w:val="72"/>
        </w:rPr>
      </w:pPr>
    </w:p>
    <w:p w14:paraId="198D7EDE">
      <w:pPr>
        <w:pStyle w:val="4"/>
        <w:rPr>
          <w:rFonts w:hint="eastAsia" w:ascii="Times New Roman" w:hAnsi="Times New Roman" w:eastAsia="方正小标宋简体"/>
          <w:sz w:val="44"/>
          <w:szCs w:val="44"/>
          <w:lang w:val="en-US" w:eastAsia="zh-CN"/>
        </w:rPr>
      </w:pPr>
    </w:p>
    <w:p w14:paraId="5A6C9FC7">
      <w:pPr>
        <w:pStyle w:val="4"/>
        <w:jc w:val="center"/>
        <w:rPr>
          <w:rFonts w:ascii="Times New Roman" w:hAnsi="Times New Roman" w:eastAsia="方正小标宋简体"/>
          <w:sz w:val="72"/>
          <w:szCs w:val="72"/>
        </w:rPr>
      </w:pPr>
      <w:r>
        <w:rPr>
          <w:rFonts w:hint="eastAsia" w:ascii="Times New Roman" w:hAnsi="Times New Roman" w:eastAsia="方正小标宋简体"/>
          <w:sz w:val="48"/>
          <w:szCs w:val="48"/>
          <w:lang w:val="en-US" w:eastAsia="zh-CN"/>
        </w:rPr>
        <w:t>2026年海南省高等</w:t>
      </w:r>
      <w:r>
        <w:rPr>
          <w:rFonts w:ascii="Times New Roman" w:hAnsi="Times New Roman" w:eastAsia="方正小标宋简体"/>
          <w:sz w:val="48"/>
          <w:szCs w:val="48"/>
        </w:rPr>
        <w:t>职业院校技能大赛</w:t>
      </w:r>
    </w:p>
    <w:p w14:paraId="782D580E">
      <w:pPr>
        <w:pStyle w:val="4"/>
        <w:jc w:val="center"/>
        <w:rPr>
          <w:rFonts w:ascii="Times New Roman" w:hAnsi="Times New Roman" w:eastAsia="方正小标宋简体"/>
          <w:sz w:val="72"/>
          <w:szCs w:val="72"/>
        </w:rPr>
      </w:pPr>
      <w:r>
        <w:rPr>
          <w:rFonts w:hint="eastAsia" w:ascii="Times New Roman" w:hAnsi="Times New Roman" w:eastAsia="方正小标宋简体" w:cs="Times New Roman"/>
          <w:sz w:val="48"/>
          <w:szCs w:val="48"/>
          <w:lang w:val="en-US" w:eastAsia="zh-CN"/>
        </w:rPr>
        <w:t>化学实验技术赛项规程</w:t>
      </w:r>
    </w:p>
    <w:p w14:paraId="241F9657">
      <w:pPr>
        <w:pStyle w:val="4"/>
        <w:rPr>
          <w:rFonts w:ascii="Times New Roman" w:hAnsi="Times New Roman" w:eastAsia="方正小标宋简体"/>
          <w:sz w:val="72"/>
          <w:szCs w:val="72"/>
        </w:rPr>
      </w:pPr>
    </w:p>
    <w:p w14:paraId="5FC2DDF2">
      <w:pPr>
        <w:pStyle w:val="4"/>
        <w:rPr>
          <w:rFonts w:ascii="Times New Roman" w:hAnsi="Times New Roman" w:eastAsia="方正小标宋简体"/>
          <w:sz w:val="72"/>
          <w:szCs w:val="72"/>
        </w:rPr>
      </w:pPr>
    </w:p>
    <w:p w14:paraId="1F53EECF">
      <w:pPr>
        <w:keepNext w:val="0"/>
        <w:keepLines w:val="0"/>
        <w:pageBreakBefore w:val="0"/>
        <w:wordWrap/>
        <w:topLinePunct w:val="0"/>
        <w:autoSpaceDE/>
        <w:autoSpaceDN/>
        <w:bidi w:val="0"/>
        <w:spacing w:line="800" w:lineRule="exact"/>
        <w:ind w:left="0" w:right="0" w:rightChars="0" w:firstLine="640" w:firstLineChars="200"/>
        <w:textAlignment w:val="auto"/>
        <w:rPr>
          <w:rFonts w:ascii="Times New Roman" w:hAnsi="Times New Roman" w:eastAsia="黑体"/>
          <w:sz w:val="32"/>
          <w:u w:val="single"/>
        </w:rPr>
      </w:pPr>
      <w:r>
        <w:rPr>
          <w:rFonts w:ascii="Times New Roman" w:hAnsi="Times New Roman" w:eastAsia="黑体"/>
          <w:sz w:val="32"/>
        </w:rPr>
        <w:t>赛项名称：</w:t>
      </w:r>
      <w:r>
        <w:rPr>
          <w:rFonts w:ascii="Times New Roman" w:hAnsi="Times New Roman" w:eastAsia="黑体"/>
          <w:sz w:val="32"/>
          <w:u w:val="single"/>
        </w:rPr>
        <w:t xml:space="preserve">        </w:t>
      </w:r>
      <w:r>
        <w:rPr>
          <w:rFonts w:hint="eastAsia" w:ascii="Times New Roman" w:hAnsi="Times New Roman" w:eastAsia="黑体"/>
          <w:sz w:val="32"/>
          <w:u w:val="single"/>
          <w:lang w:val="en-US" w:eastAsia="zh-CN"/>
        </w:rPr>
        <w:t xml:space="preserve"> 化学实验技术</w:t>
      </w:r>
      <w:r>
        <w:rPr>
          <w:rFonts w:ascii="Times New Roman" w:hAnsi="Times New Roman" w:eastAsia="黑体"/>
          <w:sz w:val="32"/>
          <w:u w:val="single"/>
        </w:rPr>
        <w:t xml:space="preserve">        </w:t>
      </w:r>
    </w:p>
    <w:p w14:paraId="4C397234">
      <w:pPr>
        <w:keepNext w:val="0"/>
        <w:keepLines w:val="0"/>
        <w:pageBreakBefore w:val="0"/>
        <w:wordWrap/>
        <w:topLinePunct w:val="0"/>
        <w:autoSpaceDE/>
        <w:autoSpaceDN/>
        <w:bidi w:val="0"/>
        <w:spacing w:line="800" w:lineRule="exact"/>
        <w:ind w:left="0" w:right="0" w:rightChars="0" w:firstLine="640" w:firstLineChars="200"/>
        <w:textAlignment w:val="auto"/>
        <w:rPr>
          <w:rFonts w:ascii="Times New Roman" w:hAnsi="Times New Roman" w:eastAsia="黑体"/>
          <w:sz w:val="32"/>
          <w:u w:val="single"/>
        </w:rPr>
      </w:pPr>
      <w:r>
        <w:rPr>
          <w:rFonts w:ascii="Times New Roman" w:hAnsi="Times New Roman" w:eastAsia="黑体"/>
          <w:sz w:val="32"/>
        </w:rPr>
        <w:t>赛项组别：</w:t>
      </w:r>
      <w:r>
        <w:rPr>
          <w:rFonts w:ascii="Times New Roman" w:hAnsi="Times New Roman" w:eastAsia="黑体"/>
          <w:sz w:val="32"/>
          <w:u w:val="single"/>
        </w:rPr>
        <w:t xml:space="preserve">        </w:t>
      </w:r>
      <w:r>
        <w:rPr>
          <w:rFonts w:hint="eastAsia" w:ascii="Times New Roman" w:hAnsi="Times New Roman" w:eastAsia="黑体"/>
          <w:sz w:val="32"/>
          <w:u w:val="single"/>
          <w:lang w:val="en-US" w:eastAsia="zh-CN"/>
        </w:rPr>
        <w:t xml:space="preserve"> 高</w:t>
      </w:r>
      <w:r>
        <w:rPr>
          <w:rFonts w:hint="eastAsia" w:ascii="Times New Roman" w:hAnsi="Times New Roman" w:eastAsia="黑体"/>
          <w:sz w:val="32"/>
          <w:u w:val="single"/>
        </w:rPr>
        <w:t>等职业教育</w:t>
      </w:r>
      <w:r>
        <w:rPr>
          <w:rFonts w:hint="eastAsia" w:ascii="Times New Roman" w:hAnsi="Times New Roman" w:eastAsia="黑体"/>
          <w:sz w:val="32"/>
          <w:u w:val="single"/>
          <w:lang w:val="en-US" w:eastAsia="zh-CN"/>
        </w:rPr>
        <w:t xml:space="preserve">   </w:t>
      </w:r>
      <w:r>
        <w:rPr>
          <w:rFonts w:ascii="Times New Roman" w:hAnsi="Times New Roman" w:eastAsia="黑体"/>
          <w:sz w:val="32"/>
          <w:u w:val="single"/>
        </w:rPr>
        <w:t xml:space="preserve">     </w:t>
      </w:r>
    </w:p>
    <w:p w14:paraId="2C7525C1">
      <w:pPr>
        <w:keepNext w:val="0"/>
        <w:keepLines w:val="0"/>
        <w:pageBreakBefore w:val="0"/>
        <w:wordWrap/>
        <w:topLinePunct w:val="0"/>
        <w:autoSpaceDE/>
        <w:autoSpaceDN/>
        <w:bidi w:val="0"/>
        <w:spacing w:line="800" w:lineRule="exact"/>
        <w:ind w:left="0" w:right="0" w:rightChars="0" w:firstLine="640" w:firstLineChars="200"/>
        <w:textAlignment w:val="auto"/>
        <w:rPr>
          <w:rFonts w:ascii="Times New Roman" w:hAnsi="Times New Roman" w:eastAsia="黑体"/>
          <w:sz w:val="32"/>
        </w:rPr>
      </w:pPr>
      <w:r>
        <w:rPr>
          <w:rFonts w:ascii="Times New Roman" w:hAnsi="Times New Roman" w:eastAsia="黑体"/>
          <w:sz w:val="32"/>
        </w:rPr>
        <w:t>赛项编号：</w:t>
      </w:r>
      <w:r>
        <w:rPr>
          <w:rFonts w:ascii="Times New Roman" w:hAnsi="Times New Roman" w:eastAsia="黑体"/>
          <w:sz w:val="32"/>
          <w:u w:val="single"/>
        </w:rPr>
        <w:t xml:space="preserve">          </w:t>
      </w:r>
      <w:r>
        <w:rPr>
          <w:rFonts w:hint="eastAsia" w:ascii="Times New Roman" w:hAnsi="Times New Roman" w:eastAsia="黑体"/>
          <w:sz w:val="32"/>
          <w:u w:val="single"/>
          <w:lang w:val="en-US" w:eastAsia="zh-CN"/>
        </w:rPr>
        <w:t xml:space="preserve"> </w:t>
      </w:r>
      <w:r>
        <w:rPr>
          <w:rFonts w:ascii="Times New Roman" w:hAnsi="Times New Roman" w:eastAsia="黑体"/>
          <w:sz w:val="32"/>
          <w:u w:val="single"/>
        </w:rPr>
        <w:t xml:space="preserve"> </w:t>
      </w:r>
      <w:r>
        <w:rPr>
          <w:rFonts w:hint="eastAsia" w:ascii="Times New Roman" w:hAnsi="Times New Roman" w:eastAsia="黑体"/>
          <w:sz w:val="32"/>
          <w:u w:val="single"/>
          <w:lang w:val="en-US" w:eastAsia="zh-CN"/>
        </w:rPr>
        <w:t>G</w:t>
      </w:r>
      <w:r>
        <w:rPr>
          <w:rFonts w:hint="eastAsia" w:ascii="Times New Roman" w:hAnsi="Times New Roman" w:eastAsia="黑体"/>
          <w:sz w:val="32"/>
          <w:u w:val="single"/>
        </w:rPr>
        <w:t>Z</w:t>
      </w:r>
      <w:r>
        <w:rPr>
          <w:rFonts w:hint="eastAsia" w:ascii="Times New Roman" w:hAnsi="Times New Roman" w:eastAsia="黑体"/>
          <w:sz w:val="32"/>
          <w:u w:val="single"/>
          <w:lang w:val="en-US" w:eastAsia="zh-CN"/>
        </w:rPr>
        <w:t>013</w:t>
      </w:r>
      <w:r>
        <w:rPr>
          <w:rFonts w:ascii="Times New Roman" w:hAnsi="Times New Roman" w:eastAsia="黑体"/>
          <w:sz w:val="32"/>
          <w:u w:val="single"/>
        </w:rPr>
        <w:t xml:space="preserve"> </w:t>
      </w:r>
      <w:r>
        <w:rPr>
          <w:rFonts w:hint="eastAsia" w:ascii="Times New Roman" w:hAnsi="Times New Roman" w:eastAsia="黑体"/>
          <w:sz w:val="32"/>
          <w:u w:val="single"/>
          <w:lang w:val="en-US" w:eastAsia="zh-CN"/>
        </w:rPr>
        <w:t xml:space="preserve"> </w:t>
      </w:r>
      <w:r>
        <w:rPr>
          <w:rFonts w:ascii="Times New Roman" w:hAnsi="Times New Roman" w:eastAsia="黑体"/>
          <w:sz w:val="32"/>
          <w:u w:val="single"/>
        </w:rPr>
        <w:t xml:space="preserve">         </w:t>
      </w:r>
    </w:p>
    <w:p w14:paraId="6738AB1D">
      <w:pPr>
        <w:pStyle w:val="4"/>
        <w:rPr>
          <w:rFonts w:ascii="Times New Roman" w:hAnsi="Times New Roman" w:eastAsia="方正小标宋简体"/>
          <w:sz w:val="72"/>
          <w:szCs w:val="72"/>
        </w:rPr>
      </w:pPr>
    </w:p>
    <w:p w14:paraId="71F41D87">
      <w:pPr>
        <w:pStyle w:val="4"/>
        <w:rPr>
          <w:rFonts w:ascii="Times New Roman" w:hAnsi="Times New Roman" w:eastAsia="方正小标宋简体"/>
          <w:sz w:val="72"/>
          <w:szCs w:val="72"/>
        </w:rPr>
      </w:pPr>
    </w:p>
    <w:p w14:paraId="3FBA001C">
      <w:pPr>
        <w:pStyle w:val="4"/>
        <w:rPr>
          <w:rFonts w:ascii="Times New Roman" w:hAnsi="Times New Roman" w:eastAsia="方正小标宋简体"/>
          <w:sz w:val="72"/>
          <w:szCs w:val="72"/>
        </w:rPr>
      </w:pPr>
    </w:p>
    <w:p w14:paraId="7A0C575A">
      <w:pPr>
        <w:pStyle w:val="4"/>
        <w:rPr>
          <w:rFonts w:ascii="Times New Roman" w:hAnsi="Times New Roman" w:eastAsia="方正小标宋简体"/>
          <w:sz w:val="72"/>
          <w:szCs w:val="72"/>
        </w:rPr>
      </w:pPr>
    </w:p>
    <w:p w14:paraId="528810E0">
      <w:pPr>
        <w:pStyle w:val="4"/>
        <w:rPr>
          <w:rFonts w:ascii="Times New Roman" w:hAnsi="Times New Roman" w:eastAsia="方正小标宋简体"/>
          <w:sz w:val="72"/>
          <w:szCs w:val="72"/>
        </w:rPr>
      </w:pPr>
    </w:p>
    <w:p w14:paraId="4F9B2B2B">
      <w:pPr>
        <w:pStyle w:val="4"/>
        <w:spacing w:after="120"/>
        <w:rPr>
          <w:rFonts w:ascii="Times New Roman" w:hAnsi="Times New Roman" w:eastAsia="方正小标宋简体"/>
          <w:sz w:val="72"/>
          <w:szCs w:val="72"/>
        </w:rPr>
        <w:sectPr>
          <w:footerReference r:id="rId3" w:type="default"/>
          <w:pgSz w:w="11906" w:h="16838"/>
          <w:pgMar w:top="1440" w:right="1800" w:bottom="1440" w:left="1800" w:header="851" w:footer="992" w:gutter="0"/>
          <w:pgNumType w:start="1"/>
          <w:cols w:space="720" w:num="1"/>
          <w:docGrid w:type="lines" w:linePitch="312" w:charSpace="0"/>
        </w:sectPr>
      </w:pPr>
    </w:p>
    <w:p w14:paraId="6FCA9D12">
      <w:pPr>
        <w:spacing w:before="0" w:beforeLines="0" w:after="0" w:afterLines="0" w:line="240" w:lineRule="auto"/>
        <w:ind w:left="0" w:leftChars="0" w:right="0" w:rightChars="0" w:firstLine="0" w:firstLineChars="0"/>
        <w:jc w:val="center"/>
      </w:pPr>
      <w:r>
        <w:rPr>
          <w:rFonts w:ascii="宋体" w:hAnsi="宋体" w:eastAsia="宋体"/>
          <w:sz w:val="21"/>
        </w:rPr>
        <w:t>目录</w:t>
      </w:r>
    </w:p>
    <w:p w14:paraId="05A8F5D6">
      <w:pPr>
        <w:pStyle w:val="7"/>
        <w:tabs>
          <w:tab w:val="right" w:leader="dot" w:pos="8306"/>
        </w:tabs>
      </w:pPr>
      <w:r>
        <w:fldChar w:fldCharType="begin"/>
      </w:r>
      <w:r>
        <w:instrText xml:space="preserve">TOC \o "1-9" \h \u </w:instrText>
      </w:r>
      <w:r>
        <w:fldChar w:fldCharType="separate"/>
      </w:r>
      <w:r>
        <w:fldChar w:fldCharType="begin"/>
      </w:r>
      <w:r>
        <w:instrText xml:space="preserve"> HYPERLINK \l _Toc17655 </w:instrText>
      </w:r>
      <w:r>
        <w:fldChar w:fldCharType="separate"/>
      </w:r>
      <w:r>
        <w:rPr>
          <w:rFonts w:hint="eastAsia"/>
          <w:lang w:val="en-US" w:eastAsia="zh-CN"/>
        </w:rPr>
        <w:t>一、赛项简介</w:t>
      </w:r>
      <w:r>
        <w:tab/>
      </w:r>
      <w:r>
        <w:fldChar w:fldCharType="begin"/>
      </w:r>
      <w:r>
        <w:instrText xml:space="preserve"> PAGEREF _Toc17655 \h </w:instrText>
      </w:r>
      <w:r>
        <w:fldChar w:fldCharType="separate"/>
      </w:r>
      <w:r>
        <w:t>1</w:t>
      </w:r>
      <w:r>
        <w:fldChar w:fldCharType="end"/>
      </w:r>
      <w:r>
        <w:fldChar w:fldCharType="end"/>
      </w:r>
    </w:p>
    <w:p w14:paraId="1AECCA2E">
      <w:pPr>
        <w:pStyle w:val="7"/>
        <w:tabs>
          <w:tab w:val="right" w:leader="dot" w:pos="8306"/>
        </w:tabs>
      </w:pPr>
      <w:r>
        <w:fldChar w:fldCharType="begin"/>
      </w:r>
      <w:r>
        <w:instrText xml:space="preserve"> HYPERLINK \l _Toc21457 </w:instrText>
      </w:r>
      <w:r>
        <w:fldChar w:fldCharType="separate"/>
      </w:r>
      <w:r>
        <w:rPr>
          <w:rFonts w:hint="eastAsia" w:cs="Times New Roman"/>
          <w:lang w:val="en-US" w:eastAsia="zh-CN"/>
        </w:rPr>
        <w:t>二、竞赛目标</w:t>
      </w:r>
      <w:r>
        <w:tab/>
      </w:r>
      <w:r>
        <w:fldChar w:fldCharType="begin"/>
      </w:r>
      <w:r>
        <w:instrText xml:space="preserve"> PAGEREF _Toc21457 \h </w:instrText>
      </w:r>
      <w:r>
        <w:fldChar w:fldCharType="separate"/>
      </w:r>
      <w:r>
        <w:t>1</w:t>
      </w:r>
      <w:r>
        <w:fldChar w:fldCharType="end"/>
      </w:r>
      <w:r>
        <w:fldChar w:fldCharType="end"/>
      </w:r>
    </w:p>
    <w:p w14:paraId="46D8F073">
      <w:pPr>
        <w:pStyle w:val="7"/>
        <w:tabs>
          <w:tab w:val="right" w:leader="dot" w:pos="8306"/>
        </w:tabs>
      </w:pPr>
      <w:r>
        <w:fldChar w:fldCharType="begin"/>
      </w:r>
      <w:r>
        <w:instrText xml:space="preserve"> HYPERLINK \l _Toc8239 </w:instrText>
      </w:r>
      <w:r>
        <w:fldChar w:fldCharType="separate"/>
      </w:r>
      <w:r>
        <w:rPr>
          <w:rFonts w:hint="eastAsia" w:cs="Times New Roman"/>
          <w:lang w:val="en-US" w:eastAsia="zh-CN"/>
        </w:rPr>
        <w:t>三、竞赛内容</w:t>
      </w:r>
      <w:r>
        <w:tab/>
      </w:r>
      <w:r>
        <w:fldChar w:fldCharType="begin"/>
      </w:r>
      <w:r>
        <w:instrText xml:space="preserve"> PAGEREF _Toc8239 \h </w:instrText>
      </w:r>
      <w:r>
        <w:fldChar w:fldCharType="separate"/>
      </w:r>
      <w:r>
        <w:t>2</w:t>
      </w:r>
      <w:r>
        <w:fldChar w:fldCharType="end"/>
      </w:r>
      <w:r>
        <w:fldChar w:fldCharType="end"/>
      </w:r>
    </w:p>
    <w:p w14:paraId="57D41738">
      <w:pPr>
        <w:pStyle w:val="8"/>
        <w:tabs>
          <w:tab w:val="right" w:leader="dot" w:pos="8306"/>
        </w:tabs>
      </w:pPr>
      <w:r>
        <w:fldChar w:fldCharType="begin"/>
      </w:r>
      <w:r>
        <w:instrText xml:space="preserve"> HYPERLINK \l _Toc10115 </w:instrText>
      </w:r>
      <w:r>
        <w:fldChar w:fldCharType="separate"/>
      </w:r>
      <w:r>
        <w:rPr>
          <w:rFonts w:hint="eastAsia" w:ascii="Times New Roman" w:hAnsi="Times New Roman" w:eastAsia="楷体_GB2312"/>
          <w:bCs/>
          <w:szCs w:val="32"/>
        </w:rPr>
        <w:t>（一）职业典型工作任务</w:t>
      </w:r>
      <w:r>
        <w:tab/>
      </w:r>
      <w:r>
        <w:fldChar w:fldCharType="begin"/>
      </w:r>
      <w:r>
        <w:instrText xml:space="preserve"> PAGEREF _Toc10115 \h </w:instrText>
      </w:r>
      <w:r>
        <w:fldChar w:fldCharType="separate"/>
      </w:r>
      <w:r>
        <w:t>2</w:t>
      </w:r>
      <w:r>
        <w:fldChar w:fldCharType="end"/>
      </w:r>
      <w:r>
        <w:fldChar w:fldCharType="end"/>
      </w:r>
    </w:p>
    <w:p w14:paraId="206F6EEC">
      <w:pPr>
        <w:pStyle w:val="8"/>
        <w:tabs>
          <w:tab w:val="right" w:leader="dot" w:pos="8306"/>
        </w:tabs>
      </w:pPr>
      <w:r>
        <w:fldChar w:fldCharType="begin"/>
      </w:r>
      <w:r>
        <w:instrText xml:space="preserve"> HYPERLINK \l _Toc1714 </w:instrText>
      </w:r>
      <w:r>
        <w:fldChar w:fldCharType="separate"/>
      </w:r>
      <w:r>
        <w:rPr>
          <w:rFonts w:ascii="Times New Roman" w:hAnsi="Times New Roman" w:eastAsia="楷体_GB2312"/>
          <w:bCs/>
          <w:szCs w:val="32"/>
        </w:rPr>
        <w:t>（二）职业综合能力要求</w:t>
      </w:r>
      <w:r>
        <w:tab/>
      </w:r>
      <w:r>
        <w:fldChar w:fldCharType="begin"/>
      </w:r>
      <w:r>
        <w:instrText xml:space="preserve"> PAGEREF _Toc1714 \h </w:instrText>
      </w:r>
      <w:r>
        <w:fldChar w:fldCharType="separate"/>
      </w:r>
      <w:r>
        <w:t>2</w:t>
      </w:r>
      <w:r>
        <w:fldChar w:fldCharType="end"/>
      </w:r>
      <w:r>
        <w:fldChar w:fldCharType="end"/>
      </w:r>
    </w:p>
    <w:p w14:paraId="5A45A1EE">
      <w:pPr>
        <w:pStyle w:val="8"/>
        <w:tabs>
          <w:tab w:val="right" w:leader="dot" w:pos="8306"/>
        </w:tabs>
      </w:pPr>
      <w:r>
        <w:fldChar w:fldCharType="begin"/>
      </w:r>
      <w:r>
        <w:instrText xml:space="preserve"> HYPERLINK \l _Toc6737 </w:instrText>
      </w:r>
      <w:r>
        <w:fldChar w:fldCharType="separate"/>
      </w:r>
      <w:r>
        <w:rPr>
          <w:rFonts w:ascii="Times New Roman" w:hAnsi="Times New Roman" w:eastAsia="楷体_GB2312"/>
          <w:bCs/>
          <w:szCs w:val="32"/>
        </w:rPr>
        <w:t>（三）竞赛考核项目及内容</w:t>
      </w:r>
      <w:r>
        <w:tab/>
      </w:r>
      <w:r>
        <w:fldChar w:fldCharType="begin"/>
      </w:r>
      <w:r>
        <w:instrText xml:space="preserve"> PAGEREF _Toc6737 \h </w:instrText>
      </w:r>
      <w:r>
        <w:fldChar w:fldCharType="separate"/>
      </w:r>
      <w:r>
        <w:t>2</w:t>
      </w:r>
      <w:r>
        <w:fldChar w:fldCharType="end"/>
      </w:r>
      <w:r>
        <w:fldChar w:fldCharType="end"/>
      </w:r>
    </w:p>
    <w:p w14:paraId="41DA2563">
      <w:pPr>
        <w:pStyle w:val="7"/>
        <w:tabs>
          <w:tab w:val="right" w:leader="dot" w:pos="8306"/>
        </w:tabs>
      </w:pPr>
      <w:r>
        <w:fldChar w:fldCharType="begin"/>
      </w:r>
      <w:r>
        <w:instrText xml:space="preserve"> HYPERLINK \l _Toc23011 </w:instrText>
      </w:r>
      <w:r>
        <w:fldChar w:fldCharType="separate"/>
      </w:r>
      <w:r>
        <w:rPr>
          <w:rFonts w:hint="eastAsia" w:cs="Times New Roman"/>
          <w:lang w:val="en-US" w:eastAsia="zh-CN"/>
        </w:rPr>
        <w:t>四、竞赛方式</w:t>
      </w:r>
      <w:r>
        <w:tab/>
      </w:r>
      <w:r>
        <w:fldChar w:fldCharType="begin"/>
      </w:r>
      <w:r>
        <w:instrText xml:space="preserve"> PAGEREF _Toc23011 \h </w:instrText>
      </w:r>
      <w:r>
        <w:fldChar w:fldCharType="separate"/>
      </w:r>
      <w:r>
        <w:t>3</w:t>
      </w:r>
      <w:r>
        <w:fldChar w:fldCharType="end"/>
      </w:r>
      <w:r>
        <w:fldChar w:fldCharType="end"/>
      </w:r>
    </w:p>
    <w:p w14:paraId="315F555A">
      <w:pPr>
        <w:pStyle w:val="7"/>
        <w:tabs>
          <w:tab w:val="right" w:leader="dot" w:pos="8306"/>
        </w:tabs>
      </w:pPr>
      <w:r>
        <w:fldChar w:fldCharType="begin"/>
      </w:r>
      <w:r>
        <w:instrText xml:space="preserve"> HYPERLINK \l _Toc16910 </w:instrText>
      </w:r>
      <w:r>
        <w:fldChar w:fldCharType="separate"/>
      </w:r>
      <w:r>
        <w:rPr>
          <w:rFonts w:hint="default" w:cs="Times New Roman"/>
          <w:lang w:val="en-US" w:eastAsia="zh-CN"/>
        </w:rPr>
        <w:t>五、</w:t>
      </w:r>
      <w:r>
        <w:rPr>
          <w:rFonts w:hint="eastAsia" w:cs="Times New Roman"/>
          <w:lang w:val="en-US" w:eastAsia="zh-CN"/>
        </w:rPr>
        <w:t>竞赛流程</w:t>
      </w:r>
      <w:r>
        <w:tab/>
      </w:r>
      <w:r>
        <w:fldChar w:fldCharType="begin"/>
      </w:r>
      <w:r>
        <w:instrText xml:space="preserve"> PAGEREF _Toc16910 \h </w:instrText>
      </w:r>
      <w:r>
        <w:fldChar w:fldCharType="separate"/>
      </w:r>
      <w:r>
        <w:t>3</w:t>
      </w:r>
      <w:r>
        <w:fldChar w:fldCharType="end"/>
      </w:r>
      <w:r>
        <w:fldChar w:fldCharType="end"/>
      </w:r>
    </w:p>
    <w:p w14:paraId="0B899BD6">
      <w:pPr>
        <w:pStyle w:val="8"/>
        <w:tabs>
          <w:tab w:val="right" w:leader="dot" w:pos="8306"/>
        </w:tabs>
      </w:pPr>
      <w:r>
        <w:fldChar w:fldCharType="begin"/>
      </w:r>
      <w:r>
        <w:instrText xml:space="preserve"> HYPERLINK \l _Toc4698 </w:instrText>
      </w:r>
      <w:r>
        <w:fldChar w:fldCharType="separate"/>
      </w:r>
      <w:r>
        <w:rPr>
          <w:rFonts w:ascii="Times New Roman" w:hAnsi="Times New Roman" w:eastAsia="楷体_GB2312"/>
          <w:bCs/>
          <w:szCs w:val="32"/>
        </w:rPr>
        <w:t>（一）竞赛日程</w:t>
      </w:r>
      <w:r>
        <w:tab/>
      </w:r>
      <w:r>
        <w:fldChar w:fldCharType="begin"/>
      </w:r>
      <w:r>
        <w:instrText xml:space="preserve"> PAGEREF _Toc4698 \h </w:instrText>
      </w:r>
      <w:r>
        <w:fldChar w:fldCharType="separate"/>
      </w:r>
      <w:r>
        <w:t>3</w:t>
      </w:r>
      <w:r>
        <w:fldChar w:fldCharType="end"/>
      </w:r>
      <w:r>
        <w:fldChar w:fldCharType="end"/>
      </w:r>
    </w:p>
    <w:p w14:paraId="448F2814">
      <w:pPr>
        <w:pStyle w:val="8"/>
        <w:tabs>
          <w:tab w:val="right" w:leader="dot" w:pos="8306"/>
        </w:tabs>
      </w:pPr>
      <w:r>
        <w:fldChar w:fldCharType="begin"/>
      </w:r>
      <w:r>
        <w:instrText xml:space="preserve"> HYPERLINK \l _Toc20157 </w:instrText>
      </w:r>
      <w:r>
        <w:fldChar w:fldCharType="separate"/>
      </w:r>
      <w:r>
        <w:rPr>
          <w:rFonts w:ascii="Times New Roman" w:hAnsi="Times New Roman" w:eastAsia="楷体_GB2312"/>
          <w:bCs/>
          <w:szCs w:val="32"/>
        </w:rPr>
        <w:t>（二）竞赛流程</w:t>
      </w:r>
      <w:r>
        <w:tab/>
      </w:r>
      <w:r>
        <w:fldChar w:fldCharType="begin"/>
      </w:r>
      <w:r>
        <w:instrText xml:space="preserve"> PAGEREF _Toc20157 \h </w:instrText>
      </w:r>
      <w:r>
        <w:fldChar w:fldCharType="separate"/>
      </w:r>
      <w:r>
        <w:t>4</w:t>
      </w:r>
      <w:r>
        <w:fldChar w:fldCharType="end"/>
      </w:r>
      <w:r>
        <w:fldChar w:fldCharType="end"/>
      </w:r>
    </w:p>
    <w:p w14:paraId="2D0B4506">
      <w:pPr>
        <w:pStyle w:val="7"/>
        <w:tabs>
          <w:tab w:val="right" w:leader="dot" w:pos="8306"/>
        </w:tabs>
      </w:pPr>
      <w:r>
        <w:fldChar w:fldCharType="begin"/>
      </w:r>
      <w:r>
        <w:instrText xml:space="preserve"> HYPERLINK \l _Toc31410 </w:instrText>
      </w:r>
      <w:r>
        <w:fldChar w:fldCharType="separate"/>
      </w:r>
      <w:r>
        <w:rPr>
          <w:rFonts w:hint="default" w:cs="Times New Roman"/>
          <w:lang w:val="en-US" w:eastAsia="zh-CN"/>
        </w:rPr>
        <w:t>六、竞赛规则</w:t>
      </w:r>
      <w:r>
        <w:tab/>
      </w:r>
      <w:r>
        <w:fldChar w:fldCharType="begin"/>
      </w:r>
      <w:r>
        <w:instrText xml:space="preserve"> PAGEREF _Toc31410 \h </w:instrText>
      </w:r>
      <w:r>
        <w:fldChar w:fldCharType="separate"/>
      </w:r>
      <w:r>
        <w:t>4</w:t>
      </w:r>
      <w:r>
        <w:fldChar w:fldCharType="end"/>
      </w:r>
      <w:r>
        <w:fldChar w:fldCharType="end"/>
      </w:r>
    </w:p>
    <w:p w14:paraId="6565861E">
      <w:pPr>
        <w:pStyle w:val="8"/>
        <w:tabs>
          <w:tab w:val="right" w:leader="dot" w:pos="8306"/>
        </w:tabs>
      </w:pPr>
      <w:r>
        <w:fldChar w:fldCharType="begin"/>
      </w:r>
      <w:r>
        <w:instrText xml:space="preserve"> HYPERLINK \l _Toc22694 </w:instrText>
      </w:r>
      <w:r>
        <w:fldChar w:fldCharType="separate"/>
      </w:r>
      <w:r>
        <w:rPr>
          <w:rFonts w:ascii="Times New Roman" w:hAnsi="Times New Roman" w:eastAsia="楷体_GB2312"/>
          <w:bCs/>
          <w:szCs w:val="32"/>
        </w:rPr>
        <w:t>（一）选手报名</w:t>
      </w:r>
      <w:r>
        <w:tab/>
      </w:r>
      <w:r>
        <w:fldChar w:fldCharType="begin"/>
      </w:r>
      <w:r>
        <w:instrText xml:space="preserve"> PAGEREF _Toc22694 \h </w:instrText>
      </w:r>
      <w:r>
        <w:fldChar w:fldCharType="separate"/>
      </w:r>
      <w:r>
        <w:t>4</w:t>
      </w:r>
      <w:r>
        <w:fldChar w:fldCharType="end"/>
      </w:r>
      <w:r>
        <w:fldChar w:fldCharType="end"/>
      </w:r>
    </w:p>
    <w:p w14:paraId="7067F3FE">
      <w:pPr>
        <w:pStyle w:val="8"/>
        <w:tabs>
          <w:tab w:val="right" w:leader="dot" w:pos="8306"/>
        </w:tabs>
      </w:pPr>
      <w:r>
        <w:fldChar w:fldCharType="begin"/>
      </w:r>
      <w:r>
        <w:instrText xml:space="preserve"> HYPERLINK \l _Toc18884 </w:instrText>
      </w:r>
      <w:r>
        <w:fldChar w:fldCharType="separate"/>
      </w:r>
      <w:r>
        <w:rPr>
          <w:rFonts w:ascii="Times New Roman" w:hAnsi="Times New Roman" w:eastAsia="楷体_GB2312"/>
          <w:bCs/>
          <w:szCs w:val="32"/>
        </w:rPr>
        <w:t>（二）熟悉场地</w:t>
      </w:r>
      <w:r>
        <w:tab/>
      </w:r>
      <w:r>
        <w:fldChar w:fldCharType="begin"/>
      </w:r>
      <w:r>
        <w:instrText xml:space="preserve"> PAGEREF _Toc18884 \h </w:instrText>
      </w:r>
      <w:r>
        <w:fldChar w:fldCharType="separate"/>
      </w:r>
      <w:r>
        <w:t>5</w:t>
      </w:r>
      <w:r>
        <w:fldChar w:fldCharType="end"/>
      </w:r>
      <w:r>
        <w:fldChar w:fldCharType="end"/>
      </w:r>
    </w:p>
    <w:p w14:paraId="2E131FA8">
      <w:pPr>
        <w:pStyle w:val="8"/>
        <w:tabs>
          <w:tab w:val="right" w:leader="dot" w:pos="8306"/>
        </w:tabs>
      </w:pPr>
      <w:r>
        <w:fldChar w:fldCharType="begin"/>
      </w:r>
      <w:r>
        <w:instrText xml:space="preserve"> HYPERLINK \l _Toc1064 </w:instrText>
      </w:r>
      <w:r>
        <w:fldChar w:fldCharType="separate"/>
      </w:r>
      <w:r>
        <w:rPr>
          <w:rFonts w:ascii="Times New Roman" w:hAnsi="Times New Roman" w:eastAsia="楷体_GB2312"/>
          <w:bCs/>
          <w:szCs w:val="32"/>
        </w:rPr>
        <w:t>（三）竞赛入场</w:t>
      </w:r>
      <w:r>
        <w:tab/>
      </w:r>
      <w:r>
        <w:fldChar w:fldCharType="begin"/>
      </w:r>
      <w:r>
        <w:instrText xml:space="preserve"> PAGEREF _Toc1064 \h </w:instrText>
      </w:r>
      <w:r>
        <w:fldChar w:fldCharType="separate"/>
      </w:r>
      <w:r>
        <w:t>5</w:t>
      </w:r>
      <w:r>
        <w:fldChar w:fldCharType="end"/>
      </w:r>
      <w:r>
        <w:fldChar w:fldCharType="end"/>
      </w:r>
    </w:p>
    <w:p w14:paraId="6F88A4E6">
      <w:pPr>
        <w:pStyle w:val="8"/>
        <w:tabs>
          <w:tab w:val="right" w:leader="dot" w:pos="8306"/>
        </w:tabs>
      </w:pPr>
      <w:r>
        <w:fldChar w:fldCharType="begin"/>
      </w:r>
      <w:r>
        <w:instrText xml:space="preserve"> HYPERLINK \l _Toc24503 </w:instrText>
      </w:r>
      <w:r>
        <w:fldChar w:fldCharType="separate"/>
      </w:r>
      <w:r>
        <w:rPr>
          <w:rFonts w:ascii="Times New Roman" w:hAnsi="Times New Roman" w:eastAsia="楷体_GB2312"/>
          <w:bCs/>
          <w:szCs w:val="32"/>
        </w:rPr>
        <w:t>（四）赛场规则</w:t>
      </w:r>
      <w:r>
        <w:tab/>
      </w:r>
      <w:r>
        <w:fldChar w:fldCharType="begin"/>
      </w:r>
      <w:r>
        <w:instrText xml:space="preserve"> PAGEREF _Toc24503 \h </w:instrText>
      </w:r>
      <w:r>
        <w:fldChar w:fldCharType="separate"/>
      </w:r>
      <w:r>
        <w:t>5</w:t>
      </w:r>
      <w:r>
        <w:fldChar w:fldCharType="end"/>
      </w:r>
      <w:r>
        <w:fldChar w:fldCharType="end"/>
      </w:r>
    </w:p>
    <w:p w14:paraId="48825898">
      <w:pPr>
        <w:pStyle w:val="8"/>
        <w:tabs>
          <w:tab w:val="right" w:leader="dot" w:pos="8306"/>
        </w:tabs>
      </w:pPr>
      <w:r>
        <w:fldChar w:fldCharType="begin"/>
      </w:r>
      <w:r>
        <w:instrText xml:space="preserve"> HYPERLINK \l _Toc20743 </w:instrText>
      </w:r>
      <w:r>
        <w:fldChar w:fldCharType="separate"/>
      </w:r>
      <w:r>
        <w:rPr>
          <w:rFonts w:ascii="Times New Roman" w:hAnsi="Times New Roman" w:eastAsia="楷体_GB2312"/>
          <w:bCs/>
          <w:szCs w:val="32"/>
        </w:rPr>
        <w:t>（五）离场规则</w:t>
      </w:r>
      <w:r>
        <w:tab/>
      </w:r>
      <w:r>
        <w:fldChar w:fldCharType="begin"/>
      </w:r>
      <w:r>
        <w:instrText xml:space="preserve"> PAGEREF _Toc20743 \h </w:instrText>
      </w:r>
      <w:r>
        <w:fldChar w:fldCharType="separate"/>
      </w:r>
      <w:r>
        <w:t>5</w:t>
      </w:r>
      <w:r>
        <w:fldChar w:fldCharType="end"/>
      </w:r>
      <w:r>
        <w:fldChar w:fldCharType="end"/>
      </w:r>
    </w:p>
    <w:p w14:paraId="01348408">
      <w:pPr>
        <w:pStyle w:val="8"/>
        <w:tabs>
          <w:tab w:val="right" w:leader="dot" w:pos="8306"/>
        </w:tabs>
      </w:pPr>
      <w:r>
        <w:fldChar w:fldCharType="begin"/>
      </w:r>
      <w:r>
        <w:instrText xml:space="preserve"> HYPERLINK \l _Toc17548 </w:instrText>
      </w:r>
      <w:r>
        <w:fldChar w:fldCharType="separate"/>
      </w:r>
      <w:r>
        <w:rPr>
          <w:rFonts w:ascii="Times New Roman" w:hAnsi="Times New Roman" w:eastAsia="楷体_GB2312"/>
          <w:bCs/>
          <w:szCs w:val="32"/>
        </w:rPr>
        <w:t>（六）成绩管理</w:t>
      </w:r>
      <w:r>
        <w:tab/>
      </w:r>
      <w:r>
        <w:fldChar w:fldCharType="begin"/>
      </w:r>
      <w:r>
        <w:instrText xml:space="preserve"> PAGEREF _Toc17548 \h </w:instrText>
      </w:r>
      <w:r>
        <w:fldChar w:fldCharType="separate"/>
      </w:r>
      <w:r>
        <w:t>6</w:t>
      </w:r>
      <w:r>
        <w:fldChar w:fldCharType="end"/>
      </w:r>
      <w:r>
        <w:fldChar w:fldCharType="end"/>
      </w:r>
    </w:p>
    <w:p w14:paraId="47E2D9A9">
      <w:pPr>
        <w:pStyle w:val="7"/>
        <w:tabs>
          <w:tab w:val="right" w:leader="dot" w:pos="8306"/>
        </w:tabs>
      </w:pPr>
      <w:r>
        <w:fldChar w:fldCharType="begin"/>
      </w:r>
      <w:r>
        <w:instrText xml:space="preserve"> HYPERLINK \l _Toc22860 </w:instrText>
      </w:r>
      <w:r>
        <w:fldChar w:fldCharType="separate"/>
      </w:r>
      <w:r>
        <w:rPr>
          <w:rFonts w:hint="default" w:cs="Times New Roman"/>
          <w:lang w:val="en-US" w:eastAsia="zh-CN"/>
        </w:rPr>
        <w:t>七、技术规范</w:t>
      </w:r>
      <w:r>
        <w:tab/>
      </w:r>
      <w:r>
        <w:fldChar w:fldCharType="begin"/>
      </w:r>
      <w:r>
        <w:instrText xml:space="preserve"> PAGEREF _Toc22860 \h </w:instrText>
      </w:r>
      <w:r>
        <w:fldChar w:fldCharType="separate"/>
      </w:r>
      <w:r>
        <w:t>6</w:t>
      </w:r>
      <w:r>
        <w:fldChar w:fldCharType="end"/>
      </w:r>
      <w:r>
        <w:fldChar w:fldCharType="end"/>
      </w:r>
    </w:p>
    <w:p w14:paraId="32755131">
      <w:pPr>
        <w:pStyle w:val="8"/>
        <w:tabs>
          <w:tab w:val="right" w:leader="dot" w:pos="8306"/>
        </w:tabs>
      </w:pPr>
      <w:r>
        <w:fldChar w:fldCharType="begin"/>
      </w:r>
      <w:r>
        <w:instrText xml:space="preserve"> HYPERLINK \l _Toc15377 </w:instrText>
      </w:r>
      <w:r>
        <w:fldChar w:fldCharType="separate"/>
      </w:r>
      <w:r>
        <w:rPr>
          <w:rFonts w:ascii="Times New Roman" w:hAnsi="Times New Roman" w:eastAsia="楷体_GB2312"/>
          <w:bCs/>
          <w:szCs w:val="32"/>
        </w:rPr>
        <w:t>（一）选手能力标准规范</w:t>
      </w:r>
      <w:r>
        <w:tab/>
      </w:r>
      <w:r>
        <w:fldChar w:fldCharType="begin"/>
      </w:r>
      <w:r>
        <w:instrText xml:space="preserve"> PAGEREF _Toc15377 \h </w:instrText>
      </w:r>
      <w:r>
        <w:fldChar w:fldCharType="separate"/>
      </w:r>
      <w:r>
        <w:t>6</w:t>
      </w:r>
      <w:r>
        <w:fldChar w:fldCharType="end"/>
      </w:r>
      <w:r>
        <w:fldChar w:fldCharType="end"/>
      </w:r>
    </w:p>
    <w:p w14:paraId="5C1D5D63">
      <w:pPr>
        <w:pStyle w:val="8"/>
        <w:tabs>
          <w:tab w:val="right" w:leader="dot" w:pos="8306"/>
        </w:tabs>
      </w:pPr>
      <w:r>
        <w:fldChar w:fldCharType="begin"/>
      </w:r>
      <w:r>
        <w:instrText xml:space="preserve"> HYPERLINK \l _Toc9193 </w:instrText>
      </w:r>
      <w:r>
        <w:fldChar w:fldCharType="separate"/>
      </w:r>
      <w:r>
        <w:rPr>
          <w:rFonts w:ascii="Times New Roman" w:hAnsi="Times New Roman" w:eastAsia="楷体_GB2312"/>
          <w:bCs/>
          <w:szCs w:val="32"/>
        </w:rPr>
        <w:t>（二）赛题技术标准规范</w:t>
      </w:r>
      <w:r>
        <w:tab/>
      </w:r>
      <w:r>
        <w:fldChar w:fldCharType="begin"/>
      </w:r>
      <w:r>
        <w:instrText xml:space="preserve"> PAGEREF _Toc9193 \h </w:instrText>
      </w:r>
      <w:r>
        <w:fldChar w:fldCharType="separate"/>
      </w:r>
      <w:r>
        <w:t>8</w:t>
      </w:r>
      <w:r>
        <w:fldChar w:fldCharType="end"/>
      </w:r>
      <w:r>
        <w:fldChar w:fldCharType="end"/>
      </w:r>
    </w:p>
    <w:p w14:paraId="16EDEA9E">
      <w:pPr>
        <w:pStyle w:val="7"/>
        <w:tabs>
          <w:tab w:val="right" w:leader="dot" w:pos="8306"/>
        </w:tabs>
      </w:pPr>
      <w:r>
        <w:fldChar w:fldCharType="begin"/>
      </w:r>
      <w:r>
        <w:instrText xml:space="preserve"> HYPERLINK \l _Toc8795 </w:instrText>
      </w:r>
      <w:r>
        <w:fldChar w:fldCharType="separate"/>
      </w:r>
      <w:r>
        <w:rPr>
          <w:rFonts w:hint="default" w:cs="Times New Roman"/>
          <w:lang w:val="en-US" w:eastAsia="zh-CN"/>
        </w:rPr>
        <w:t>八、技术环境</w:t>
      </w:r>
      <w:r>
        <w:tab/>
      </w:r>
      <w:r>
        <w:fldChar w:fldCharType="begin"/>
      </w:r>
      <w:r>
        <w:instrText xml:space="preserve"> PAGEREF _Toc8795 \h </w:instrText>
      </w:r>
      <w:r>
        <w:fldChar w:fldCharType="separate"/>
      </w:r>
      <w:r>
        <w:t>8</w:t>
      </w:r>
      <w:r>
        <w:fldChar w:fldCharType="end"/>
      </w:r>
      <w:r>
        <w:fldChar w:fldCharType="end"/>
      </w:r>
    </w:p>
    <w:p w14:paraId="7BF8E573">
      <w:pPr>
        <w:pStyle w:val="8"/>
        <w:tabs>
          <w:tab w:val="right" w:leader="dot" w:pos="8306"/>
        </w:tabs>
      </w:pPr>
      <w:r>
        <w:fldChar w:fldCharType="begin"/>
      </w:r>
      <w:r>
        <w:instrText xml:space="preserve"> HYPERLINK \l _Toc4547 </w:instrText>
      </w:r>
      <w:r>
        <w:fldChar w:fldCharType="separate"/>
      </w:r>
      <w:r>
        <w:rPr>
          <w:rFonts w:ascii="Times New Roman" w:hAnsi="Times New Roman" w:eastAsia="楷体_GB2312"/>
          <w:bCs/>
          <w:szCs w:val="32"/>
        </w:rPr>
        <w:t>（一）竞赛场地及环境设施要求</w:t>
      </w:r>
      <w:r>
        <w:tab/>
      </w:r>
      <w:r>
        <w:fldChar w:fldCharType="begin"/>
      </w:r>
      <w:r>
        <w:instrText xml:space="preserve"> PAGEREF _Toc4547 \h </w:instrText>
      </w:r>
      <w:r>
        <w:fldChar w:fldCharType="separate"/>
      </w:r>
      <w:r>
        <w:t>8</w:t>
      </w:r>
      <w:r>
        <w:fldChar w:fldCharType="end"/>
      </w:r>
      <w:r>
        <w:fldChar w:fldCharType="end"/>
      </w:r>
    </w:p>
    <w:p w14:paraId="736383DC">
      <w:pPr>
        <w:pStyle w:val="8"/>
        <w:tabs>
          <w:tab w:val="right" w:leader="dot" w:pos="8306"/>
        </w:tabs>
      </w:pPr>
      <w:r>
        <w:fldChar w:fldCharType="begin"/>
      </w:r>
      <w:r>
        <w:instrText xml:space="preserve"> HYPERLINK \l _Toc7489 </w:instrText>
      </w:r>
      <w:r>
        <w:fldChar w:fldCharType="separate"/>
      </w:r>
      <w:r>
        <w:rPr>
          <w:rFonts w:ascii="Times New Roman" w:hAnsi="Times New Roman" w:eastAsia="楷体_GB2312"/>
          <w:bCs/>
          <w:szCs w:val="32"/>
        </w:rPr>
        <w:t>（二）仪器设备及实验设施要求</w:t>
      </w:r>
      <w:r>
        <w:tab/>
      </w:r>
      <w:r>
        <w:fldChar w:fldCharType="begin"/>
      </w:r>
      <w:r>
        <w:instrText xml:space="preserve"> PAGEREF _Toc7489 \h </w:instrText>
      </w:r>
      <w:r>
        <w:fldChar w:fldCharType="separate"/>
      </w:r>
      <w:r>
        <w:t>9</w:t>
      </w:r>
      <w:r>
        <w:fldChar w:fldCharType="end"/>
      </w:r>
      <w:r>
        <w:fldChar w:fldCharType="end"/>
      </w:r>
    </w:p>
    <w:p w14:paraId="24D52882">
      <w:pPr>
        <w:pStyle w:val="8"/>
        <w:tabs>
          <w:tab w:val="right" w:leader="dot" w:pos="8306"/>
        </w:tabs>
      </w:pPr>
      <w:r>
        <w:fldChar w:fldCharType="begin"/>
      </w:r>
      <w:r>
        <w:instrText xml:space="preserve"> HYPERLINK \l _Toc24533 </w:instrText>
      </w:r>
      <w:r>
        <w:fldChar w:fldCharType="separate"/>
      </w:r>
      <w:r>
        <w:rPr>
          <w:rFonts w:ascii="Times New Roman" w:hAnsi="Times New Roman" w:eastAsia="楷体_GB2312"/>
          <w:bCs/>
          <w:szCs w:val="32"/>
        </w:rPr>
        <w:t>（三）技术平台</w:t>
      </w:r>
      <w:r>
        <w:tab/>
      </w:r>
      <w:r>
        <w:fldChar w:fldCharType="begin"/>
      </w:r>
      <w:r>
        <w:instrText xml:space="preserve"> PAGEREF _Toc24533 \h </w:instrText>
      </w:r>
      <w:r>
        <w:fldChar w:fldCharType="separate"/>
      </w:r>
      <w:r>
        <w:t>9</w:t>
      </w:r>
      <w:r>
        <w:fldChar w:fldCharType="end"/>
      </w:r>
      <w:r>
        <w:fldChar w:fldCharType="end"/>
      </w:r>
    </w:p>
    <w:p w14:paraId="05F41B5A">
      <w:pPr>
        <w:pStyle w:val="7"/>
        <w:tabs>
          <w:tab w:val="right" w:leader="dot" w:pos="8306"/>
        </w:tabs>
      </w:pPr>
      <w:r>
        <w:fldChar w:fldCharType="begin"/>
      </w:r>
      <w:r>
        <w:instrText xml:space="preserve"> HYPERLINK \l _Toc21094 </w:instrText>
      </w:r>
      <w:r>
        <w:fldChar w:fldCharType="separate"/>
      </w:r>
      <w:r>
        <w:rPr>
          <w:rFonts w:hint="default" w:cs="Times New Roman"/>
          <w:lang w:val="en-US" w:eastAsia="zh-CN"/>
        </w:rPr>
        <w:t>九、竞赛样题</w:t>
      </w:r>
      <w:r>
        <w:tab/>
      </w:r>
      <w:r>
        <w:fldChar w:fldCharType="begin"/>
      </w:r>
      <w:r>
        <w:instrText xml:space="preserve"> PAGEREF _Toc21094 \h </w:instrText>
      </w:r>
      <w:r>
        <w:fldChar w:fldCharType="separate"/>
      </w:r>
      <w:r>
        <w:t>10</w:t>
      </w:r>
      <w:r>
        <w:fldChar w:fldCharType="end"/>
      </w:r>
      <w:r>
        <w:fldChar w:fldCharType="end"/>
      </w:r>
    </w:p>
    <w:p w14:paraId="1B70EC4B">
      <w:pPr>
        <w:pStyle w:val="8"/>
        <w:tabs>
          <w:tab w:val="right" w:leader="dot" w:pos="8306"/>
        </w:tabs>
      </w:pPr>
      <w:r>
        <w:fldChar w:fldCharType="begin"/>
      </w:r>
      <w:r>
        <w:instrText xml:space="preserve"> HYPERLINK \l _Toc20347 </w:instrText>
      </w:r>
      <w:r>
        <w:fldChar w:fldCharType="separate"/>
      </w:r>
      <w:r>
        <w:rPr>
          <w:rFonts w:ascii="Times New Roman" w:hAnsi="Times New Roman" w:eastAsia="楷体_GB2312"/>
          <w:bCs/>
          <w:szCs w:val="32"/>
        </w:rPr>
        <w:t>（一）赛卷设计原则</w:t>
      </w:r>
      <w:r>
        <w:tab/>
      </w:r>
      <w:r>
        <w:fldChar w:fldCharType="begin"/>
      </w:r>
      <w:r>
        <w:instrText xml:space="preserve"> PAGEREF _Toc20347 \h </w:instrText>
      </w:r>
      <w:r>
        <w:fldChar w:fldCharType="separate"/>
      </w:r>
      <w:r>
        <w:t>10</w:t>
      </w:r>
      <w:r>
        <w:fldChar w:fldCharType="end"/>
      </w:r>
      <w:r>
        <w:fldChar w:fldCharType="end"/>
      </w:r>
    </w:p>
    <w:p w14:paraId="0E2E31CA">
      <w:pPr>
        <w:pStyle w:val="8"/>
        <w:tabs>
          <w:tab w:val="right" w:leader="dot" w:pos="8306"/>
        </w:tabs>
      </w:pPr>
      <w:r>
        <w:fldChar w:fldCharType="begin"/>
      </w:r>
      <w:r>
        <w:instrText xml:space="preserve"> HYPERLINK \l _Toc3795 </w:instrText>
      </w:r>
      <w:r>
        <w:fldChar w:fldCharType="separate"/>
      </w:r>
      <w:r>
        <w:rPr>
          <w:rFonts w:ascii="Times New Roman" w:hAnsi="Times New Roman" w:eastAsia="楷体_GB2312"/>
          <w:bCs/>
          <w:szCs w:val="32"/>
        </w:rPr>
        <w:t>（二）赛题的建立</w:t>
      </w:r>
      <w:r>
        <w:tab/>
      </w:r>
      <w:r>
        <w:fldChar w:fldCharType="begin"/>
      </w:r>
      <w:r>
        <w:instrText xml:space="preserve"> PAGEREF _Toc3795 \h </w:instrText>
      </w:r>
      <w:r>
        <w:fldChar w:fldCharType="separate"/>
      </w:r>
      <w:r>
        <w:t>10</w:t>
      </w:r>
      <w:r>
        <w:fldChar w:fldCharType="end"/>
      </w:r>
      <w:r>
        <w:fldChar w:fldCharType="end"/>
      </w:r>
    </w:p>
    <w:p w14:paraId="67D604FC">
      <w:pPr>
        <w:pStyle w:val="7"/>
        <w:tabs>
          <w:tab w:val="right" w:leader="dot" w:pos="8306"/>
        </w:tabs>
      </w:pPr>
      <w:r>
        <w:fldChar w:fldCharType="begin"/>
      </w:r>
      <w:r>
        <w:instrText xml:space="preserve"> HYPERLINK \l _Toc20022 </w:instrText>
      </w:r>
      <w:r>
        <w:fldChar w:fldCharType="separate"/>
      </w:r>
      <w:r>
        <w:rPr>
          <w:rFonts w:hint="default" w:cs="Times New Roman"/>
          <w:lang w:val="en-US" w:eastAsia="zh-CN"/>
        </w:rPr>
        <w:t>十、成绩评定</w:t>
      </w:r>
      <w:r>
        <w:tab/>
      </w:r>
      <w:r>
        <w:fldChar w:fldCharType="begin"/>
      </w:r>
      <w:r>
        <w:instrText xml:space="preserve"> PAGEREF _Toc20022 \h </w:instrText>
      </w:r>
      <w:r>
        <w:fldChar w:fldCharType="separate"/>
      </w:r>
      <w:r>
        <w:t>10</w:t>
      </w:r>
      <w:r>
        <w:fldChar w:fldCharType="end"/>
      </w:r>
      <w:r>
        <w:fldChar w:fldCharType="end"/>
      </w:r>
    </w:p>
    <w:p w14:paraId="3D2F5F13">
      <w:pPr>
        <w:pStyle w:val="8"/>
        <w:tabs>
          <w:tab w:val="right" w:leader="dot" w:pos="8306"/>
        </w:tabs>
      </w:pPr>
      <w:r>
        <w:fldChar w:fldCharType="begin"/>
      </w:r>
      <w:r>
        <w:instrText xml:space="preserve"> HYPERLINK \l _Toc29751 </w:instrText>
      </w:r>
      <w:r>
        <w:fldChar w:fldCharType="separate"/>
      </w:r>
      <w:r>
        <w:rPr>
          <w:rFonts w:ascii="Times New Roman" w:hAnsi="Times New Roman" w:eastAsia="楷体_GB2312"/>
          <w:bCs/>
          <w:szCs w:val="32"/>
        </w:rPr>
        <w:t>（一）评分标准</w:t>
      </w:r>
      <w:r>
        <w:tab/>
      </w:r>
      <w:r>
        <w:fldChar w:fldCharType="begin"/>
      </w:r>
      <w:r>
        <w:instrText xml:space="preserve"> PAGEREF _Toc29751 \h </w:instrText>
      </w:r>
      <w:r>
        <w:fldChar w:fldCharType="separate"/>
      </w:r>
      <w:r>
        <w:t>10</w:t>
      </w:r>
      <w:r>
        <w:fldChar w:fldCharType="end"/>
      </w:r>
      <w:r>
        <w:fldChar w:fldCharType="end"/>
      </w:r>
    </w:p>
    <w:p w14:paraId="69392F16">
      <w:pPr>
        <w:pStyle w:val="8"/>
        <w:tabs>
          <w:tab w:val="right" w:leader="dot" w:pos="8306"/>
        </w:tabs>
      </w:pPr>
      <w:r>
        <w:fldChar w:fldCharType="begin"/>
      </w:r>
      <w:r>
        <w:instrText xml:space="preserve"> HYPERLINK \l _Toc100 </w:instrText>
      </w:r>
      <w:r>
        <w:fldChar w:fldCharType="separate"/>
      </w:r>
      <w:r>
        <w:rPr>
          <w:rFonts w:ascii="Times New Roman" w:hAnsi="Times New Roman" w:eastAsia="楷体_GB2312"/>
          <w:bCs/>
          <w:szCs w:val="32"/>
        </w:rPr>
        <w:t>（二）评分阅卷</w:t>
      </w:r>
      <w:r>
        <w:tab/>
      </w:r>
      <w:r>
        <w:fldChar w:fldCharType="begin"/>
      </w:r>
      <w:r>
        <w:instrText xml:space="preserve"> PAGEREF _Toc100 \h </w:instrText>
      </w:r>
      <w:r>
        <w:fldChar w:fldCharType="separate"/>
      </w:r>
      <w:r>
        <w:t>10</w:t>
      </w:r>
      <w:r>
        <w:fldChar w:fldCharType="end"/>
      </w:r>
      <w:r>
        <w:fldChar w:fldCharType="end"/>
      </w:r>
    </w:p>
    <w:p w14:paraId="5121AE7E">
      <w:pPr>
        <w:pStyle w:val="8"/>
        <w:tabs>
          <w:tab w:val="right" w:leader="dot" w:pos="8306"/>
        </w:tabs>
      </w:pPr>
      <w:r>
        <w:fldChar w:fldCharType="begin"/>
      </w:r>
      <w:r>
        <w:instrText xml:space="preserve"> HYPERLINK \l _Toc8513 </w:instrText>
      </w:r>
      <w:r>
        <w:fldChar w:fldCharType="separate"/>
      </w:r>
      <w:r>
        <w:rPr>
          <w:rFonts w:ascii="Times New Roman" w:hAnsi="Times New Roman" w:eastAsia="楷体_GB2312"/>
          <w:bCs/>
          <w:szCs w:val="32"/>
        </w:rPr>
        <w:t>（三）成绩产生</w:t>
      </w:r>
      <w:r>
        <w:tab/>
      </w:r>
      <w:r>
        <w:fldChar w:fldCharType="begin"/>
      </w:r>
      <w:r>
        <w:instrText xml:space="preserve"> PAGEREF _Toc8513 \h </w:instrText>
      </w:r>
      <w:r>
        <w:fldChar w:fldCharType="separate"/>
      </w:r>
      <w:r>
        <w:t>12</w:t>
      </w:r>
      <w:r>
        <w:fldChar w:fldCharType="end"/>
      </w:r>
      <w:r>
        <w:fldChar w:fldCharType="end"/>
      </w:r>
    </w:p>
    <w:p w14:paraId="010623BC">
      <w:pPr>
        <w:pStyle w:val="8"/>
        <w:tabs>
          <w:tab w:val="right" w:leader="dot" w:pos="8306"/>
        </w:tabs>
      </w:pPr>
      <w:r>
        <w:fldChar w:fldCharType="begin"/>
      </w:r>
      <w:r>
        <w:instrText xml:space="preserve"> HYPERLINK \l _Toc28339 </w:instrText>
      </w:r>
      <w:r>
        <w:fldChar w:fldCharType="separate"/>
      </w:r>
      <w:r>
        <w:rPr>
          <w:rFonts w:ascii="Times New Roman" w:hAnsi="Times New Roman" w:eastAsia="楷体_GB2312"/>
          <w:bCs/>
          <w:szCs w:val="32"/>
        </w:rPr>
        <w:t>（四）成绩公布</w:t>
      </w:r>
      <w:r>
        <w:tab/>
      </w:r>
      <w:r>
        <w:fldChar w:fldCharType="begin"/>
      </w:r>
      <w:r>
        <w:instrText xml:space="preserve"> PAGEREF _Toc28339 \h </w:instrText>
      </w:r>
      <w:r>
        <w:fldChar w:fldCharType="separate"/>
      </w:r>
      <w:r>
        <w:t>12</w:t>
      </w:r>
      <w:r>
        <w:fldChar w:fldCharType="end"/>
      </w:r>
      <w:r>
        <w:fldChar w:fldCharType="end"/>
      </w:r>
    </w:p>
    <w:p w14:paraId="358F814D">
      <w:pPr>
        <w:pStyle w:val="8"/>
        <w:tabs>
          <w:tab w:val="right" w:leader="dot" w:pos="8306"/>
        </w:tabs>
      </w:pPr>
      <w:r>
        <w:fldChar w:fldCharType="begin"/>
      </w:r>
      <w:r>
        <w:instrText xml:space="preserve"> HYPERLINK \l _Toc13744 </w:instrText>
      </w:r>
      <w:r>
        <w:fldChar w:fldCharType="separate"/>
      </w:r>
      <w:r>
        <w:rPr>
          <w:rFonts w:hint="eastAsia" w:ascii="Times New Roman" w:hAnsi="Times New Roman" w:eastAsia="楷体_GB2312" w:cs="Times New Roman"/>
          <w:bCs/>
          <w:szCs w:val="32"/>
          <w:lang w:eastAsia="zh-CN"/>
        </w:rPr>
        <w:t>（</w:t>
      </w:r>
      <w:r>
        <w:rPr>
          <w:rFonts w:hint="eastAsia" w:ascii="Times New Roman" w:hAnsi="Times New Roman" w:eastAsia="楷体_GB2312" w:cs="Times New Roman"/>
          <w:bCs/>
          <w:szCs w:val="32"/>
          <w:lang w:val="en-US" w:eastAsia="zh-CN"/>
        </w:rPr>
        <w:t>五</w:t>
      </w:r>
      <w:r>
        <w:rPr>
          <w:rFonts w:hint="eastAsia" w:ascii="Times New Roman" w:hAnsi="Times New Roman" w:eastAsia="楷体_GB2312" w:cs="Times New Roman"/>
          <w:bCs/>
          <w:szCs w:val="32"/>
          <w:lang w:eastAsia="zh-CN"/>
        </w:rPr>
        <w:t>）</w:t>
      </w:r>
      <w:r>
        <w:rPr>
          <w:rFonts w:ascii="Times New Roman" w:hAnsi="Times New Roman" w:eastAsia="楷体_GB2312" w:cs="Times New Roman"/>
          <w:bCs/>
          <w:szCs w:val="32"/>
        </w:rPr>
        <w:t>奖项设置</w:t>
      </w:r>
      <w:r>
        <w:tab/>
      </w:r>
      <w:r>
        <w:fldChar w:fldCharType="begin"/>
      </w:r>
      <w:r>
        <w:instrText xml:space="preserve"> PAGEREF _Toc13744 \h </w:instrText>
      </w:r>
      <w:r>
        <w:fldChar w:fldCharType="separate"/>
      </w:r>
      <w:r>
        <w:t>12</w:t>
      </w:r>
      <w:r>
        <w:fldChar w:fldCharType="end"/>
      </w:r>
      <w:r>
        <w:fldChar w:fldCharType="end"/>
      </w:r>
    </w:p>
    <w:p w14:paraId="11514971">
      <w:pPr>
        <w:pStyle w:val="7"/>
        <w:tabs>
          <w:tab w:val="right" w:leader="dot" w:pos="8306"/>
        </w:tabs>
      </w:pPr>
      <w:r>
        <w:fldChar w:fldCharType="begin"/>
      </w:r>
      <w:r>
        <w:instrText xml:space="preserve"> HYPERLINK \l _Toc21611 </w:instrText>
      </w:r>
      <w:r>
        <w:fldChar w:fldCharType="separate"/>
      </w:r>
      <w:r>
        <w:rPr>
          <w:rFonts w:hint="default" w:cs="Times New Roman"/>
          <w:lang w:val="en-US" w:eastAsia="zh-CN"/>
        </w:rPr>
        <w:t>十</w:t>
      </w:r>
      <w:r>
        <w:rPr>
          <w:rFonts w:hint="eastAsia" w:cs="Times New Roman"/>
          <w:lang w:val="en-US" w:eastAsia="zh-CN"/>
        </w:rPr>
        <w:t>一</w:t>
      </w:r>
      <w:r>
        <w:rPr>
          <w:rFonts w:hint="default" w:cs="Times New Roman"/>
          <w:lang w:val="en-US" w:eastAsia="zh-CN"/>
        </w:rPr>
        <w:t>、赛项预案</w:t>
      </w:r>
      <w:r>
        <w:tab/>
      </w:r>
      <w:r>
        <w:fldChar w:fldCharType="begin"/>
      </w:r>
      <w:r>
        <w:instrText xml:space="preserve"> PAGEREF _Toc21611 \h </w:instrText>
      </w:r>
      <w:r>
        <w:fldChar w:fldCharType="separate"/>
      </w:r>
      <w:r>
        <w:t>12</w:t>
      </w:r>
      <w:r>
        <w:fldChar w:fldCharType="end"/>
      </w:r>
      <w:r>
        <w:fldChar w:fldCharType="end"/>
      </w:r>
    </w:p>
    <w:p w14:paraId="235EA58A">
      <w:pPr>
        <w:pStyle w:val="8"/>
        <w:tabs>
          <w:tab w:val="right" w:leader="dot" w:pos="8306"/>
        </w:tabs>
      </w:pPr>
      <w:r>
        <w:fldChar w:fldCharType="begin"/>
      </w:r>
      <w:r>
        <w:instrText xml:space="preserve"> HYPERLINK \l _Toc22548 </w:instrText>
      </w:r>
      <w:r>
        <w:fldChar w:fldCharType="separate"/>
      </w:r>
      <w:r>
        <w:rPr>
          <w:rFonts w:ascii="Times New Roman" w:hAnsi="Times New Roman" w:eastAsia="楷体_GB2312"/>
          <w:bCs/>
          <w:szCs w:val="32"/>
        </w:rPr>
        <w:t>（一）化学试剂安全管理预案</w:t>
      </w:r>
      <w:r>
        <w:tab/>
      </w:r>
      <w:r>
        <w:fldChar w:fldCharType="begin"/>
      </w:r>
      <w:r>
        <w:instrText xml:space="preserve"> PAGEREF _Toc22548 \h </w:instrText>
      </w:r>
      <w:r>
        <w:fldChar w:fldCharType="separate"/>
      </w:r>
      <w:r>
        <w:t>12</w:t>
      </w:r>
      <w:r>
        <w:fldChar w:fldCharType="end"/>
      </w:r>
      <w:r>
        <w:fldChar w:fldCharType="end"/>
      </w:r>
    </w:p>
    <w:p w14:paraId="4C81F6A9">
      <w:pPr>
        <w:pStyle w:val="8"/>
        <w:tabs>
          <w:tab w:val="right" w:leader="dot" w:pos="8306"/>
        </w:tabs>
      </w:pPr>
      <w:r>
        <w:fldChar w:fldCharType="begin"/>
      </w:r>
      <w:r>
        <w:instrText xml:space="preserve"> HYPERLINK \l _Toc15548 </w:instrText>
      </w:r>
      <w:r>
        <w:fldChar w:fldCharType="separate"/>
      </w:r>
      <w:r>
        <w:rPr>
          <w:rFonts w:ascii="Times New Roman" w:hAnsi="Times New Roman" w:eastAsia="楷体_GB2312"/>
          <w:bCs/>
          <w:szCs w:val="32"/>
        </w:rPr>
        <w:t>（二）水、电保障应急预案</w:t>
      </w:r>
      <w:r>
        <w:tab/>
      </w:r>
      <w:r>
        <w:fldChar w:fldCharType="begin"/>
      </w:r>
      <w:r>
        <w:instrText xml:space="preserve"> PAGEREF _Toc15548 \h </w:instrText>
      </w:r>
      <w:r>
        <w:fldChar w:fldCharType="separate"/>
      </w:r>
      <w:r>
        <w:t>12</w:t>
      </w:r>
      <w:r>
        <w:fldChar w:fldCharType="end"/>
      </w:r>
      <w:r>
        <w:fldChar w:fldCharType="end"/>
      </w:r>
    </w:p>
    <w:p w14:paraId="334B0AF9">
      <w:pPr>
        <w:pStyle w:val="8"/>
        <w:tabs>
          <w:tab w:val="right" w:leader="dot" w:pos="8306"/>
        </w:tabs>
      </w:pPr>
      <w:r>
        <w:fldChar w:fldCharType="begin"/>
      </w:r>
      <w:r>
        <w:instrText xml:space="preserve"> HYPERLINK \l _Toc21069 </w:instrText>
      </w:r>
      <w:r>
        <w:fldChar w:fldCharType="separate"/>
      </w:r>
      <w:r>
        <w:rPr>
          <w:rFonts w:ascii="Times New Roman" w:hAnsi="Times New Roman" w:eastAsia="楷体_GB2312" w:cs="Times New Roman"/>
          <w:bCs/>
          <w:szCs w:val="32"/>
        </w:rPr>
        <w:t>（三）其它设备安全管理预案</w:t>
      </w:r>
      <w:r>
        <w:tab/>
      </w:r>
      <w:r>
        <w:fldChar w:fldCharType="begin"/>
      </w:r>
      <w:r>
        <w:instrText xml:space="preserve"> PAGEREF _Toc21069 \h </w:instrText>
      </w:r>
      <w:r>
        <w:fldChar w:fldCharType="separate"/>
      </w:r>
      <w:r>
        <w:t>13</w:t>
      </w:r>
      <w:r>
        <w:fldChar w:fldCharType="end"/>
      </w:r>
      <w:r>
        <w:fldChar w:fldCharType="end"/>
      </w:r>
    </w:p>
    <w:p w14:paraId="43520C20">
      <w:pPr>
        <w:pStyle w:val="8"/>
        <w:tabs>
          <w:tab w:val="right" w:leader="dot" w:pos="8306"/>
        </w:tabs>
      </w:pPr>
      <w:r>
        <w:fldChar w:fldCharType="begin"/>
      </w:r>
      <w:r>
        <w:instrText xml:space="preserve"> HYPERLINK \l _Toc20396 </w:instrText>
      </w:r>
      <w:r>
        <w:fldChar w:fldCharType="separate"/>
      </w:r>
      <w:r>
        <w:rPr>
          <w:rFonts w:ascii="Times New Roman" w:hAnsi="Times New Roman" w:eastAsia="楷体_GB2312" w:cs="Times New Roman"/>
          <w:bCs/>
          <w:szCs w:val="32"/>
        </w:rPr>
        <w:t>（四）医疗应急预案</w:t>
      </w:r>
      <w:r>
        <w:tab/>
      </w:r>
      <w:r>
        <w:fldChar w:fldCharType="begin"/>
      </w:r>
      <w:r>
        <w:instrText xml:space="preserve"> PAGEREF _Toc20396 \h </w:instrText>
      </w:r>
      <w:r>
        <w:fldChar w:fldCharType="separate"/>
      </w:r>
      <w:r>
        <w:t>13</w:t>
      </w:r>
      <w:r>
        <w:fldChar w:fldCharType="end"/>
      </w:r>
      <w:r>
        <w:fldChar w:fldCharType="end"/>
      </w:r>
    </w:p>
    <w:p w14:paraId="5ED01CCB">
      <w:pPr>
        <w:pStyle w:val="7"/>
        <w:tabs>
          <w:tab w:val="right" w:leader="dot" w:pos="8306"/>
        </w:tabs>
      </w:pPr>
      <w:r>
        <w:fldChar w:fldCharType="begin"/>
      </w:r>
      <w:r>
        <w:instrText xml:space="preserve"> HYPERLINK \l _Toc17228 </w:instrText>
      </w:r>
      <w:r>
        <w:fldChar w:fldCharType="separate"/>
      </w:r>
      <w:r>
        <w:rPr>
          <w:rFonts w:hint="default" w:cs="Times New Roman"/>
          <w:lang w:val="en-US" w:eastAsia="zh-CN"/>
        </w:rPr>
        <w:t>十</w:t>
      </w:r>
      <w:r>
        <w:rPr>
          <w:rFonts w:hint="eastAsia" w:cs="Times New Roman"/>
          <w:lang w:val="en-US" w:eastAsia="zh-CN"/>
        </w:rPr>
        <w:t>二</w:t>
      </w:r>
      <w:r>
        <w:rPr>
          <w:rFonts w:hint="default" w:cs="Times New Roman"/>
          <w:lang w:val="en-US" w:eastAsia="zh-CN"/>
        </w:rPr>
        <w:t>、赛项安全</w:t>
      </w:r>
      <w:r>
        <w:tab/>
      </w:r>
      <w:r>
        <w:fldChar w:fldCharType="begin"/>
      </w:r>
      <w:r>
        <w:instrText xml:space="preserve"> PAGEREF _Toc17228 \h </w:instrText>
      </w:r>
      <w:r>
        <w:fldChar w:fldCharType="separate"/>
      </w:r>
      <w:r>
        <w:t>13</w:t>
      </w:r>
      <w:r>
        <w:fldChar w:fldCharType="end"/>
      </w:r>
      <w:r>
        <w:fldChar w:fldCharType="end"/>
      </w:r>
    </w:p>
    <w:p w14:paraId="0D7319EC">
      <w:pPr>
        <w:pStyle w:val="8"/>
        <w:tabs>
          <w:tab w:val="right" w:leader="dot" w:pos="8306"/>
        </w:tabs>
      </w:pPr>
      <w:r>
        <w:fldChar w:fldCharType="begin"/>
      </w:r>
      <w:r>
        <w:instrText xml:space="preserve"> HYPERLINK \l _Toc29539 </w:instrText>
      </w:r>
      <w:r>
        <w:fldChar w:fldCharType="separate"/>
      </w:r>
      <w:r>
        <w:rPr>
          <w:rFonts w:ascii="Times New Roman" w:hAnsi="Times New Roman" w:eastAsia="楷体_GB2312"/>
          <w:bCs/>
          <w:szCs w:val="32"/>
        </w:rPr>
        <w:t>（一）安全操作</w:t>
      </w:r>
      <w:r>
        <w:tab/>
      </w:r>
      <w:r>
        <w:fldChar w:fldCharType="begin"/>
      </w:r>
      <w:r>
        <w:instrText xml:space="preserve"> PAGEREF _Toc29539 \h </w:instrText>
      </w:r>
      <w:r>
        <w:fldChar w:fldCharType="separate"/>
      </w:r>
      <w:r>
        <w:t>13</w:t>
      </w:r>
      <w:r>
        <w:fldChar w:fldCharType="end"/>
      </w:r>
      <w:r>
        <w:fldChar w:fldCharType="end"/>
      </w:r>
    </w:p>
    <w:p w14:paraId="2B14EC6B">
      <w:pPr>
        <w:pStyle w:val="8"/>
        <w:tabs>
          <w:tab w:val="right" w:leader="dot" w:pos="8306"/>
        </w:tabs>
      </w:pPr>
      <w:r>
        <w:fldChar w:fldCharType="begin"/>
      </w:r>
      <w:r>
        <w:instrText xml:space="preserve"> HYPERLINK \l _Toc6057 </w:instrText>
      </w:r>
      <w:r>
        <w:fldChar w:fldCharType="separate"/>
      </w:r>
      <w:r>
        <w:rPr>
          <w:rFonts w:ascii="Times New Roman" w:hAnsi="Times New Roman" w:eastAsia="楷体_GB2312"/>
          <w:bCs/>
          <w:szCs w:val="32"/>
        </w:rPr>
        <w:t>（二）赛场安全保障</w:t>
      </w:r>
      <w:r>
        <w:tab/>
      </w:r>
      <w:r>
        <w:fldChar w:fldCharType="begin"/>
      </w:r>
      <w:r>
        <w:instrText xml:space="preserve"> PAGEREF _Toc6057 \h </w:instrText>
      </w:r>
      <w:r>
        <w:fldChar w:fldCharType="separate"/>
      </w:r>
      <w:r>
        <w:t>14</w:t>
      </w:r>
      <w:r>
        <w:fldChar w:fldCharType="end"/>
      </w:r>
      <w:r>
        <w:fldChar w:fldCharType="end"/>
      </w:r>
    </w:p>
    <w:p w14:paraId="751B50EC">
      <w:pPr>
        <w:pStyle w:val="8"/>
        <w:tabs>
          <w:tab w:val="right" w:leader="dot" w:pos="8306"/>
        </w:tabs>
      </w:pPr>
      <w:r>
        <w:fldChar w:fldCharType="begin"/>
      </w:r>
      <w:r>
        <w:instrText xml:space="preserve"> HYPERLINK \l _Toc19683 </w:instrText>
      </w:r>
      <w:r>
        <w:fldChar w:fldCharType="separate"/>
      </w:r>
      <w:r>
        <w:rPr>
          <w:rFonts w:ascii="Times New Roman" w:hAnsi="Times New Roman" w:eastAsia="楷体_GB2312"/>
          <w:bCs/>
          <w:szCs w:val="32"/>
        </w:rPr>
        <w:t>（三）安保工作要求</w:t>
      </w:r>
      <w:r>
        <w:tab/>
      </w:r>
      <w:r>
        <w:fldChar w:fldCharType="begin"/>
      </w:r>
      <w:r>
        <w:instrText xml:space="preserve"> PAGEREF _Toc19683 \h </w:instrText>
      </w:r>
      <w:r>
        <w:fldChar w:fldCharType="separate"/>
      </w:r>
      <w:r>
        <w:t>14</w:t>
      </w:r>
      <w:r>
        <w:fldChar w:fldCharType="end"/>
      </w:r>
      <w:r>
        <w:fldChar w:fldCharType="end"/>
      </w:r>
    </w:p>
    <w:p w14:paraId="2822CEA0">
      <w:pPr>
        <w:pStyle w:val="7"/>
        <w:tabs>
          <w:tab w:val="right" w:leader="dot" w:pos="8306"/>
        </w:tabs>
      </w:pPr>
      <w:r>
        <w:fldChar w:fldCharType="begin"/>
      </w:r>
      <w:r>
        <w:instrText xml:space="preserve"> HYPERLINK \l _Toc18434 </w:instrText>
      </w:r>
      <w:r>
        <w:fldChar w:fldCharType="separate"/>
      </w:r>
      <w:r>
        <w:rPr>
          <w:rFonts w:hint="default" w:cs="Times New Roman"/>
          <w:lang w:val="en-US" w:eastAsia="zh-CN"/>
        </w:rPr>
        <w:t>十</w:t>
      </w:r>
      <w:r>
        <w:rPr>
          <w:rFonts w:hint="eastAsia" w:cs="Times New Roman"/>
          <w:lang w:val="en-US" w:eastAsia="zh-CN"/>
        </w:rPr>
        <w:t>三</w:t>
      </w:r>
      <w:r>
        <w:rPr>
          <w:rFonts w:hint="default" w:cs="Times New Roman"/>
          <w:lang w:val="en-US" w:eastAsia="zh-CN"/>
        </w:rPr>
        <w:t>、竞赛须知</w:t>
      </w:r>
      <w:r>
        <w:tab/>
      </w:r>
      <w:r>
        <w:fldChar w:fldCharType="begin"/>
      </w:r>
      <w:r>
        <w:instrText xml:space="preserve"> PAGEREF _Toc18434 \h </w:instrText>
      </w:r>
      <w:r>
        <w:fldChar w:fldCharType="separate"/>
      </w:r>
      <w:r>
        <w:t>14</w:t>
      </w:r>
      <w:r>
        <w:fldChar w:fldCharType="end"/>
      </w:r>
      <w:r>
        <w:fldChar w:fldCharType="end"/>
      </w:r>
    </w:p>
    <w:p w14:paraId="164075E8">
      <w:pPr>
        <w:pStyle w:val="8"/>
        <w:tabs>
          <w:tab w:val="right" w:leader="dot" w:pos="8306"/>
        </w:tabs>
      </w:pPr>
      <w:r>
        <w:fldChar w:fldCharType="begin"/>
      </w:r>
      <w:r>
        <w:instrText xml:space="preserve"> HYPERLINK \l _Toc17262 </w:instrText>
      </w:r>
      <w:r>
        <w:fldChar w:fldCharType="separate"/>
      </w:r>
      <w:r>
        <w:rPr>
          <w:rFonts w:ascii="Times New Roman" w:hAnsi="Times New Roman" w:eastAsia="楷体_GB2312"/>
          <w:bCs/>
          <w:szCs w:val="32"/>
        </w:rPr>
        <w:t>（一）参赛队须知</w:t>
      </w:r>
      <w:r>
        <w:tab/>
      </w:r>
      <w:r>
        <w:fldChar w:fldCharType="begin"/>
      </w:r>
      <w:r>
        <w:instrText xml:space="preserve"> PAGEREF _Toc17262 \h </w:instrText>
      </w:r>
      <w:r>
        <w:fldChar w:fldCharType="separate"/>
      </w:r>
      <w:r>
        <w:t>14</w:t>
      </w:r>
      <w:r>
        <w:fldChar w:fldCharType="end"/>
      </w:r>
      <w:r>
        <w:fldChar w:fldCharType="end"/>
      </w:r>
    </w:p>
    <w:p w14:paraId="0335BADE">
      <w:pPr>
        <w:pStyle w:val="8"/>
        <w:tabs>
          <w:tab w:val="right" w:leader="dot" w:pos="8306"/>
        </w:tabs>
      </w:pPr>
      <w:r>
        <w:fldChar w:fldCharType="begin"/>
      </w:r>
      <w:r>
        <w:instrText xml:space="preserve"> HYPERLINK \l _Toc4932 </w:instrText>
      </w:r>
      <w:r>
        <w:fldChar w:fldCharType="separate"/>
      </w:r>
      <w:r>
        <w:rPr>
          <w:rFonts w:ascii="Times New Roman" w:hAnsi="Times New Roman" w:eastAsia="楷体_GB2312"/>
          <w:bCs/>
          <w:szCs w:val="32"/>
        </w:rPr>
        <w:t>（二）选手须知</w:t>
      </w:r>
      <w:r>
        <w:tab/>
      </w:r>
      <w:r>
        <w:fldChar w:fldCharType="begin"/>
      </w:r>
      <w:r>
        <w:instrText xml:space="preserve"> PAGEREF _Toc4932 \h </w:instrText>
      </w:r>
      <w:r>
        <w:fldChar w:fldCharType="separate"/>
      </w:r>
      <w:r>
        <w:t>15</w:t>
      </w:r>
      <w:r>
        <w:fldChar w:fldCharType="end"/>
      </w:r>
      <w:r>
        <w:fldChar w:fldCharType="end"/>
      </w:r>
    </w:p>
    <w:p w14:paraId="3AB49ABE">
      <w:pPr>
        <w:pStyle w:val="8"/>
        <w:tabs>
          <w:tab w:val="right" w:leader="dot" w:pos="8306"/>
        </w:tabs>
      </w:pPr>
      <w:r>
        <w:fldChar w:fldCharType="begin"/>
      </w:r>
      <w:r>
        <w:instrText xml:space="preserve"> HYPERLINK \l _Toc1060 </w:instrText>
      </w:r>
      <w:r>
        <w:fldChar w:fldCharType="separate"/>
      </w:r>
      <w:r>
        <w:rPr>
          <w:rFonts w:ascii="Times New Roman" w:hAnsi="Times New Roman" w:eastAsia="楷体_GB2312"/>
          <w:bCs/>
          <w:szCs w:val="32"/>
        </w:rPr>
        <w:t>（三）</w:t>
      </w:r>
      <w:r>
        <w:rPr>
          <w:rFonts w:hint="eastAsia" w:ascii="Times New Roman" w:hAnsi="Times New Roman" w:eastAsia="楷体_GB2312"/>
          <w:bCs/>
          <w:szCs w:val="32"/>
          <w:lang w:val="en-US" w:eastAsia="zh-CN"/>
        </w:rPr>
        <w:t>指导教师</w:t>
      </w:r>
      <w:r>
        <w:rPr>
          <w:rFonts w:ascii="Times New Roman" w:hAnsi="Times New Roman" w:eastAsia="楷体_GB2312"/>
          <w:bCs/>
          <w:szCs w:val="32"/>
        </w:rPr>
        <w:t>须知</w:t>
      </w:r>
      <w:r>
        <w:tab/>
      </w:r>
      <w:r>
        <w:fldChar w:fldCharType="begin"/>
      </w:r>
      <w:r>
        <w:instrText xml:space="preserve"> PAGEREF _Toc1060 \h </w:instrText>
      </w:r>
      <w:r>
        <w:fldChar w:fldCharType="separate"/>
      </w:r>
      <w:r>
        <w:t>16</w:t>
      </w:r>
      <w:r>
        <w:fldChar w:fldCharType="end"/>
      </w:r>
      <w:r>
        <w:fldChar w:fldCharType="end"/>
      </w:r>
    </w:p>
    <w:p w14:paraId="6CD0C9E9">
      <w:pPr>
        <w:pStyle w:val="8"/>
        <w:tabs>
          <w:tab w:val="right" w:leader="dot" w:pos="8306"/>
        </w:tabs>
      </w:pPr>
      <w:r>
        <w:fldChar w:fldCharType="begin"/>
      </w:r>
      <w:r>
        <w:instrText xml:space="preserve"> HYPERLINK \l _Toc23628 </w:instrText>
      </w:r>
      <w:r>
        <w:fldChar w:fldCharType="separate"/>
      </w:r>
      <w:r>
        <w:rPr>
          <w:rFonts w:ascii="Times New Roman" w:hAnsi="Times New Roman" w:eastAsia="楷体_GB2312"/>
          <w:bCs/>
          <w:szCs w:val="32"/>
        </w:rPr>
        <w:t>（四）工作人员须知</w:t>
      </w:r>
      <w:r>
        <w:tab/>
      </w:r>
      <w:r>
        <w:fldChar w:fldCharType="begin"/>
      </w:r>
      <w:r>
        <w:instrText xml:space="preserve"> PAGEREF _Toc23628 \h </w:instrText>
      </w:r>
      <w:r>
        <w:fldChar w:fldCharType="separate"/>
      </w:r>
      <w:r>
        <w:t>16</w:t>
      </w:r>
      <w:r>
        <w:fldChar w:fldCharType="end"/>
      </w:r>
      <w:r>
        <w:fldChar w:fldCharType="end"/>
      </w:r>
    </w:p>
    <w:p w14:paraId="6EEE3FD0">
      <w:pPr>
        <w:pStyle w:val="7"/>
        <w:tabs>
          <w:tab w:val="right" w:leader="dot" w:pos="8306"/>
        </w:tabs>
      </w:pPr>
      <w:r>
        <w:fldChar w:fldCharType="begin"/>
      </w:r>
      <w:r>
        <w:instrText xml:space="preserve"> HYPERLINK \l _Toc12202 </w:instrText>
      </w:r>
      <w:r>
        <w:fldChar w:fldCharType="separate"/>
      </w:r>
      <w:r>
        <w:rPr>
          <w:rFonts w:hint="default" w:cs="Times New Roman"/>
          <w:lang w:val="en-US" w:eastAsia="zh-CN"/>
        </w:rPr>
        <w:t>十</w:t>
      </w:r>
      <w:r>
        <w:rPr>
          <w:rFonts w:hint="eastAsia" w:cs="Times New Roman"/>
          <w:lang w:val="en-US" w:eastAsia="zh-CN"/>
        </w:rPr>
        <w:t>四</w:t>
      </w:r>
      <w:r>
        <w:rPr>
          <w:rFonts w:hint="default" w:cs="Times New Roman"/>
          <w:lang w:val="en-US" w:eastAsia="zh-CN"/>
        </w:rPr>
        <w:t>、申诉与仲裁</w:t>
      </w:r>
      <w:r>
        <w:tab/>
      </w:r>
      <w:r>
        <w:fldChar w:fldCharType="begin"/>
      </w:r>
      <w:r>
        <w:instrText xml:space="preserve"> PAGEREF _Toc12202 \h </w:instrText>
      </w:r>
      <w:r>
        <w:fldChar w:fldCharType="separate"/>
      </w:r>
      <w:r>
        <w:t>17</w:t>
      </w:r>
      <w:r>
        <w:fldChar w:fldCharType="end"/>
      </w:r>
      <w:r>
        <w:fldChar w:fldCharType="end"/>
      </w:r>
    </w:p>
    <w:p w14:paraId="6E98D5A6">
      <w:pPr>
        <w:pStyle w:val="7"/>
        <w:tabs>
          <w:tab w:val="right" w:leader="dot" w:pos="8306"/>
        </w:tabs>
      </w:pPr>
      <w:r>
        <w:fldChar w:fldCharType="begin"/>
      </w:r>
      <w:r>
        <w:instrText xml:space="preserve"> HYPERLINK \l _Toc19843 </w:instrText>
      </w:r>
      <w:r>
        <w:fldChar w:fldCharType="separate"/>
      </w:r>
      <w:r>
        <w:rPr>
          <w:rFonts w:hint="default" w:cs="Times New Roman"/>
          <w:lang w:val="en-US" w:eastAsia="zh-CN"/>
        </w:rPr>
        <w:t>十</w:t>
      </w:r>
      <w:r>
        <w:rPr>
          <w:rFonts w:hint="eastAsia" w:cs="Times New Roman"/>
          <w:lang w:val="en-US" w:eastAsia="zh-CN"/>
        </w:rPr>
        <w:t>五</w:t>
      </w:r>
      <w:r>
        <w:rPr>
          <w:rFonts w:hint="default" w:cs="Times New Roman"/>
          <w:lang w:val="en-US" w:eastAsia="zh-CN"/>
        </w:rPr>
        <w:t>、竞赛观摩</w:t>
      </w:r>
      <w:r>
        <w:tab/>
      </w:r>
      <w:r>
        <w:fldChar w:fldCharType="begin"/>
      </w:r>
      <w:r>
        <w:instrText xml:space="preserve"> PAGEREF _Toc19843 \h </w:instrText>
      </w:r>
      <w:r>
        <w:fldChar w:fldCharType="separate"/>
      </w:r>
      <w:r>
        <w:t>17</w:t>
      </w:r>
      <w:r>
        <w:fldChar w:fldCharType="end"/>
      </w:r>
      <w:r>
        <w:fldChar w:fldCharType="end"/>
      </w:r>
    </w:p>
    <w:p w14:paraId="513CEB5A">
      <w:pPr>
        <w:pStyle w:val="4"/>
        <w:outlineLvl w:val="9"/>
      </w:pPr>
      <w:r>
        <w:fldChar w:fldCharType="end"/>
      </w:r>
    </w:p>
    <w:p w14:paraId="34B8C2C1">
      <w:pPr>
        <w:pStyle w:val="4"/>
        <w:outlineLvl w:val="9"/>
      </w:pPr>
    </w:p>
    <w:p w14:paraId="659D53F0">
      <w:pPr>
        <w:pStyle w:val="4"/>
      </w:pPr>
    </w:p>
    <w:p w14:paraId="0F7CFF93">
      <w:pPr>
        <w:pStyle w:val="4"/>
      </w:pPr>
    </w:p>
    <w:p w14:paraId="4779E2B9">
      <w:pPr>
        <w:pStyle w:val="4"/>
      </w:pPr>
    </w:p>
    <w:p w14:paraId="063C870A">
      <w:pPr>
        <w:pStyle w:val="4"/>
      </w:pPr>
    </w:p>
    <w:p w14:paraId="25E235A7">
      <w:pPr>
        <w:pStyle w:val="4"/>
      </w:pPr>
    </w:p>
    <w:p w14:paraId="5ACBED74">
      <w:pPr>
        <w:pStyle w:val="4"/>
      </w:pPr>
    </w:p>
    <w:p w14:paraId="57F8B7AC">
      <w:pPr>
        <w:pStyle w:val="4"/>
      </w:pPr>
    </w:p>
    <w:p w14:paraId="4B239B03">
      <w:pPr>
        <w:pStyle w:val="4"/>
      </w:pPr>
    </w:p>
    <w:p w14:paraId="6A797FAF">
      <w:pPr>
        <w:pStyle w:val="4"/>
      </w:pPr>
    </w:p>
    <w:p w14:paraId="3A40A743">
      <w:pPr>
        <w:pStyle w:val="4"/>
      </w:pPr>
    </w:p>
    <w:p w14:paraId="408B52BF">
      <w:pPr>
        <w:pStyle w:val="4"/>
      </w:pPr>
    </w:p>
    <w:p w14:paraId="29CDCBD6">
      <w:pPr>
        <w:pStyle w:val="4"/>
      </w:pPr>
    </w:p>
    <w:p w14:paraId="78BDE4FE">
      <w:pPr>
        <w:pStyle w:val="4"/>
      </w:pPr>
    </w:p>
    <w:p w14:paraId="066629D6">
      <w:pPr>
        <w:pStyle w:val="4"/>
      </w:pPr>
    </w:p>
    <w:p w14:paraId="31BF2C1C">
      <w:pPr>
        <w:pStyle w:val="4"/>
      </w:pPr>
    </w:p>
    <w:p w14:paraId="6ABF9B29">
      <w:pPr>
        <w:pStyle w:val="4"/>
      </w:pPr>
    </w:p>
    <w:p w14:paraId="43BC93B3">
      <w:pPr>
        <w:pStyle w:val="4"/>
      </w:pPr>
    </w:p>
    <w:p w14:paraId="60895E89">
      <w:pPr>
        <w:pStyle w:val="4"/>
      </w:pPr>
    </w:p>
    <w:p w14:paraId="77F22CDC">
      <w:pPr>
        <w:pStyle w:val="4"/>
      </w:pPr>
    </w:p>
    <w:p w14:paraId="588E85C4">
      <w:pPr>
        <w:pStyle w:val="4"/>
      </w:pPr>
    </w:p>
    <w:p w14:paraId="6B0CDBDB">
      <w:pPr>
        <w:pStyle w:val="4"/>
        <w:sectPr>
          <w:footerReference r:id="rId4" w:type="default"/>
          <w:pgSz w:w="11906" w:h="16838"/>
          <w:pgMar w:top="2098" w:right="1474" w:bottom="1984" w:left="1587" w:header="851" w:footer="992" w:gutter="0"/>
          <w:pgNumType w:start="1"/>
          <w:cols w:space="720" w:num="1"/>
          <w:docGrid w:type="lines" w:linePitch="312" w:charSpace="0"/>
        </w:sectPr>
      </w:pPr>
    </w:p>
    <w:p w14:paraId="5A4FAC79">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eastAsia" w:ascii="Times New Roman" w:hAnsi="Times New Roman" w:eastAsia="黑体"/>
          <w:sz w:val="28"/>
          <w:szCs w:val="28"/>
          <w:lang w:val="en-US" w:eastAsia="zh-CN"/>
        </w:rPr>
      </w:pPr>
      <w:bookmarkStart w:id="0" w:name="_Toc17655"/>
      <w:r>
        <w:rPr>
          <w:rFonts w:hint="eastAsia"/>
          <w:sz w:val="28"/>
          <w:szCs w:val="28"/>
          <w:lang w:val="en-US" w:eastAsia="zh-CN"/>
        </w:rPr>
        <w:t>一、赛项简介</w:t>
      </w:r>
      <w:bookmarkEnd w:id="0"/>
    </w:p>
    <w:p w14:paraId="13B7F90B">
      <w:pPr>
        <w:keepNext w:val="0"/>
        <w:keepLines w:val="0"/>
        <w:pageBreakBefore w:val="0"/>
        <w:widowControl w:val="0"/>
        <w:tabs>
          <w:tab w:val="left" w:pos="567"/>
        </w:tabs>
        <w:kinsoku/>
        <w:wordWrap/>
        <w:overflowPunct/>
        <w:topLinePunct w:val="0"/>
        <w:autoSpaceDE/>
        <w:autoSpaceDN/>
        <w:bidi w:val="0"/>
        <w:adjustRightInd/>
        <w:snapToGrid w:val="0"/>
        <w:spacing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赛项名称： </w:t>
      </w:r>
      <w:r>
        <w:rPr>
          <w:rFonts w:hint="eastAsia" w:ascii="仿宋_GB2312" w:hAnsi="仿宋_GB2312" w:eastAsia="仿宋_GB2312" w:cs="仿宋_GB2312"/>
          <w:kern w:val="2"/>
          <w:sz w:val="28"/>
          <w:szCs w:val="28"/>
          <w:lang w:val="en-US" w:eastAsia="zh-CN" w:bidi="ar-SA"/>
        </w:rPr>
        <w:t>化学实验技术</w:t>
      </w:r>
      <w:r>
        <w:rPr>
          <w:rFonts w:hint="eastAsia" w:ascii="仿宋_GB2312" w:hAnsi="仿宋_GB2312" w:eastAsia="仿宋_GB2312" w:cs="仿宋_GB2312"/>
          <w:sz w:val="28"/>
          <w:szCs w:val="28"/>
        </w:rPr>
        <w:t xml:space="preserve">                </w:t>
      </w:r>
    </w:p>
    <w:p w14:paraId="42B2E401">
      <w:pPr>
        <w:keepNext w:val="0"/>
        <w:keepLines w:val="0"/>
        <w:pageBreakBefore w:val="0"/>
        <w:widowControl w:val="0"/>
        <w:tabs>
          <w:tab w:val="left" w:pos="567"/>
        </w:tabs>
        <w:kinsoku/>
        <w:wordWrap/>
        <w:overflowPunct/>
        <w:topLinePunct w:val="0"/>
        <w:autoSpaceDE/>
        <w:autoSpaceDN/>
        <w:bidi w:val="0"/>
        <w:adjustRightInd/>
        <w:snapToGrid w:val="0"/>
        <w:spacing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赛项组别： </w:t>
      </w:r>
      <w:r>
        <w:rPr>
          <w:rFonts w:hint="eastAsia" w:ascii="仿宋_GB2312" w:hAnsi="仿宋_GB2312" w:eastAsia="仿宋_GB2312" w:cs="仿宋_GB2312"/>
          <w:kern w:val="2"/>
          <w:sz w:val="28"/>
          <w:szCs w:val="28"/>
          <w:lang w:val="en-US" w:eastAsia="zh-CN" w:bidi="ar-SA"/>
        </w:rPr>
        <w:t>高等职业教育</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w:t>
      </w:r>
    </w:p>
    <w:p w14:paraId="7728CB90">
      <w:pPr>
        <w:pStyle w:val="4"/>
        <w:keepNext w:val="0"/>
        <w:keepLines w:val="0"/>
        <w:pageBreakBefore w:val="0"/>
        <w:widowControl w:val="0"/>
        <w:kinsoku/>
        <w:wordWrap/>
        <w:overflowPunct/>
        <w:topLinePunct w:val="0"/>
        <w:autoSpaceDE/>
        <w:autoSpaceDN/>
        <w:bidi w:val="0"/>
        <w:adjustRightInd/>
        <w:spacing w:after="0" w:line="540" w:lineRule="exact"/>
        <w:ind w:firstLine="560" w:firstLineChars="200"/>
        <w:textAlignment w:val="auto"/>
        <w:rPr>
          <w:rFonts w:hint="eastAsia"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赛道组别： 化工技术                    </w:t>
      </w:r>
    </w:p>
    <w:p w14:paraId="13EC2C7D">
      <w:pPr>
        <w:pStyle w:val="4"/>
        <w:keepNext w:val="0"/>
        <w:keepLines w:val="0"/>
        <w:pageBreakBefore w:val="0"/>
        <w:widowControl w:val="0"/>
        <w:kinsoku/>
        <w:wordWrap/>
        <w:overflowPunct/>
        <w:topLinePunct w:val="0"/>
        <w:autoSpaceDE/>
        <w:autoSpaceDN/>
        <w:bidi w:val="0"/>
        <w:adjustRightInd/>
        <w:spacing w:after="0" w:line="540" w:lineRule="exact"/>
        <w:ind w:firstLine="560" w:firstLineChars="200"/>
        <w:textAlignment w:val="auto"/>
        <w:rPr>
          <w:rFonts w:hint="eastAsia" w:ascii="Times New Roman" w:hAnsi="Times New Roman"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 xml:space="preserve">对应职业标准： </w:t>
      </w:r>
      <w:r>
        <w:rPr>
          <w:rFonts w:hint="eastAsia" w:ascii="Times New Roman" w:hAnsi="Times New Roman" w:eastAsia="仿宋_GB2312" w:cs="仿宋_GB2312"/>
          <w:kern w:val="2"/>
          <w:sz w:val="28"/>
          <w:szCs w:val="28"/>
          <w:lang w:val="en-US" w:eastAsia="zh-CN" w:bidi="ar-SA"/>
        </w:rPr>
        <w:t>化学检验员（（6-31-03-01））</w:t>
      </w:r>
    </w:p>
    <w:p w14:paraId="4EDB2071">
      <w:pPr>
        <w:keepNext w:val="0"/>
        <w:keepLines w:val="0"/>
        <w:pageBreakBefore w:val="0"/>
        <w:widowControl w:val="0"/>
        <w:tabs>
          <w:tab w:val="left" w:pos="567"/>
        </w:tabs>
        <w:kinsoku/>
        <w:wordWrap/>
        <w:overflowPunct/>
        <w:topLinePunct w:val="0"/>
        <w:autoSpaceDE/>
        <w:autoSpaceDN/>
        <w:bidi w:val="0"/>
        <w:adjustRightInd/>
        <w:snapToGrid w:val="0"/>
        <w:spacing w:line="540" w:lineRule="exact"/>
        <w:ind w:firstLine="560" w:firstLineChars="200"/>
        <w:textAlignment w:val="auto"/>
        <w:rPr>
          <w:rFonts w:hint="eastAsia" w:ascii="楷体" w:hAnsi="楷体" w:eastAsia="楷体" w:cs="楷体"/>
          <w:sz w:val="32"/>
          <w:szCs w:val="32"/>
        </w:rPr>
      </w:pPr>
      <w:r>
        <w:rPr>
          <w:rFonts w:hint="eastAsia" w:ascii="仿宋_GB2312" w:hAnsi="仿宋_GB2312" w:eastAsia="仿宋_GB2312" w:cs="仿宋_GB2312"/>
          <w:kern w:val="2"/>
          <w:sz w:val="28"/>
          <w:szCs w:val="28"/>
          <w:lang w:val="en-US" w:eastAsia="zh-CN" w:bidi="ar-SA"/>
        </w:rPr>
        <w:t xml:space="preserve">赛项归属产业：生物与化工、轻工纺织、资源环境与安全、食品与粮食、医药卫生、专业技术服务业     </w:t>
      </w:r>
      <w:r>
        <w:rPr>
          <w:rFonts w:hint="eastAsia" w:ascii="楷体" w:hAnsi="楷体" w:eastAsia="楷体" w:cs="楷体"/>
          <w:kern w:val="2"/>
          <w:sz w:val="32"/>
          <w:szCs w:val="32"/>
          <w:lang w:val="en-US" w:eastAsia="zh-CN" w:bidi="ar-SA"/>
        </w:rPr>
        <w:t xml:space="preserve">     </w:t>
      </w:r>
    </w:p>
    <w:p w14:paraId="26474B88">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eastAsia" w:cs="Times New Roman"/>
          <w:b/>
          <w:sz w:val="28"/>
          <w:szCs w:val="28"/>
          <w:lang w:val="en-US" w:eastAsia="zh-CN"/>
        </w:rPr>
      </w:pPr>
      <w:bookmarkStart w:id="1" w:name="_Toc21457"/>
      <w:r>
        <w:rPr>
          <w:rFonts w:hint="eastAsia" w:cs="Times New Roman"/>
          <w:b/>
          <w:sz w:val="28"/>
          <w:szCs w:val="28"/>
          <w:lang w:val="en-US" w:eastAsia="zh-CN"/>
        </w:rPr>
        <w:t>二、竞赛目标</w:t>
      </w:r>
      <w:bookmarkEnd w:id="1"/>
    </w:p>
    <w:p w14:paraId="67FF239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化学实验技术是利用现代化学技术对各类天然或合成材料进行物理常数与化学性质验证、定性与定量分析、合成与制备的专门技术技能，是检验检测与认证认可服务业从业人员的关键技术技能。检验检测行业作为高技术服务业之一，是新材料、低碳环保、食品药品安全和化学品安全等国民经济重要领域的质量技术基础，是实现实体经济转型升级、技能强国、质量强国、实业兴国战略的关键所在。</w:t>
      </w:r>
    </w:p>
    <w:p w14:paraId="5C2C5119">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化学实验技术赛项服务“四新”（新技术、新产业、新业态、新模式）经济发展需求，坚持“以赛促教、以赛促学，以赛促研，以赛促改”，融入世界技能大赛QHSE理念，为现代制造业质量人才培养，检验检测服务业中检测现场工程师的培养，提供重要的实施路径。</w:t>
      </w:r>
    </w:p>
    <w:p w14:paraId="06324894">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仿宋_GB2312" w:hAnsi="仿宋_GB2312" w:eastAsia="仿宋_GB2312" w:cs="仿宋_GB2312"/>
          <w:sz w:val="28"/>
          <w:szCs w:val="28"/>
        </w:rPr>
      </w:pPr>
      <w:r>
        <w:rPr>
          <w:rFonts w:hint="eastAsia" w:ascii="Times New Roman" w:hAnsi="Times New Roman" w:eastAsia="仿宋_GB2312" w:cs="仿宋_GB2312"/>
          <w:sz w:val="28"/>
          <w:szCs w:val="28"/>
          <w:lang w:val="en-US" w:eastAsia="zh-CN"/>
        </w:rPr>
        <w:t>该赛项紧密对照《化学检验员（6-31-03-01）国家职业标准》，以真实的工作环境与条件为背景，检验选手独立地进行合成、质量控制、分析检测、制定实验室工作计划、记录工作过程和评价工作结果的技术技能水平与职业素养。积极营造崇尚“劳动光荣、技能伟大”的社会氛围，培育选手工匠精神。促进相关专业与产业对接，教学内容与职业标</w:t>
      </w:r>
      <w:r>
        <w:rPr>
          <w:rFonts w:hint="eastAsia" w:ascii="仿宋_GB2312" w:hAnsi="仿宋_GB2312" w:eastAsia="仿宋_GB2312" w:cs="仿宋_GB2312"/>
          <w:sz w:val="28"/>
          <w:szCs w:val="28"/>
        </w:rPr>
        <w:t>准对接，教学过程与生产过程对接，提升化学实验技术能力，引领高职院校专业建设与课程改革。通过竞赛，搭建产教融合平台，促进校企合作协同育人，实现行业资源、企业资源与教学资源的有机融合，引导分析检验类高素质技术技能人才的培养符合检验检测行业领域的技术应用趋势与方向。</w:t>
      </w:r>
    </w:p>
    <w:p w14:paraId="50F40FB0">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eastAsia" w:cs="Times New Roman"/>
          <w:b/>
          <w:sz w:val="28"/>
          <w:szCs w:val="28"/>
          <w:lang w:val="en-US" w:eastAsia="zh-CN"/>
        </w:rPr>
      </w:pPr>
      <w:bookmarkStart w:id="2" w:name="_Toc8239"/>
      <w:r>
        <w:rPr>
          <w:rFonts w:hint="eastAsia" w:cs="Times New Roman"/>
          <w:b/>
          <w:sz w:val="28"/>
          <w:szCs w:val="28"/>
          <w:lang w:val="en-US" w:eastAsia="zh-CN"/>
        </w:rPr>
        <w:t>三、竞赛内容</w:t>
      </w:r>
      <w:bookmarkEnd w:id="2"/>
    </w:p>
    <w:p w14:paraId="0DCE4161">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default" w:ascii="仿宋_GB2312" w:hAnsi="仿宋_GB2312" w:eastAsia="仿宋_GB2312" w:cs="仿宋_GB2312"/>
          <w:sz w:val="28"/>
          <w:szCs w:val="28"/>
          <w:lang w:val="en-US"/>
        </w:rPr>
      </w:pPr>
      <w:r>
        <w:rPr>
          <w:rFonts w:hint="eastAsia" w:ascii="Times New Roman" w:hAnsi="Times New Roman" w:eastAsia="仿宋_GB2312" w:cs="仿宋_GB2312"/>
          <w:sz w:val="28"/>
          <w:szCs w:val="28"/>
          <w:lang w:val="en-US" w:eastAsia="zh-CN"/>
        </w:rPr>
        <w:t>对照《化学检验员（6-31-03-01）国家职业标准》，对本赛项涉及的职业典型工作任务、职业综合能力要求和考核内容说明如下。</w:t>
      </w:r>
    </w:p>
    <w:p w14:paraId="70594C34">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b/>
          <w:bCs w:val="0"/>
          <w:sz w:val="28"/>
          <w:szCs w:val="28"/>
        </w:rPr>
      </w:pPr>
      <w:bookmarkStart w:id="3" w:name="_Toc10115"/>
      <w:r>
        <w:rPr>
          <w:rFonts w:hint="eastAsia" w:ascii="Times New Roman" w:hAnsi="Times New Roman" w:eastAsia="楷体_GB2312"/>
          <w:b/>
          <w:bCs w:val="0"/>
          <w:sz w:val="32"/>
          <w:szCs w:val="32"/>
        </w:rPr>
        <w:t>（一）职业典型工作任务</w:t>
      </w:r>
      <w:bookmarkEnd w:id="3"/>
    </w:p>
    <w:p w14:paraId="220CE6C6">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化学实验技术人员适于在企业质量控制、环保、研究开发等部门的化学实验室工作，相关职业主要包括《中华人民共和国职业分类大典（2022年版）》中化学检验员、农产品食品检验员、纤维检验员等。</w:t>
      </w:r>
    </w:p>
    <w:p w14:paraId="2F405938">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职业典型工作任务涵盖化学实验技术人员特定职能和整体角色的执行，涉及物质的定性分析、定量分析、制备和质量控制，典型工作任务具体可包括：样品采集与制备、物理常数和化学参数识别、无机物制备和有机物合成、定性及定量分析（滴定分析、电化学分析、光谱分析、色谱分析）、数据记录和分析、质量控制、工作管理以及健康安全、废弃物处置。</w:t>
      </w:r>
    </w:p>
    <w:p w14:paraId="3AF0FF88">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4" w:name="_Toc1714"/>
      <w:r>
        <w:rPr>
          <w:rFonts w:hint="eastAsia" w:ascii="Times New Roman" w:hAnsi="Times New Roman" w:eastAsia="楷体_GB2312" w:cs="Times New Roman"/>
          <w:b/>
          <w:bCs w:val="0"/>
          <w:sz w:val="32"/>
          <w:szCs w:val="32"/>
        </w:rPr>
        <w:t>（二）职业综合能力要求</w:t>
      </w:r>
      <w:bookmarkEnd w:id="4"/>
    </w:p>
    <w:p w14:paraId="77DC85A0">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赛项主要考查选手掌握物质制备和分析的基本理论知识；考查选手执行国家及行业标准规范的能力、科学的实验工作方法和实验技巧；考查选手实事求是的科学态度，严谨细致的工作作风，清洁整齐的良好工作习惯；考查选手职业健康、安全、环保意识。</w:t>
      </w:r>
    </w:p>
    <w:p w14:paraId="18DB9222">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 w:name="_Toc6737"/>
      <w:r>
        <w:rPr>
          <w:rFonts w:hint="eastAsia" w:ascii="Times New Roman" w:hAnsi="Times New Roman" w:eastAsia="楷体_GB2312" w:cs="Times New Roman"/>
          <w:b/>
          <w:bCs w:val="0"/>
          <w:sz w:val="32"/>
          <w:szCs w:val="32"/>
        </w:rPr>
        <w:t>（三）竞赛考核项目及内容</w:t>
      </w:r>
      <w:bookmarkEnd w:id="5"/>
    </w:p>
    <w:p w14:paraId="6B55B75A">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为全面考查化学实验技术人员整体角色的执行，将本赛项设计为一个系统性较强的考核项目，项目由</w:t>
      </w:r>
      <w:r>
        <w:rPr>
          <w:rFonts w:hint="eastAsia" w:ascii="Times New Roman" w:hAnsi="Times New Roman" w:eastAsia="仿宋_GB2312" w:cs="仿宋_GB2312"/>
          <w:sz w:val="28"/>
          <w:szCs w:val="28"/>
          <w:lang w:val="en-US" w:eastAsia="zh-CN"/>
        </w:rPr>
        <w:t>2</w:t>
      </w:r>
      <w:r>
        <w:rPr>
          <w:rFonts w:hint="eastAsia" w:ascii="Times New Roman" w:hAnsi="Times New Roman" w:eastAsia="仿宋_GB2312" w:cs="仿宋_GB2312"/>
          <w:sz w:val="28"/>
          <w:szCs w:val="28"/>
        </w:rPr>
        <w:t>个工作环节相对独立的实操模块组成，不单独举行理论测试，通过实际操作模块来评估选手的知识理解和技能掌握。每个模块的任务和评价重点均不同，从准确、细致、创意、创新等方面综合评价选手解决问题的能力。</w:t>
      </w:r>
    </w:p>
    <w:p w14:paraId="588DEC08">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eastAsia" w:cs="Times New Roman"/>
          <w:b/>
          <w:sz w:val="28"/>
          <w:szCs w:val="28"/>
          <w:lang w:val="en-US" w:eastAsia="zh-CN"/>
        </w:rPr>
      </w:pPr>
      <w:bookmarkStart w:id="6" w:name="_Toc23011"/>
      <w:r>
        <w:rPr>
          <w:rFonts w:hint="eastAsia" w:cs="Times New Roman"/>
          <w:b/>
          <w:sz w:val="28"/>
          <w:szCs w:val="28"/>
          <w:lang w:val="en-US" w:eastAsia="zh-CN"/>
        </w:rPr>
        <w:t>四、竞赛方式</w:t>
      </w:r>
      <w:bookmarkEnd w:id="6"/>
    </w:p>
    <w:p w14:paraId="7149790F">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2"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b/>
          <w:bCs/>
          <w:sz w:val="28"/>
          <w:szCs w:val="28"/>
        </w:rPr>
        <w:t>1.竞赛形式：</w:t>
      </w:r>
      <w:r>
        <w:rPr>
          <w:rFonts w:hint="eastAsia" w:ascii="Times New Roman" w:hAnsi="Times New Roman" w:eastAsia="仿宋_GB2312" w:cs="仿宋_GB2312"/>
          <w:sz w:val="28"/>
          <w:szCs w:val="28"/>
        </w:rPr>
        <w:t>线下比赛。</w:t>
      </w:r>
    </w:p>
    <w:p w14:paraId="5C5C048D">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2"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b/>
          <w:bCs/>
          <w:sz w:val="28"/>
          <w:szCs w:val="28"/>
        </w:rPr>
        <w:t>2.组队方式：</w:t>
      </w:r>
      <w:r>
        <w:rPr>
          <w:rFonts w:hint="eastAsia" w:ascii="Times New Roman" w:hAnsi="Times New Roman" w:eastAsia="仿宋_GB2312" w:cs="仿宋_GB2312"/>
          <w:sz w:val="28"/>
          <w:szCs w:val="28"/>
        </w:rPr>
        <w:t>本赛项为</w:t>
      </w:r>
      <w:r>
        <w:rPr>
          <w:rFonts w:hint="eastAsia" w:ascii="Times New Roman" w:hAnsi="Times New Roman" w:eastAsia="仿宋_GB2312" w:cs="仿宋_GB2312"/>
          <w:sz w:val="28"/>
          <w:szCs w:val="28"/>
          <w:lang w:val="en-US" w:eastAsia="zh-CN"/>
        </w:rPr>
        <w:t>学生个人</w:t>
      </w:r>
      <w:r>
        <w:rPr>
          <w:rFonts w:hint="eastAsia" w:ascii="Times New Roman" w:hAnsi="Times New Roman" w:eastAsia="仿宋_GB2312" w:cs="仿宋_GB2312"/>
          <w:sz w:val="28"/>
          <w:szCs w:val="28"/>
        </w:rPr>
        <w:t>赛，以省</w:t>
      </w:r>
      <w:r>
        <w:rPr>
          <w:rFonts w:hint="eastAsia" w:ascii="Times New Roman" w:hAnsi="Times New Roman" w:eastAsia="仿宋_GB2312" w:cs="仿宋_GB2312"/>
          <w:sz w:val="28"/>
          <w:szCs w:val="28"/>
          <w:lang w:val="en-US" w:eastAsia="zh-CN"/>
        </w:rPr>
        <w:t>内高职院校</w:t>
      </w:r>
      <w:r>
        <w:rPr>
          <w:rFonts w:hint="eastAsia" w:ascii="Times New Roman" w:hAnsi="Times New Roman" w:eastAsia="仿宋_GB2312" w:cs="仿宋_GB2312"/>
          <w:sz w:val="28"/>
          <w:szCs w:val="28"/>
        </w:rPr>
        <w:t>为单位推荐参赛队，</w:t>
      </w:r>
      <w:bookmarkStart w:id="7" w:name="_Hlk132702835"/>
      <w:r>
        <w:rPr>
          <w:rFonts w:hint="eastAsia" w:ascii="Times New Roman" w:hAnsi="Times New Roman" w:eastAsia="仿宋_GB2312" w:cs="仿宋_GB2312"/>
          <w:sz w:val="28"/>
          <w:szCs w:val="28"/>
        </w:rPr>
        <w:t>参赛队伍数量以正式比赛报名通知为准，</w:t>
      </w:r>
      <w:bookmarkEnd w:id="7"/>
      <w:r>
        <w:rPr>
          <w:rFonts w:hint="eastAsia" w:ascii="Times New Roman" w:hAnsi="Times New Roman" w:eastAsia="仿宋_GB2312" w:cs="仿宋_GB2312"/>
          <w:sz w:val="28"/>
          <w:szCs w:val="28"/>
          <w:lang w:val="en-US" w:eastAsia="zh-CN"/>
        </w:rPr>
        <w:t>每名选手限报1</w:t>
      </w:r>
      <w:r>
        <w:rPr>
          <w:rFonts w:hint="eastAsia" w:ascii="Times New Roman" w:hAnsi="Times New Roman" w:eastAsia="仿宋_GB2312" w:cs="仿宋_GB2312"/>
          <w:sz w:val="28"/>
          <w:szCs w:val="28"/>
        </w:rPr>
        <w:t>名</w:t>
      </w:r>
      <w:r>
        <w:rPr>
          <w:rFonts w:hint="eastAsia" w:ascii="Times New Roman" w:hAnsi="Times New Roman" w:eastAsia="仿宋_GB2312" w:cs="仿宋_GB2312"/>
          <w:sz w:val="28"/>
          <w:szCs w:val="28"/>
          <w:lang w:val="en-US" w:eastAsia="zh-CN"/>
        </w:rPr>
        <w:t>指导教师</w:t>
      </w:r>
      <w:r>
        <w:rPr>
          <w:rFonts w:hint="eastAsia" w:ascii="Times New Roman" w:hAnsi="Times New Roman" w:eastAsia="仿宋_GB2312" w:cs="仿宋_GB2312"/>
          <w:sz w:val="28"/>
          <w:szCs w:val="28"/>
        </w:rPr>
        <w:t>。</w:t>
      </w:r>
    </w:p>
    <w:p w14:paraId="0602EE6B">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2"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b/>
          <w:bCs/>
          <w:sz w:val="28"/>
          <w:szCs w:val="28"/>
        </w:rPr>
        <w:t>3.选手资格：</w:t>
      </w:r>
      <w:r>
        <w:rPr>
          <w:rFonts w:hint="eastAsia" w:ascii="Times New Roman" w:hAnsi="Times New Roman" w:eastAsia="仿宋_GB2312" w:cs="仿宋_GB2312"/>
          <w:sz w:val="28"/>
          <w:szCs w:val="28"/>
        </w:rPr>
        <w:t>参赛选手须为高等学校全日制在籍高职高专类</w:t>
      </w:r>
      <w:r>
        <w:rPr>
          <w:rFonts w:hint="eastAsia" w:eastAsia="仿宋_GB2312" w:cs="仿宋_GB2312"/>
          <w:sz w:val="28"/>
          <w:szCs w:val="28"/>
          <w:lang w:val="en-US" w:eastAsia="zh-CN"/>
        </w:rPr>
        <w:t>或职业本科类学生，</w:t>
      </w:r>
      <w:r>
        <w:rPr>
          <w:rFonts w:hint="eastAsia" w:ascii="Times New Roman" w:hAnsi="Times New Roman" w:eastAsia="仿宋_GB2312" w:cs="仿宋_GB2312"/>
          <w:sz w:val="28"/>
          <w:szCs w:val="28"/>
        </w:rPr>
        <w:t>选手年龄不超过25周岁（即</w:t>
      </w:r>
      <w:r>
        <w:rPr>
          <w:rFonts w:hint="eastAsia" w:ascii="Times New Roman" w:hAnsi="Times New Roman" w:eastAsia="仿宋_GB2312" w:cs="仿宋_GB2312"/>
          <w:sz w:val="28"/>
          <w:szCs w:val="28"/>
          <w:lang w:val="en-US" w:eastAsia="zh-CN"/>
        </w:rPr>
        <w:t>200</w:t>
      </w:r>
      <w:r>
        <w:rPr>
          <w:rFonts w:hint="eastAsia" w:eastAsia="仿宋_GB2312" w:cs="仿宋_GB2312"/>
          <w:sz w:val="28"/>
          <w:szCs w:val="28"/>
          <w:lang w:val="en-US" w:eastAsia="zh-CN"/>
        </w:rPr>
        <w:t>2</w:t>
      </w:r>
      <w:r>
        <w:rPr>
          <w:rFonts w:hint="eastAsia" w:ascii="Times New Roman" w:hAnsi="Times New Roman" w:eastAsia="仿宋_GB2312" w:cs="仿宋_GB2312"/>
          <w:sz w:val="28"/>
          <w:szCs w:val="28"/>
        </w:rPr>
        <w:t>年</w:t>
      </w:r>
      <w:r>
        <w:rPr>
          <w:rFonts w:hint="eastAsia" w:eastAsia="仿宋_GB2312" w:cs="仿宋_GB2312"/>
          <w:sz w:val="28"/>
          <w:szCs w:val="28"/>
          <w:lang w:val="en-US" w:eastAsia="zh-CN"/>
        </w:rPr>
        <w:t>5</w:t>
      </w:r>
      <w:bookmarkStart w:id="76" w:name="_GoBack"/>
      <w:bookmarkEnd w:id="76"/>
      <w:r>
        <w:rPr>
          <w:rFonts w:hint="eastAsia" w:ascii="Times New Roman" w:hAnsi="Times New Roman" w:eastAsia="仿宋_GB2312" w:cs="仿宋_GB2312"/>
          <w:sz w:val="28"/>
          <w:szCs w:val="28"/>
        </w:rPr>
        <w:t>月1日及以后出生）。</w:t>
      </w:r>
      <w:r>
        <w:rPr>
          <w:rFonts w:hint="eastAsia" w:ascii="Times New Roman" w:hAnsi="Times New Roman" w:eastAsia="仿宋_GB2312" w:cs="仿宋_GB2312"/>
          <w:sz w:val="28"/>
          <w:szCs w:val="28"/>
          <w:lang w:val="en-US" w:eastAsia="zh-CN"/>
        </w:rPr>
        <w:t>对于</w:t>
      </w:r>
      <w:r>
        <w:rPr>
          <w:rFonts w:hint="eastAsia" w:ascii="Times New Roman" w:hAnsi="Times New Roman" w:eastAsia="仿宋_GB2312" w:cs="仿宋_GB2312"/>
          <w:sz w:val="28"/>
          <w:szCs w:val="28"/>
        </w:rPr>
        <w:t>五年制高职学生</w:t>
      </w:r>
      <w:r>
        <w:rPr>
          <w:rFonts w:hint="eastAsia" w:eastAsia="仿宋_GB2312" w:cs="仿宋_GB2312"/>
          <w:sz w:val="28"/>
          <w:szCs w:val="28"/>
          <w:lang w:val="en-US" w:eastAsia="zh-CN"/>
        </w:rPr>
        <w:t>报名参赛的</w:t>
      </w:r>
      <w:r>
        <w:rPr>
          <w:rFonts w:hint="eastAsia" w:ascii="Times New Roman" w:hAnsi="Times New Roman" w:eastAsia="仿宋_GB2312" w:cs="仿宋_GB2312"/>
          <w:sz w:val="28"/>
          <w:szCs w:val="28"/>
        </w:rPr>
        <w:t>，四、五年级学生</w:t>
      </w:r>
      <w:r>
        <w:rPr>
          <w:rFonts w:hint="eastAsia" w:ascii="Times New Roman" w:hAnsi="Times New Roman" w:eastAsia="仿宋_GB2312" w:cs="仿宋_GB2312"/>
          <w:sz w:val="28"/>
          <w:szCs w:val="28"/>
          <w:lang w:val="en-US" w:eastAsia="zh-CN"/>
        </w:rPr>
        <w:t>可报名</w:t>
      </w:r>
      <w:r>
        <w:rPr>
          <w:rFonts w:hint="eastAsia" w:ascii="Times New Roman" w:hAnsi="Times New Roman" w:eastAsia="仿宋_GB2312" w:cs="仿宋_GB2312"/>
          <w:sz w:val="28"/>
          <w:szCs w:val="28"/>
        </w:rPr>
        <w:t>参加比赛。在</w:t>
      </w:r>
      <w:r>
        <w:rPr>
          <w:rFonts w:hint="eastAsia" w:eastAsia="仿宋_GB2312" w:cs="仿宋_GB2312"/>
          <w:sz w:val="28"/>
          <w:szCs w:val="28"/>
          <w:lang w:val="en-US" w:eastAsia="zh-CN"/>
        </w:rPr>
        <w:t>2025年世界</w:t>
      </w:r>
      <w:r>
        <w:rPr>
          <w:rFonts w:hint="eastAsia" w:ascii="Times New Roman" w:hAnsi="Times New Roman" w:eastAsia="仿宋_GB2312" w:cs="仿宋_GB2312"/>
          <w:sz w:val="28"/>
          <w:szCs w:val="28"/>
        </w:rPr>
        <w:t>职业院校技能大赛</w:t>
      </w:r>
      <w:r>
        <w:rPr>
          <w:rFonts w:hint="eastAsia" w:eastAsia="仿宋_GB2312" w:cs="仿宋_GB2312"/>
          <w:sz w:val="28"/>
          <w:szCs w:val="28"/>
          <w:lang w:val="en-US" w:eastAsia="zh-CN"/>
        </w:rPr>
        <w:t>争夺赛</w:t>
      </w:r>
      <w:r>
        <w:rPr>
          <w:rFonts w:hint="eastAsia" w:ascii="Times New Roman" w:hAnsi="Times New Roman" w:eastAsia="仿宋_GB2312" w:cs="仿宋_GB2312"/>
          <w:sz w:val="28"/>
          <w:szCs w:val="28"/>
        </w:rPr>
        <w:t>中获一等奖的</w:t>
      </w:r>
      <w:r>
        <w:rPr>
          <w:rFonts w:hint="eastAsia" w:eastAsia="仿宋_GB2312" w:cs="仿宋_GB2312"/>
          <w:sz w:val="28"/>
          <w:szCs w:val="28"/>
          <w:lang w:val="en-US" w:eastAsia="zh-CN"/>
        </w:rPr>
        <w:t>选手</w:t>
      </w:r>
      <w:r>
        <w:rPr>
          <w:rFonts w:hint="eastAsia" w:ascii="Times New Roman" w:hAnsi="Times New Roman" w:eastAsia="仿宋_GB2312" w:cs="仿宋_GB2312"/>
          <w:sz w:val="28"/>
          <w:szCs w:val="28"/>
        </w:rPr>
        <w:t>，不</w:t>
      </w:r>
      <w:r>
        <w:rPr>
          <w:rFonts w:hint="eastAsia" w:eastAsia="仿宋_GB2312" w:cs="仿宋_GB2312"/>
          <w:sz w:val="28"/>
          <w:szCs w:val="28"/>
          <w:lang w:val="en-US" w:eastAsia="zh-CN"/>
        </w:rPr>
        <w:t>能</w:t>
      </w:r>
      <w:r>
        <w:rPr>
          <w:rFonts w:hint="eastAsia" w:ascii="Times New Roman" w:hAnsi="Times New Roman" w:eastAsia="仿宋_GB2312" w:cs="仿宋_GB2312"/>
          <w:sz w:val="28"/>
          <w:szCs w:val="28"/>
        </w:rPr>
        <w:t>再参加</w:t>
      </w:r>
      <w:r>
        <w:rPr>
          <w:rFonts w:hint="eastAsia" w:eastAsia="仿宋_GB2312" w:cs="仿宋_GB2312"/>
          <w:sz w:val="28"/>
          <w:szCs w:val="28"/>
          <w:lang w:val="en-US" w:eastAsia="zh-CN"/>
        </w:rPr>
        <w:t>今年同一项目</w:t>
      </w:r>
      <w:r>
        <w:rPr>
          <w:rFonts w:hint="eastAsia" w:ascii="Times New Roman" w:hAnsi="Times New Roman" w:eastAsia="仿宋_GB2312" w:cs="仿宋_GB2312"/>
          <w:sz w:val="28"/>
          <w:szCs w:val="28"/>
        </w:rPr>
        <w:t>（同一</w:t>
      </w:r>
      <w:r>
        <w:rPr>
          <w:rFonts w:hint="eastAsia" w:eastAsia="仿宋_GB2312" w:cs="仿宋_GB2312"/>
          <w:sz w:val="28"/>
          <w:szCs w:val="28"/>
          <w:lang w:val="en-US" w:eastAsia="zh-CN"/>
        </w:rPr>
        <w:t>组别</w:t>
      </w:r>
      <w:r>
        <w:rPr>
          <w:rFonts w:hint="eastAsia" w:ascii="Times New Roman" w:hAnsi="Times New Roman" w:eastAsia="仿宋_GB2312" w:cs="仿宋_GB2312"/>
          <w:sz w:val="28"/>
          <w:szCs w:val="28"/>
        </w:rPr>
        <w:t>）的全省竞赛。</w:t>
      </w:r>
    </w:p>
    <w:p w14:paraId="04AAA873">
      <w:pPr>
        <w:keepNext w:val="0"/>
        <w:keepLines w:val="0"/>
        <w:pageBreakBefore w:val="0"/>
        <w:widowControl w:val="0"/>
        <w:kinsoku/>
        <w:wordWrap/>
        <w:overflowPunct/>
        <w:topLinePunct w:val="0"/>
        <w:autoSpaceDE/>
        <w:autoSpaceDN/>
        <w:bidi w:val="0"/>
        <w:adjustRightInd w:val="0"/>
        <w:snapToGrid w:val="0"/>
        <w:spacing w:line="540" w:lineRule="exact"/>
        <w:ind w:right="210" w:rightChars="100" w:firstLine="562"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b/>
          <w:bCs/>
          <w:sz w:val="28"/>
          <w:szCs w:val="28"/>
        </w:rPr>
        <w:t>4.人员变更：</w:t>
      </w:r>
      <w:r>
        <w:rPr>
          <w:rFonts w:hint="eastAsia" w:ascii="Times New Roman" w:hAnsi="Times New Roman" w:eastAsia="仿宋_GB2312" w:cs="仿宋_GB2312"/>
          <w:sz w:val="28"/>
          <w:szCs w:val="28"/>
        </w:rPr>
        <w:t>参赛选手报名获得确认后不得随意更换，如参赛选手因故无法参赛，须由</w:t>
      </w:r>
      <w:r>
        <w:rPr>
          <w:rFonts w:hint="eastAsia" w:ascii="Times New Roman" w:hAnsi="Times New Roman" w:eastAsia="仿宋_GB2312" w:cs="仿宋_GB2312"/>
          <w:sz w:val="28"/>
          <w:szCs w:val="28"/>
          <w:lang w:val="en-US" w:eastAsia="zh-CN"/>
        </w:rPr>
        <w:t>参赛院校</w:t>
      </w:r>
      <w:r>
        <w:rPr>
          <w:rFonts w:hint="eastAsia" w:ascii="Times New Roman" w:hAnsi="Times New Roman" w:eastAsia="仿宋_GB2312" w:cs="仿宋_GB2312"/>
          <w:sz w:val="28"/>
          <w:szCs w:val="28"/>
        </w:rPr>
        <w:t>于规定时间内出具书面说明，经大赛执委会办公室核实后予以更换。</w:t>
      </w:r>
    </w:p>
    <w:p w14:paraId="695EDBDD">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eastAsia" w:cs="Times New Roman"/>
          <w:b/>
          <w:sz w:val="28"/>
          <w:szCs w:val="28"/>
          <w:lang w:val="en-US" w:eastAsia="zh-CN"/>
        </w:rPr>
      </w:pPr>
      <w:bookmarkStart w:id="8" w:name="_Toc16910"/>
      <w:r>
        <w:rPr>
          <w:rFonts w:hint="default" w:cs="Times New Roman"/>
          <w:b/>
          <w:sz w:val="28"/>
          <w:szCs w:val="28"/>
          <w:lang w:val="en-US" w:eastAsia="zh-CN"/>
        </w:rPr>
        <w:t>五、</w:t>
      </w:r>
      <w:r>
        <w:rPr>
          <w:rFonts w:hint="eastAsia" w:cs="Times New Roman"/>
          <w:b/>
          <w:sz w:val="28"/>
          <w:szCs w:val="28"/>
          <w:lang w:val="en-US" w:eastAsia="zh-CN"/>
        </w:rPr>
        <w:t>竞赛流程</w:t>
      </w:r>
      <w:bookmarkEnd w:id="8"/>
    </w:p>
    <w:p w14:paraId="6B861C8C">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9" w:name="_Toc4698"/>
      <w:r>
        <w:rPr>
          <w:rFonts w:hint="eastAsia" w:ascii="Times New Roman" w:hAnsi="Times New Roman" w:eastAsia="楷体_GB2312" w:cs="Times New Roman"/>
          <w:b/>
          <w:bCs w:val="0"/>
          <w:sz w:val="32"/>
          <w:szCs w:val="32"/>
        </w:rPr>
        <w:t>（一）竞赛日程</w:t>
      </w:r>
      <w:bookmarkEnd w:id="9"/>
    </w:p>
    <w:p w14:paraId="69990A50">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1.裁判员原则上提前1天报到，便于赛项执委会组织执裁培训、熟悉比赛评分细则，具体安排另行通知。</w:t>
      </w:r>
    </w:p>
    <w:p w14:paraId="21F392C2">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2.参赛队报到时间1天，比赛</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rPr>
        <w:t>裁判阅卷、成绩公布、开闭赛式</w:t>
      </w:r>
      <w:r>
        <w:rPr>
          <w:rFonts w:hint="eastAsia" w:ascii="Times New Roman" w:hAnsi="Times New Roman" w:eastAsia="仿宋_GB2312" w:cs="仿宋_GB2312"/>
          <w:sz w:val="28"/>
          <w:szCs w:val="28"/>
          <w:lang w:val="en-US" w:eastAsia="zh-CN"/>
        </w:rPr>
        <w:t>共1</w:t>
      </w:r>
      <w:r>
        <w:rPr>
          <w:rFonts w:hint="eastAsia" w:ascii="Times New Roman" w:hAnsi="Times New Roman" w:eastAsia="仿宋_GB2312" w:cs="仿宋_GB2312"/>
          <w:sz w:val="28"/>
          <w:szCs w:val="28"/>
        </w:rPr>
        <w:t>天。具体时间安排见表1。</w:t>
      </w:r>
    </w:p>
    <w:p w14:paraId="6F82569D">
      <w:pPr>
        <w:pageBreakBefore w:val="0"/>
        <w:widowControl w:val="0"/>
        <w:kinsoku/>
        <w:wordWrap/>
        <w:overflowPunct/>
        <w:topLinePunct w:val="0"/>
        <w:bidi w:val="0"/>
        <w:spacing w:before="156" w:beforeLines="50" w:after="156" w:afterLines="50" w:line="540" w:lineRule="exact"/>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color w:val="000000"/>
          <w:sz w:val="28"/>
          <w:szCs w:val="28"/>
        </w:rPr>
        <w:t>表1 竞赛日程安排计划</w:t>
      </w:r>
    </w:p>
    <w:tbl>
      <w:tblPr>
        <w:tblStyle w:val="9"/>
        <w:tblW w:w="8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977"/>
        <w:gridCol w:w="4739"/>
      </w:tblGrid>
      <w:tr w14:paraId="7B2EF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603" w:type="dxa"/>
            <w:noWrap w:val="0"/>
            <w:vAlign w:val="center"/>
          </w:tcPr>
          <w:p w14:paraId="1D0C68FC">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日期</w:t>
            </w:r>
          </w:p>
        </w:tc>
        <w:tc>
          <w:tcPr>
            <w:tcW w:w="1977" w:type="dxa"/>
            <w:noWrap w:val="0"/>
            <w:vAlign w:val="center"/>
          </w:tcPr>
          <w:p w14:paraId="701E0949">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时间</w:t>
            </w:r>
          </w:p>
        </w:tc>
        <w:tc>
          <w:tcPr>
            <w:tcW w:w="4739" w:type="dxa"/>
            <w:noWrap w:val="0"/>
            <w:vAlign w:val="center"/>
          </w:tcPr>
          <w:p w14:paraId="799D07BC">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工作内容</w:t>
            </w:r>
          </w:p>
        </w:tc>
      </w:tr>
      <w:tr w14:paraId="1641C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03" w:type="dxa"/>
            <w:noWrap w:val="0"/>
            <w:vAlign w:val="center"/>
          </w:tcPr>
          <w:p w14:paraId="12D9E4BB">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第一天</w:t>
            </w:r>
          </w:p>
        </w:tc>
        <w:tc>
          <w:tcPr>
            <w:tcW w:w="1977" w:type="dxa"/>
            <w:noWrap w:val="0"/>
            <w:vAlign w:val="center"/>
          </w:tcPr>
          <w:p w14:paraId="1CD9BAC8">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12:00-17:00</w:t>
            </w:r>
          </w:p>
        </w:tc>
        <w:tc>
          <w:tcPr>
            <w:tcW w:w="4739" w:type="dxa"/>
            <w:noWrap w:val="0"/>
            <w:vAlign w:val="center"/>
          </w:tcPr>
          <w:p w14:paraId="4B025D51">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lang w:eastAsia="zh-CN"/>
              </w:rPr>
            </w:pPr>
            <w:r>
              <w:rPr>
                <w:rFonts w:hint="eastAsia" w:ascii="仿宋_GB2312" w:hAnsi="仿宋_GB2312" w:eastAsia="仿宋_GB2312" w:cs="仿宋_GB2312"/>
                <w:sz w:val="21"/>
                <w:szCs w:val="21"/>
              </w:rPr>
              <w:t>参赛队报到，发放参赛证</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领队会议、选手熟悉比赛赛场</w:t>
            </w:r>
          </w:p>
        </w:tc>
      </w:tr>
      <w:tr w14:paraId="06039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603" w:type="dxa"/>
            <w:noWrap w:val="0"/>
            <w:vAlign w:val="center"/>
          </w:tcPr>
          <w:p w14:paraId="55E02332">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第二天</w:t>
            </w:r>
          </w:p>
        </w:tc>
        <w:tc>
          <w:tcPr>
            <w:tcW w:w="1977" w:type="dxa"/>
            <w:noWrap w:val="0"/>
            <w:vAlign w:val="center"/>
          </w:tcPr>
          <w:p w14:paraId="20305210">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lang w:val="en-US" w:eastAsia="zh-CN"/>
              </w:rPr>
              <w:t>7:00-22:00</w:t>
            </w:r>
          </w:p>
        </w:tc>
        <w:tc>
          <w:tcPr>
            <w:tcW w:w="4739" w:type="dxa"/>
            <w:noWrap w:val="0"/>
            <w:vAlign w:val="center"/>
          </w:tcPr>
          <w:p w14:paraId="38A94EB1">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比赛考核、</w:t>
            </w:r>
            <w:r>
              <w:rPr>
                <w:rFonts w:hint="eastAsia" w:ascii="仿宋_GB2312" w:hAnsi="仿宋_GB2312" w:eastAsia="仿宋_GB2312" w:cs="仿宋_GB2312"/>
                <w:sz w:val="21"/>
                <w:szCs w:val="21"/>
              </w:rPr>
              <w:t>裁判员阅卷、成绩录入</w:t>
            </w:r>
            <w:r>
              <w:rPr>
                <w:rFonts w:hint="eastAsia" w:ascii="仿宋_GB2312" w:hAnsi="仿宋_GB2312" w:eastAsia="仿宋_GB2312" w:cs="仿宋_GB2312"/>
                <w:sz w:val="21"/>
                <w:szCs w:val="21"/>
                <w:lang w:eastAsia="zh-CN"/>
              </w:rPr>
              <w:t>、</w:t>
            </w:r>
            <w:r>
              <w:rPr>
                <w:rFonts w:hint="eastAsia" w:ascii="仿宋_GB2312" w:hAnsi="仿宋_GB2312" w:eastAsia="仿宋_GB2312" w:cs="仿宋_GB2312"/>
                <w:sz w:val="21"/>
                <w:szCs w:val="21"/>
              </w:rPr>
              <w:t>成绩公布、闭赛式</w:t>
            </w:r>
          </w:p>
        </w:tc>
      </w:tr>
    </w:tbl>
    <w:p w14:paraId="057188F4">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10" w:name="_Toc20157"/>
      <w:r>
        <w:rPr>
          <w:rFonts w:hint="eastAsia" w:ascii="Times New Roman" w:hAnsi="Times New Roman" w:eastAsia="楷体_GB2312" w:cs="Times New Roman"/>
          <w:b/>
          <w:bCs w:val="0"/>
          <w:sz w:val="32"/>
          <w:szCs w:val="32"/>
        </w:rPr>
        <w:t>（二）竞赛流程</w:t>
      </w:r>
      <w:bookmarkEnd w:id="10"/>
    </w:p>
    <w:p w14:paraId="2233D67E">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val="en-US" w:eastAsia="zh-CN"/>
        </w:rPr>
        <w:t>1</w:t>
      </w:r>
      <w:r>
        <w:rPr>
          <w:rFonts w:hint="eastAsia" w:ascii="Times New Roman" w:hAnsi="Times New Roman" w:eastAsia="仿宋_GB2312" w:cs="仿宋_GB2312"/>
          <w:sz w:val="28"/>
          <w:szCs w:val="28"/>
        </w:rPr>
        <w:t>. 竞技过程。赛场的赛位统一编制，参赛队比赛前</w:t>
      </w:r>
      <w:r>
        <w:rPr>
          <w:rFonts w:hint="eastAsia" w:ascii="Times New Roman" w:hAnsi="Times New Roman" w:eastAsia="仿宋_GB2312" w:cs="仿宋_GB2312"/>
          <w:sz w:val="28"/>
          <w:szCs w:val="28"/>
          <w:lang w:val="en-US" w:eastAsia="zh-CN"/>
        </w:rPr>
        <w:t>30</w:t>
      </w:r>
      <w:r>
        <w:rPr>
          <w:rFonts w:hint="eastAsia" w:ascii="Times New Roman" w:hAnsi="Times New Roman" w:eastAsia="仿宋_GB2312" w:cs="仿宋_GB2312"/>
          <w:sz w:val="28"/>
          <w:szCs w:val="28"/>
        </w:rPr>
        <w:t>分钟凭参赛证、身份证到指定地点检录，经加密抽签程序决定赛位号，抽签结束后，随即按照抽取的赛位号进场，然后在对应的赛位上完成竞赛规定的工作任务。如赛位号为</w:t>
      </w:r>
      <w:r>
        <w:rPr>
          <w:rFonts w:hint="eastAsia" w:ascii="Times New Roman" w:hAnsi="Times New Roman" w:eastAsia="仿宋_GB2312" w:cs="仿宋_GB2312"/>
          <w:sz w:val="28"/>
          <w:szCs w:val="28"/>
          <w:lang w:val="en-US" w:eastAsia="zh-CN"/>
        </w:rPr>
        <w:t xml:space="preserve">A </w:t>
      </w:r>
      <w:r>
        <w:rPr>
          <w:rFonts w:hint="eastAsia" w:ascii="Times New Roman" w:hAnsi="Times New Roman" w:eastAsia="仿宋_GB2312" w:cs="仿宋_GB2312"/>
          <w:sz w:val="28"/>
          <w:szCs w:val="28"/>
        </w:rPr>
        <w:t>-01，表示本赛项模块</w:t>
      </w:r>
      <w:r>
        <w:rPr>
          <w:rFonts w:hint="eastAsia" w:ascii="Times New Roman" w:hAnsi="Times New Roman" w:eastAsia="仿宋_GB2312" w:cs="仿宋_GB2312"/>
          <w:sz w:val="28"/>
          <w:szCs w:val="28"/>
          <w:lang w:val="en-US" w:eastAsia="zh-CN"/>
        </w:rPr>
        <w:t>A</w:t>
      </w:r>
      <w:r>
        <w:rPr>
          <w:rFonts w:hint="eastAsia" w:ascii="Times New Roman" w:hAnsi="Times New Roman" w:eastAsia="仿宋_GB2312" w:cs="仿宋_GB2312"/>
          <w:sz w:val="28"/>
          <w:szCs w:val="28"/>
        </w:rPr>
        <w:t>的第1号赛位。</w:t>
      </w:r>
    </w:p>
    <w:p w14:paraId="4447FCE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lang w:val="en-US" w:eastAsia="zh-CN"/>
        </w:rPr>
        <w:t>2</w:t>
      </w:r>
      <w:r>
        <w:rPr>
          <w:rFonts w:hint="eastAsia" w:ascii="Times New Roman" w:hAnsi="Times New Roman" w:eastAsia="仿宋_GB2312" w:cs="仿宋_GB2312"/>
          <w:sz w:val="28"/>
          <w:szCs w:val="28"/>
        </w:rPr>
        <w:t>. 赛位号不对外公布，抽签结果密封后统一保管。实操结束后，选手的现场试卷进行密封，在评分结束后开封解密并统计成绩。</w:t>
      </w:r>
    </w:p>
    <w:p w14:paraId="6E04646D">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11" w:name="_Toc31410"/>
      <w:r>
        <w:rPr>
          <w:rFonts w:hint="default" w:cs="Times New Roman"/>
          <w:b/>
          <w:sz w:val="28"/>
          <w:szCs w:val="28"/>
          <w:lang w:val="en-US" w:eastAsia="zh-CN"/>
        </w:rPr>
        <w:t>六、竞赛规则</w:t>
      </w:r>
      <w:bookmarkEnd w:id="11"/>
    </w:p>
    <w:p w14:paraId="0EC4DC2F">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12" w:name="_Toc22694"/>
      <w:bookmarkStart w:id="13" w:name="_Toc51745452"/>
      <w:r>
        <w:rPr>
          <w:rFonts w:hint="eastAsia" w:ascii="Times New Roman" w:hAnsi="Times New Roman" w:eastAsia="楷体_GB2312" w:cs="Times New Roman"/>
          <w:b/>
          <w:bCs w:val="0"/>
          <w:sz w:val="32"/>
          <w:szCs w:val="32"/>
        </w:rPr>
        <w:t>（一）选手报名</w:t>
      </w:r>
      <w:bookmarkEnd w:id="12"/>
      <w:bookmarkEnd w:id="13"/>
    </w:p>
    <w:p w14:paraId="3A118BC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以省</w:t>
      </w:r>
      <w:r>
        <w:rPr>
          <w:rFonts w:hint="eastAsia" w:ascii="Times New Roman" w:hAnsi="Times New Roman" w:eastAsia="仿宋_GB2312" w:cs="仿宋_GB2312"/>
          <w:sz w:val="28"/>
          <w:szCs w:val="28"/>
          <w:lang w:val="en-US" w:eastAsia="zh-CN"/>
        </w:rPr>
        <w:t>内高职院校</w:t>
      </w:r>
      <w:r>
        <w:rPr>
          <w:rFonts w:hint="eastAsia" w:ascii="Times New Roman" w:hAnsi="Times New Roman" w:eastAsia="仿宋_GB2312" w:cs="仿宋_GB2312"/>
          <w:sz w:val="28"/>
          <w:szCs w:val="28"/>
        </w:rPr>
        <w:t>为单位推荐参赛队，</w:t>
      </w:r>
      <w:r>
        <w:rPr>
          <w:rFonts w:hint="eastAsia" w:ascii="Times New Roman" w:hAnsi="Times New Roman" w:eastAsia="仿宋_GB2312" w:cs="仿宋_GB2312"/>
          <w:sz w:val="28"/>
          <w:szCs w:val="28"/>
          <w:lang w:val="en-US" w:eastAsia="zh-CN"/>
        </w:rPr>
        <w:t>由于承办场地只可容纳24名选手独立进行比赛，承办校可根据报名情况临时调整各院校报名选手数量，以确保比赛顺利进行。</w:t>
      </w:r>
      <w:r>
        <w:rPr>
          <w:rFonts w:hint="eastAsia" w:ascii="Times New Roman" w:hAnsi="Times New Roman" w:eastAsia="仿宋_GB2312" w:cs="仿宋_GB2312"/>
          <w:sz w:val="28"/>
          <w:szCs w:val="28"/>
        </w:rPr>
        <w:t>参赛队伍数量以正式比赛报名通知为准，</w:t>
      </w:r>
      <w:r>
        <w:rPr>
          <w:rFonts w:hint="eastAsia" w:ascii="Times New Roman" w:hAnsi="Times New Roman" w:eastAsia="仿宋_GB2312" w:cs="仿宋_GB2312"/>
          <w:sz w:val="28"/>
          <w:szCs w:val="28"/>
          <w:lang w:val="en-US" w:eastAsia="zh-CN"/>
        </w:rPr>
        <w:t>每名选手限报1</w:t>
      </w:r>
      <w:r>
        <w:rPr>
          <w:rFonts w:hint="eastAsia" w:ascii="Times New Roman" w:hAnsi="Times New Roman" w:eastAsia="仿宋_GB2312" w:cs="仿宋_GB2312"/>
          <w:sz w:val="28"/>
          <w:szCs w:val="28"/>
        </w:rPr>
        <w:t>名</w:t>
      </w:r>
      <w:r>
        <w:rPr>
          <w:rFonts w:hint="eastAsia" w:ascii="Times New Roman" w:hAnsi="Times New Roman" w:eastAsia="仿宋_GB2312" w:cs="仿宋_GB2312"/>
          <w:sz w:val="28"/>
          <w:szCs w:val="28"/>
          <w:lang w:val="en-US" w:eastAsia="zh-CN"/>
        </w:rPr>
        <w:t>指导教师</w:t>
      </w:r>
      <w:r>
        <w:rPr>
          <w:rFonts w:hint="eastAsia" w:ascii="Times New Roman" w:hAnsi="Times New Roman" w:eastAsia="仿宋_GB2312" w:cs="仿宋_GB2312"/>
          <w:sz w:val="28"/>
          <w:szCs w:val="28"/>
        </w:rPr>
        <w:t>。</w:t>
      </w:r>
    </w:p>
    <w:p w14:paraId="3EB07D7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参赛选手报名获得确认后不得随意更换，如参赛选手因故无法参赛，须由</w:t>
      </w:r>
      <w:r>
        <w:rPr>
          <w:rFonts w:hint="eastAsia" w:ascii="Times New Roman" w:hAnsi="Times New Roman" w:eastAsia="仿宋_GB2312" w:cs="仿宋_GB2312"/>
          <w:sz w:val="28"/>
          <w:szCs w:val="28"/>
          <w:lang w:val="en-US" w:eastAsia="zh-CN"/>
        </w:rPr>
        <w:t>参赛院校</w:t>
      </w:r>
      <w:r>
        <w:rPr>
          <w:rFonts w:hint="eastAsia" w:ascii="Times New Roman" w:hAnsi="Times New Roman" w:eastAsia="仿宋_GB2312" w:cs="仿宋_GB2312"/>
          <w:sz w:val="28"/>
          <w:szCs w:val="28"/>
        </w:rPr>
        <w:t>于规定时间内出具书面说明，经大赛执委会办公室核实后予以更换。</w:t>
      </w:r>
    </w:p>
    <w:p w14:paraId="759D0419">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14" w:name="_Toc51745453"/>
      <w:bookmarkStart w:id="15" w:name="_Toc18884"/>
      <w:r>
        <w:rPr>
          <w:rFonts w:hint="eastAsia" w:ascii="Times New Roman" w:hAnsi="Times New Roman" w:eastAsia="楷体_GB2312" w:cs="Times New Roman"/>
          <w:b/>
          <w:bCs w:val="0"/>
          <w:sz w:val="32"/>
          <w:szCs w:val="32"/>
        </w:rPr>
        <w:t>（二）熟悉场地</w:t>
      </w:r>
      <w:bookmarkEnd w:id="14"/>
      <w:bookmarkEnd w:id="15"/>
    </w:p>
    <w:p w14:paraId="3F1E8313">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赛项执委会安排各参赛队统一有序地熟悉场地，熟悉场地时限定在指定区域，不得进入比赛区。</w:t>
      </w:r>
    </w:p>
    <w:p w14:paraId="4A061FD5">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严禁与现场工作人员进行交流，不发表没有根据及有损大赛整体形象的言论。</w:t>
      </w:r>
    </w:p>
    <w:p w14:paraId="10019807">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严格遵守大赛各种制度，严禁拥挤、喧哗，以免发生意外事故。</w:t>
      </w:r>
    </w:p>
    <w:p w14:paraId="078830A9">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16" w:name="_Toc51745454"/>
      <w:bookmarkStart w:id="17" w:name="_Toc1064"/>
      <w:r>
        <w:rPr>
          <w:rFonts w:hint="eastAsia" w:ascii="Times New Roman" w:hAnsi="Times New Roman" w:eastAsia="楷体_GB2312" w:cs="Times New Roman"/>
          <w:b/>
          <w:bCs w:val="0"/>
          <w:sz w:val="32"/>
          <w:szCs w:val="32"/>
        </w:rPr>
        <w:t>（三）竞赛入场</w:t>
      </w:r>
      <w:bookmarkEnd w:id="16"/>
      <w:bookmarkEnd w:id="17"/>
    </w:p>
    <w:p w14:paraId="0C9AD224">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检录时，参赛选手提供身份证信息（姓名、年龄、相貌特征）应与参赛证一致；除赛项规程规定自带物品外，参赛选手不允许携带其他任何物品。</w:t>
      </w:r>
    </w:p>
    <w:p w14:paraId="49B2BFF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在比赛开始30分钟后不得入场，迟到选手必须在赛场记录表中说明到场时间、迟到原因并签署赛位号确认。</w:t>
      </w:r>
    </w:p>
    <w:p w14:paraId="3160228B">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18" w:name="_Toc51745455"/>
      <w:bookmarkStart w:id="19" w:name="_Toc24503"/>
      <w:r>
        <w:rPr>
          <w:rFonts w:hint="eastAsia" w:ascii="Times New Roman" w:hAnsi="Times New Roman" w:eastAsia="楷体_GB2312" w:cs="Times New Roman"/>
          <w:b/>
          <w:bCs w:val="0"/>
          <w:sz w:val="32"/>
          <w:szCs w:val="32"/>
        </w:rPr>
        <w:t>（四）</w:t>
      </w:r>
      <w:bookmarkEnd w:id="18"/>
      <w:r>
        <w:rPr>
          <w:rFonts w:hint="eastAsia" w:ascii="Times New Roman" w:hAnsi="Times New Roman" w:eastAsia="楷体_GB2312" w:cs="Times New Roman"/>
          <w:b/>
          <w:bCs w:val="0"/>
          <w:sz w:val="32"/>
          <w:szCs w:val="32"/>
        </w:rPr>
        <w:t>赛场规则</w:t>
      </w:r>
      <w:bookmarkEnd w:id="19"/>
    </w:p>
    <w:p w14:paraId="6E148ED3">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选手进入赛场后，必须听从现场裁判的统一指挥，不得以任何方式公开参赛队及个人信息。</w:t>
      </w:r>
    </w:p>
    <w:p w14:paraId="6D7E3F26">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竞赛过程中，除裁判长和现场裁判外任何人员不得主动接近选手及其工作区域，选手有问题只能向现场裁判和裁判长反映。</w:t>
      </w:r>
    </w:p>
    <w:p w14:paraId="502756DB">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比赛过程中选手不得随意离开赛位，如发现设备故障等问题，选手应立即向现场裁判反映。</w:t>
      </w:r>
    </w:p>
    <w:p w14:paraId="44407F8A">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 比赛过程中严重违反赛场纪律者，由裁判长、监督仲裁长研究决定并报赛项执委会同意后，取消其该场比赛资格。</w:t>
      </w:r>
    </w:p>
    <w:p w14:paraId="450CF3FA">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20" w:name="_Toc51745456"/>
      <w:bookmarkStart w:id="21" w:name="_Toc20743"/>
      <w:r>
        <w:rPr>
          <w:rFonts w:hint="eastAsia" w:ascii="Times New Roman" w:hAnsi="Times New Roman" w:eastAsia="楷体_GB2312" w:cs="Times New Roman"/>
          <w:b/>
          <w:bCs w:val="0"/>
          <w:sz w:val="32"/>
          <w:szCs w:val="32"/>
        </w:rPr>
        <w:t>（五）离场规则</w:t>
      </w:r>
      <w:bookmarkEnd w:id="20"/>
      <w:bookmarkEnd w:id="21"/>
    </w:p>
    <w:p w14:paraId="37A5DCB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裁判长宣布终止比赛时，选手应立即停止工作（补时选手可以继续操作直至补时结束），并将所有竞赛资料放在工作台上。</w:t>
      </w:r>
    </w:p>
    <w:p w14:paraId="6210F632">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裁判检查完所有竞赛资料后，选手方可离开竞赛现场，不得带出任何竞赛实验室提供的设备、试剂及竞赛资料。</w:t>
      </w:r>
    </w:p>
    <w:p w14:paraId="626F0DBB">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22" w:name="_Toc17548"/>
      <w:r>
        <w:rPr>
          <w:rFonts w:hint="eastAsia" w:ascii="Times New Roman" w:hAnsi="Times New Roman" w:eastAsia="楷体_GB2312" w:cs="Times New Roman"/>
          <w:b/>
          <w:bCs w:val="0"/>
          <w:sz w:val="32"/>
          <w:szCs w:val="32"/>
        </w:rPr>
        <w:t>（六）成绩管理</w:t>
      </w:r>
      <w:bookmarkEnd w:id="22"/>
    </w:p>
    <w:p w14:paraId="563A8D21">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成绩评定实行“裁判长负责制”，设裁判长1名，全面负责赛项的裁判分工、裁判评分审核、处理比赛中出现的争议问题等工作。现场裁判负责按规定做好赛场记录、评定过程得分，阅卷裁判负责对数值型结果和工作报告撰写质量进行评阅打分。</w:t>
      </w:r>
    </w:p>
    <w:p w14:paraId="6FD27E59">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监督仲裁组对成绩评定工作进行全程监督，对竞赛成绩抽检复核，对参赛队领队提出的申诉组织复议，及时反馈复议结果。</w:t>
      </w:r>
    </w:p>
    <w:p w14:paraId="4E81E4A4">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裁判长复核评分结果无误后，进行逐级解密，最后由赛项执委会按规定进行竞赛成绩的公示、公布。</w:t>
      </w:r>
    </w:p>
    <w:p w14:paraId="4CA747F2">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23" w:name="_Toc22860"/>
      <w:r>
        <w:rPr>
          <w:rFonts w:hint="default" w:cs="Times New Roman"/>
          <w:b/>
          <w:sz w:val="28"/>
          <w:szCs w:val="28"/>
          <w:lang w:val="en-US" w:eastAsia="zh-CN"/>
        </w:rPr>
        <w:t>七、技术规范</w:t>
      </w:r>
      <w:bookmarkEnd w:id="23"/>
    </w:p>
    <w:p w14:paraId="18A9ECAE">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24" w:name="_Toc481313999"/>
      <w:bookmarkStart w:id="25" w:name="_Toc511975431"/>
      <w:bookmarkStart w:id="26" w:name="_Toc8697"/>
      <w:bookmarkStart w:id="27" w:name="_Toc511975569"/>
      <w:bookmarkStart w:id="28" w:name="_Toc51745441"/>
      <w:bookmarkStart w:id="29" w:name="_Toc15377"/>
      <w:r>
        <w:rPr>
          <w:rFonts w:hint="eastAsia" w:ascii="Times New Roman" w:hAnsi="Times New Roman" w:eastAsia="楷体_GB2312" w:cs="Times New Roman"/>
          <w:b/>
          <w:bCs w:val="0"/>
          <w:sz w:val="32"/>
          <w:szCs w:val="32"/>
        </w:rPr>
        <w:t>（一）选手能力</w:t>
      </w:r>
      <w:bookmarkEnd w:id="24"/>
      <w:bookmarkEnd w:id="25"/>
      <w:bookmarkEnd w:id="26"/>
      <w:bookmarkEnd w:id="27"/>
      <w:r>
        <w:rPr>
          <w:rFonts w:hint="eastAsia" w:ascii="Times New Roman" w:hAnsi="Times New Roman" w:eastAsia="楷体_GB2312" w:cs="Times New Roman"/>
          <w:b/>
          <w:bCs w:val="0"/>
          <w:sz w:val="32"/>
          <w:szCs w:val="32"/>
        </w:rPr>
        <w:t>标准规范</w:t>
      </w:r>
      <w:bookmarkEnd w:id="28"/>
      <w:bookmarkEnd w:id="29"/>
    </w:p>
    <w:p w14:paraId="538F1978">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本赛项依据《中华人民共和国职业分类大典（2022年版）》中</w:t>
      </w:r>
      <w:r>
        <w:rPr>
          <w:rFonts w:hint="eastAsia" w:ascii="Times New Roman" w:hAnsi="Times New Roman" w:eastAsia="仿宋_GB2312" w:cs="仿宋_GB2312"/>
          <w:sz w:val="28"/>
          <w:szCs w:val="28"/>
          <w:lang w:val="en-US" w:eastAsia="zh-CN"/>
        </w:rPr>
        <w:t>化学检验员（6-31-03-01）等</w:t>
      </w:r>
      <w:r>
        <w:rPr>
          <w:rFonts w:hint="eastAsia" w:ascii="Times New Roman" w:hAnsi="Times New Roman" w:eastAsia="仿宋_GB2312" w:cs="仿宋_GB2312"/>
          <w:sz w:val="28"/>
          <w:szCs w:val="28"/>
        </w:rPr>
        <w:t>职业的工作任务描述，继承和发展往届全国职业院校技能大赛化学实验技术赛项的有效经验和做法，进一步完善选手能力标准规范，作为竞赛选手训练及准备的指南。</w:t>
      </w:r>
    </w:p>
    <w:p w14:paraId="445ECA81">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选手能力标准规范分为7个部分，每部分权重采用总分的百分比来表示。竞赛模块及评分标准设计应尽可能地反映标准规范中所列知识点、技能点。</w:t>
      </w:r>
    </w:p>
    <w:p w14:paraId="39FBA0A1">
      <w:pPr>
        <w:pageBreakBefore w:val="0"/>
        <w:widowControl w:val="0"/>
        <w:kinsoku/>
        <w:wordWrap/>
        <w:overflowPunct/>
        <w:topLinePunct w:val="0"/>
        <w:bidi w:val="0"/>
        <w:spacing w:before="156" w:beforeLines="50" w:after="156" w:afterLines="50" w:line="540" w:lineRule="exact"/>
        <w:jc w:val="center"/>
        <w:textAlignment w:val="auto"/>
        <w:rPr>
          <w:rFonts w:hint="eastAsia" w:ascii="仿宋_GB2312" w:hAnsi="仿宋_GB2312" w:eastAsia="仿宋_GB2312" w:cs="仿宋_GB2312"/>
          <w:b/>
          <w:bCs/>
          <w:color w:val="000000"/>
          <w:sz w:val="28"/>
          <w:szCs w:val="28"/>
        </w:rPr>
      </w:pPr>
    </w:p>
    <w:p w14:paraId="171E99BA">
      <w:pPr>
        <w:pageBreakBefore w:val="0"/>
        <w:widowControl w:val="0"/>
        <w:kinsoku/>
        <w:wordWrap/>
        <w:overflowPunct/>
        <w:topLinePunct w:val="0"/>
        <w:bidi w:val="0"/>
        <w:spacing w:before="156" w:beforeLines="50" w:after="156" w:afterLines="50" w:line="54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表2  选手能力标准规范</w:t>
      </w:r>
    </w:p>
    <w:tbl>
      <w:tblPr>
        <w:tblStyle w:val="9"/>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91"/>
        <w:gridCol w:w="5168"/>
        <w:gridCol w:w="1237"/>
      </w:tblGrid>
      <w:tr w14:paraId="6EC53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1891" w:type="dxa"/>
            <w:noWrap w:val="0"/>
            <w:vAlign w:val="center"/>
          </w:tcPr>
          <w:p w14:paraId="7939F5C8">
            <w:pPr>
              <w:pageBreakBefore w:val="0"/>
              <w:widowControl w:val="0"/>
              <w:kinsoku/>
              <w:wordWrap/>
              <w:overflowPunct/>
              <w:topLinePunct w:val="0"/>
              <w:bidi w:val="0"/>
              <w:spacing w:line="540" w:lineRule="exact"/>
              <w:ind w:right="210" w:rightChars="1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标准规范类别</w:t>
            </w:r>
          </w:p>
        </w:tc>
        <w:tc>
          <w:tcPr>
            <w:tcW w:w="5168" w:type="dxa"/>
            <w:noWrap w:val="0"/>
            <w:vAlign w:val="center"/>
          </w:tcPr>
          <w:p w14:paraId="70F6A474">
            <w:pPr>
              <w:pageBreakBefore w:val="0"/>
              <w:widowControl w:val="0"/>
              <w:kinsoku/>
              <w:wordWrap/>
              <w:overflowPunct/>
              <w:topLinePunct w:val="0"/>
              <w:bidi w:val="0"/>
              <w:spacing w:line="540" w:lineRule="exact"/>
              <w:ind w:right="210" w:rightChars="100"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主要内容</w:t>
            </w:r>
          </w:p>
        </w:tc>
        <w:tc>
          <w:tcPr>
            <w:tcW w:w="1237" w:type="dxa"/>
            <w:noWrap w:val="0"/>
            <w:vAlign w:val="center"/>
          </w:tcPr>
          <w:p w14:paraId="3A574732">
            <w:pPr>
              <w:pageBreakBefore w:val="0"/>
              <w:widowControl w:val="0"/>
              <w:kinsoku/>
              <w:wordWrap/>
              <w:overflowPunct/>
              <w:topLinePunct w:val="0"/>
              <w:bidi w:val="0"/>
              <w:spacing w:line="540" w:lineRule="exact"/>
              <w:ind w:right="210" w:rightChars="1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 xml:space="preserve"> 权重</w:t>
            </w:r>
          </w:p>
        </w:tc>
      </w:tr>
      <w:tr w14:paraId="590AA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0FA72387">
            <w:pPr>
              <w:keepNext w:val="0"/>
              <w:keepLines w:val="0"/>
              <w:pageBreakBefore w:val="0"/>
              <w:widowControl w:val="0"/>
              <w:kinsoku/>
              <w:wordWrap/>
              <w:overflowPunct/>
              <w:topLinePunct w:val="0"/>
              <w:bidi w:val="0"/>
              <w:adjustRightInd/>
              <w:snapToGrid/>
              <w:spacing w:line="500" w:lineRule="exact"/>
              <w:textAlignment w:val="auto"/>
              <w:rPr>
                <w:rFonts w:hint="default" w:ascii="Times New Roman" w:hAnsi="Times New Roman" w:eastAsia="仿宋_GB2312"/>
                <w:sz w:val="21"/>
                <w:szCs w:val="21"/>
                <w:lang w:val="en-US" w:eastAsia="zh-CN"/>
              </w:rPr>
            </w:pPr>
            <w:r>
              <w:rPr>
                <w:rFonts w:hint="eastAsia" w:ascii="Times New Roman" w:hAnsi="Times New Roman" w:eastAsia="仿宋_GB2312"/>
                <w:sz w:val="21"/>
                <w:szCs w:val="21"/>
                <w:lang w:val="en-US" w:eastAsia="zh-CN"/>
              </w:rPr>
              <w:t>健康、安全和环境管控</w:t>
            </w:r>
          </w:p>
        </w:tc>
        <w:tc>
          <w:tcPr>
            <w:tcW w:w="5168" w:type="dxa"/>
            <w:noWrap w:val="0"/>
            <w:vAlign w:val="center"/>
          </w:tcPr>
          <w:p w14:paraId="6C27E817">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1.理解健康和安全相关法律、法规，能够采取最佳防护措施</w:t>
            </w:r>
          </w:p>
          <w:p w14:paraId="2E2F4E6D">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2.制定工作计划及进程安排，组织实施并完成工作任务</w:t>
            </w:r>
          </w:p>
          <w:p w14:paraId="2E72FFB4">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3.具备安全处置或回收化学物质的能力</w:t>
            </w:r>
          </w:p>
        </w:tc>
        <w:tc>
          <w:tcPr>
            <w:tcW w:w="1237" w:type="dxa"/>
            <w:noWrap w:val="0"/>
            <w:vAlign w:val="center"/>
          </w:tcPr>
          <w:p w14:paraId="0DC2E998">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5</w:t>
            </w:r>
            <w:r>
              <w:rPr>
                <w:rFonts w:ascii="Times New Roman" w:hAnsi="Times New Roman" w:eastAsia="仿宋_GB2312"/>
                <w:sz w:val="21"/>
                <w:szCs w:val="21"/>
              </w:rPr>
              <w:t xml:space="preserve"> %</w:t>
            </w:r>
          </w:p>
        </w:tc>
      </w:tr>
      <w:tr w14:paraId="43483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615F9A01">
            <w:pPr>
              <w:keepNext w:val="0"/>
              <w:keepLines w:val="0"/>
              <w:pageBreakBefore w:val="0"/>
              <w:widowControl w:val="0"/>
              <w:kinsoku/>
              <w:wordWrap/>
              <w:overflowPunct/>
              <w:topLinePunct w:val="0"/>
              <w:bidi w:val="0"/>
              <w:adjustRightInd/>
              <w:snapToGrid/>
              <w:spacing w:line="500" w:lineRule="exact"/>
              <w:ind w:right="210" w:rightChars="100"/>
              <w:textAlignment w:val="auto"/>
              <w:rPr>
                <w:rFonts w:hint="eastAsia" w:ascii="Times New Roman" w:hAnsi="Times New Roman" w:eastAsia="仿宋_GB2312"/>
                <w:sz w:val="21"/>
                <w:szCs w:val="21"/>
                <w:lang w:eastAsia="zh-CN"/>
              </w:rPr>
            </w:pPr>
            <w:r>
              <w:rPr>
                <w:rFonts w:hint="eastAsia" w:ascii="Times New Roman" w:hAnsi="Times New Roman" w:eastAsia="仿宋_GB2312"/>
                <w:sz w:val="21"/>
                <w:szCs w:val="21"/>
                <w:lang w:val="en-US" w:eastAsia="zh-CN"/>
              </w:rPr>
              <w:t>检验准备</w:t>
            </w:r>
          </w:p>
        </w:tc>
        <w:tc>
          <w:tcPr>
            <w:tcW w:w="5168" w:type="dxa"/>
            <w:noWrap w:val="0"/>
            <w:vAlign w:val="center"/>
          </w:tcPr>
          <w:p w14:paraId="38BFD0B9">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hint="default" w:ascii="Times New Roman" w:hAnsi="Times New Roman" w:eastAsia="仿宋_GB2312" w:cs="Times New Roman"/>
                <w:color w:val="auto"/>
                <w:kern w:val="2"/>
                <w:sz w:val="21"/>
                <w:szCs w:val="21"/>
                <w:lang w:val="en-US" w:eastAsia="zh-CN"/>
              </w:rPr>
            </w:pPr>
            <w:r>
              <w:rPr>
                <w:rFonts w:ascii="Times New Roman" w:eastAsia="仿宋_GB2312" w:cs="Times New Roman"/>
                <w:color w:val="auto"/>
                <w:kern w:val="2"/>
                <w:sz w:val="21"/>
                <w:szCs w:val="21"/>
              </w:rPr>
              <w:t>1.</w:t>
            </w:r>
            <w:r>
              <w:rPr>
                <w:rFonts w:ascii="Times New Roman" w:hAnsi="Times New Roman" w:eastAsia="仿宋_GB2312" w:cs="Times New Roman"/>
                <w:color w:val="auto"/>
                <w:kern w:val="2"/>
                <w:sz w:val="21"/>
                <w:szCs w:val="21"/>
              </w:rPr>
              <w:t>能识读含</w:t>
            </w:r>
            <w:r>
              <w:rPr>
                <w:rFonts w:hint="eastAsia" w:ascii="Times New Roman" w:hAnsi="Times New Roman" w:eastAsia="仿宋_GB2312" w:cs="Times New Roman"/>
                <w:color w:val="auto"/>
                <w:kern w:val="2"/>
                <w:sz w:val="21"/>
                <w:szCs w:val="21"/>
                <w:lang w:val="en-US" w:eastAsia="zh-CN"/>
              </w:rPr>
              <w:t>待测</w:t>
            </w:r>
            <w:r>
              <w:rPr>
                <w:rFonts w:hint="default" w:ascii="Times New Roman" w:hAnsi="Times New Roman" w:eastAsia="仿宋_GB2312" w:cs="Times New Roman"/>
                <w:color w:val="auto"/>
                <w:kern w:val="2"/>
                <w:sz w:val="21"/>
                <w:szCs w:val="21"/>
              </w:rPr>
              <w:t>组分的样品检验方案</w:t>
            </w:r>
          </w:p>
          <w:p w14:paraId="24A7C974">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hint="default" w:ascii="Times New Roman" w:eastAsia="仿宋_GB2312" w:cs="Times New Roman"/>
                <w:color w:val="auto"/>
                <w:kern w:val="2"/>
                <w:sz w:val="21"/>
                <w:szCs w:val="21"/>
                <w:lang w:val="en-US" w:eastAsia="zh-CN"/>
              </w:rPr>
            </w:pPr>
            <w:r>
              <w:rPr>
                <w:rFonts w:ascii="Times New Roman" w:eastAsia="仿宋_GB2312" w:cs="Times New Roman"/>
                <w:color w:val="auto"/>
                <w:kern w:val="2"/>
                <w:sz w:val="21"/>
                <w:szCs w:val="21"/>
              </w:rPr>
              <w:t>2.</w:t>
            </w:r>
            <w:r>
              <w:rPr>
                <w:rFonts w:hint="eastAsia" w:ascii="Times New Roman" w:eastAsia="仿宋_GB2312" w:cs="Times New Roman"/>
                <w:color w:val="auto"/>
                <w:kern w:val="2"/>
                <w:sz w:val="21"/>
                <w:szCs w:val="21"/>
                <w:lang w:val="en-US" w:eastAsia="zh-CN"/>
              </w:rPr>
              <w:t>能选用方案所需的试剂和仪器设备</w:t>
            </w:r>
          </w:p>
          <w:p w14:paraId="593AA18E">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hAnsi="Times New Roman" w:eastAsia="仿宋_GB2312"/>
                <w:sz w:val="21"/>
                <w:szCs w:val="21"/>
              </w:rPr>
            </w:pPr>
            <w:r>
              <w:rPr>
                <w:rFonts w:hint="eastAsia" w:ascii="Times New Roman" w:eastAsia="仿宋_GB2312" w:cs="Times New Roman"/>
                <w:color w:val="auto"/>
                <w:kern w:val="2"/>
                <w:sz w:val="21"/>
                <w:szCs w:val="21"/>
                <w:lang w:val="en-US" w:eastAsia="zh-CN"/>
              </w:rPr>
              <w:t>3</w:t>
            </w:r>
            <w:r>
              <w:rPr>
                <w:rFonts w:ascii="Times New Roman" w:eastAsia="仿宋_GB2312" w:cs="Times New Roman"/>
                <w:color w:val="auto"/>
                <w:kern w:val="2"/>
                <w:sz w:val="21"/>
                <w:szCs w:val="21"/>
              </w:rPr>
              <w:t>.阅读并应用与任务相关的技术文件</w:t>
            </w:r>
          </w:p>
        </w:tc>
        <w:tc>
          <w:tcPr>
            <w:tcW w:w="1237" w:type="dxa"/>
            <w:noWrap w:val="0"/>
            <w:vAlign w:val="center"/>
          </w:tcPr>
          <w:p w14:paraId="59CD9990">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5</w:t>
            </w:r>
            <w:r>
              <w:rPr>
                <w:rFonts w:ascii="Times New Roman" w:hAnsi="Times New Roman" w:eastAsia="仿宋_GB2312"/>
                <w:sz w:val="21"/>
                <w:szCs w:val="21"/>
              </w:rPr>
              <w:t xml:space="preserve"> %</w:t>
            </w:r>
          </w:p>
        </w:tc>
      </w:tr>
      <w:tr w14:paraId="1C37A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7CD6BC12">
            <w:pPr>
              <w:keepNext w:val="0"/>
              <w:keepLines w:val="0"/>
              <w:pageBreakBefore w:val="0"/>
              <w:widowControl w:val="0"/>
              <w:kinsoku/>
              <w:wordWrap/>
              <w:overflowPunct/>
              <w:topLinePunct w:val="0"/>
              <w:bidi w:val="0"/>
              <w:adjustRightInd/>
              <w:snapToGrid/>
              <w:spacing w:line="500" w:lineRule="exact"/>
              <w:ind w:right="210" w:rightChars="100"/>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检验与测定</w:t>
            </w:r>
          </w:p>
        </w:tc>
        <w:tc>
          <w:tcPr>
            <w:tcW w:w="5168" w:type="dxa"/>
            <w:noWrap w:val="0"/>
            <w:vAlign w:val="center"/>
          </w:tcPr>
          <w:p w14:paraId="60212244">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1.掌握无机化学、有机化学、分析化学及物理的基本知识及应用</w:t>
            </w:r>
          </w:p>
          <w:p w14:paraId="160EAE27">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2.掌握</w:t>
            </w:r>
            <w:r>
              <w:rPr>
                <w:rFonts w:hint="eastAsia" w:ascii="Times New Roman" w:eastAsia="仿宋_GB2312" w:cs="Times New Roman"/>
                <w:color w:val="auto"/>
                <w:kern w:val="2"/>
                <w:sz w:val="21"/>
                <w:szCs w:val="21"/>
                <w:lang w:val="en-US" w:eastAsia="zh-CN"/>
              </w:rPr>
              <w:t>化学</w:t>
            </w:r>
            <w:r>
              <w:rPr>
                <w:rFonts w:ascii="Times New Roman" w:eastAsia="仿宋_GB2312" w:cs="Times New Roman"/>
                <w:color w:val="auto"/>
                <w:kern w:val="2"/>
                <w:sz w:val="21"/>
                <w:szCs w:val="21"/>
              </w:rPr>
              <w:t>实验室技术和科学实验的</w:t>
            </w:r>
            <w:r>
              <w:rPr>
                <w:rFonts w:ascii="Times New Roman" w:hAnsi="Times New Roman" w:eastAsia="仿宋_GB2312"/>
                <w:sz w:val="21"/>
                <w:szCs w:val="21"/>
              </w:rPr>
              <w:t>程序和方法</w:t>
            </w:r>
          </w:p>
          <w:p w14:paraId="2EAFB35E">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3.具有分析方法和仪器的开发、验证能力</w:t>
            </w:r>
          </w:p>
        </w:tc>
        <w:tc>
          <w:tcPr>
            <w:tcW w:w="1237" w:type="dxa"/>
            <w:noWrap w:val="0"/>
            <w:vAlign w:val="center"/>
          </w:tcPr>
          <w:p w14:paraId="4EEF24A1">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60</w:t>
            </w:r>
            <w:r>
              <w:rPr>
                <w:rFonts w:ascii="Times New Roman" w:hAnsi="Times New Roman" w:eastAsia="仿宋_GB2312"/>
                <w:sz w:val="21"/>
                <w:szCs w:val="21"/>
              </w:rPr>
              <w:t xml:space="preserve"> %</w:t>
            </w:r>
          </w:p>
        </w:tc>
      </w:tr>
      <w:tr w14:paraId="3B20C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407F696B">
            <w:pPr>
              <w:keepNext w:val="0"/>
              <w:keepLines w:val="0"/>
              <w:pageBreakBefore w:val="0"/>
              <w:widowControl w:val="0"/>
              <w:kinsoku/>
              <w:wordWrap/>
              <w:overflowPunct/>
              <w:topLinePunct w:val="0"/>
              <w:bidi w:val="0"/>
              <w:adjustRightInd/>
              <w:snapToGrid/>
              <w:spacing w:line="500" w:lineRule="exact"/>
              <w:ind w:right="210" w:rightChars="100"/>
              <w:textAlignment w:val="auto"/>
              <w:rPr>
                <w:rFonts w:ascii="Times New Roman" w:hAnsi="Times New Roman" w:eastAsia="仿宋_GB2312"/>
                <w:sz w:val="21"/>
                <w:szCs w:val="21"/>
              </w:rPr>
            </w:pPr>
            <w:r>
              <w:rPr>
                <w:rFonts w:ascii="Times New Roman" w:hAnsi="Times New Roman" w:eastAsia="仿宋_GB2312"/>
                <w:sz w:val="21"/>
                <w:szCs w:val="21"/>
              </w:rPr>
              <w:t>数据处理和记录保存</w:t>
            </w:r>
          </w:p>
        </w:tc>
        <w:tc>
          <w:tcPr>
            <w:tcW w:w="5168" w:type="dxa"/>
            <w:noWrap w:val="0"/>
            <w:vAlign w:val="center"/>
          </w:tcPr>
          <w:p w14:paraId="501BBBDC">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1.能对实验工作进行记录并保留文档</w:t>
            </w:r>
          </w:p>
          <w:p w14:paraId="58BD2DD6">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2.能够对实验数据进行的整理和处理</w:t>
            </w:r>
          </w:p>
          <w:p w14:paraId="1EE8E228">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3.能书面呈现实验工作和问题解决的结果</w:t>
            </w:r>
          </w:p>
        </w:tc>
        <w:tc>
          <w:tcPr>
            <w:tcW w:w="1237" w:type="dxa"/>
            <w:noWrap w:val="0"/>
            <w:vAlign w:val="center"/>
          </w:tcPr>
          <w:p w14:paraId="2A90D5EA">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10</w:t>
            </w:r>
            <w:r>
              <w:rPr>
                <w:rFonts w:ascii="Times New Roman" w:hAnsi="Times New Roman" w:eastAsia="仿宋_GB2312"/>
                <w:sz w:val="21"/>
                <w:szCs w:val="21"/>
              </w:rPr>
              <w:t xml:space="preserve"> %</w:t>
            </w:r>
          </w:p>
        </w:tc>
      </w:tr>
      <w:tr w14:paraId="2FA13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3E5EB85B">
            <w:pPr>
              <w:keepNext w:val="0"/>
              <w:keepLines w:val="0"/>
              <w:pageBreakBefore w:val="0"/>
              <w:widowControl w:val="0"/>
              <w:kinsoku/>
              <w:wordWrap/>
              <w:overflowPunct/>
              <w:topLinePunct w:val="0"/>
              <w:bidi w:val="0"/>
              <w:adjustRightInd/>
              <w:snapToGrid/>
              <w:spacing w:line="500" w:lineRule="exact"/>
              <w:ind w:right="210" w:rightChars="100"/>
              <w:textAlignment w:val="auto"/>
              <w:rPr>
                <w:rFonts w:ascii="Times New Roman" w:hAnsi="Times New Roman" w:eastAsia="仿宋_GB2312"/>
                <w:sz w:val="21"/>
                <w:szCs w:val="21"/>
              </w:rPr>
            </w:pPr>
            <w:r>
              <w:rPr>
                <w:rFonts w:ascii="Times New Roman" w:hAnsi="Times New Roman" w:eastAsia="仿宋_GB2312"/>
                <w:sz w:val="21"/>
                <w:szCs w:val="21"/>
              </w:rPr>
              <w:t>分析、解释和评价</w:t>
            </w:r>
          </w:p>
        </w:tc>
        <w:tc>
          <w:tcPr>
            <w:tcW w:w="5168" w:type="dxa"/>
            <w:noWrap w:val="0"/>
            <w:vAlign w:val="center"/>
          </w:tcPr>
          <w:p w14:paraId="0A4C320A">
            <w:pPr>
              <w:pStyle w:val="14"/>
              <w:keepNext w:val="0"/>
              <w:keepLines w:val="0"/>
              <w:pageBreakBefore w:val="0"/>
              <w:widowControl w:val="0"/>
              <w:kinsoku/>
              <w:wordWrap/>
              <w:overflowPunct/>
              <w:topLinePunct w:val="0"/>
              <w:bidi w:val="0"/>
              <w:adjustRightInd/>
              <w:snapToGrid/>
              <w:spacing w:line="500" w:lineRule="exact"/>
              <w:ind w:left="420" w:firstLine="0" w:firstLineChars="0"/>
              <w:textAlignment w:val="auto"/>
              <w:rPr>
                <w:rFonts w:ascii="Times New Roman" w:hAnsi="Times New Roman" w:eastAsia="仿宋_GB2312"/>
                <w:sz w:val="21"/>
                <w:szCs w:val="21"/>
              </w:rPr>
            </w:pPr>
            <w:r>
              <w:rPr>
                <w:rFonts w:ascii="Times New Roman" w:hAnsi="Times New Roman" w:eastAsia="仿宋_GB2312"/>
                <w:sz w:val="21"/>
                <w:szCs w:val="21"/>
              </w:rPr>
              <w:t>1.科学数据分析中使用的数学和统计方法</w:t>
            </w:r>
          </w:p>
          <w:p w14:paraId="1D1E83D9">
            <w:pPr>
              <w:pStyle w:val="14"/>
              <w:keepNext w:val="0"/>
              <w:keepLines w:val="0"/>
              <w:pageBreakBefore w:val="0"/>
              <w:widowControl w:val="0"/>
              <w:kinsoku/>
              <w:wordWrap/>
              <w:overflowPunct/>
              <w:topLinePunct w:val="0"/>
              <w:bidi w:val="0"/>
              <w:adjustRightInd/>
              <w:snapToGrid/>
              <w:spacing w:line="500" w:lineRule="exact"/>
              <w:ind w:left="420" w:firstLine="0" w:firstLineChars="0"/>
              <w:textAlignment w:val="auto"/>
              <w:rPr>
                <w:rFonts w:ascii="Times New Roman" w:hAnsi="Times New Roman" w:eastAsia="仿宋_GB2312"/>
                <w:sz w:val="21"/>
                <w:szCs w:val="21"/>
              </w:rPr>
            </w:pPr>
            <w:r>
              <w:rPr>
                <w:rFonts w:ascii="Times New Roman" w:hAnsi="Times New Roman" w:eastAsia="仿宋_GB2312"/>
                <w:sz w:val="21"/>
                <w:szCs w:val="21"/>
              </w:rPr>
              <w:t>2.误差的性质、概率、来源和类型</w:t>
            </w:r>
          </w:p>
          <w:p w14:paraId="15254BBB">
            <w:pPr>
              <w:pStyle w:val="14"/>
              <w:keepNext w:val="0"/>
              <w:keepLines w:val="0"/>
              <w:pageBreakBefore w:val="0"/>
              <w:widowControl w:val="0"/>
              <w:kinsoku/>
              <w:wordWrap/>
              <w:overflowPunct/>
              <w:topLinePunct w:val="0"/>
              <w:bidi w:val="0"/>
              <w:adjustRightInd/>
              <w:snapToGrid/>
              <w:spacing w:line="500" w:lineRule="exact"/>
              <w:ind w:left="420" w:firstLine="0" w:firstLineChars="0"/>
              <w:textAlignment w:val="auto"/>
              <w:rPr>
                <w:rFonts w:ascii="Times New Roman" w:hAnsi="Times New Roman" w:eastAsia="仿宋_GB2312"/>
                <w:sz w:val="21"/>
                <w:szCs w:val="21"/>
              </w:rPr>
            </w:pPr>
            <w:r>
              <w:rPr>
                <w:rFonts w:ascii="Times New Roman" w:hAnsi="Times New Roman" w:eastAsia="仿宋_GB2312"/>
                <w:sz w:val="21"/>
                <w:szCs w:val="21"/>
              </w:rPr>
              <w:t xml:space="preserve">3.质量控制的原则和方法 </w:t>
            </w:r>
          </w:p>
          <w:p w14:paraId="42346F07">
            <w:pPr>
              <w:pStyle w:val="14"/>
              <w:keepNext w:val="0"/>
              <w:keepLines w:val="0"/>
              <w:pageBreakBefore w:val="0"/>
              <w:widowControl w:val="0"/>
              <w:kinsoku/>
              <w:wordWrap/>
              <w:overflowPunct/>
              <w:topLinePunct w:val="0"/>
              <w:bidi w:val="0"/>
              <w:adjustRightInd/>
              <w:snapToGrid/>
              <w:spacing w:line="500" w:lineRule="exact"/>
              <w:ind w:left="420" w:firstLine="0" w:firstLineChars="0"/>
              <w:textAlignment w:val="auto"/>
              <w:rPr>
                <w:rFonts w:ascii="Times New Roman" w:hAnsi="Times New Roman" w:eastAsia="仿宋_GB2312"/>
                <w:sz w:val="21"/>
                <w:szCs w:val="21"/>
              </w:rPr>
            </w:pPr>
            <w:r>
              <w:rPr>
                <w:rFonts w:ascii="Times New Roman" w:hAnsi="Times New Roman" w:eastAsia="仿宋_GB2312"/>
                <w:sz w:val="21"/>
                <w:szCs w:val="21"/>
              </w:rPr>
              <w:t>4.持续改进的原则和应用</w:t>
            </w:r>
          </w:p>
        </w:tc>
        <w:tc>
          <w:tcPr>
            <w:tcW w:w="1237" w:type="dxa"/>
            <w:noWrap w:val="0"/>
            <w:vAlign w:val="center"/>
          </w:tcPr>
          <w:p w14:paraId="39725D52">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ascii="Times New Roman" w:hAnsi="Times New Roman" w:eastAsia="仿宋_GB2312"/>
                <w:sz w:val="21"/>
                <w:szCs w:val="21"/>
              </w:rPr>
              <w:t>15 %</w:t>
            </w:r>
          </w:p>
        </w:tc>
      </w:tr>
      <w:tr w14:paraId="092C3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jc w:val="center"/>
        </w:trPr>
        <w:tc>
          <w:tcPr>
            <w:tcW w:w="1891" w:type="dxa"/>
            <w:noWrap w:val="0"/>
            <w:vAlign w:val="center"/>
          </w:tcPr>
          <w:p w14:paraId="1FDC9D28">
            <w:pPr>
              <w:keepNext w:val="0"/>
              <w:keepLines w:val="0"/>
              <w:pageBreakBefore w:val="0"/>
              <w:widowControl w:val="0"/>
              <w:kinsoku/>
              <w:wordWrap/>
              <w:overflowPunct/>
              <w:topLinePunct w:val="0"/>
              <w:bidi w:val="0"/>
              <w:adjustRightInd/>
              <w:snapToGrid/>
              <w:spacing w:line="500" w:lineRule="exact"/>
              <w:textAlignment w:val="auto"/>
              <w:rPr>
                <w:rFonts w:ascii="Times New Roman" w:hAnsi="Times New Roman" w:eastAsia="仿宋_GB2312"/>
                <w:sz w:val="21"/>
                <w:szCs w:val="21"/>
              </w:rPr>
            </w:pPr>
            <w:r>
              <w:rPr>
                <w:rFonts w:ascii="Times New Roman" w:hAnsi="Times New Roman" w:eastAsia="仿宋_GB2312"/>
                <w:sz w:val="21"/>
                <w:szCs w:val="21"/>
              </w:rPr>
              <w:t>应用科学方法解决问题</w:t>
            </w:r>
          </w:p>
        </w:tc>
        <w:tc>
          <w:tcPr>
            <w:tcW w:w="5168" w:type="dxa"/>
            <w:noWrap w:val="0"/>
            <w:vAlign w:val="center"/>
          </w:tcPr>
          <w:p w14:paraId="7DF53F26">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ascii="Times New Roman" w:eastAsia="仿宋_GB2312" w:cs="Times New Roman"/>
                <w:color w:val="auto"/>
                <w:kern w:val="2"/>
                <w:sz w:val="21"/>
                <w:szCs w:val="21"/>
              </w:rPr>
              <w:t>1.识别出现问题的可能性，应用适当的科学方法确定原因并获得解决方案</w:t>
            </w:r>
          </w:p>
          <w:p w14:paraId="705B11EB">
            <w:pPr>
              <w:pStyle w:val="15"/>
              <w:keepNext w:val="0"/>
              <w:keepLines w:val="0"/>
              <w:pageBreakBefore w:val="0"/>
              <w:widowControl w:val="0"/>
              <w:kinsoku/>
              <w:wordWrap/>
              <w:overflowPunct/>
              <w:topLinePunct w:val="0"/>
              <w:bidi w:val="0"/>
              <w:adjustRightInd/>
              <w:snapToGrid/>
              <w:spacing w:line="500" w:lineRule="exact"/>
              <w:ind w:left="420"/>
              <w:jc w:val="both"/>
              <w:textAlignment w:val="auto"/>
              <w:rPr>
                <w:rFonts w:ascii="Times New Roman" w:eastAsia="仿宋_GB2312" w:cs="Times New Roman"/>
                <w:color w:val="auto"/>
                <w:kern w:val="2"/>
                <w:sz w:val="21"/>
                <w:szCs w:val="21"/>
              </w:rPr>
            </w:pPr>
            <w:r>
              <w:rPr>
                <w:rFonts w:hint="eastAsia" w:ascii="Times New Roman" w:eastAsia="仿宋_GB2312" w:cs="Times New Roman"/>
                <w:color w:val="auto"/>
                <w:kern w:val="2"/>
                <w:sz w:val="21"/>
                <w:szCs w:val="21"/>
                <w:lang w:val="en-US" w:eastAsia="zh-CN"/>
              </w:rPr>
              <w:t>2</w:t>
            </w:r>
            <w:r>
              <w:rPr>
                <w:rFonts w:ascii="Times New Roman" w:eastAsia="仿宋_GB2312" w:cs="Times New Roman"/>
                <w:color w:val="auto"/>
                <w:kern w:val="2"/>
                <w:sz w:val="21"/>
                <w:szCs w:val="21"/>
              </w:rPr>
              <w:t>.提出改进工作流程或科学解决方案的建议</w:t>
            </w:r>
          </w:p>
        </w:tc>
        <w:tc>
          <w:tcPr>
            <w:tcW w:w="1237" w:type="dxa"/>
            <w:noWrap w:val="0"/>
            <w:vAlign w:val="center"/>
          </w:tcPr>
          <w:p w14:paraId="720D3DE7">
            <w:pPr>
              <w:keepNext w:val="0"/>
              <w:keepLines w:val="0"/>
              <w:pageBreakBefore w:val="0"/>
              <w:widowControl w:val="0"/>
              <w:kinsoku/>
              <w:wordWrap/>
              <w:overflowPunct/>
              <w:topLinePunct w:val="0"/>
              <w:bidi w:val="0"/>
              <w:adjustRightInd/>
              <w:snapToGrid/>
              <w:spacing w:line="500" w:lineRule="exact"/>
              <w:jc w:val="center"/>
              <w:textAlignment w:val="auto"/>
              <w:rPr>
                <w:rFonts w:ascii="Times New Roman" w:hAnsi="Times New Roman" w:eastAsia="仿宋_GB2312"/>
                <w:sz w:val="21"/>
                <w:szCs w:val="21"/>
              </w:rPr>
            </w:pPr>
            <w:r>
              <w:rPr>
                <w:rFonts w:hint="eastAsia" w:ascii="Times New Roman" w:hAnsi="Times New Roman" w:eastAsia="仿宋_GB2312"/>
                <w:sz w:val="21"/>
                <w:szCs w:val="21"/>
                <w:lang w:val="en-US" w:eastAsia="zh-CN"/>
              </w:rPr>
              <w:t>5</w:t>
            </w:r>
            <w:r>
              <w:rPr>
                <w:rFonts w:ascii="Times New Roman" w:hAnsi="Times New Roman" w:eastAsia="仿宋_GB2312"/>
                <w:sz w:val="21"/>
                <w:szCs w:val="21"/>
              </w:rPr>
              <w:t xml:space="preserve"> %</w:t>
            </w:r>
          </w:p>
        </w:tc>
      </w:tr>
    </w:tbl>
    <w:p w14:paraId="5C642D35">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0" w:name="_Toc9193"/>
      <w:r>
        <w:rPr>
          <w:rFonts w:hint="eastAsia" w:ascii="Times New Roman" w:hAnsi="Times New Roman" w:eastAsia="楷体_GB2312" w:cs="Times New Roman"/>
          <w:b/>
          <w:bCs w:val="0"/>
          <w:sz w:val="32"/>
          <w:szCs w:val="32"/>
        </w:rPr>
        <w:t>（二）赛题技术标准规范</w:t>
      </w:r>
      <w:bookmarkEnd w:id="30"/>
    </w:p>
    <w:p w14:paraId="17CDAB75">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赛题内容主要依据高等职业学校化工技术类专业教学标准中实践性教学环节《无机化学实验》</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lang w:val="en-US" w:eastAsia="zh-CN"/>
        </w:rPr>
        <w:t>分析化学实验</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rPr>
        <w:t>设计，参考教材如下：</w:t>
      </w:r>
    </w:p>
    <w:p w14:paraId="6C84C994">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高职高专化学教材编写组. 无机化学实验（第</w:t>
      </w:r>
      <w:r>
        <w:rPr>
          <w:rFonts w:hint="eastAsia" w:ascii="Times New Roman" w:hAnsi="Times New Roman" w:eastAsia="仿宋_GB2312" w:cs="仿宋_GB2312"/>
          <w:sz w:val="28"/>
          <w:szCs w:val="28"/>
          <w:lang w:val="en-US" w:eastAsia="zh-CN"/>
        </w:rPr>
        <w:t>六</w:t>
      </w:r>
      <w:r>
        <w:rPr>
          <w:rFonts w:hint="eastAsia" w:ascii="Times New Roman" w:hAnsi="Times New Roman" w:eastAsia="仿宋_GB2312" w:cs="仿宋_GB2312"/>
          <w:sz w:val="28"/>
          <w:szCs w:val="28"/>
        </w:rPr>
        <w:t>版）[M]. 高等教育出版社: 202</w:t>
      </w:r>
      <w:r>
        <w:rPr>
          <w:rFonts w:hint="eastAsia" w:ascii="Times New Roman" w:hAnsi="Times New Roman" w:eastAsia="仿宋_GB2312" w:cs="仿宋_GB2312"/>
          <w:sz w:val="28"/>
          <w:szCs w:val="28"/>
          <w:lang w:val="en-US" w:eastAsia="zh-CN"/>
        </w:rPr>
        <w:t>4</w:t>
      </w:r>
      <w:r>
        <w:rPr>
          <w:rFonts w:hint="eastAsia" w:ascii="Times New Roman" w:hAnsi="Times New Roman" w:eastAsia="仿宋_GB2312" w:cs="仿宋_GB2312"/>
          <w:sz w:val="28"/>
          <w:szCs w:val="28"/>
        </w:rPr>
        <w:t>年.</w:t>
      </w:r>
    </w:p>
    <w:p w14:paraId="68DEC13D">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高职高专化学教材编写组. 分析化学实验（第</w:t>
      </w:r>
      <w:r>
        <w:rPr>
          <w:rFonts w:hint="eastAsia" w:ascii="Times New Roman" w:hAnsi="Times New Roman" w:eastAsia="仿宋_GB2312" w:cs="仿宋_GB2312"/>
          <w:sz w:val="28"/>
          <w:szCs w:val="28"/>
          <w:lang w:val="en-US" w:eastAsia="zh-CN"/>
        </w:rPr>
        <w:t>六</w:t>
      </w:r>
      <w:r>
        <w:rPr>
          <w:rFonts w:hint="eastAsia" w:ascii="Times New Roman" w:hAnsi="Times New Roman" w:eastAsia="仿宋_GB2312" w:cs="仿宋_GB2312"/>
          <w:sz w:val="28"/>
          <w:szCs w:val="28"/>
        </w:rPr>
        <w:t>版）[M]. 高等教育出版社: 202</w:t>
      </w:r>
      <w:r>
        <w:rPr>
          <w:rFonts w:hint="eastAsia" w:ascii="Times New Roman" w:hAnsi="Times New Roman" w:eastAsia="仿宋_GB2312" w:cs="仿宋_GB2312"/>
          <w:sz w:val="28"/>
          <w:szCs w:val="28"/>
          <w:lang w:val="en-US" w:eastAsia="zh-CN"/>
        </w:rPr>
        <w:t>4</w:t>
      </w:r>
      <w:r>
        <w:rPr>
          <w:rFonts w:hint="eastAsia" w:ascii="Times New Roman" w:hAnsi="Times New Roman" w:eastAsia="仿宋_GB2312" w:cs="仿宋_GB2312"/>
          <w:sz w:val="28"/>
          <w:szCs w:val="28"/>
        </w:rPr>
        <w:t>年.</w:t>
      </w:r>
    </w:p>
    <w:p w14:paraId="78C4CCD3">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赛题任务书中所涉及的试剂配制和产品分析方法，主要参考下列国家标准和行业标准：</w:t>
      </w:r>
    </w:p>
    <w:p w14:paraId="6A45FFFC">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GB/T 601-2016 化学试剂 标准滴定溶液的制备</w:t>
      </w:r>
    </w:p>
    <w:p w14:paraId="57617DC8">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JJG 196-2006  常用玻璃量器检定规程</w:t>
      </w:r>
    </w:p>
    <w:p w14:paraId="2F1F1C72">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GB/T 603-2002 试验方法中所用制剂及制品的制备</w:t>
      </w:r>
    </w:p>
    <w:p w14:paraId="2A8EFBCE">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GB/T 3049-2006 工业用化工产品 铁含量测定的通用方法 1,10-菲啰啉分光光度法</w:t>
      </w:r>
    </w:p>
    <w:p w14:paraId="7696B521">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31" w:name="_Toc8795"/>
      <w:r>
        <w:rPr>
          <w:rFonts w:hint="default" w:cs="Times New Roman"/>
          <w:b/>
          <w:sz w:val="28"/>
          <w:szCs w:val="28"/>
          <w:lang w:val="en-US" w:eastAsia="zh-CN"/>
        </w:rPr>
        <w:t>八、技术环境</w:t>
      </w:r>
      <w:bookmarkEnd w:id="31"/>
    </w:p>
    <w:p w14:paraId="1D0D0523">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2" w:name="_Toc4547"/>
      <w:r>
        <w:rPr>
          <w:rFonts w:hint="eastAsia" w:ascii="Times New Roman" w:hAnsi="Times New Roman" w:eastAsia="楷体_GB2312" w:cs="Times New Roman"/>
          <w:b/>
          <w:bCs w:val="0"/>
          <w:sz w:val="32"/>
          <w:szCs w:val="32"/>
        </w:rPr>
        <w:t>（一）竞赛场地及环境设施要求</w:t>
      </w:r>
      <w:bookmarkEnd w:id="32"/>
    </w:p>
    <w:p w14:paraId="6B40F5F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比赛场地：能够容纳</w:t>
      </w:r>
      <w:r>
        <w:rPr>
          <w:rFonts w:hint="eastAsia" w:ascii="Times New Roman" w:hAnsi="Times New Roman" w:eastAsia="仿宋_GB2312" w:cs="仿宋_GB2312"/>
          <w:sz w:val="28"/>
          <w:szCs w:val="28"/>
          <w:lang w:val="en-US" w:eastAsia="zh-CN"/>
        </w:rPr>
        <w:t>24名</w:t>
      </w:r>
      <w:r>
        <w:rPr>
          <w:rFonts w:hint="eastAsia" w:ascii="Times New Roman" w:hAnsi="Times New Roman" w:eastAsia="仿宋_GB2312" w:cs="仿宋_GB2312"/>
          <w:sz w:val="28"/>
          <w:szCs w:val="28"/>
        </w:rPr>
        <w:t>参赛</w:t>
      </w:r>
      <w:r>
        <w:rPr>
          <w:rFonts w:hint="eastAsia" w:ascii="Times New Roman" w:hAnsi="Times New Roman" w:eastAsia="仿宋_GB2312" w:cs="仿宋_GB2312"/>
          <w:sz w:val="28"/>
          <w:szCs w:val="28"/>
          <w:lang w:val="en-US" w:eastAsia="zh-CN"/>
        </w:rPr>
        <w:t>选手</w:t>
      </w:r>
      <w:r>
        <w:rPr>
          <w:rFonts w:hint="eastAsia" w:ascii="Times New Roman" w:hAnsi="Times New Roman" w:eastAsia="仿宋_GB2312" w:cs="仿宋_GB2312"/>
          <w:sz w:val="28"/>
          <w:szCs w:val="28"/>
        </w:rPr>
        <w:t>同时进行比赛，满足每队选手有单独的实验赛位，每个选手具有独立的实验装置、设备及试剂，每个赛位具有独立的水、电、通风设备。比赛过程采取全程实时监控。各项准备工作应符合疫情防控要求。</w:t>
      </w:r>
    </w:p>
    <w:p w14:paraId="755BB1A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辅助场所：竞赛须设置检录隔离区、独立阅卷室等辅助场所，并全程实时监控。</w:t>
      </w:r>
    </w:p>
    <w:p w14:paraId="0C70821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医疗保障：赛场设医疗服务站，比赛时安排救护人员现场服务。</w:t>
      </w:r>
    </w:p>
    <w:p w14:paraId="4179581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 安全防护：赛位配有安全警示标语、安全提示、护目镜、口罩等安全保护用品；赛场设有实训室安全管理规定、应急处理规定、化学药品使用规定，洗眼器、消防沙、消防毯、医护用品等消防和个人防护用品；实训楼设有紧急疏散指示、安排专职疏散人员。</w:t>
      </w:r>
    </w:p>
    <w:p w14:paraId="7571DF49">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3" w:name="_Toc7489"/>
      <w:bookmarkStart w:id="34" w:name="_Toc51745460"/>
      <w:r>
        <w:rPr>
          <w:rFonts w:hint="eastAsia" w:ascii="Times New Roman" w:hAnsi="Times New Roman" w:eastAsia="楷体_GB2312" w:cs="Times New Roman"/>
          <w:b/>
          <w:bCs w:val="0"/>
          <w:sz w:val="32"/>
          <w:szCs w:val="32"/>
        </w:rPr>
        <w:t>（二）仪器设备及实验设施要求</w:t>
      </w:r>
      <w:bookmarkEnd w:id="33"/>
      <w:bookmarkEnd w:id="34"/>
    </w:p>
    <w:p w14:paraId="2229AA5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根据化学实验技术核心技能的要求及命题的需要，比赛设备应包括实验室常规使用玻璃器皿与工具、常规检测仪器与设备等。</w:t>
      </w:r>
    </w:p>
    <w:p w14:paraId="1A7A83F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实验中所需常规防护用品（口罩、护目镜、头帽、手套）、计量器具（滴定管、吸量管、容量瓶）和使用数量较多的玻璃器具（烧杯、量筒）由选手自带；其它仪器、设备均由赛场提供，选手不得自带。</w:t>
      </w:r>
    </w:p>
    <w:p w14:paraId="71158B9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每个模块的仪器设备分已知设备和未知设备。已知设备的主要配置清单、分析测试仪器的规格要求详见“赛题”。</w:t>
      </w:r>
    </w:p>
    <w:p w14:paraId="4CEEFD1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赛位主要设施</w:t>
      </w:r>
    </w:p>
    <w:p w14:paraId="23AF3E9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根据竞赛需要，每个比赛赛位应配置如下设施：实验台1张、座椅</w:t>
      </w:r>
      <w:r>
        <w:rPr>
          <w:rFonts w:hint="eastAsia" w:ascii="Times New Roman" w:hAnsi="Times New Roman" w:eastAsia="仿宋_GB2312" w:cs="仿宋_GB2312"/>
          <w:sz w:val="28"/>
          <w:szCs w:val="28"/>
          <w:lang w:val="en-US" w:eastAsia="zh-CN"/>
        </w:rPr>
        <w:t>1</w:t>
      </w:r>
      <w:r>
        <w:rPr>
          <w:rFonts w:hint="eastAsia" w:ascii="Times New Roman" w:hAnsi="Times New Roman" w:eastAsia="仿宋_GB2312" w:cs="仿宋_GB2312"/>
          <w:sz w:val="28"/>
          <w:szCs w:val="28"/>
        </w:rPr>
        <w:t>把、废液杯</w:t>
      </w:r>
      <w:r>
        <w:rPr>
          <w:rFonts w:hint="eastAsia" w:ascii="Times New Roman" w:hAnsi="Times New Roman" w:eastAsia="仿宋_GB2312" w:cs="仿宋_GB2312"/>
          <w:sz w:val="28"/>
          <w:szCs w:val="28"/>
          <w:lang w:val="en-US" w:eastAsia="zh-CN"/>
        </w:rPr>
        <w:t>2</w:t>
      </w:r>
      <w:r>
        <w:rPr>
          <w:rFonts w:hint="eastAsia" w:ascii="Times New Roman" w:hAnsi="Times New Roman" w:eastAsia="仿宋_GB2312" w:cs="仿宋_GB2312"/>
          <w:sz w:val="28"/>
          <w:szCs w:val="28"/>
        </w:rPr>
        <w:t>只、垃圾桶1个、记号笔</w:t>
      </w:r>
      <w:r>
        <w:rPr>
          <w:rFonts w:hint="eastAsia" w:ascii="Times New Roman" w:hAnsi="Times New Roman" w:eastAsia="仿宋_GB2312" w:cs="仿宋_GB2312"/>
          <w:sz w:val="28"/>
          <w:szCs w:val="28"/>
          <w:lang w:val="en-US" w:eastAsia="zh-CN"/>
        </w:rPr>
        <w:t>1</w:t>
      </w:r>
      <w:r>
        <w:rPr>
          <w:rFonts w:hint="eastAsia" w:ascii="Times New Roman" w:hAnsi="Times New Roman" w:eastAsia="仿宋_GB2312" w:cs="仿宋_GB2312"/>
          <w:sz w:val="28"/>
          <w:szCs w:val="28"/>
        </w:rPr>
        <w:t>支。</w:t>
      </w:r>
    </w:p>
    <w:p w14:paraId="0D53BE48">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5" w:name="_Toc24533"/>
      <w:r>
        <w:rPr>
          <w:rFonts w:hint="eastAsia" w:ascii="Times New Roman" w:hAnsi="Times New Roman" w:eastAsia="楷体_GB2312" w:cs="Times New Roman"/>
          <w:b/>
          <w:bCs w:val="0"/>
          <w:sz w:val="32"/>
          <w:szCs w:val="32"/>
        </w:rPr>
        <w:t>（三）技术平台</w:t>
      </w:r>
      <w:bookmarkEnd w:id="35"/>
    </w:p>
    <w:p w14:paraId="17C53FF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本赛项的技术平台主要指竞赛所用的玻璃器皿和分析设备。</w:t>
      </w:r>
    </w:p>
    <w:p w14:paraId="0E02B68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玻璃量器按照国家规范和行业标准进行采购，玻璃器皿符合JJG196-2006常用玻璃量器检定规程。设备符合国家质量监督部门相关仪器检测标准，各项指标均符合或高于国家标准。</w:t>
      </w:r>
    </w:p>
    <w:p w14:paraId="3ADD4B8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lang w:eastAsia="zh-CN"/>
        </w:rPr>
      </w:pPr>
      <w:r>
        <w:rPr>
          <w:rFonts w:hint="eastAsia" w:ascii="Times New Roman" w:hAnsi="Times New Roman" w:eastAsia="仿宋_GB2312" w:cs="仿宋_GB2312"/>
          <w:sz w:val="28"/>
          <w:szCs w:val="28"/>
        </w:rPr>
        <w:t>3. 分析设备最低台套数和规格要求（台套数按</w:t>
      </w:r>
      <w:r>
        <w:rPr>
          <w:rFonts w:hint="eastAsia" w:ascii="Times New Roman" w:hAnsi="Times New Roman" w:eastAsia="仿宋_GB2312" w:cs="仿宋_GB2312"/>
          <w:sz w:val="28"/>
          <w:szCs w:val="28"/>
          <w:lang w:val="en-US" w:eastAsia="zh-CN"/>
        </w:rPr>
        <w:t>24</w:t>
      </w:r>
      <w:r>
        <w:rPr>
          <w:rFonts w:hint="eastAsia" w:ascii="Times New Roman" w:hAnsi="Times New Roman" w:eastAsia="仿宋_GB2312" w:cs="仿宋_GB2312"/>
          <w:sz w:val="28"/>
          <w:szCs w:val="28"/>
        </w:rPr>
        <w:t>支参赛队进行测算）</w:t>
      </w:r>
      <w:r>
        <w:rPr>
          <w:rFonts w:hint="eastAsia" w:ascii="Times New Roman" w:hAnsi="Times New Roman" w:eastAsia="仿宋_GB2312" w:cs="仿宋_GB2312"/>
          <w:sz w:val="28"/>
          <w:szCs w:val="28"/>
          <w:lang w:eastAsia="zh-CN"/>
        </w:rPr>
        <w:t>。</w:t>
      </w:r>
    </w:p>
    <w:p w14:paraId="5941C64C">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36" w:name="_Toc21094"/>
      <w:r>
        <w:rPr>
          <w:rFonts w:hint="default" w:cs="Times New Roman"/>
          <w:b/>
          <w:sz w:val="28"/>
          <w:szCs w:val="28"/>
          <w:lang w:val="en-US" w:eastAsia="zh-CN"/>
        </w:rPr>
        <w:t>九、竞赛样题</w:t>
      </w:r>
      <w:bookmarkEnd w:id="36"/>
    </w:p>
    <w:p w14:paraId="549205A7">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7" w:name="_Toc20347"/>
      <w:r>
        <w:rPr>
          <w:rFonts w:hint="eastAsia" w:ascii="Times New Roman" w:hAnsi="Times New Roman" w:eastAsia="楷体_GB2312" w:cs="Times New Roman"/>
          <w:b/>
          <w:bCs w:val="0"/>
          <w:sz w:val="32"/>
          <w:szCs w:val="32"/>
        </w:rPr>
        <w:t>（一）赛卷设计原则</w:t>
      </w:r>
      <w:bookmarkEnd w:id="37"/>
    </w:p>
    <w:p w14:paraId="368CFF9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每一份赛卷都必须涵盖原材料分析及目标产品制备、产品定性定量分析、结果分析与工作评价等方面的系统且完整的工作过程。</w:t>
      </w:r>
    </w:p>
    <w:p w14:paraId="457B905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每个竞赛模块均有明确的考核目标和规定的解决方案。</w:t>
      </w:r>
    </w:p>
    <w:p w14:paraId="53D41169">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38" w:name="_Toc3795"/>
      <w:r>
        <w:rPr>
          <w:rFonts w:hint="eastAsia" w:ascii="Times New Roman" w:hAnsi="Times New Roman" w:eastAsia="楷体_GB2312" w:cs="Times New Roman"/>
          <w:b/>
          <w:bCs w:val="0"/>
          <w:sz w:val="32"/>
          <w:szCs w:val="32"/>
        </w:rPr>
        <w:t>（二）赛题的建立</w:t>
      </w:r>
      <w:bookmarkEnd w:id="38"/>
    </w:p>
    <w:p w14:paraId="629CF28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专家工作组负责本赛项赛题的编制工作。专家组将以教育</w:t>
      </w:r>
      <w:r>
        <w:rPr>
          <w:rFonts w:hint="eastAsia" w:ascii="Times New Roman" w:hAnsi="Times New Roman" w:eastAsia="仿宋_GB2312" w:cs="仿宋_GB2312"/>
          <w:sz w:val="28"/>
          <w:szCs w:val="28"/>
          <w:lang w:val="en-US" w:eastAsia="zh-CN"/>
        </w:rPr>
        <w:t>行政部门</w:t>
      </w:r>
      <w:r>
        <w:rPr>
          <w:rFonts w:hint="eastAsia" w:ascii="Times New Roman" w:hAnsi="Times New Roman" w:eastAsia="仿宋_GB2312" w:cs="仿宋_GB2312"/>
          <w:sz w:val="28"/>
          <w:szCs w:val="28"/>
        </w:rPr>
        <w:t>发布的职业院校相关专业标准和国家/行业组织颁布的技术标准为依据，结合化学实验技术相关专业的技术技能人才培养标准和职业岗位需要，融合</w:t>
      </w:r>
      <w:r>
        <w:rPr>
          <w:rFonts w:hint="eastAsia" w:ascii="Times New Roman" w:hAnsi="Times New Roman" w:eastAsia="仿宋_GB2312" w:cs="仿宋_GB2312"/>
          <w:sz w:val="28"/>
          <w:szCs w:val="28"/>
          <w:lang w:val="en-US" w:eastAsia="zh-CN"/>
        </w:rPr>
        <w:t>全国职业院校</w:t>
      </w:r>
      <w:r>
        <w:rPr>
          <w:rFonts w:hint="eastAsia" w:ascii="Times New Roman" w:hAnsi="Times New Roman" w:eastAsia="仿宋_GB2312" w:cs="仿宋_GB2312"/>
          <w:sz w:val="28"/>
          <w:szCs w:val="28"/>
        </w:rPr>
        <w:t>技能大赛要求，设计技能操作赛题</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lang w:val="en-US" w:eastAsia="zh-CN"/>
        </w:rPr>
        <w:t>竞赛样题至少于正式比赛前15天公布</w:t>
      </w:r>
      <w:r>
        <w:rPr>
          <w:rFonts w:hint="eastAsia" w:ascii="Times New Roman" w:hAnsi="Times New Roman" w:eastAsia="仿宋_GB2312" w:cs="仿宋_GB2312"/>
          <w:sz w:val="28"/>
          <w:szCs w:val="28"/>
        </w:rPr>
        <w:t>。</w:t>
      </w:r>
    </w:p>
    <w:p w14:paraId="4F985D16">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39" w:name="_Toc20022"/>
      <w:r>
        <w:rPr>
          <w:rFonts w:hint="default" w:cs="Times New Roman"/>
          <w:b/>
          <w:sz w:val="28"/>
          <w:szCs w:val="28"/>
          <w:lang w:val="en-US" w:eastAsia="zh-CN"/>
        </w:rPr>
        <w:t>十、成绩评定</w:t>
      </w:r>
      <w:bookmarkEnd w:id="39"/>
    </w:p>
    <w:p w14:paraId="7727FB2B">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40" w:name="_Toc51745464"/>
      <w:bookmarkStart w:id="41" w:name="_Toc29751"/>
      <w:bookmarkStart w:id="42" w:name="_Toc51712798"/>
      <w:r>
        <w:rPr>
          <w:rFonts w:hint="eastAsia" w:ascii="Times New Roman" w:hAnsi="Times New Roman" w:eastAsia="楷体_GB2312" w:cs="Times New Roman"/>
          <w:b/>
          <w:bCs w:val="0"/>
          <w:sz w:val="32"/>
          <w:szCs w:val="32"/>
        </w:rPr>
        <w:t>（一）评分标准</w:t>
      </w:r>
      <w:bookmarkEnd w:id="40"/>
      <w:bookmarkEnd w:id="41"/>
      <w:bookmarkEnd w:id="42"/>
    </w:p>
    <w:p w14:paraId="14CE9BE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本赛项各模块按实验准备、实施操作、结果报告三个部分和项目考核内容设置评分项，并结合选手能力标准规范的七部分权重，</w:t>
      </w:r>
      <w:r>
        <w:rPr>
          <w:rFonts w:hint="eastAsia" w:ascii="Times New Roman" w:hAnsi="Times New Roman" w:eastAsia="仿宋_GB2312" w:cs="仿宋_GB2312"/>
          <w:sz w:val="28"/>
          <w:szCs w:val="28"/>
          <w:lang w:val="en-US" w:eastAsia="zh-CN"/>
        </w:rPr>
        <w:t>设定</w:t>
      </w:r>
      <w:r>
        <w:rPr>
          <w:rFonts w:hint="eastAsia" w:ascii="Times New Roman" w:hAnsi="Times New Roman" w:eastAsia="仿宋_GB2312" w:cs="仿宋_GB2312"/>
          <w:sz w:val="28"/>
          <w:szCs w:val="28"/>
        </w:rPr>
        <w:t>待评分项</w:t>
      </w:r>
      <w:r>
        <w:rPr>
          <w:rFonts w:hint="eastAsia" w:ascii="Times New Roman" w:hAnsi="Times New Roman" w:eastAsia="仿宋_GB2312" w:cs="仿宋_GB2312"/>
          <w:sz w:val="28"/>
          <w:szCs w:val="28"/>
          <w:lang w:val="en-US" w:eastAsia="zh-CN"/>
        </w:rPr>
        <w:t>及配分</w:t>
      </w:r>
      <w:r>
        <w:rPr>
          <w:rFonts w:hint="eastAsia" w:ascii="Times New Roman" w:hAnsi="Times New Roman" w:eastAsia="仿宋_GB2312" w:cs="仿宋_GB2312"/>
          <w:sz w:val="28"/>
          <w:szCs w:val="28"/>
        </w:rPr>
        <w:t>。</w:t>
      </w:r>
    </w:p>
    <w:p w14:paraId="58FB8F0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评判采用客观评判（测量M）和主观评判（J）相结合的方式进行。主观评判采用以下方法进行</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rPr>
        <w:t>分值范围以0～3档表示：</w:t>
      </w:r>
    </w:p>
    <w:p w14:paraId="1DD20BA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0：表现低于能力标准；</w:t>
      </w:r>
    </w:p>
    <w:p w14:paraId="7FC507E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1：表现符合能力标准；</w:t>
      </w:r>
    </w:p>
    <w:p w14:paraId="45CE200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2：表现达到并且在特定方面超过能力标准；</w:t>
      </w:r>
    </w:p>
    <w:p w14:paraId="3560E7A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3：表现完全超过能力标准，并表现优秀。</w:t>
      </w:r>
    </w:p>
    <w:p w14:paraId="1536B8EF">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43" w:name="_Toc100"/>
      <w:bookmarkStart w:id="44" w:name="_Toc51712799"/>
      <w:bookmarkStart w:id="45" w:name="_Toc51745465"/>
      <w:r>
        <w:rPr>
          <w:rFonts w:hint="eastAsia" w:ascii="Times New Roman" w:hAnsi="Times New Roman" w:eastAsia="楷体_GB2312" w:cs="Times New Roman"/>
          <w:b/>
          <w:bCs w:val="0"/>
          <w:sz w:val="32"/>
          <w:szCs w:val="32"/>
        </w:rPr>
        <w:t>（二）评分阅卷</w:t>
      </w:r>
      <w:bookmarkEnd w:id="43"/>
      <w:bookmarkEnd w:id="44"/>
      <w:bookmarkEnd w:id="45"/>
    </w:p>
    <w:p w14:paraId="2CF2748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本赛项各模块的评分由过程性考核评分和结果性考核评分组成。</w:t>
      </w:r>
    </w:p>
    <w:p w14:paraId="6BE62AE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过程评分：由现场裁判根据选手现场实际操作表现，依据评分表进行主观评判（J）和客观评价（M）。由</w:t>
      </w:r>
      <w:r>
        <w:rPr>
          <w:rFonts w:hint="eastAsia" w:ascii="Times New Roman" w:hAnsi="Times New Roman" w:eastAsia="仿宋_GB2312" w:cs="仿宋_GB2312"/>
          <w:sz w:val="28"/>
          <w:szCs w:val="28"/>
          <w:lang w:val="en-US" w:eastAsia="zh-CN"/>
        </w:rPr>
        <w:t>1</w:t>
      </w:r>
      <w:r>
        <w:rPr>
          <w:rFonts w:hint="eastAsia" w:ascii="Times New Roman" w:hAnsi="Times New Roman" w:eastAsia="仿宋_GB2312" w:cs="仿宋_GB2312"/>
          <w:sz w:val="28"/>
          <w:szCs w:val="28"/>
        </w:rPr>
        <w:t>名现场裁判同时评判2</w:t>
      </w:r>
      <w:r>
        <w:rPr>
          <w:rFonts w:hint="eastAsia" w:ascii="Times New Roman" w:hAnsi="Times New Roman" w:eastAsia="仿宋_GB2312" w:cs="仿宋_GB2312"/>
          <w:sz w:val="28"/>
          <w:szCs w:val="28"/>
          <w:lang w:val="en-US" w:eastAsia="zh-CN"/>
        </w:rPr>
        <w:t>~4</w:t>
      </w:r>
      <w:r>
        <w:rPr>
          <w:rFonts w:hint="eastAsia" w:ascii="Times New Roman" w:hAnsi="Times New Roman" w:eastAsia="仿宋_GB2312" w:cs="仿宋_GB2312"/>
          <w:sz w:val="28"/>
          <w:szCs w:val="28"/>
        </w:rPr>
        <w:t>支参赛队。对每个考核项目客观评分项的得分点，现场裁判只能给出一个分值，即最高分或者零分，否则必须另有说明。</w:t>
      </w:r>
    </w:p>
    <w:p w14:paraId="13C0CB8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结果评分：现场考核结束后，密封试卷。每位选手的试卷由</w:t>
      </w:r>
      <w:r>
        <w:rPr>
          <w:rFonts w:hint="eastAsia" w:ascii="Times New Roman" w:hAnsi="Times New Roman" w:eastAsia="仿宋_GB2312" w:cs="仿宋_GB2312"/>
          <w:sz w:val="28"/>
          <w:szCs w:val="28"/>
          <w:lang w:val="en-US" w:eastAsia="zh-CN"/>
        </w:rPr>
        <w:t>1</w:t>
      </w:r>
      <w:r>
        <w:rPr>
          <w:rFonts w:hint="eastAsia" w:ascii="Times New Roman" w:hAnsi="Times New Roman" w:eastAsia="仿宋_GB2312" w:cs="仿宋_GB2312"/>
          <w:sz w:val="28"/>
          <w:szCs w:val="28"/>
        </w:rPr>
        <w:t>名现场裁判对选手的数值型结果（工作曲线相关性、精密度、准确度、纯度和产率等）和工作报告撰写质量进行评阅打分，并经分项裁判组长、裁判长的复核签字确定。</w:t>
      </w:r>
    </w:p>
    <w:p w14:paraId="3CAB5A3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按</w:t>
      </w:r>
      <w:r>
        <w:rPr>
          <w:rFonts w:hint="eastAsia" w:ascii="Times New Roman" w:hAnsi="Times New Roman" w:eastAsia="仿宋_GB2312" w:cs="仿宋_GB2312"/>
          <w:sz w:val="28"/>
          <w:szCs w:val="28"/>
          <w:lang w:val="en-US" w:eastAsia="zh-CN"/>
        </w:rPr>
        <w:t>24</w:t>
      </w:r>
      <w:r>
        <w:rPr>
          <w:rFonts w:hint="eastAsia" w:ascii="Times New Roman" w:hAnsi="Times New Roman" w:eastAsia="仿宋_GB2312" w:cs="仿宋_GB2312"/>
          <w:sz w:val="28"/>
          <w:szCs w:val="28"/>
        </w:rPr>
        <w:t>支参赛队进行测算，本赛项所需现场裁判</w:t>
      </w:r>
      <w:r>
        <w:rPr>
          <w:rFonts w:hint="eastAsia" w:ascii="Times New Roman" w:hAnsi="Times New Roman" w:eastAsia="仿宋_GB2312" w:cs="仿宋_GB2312"/>
          <w:sz w:val="28"/>
          <w:szCs w:val="28"/>
          <w:lang w:val="en-US" w:eastAsia="zh-CN"/>
        </w:rPr>
        <w:t>6~8</w:t>
      </w:r>
      <w:r>
        <w:rPr>
          <w:rFonts w:hint="eastAsia" w:ascii="Times New Roman" w:hAnsi="Times New Roman" w:eastAsia="仿宋_GB2312" w:cs="仿宋_GB2312"/>
          <w:sz w:val="28"/>
          <w:szCs w:val="28"/>
        </w:rPr>
        <w:t>名</w:t>
      </w:r>
      <w:r>
        <w:rPr>
          <w:rFonts w:hint="eastAsia" w:ascii="Times New Roman" w:hAnsi="Times New Roman" w:eastAsia="仿宋_GB2312" w:cs="仿宋_GB2312"/>
          <w:sz w:val="28"/>
          <w:szCs w:val="28"/>
          <w:lang w:eastAsia="zh-CN"/>
        </w:rPr>
        <w:t>，</w:t>
      </w:r>
      <w:r>
        <w:rPr>
          <w:rFonts w:hint="eastAsia" w:ascii="Times New Roman" w:hAnsi="Times New Roman" w:eastAsia="仿宋_GB2312" w:cs="仿宋_GB2312"/>
          <w:sz w:val="28"/>
          <w:szCs w:val="28"/>
        </w:rPr>
        <w:t>由</w:t>
      </w:r>
      <w:r>
        <w:rPr>
          <w:rFonts w:hint="eastAsia" w:ascii="Times New Roman" w:hAnsi="Times New Roman" w:eastAsia="仿宋_GB2312" w:cs="仿宋_GB2312"/>
          <w:sz w:val="28"/>
          <w:szCs w:val="28"/>
          <w:lang w:val="en-US" w:eastAsia="zh-CN"/>
        </w:rPr>
        <w:t>赛组委选派</w:t>
      </w:r>
      <w:r>
        <w:rPr>
          <w:rFonts w:hint="eastAsia" w:ascii="Times New Roman" w:hAnsi="Times New Roman" w:eastAsia="仿宋_GB2312" w:cs="仿宋_GB2312"/>
          <w:sz w:val="28"/>
          <w:szCs w:val="28"/>
        </w:rPr>
        <w:t>。</w:t>
      </w:r>
    </w:p>
    <w:p w14:paraId="493DA811">
      <w:pPr>
        <w:pageBreakBefore w:val="0"/>
        <w:widowControl w:val="0"/>
        <w:kinsoku/>
        <w:wordWrap/>
        <w:overflowPunct/>
        <w:topLinePunct w:val="0"/>
        <w:bidi w:val="0"/>
        <w:spacing w:before="156" w:beforeLines="50" w:after="156" w:afterLines="50" w:line="540" w:lineRule="exact"/>
        <w:jc w:val="center"/>
        <w:textAlignment w:val="auto"/>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表</w:t>
      </w:r>
      <w:r>
        <w:rPr>
          <w:rFonts w:hint="eastAsia" w:ascii="仿宋_GB2312" w:hAnsi="仿宋_GB2312" w:eastAsia="仿宋_GB2312" w:cs="仿宋_GB2312"/>
          <w:b/>
          <w:bCs/>
          <w:color w:val="000000"/>
          <w:sz w:val="28"/>
          <w:szCs w:val="28"/>
          <w:lang w:val="en-US" w:eastAsia="zh-CN"/>
        </w:rPr>
        <w:t>3</w:t>
      </w:r>
      <w:r>
        <w:rPr>
          <w:rFonts w:hint="eastAsia" w:ascii="仿宋_GB2312" w:hAnsi="仿宋_GB2312" w:eastAsia="仿宋_GB2312" w:cs="仿宋_GB2312"/>
          <w:b/>
          <w:bCs/>
          <w:color w:val="000000"/>
          <w:sz w:val="28"/>
          <w:szCs w:val="28"/>
        </w:rPr>
        <w:t xml:space="preserve">  裁判执裁资质要求</w:t>
      </w:r>
    </w:p>
    <w:tbl>
      <w:tblPr>
        <w:tblStyle w:val="9"/>
        <w:tblpPr w:leftFromText="180" w:rightFromText="180" w:vertAnchor="text" w:horzAnchor="margin" w:tblpXSpec="center" w:tblpY="8"/>
        <w:tblW w:w="85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173"/>
        <w:gridCol w:w="2217"/>
        <w:gridCol w:w="1752"/>
        <w:gridCol w:w="1781"/>
        <w:gridCol w:w="779"/>
      </w:tblGrid>
      <w:tr w14:paraId="0D7D6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blHeader/>
        </w:trPr>
        <w:tc>
          <w:tcPr>
            <w:tcW w:w="802" w:type="dxa"/>
            <w:noWrap w:val="0"/>
            <w:vAlign w:val="center"/>
          </w:tcPr>
          <w:p w14:paraId="5DF89DAF">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lang w:eastAsia="zh-CN"/>
              </w:rPr>
            </w:pPr>
            <w:r>
              <w:rPr>
                <w:rFonts w:hint="eastAsia" w:ascii="宋体" w:hAnsi="宋体" w:eastAsia="宋体" w:cs="宋体"/>
                <w:b/>
                <w:color w:val="auto"/>
                <w:kern w:val="2"/>
                <w:sz w:val="24"/>
                <w:szCs w:val="24"/>
                <w:lang w:val="en-US" w:eastAsia="zh-CN"/>
              </w:rPr>
              <w:t>职务</w:t>
            </w:r>
          </w:p>
        </w:tc>
        <w:tc>
          <w:tcPr>
            <w:tcW w:w="1173" w:type="dxa"/>
            <w:noWrap w:val="0"/>
            <w:vAlign w:val="center"/>
          </w:tcPr>
          <w:p w14:paraId="3116E89F">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专业技术方向</w:t>
            </w:r>
          </w:p>
        </w:tc>
        <w:tc>
          <w:tcPr>
            <w:tcW w:w="2217" w:type="dxa"/>
            <w:noWrap w:val="0"/>
            <w:vAlign w:val="center"/>
          </w:tcPr>
          <w:p w14:paraId="04F60D75">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知识能力要求</w:t>
            </w:r>
          </w:p>
        </w:tc>
        <w:tc>
          <w:tcPr>
            <w:tcW w:w="1752" w:type="dxa"/>
            <w:noWrap w:val="0"/>
            <w:vAlign w:val="center"/>
          </w:tcPr>
          <w:p w14:paraId="7A54EB2B">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执裁、教学、工作经历</w:t>
            </w:r>
          </w:p>
        </w:tc>
        <w:tc>
          <w:tcPr>
            <w:tcW w:w="1781" w:type="dxa"/>
            <w:noWrap w:val="0"/>
            <w:vAlign w:val="center"/>
          </w:tcPr>
          <w:p w14:paraId="3A1847EE">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专业技术职称</w:t>
            </w:r>
          </w:p>
          <w:p w14:paraId="4D936227">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（职业资格等级）</w:t>
            </w:r>
          </w:p>
        </w:tc>
        <w:tc>
          <w:tcPr>
            <w:tcW w:w="779" w:type="dxa"/>
            <w:noWrap w:val="0"/>
            <w:vAlign w:val="center"/>
          </w:tcPr>
          <w:p w14:paraId="1812CED6">
            <w:pPr>
              <w:pStyle w:val="15"/>
              <w:pageBreakBefore w:val="0"/>
              <w:widowControl w:val="0"/>
              <w:kinsoku/>
              <w:wordWrap/>
              <w:overflowPunct/>
              <w:topLinePunct w:val="0"/>
              <w:bidi w:val="0"/>
              <w:adjustRightInd/>
              <w:spacing w:line="540" w:lineRule="exact"/>
              <w:jc w:val="center"/>
              <w:textAlignment w:val="auto"/>
              <w:rPr>
                <w:rFonts w:hint="eastAsia" w:ascii="宋体" w:hAnsi="宋体" w:eastAsia="宋体" w:cs="宋体"/>
                <w:b/>
                <w:color w:val="auto"/>
                <w:kern w:val="2"/>
                <w:sz w:val="24"/>
                <w:szCs w:val="24"/>
              </w:rPr>
            </w:pPr>
            <w:r>
              <w:rPr>
                <w:rFonts w:hint="eastAsia" w:ascii="宋体" w:hAnsi="宋体" w:eastAsia="宋体" w:cs="宋体"/>
                <w:b/>
                <w:color w:val="auto"/>
                <w:kern w:val="2"/>
                <w:sz w:val="24"/>
                <w:szCs w:val="24"/>
              </w:rPr>
              <w:t>人数</w:t>
            </w:r>
          </w:p>
        </w:tc>
      </w:tr>
      <w:tr w14:paraId="6D50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0" w:hRule="atLeast"/>
        </w:trPr>
        <w:tc>
          <w:tcPr>
            <w:tcW w:w="802" w:type="dxa"/>
            <w:noWrap w:val="0"/>
            <w:vAlign w:val="center"/>
          </w:tcPr>
          <w:p w14:paraId="05EB0307">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lang w:eastAsia="zh-CN"/>
              </w:rPr>
            </w:pPr>
            <w:r>
              <w:rPr>
                <w:rFonts w:hint="eastAsia" w:ascii="仿宋_GB2312" w:hAnsi="仿宋_GB2312" w:eastAsia="仿宋_GB2312" w:cs="仿宋_GB2312"/>
                <w:bCs/>
                <w:color w:val="auto"/>
                <w:kern w:val="2"/>
                <w:sz w:val="21"/>
                <w:szCs w:val="21"/>
                <w:lang w:val="en-US" w:eastAsia="zh-CN"/>
              </w:rPr>
              <w:t>裁判长</w:t>
            </w:r>
          </w:p>
        </w:tc>
        <w:tc>
          <w:tcPr>
            <w:tcW w:w="1173" w:type="dxa"/>
            <w:noWrap w:val="0"/>
            <w:vAlign w:val="center"/>
          </w:tcPr>
          <w:p w14:paraId="1B7C9A37">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分析化学及其相关专业</w:t>
            </w:r>
          </w:p>
        </w:tc>
        <w:tc>
          <w:tcPr>
            <w:tcW w:w="2217" w:type="dxa"/>
            <w:noWrap w:val="0"/>
            <w:vAlign w:val="center"/>
          </w:tcPr>
          <w:p w14:paraId="22AADD3B">
            <w:pPr>
              <w:pStyle w:val="15"/>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在化学分析、仪器分析、有机合成等方面，均具有扎实的理论功底和实验能力</w:t>
            </w:r>
          </w:p>
        </w:tc>
        <w:tc>
          <w:tcPr>
            <w:tcW w:w="1752" w:type="dxa"/>
            <w:noWrap w:val="0"/>
            <w:vAlign w:val="center"/>
          </w:tcPr>
          <w:p w14:paraId="5FAA7A85">
            <w:pPr>
              <w:pStyle w:val="15"/>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具有担任省级以上大型技能竞赛总裁判长经历</w:t>
            </w:r>
          </w:p>
        </w:tc>
        <w:tc>
          <w:tcPr>
            <w:tcW w:w="1781" w:type="dxa"/>
            <w:noWrap w:val="0"/>
            <w:vAlign w:val="center"/>
          </w:tcPr>
          <w:p w14:paraId="18E7EC94">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lang w:val="en-US" w:eastAsia="zh-CN"/>
              </w:rPr>
              <w:t>高级</w:t>
            </w:r>
            <w:r>
              <w:rPr>
                <w:rFonts w:hint="eastAsia" w:ascii="仿宋_GB2312" w:hAnsi="仿宋_GB2312" w:eastAsia="仿宋_GB2312" w:cs="仿宋_GB2312"/>
                <w:bCs/>
                <w:color w:val="auto"/>
                <w:kern w:val="2"/>
                <w:sz w:val="21"/>
                <w:szCs w:val="21"/>
              </w:rPr>
              <w:t>职称</w:t>
            </w:r>
          </w:p>
        </w:tc>
        <w:tc>
          <w:tcPr>
            <w:tcW w:w="779" w:type="dxa"/>
            <w:noWrap w:val="0"/>
            <w:vAlign w:val="center"/>
          </w:tcPr>
          <w:p w14:paraId="299399CB">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1</w:t>
            </w:r>
          </w:p>
        </w:tc>
      </w:tr>
      <w:tr w14:paraId="73083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trPr>
        <w:tc>
          <w:tcPr>
            <w:tcW w:w="802" w:type="dxa"/>
            <w:noWrap w:val="0"/>
            <w:vAlign w:val="center"/>
          </w:tcPr>
          <w:p w14:paraId="4F4E6159">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lang w:eastAsia="zh-CN"/>
              </w:rPr>
            </w:pPr>
            <w:r>
              <w:rPr>
                <w:rFonts w:hint="eastAsia" w:ascii="仿宋_GB2312" w:hAnsi="仿宋_GB2312" w:eastAsia="仿宋_GB2312" w:cs="仿宋_GB2312"/>
                <w:bCs/>
                <w:color w:val="auto"/>
                <w:kern w:val="2"/>
                <w:sz w:val="21"/>
                <w:szCs w:val="21"/>
                <w:lang w:val="en-US" w:eastAsia="zh-CN"/>
              </w:rPr>
              <w:t>裁判员</w:t>
            </w:r>
          </w:p>
        </w:tc>
        <w:tc>
          <w:tcPr>
            <w:tcW w:w="1173" w:type="dxa"/>
            <w:noWrap w:val="0"/>
            <w:vAlign w:val="center"/>
          </w:tcPr>
          <w:p w14:paraId="2EB80C02">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分析化学及其相关专业</w:t>
            </w:r>
          </w:p>
        </w:tc>
        <w:tc>
          <w:tcPr>
            <w:tcW w:w="2217" w:type="dxa"/>
            <w:noWrap w:val="0"/>
            <w:vAlign w:val="center"/>
          </w:tcPr>
          <w:p w14:paraId="595A17F9">
            <w:pPr>
              <w:pStyle w:val="15"/>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在化学分析、仪器分析、等方面，都具有较好的理论基础和实验能力</w:t>
            </w:r>
          </w:p>
        </w:tc>
        <w:tc>
          <w:tcPr>
            <w:tcW w:w="1752" w:type="dxa"/>
            <w:noWrap w:val="0"/>
            <w:vAlign w:val="center"/>
          </w:tcPr>
          <w:p w14:paraId="4028F7E1">
            <w:pPr>
              <w:pStyle w:val="15"/>
              <w:keepNext w:val="0"/>
              <w:keepLines w:val="0"/>
              <w:pageBreakBefore w:val="0"/>
              <w:widowControl w:val="0"/>
              <w:kinsoku/>
              <w:wordWrap/>
              <w:overflowPunct/>
              <w:topLinePunct w:val="0"/>
              <w:autoSpaceDE w:val="0"/>
              <w:autoSpaceDN w:val="0"/>
              <w:bidi w:val="0"/>
              <w:adjustRightInd/>
              <w:snapToGrid/>
              <w:spacing w:line="540" w:lineRule="exact"/>
              <w:jc w:val="both"/>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具有2次以上的相近赛项</w:t>
            </w:r>
            <w:r>
              <w:rPr>
                <w:rFonts w:hint="eastAsia" w:ascii="仿宋_GB2312" w:hAnsi="仿宋_GB2312" w:eastAsia="仿宋_GB2312" w:cs="仿宋_GB2312"/>
                <w:bCs/>
                <w:color w:val="auto"/>
                <w:kern w:val="2"/>
                <w:sz w:val="21"/>
                <w:szCs w:val="21"/>
                <w:lang w:val="en-US" w:eastAsia="zh-CN"/>
              </w:rPr>
              <w:t>省赛</w:t>
            </w:r>
            <w:r>
              <w:rPr>
                <w:rFonts w:hint="eastAsia" w:ascii="仿宋_GB2312" w:hAnsi="仿宋_GB2312" w:eastAsia="仿宋_GB2312" w:cs="仿宋_GB2312"/>
                <w:bCs/>
                <w:color w:val="auto"/>
                <w:kern w:val="2"/>
                <w:sz w:val="21"/>
                <w:szCs w:val="21"/>
              </w:rPr>
              <w:t>执裁经历</w:t>
            </w:r>
          </w:p>
        </w:tc>
        <w:tc>
          <w:tcPr>
            <w:tcW w:w="1781" w:type="dxa"/>
            <w:noWrap w:val="0"/>
            <w:vAlign w:val="center"/>
          </w:tcPr>
          <w:p w14:paraId="323A01AC">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rPr>
            </w:pPr>
            <w:r>
              <w:rPr>
                <w:rFonts w:hint="eastAsia" w:ascii="仿宋_GB2312" w:hAnsi="仿宋_GB2312" w:eastAsia="仿宋_GB2312" w:cs="仿宋_GB2312"/>
                <w:bCs/>
                <w:color w:val="auto"/>
                <w:kern w:val="2"/>
                <w:sz w:val="21"/>
                <w:szCs w:val="21"/>
              </w:rPr>
              <w:t>中级职称及以上</w:t>
            </w:r>
          </w:p>
        </w:tc>
        <w:tc>
          <w:tcPr>
            <w:tcW w:w="779" w:type="dxa"/>
            <w:noWrap w:val="0"/>
            <w:vAlign w:val="center"/>
          </w:tcPr>
          <w:p w14:paraId="56A56CFA">
            <w:pPr>
              <w:pStyle w:val="15"/>
              <w:keepNext w:val="0"/>
              <w:keepLines w:val="0"/>
              <w:pageBreakBefore w:val="0"/>
              <w:widowControl w:val="0"/>
              <w:kinsoku/>
              <w:wordWrap/>
              <w:overflowPunct/>
              <w:topLinePunct w:val="0"/>
              <w:autoSpaceDE w:val="0"/>
              <w:autoSpaceDN w:val="0"/>
              <w:bidi w:val="0"/>
              <w:adjustRightInd/>
              <w:snapToGrid/>
              <w:spacing w:line="540" w:lineRule="exact"/>
              <w:jc w:val="center"/>
              <w:textAlignment w:val="auto"/>
              <w:rPr>
                <w:rFonts w:hint="eastAsia" w:ascii="仿宋_GB2312" w:hAnsi="仿宋_GB2312" w:eastAsia="仿宋_GB2312" w:cs="仿宋_GB2312"/>
                <w:bCs/>
                <w:color w:val="auto"/>
                <w:kern w:val="2"/>
                <w:sz w:val="21"/>
                <w:szCs w:val="21"/>
                <w:lang w:val="en-US" w:eastAsia="zh-CN"/>
              </w:rPr>
            </w:pPr>
            <w:r>
              <w:rPr>
                <w:rFonts w:hint="eastAsia" w:ascii="仿宋_GB2312" w:hAnsi="仿宋_GB2312" w:eastAsia="仿宋_GB2312" w:cs="仿宋_GB2312"/>
                <w:bCs/>
                <w:color w:val="auto"/>
                <w:kern w:val="2"/>
                <w:sz w:val="21"/>
                <w:szCs w:val="21"/>
                <w:lang w:val="en-US" w:eastAsia="zh-CN"/>
              </w:rPr>
              <w:t>6-8</w:t>
            </w:r>
          </w:p>
        </w:tc>
      </w:tr>
    </w:tbl>
    <w:p w14:paraId="6A538849">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46" w:name="_Toc51712800"/>
      <w:bookmarkStart w:id="47" w:name="_Toc51745466"/>
      <w:bookmarkStart w:id="48" w:name="_Toc8513"/>
      <w:r>
        <w:rPr>
          <w:rFonts w:hint="eastAsia" w:ascii="Times New Roman" w:hAnsi="Times New Roman" w:eastAsia="楷体_GB2312" w:cs="Times New Roman"/>
          <w:b/>
          <w:bCs w:val="0"/>
          <w:sz w:val="32"/>
          <w:szCs w:val="32"/>
        </w:rPr>
        <w:t>（三）成绩</w:t>
      </w:r>
      <w:bookmarkEnd w:id="46"/>
      <w:bookmarkEnd w:id="47"/>
      <w:r>
        <w:rPr>
          <w:rFonts w:hint="eastAsia" w:ascii="Times New Roman" w:hAnsi="Times New Roman" w:eastAsia="楷体_GB2312" w:cs="Times New Roman"/>
          <w:b/>
          <w:bCs w:val="0"/>
          <w:sz w:val="32"/>
          <w:szCs w:val="32"/>
        </w:rPr>
        <w:t>产生</w:t>
      </w:r>
      <w:bookmarkEnd w:id="48"/>
    </w:p>
    <w:p w14:paraId="6B90AA3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在</w:t>
      </w:r>
      <w:r>
        <w:rPr>
          <w:rFonts w:hint="eastAsia" w:ascii="Times New Roman" w:hAnsi="Times New Roman" w:eastAsia="仿宋_GB2312" w:cs="仿宋_GB2312"/>
          <w:sz w:val="28"/>
          <w:szCs w:val="28"/>
          <w:lang w:val="en-US" w:eastAsia="zh-CN"/>
        </w:rPr>
        <w:t>有监控的阅卷场所</w:t>
      </w:r>
      <w:r>
        <w:rPr>
          <w:rFonts w:hint="eastAsia" w:ascii="Times New Roman" w:hAnsi="Times New Roman" w:eastAsia="仿宋_GB2312" w:cs="仿宋_GB2312"/>
          <w:sz w:val="28"/>
          <w:szCs w:val="28"/>
        </w:rPr>
        <w:t>，由加密裁判汇总选手各模块项目评分，并计算出参赛选手的总成绩，复核无误后，经裁判长签字确认后提交</w:t>
      </w:r>
      <w:r>
        <w:rPr>
          <w:rFonts w:hint="eastAsia" w:ascii="Times New Roman" w:hAnsi="Times New Roman" w:eastAsia="仿宋_GB2312" w:cs="仿宋_GB2312"/>
          <w:sz w:val="28"/>
          <w:szCs w:val="28"/>
          <w:lang w:val="en-US" w:eastAsia="zh-CN"/>
        </w:rPr>
        <w:t>赛执委</w:t>
      </w:r>
      <w:r>
        <w:rPr>
          <w:rFonts w:hint="eastAsia" w:ascii="Times New Roman" w:hAnsi="Times New Roman" w:eastAsia="仿宋_GB2312" w:cs="仿宋_GB2312"/>
          <w:sz w:val="28"/>
          <w:szCs w:val="28"/>
        </w:rPr>
        <w:t>。</w:t>
      </w:r>
    </w:p>
    <w:p w14:paraId="2050F5B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bookmarkStart w:id="49" w:name="_Toc51712801"/>
      <w:bookmarkStart w:id="50" w:name="_Toc51745467"/>
      <w:r>
        <w:rPr>
          <w:rFonts w:hint="eastAsia" w:ascii="Times New Roman" w:hAnsi="Times New Roman" w:eastAsia="仿宋_GB2312" w:cs="仿宋_GB2312"/>
          <w:sz w:val="28"/>
          <w:szCs w:val="28"/>
        </w:rPr>
        <w:t>2.</w:t>
      </w:r>
      <w:bookmarkEnd w:id="49"/>
      <w:bookmarkEnd w:id="50"/>
      <w:r>
        <w:rPr>
          <w:rFonts w:hint="eastAsia" w:ascii="Times New Roman" w:hAnsi="Times New Roman" w:eastAsia="仿宋_GB2312" w:cs="仿宋_GB2312"/>
          <w:sz w:val="28"/>
          <w:szCs w:val="28"/>
        </w:rPr>
        <w:t xml:space="preserve"> </w:t>
      </w:r>
      <w:r>
        <w:rPr>
          <w:rFonts w:hint="eastAsia" w:ascii="Times New Roman" w:hAnsi="Times New Roman" w:eastAsia="仿宋_GB2312" w:cs="仿宋_GB2312"/>
          <w:sz w:val="28"/>
          <w:szCs w:val="28"/>
          <w:lang w:val="en-US" w:eastAsia="zh-CN"/>
        </w:rPr>
        <w:t>赛执委</w:t>
      </w:r>
      <w:r>
        <w:rPr>
          <w:rFonts w:hint="eastAsia" w:ascii="Times New Roman" w:hAnsi="Times New Roman" w:eastAsia="仿宋_GB2312" w:cs="仿宋_GB2312"/>
          <w:sz w:val="28"/>
          <w:szCs w:val="28"/>
        </w:rPr>
        <w:t>对总成绩排名前30%的参赛选手成绩进行再次复核；对其余选手成绩进行抽检复核，抽检覆盖率不得低于15%。如发现成绩错误以书面方式及时告知裁判长，由裁判长更正成绩并签字确认。复核、抽检错误率超过5%的，则对所有选手成绩进行复核。</w:t>
      </w:r>
    </w:p>
    <w:p w14:paraId="6DE8F49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赛项最终得分按百分制计分，选手总成绩精确至小数点后两位。若选手总成绩相同时，则比较选手完成两个模块的总时长，以总时长较短者名次在前。</w:t>
      </w:r>
      <w:bookmarkStart w:id="51" w:name="_Toc51712802"/>
      <w:bookmarkStart w:id="52" w:name="_Toc51745468"/>
    </w:p>
    <w:p w14:paraId="48EFBA1A">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3" w:name="_Toc28339"/>
      <w:r>
        <w:rPr>
          <w:rFonts w:hint="eastAsia" w:ascii="Times New Roman" w:hAnsi="Times New Roman" w:eastAsia="楷体_GB2312" w:cs="Times New Roman"/>
          <w:b/>
          <w:bCs w:val="0"/>
          <w:sz w:val="32"/>
          <w:szCs w:val="32"/>
        </w:rPr>
        <w:t>（四）成绩公布</w:t>
      </w:r>
      <w:bookmarkEnd w:id="51"/>
      <w:bookmarkEnd w:id="52"/>
      <w:bookmarkEnd w:id="53"/>
    </w:p>
    <w:p w14:paraId="5627DC1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rPr>
      </w:pPr>
      <w:r>
        <w:rPr>
          <w:rFonts w:hint="eastAsia" w:ascii="Times New Roman" w:hAnsi="Times New Roman" w:eastAsia="仿宋_GB2312" w:cs="仿宋_GB2312"/>
          <w:sz w:val="28"/>
          <w:szCs w:val="28"/>
        </w:rPr>
        <w:t>记分员将解密后的各参赛选手成绩汇总制表，经裁判长签字后在指定地点进行公布，2小时后无异议，将选手成绩录入赛务管理系统。</w:t>
      </w:r>
    </w:p>
    <w:p w14:paraId="23D89BE0">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4" w:name="_Toc13744"/>
      <w:r>
        <w:rPr>
          <w:rFonts w:hint="eastAsia" w:ascii="Times New Roman" w:hAnsi="Times New Roman" w:eastAsia="楷体_GB2312" w:cs="Times New Roman"/>
          <w:b/>
          <w:bCs w:val="0"/>
          <w:sz w:val="32"/>
          <w:szCs w:val="32"/>
          <w:lang w:eastAsia="zh-CN"/>
        </w:rPr>
        <w:t>（</w:t>
      </w:r>
      <w:r>
        <w:rPr>
          <w:rFonts w:hint="eastAsia" w:ascii="Times New Roman" w:hAnsi="Times New Roman" w:eastAsia="楷体_GB2312" w:cs="Times New Roman"/>
          <w:b/>
          <w:bCs w:val="0"/>
          <w:sz w:val="32"/>
          <w:szCs w:val="32"/>
          <w:lang w:val="en-US" w:eastAsia="zh-CN"/>
        </w:rPr>
        <w:t>五</w:t>
      </w:r>
      <w:r>
        <w:rPr>
          <w:rFonts w:hint="eastAsia" w:ascii="Times New Roman" w:hAnsi="Times New Roman" w:eastAsia="楷体_GB2312" w:cs="Times New Roman"/>
          <w:b/>
          <w:bCs w:val="0"/>
          <w:sz w:val="32"/>
          <w:szCs w:val="32"/>
          <w:lang w:eastAsia="zh-CN"/>
        </w:rPr>
        <w:t>）</w:t>
      </w:r>
      <w:r>
        <w:rPr>
          <w:rFonts w:hint="eastAsia" w:ascii="Times New Roman" w:hAnsi="Times New Roman" w:eastAsia="楷体_GB2312" w:cs="Times New Roman"/>
          <w:b/>
          <w:bCs w:val="0"/>
          <w:sz w:val="32"/>
          <w:szCs w:val="32"/>
        </w:rPr>
        <w:t>奖项设置</w:t>
      </w:r>
      <w:bookmarkEnd w:id="54"/>
    </w:p>
    <w:p w14:paraId="65FFCD3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参照省教育厅技能大赛文件执行。</w:t>
      </w:r>
    </w:p>
    <w:p w14:paraId="2BBF038A">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55" w:name="_Toc21611"/>
      <w:r>
        <w:rPr>
          <w:rFonts w:hint="default" w:cs="Times New Roman"/>
          <w:b/>
          <w:sz w:val="28"/>
          <w:szCs w:val="28"/>
          <w:lang w:val="en-US" w:eastAsia="zh-CN"/>
        </w:rPr>
        <w:t>十</w:t>
      </w:r>
      <w:r>
        <w:rPr>
          <w:rFonts w:hint="eastAsia" w:cs="Times New Roman"/>
          <w:b/>
          <w:sz w:val="28"/>
          <w:szCs w:val="28"/>
          <w:lang w:val="en-US" w:eastAsia="zh-CN"/>
        </w:rPr>
        <w:t>一</w:t>
      </w:r>
      <w:r>
        <w:rPr>
          <w:rFonts w:hint="default" w:cs="Times New Roman"/>
          <w:b/>
          <w:sz w:val="28"/>
          <w:szCs w:val="28"/>
          <w:lang w:val="en-US" w:eastAsia="zh-CN"/>
        </w:rPr>
        <w:t>、赛项预案</w:t>
      </w:r>
      <w:bookmarkEnd w:id="55"/>
    </w:p>
    <w:p w14:paraId="48E68BEE">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6" w:name="_Toc51745473"/>
      <w:bookmarkStart w:id="57" w:name="_Toc22548"/>
      <w:r>
        <w:rPr>
          <w:rFonts w:hint="eastAsia" w:ascii="Times New Roman" w:hAnsi="Times New Roman" w:eastAsia="楷体_GB2312" w:cs="Times New Roman"/>
          <w:b/>
          <w:bCs w:val="0"/>
          <w:sz w:val="32"/>
          <w:szCs w:val="32"/>
        </w:rPr>
        <w:t>（一）</w:t>
      </w:r>
      <w:bookmarkEnd w:id="56"/>
      <w:r>
        <w:rPr>
          <w:rFonts w:hint="eastAsia" w:ascii="Times New Roman" w:hAnsi="Times New Roman" w:eastAsia="楷体_GB2312" w:cs="Times New Roman"/>
          <w:b/>
          <w:bCs w:val="0"/>
          <w:sz w:val="32"/>
          <w:szCs w:val="32"/>
        </w:rPr>
        <w:t>化学试剂安全管理预案</w:t>
      </w:r>
      <w:bookmarkEnd w:id="57"/>
    </w:p>
    <w:p w14:paraId="18BB05E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如果发生涉及化学试剂的安全事故，现场人员依不同情况酌情实施急救，并及时上报。且立即联系医疗救护人员进行现场救护工作，同时拨打120急救电话。</w:t>
      </w:r>
    </w:p>
    <w:p w14:paraId="5BC41F37">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8" w:name="_Toc15548"/>
      <w:r>
        <w:rPr>
          <w:rFonts w:hint="eastAsia" w:ascii="Times New Roman" w:hAnsi="Times New Roman" w:eastAsia="楷体_GB2312" w:cs="Times New Roman"/>
          <w:b/>
          <w:bCs w:val="0"/>
          <w:sz w:val="32"/>
          <w:szCs w:val="32"/>
        </w:rPr>
        <w:t>（二）水、电保障应急预案</w:t>
      </w:r>
      <w:bookmarkEnd w:id="58"/>
    </w:p>
    <w:p w14:paraId="15F203A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一旦发生水、电路故障、停水、停电等现象，现场人员要在第一时间向应急处置小组报告，并采取有效措施，防止发生事故。</w:t>
      </w:r>
    </w:p>
    <w:p w14:paraId="4C0A53B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应急小组接到水、电路故障报告后，立即联系学院后勤处，由后勤处立即安排专业人员在第一时间到现场进行检测、维修，尽快修复。</w:t>
      </w:r>
    </w:p>
    <w:p w14:paraId="5D5321E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一旦发生触电事故，首先要在安全的情况下使触电者尽快脱离电源。触电者脱离电源后，救护者应立即将其就近移至干燥通风处，可依不同情况酌情实施救护。组织人员对事发场地外围进行封锁，严禁无关人员进入，防止造成更大灾害。立即联系医疗救护人员进行现场救护，同时拨打120急救电话。</w:t>
      </w:r>
    </w:p>
    <w:p w14:paraId="1F44D3A6">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59" w:name="_Toc21069"/>
      <w:r>
        <w:rPr>
          <w:rFonts w:hint="eastAsia" w:ascii="Times New Roman" w:hAnsi="Times New Roman" w:eastAsia="楷体_GB2312" w:cs="Times New Roman"/>
          <w:b/>
          <w:bCs w:val="0"/>
          <w:sz w:val="32"/>
          <w:szCs w:val="32"/>
        </w:rPr>
        <w:t>（三）其它设备安全管理预案</w:t>
      </w:r>
      <w:bookmarkEnd w:id="59"/>
    </w:p>
    <w:p w14:paraId="1263DE5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发生玻璃器皿割伤事故时，由现场人员依不同情况酌情实施急救，情况严重时立即联系医疗救护人员进行现场救护，同时拨打120急救电话。</w:t>
      </w:r>
    </w:p>
    <w:p w14:paraId="7D22FFC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如遇精密仪器产生故障，由责任人员负责维修、更换。</w:t>
      </w:r>
    </w:p>
    <w:p w14:paraId="39EB0253">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60" w:name="_Toc51745474"/>
      <w:bookmarkStart w:id="61" w:name="_Toc20396"/>
      <w:r>
        <w:rPr>
          <w:rFonts w:hint="eastAsia" w:ascii="Times New Roman" w:hAnsi="Times New Roman" w:eastAsia="楷体_GB2312" w:cs="Times New Roman"/>
          <w:b/>
          <w:bCs w:val="0"/>
          <w:sz w:val="32"/>
          <w:szCs w:val="32"/>
        </w:rPr>
        <w:t>（四）</w:t>
      </w:r>
      <w:bookmarkEnd w:id="60"/>
      <w:r>
        <w:rPr>
          <w:rFonts w:hint="eastAsia" w:ascii="Times New Roman" w:hAnsi="Times New Roman" w:eastAsia="楷体_GB2312" w:cs="Times New Roman"/>
          <w:b/>
          <w:bCs w:val="0"/>
          <w:sz w:val="32"/>
          <w:szCs w:val="32"/>
        </w:rPr>
        <w:t>医疗应急预案</w:t>
      </w:r>
      <w:bookmarkEnd w:id="61"/>
    </w:p>
    <w:p w14:paraId="60F4456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安排医务人员在比赛现场值班。</w:t>
      </w:r>
    </w:p>
    <w:p w14:paraId="5951AA0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比赛过程中如果发现选手突然出现发热、呕吐等身体不适状况，由专人护送至休息室，医务人员到场处置并做好情况登记工作，必要时请求属地卫生部门协助。</w:t>
      </w:r>
    </w:p>
    <w:p w14:paraId="3D370BE3">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62" w:name="_Toc17228"/>
      <w:r>
        <w:rPr>
          <w:rFonts w:hint="default" w:cs="Times New Roman"/>
          <w:b/>
          <w:sz w:val="28"/>
          <w:szCs w:val="28"/>
          <w:lang w:val="en-US" w:eastAsia="zh-CN"/>
        </w:rPr>
        <w:t>十</w:t>
      </w:r>
      <w:r>
        <w:rPr>
          <w:rFonts w:hint="eastAsia" w:cs="Times New Roman"/>
          <w:b/>
          <w:sz w:val="28"/>
          <w:szCs w:val="28"/>
          <w:lang w:val="en-US" w:eastAsia="zh-CN"/>
        </w:rPr>
        <w:t>二</w:t>
      </w:r>
      <w:r>
        <w:rPr>
          <w:rFonts w:hint="default" w:cs="Times New Roman"/>
          <w:b/>
          <w:sz w:val="28"/>
          <w:szCs w:val="28"/>
          <w:lang w:val="en-US" w:eastAsia="zh-CN"/>
        </w:rPr>
        <w:t>、赛项安全</w:t>
      </w:r>
      <w:bookmarkEnd w:id="62"/>
    </w:p>
    <w:p w14:paraId="17981C2A">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63" w:name="_Toc29539"/>
      <w:bookmarkStart w:id="64" w:name="_Toc51745476"/>
      <w:r>
        <w:rPr>
          <w:rFonts w:hint="eastAsia" w:ascii="Times New Roman" w:hAnsi="Times New Roman" w:eastAsia="楷体_GB2312" w:cs="Times New Roman"/>
          <w:b/>
          <w:bCs w:val="0"/>
          <w:sz w:val="32"/>
          <w:szCs w:val="32"/>
        </w:rPr>
        <w:t>（一）安全操作</w:t>
      </w:r>
      <w:bookmarkEnd w:id="63"/>
      <w:bookmarkEnd w:id="64"/>
    </w:p>
    <w:p w14:paraId="6E3735B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1.参赛选手的个人防护用品穿戴必须符合《化学化工实验室安全管理规范》（T/CCSAS 005-2019）要求。</w:t>
      </w:r>
    </w:p>
    <w:p w14:paraId="038D863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2.参赛选手在比赛过程中，要注意安全用电，不要用湿手、湿物接触电源，比赛结束后应关闭电源。</w:t>
      </w:r>
    </w:p>
    <w:p w14:paraId="34E3DAC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3.要熟悉掌握实验中的注意事项和化学试剂特性，严禁进行具有安全风险的操作。</w:t>
      </w:r>
    </w:p>
    <w:p w14:paraId="0AA6B81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仿宋_GB2312" w:hAnsi="仿宋_GB2312" w:eastAsia="仿宋_GB2312" w:cs="仿宋_GB2312"/>
          <w:sz w:val="28"/>
          <w:szCs w:val="28"/>
        </w:rPr>
      </w:pPr>
      <w:r>
        <w:rPr>
          <w:rFonts w:hint="eastAsia" w:ascii="Times New Roman" w:hAnsi="Times New Roman" w:eastAsia="仿宋_GB2312" w:cs="仿宋_GB2312"/>
          <w:sz w:val="28"/>
          <w:szCs w:val="28"/>
        </w:rPr>
        <w:t>4.严禁在比赛场地内饮食或把餐具带进比赛场地。</w:t>
      </w:r>
    </w:p>
    <w:p w14:paraId="0C9A494A">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65" w:name="_Toc51745477"/>
      <w:bookmarkStart w:id="66" w:name="_Toc6057"/>
      <w:r>
        <w:rPr>
          <w:rFonts w:hint="eastAsia" w:ascii="Times New Roman" w:hAnsi="Times New Roman" w:eastAsia="楷体_GB2312" w:cs="Times New Roman"/>
          <w:b/>
          <w:bCs w:val="0"/>
          <w:sz w:val="32"/>
          <w:szCs w:val="32"/>
        </w:rPr>
        <w:t>（二）赛场安全保障</w:t>
      </w:r>
      <w:bookmarkEnd w:id="65"/>
      <w:bookmarkEnd w:id="66"/>
    </w:p>
    <w:p w14:paraId="79FBFA1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1.所有人员不准携带液体饮料、管制器械及易燃易爆等危险物品进入指定区域，不准在禁烟区吸烟。</w:t>
      </w:r>
    </w:p>
    <w:p w14:paraId="7BB18C0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2.比赛期间如发生火情等特殊情况，要保持镇静，在第一时间向现场工作人员报告，并按照现场工作人员的统一指挥，参与扑救或有序撤离。</w:t>
      </w:r>
    </w:p>
    <w:p w14:paraId="0681F27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3.比赛期间一旦发生人员意外伤害或紧急突发病情，要服从现场救护人员指挥，医护人员应采取积极有效的医疗救治措施；遇有病情严重情况时，要尽快指派专人护送病人到医院进行救治。</w:t>
      </w:r>
    </w:p>
    <w:p w14:paraId="004519ED">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67" w:name="_Toc51745478"/>
      <w:bookmarkStart w:id="68" w:name="_Toc19683"/>
      <w:r>
        <w:rPr>
          <w:rFonts w:hint="eastAsia" w:ascii="Times New Roman" w:hAnsi="Times New Roman" w:eastAsia="楷体_GB2312" w:cs="Times New Roman"/>
          <w:b/>
          <w:bCs w:val="0"/>
          <w:sz w:val="32"/>
          <w:szCs w:val="32"/>
        </w:rPr>
        <w:t>（三）安保工作要求</w:t>
      </w:r>
      <w:bookmarkEnd w:id="67"/>
      <w:bookmarkEnd w:id="68"/>
    </w:p>
    <w:p w14:paraId="04C1DA9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1.在发生突发事件时，安保工作负责人要掌握信息，统一布置工作，全体安保人员必须服从命令、听从指挥，不得顶撞、拖延或临时逃脱，在未接到撤岗指令之前，不得离开岗位。</w:t>
      </w:r>
    </w:p>
    <w:p w14:paraId="5D5AC1B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发现安全隐患或突发事件时，现场人员应立即向保卫组汇报，保卫组接报后要立即到达现场，指挥并配合专业人员做好抢救工作；视突发事件的具体情况，分别向相关部门报告，立即启动《赛区安全保卫突发事件处理预案》。</w:t>
      </w:r>
    </w:p>
    <w:p w14:paraId="6429013A">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69" w:name="_Toc18434"/>
      <w:r>
        <w:rPr>
          <w:rFonts w:hint="default" w:cs="Times New Roman"/>
          <w:b/>
          <w:sz w:val="28"/>
          <w:szCs w:val="28"/>
          <w:lang w:val="en-US" w:eastAsia="zh-CN"/>
        </w:rPr>
        <w:t>十</w:t>
      </w:r>
      <w:r>
        <w:rPr>
          <w:rFonts w:hint="eastAsia" w:cs="Times New Roman"/>
          <w:b/>
          <w:sz w:val="28"/>
          <w:szCs w:val="28"/>
          <w:lang w:val="en-US" w:eastAsia="zh-CN"/>
        </w:rPr>
        <w:t>三</w:t>
      </w:r>
      <w:r>
        <w:rPr>
          <w:rFonts w:hint="default" w:cs="Times New Roman"/>
          <w:b/>
          <w:sz w:val="28"/>
          <w:szCs w:val="28"/>
          <w:lang w:val="en-US" w:eastAsia="zh-CN"/>
        </w:rPr>
        <w:t>、竞赛须知</w:t>
      </w:r>
      <w:bookmarkEnd w:id="69"/>
    </w:p>
    <w:p w14:paraId="2780A993">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70" w:name="_Toc17262"/>
      <w:r>
        <w:rPr>
          <w:rFonts w:hint="eastAsia" w:ascii="Times New Roman" w:hAnsi="Times New Roman" w:eastAsia="楷体_GB2312" w:cs="Times New Roman"/>
          <w:b/>
          <w:bCs w:val="0"/>
          <w:sz w:val="32"/>
          <w:szCs w:val="32"/>
        </w:rPr>
        <w:t>（一）参赛队须知</w:t>
      </w:r>
      <w:bookmarkEnd w:id="70"/>
    </w:p>
    <w:p w14:paraId="60B5820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参赛队对赛项执委会发布的所有文件要仔细阅读，确切了解大赛时间安排、评判细节等，以保证顺利参加大赛。</w:t>
      </w:r>
    </w:p>
    <w:p w14:paraId="0C6DA9F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参赛队领队负责本参赛队的参赛组织和与大赛的联络。</w:t>
      </w:r>
    </w:p>
    <w:p w14:paraId="5A748A4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各参赛队须为参赛选手购买大赛期间的人身意外伤害保险，报到时参赛选手务必携带身份证、学生证原件、人身意外伤害保险保单复印件或提供校方开具的参赛选手人身意外伤害保险有效证明文件。</w:t>
      </w:r>
    </w:p>
    <w:p w14:paraId="4C87F18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 参赛队按照大赛赛程安排和具体时间前往指定地点，各参赛选手凭大赛组委会颁发的参赛证和有效身份证件参加比赛及相关活动。</w:t>
      </w:r>
    </w:p>
    <w:p w14:paraId="412762E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 参赛队不得自行变更参赛选手、参赛赛位，否则按作弊处理，取消参赛资格。</w:t>
      </w:r>
    </w:p>
    <w:p w14:paraId="5A31FCA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6. 参赛队自觉遵守竞赛规则，尊重和支持裁判工作，不随意进入比赛现场及其它禁止入内的区域，确保比赛进程的公平、公正、顺畅、高效。</w:t>
      </w:r>
    </w:p>
    <w:p w14:paraId="46EC163C">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71" w:name="_Toc4932"/>
      <w:r>
        <w:rPr>
          <w:rFonts w:hint="eastAsia" w:ascii="Times New Roman" w:hAnsi="Times New Roman" w:eastAsia="楷体_GB2312" w:cs="Times New Roman"/>
          <w:b/>
          <w:bCs w:val="0"/>
          <w:sz w:val="32"/>
          <w:szCs w:val="32"/>
        </w:rPr>
        <w:t>（二）选手须知</w:t>
      </w:r>
      <w:bookmarkEnd w:id="71"/>
    </w:p>
    <w:p w14:paraId="358D715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参赛选手须认真填写报名表各项内容，提供个人真实身份证明，凡弄虚作假者，将取消其比赛资格。</w:t>
      </w:r>
    </w:p>
    <w:p w14:paraId="3D5BF9D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选手竞赛时须按《化学化工实验室安全管理规范》（T/CCSAS 005-2019）要求着装，严格遵守安全操作规程，确保人身和设备安全，并接受现场裁判和技术人员的监督和警示。</w:t>
      </w:r>
    </w:p>
    <w:p w14:paraId="187FAC5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裁判长宣布比赛开始，参赛选手才能启动比赛任务的操作。在此之前，选手可查阅理解比赛任务，摆放、检查自己所带工具，清洗有关玻璃器皿等，但不可使用工具进行比赛任务。</w:t>
      </w:r>
    </w:p>
    <w:p w14:paraId="7856ACD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 xml:space="preserve">4. 竞赛过程中，选手休息、如厕、非统一安排饮食的时间均计算在竞赛时间内。 </w:t>
      </w:r>
    </w:p>
    <w:p w14:paraId="015FAEE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 在竞赛过程中，如发生非选手自身人为原因造成的设备故障问题，经裁判组长和裁判长共同确认，可视具体情况做出补时决定，选手签字确认。</w:t>
      </w:r>
    </w:p>
    <w:p w14:paraId="4E5B76A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6. 选手因故终止比赛或提前完成比赛任务需要离场，应报告现场裁判，在赛场记录表的相应栏目填写离场时间、离场原因并由现场裁判签名和选手签署赛位号确认。</w:t>
      </w:r>
    </w:p>
    <w:p w14:paraId="010715A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7. 参赛选手应自觉遵守赛场纪律，服从裁判、听从指挥。选手在比赛过程中，如有疑问，裁判不能处理或对裁判处理的结果不满意，应举手示意要求请示相应裁判组长或裁判长，否则视为放弃选手自我权利。</w:t>
      </w:r>
    </w:p>
    <w:p w14:paraId="0DBD0315">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72" w:name="_Toc1060"/>
      <w:r>
        <w:rPr>
          <w:rFonts w:hint="eastAsia" w:ascii="Times New Roman" w:hAnsi="Times New Roman" w:eastAsia="楷体_GB2312" w:cs="Times New Roman"/>
          <w:b/>
          <w:bCs w:val="0"/>
          <w:sz w:val="32"/>
          <w:szCs w:val="32"/>
        </w:rPr>
        <w:t>（三）</w:t>
      </w:r>
      <w:r>
        <w:rPr>
          <w:rFonts w:hint="eastAsia" w:ascii="Times New Roman" w:hAnsi="Times New Roman" w:eastAsia="楷体_GB2312" w:cs="Times New Roman"/>
          <w:b/>
          <w:bCs w:val="0"/>
          <w:sz w:val="32"/>
          <w:szCs w:val="32"/>
          <w:lang w:val="en-US" w:eastAsia="zh-CN"/>
        </w:rPr>
        <w:t>指导教师</w:t>
      </w:r>
      <w:r>
        <w:rPr>
          <w:rFonts w:hint="eastAsia" w:ascii="Times New Roman" w:hAnsi="Times New Roman" w:eastAsia="楷体_GB2312" w:cs="Times New Roman"/>
          <w:b/>
          <w:bCs w:val="0"/>
          <w:sz w:val="32"/>
          <w:szCs w:val="32"/>
        </w:rPr>
        <w:t>须知</w:t>
      </w:r>
      <w:bookmarkEnd w:id="72"/>
    </w:p>
    <w:p w14:paraId="0E9DC02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参赛队</w:t>
      </w:r>
      <w:r>
        <w:rPr>
          <w:rFonts w:hint="eastAsia" w:ascii="Times New Roman" w:hAnsi="Times New Roman" w:eastAsia="仿宋_GB2312" w:cs="仿宋_GB2312"/>
          <w:sz w:val="28"/>
          <w:szCs w:val="28"/>
          <w:lang w:eastAsia="zh-CN"/>
        </w:rPr>
        <w:t>指导教师</w:t>
      </w:r>
      <w:r>
        <w:rPr>
          <w:rFonts w:hint="eastAsia" w:ascii="Times New Roman" w:hAnsi="Times New Roman" w:eastAsia="仿宋_GB2312" w:cs="仿宋_GB2312"/>
          <w:sz w:val="28"/>
          <w:szCs w:val="28"/>
        </w:rPr>
        <w:t>做好本单位比赛选手的业务辅导、心理疏导和思想引导工作，对参赛选手及比赛过程保持平和、包容的心态，共同维护竞赛秩序。</w:t>
      </w:r>
    </w:p>
    <w:p w14:paraId="02CAEB5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当本单位参赛选手对比赛进程中出现的异常或疑问，应及时了解情况，客观做出判断，并做好选手的安抚工作，经内部进行协商，认为有必要时可在规定时限内向赛项监督仲裁组反映情况或提出书面仲裁申请。</w:t>
      </w:r>
    </w:p>
    <w:p w14:paraId="5A43DE85">
      <w:pPr>
        <w:pageBreakBefore w:val="0"/>
        <w:widowControl w:val="0"/>
        <w:kinsoku/>
        <w:wordWrap/>
        <w:overflowPunct/>
        <w:topLinePunct w:val="0"/>
        <w:bidi w:val="0"/>
        <w:adjustRightInd w:val="0"/>
        <w:snapToGrid w:val="0"/>
        <w:spacing w:line="540" w:lineRule="exact"/>
        <w:ind w:right="210" w:rightChars="100" w:firstLine="643" w:firstLineChars="200"/>
        <w:textAlignment w:val="auto"/>
        <w:outlineLvl w:val="1"/>
        <w:rPr>
          <w:rFonts w:hint="eastAsia" w:ascii="Times New Roman" w:hAnsi="Times New Roman" w:eastAsia="楷体_GB2312" w:cs="Times New Roman"/>
          <w:b/>
          <w:bCs w:val="0"/>
          <w:sz w:val="32"/>
          <w:szCs w:val="32"/>
        </w:rPr>
      </w:pPr>
      <w:bookmarkStart w:id="73" w:name="_Toc23628"/>
      <w:r>
        <w:rPr>
          <w:rFonts w:hint="eastAsia" w:ascii="Times New Roman" w:hAnsi="Times New Roman" w:eastAsia="楷体_GB2312" w:cs="Times New Roman"/>
          <w:b/>
          <w:bCs w:val="0"/>
          <w:sz w:val="32"/>
          <w:szCs w:val="32"/>
        </w:rPr>
        <w:t>（四）工作人员须知</w:t>
      </w:r>
      <w:bookmarkEnd w:id="73"/>
    </w:p>
    <w:p w14:paraId="5553F11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树立服务观念，一切为选手着想，以高度负责的精神、严肃认真的态度和严谨细致的作风，积极完成本职任务。</w:t>
      </w:r>
    </w:p>
    <w:p w14:paraId="732C2A4C">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按规定统一着装，注意文明礼貌，保持良好形象，熟悉大赛指南。</w:t>
      </w:r>
    </w:p>
    <w:p w14:paraId="159C246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于赛前</w:t>
      </w:r>
      <w:r>
        <w:rPr>
          <w:rFonts w:hint="eastAsia" w:ascii="Times New Roman" w:hAnsi="Times New Roman" w:eastAsia="仿宋_GB2312" w:cs="仿宋_GB2312"/>
          <w:sz w:val="28"/>
          <w:szCs w:val="28"/>
          <w:lang w:val="en-US" w:eastAsia="zh-CN"/>
        </w:rPr>
        <w:t>30</w:t>
      </w:r>
      <w:r>
        <w:rPr>
          <w:rFonts w:hint="eastAsia" w:ascii="Times New Roman" w:hAnsi="Times New Roman" w:eastAsia="仿宋_GB2312" w:cs="仿宋_GB2312"/>
          <w:sz w:val="28"/>
          <w:szCs w:val="28"/>
        </w:rPr>
        <w:t>分钟到达赛场或根据岗位要求提前上岗，严守工作岗位，不迟到，不早退，不无故离岗，特殊情况需向赛项执委会请假。</w:t>
      </w:r>
    </w:p>
    <w:p w14:paraId="1C7FB2E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 熟悉竞赛规程，严格按照工作程序和有关规定办事，遇突发事件，按照安全工作预案，组织指挥人员疏散，确保人员安全。</w:t>
      </w:r>
    </w:p>
    <w:p w14:paraId="3632D06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 保持通信畅通，服从统一领导，严格遵守竞赛纪律，加强协作配合，提高工作效率。</w:t>
      </w:r>
    </w:p>
    <w:p w14:paraId="7296E271">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74" w:name="_Toc12202"/>
      <w:r>
        <w:rPr>
          <w:rFonts w:hint="default" w:cs="Times New Roman"/>
          <w:b/>
          <w:sz w:val="28"/>
          <w:szCs w:val="28"/>
          <w:lang w:val="en-US" w:eastAsia="zh-CN"/>
        </w:rPr>
        <w:t>十</w:t>
      </w:r>
      <w:r>
        <w:rPr>
          <w:rFonts w:hint="eastAsia" w:cs="Times New Roman"/>
          <w:b/>
          <w:sz w:val="28"/>
          <w:szCs w:val="28"/>
          <w:lang w:val="en-US" w:eastAsia="zh-CN"/>
        </w:rPr>
        <w:t>四</w:t>
      </w:r>
      <w:r>
        <w:rPr>
          <w:rFonts w:hint="default" w:cs="Times New Roman"/>
          <w:b/>
          <w:sz w:val="28"/>
          <w:szCs w:val="28"/>
          <w:lang w:val="en-US" w:eastAsia="zh-CN"/>
        </w:rPr>
        <w:t>、申诉与仲裁</w:t>
      </w:r>
      <w:bookmarkEnd w:id="74"/>
    </w:p>
    <w:p w14:paraId="02000BC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 本赛项在比赛过程中若出现有失公正或有关人员违规等现象，</w:t>
      </w:r>
      <w:r>
        <w:rPr>
          <w:rFonts w:hint="eastAsia" w:ascii="Times New Roman" w:hAnsi="Times New Roman" w:eastAsia="仿宋_GB2312" w:cs="仿宋_GB2312"/>
          <w:sz w:val="28"/>
          <w:szCs w:val="28"/>
          <w:lang w:val="en-US" w:eastAsia="zh-CN"/>
        </w:rPr>
        <w:t>参赛队</w:t>
      </w:r>
      <w:r>
        <w:rPr>
          <w:rFonts w:hint="eastAsia" w:ascii="Times New Roman" w:hAnsi="Times New Roman" w:eastAsia="仿宋_GB2312" w:cs="仿宋_GB2312"/>
          <w:sz w:val="28"/>
          <w:szCs w:val="28"/>
        </w:rPr>
        <w:t>领队可在该模块项目比赛结束后，2小时之内向</w:t>
      </w:r>
      <w:r>
        <w:rPr>
          <w:rFonts w:hint="eastAsia" w:ascii="Times New Roman" w:hAnsi="Times New Roman" w:eastAsia="仿宋_GB2312" w:cs="仿宋_GB2312"/>
          <w:sz w:val="28"/>
          <w:szCs w:val="28"/>
          <w:lang w:val="en-US" w:eastAsia="zh-CN"/>
        </w:rPr>
        <w:t>赛执委</w:t>
      </w:r>
      <w:r>
        <w:rPr>
          <w:rFonts w:hint="eastAsia" w:ascii="Times New Roman" w:hAnsi="Times New Roman" w:eastAsia="仿宋_GB2312" w:cs="仿宋_GB2312"/>
          <w:sz w:val="28"/>
          <w:szCs w:val="28"/>
        </w:rPr>
        <w:t>提出书面申诉。</w:t>
      </w:r>
    </w:p>
    <w:p w14:paraId="00E45E5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 书面申诉应对申诉事件的现象、发生时间、涉及人员、申诉依据等进行充分、实事求是地叙述，并由领队亲笔签名。非书面申诉不予受理。</w:t>
      </w:r>
    </w:p>
    <w:p w14:paraId="33A908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 竞赛过程中，大赛赋予选手与裁判合理沟通和交流权利。如果对裁判处理的结果不满意，应举手示意请示相应裁判组长或裁判长，否则视为放弃个人权利，与此相关的申诉不成立。</w:t>
      </w:r>
    </w:p>
    <w:p w14:paraId="5F4F48A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 xml:space="preserve">4. </w:t>
      </w:r>
      <w:r>
        <w:rPr>
          <w:rFonts w:hint="eastAsia" w:ascii="Times New Roman" w:hAnsi="Times New Roman" w:eastAsia="仿宋_GB2312" w:cs="仿宋_GB2312"/>
          <w:sz w:val="28"/>
          <w:szCs w:val="28"/>
          <w:lang w:val="en-US" w:eastAsia="zh-CN"/>
        </w:rPr>
        <w:t>赛执委</w:t>
      </w:r>
      <w:r>
        <w:rPr>
          <w:rFonts w:hint="eastAsia" w:ascii="Times New Roman" w:hAnsi="Times New Roman" w:eastAsia="仿宋_GB2312" w:cs="仿宋_GB2312"/>
          <w:sz w:val="28"/>
          <w:szCs w:val="28"/>
        </w:rPr>
        <w:t>在接到申诉后的2小时内组织复议，并及时反馈复议结果。</w:t>
      </w:r>
    </w:p>
    <w:p w14:paraId="3538C10B">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 申诉方对复议结果仍有异议，可由</w:t>
      </w:r>
      <w:r>
        <w:rPr>
          <w:rFonts w:hint="eastAsia" w:ascii="Times New Roman" w:hAnsi="Times New Roman" w:eastAsia="仿宋_GB2312" w:cs="仿宋_GB2312"/>
          <w:sz w:val="28"/>
          <w:szCs w:val="28"/>
          <w:lang w:val="en-US" w:eastAsia="zh-CN"/>
        </w:rPr>
        <w:t>参赛队</w:t>
      </w:r>
      <w:r>
        <w:rPr>
          <w:rFonts w:hint="eastAsia" w:ascii="Times New Roman" w:hAnsi="Times New Roman" w:eastAsia="仿宋_GB2312" w:cs="仿宋_GB2312"/>
          <w:sz w:val="28"/>
          <w:szCs w:val="28"/>
        </w:rPr>
        <w:t>领队向</w:t>
      </w:r>
      <w:r>
        <w:rPr>
          <w:rFonts w:hint="eastAsia" w:ascii="Times New Roman" w:hAnsi="Times New Roman" w:eastAsia="仿宋_GB2312" w:cs="仿宋_GB2312"/>
          <w:sz w:val="28"/>
          <w:szCs w:val="28"/>
          <w:lang w:val="en-US" w:eastAsia="zh-CN"/>
        </w:rPr>
        <w:t>赛组委</w:t>
      </w:r>
      <w:r>
        <w:rPr>
          <w:rFonts w:hint="eastAsia" w:ascii="Times New Roman" w:hAnsi="Times New Roman" w:eastAsia="仿宋_GB2312" w:cs="仿宋_GB2312"/>
          <w:sz w:val="28"/>
          <w:szCs w:val="28"/>
        </w:rPr>
        <w:t>提出申诉。</w:t>
      </w:r>
      <w:r>
        <w:rPr>
          <w:rFonts w:hint="eastAsia" w:ascii="Times New Roman" w:hAnsi="Times New Roman" w:eastAsia="仿宋_GB2312" w:cs="仿宋_GB2312"/>
          <w:sz w:val="28"/>
          <w:szCs w:val="28"/>
          <w:lang w:val="en-US" w:eastAsia="zh-CN"/>
        </w:rPr>
        <w:t>赛组委</w:t>
      </w:r>
      <w:r>
        <w:rPr>
          <w:rFonts w:hint="eastAsia" w:ascii="Times New Roman" w:hAnsi="Times New Roman" w:eastAsia="仿宋_GB2312" w:cs="仿宋_GB2312"/>
          <w:sz w:val="28"/>
          <w:szCs w:val="28"/>
        </w:rPr>
        <w:t>的仲裁结果为最终结果。</w:t>
      </w:r>
    </w:p>
    <w:p w14:paraId="2BC2C36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lang w:val="en-US" w:eastAsia="zh-CN"/>
        </w:rPr>
      </w:pPr>
      <w:r>
        <w:rPr>
          <w:rFonts w:hint="eastAsia" w:ascii="Times New Roman" w:hAnsi="Times New Roman" w:eastAsia="仿宋_GB2312" w:cs="仿宋_GB2312"/>
          <w:sz w:val="28"/>
          <w:szCs w:val="28"/>
          <w:lang w:val="en-US" w:eastAsia="zh-CN"/>
        </w:rPr>
        <w:t>6</w:t>
      </w:r>
      <w:r>
        <w:rPr>
          <w:rFonts w:hint="eastAsia" w:ascii="Times New Roman" w:hAnsi="Times New Roman" w:eastAsia="仿宋_GB2312" w:cs="仿宋_GB2312"/>
          <w:sz w:val="28"/>
          <w:szCs w:val="28"/>
        </w:rPr>
        <w:t xml:space="preserve">. </w:t>
      </w:r>
      <w:r>
        <w:rPr>
          <w:rFonts w:hint="eastAsia" w:ascii="Times New Roman" w:hAnsi="Times New Roman" w:eastAsia="仿宋_GB2312" w:cs="仿宋_GB2312"/>
          <w:sz w:val="28"/>
          <w:szCs w:val="28"/>
          <w:lang w:val="en-US" w:eastAsia="zh-CN"/>
        </w:rPr>
        <w:t>本规程中未详尽事宜，由裁判长负责解释并作出决定。</w:t>
      </w:r>
    </w:p>
    <w:p w14:paraId="352EC834">
      <w:pPr>
        <w:pStyle w:val="3"/>
        <w:keepNext/>
        <w:keepLines/>
        <w:pageBreakBefore w:val="0"/>
        <w:widowControl w:val="0"/>
        <w:kinsoku/>
        <w:wordWrap/>
        <w:overflowPunct/>
        <w:topLinePunct w:val="0"/>
        <w:autoSpaceDE/>
        <w:autoSpaceDN/>
        <w:bidi w:val="0"/>
        <w:adjustRightInd/>
        <w:snapToGrid/>
        <w:spacing w:before="120" w:after="0" w:line="540" w:lineRule="exact"/>
        <w:textAlignment w:val="auto"/>
        <w:outlineLvl w:val="0"/>
        <w:rPr>
          <w:rFonts w:hint="default" w:cs="Times New Roman"/>
          <w:b/>
          <w:sz w:val="28"/>
          <w:szCs w:val="28"/>
          <w:lang w:val="en-US" w:eastAsia="zh-CN"/>
        </w:rPr>
      </w:pPr>
      <w:bookmarkStart w:id="75" w:name="_Toc19843"/>
      <w:r>
        <w:rPr>
          <w:rFonts w:hint="default" w:cs="Times New Roman"/>
          <w:b/>
          <w:sz w:val="28"/>
          <w:szCs w:val="28"/>
          <w:lang w:val="en-US" w:eastAsia="zh-CN"/>
        </w:rPr>
        <w:t>十</w:t>
      </w:r>
      <w:r>
        <w:rPr>
          <w:rFonts w:hint="eastAsia" w:cs="Times New Roman"/>
          <w:b/>
          <w:sz w:val="28"/>
          <w:szCs w:val="28"/>
          <w:lang w:val="en-US" w:eastAsia="zh-CN"/>
        </w:rPr>
        <w:t>五</w:t>
      </w:r>
      <w:r>
        <w:rPr>
          <w:rFonts w:hint="default" w:cs="Times New Roman"/>
          <w:b/>
          <w:sz w:val="28"/>
          <w:szCs w:val="28"/>
          <w:lang w:val="en-US" w:eastAsia="zh-CN"/>
        </w:rPr>
        <w:t>、竞赛观摩</w:t>
      </w:r>
      <w:bookmarkEnd w:id="75"/>
    </w:p>
    <w:p w14:paraId="68FB5A7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为贯彻公开、公平、公正的比赛原则，本赛项特别设置现场观摩。在不干扰竞赛正常进行的前提下，嘉宾、观摩团队等各界人员在指定时间，由专人引导进入现场观摩，沿指定路线、在指定区域内现场观赛。为保证大赛顺利进行，在观摩期间应遵循以下规则：</w:t>
      </w:r>
    </w:p>
    <w:p w14:paraId="4C61FE7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1．观摩人员在规定时间、在观摩区域按照规定路线跟随引导人员进行观摩，不得滞留。</w:t>
      </w:r>
    </w:p>
    <w:p w14:paraId="682C711E">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2．观摩全程请保持安静，不得喧哗，不得相互或与选手交谈，不得对选手打手势（包括哑语沟通等明示、暗示行为），不能有鼓掌喝彩等干扰选手的行为。</w:t>
      </w:r>
    </w:p>
    <w:p w14:paraId="364BEF9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3．观摩时不得使用对比赛可能造成干扰的发光或发出声响的设备。</w:t>
      </w:r>
    </w:p>
    <w:p w14:paraId="54CB263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4．必须在规划的观摩区域或者安全线以外观看比赛，并遵循赛场内工作人员和竞赛裁判人员的指挥，不得有围攻裁判员、选手或者其他工作人员的行为。</w:t>
      </w:r>
    </w:p>
    <w:p w14:paraId="2933FEB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5．务必保持赛场清洁，观摩时不得抽烟，不得进食，不得乱扔杂物。</w:t>
      </w:r>
    </w:p>
    <w:p w14:paraId="0B97FC71">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Times New Roman" w:hAnsi="Times New Roman" w:eastAsia="仿宋_GB2312" w:cs="仿宋_GB2312"/>
          <w:sz w:val="28"/>
          <w:szCs w:val="28"/>
        </w:rPr>
      </w:pPr>
      <w:r>
        <w:rPr>
          <w:rFonts w:hint="eastAsia" w:ascii="Times New Roman" w:hAnsi="Times New Roman" w:eastAsia="仿宋_GB2312" w:cs="仿宋_GB2312"/>
          <w:sz w:val="28"/>
          <w:szCs w:val="28"/>
        </w:rPr>
        <w:t>6．为确保选手正常比赛，观摩人员严禁携带手机及其他任何通讯工具。</w:t>
      </w:r>
    </w:p>
    <w:sectPr>
      <w:footerReference r:id="rId5" w:type="default"/>
      <w:pgSz w:w="11906" w:h="16838"/>
      <w:pgMar w:top="2098" w:right="1474" w:bottom="1984" w:left="1587"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6812DE6-05AF-4109-A97E-7B7E9F5F313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embedRegular r:id="rId2" w:fontKey="{F7E45ED7-8B30-497B-8121-3DF0F2A3D97F}"/>
  </w:font>
  <w:font w:name="楷体_GB2312">
    <w:panose1 w:val="02010609030101010101"/>
    <w:charset w:val="86"/>
    <w:family w:val="modern"/>
    <w:pitch w:val="default"/>
    <w:sig w:usb0="00000001" w:usb1="080E0000" w:usb2="00000000" w:usb3="00000000" w:csb0="00040000" w:csb1="00000000"/>
    <w:embedRegular r:id="rId3" w:fontKey="{0C81D755-6F25-4D29-8C93-1F0001E69514}"/>
  </w:font>
  <w:font w:name="仿宋_GB2312">
    <w:panose1 w:val="02010609030101010101"/>
    <w:charset w:val="86"/>
    <w:family w:val="modern"/>
    <w:pitch w:val="default"/>
    <w:sig w:usb0="00000001" w:usb1="080E0000" w:usb2="00000000" w:usb3="00000000" w:csb0="00040000" w:csb1="00000000"/>
    <w:embedRegular r:id="rId4" w:fontKey="{A79BBB3D-95FB-427C-B965-A4D3DC7E4E0F}"/>
  </w:font>
  <w:font w:name="楷体">
    <w:panose1 w:val="02010609060101010101"/>
    <w:charset w:val="86"/>
    <w:family w:val="auto"/>
    <w:pitch w:val="default"/>
    <w:sig w:usb0="800002BF" w:usb1="38CF7CFA" w:usb2="00000016" w:usb3="00000000" w:csb0="00040001" w:csb1="00000000"/>
    <w:embedRegular r:id="rId5" w:fontKey="{A6930B1E-B977-4D5E-A2C8-1044FE9A27B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01486">
    <w:pPr>
      <w:tabs>
        <w:tab w:val="center" w:pos="4153"/>
        <w:tab w:val="right" w:pos="8306"/>
      </w:tabs>
      <w:snapToGrid w:val="0"/>
      <w:jc w:val="left"/>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44AE8">
    <w:pPr>
      <w:tabs>
        <w:tab w:val="center" w:pos="4153"/>
        <w:tab w:val="right" w:pos="8306"/>
      </w:tabs>
      <w:snapToGrid w:val="0"/>
      <w:jc w:val="left"/>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A765">
    <w:pPr>
      <w:pStyle w:val="5"/>
      <w:jc w:val="center"/>
      <w:rPr>
        <w:rFonts w:hint="eastAsia" w:ascii="仿宋_GB2312" w:eastAsia="仿宋_GB2312"/>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69B542">
                          <w:pPr>
                            <w:pStyle w:val="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14:paraId="1E69B542">
                    <w:pPr>
                      <w:pStyle w:val="5"/>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  \* MERGEFORMAT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t xml:space="preserve"> —</w:t>
                    </w:r>
                  </w:p>
                </w:txbxContent>
              </v:textbox>
            </v:shape>
          </w:pict>
        </mc:Fallback>
      </mc:AlternateContent>
    </w:r>
  </w:p>
  <w:p w14:paraId="6322A7A9">
    <w:pPr>
      <w:tabs>
        <w:tab w:val="center" w:pos="4153"/>
        <w:tab w:val="right" w:pos="8306"/>
      </w:tabs>
      <w:snapToGrid w:val="0"/>
      <w:jc w:val="left"/>
      <w:rPr>
        <w:sz w:val="18"/>
        <w:szCs w:val="18"/>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1YWZhNzE2ZWM5ZTAyOGZkMzBiY2RiOTNmMTIyNzgifQ=="/>
  </w:docVars>
  <w:rsids>
    <w:rsidRoot w:val="005E4FE3"/>
    <w:rsid w:val="00097B24"/>
    <w:rsid w:val="00124699"/>
    <w:rsid w:val="00222C3A"/>
    <w:rsid w:val="003C3798"/>
    <w:rsid w:val="004016E6"/>
    <w:rsid w:val="004E3D43"/>
    <w:rsid w:val="005D17D1"/>
    <w:rsid w:val="005E4FE3"/>
    <w:rsid w:val="00632695"/>
    <w:rsid w:val="0064689D"/>
    <w:rsid w:val="00875F1C"/>
    <w:rsid w:val="00897249"/>
    <w:rsid w:val="00904AC3"/>
    <w:rsid w:val="00905B30"/>
    <w:rsid w:val="00920176"/>
    <w:rsid w:val="00972277"/>
    <w:rsid w:val="009C252E"/>
    <w:rsid w:val="00A11217"/>
    <w:rsid w:val="00B648DC"/>
    <w:rsid w:val="00B91BBD"/>
    <w:rsid w:val="00BC014D"/>
    <w:rsid w:val="00BD2BDC"/>
    <w:rsid w:val="00CB70BA"/>
    <w:rsid w:val="00D1167F"/>
    <w:rsid w:val="00D3345A"/>
    <w:rsid w:val="00D45AD2"/>
    <w:rsid w:val="00E30D83"/>
    <w:rsid w:val="00E90C32"/>
    <w:rsid w:val="00EA1D60"/>
    <w:rsid w:val="00EB176F"/>
    <w:rsid w:val="00FA2BBC"/>
    <w:rsid w:val="00FE2EA0"/>
    <w:rsid w:val="04A42800"/>
    <w:rsid w:val="078F7797"/>
    <w:rsid w:val="08AC4379"/>
    <w:rsid w:val="0A2A74D1"/>
    <w:rsid w:val="0BA151D9"/>
    <w:rsid w:val="0BAE4FA1"/>
    <w:rsid w:val="0F917E25"/>
    <w:rsid w:val="116D4BEE"/>
    <w:rsid w:val="11E97E0C"/>
    <w:rsid w:val="171506C3"/>
    <w:rsid w:val="17380EE0"/>
    <w:rsid w:val="188D1AD1"/>
    <w:rsid w:val="19121BF9"/>
    <w:rsid w:val="1AF442B2"/>
    <w:rsid w:val="1B7C7BDB"/>
    <w:rsid w:val="218047ED"/>
    <w:rsid w:val="26591245"/>
    <w:rsid w:val="2B876854"/>
    <w:rsid w:val="2EEE2746"/>
    <w:rsid w:val="2FA33530"/>
    <w:rsid w:val="302D3FAB"/>
    <w:rsid w:val="30542A7D"/>
    <w:rsid w:val="30E91417"/>
    <w:rsid w:val="378123A9"/>
    <w:rsid w:val="378142A6"/>
    <w:rsid w:val="39053C5B"/>
    <w:rsid w:val="390B0A3A"/>
    <w:rsid w:val="3A3D36ED"/>
    <w:rsid w:val="3D3B307D"/>
    <w:rsid w:val="3F946927"/>
    <w:rsid w:val="3FD57736"/>
    <w:rsid w:val="40710E2F"/>
    <w:rsid w:val="44110F59"/>
    <w:rsid w:val="46BD624E"/>
    <w:rsid w:val="4B036BD4"/>
    <w:rsid w:val="4C06511B"/>
    <w:rsid w:val="4FC25556"/>
    <w:rsid w:val="50153B7F"/>
    <w:rsid w:val="514165D0"/>
    <w:rsid w:val="51E144B3"/>
    <w:rsid w:val="52CF094C"/>
    <w:rsid w:val="58D77C23"/>
    <w:rsid w:val="5CDC17AF"/>
    <w:rsid w:val="5F4D6E91"/>
    <w:rsid w:val="61431D04"/>
    <w:rsid w:val="6320084F"/>
    <w:rsid w:val="67584625"/>
    <w:rsid w:val="69872FA0"/>
    <w:rsid w:val="69CB51A1"/>
    <w:rsid w:val="6AE10DD5"/>
    <w:rsid w:val="6BF6512E"/>
    <w:rsid w:val="6F0E7CBF"/>
    <w:rsid w:val="71B20DD6"/>
    <w:rsid w:val="72514A93"/>
    <w:rsid w:val="751B4EE4"/>
    <w:rsid w:val="76FA6D83"/>
    <w:rsid w:val="77B95E2E"/>
    <w:rsid w:val="7A614AAA"/>
    <w:rsid w:val="7D40367E"/>
    <w:rsid w:val="7FCE02F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qFormat/>
    <w:uiPriority w:val="0"/>
    <w:pPr>
      <w:spacing w:after="120"/>
    </w:pPr>
  </w:style>
  <w:style w:type="paragraph" w:styleId="5">
    <w:name w:val="footer"/>
    <w:basedOn w:val="1"/>
    <w:link w:val="12"/>
    <w:uiPriority w:val="99"/>
    <w:pPr>
      <w:tabs>
        <w:tab w:val="center" w:pos="4153"/>
        <w:tab w:val="right" w:pos="8306"/>
      </w:tabs>
      <w:snapToGrid w:val="0"/>
      <w:jc w:val="left"/>
    </w:pPr>
    <w:rPr>
      <w:sz w:val="18"/>
      <w:szCs w:val="18"/>
    </w:rPr>
  </w:style>
  <w:style w:type="paragraph" w:styleId="6">
    <w:name w:val="header"/>
    <w:basedOn w:val="1"/>
    <w:link w:val="13"/>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uiPriority w:val="0"/>
  </w:style>
  <w:style w:type="paragraph" w:styleId="8">
    <w:name w:val="toc 2"/>
    <w:basedOn w:val="1"/>
    <w:next w:val="1"/>
    <w:uiPriority w:val="0"/>
    <w:pPr>
      <w:ind w:left="420" w:leftChars="200"/>
    </w:pPr>
  </w:style>
  <w:style w:type="table" w:styleId="10">
    <w:name w:val="Table Grid"/>
    <w:qFormat/>
    <w:uiPriority w:val="99"/>
    <w:pPr>
      <w:widowControl w:val="0"/>
      <w:jc w:val="both"/>
    </w:pPr>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2">
    <w:name w:val="页脚 字符"/>
    <w:link w:val="5"/>
    <w:qFormat/>
    <w:uiPriority w:val="99"/>
    <w:rPr>
      <w:kern w:val="2"/>
      <w:sz w:val="18"/>
      <w:szCs w:val="18"/>
    </w:rPr>
  </w:style>
  <w:style w:type="character" w:customStyle="1" w:styleId="13">
    <w:name w:val="页眉 字符"/>
    <w:link w:val="6"/>
    <w:uiPriority w:val="0"/>
    <w:rPr>
      <w:kern w:val="2"/>
      <w:sz w:val="18"/>
      <w:szCs w:val="18"/>
    </w:rPr>
  </w:style>
  <w:style w:type="paragraph" w:styleId="14">
    <w:name w:val="List Paragraph"/>
    <w:basedOn w:val="1"/>
    <w:qFormat/>
    <w:uiPriority w:val="99"/>
    <w:pPr>
      <w:ind w:firstLine="420" w:firstLineChars="200"/>
    </w:pPr>
  </w:style>
  <w:style w:type="paragraph" w:customStyle="1" w:styleId="1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9153</Words>
  <Characters>9477</Characters>
  <Lines>106</Lines>
  <Paragraphs>29</Paragraphs>
  <TotalTime>11</TotalTime>
  <ScaleCrop>false</ScaleCrop>
  <LinksUpToDate>false</LinksUpToDate>
  <CharactersWithSpaces>9750</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2023-04-15T16:34:00Z</dcterms:created>
  <dc:creator>HP</dc:creator>
  <cp:lastModifiedBy>徐雪峰</cp:lastModifiedBy>
  <dcterms:modified xsi:type="dcterms:W3CDTF">2026-10-22T01:12:53Z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83DCDF9819704C4ABB541F25E0750CB0_13</vt:lpwstr>
  </property>
  <property fmtid="{D5CDD505-2E9C-101B-9397-08002B2CF9AE}" pid="4" name="KSOTemplateDocerSaveRecord">
    <vt:lpwstr>eyJoZGlkIjoiMWY1YWZhNzE2ZWM5ZTAyOGZkMzBiY2RiOTNmMTIyNzgiLCJ1c2VySWQiOiIzOTE4NzgzODAifQ==</vt:lpwstr>
  </property>
</Properties>
</file>