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C8E5D6">
      <w:pPr>
        <w:pStyle w:val="3"/>
        <w:ind w:left="0" w:leftChars="0" w:firstLine="0" w:firstLineChars="0"/>
        <w:jc w:val="center"/>
        <w:rPr>
          <w:rFonts w:hint="eastAsia" w:ascii="方正公文小标宋" w:hAnsi="方正公文小标宋" w:eastAsia="方正公文小标宋" w:cs="方正公文小标宋"/>
          <w:b w:val="0"/>
          <w:bCs w:val="0"/>
          <w:color w:val="auto"/>
          <w:sz w:val="44"/>
          <w:szCs w:val="60"/>
        </w:rPr>
      </w:pPr>
      <w:bookmarkStart w:id="0" w:name="_Toc24843"/>
      <w:bookmarkStart w:id="1" w:name="_Toc480298802"/>
      <w:bookmarkStart w:id="2" w:name="_Toc480043246"/>
      <w:bookmarkStart w:id="3" w:name="_Toc480298710"/>
      <w:bookmarkStart w:id="4" w:name="_Toc480042962"/>
      <w:bookmarkStart w:id="5" w:name="_Toc480315561"/>
      <w:bookmarkStart w:id="17" w:name="_GoBack"/>
    </w:p>
    <w:p w14:paraId="66DFA9D5">
      <w:pPr>
        <w:pStyle w:val="3"/>
        <w:ind w:left="0" w:leftChars="0" w:firstLine="0" w:firstLineChars="0"/>
        <w:jc w:val="center"/>
        <w:rPr>
          <w:rFonts w:hint="eastAsia" w:ascii="方正公文小标宋" w:hAnsi="方正公文小标宋" w:eastAsia="方正公文小标宋" w:cs="方正公文小标宋"/>
          <w:b w:val="0"/>
          <w:bCs w:val="0"/>
          <w:color w:val="auto"/>
          <w:sz w:val="44"/>
          <w:szCs w:val="60"/>
        </w:rPr>
      </w:pPr>
    </w:p>
    <w:p w14:paraId="051B046F">
      <w:pPr>
        <w:pStyle w:val="3"/>
        <w:ind w:left="0" w:leftChars="0" w:firstLine="0" w:firstLineChars="0"/>
        <w:jc w:val="center"/>
        <w:rPr>
          <w:rFonts w:hint="eastAsia" w:ascii="方正公文小标宋" w:hAnsi="方正公文小标宋" w:eastAsia="方正公文小标宋" w:cs="方正公文小标宋"/>
          <w:b w:val="0"/>
          <w:bCs w:val="0"/>
          <w:color w:val="auto"/>
          <w:sz w:val="44"/>
          <w:szCs w:val="60"/>
        </w:rPr>
      </w:pPr>
    </w:p>
    <w:p w14:paraId="4B05A327">
      <w:pPr>
        <w:pStyle w:val="3"/>
        <w:ind w:left="0" w:leftChars="0" w:firstLine="0" w:firstLineChars="0"/>
        <w:jc w:val="center"/>
        <w:rPr>
          <w:rFonts w:hint="eastAsia" w:ascii="方正公文小标宋" w:hAnsi="方正公文小标宋" w:eastAsia="方正公文小标宋" w:cs="方正公文小标宋"/>
          <w:b w:val="0"/>
          <w:bCs w:val="0"/>
          <w:color w:val="auto"/>
          <w:sz w:val="44"/>
          <w:szCs w:val="60"/>
        </w:rPr>
      </w:pPr>
    </w:p>
    <w:p w14:paraId="4FEA9804">
      <w:pPr>
        <w:pStyle w:val="3"/>
        <w:ind w:left="0" w:leftChars="0" w:firstLine="0" w:firstLineChars="0"/>
        <w:jc w:val="center"/>
        <w:rPr>
          <w:rFonts w:hint="eastAsia" w:ascii="方正公文小标宋" w:hAnsi="方正公文小标宋" w:eastAsia="方正公文小标宋" w:cs="方正公文小标宋"/>
          <w:b w:val="0"/>
          <w:bCs w:val="0"/>
          <w:color w:val="auto"/>
          <w:sz w:val="44"/>
          <w:szCs w:val="60"/>
        </w:rPr>
      </w:pPr>
    </w:p>
    <w:p w14:paraId="7EC26EE3">
      <w:pPr>
        <w:pStyle w:val="3"/>
        <w:ind w:left="0" w:leftChars="0" w:firstLine="0" w:firstLineChars="0"/>
        <w:jc w:val="center"/>
        <w:rPr>
          <w:rFonts w:hint="eastAsia" w:ascii="方正公文小标宋" w:hAnsi="方正公文小标宋" w:eastAsia="方正公文小标宋" w:cs="方正公文小标宋"/>
          <w:b w:val="0"/>
          <w:bCs w:val="0"/>
          <w:color w:val="auto"/>
          <w:sz w:val="44"/>
          <w:szCs w:val="60"/>
        </w:rPr>
      </w:pPr>
      <w:r>
        <w:rPr>
          <w:rFonts w:hint="eastAsia" w:ascii="方正公文小标宋" w:hAnsi="方正公文小标宋" w:eastAsia="方正公文小标宋" w:cs="方正公文小标宋"/>
          <w:b w:val="0"/>
          <w:bCs w:val="0"/>
          <w:color w:val="auto"/>
          <w:sz w:val="44"/>
          <w:szCs w:val="60"/>
        </w:rPr>
        <w:t xml:space="preserve"> 202</w:t>
      </w:r>
      <w:r>
        <w:rPr>
          <w:rFonts w:hint="eastAsia" w:ascii="方正公文小标宋" w:hAnsi="方正公文小标宋" w:eastAsia="方正公文小标宋" w:cs="方正公文小标宋"/>
          <w:b w:val="0"/>
          <w:bCs w:val="0"/>
          <w:color w:val="auto"/>
          <w:sz w:val="44"/>
          <w:szCs w:val="60"/>
          <w:lang w:val="en-US" w:eastAsia="zh-CN"/>
        </w:rPr>
        <w:t>6</w:t>
      </w:r>
      <w:r>
        <w:rPr>
          <w:rFonts w:hint="eastAsia" w:ascii="方正公文小标宋" w:hAnsi="方正公文小标宋" w:eastAsia="方正公文小标宋" w:cs="方正公文小标宋"/>
          <w:b w:val="0"/>
          <w:bCs w:val="0"/>
          <w:color w:val="auto"/>
          <w:sz w:val="44"/>
          <w:szCs w:val="60"/>
        </w:rPr>
        <w:t>年</w:t>
      </w:r>
      <w:r>
        <w:rPr>
          <w:rFonts w:hint="eastAsia" w:ascii="方正公文小标宋" w:hAnsi="方正公文小标宋" w:eastAsia="方正公文小标宋" w:cs="方正公文小标宋"/>
          <w:b w:val="0"/>
          <w:bCs w:val="0"/>
          <w:color w:val="auto"/>
          <w:sz w:val="44"/>
          <w:szCs w:val="60"/>
          <w:lang w:val="en-US" w:eastAsia="zh-CN"/>
        </w:rPr>
        <w:t>海南省</w:t>
      </w:r>
      <w:r>
        <w:rPr>
          <w:rFonts w:hint="eastAsia" w:ascii="方正公文小标宋" w:hAnsi="方正公文小标宋" w:eastAsia="方正公文小标宋" w:cs="方正公文小标宋"/>
          <w:b w:val="0"/>
          <w:bCs w:val="0"/>
          <w:color w:val="auto"/>
          <w:sz w:val="44"/>
          <w:szCs w:val="60"/>
        </w:rPr>
        <w:t>职业院校技能大赛</w:t>
      </w:r>
    </w:p>
    <w:p w14:paraId="6334A18A">
      <w:pPr>
        <w:pStyle w:val="3"/>
        <w:ind w:left="0" w:leftChars="0" w:firstLine="0" w:firstLineChars="0"/>
        <w:jc w:val="center"/>
        <w:rPr>
          <w:rFonts w:hint="eastAsia" w:ascii="方正公文小标宋" w:hAnsi="方正公文小标宋" w:eastAsia="方正公文小标宋" w:cs="方正公文小标宋"/>
          <w:b w:val="0"/>
          <w:bCs w:val="0"/>
          <w:color w:val="auto"/>
          <w:sz w:val="44"/>
          <w:szCs w:val="60"/>
          <w:lang w:val="en-US" w:eastAsia="zh-CN"/>
        </w:rPr>
      </w:pPr>
      <w:r>
        <w:rPr>
          <w:rFonts w:hint="eastAsia" w:ascii="方正公文小标宋" w:hAnsi="方正公文小标宋" w:eastAsia="方正公文小标宋" w:cs="方正公文小标宋"/>
          <w:b w:val="0"/>
          <w:bCs w:val="0"/>
          <w:color w:val="auto"/>
          <w:sz w:val="44"/>
          <w:szCs w:val="60"/>
          <w:lang w:val="en-US" w:eastAsia="zh-CN"/>
        </w:rPr>
        <w:t>信息安全管理与评估赛项</w:t>
      </w:r>
    </w:p>
    <w:p w14:paraId="654AAA28">
      <w:pPr>
        <w:pStyle w:val="3"/>
        <w:ind w:left="0" w:leftChars="0" w:firstLine="0" w:firstLineChars="0"/>
        <w:jc w:val="center"/>
        <w:rPr>
          <w:rFonts w:hint="eastAsia" w:ascii="方正公文小标宋" w:hAnsi="方正公文小标宋" w:eastAsia="方正公文小标宋" w:cs="方正公文小标宋"/>
          <w:b w:val="0"/>
          <w:bCs w:val="0"/>
          <w:color w:val="auto"/>
          <w:sz w:val="48"/>
          <w:szCs w:val="72"/>
        </w:rPr>
      </w:pPr>
      <w:r>
        <w:rPr>
          <w:rFonts w:hint="eastAsia" w:ascii="方正公文小标宋" w:hAnsi="方正公文小标宋" w:eastAsia="方正公文小标宋" w:cs="方正公文小标宋"/>
          <w:b w:val="0"/>
          <w:bCs w:val="0"/>
          <w:color w:val="auto"/>
          <w:sz w:val="48"/>
          <w:szCs w:val="72"/>
        </w:rPr>
        <w:t>竞赛规程</w:t>
      </w:r>
    </w:p>
    <w:p w14:paraId="0B8BA77D">
      <w:pPr>
        <w:jc w:val="center"/>
        <w:rPr>
          <w:rFonts w:hint="default" w:ascii="Times New Roman" w:hAnsi="Times New Roman" w:eastAsia="宋体" w:cs="Times New Roman"/>
          <w:color w:val="auto"/>
          <w:sz w:val="30"/>
        </w:rPr>
      </w:pPr>
    </w:p>
    <w:p w14:paraId="382A2D66">
      <w:pPr>
        <w:widowControl/>
        <w:jc w:val="left"/>
        <w:rPr>
          <w:rFonts w:hint="default" w:ascii="Times New Roman" w:hAnsi="Times New Roman" w:eastAsia="黑体" w:cs="Times New Roman"/>
          <w:color w:val="auto"/>
          <w:sz w:val="24"/>
        </w:rPr>
      </w:pPr>
    </w:p>
    <w:p w14:paraId="13A7BE76">
      <w:pPr>
        <w:widowControl/>
        <w:jc w:val="left"/>
        <w:rPr>
          <w:rFonts w:hint="default" w:ascii="Times New Roman" w:hAnsi="Times New Roman" w:eastAsia="黑体" w:cs="Times New Roman"/>
          <w:color w:val="auto"/>
          <w:sz w:val="32"/>
        </w:rPr>
      </w:pPr>
    </w:p>
    <w:p w14:paraId="5871B1B3">
      <w:pPr>
        <w:pStyle w:val="10"/>
        <w:rPr>
          <w:rFonts w:hint="default" w:ascii="Times New Roman" w:hAnsi="Times New Roman" w:eastAsia="黑体" w:cs="Times New Roman"/>
          <w:color w:val="auto"/>
          <w:sz w:val="32"/>
        </w:rPr>
      </w:pPr>
    </w:p>
    <w:p w14:paraId="790FE445">
      <w:pPr>
        <w:pStyle w:val="6"/>
        <w:rPr>
          <w:rFonts w:hint="default" w:ascii="Times New Roman" w:hAnsi="Times New Roman" w:eastAsia="黑体" w:cs="Times New Roman"/>
          <w:color w:val="auto"/>
          <w:sz w:val="32"/>
        </w:rPr>
      </w:pPr>
    </w:p>
    <w:p w14:paraId="6D0D87B8">
      <w:pPr>
        <w:rPr>
          <w:rFonts w:hint="default" w:ascii="Times New Roman" w:hAnsi="Times New Roman" w:eastAsia="黑体" w:cs="Times New Roman"/>
          <w:color w:val="auto"/>
          <w:sz w:val="32"/>
        </w:rPr>
      </w:pPr>
    </w:p>
    <w:p w14:paraId="0C89E4F4">
      <w:pPr>
        <w:rPr>
          <w:rFonts w:hint="default" w:ascii="Times New Roman" w:hAnsi="Times New Roman" w:eastAsia="黑体" w:cs="Times New Roman"/>
          <w:color w:val="auto"/>
          <w:sz w:val="32"/>
        </w:rPr>
      </w:pPr>
    </w:p>
    <w:p w14:paraId="1F17200F">
      <w:pPr>
        <w:pStyle w:val="6"/>
        <w:rPr>
          <w:rFonts w:hint="default" w:ascii="Times New Roman" w:hAnsi="Times New Roman" w:eastAsia="黑体" w:cs="Times New Roman"/>
          <w:color w:val="auto"/>
          <w:sz w:val="32"/>
        </w:rPr>
      </w:pPr>
    </w:p>
    <w:p w14:paraId="4E6A123D">
      <w:pPr>
        <w:rPr>
          <w:rFonts w:hint="default" w:ascii="Times New Roman" w:hAnsi="Times New Roman" w:eastAsia="黑体" w:cs="Times New Roman"/>
          <w:color w:val="auto"/>
          <w:sz w:val="32"/>
        </w:rPr>
      </w:pPr>
    </w:p>
    <w:p w14:paraId="55CEB532">
      <w:pPr>
        <w:pStyle w:val="3"/>
        <w:ind w:left="0" w:leftChars="0" w:firstLine="0" w:firstLineChars="0"/>
        <w:jc w:val="center"/>
        <w:rPr>
          <w:rFonts w:hint="eastAsia" w:ascii="方正公文小标宋" w:hAnsi="方正公文小标宋" w:eastAsia="方正公文小标宋" w:cs="方正公文小标宋"/>
          <w:b w:val="0"/>
          <w:bCs w:val="0"/>
          <w:color w:val="auto"/>
          <w:sz w:val="36"/>
          <w:szCs w:val="36"/>
          <w:highlight w:val="none"/>
          <w:lang w:val="en-US" w:eastAsia="zh-CN"/>
        </w:rPr>
      </w:pPr>
      <w:r>
        <w:rPr>
          <w:rFonts w:hint="eastAsia" w:eastAsia="宋体"/>
          <w:b/>
          <w:bCs/>
          <w:color w:val="auto"/>
          <w:sz w:val="36"/>
          <w:szCs w:val="48"/>
          <w:highlight w:val="none"/>
          <w:lang w:val="en-US" w:eastAsia="zh-CN"/>
        </w:rPr>
        <w:t>202</w:t>
      </w:r>
      <w:r>
        <w:rPr>
          <w:rFonts w:hint="eastAsia"/>
          <w:b/>
          <w:bCs/>
          <w:color w:val="auto"/>
          <w:sz w:val="36"/>
          <w:szCs w:val="48"/>
          <w:highlight w:val="none"/>
          <w:lang w:val="en-US" w:eastAsia="zh-CN"/>
        </w:rPr>
        <w:t>6</w:t>
      </w:r>
      <w:r>
        <w:rPr>
          <w:rFonts w:hint="eastAsia" w:ascii="方正公文小标宋" w:hAnsi="方正公文小标宋" w:eastAsia="方正公文小标宋" w:cs="方正公文小标宋"/>
          <w:b w:val="0"/>
          <w:bCs w:val="0"/>
          <w:color w:val="auto"/>
          <w:sz w:val="36"/>
          <w:szCs w:val="36"/>
          <w:highlight w:val="none"/>
          <w:lang w:val="en-US" w:eastAsia="zh-CN"/>
        </w:rPr>
        <w:t>年11月</w:t>
      </w:r>
    </w:p>
    <w:p w14:paraId="385EED5C">
      <w:pPr>
        <w:rPr>
          <w:rFonts w:hint="eastAsia" w:ascii="方正公文小标宋" w:hAnsi="方正公文小标宋" w:eastAsia="方正公文小标宋" w:cs="方正公文小标宋"/>
          <w:b w:val="0"/>
          <w:bCs w:val="0"/>
          <w:color w:val="auto"/>
          <w:sz w:val="36"/>
          <w:szCs w:val="36"/>
          <w:highlight w:val="none"/>
          <w:lang w:val="en-US" w:eastAsia="zh-CN"/>
        </w:rPr>
      </w:pPr>
      <w:r>
        <w:rPr>
          <w:rFonts w:hint="eastAsia" w:ascii="方正公文小标宋" w:hAnsi="方正公文小标宋" w:eastAsia="方正公文小标宋" w:cs="方正公文小标宋"/>
          <w:b w:val="0"/>
          <w:bCs w:val="0"/>
          <w:color w:val="auto"/>
          <w:sz w:val="36"/>
          <w:szCs w:val="36"/>
          <w:highlight w:val="none"/>
          <w:lang w:val="en-US" w:eastAsia="zh-CN"/>
        </w:rPr>
        <w:br w:type="page"/>
      </w:r>
    </w:p>
    <w:p w14:paraId="63A6088A">
      <w:pPr>
        <w:pStyle w:val="3"/>
        <w:ind w:left="0" w:leftChars="0" w:firstLine="0" w:firstLineChars="0"/>
        <w:jc w:val="center"/>
        <w:rPr>
          <w:rFonts w:hint="eastAsia" w:ascii="方正公文小标宋" w:hAnsi="方正公文小标宋" w:eastAsia="方正公文小标宋" w:cs="方正公文小标宋"/>
          <w:b w:val="0"/>
          <w:bCs w:val="0"/>
          <w:color w:val="auto"/>
          <w:sz w:val="36"/>
          <w:szCs w:val="36"/>
          <w:highlight w:val="none"/>
          <w:lang w:val="en-US" w:eastAsia="zh-CN"/>
        </w:rPr>
        <w:sectPr>
          <w:pgSz w:w="11906" w:h="16838"/>
          <w:pgMar w:top="1240" w:right="1800" w:bottom="1318" w:left="1800" w:header="851" w:footer="992" w:gutter="0"/>
          <w:pgBorders>
            <w:top w:val="none" w:sz="0" w:space="0"/>
            <w:left w:val="none" w:sz="0" w:space="0"/>
            <w:bottom w:val="none" w:sz="0" w:space="0"/>
            <w:right w:val="none" w:sz="0" w:space="0"/>
          </w:pgBorders>
          <w:pgNumType w:fmt="numberInDash" w:start="1"/>
          <w:cols w:space="720" w:num="1"/>
          <w:docGrid w:type="lines" w:linePitch="312" w:charSpace="0"/>
        </w:sectPr>
      </w:pPr>
    </w:p>
    <w:p w14:paraId="35670FA2">
      <w:pPr>
        <w:rPr>
          <w:rFonts w:hint="eastAsia" w:ascii="方正小标宋_GBK" w:hAnsi="方正小标宋_GBK" w:eastAsia="方正小标宋_GBK" w:cs="方正小标宋_GBK"/>
          <w:bCs/>
          <w:color w:val="auto"/>
          <w:sz w:val="40"/>
          <w:szCs w:val="40"/>
        </w:rPr>
      </w:pPr>
    </w:p>
    <w:p w14:paraId="4D2BED7E">
      <w:pPr>
        <w:snapToGrid w:val="0"/>
        <w:spacing w:line="560" w:lineRule="exact"/>
        <w:jc w:val="center"/>
        <w:rPr>
          <w:rFonts w:hint="eastAsia" w:ascii="方正小标宋_GBK" w:hAnsi="方正小标宋_GBK" w:eastAsia="方正小标宋_GBK" w:cs="方正小标宋_GBK"/>
          <w:bCs/>
          <w:color w:val="auto"/>
          <w:sz w:val="40"/>
          <w:szCs w:val="40"/>
        </w:rPr>
      </w:pPr>
      <w:r>
        <w:rPr>
          <w:rFonts w:hint="eastAsia" w:ascii="方正小标宋_GBK" w:hAnsi="方正小标宋_GBK" w:eastAsia="方正小标宋_GBK" w:cs="方正小标宋_GBK"/>
          <w:bCs/>
          <w:color w:val="auto"/>
          <w:sz w:val="40"/>
          <w:szCs w:val="40"/>
        </w:rPr>
        <w:t>202</w:t>
      </w:r>
      <w:r>
        <w:rPr>
          <w:rFonts w:hint="eastAsia" w:ascii="方正小标宋_GBK" w:hAnsi="方正小标宋_GBK" w:eastAsia="方正小标宋_GBK" w:cs="方正小标宋_GBK"/>
          <w:bCs/>
          <w:color w:val="auto"/>
          <w:sz w:val="40"/>
          <w:szCs w:val="40"/>
          <w:lang w:val="en-US" w:eastAsia="zh-CN"/>
        </w:rPr>
        <w:t>6</w:t>
      </w:r>
      <w:r>
        <w:rPr>
          <w:rFonts w:hint="eastAsia" w:ascii="方正小标宋_GBK" w:hAnsi="方正小标宋_GBK" w:eastAsia="方正小标宋_GBK" w:cs="方正小标宋_GBK"/>
          <w:bCs/>
          <w:color w:val="auto"/>
          <w:sz w:val="40"/>
          <w:szCs w:val="40"/>
        </w:rPr>
        <w:t>年海南省高等职业院校技能大赛</w:t>
      </w:r>
    </w:p>
    <w:p w14:paraId="34D7665F">
      <w:pPr>
        <w:snapToGrid w:val="0"/>
        <w:spacing w:line="560" w:lineRule="exact"/>
        <w:jc w:val="center"/>
        <w:rPr>
          <w:rFonts w:hint="eastAsia" w:ascii="方正小标宋_GBK" w:hAnsi="方正小标宋_GBK" w:eastAsia="方正小标宋_GBK" w:cs="方正小标宋_GBK"/>
          <w:bCs/>
          <w:color w:val="auto"/>
          <w:sz w:val="40"/>
          <w:szCs w:val="40"/>
        </w:rPr>
      </w:pPr>
      <w:r>
        <w:rPr>
          <w:rFonts w:hint="eastAsia" w:ascii="方正小标宋_GBK" w:hAnsi="方正小标宋_GBK" w:eastAsia="方正小标宋_GBK" w:cs="方正小标宋_GBK"/>
          <w:bCs/>
          <w:color w:val="auto"/>
          <w:sz w:val="40"/>
          <w:szCs w:val="40"/>
        </w:rPr>
        <w:t>信息安全管理与评估赛项规程</w:t>
      </w:r>
    </w:p>
    <w:p w14:paraId="3CD1BE9F">
      <w:pPr>
        <w:snapToGrid w:val="0"/>
        <w:spacing w:line="560" w:lineRule="exact"/>
        <w:jc w:val="center"/>
        <w:rPr>
          <w:rFonts w:hint="eastAsia" w:ascii="方正小标宋_GBK" w:hAnsi="方正小标宋_GBK" w:eastAsia="方正小标宋_GBK" w:cs="方正小标宋_GBK"/>
          <w:bCs/>
          <w:color w:val="auto"/>
          <w:sz w:val="40"/>
          <w:szCs w:val="40"/>
        </w:rPr>
      </w:pPr>
    </w:p>
    <w:p w14:paraId="790BE72B">
      <w:pPr>
        <w:widowControl/>
        <w:shd w:val="clear" w:color="auto" w:fill="FFFFFF"/>
        <w:spacing w:line="560" w:lineRule="exact"/>
        <w:ind w:firstLine="420"/>
        <w:jc w:val="left"/>
        <w:outlineLvl w:val="1"/>
        <w:rPr>
          <w:rFonts w:hint="eastAsia" w:ascii="黑体" w:hAnsi="黑体" w:eastAsia="黑体"/>
          <w:color w:val="auto"/>
          <w:spacing w:val="-10"/>
          <w:kern w:val="0"/>
          <w:sz w:val="32"/>
          <w:szCs w:val="32"/>
          <w:lang w:val="en-US" w:eastAsia="zh-CN"/>
        </w:rPr>
      </w:pPr>
      <w:r>
        <w:rPr>
          <w:rFonts w:hint="eastAsia" w:ascii="黑体" w:hAnsi="黑体" w:eastAsia="黑体"/>
          <w:color w:val="auto"/>
          <w:spacing w:val="-10"/>
          <w:kern w:val="0"/>
          <w:sz w:val="32"/>
          <w:szCs w:val="32"/>
        </w:rPr>
        <w:t>一、赛项</w:t>
      </w:r>
      <w:bookmarkEnd w:id="0"/>
      <w:r>
        <w:rPr>
          <w:rFonts w:hint="eastAsia" w:ascii="黑体" w:hAnsi="黑体" w:eastAsia="黑体"/>
          <w:color w:val="auto"/>
          <w:spacing w:val="-10"/>
          <w:kern w:val="0"/>
          <w:sz w:val="32"/>
          <w:szCs w:val="32"/>
          <w:lang w:val="en-US" w:eastAsia="zh-CN"/>
        </w:rPr>
        <w:t>信息</w:t>
      </w:r>
    </w:p>
    <w:p w14:paraId="764F21B6">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赛</w:t>
      </w:r>
      <w:r>
        <w:rPr>
          <w:rFonts w:hint="eastAsia" w:ascii="仿宋" w:hAnsi="仿宋" w:eastAsia="仿宋"/>
          <w:color w:val="auto"/>
          <w:sz w:val="28"/>
          <w:szCs w:val="28"/>
          <w:lang w:val="en-US" w:eastAsia="zh-CN"/>
        </w:rPr>
        <w:t>道名称</w:t>
      </w:r>
      <w:r>
        <w:rPr>
          <w:rFonts w:hint="eastAsia" w:ascii="仿宋" w:hAnsi="仿宋" w:eastAsia="仿宋"/>
          <w:color w:val="auto"/>
          <w:sz w:val="28"/>
          <w:szCs w:val="28"/>
        </w:rPr>
        <w:t>：</w:t>
      </w:r>
      <w:r>
        <w:rPr>
          <w:rFonts w:hint="eastAsia" w:ascii="仿宋" w:hAnsi="仿宋" w:eastAsia="仿宋"/>
          <w:color w:val="auto"/>
          <w:sz w:val="28"/>
          <w:szCs w:val="28"/>
          <w:lang w:val="en-US" w:eastAsia="zh-CN"/>
        </w:rPr>
        <w:t>新一代信息技术</w:t>
      </w:r>
    </w:p>
    <w:p w14:paraId="25660A88">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赛项名称：信息安全管理与评估</w:t>
      </w:r>
    </w:p>
    <w:p w14:paraId="67808B58">
      <w:pPr>
        <w:adjustRightInd w:val="0"/>
        <w:snapToGrid w:val="0"/>
        <w:spacing w:line="560" w:lineRule="exact"/>
        <w:ind w:firstLine="560" w:firstLineChars="200"/>
        <w:rPr>
          <w:rFonts w:hint="eastAsia" w:ascii="仿宋" w:hAnsi="仿宋" w:eastAsia="仿宋"/>
          <w:color w:val="auto"/>
          <w:sz w:val="28"/>
          <w:szCs w:val="28"/>
          <w:lang w:val="en-US" w:eastAsia="zh-CN"/>
        </w:rPr>
      </w:pPr>
      <w:r>
        <w:rPr>
          <w:rFonts w:hint="eastAsia" w:ascii="仿宋" w:hAnsi="仿宋" w:eastAsia="仿宋"/>
          <w:color w:val="auto"/>
          <w:sz w:val="28"/>
          <w:szCs w:val="28"/>
        </w:rPr>
        <w:t>赛项组别：</w:t>
      </w:r>
      <w:r>
        <w:rPr>
          <w:rFonts w:hint="eastAsia" w:ascii="仿宋" w:hAnsi="仿宋" w:eastAsia="仿宋"/>
          <w:color w:val="auto"/>
          <w:sz w:val="28"/>
          <w:szCs w:val="28"/>
          <w:lang w:val="en-US" w:eastAsia="zh-CN"/>
        </w:rPr>
        <w:t>高职组</w:t>
      </w:r>
    </w:p>
    <w:p w14:paraId="51A15A9E">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rPr>
      </w:pPr>
      <w:bookmarkStart w:id="6" w:name="_Toc6923"/>
      <w:r>
        <w:rPr>
          <w:rFonts w:hint="eastAsia" w:ascii="黑体" w:hAnsi="黑体" w:eastAsia="黑体"/>
          <w:color w:val="auto"/>
          <w:spacing w:val="-10"/>
          <w:kern w:val="0"/>
          <w:sz w:val="32"/>
          <w:szCs w:val="32"/>
        </w:rPr>
        <w:t>二、竞赛目的</w:t>
      </w:r>
      <w:bookmarkEnd w:id="6"/>
    </w:p>
    <w:p w14:paraId="66F7ED34">
      <w:pPr>
        <w:adjustRightInd w:val="0"/>
        <w:snapToGrid w:val="0"/>
        <w:spacing w:line="560" w:lineRule="exact"/>
        <w:ind w:firstLine="548" w:firstLineChars="196"/>
        <w:rPr>
          <w:rFonts w:hint="eastAsia" w:ascii="仿宋" w:hAnsi="仿宋" w:eastAsia="仿宋"/>
          <w:color w:val="auto"/>
          <w:sz w:val="28"/>
          <w:szCs w:val="28"/>
        </w:rPr>
      </w:pPr>
      <w:r>
        <w:rPr>
          <w:rFonts w:hint="eastAsia" w:ascii="仿宋" w:hAnsi="仿宋" w:eastAsia="仿宋"/>
          <w:color w:val="auto"/>
          <w:sz w:val="28"/>
          <w:szCs w:val="28"/>
        </w:rPr>
        <w:t>（一）引领教学改革</w:t>
      </w:r>
    </w:p>
    <w:p w14:paraId="5053C226">
      <w:pPr>
        <w:adjustRightInd w:val="0"/>
        <w:snapToGrid w:val="0"/>
        <w:spacing w:line="560" w:lineRule="exact"/>
        <w:ind w:firstLine="548" w:firstLineChars="196"/>
        <w:rPr>
          <w:rFonts w:hint="eastAsia" w:ascii="仿宋" w:hAnsi="仿宋" w:eastAsia="仿宋"/>
          <w:color w:val="auto"/>
          <w:sz w:val="28"/>
          <w:szCs w:val="28"/>
        </w:rPr>
      </w:pPr>
      <w:r>
        <w:rPr>
          <w:rFonts w:hint="eastAsia" w:ascii="仿宋" w:hAnsi="仿宋" w:eastAsia="仿宋"/>
          <w:color w:val="auto"/>
          <w:sz w:val="28"/>
          <w:szCs w:val="28"/>
        </w:rPr>
        <w:t>全国高职高专院校信息安全与管理和计算机网络技术的专业点数已经超过700多个，在校生40多万，202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年信息安全管理与评估大赛是延续历届赛项的竞赛内容，通过赛项检验参赛选手安全网络组建、按照等保要求加固网络系统、安全架构、渗透测试、攻防实战等技术能力，检验参赛队计划组织和团队协作等综合职业素养，强调学生创新能力和实践能力培养，提升学生职业能力和就业质量。</w:t>
      </w:r>
    </w:p>
    <w:p w14:paraId="384C18FA">
      <w:pPr>
        <w:adjustRightInd w:val="0"/>
        <w:snapToGrid w:val="0"/>
        <w:spacing w:line="560" w:lineRule="exact"/>
        <w:ind w:firstLine="548" w:firstLineChars="196"/>
        <w:rPr>
          <w:rFonts w:hint="eastAsia" w:ascii="仿宋" w:hAnsi="仿宋" w:eastAsia="仿宋"/>
          <w:color w:val="auto"/>
          <w:sz w:val="28"/>
          <w:szCs w:val="28"/>
        </w:rPr>
      </w:pPr>
      <w:r>
        <w:rPr>
          <w:rFonts w:hint="eastAsia" w:ascii="仿宋" w:hAnsi="仿宋" w:eastAsia="仿宋"/>
          <w:color w:val="auto"/>
          <w:sz w:val="28"/>
          <w:szCs w:val="28"/>
        </w:rPr>
        <w:t>（二）强化专业建设</w:t>
      </w:r>
    </w:p>
    <w:p w14:paraId="5A66FB3F">
      <w:pPr>
        <w:adjustRightInd w:val="0"/>
        <w:snapToGrid w:val="0"/>
        <w:spacing w:line="560" w:lineRule="exact"/>
        <w:ind w:firstLine="548" w:firstLineChars="196"/>
        <w:rPr>
          <w:rFonts w:hint="eastAsia" w:ascii="仿宋" w:hAnsi="仿宋" w:eastAsia="仿宋"/>
          <w:color w:val="auto"/>
          <w:sz w:val="28"/>
          <w:szCs w:val="28"/>
        </w:rPr>
      </w:pPr>
      <w:r>
        <w:rPr>
          <w:rFonts w:hint="eastAsia" w:ascii="仿宋" w:hAnsi="仿宋" w:eastAsia="仿宋"/>
          <w:color w:val="auto"/>
          <w:sz w:val="28"/>
          <w:szCs w:val="28"/>
        </w:rPr>
        <w:t>通过赛项丰富完善专业课程体系建设，使人才培养更贴近岗位实际，提升专业培养服务社会和行业发展的能力。</w:t>
      </w:r>
    </w:p>
    <w:p w14:paraId="3BC18437">
      <w:pPr>
        <w:adjustRightInd w:val="0"/>
        <w:snapToGrid w:val="0"/>
        <w:spacing w:line="560" w:lineRule="exact"/>
        <w:ind w:firstLine="548" w:firstLineChars="196"/>
        <w:rPr>
          <w:rFonts w:hint="eastAsia" w:ascii="仿宋" w:hAnsi="仿宋" w:eastAsia="仿宋" w:cs="Times New Roman"/>
          <w:color w:val="auto"/>
          <w:sz w:val="28"/>
          <w:szCs w:val="28"/>
        </w:rPr>
      </w:pPr>
      <w:r>
        <w:rPr>
          <w:rFonts w:hint="eastAsia" w:ascii="仿宋" w:hAnsi="仿宋" w:eastAsia="仿宋" w:cs="Times New Roman"/>
          <w:color w:val="auto"/>
          <w:sz w:val="28"/>
          <w:szCs w:val="28"/>
        </w:rPr>
        <w:t>该赛项内容覆盖</w:t>
      </w:r>
      <w:r>
        <w:rPr>
          <w:rFonts w:hint="eastAsia" w:ascii="仿宋" w:hAnsi="仿宋" w:eastAsia="仿宋" w:cs="Times New Roman"/>
          <w:color w:val="auto"/>
          <w:sz w:val="28"/>
          <w:szCs w:val="28"/>
          <w:lang w:eastAsia="zh-CN"/>
        </w:rPr>
        <w:t>信息安全技术应用、</w:t>
      </w:r>
      <w:r>
        <w:rPr>
          <w:rFonts w:hint="eastAsia" w:ascii="仿宋" w:hAnsi="仿宋" w:eastAsia="仿宋" w:cs="Times New Roman"/>
          <w:color w:val="auto"/>
          <w:sz w:val="28"/>
          <w:szCs w:val="28"/>
        </w:rPr>
        <w:t>信息安全与管理</w:t>
      </w:r>
      <w:r>
        <w:rPr>
          <w:rFonts w:hint="eastAsia" w:ascii="仿宋" w:hAnsi="仿宋" w:eastAsia="仿宋" w:cs="Times New Roman"/>
          <w:color w:val="auto"/>
          <w:sz w:val="28"/>
          <w:szCs w:val="28"/>
          <w:lang w:eastAsia="zh-CN"/>
        </w:rPr>
        <w:t>等</w:t>
      </w:r>
      <w:r>
        <w:rPr>
          <w:rFonts w:hint="eastAsia" w:ascii="仿宋" w:hAnsi="仿宋" w:eastAsia="仿宋" w:cs="Times New Roman"/>
          <w:color w:val="auto"/>
          <w:sz w:val="28"/>
          <w:szCs w:val="28"/>
        </w:rPr>
        <w:t>专业“信息安全技术与实施”、“信息安全产品配置与应用”、“网络设备配置与管理”、“网络攻防实训”、“系统运行安全与维护”、“操作系统安全配置”、“Web渗透测试技术”等专业核心课程内容。</w:t>
      </w:r>
    </w:p>
    <w:p w14:paraId="09FA1424">
      <w:pPr>
        <w:adjustRightInd w:val="0"/>
        <w:snapToGrid w:val="0"/>
        <w:spacing w:line="560" w:lineRule="exact"/>
        <w:ind w:firstLine="548" w:firstLineChars="196"/>
        <w:rPr>
          <w:rFonts w:hint="eastAsia" w:ascii="仿宋" w:hAnsi="仿宋" w:eastAsia="仿宋"/>
          <w:color w:val="auto"/>
          <w:sz w:val="28"/>
          <w:szCs w:val="28"/>
        </w:rPr>
      </w:pPr>
      <w:r>
        <w:rPr>
          <w:rFonts w:hint="eastAsia" w:ascii="仿宋" w:hAnsi="仿宋" w:eastAsia="仿宋"/>
          <w:color w:val="auto"/>
          <w:sz w:val="28"/>
          <w:szCs w:val="28"/>
        </w:rPr>
        <w:t>（三）促进产教合作</w:t>
      </w:r>
    </w:p>
    <w:p w14:paraId="01B912C4">
      <w:pPr>
        <w:adjustRightInd w:val="0"/>
        <w:snapToGrid w:val="0"/>
        <w:spacing w:line="560" w:lineRule="exact"/>
        <w:ind w:firstLine="548" w:firstLineChars="196"/>
        <w:rPr>
          <w:rFonts w:hint="eastAsia" w:ascii="仿宋" w:hAnsi="仿宋" w:eastAsia="仿宋"/>
          <w:color w:val="auto"/>
          <w:sz w:val="28"/>
          <w:szCs w:val="28"/>
        </w:rPr>
      </w:pPr>
      <w:r>
        <w:rPr>
          <w:rFonts w:hint="eastAsia" w:ascii="仿宋" w:hAnsi="仿宋" w:eastAsia="仿宋"/>
          <w:color w:val="auto"/>
          <w:sz w:val="28"/>
          <w:szCs w:val="28"/>
        </w:rPr>
        <w:t>赛项基于信息安全领域主流技术和现行业务流程设计，信息安全行业专家与院校教育专家紧密合作，赛前完成竞赛内容向教学改革的成果转化，实现以赛促教、以赛促学、以赛促改的教产融合的赛事创新。</w:t>
      </w:r>
    </w:p>
    <w:p w14:paraId="7FDB3E6F">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rPr>
      </w:pPr>
      <w:bookmarkStart w:id="7" w:name="_Toc10492"/>
      <w:r>
        <w:rPr>
          <w:rFonts w:hint="eastAsia" w:ascii="黑体" w:hAnsi="黑体" w:eastAsia="黑体"/>
          <w:color w:val="auto"/>
          <w:spacing w:val="-10"/>
          <w:kern w:val="0"/>
          <w:sz w:val="32"/>
          <w:szCs w:val="32"/>
        </w:rPr>
        <w:t>三、竞赛内容</w:t>
      </w:r>
      <w:bookmarkEnd w:id="7"/>
    </w:p>
    <w:p w14:paraId="7578216A">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竞赛内容对应网络安全工程师、安全运维工程师等职业岗位，体现安全策略部署、威胁分析、应急响应等核心能力，涵盖防火墙管理、渗透测试、日志溯源等专业知识与技能。本竞赛以高仿真网络安全靶场平台为竞赛载体，重点考察如下内容：</w:t>
      </w:r>
    </w:p>
    <w:p w14:paraId="65FC54EF">
      <w:pPr>
        <w:adjustRightInd w:val="0"/>
        <w:snapToGrid w:val="0"/>
        <w:spacing w:line="56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（1）参赛选手进行网络底层架构搭建与核心安全设备配置的能力，评估其对防火墙、入侵检测/防御系统等设备的策略部署、性能优化与故障排除能力，奠定整体网络的安全基石。</w:t>
      </w:r>
    </w:p>
    <w:p w14:paraId="6C7D3CFB">
      <w:pPr>
        <w:adjustRightInd w:val="0"/>
        <w:snapToGrid w:val="0"/>
        <w:spacing w:line="56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（2）参赛选手实施全面的资产发现、风险评估与合规管理的能力，评估其通过自动化工具进行资产清点、风险识别与合规性检查，从而建立清晰资产清单和有效管理策略的能力。</w:t>
      </w:r>
    </w:p>
    <w:p w14:paraId="77B4CCBC">
      <w:pPr>
        <w:adjustRightInd w:val="0"/>
        <w:snapToGrid w:val="0"/>
        <w:spacing w:line="56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（3）参赛选手进行网络流量采集、分析与安全管控的能力，评估其利用监测工具识别DDoS攻击、恶意软件传播等异常流量行为，并实施流量整形与安全防护措施的能力。</w:t>
      </w:r>
    </w:p>
    <w:p w14:paraId="632FE1EF">
      <w:pPr>
        <w:adjustRightInd w:val="0"/>
        <w:snapToGrid w:val="0"/>
        <w:spacing w:line="56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（4）参赛选手对操作系统、网络服务及数据进行安全加固的能力，评估其通过打补丁、安全配置、访问控制与数据加密等手段，防范反序列化、未授权访问等常见攻击的技术水平。</w:t>
      </w:r>
    </w:p>
    <w:p w14:paraId="14CD7535">
      <w:pPr>
        <w:adjustRightInd w:val="0"/>
        <w:snapToGrid w:val="0"/>
        <w:spacing w:line="56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（5）参赛选手进行安全事件监测、应急响应与系统恢复的能力，评估其遵循应急流程，对网络入侵、数据泄露等事件进行快速检测、遏制、消除并恢复业务完整性的实战能力。</w:t>
      </w:r>
    </w:p>
    <w:p w14:paraId="4B73EB62">
      <w:pPr>
        <w:adjustRightInd w:val="0"/>
        <w:snapToGrid w:val="0"/>
        <w:spacing w:line="56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（6）参赛选手进行日志全生命周期管理与分析溯源的能力，评估其对各类系统及设备日志进行收集、整理，并从中精准识别安全事件、追溯攻击路径的深度分析能力。</w:t>
      </w:r>
    </w:p>
    <w:p w14:paraId="22D16970">
      <w:pPr>
        <w:numPr>
          <w:ilvl w:val="0"/>
          <w:numId w:val="2"/>
        </w:numPr>
        <w:adjustRightInd w:val="0"/>
        <w:snapToGrid w:val="0"/>
        <w:spacing w:line="56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参赛选手开展全方位渗透测试与方案总结展示的综合能力，评估其从信息收集、漏洞利用到内网渗透的完整攻击链技术，以及归纳成果、现场表达与团队协作的职业素养。</w:t>
      </w:r>
    </w:p>
    <w:p w14:paraId="2B3B3380">
      <w:pPr>
        <w:numPr>
          <w:ilvl w:val="0"/>
          <w:numId w:val="0"/>
        </w:num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竞赛时间</w:t>
      </w:r>
      <w:r>
        <w:rPr>
          <w:rFonts w:hint="eastAsia" w:ascii="仿宋" w:hAnsi="仿宋" w:eastAsia="仿宋"/>
          <w:color w:val="auto"/>
          <w:sz w:val="28"/>
          <w:szCs w:val="28"/>
          <w:lang w:val="en-US" w:eastAsia="zh-CN"/>
        </w:rPr>
        <w:t>4.5</w:t>
      </w:r>
      <w:r>
        <w:rPr>
          <w:rFonts w:hint="eastAsia" w:ascii="仿宋" w:hAnsi="仿宋" w:eastAsia="仿宋"/>
          <w:color w:val="auto"/>
          <w:sz w:val="28"/>
          <w:szCs w:val="28"/>
        </w:rPr>
        <w:t>小时，竞赛连续进行。竞赛内容构成如下：</w:t>
      </w:r>
    </w:p>
    <w:tbl>
      <w:tblPr>
        <w:tblStyle w:val="11"/>
        <w:tblW w:w="49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2002"/>
        <w:gridCol w:w="5382"/>
      </w:tblGrid>
      <w:tr w14:paraId="143B9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481" w:type="pct"/>
            <w:tcBorders>
              <w:top w:val="single" w:color="auto" w:sz="4" w:space="0"/>
              <w:left w:val="single" w:color="auto" w:sz="4" w:space="0"/>
              <w:bottom w:val="single" w:color="auto" w:sz="4" w:space="0"/>
              <w:right w:val="single" w:color="auto" w:sz="4" w:space="0"/>
            </w:tcBorders>
            <w:noWrap/>
            <w:vAlign w:val="center"/>
          </w:tcPr>
          <w:p w14:paraId="588AC284">
            <w:pPr>
              <w:adjustRightInd w:val="0"/>
              <w:snapToGrid w:val="0"/>
              <w:jc w:val="center"/>
              <w:rPr>
                <w:rFonts w:hint="eastAsia" w:ascii="仿宋" w:hAnsi="仿宋" w:eastAsia="仿宋"/>
                <w:b/>
                <w:bCs/>
                <w:color w:val="auto"/>
                <w:sz w:val="22"/>
                <w:szCs w:val="22"/>
              </w:rPr>
            </w:pPr>
            <w:r>
              <w:rPr>
                <w:rFonts w:hint="eastAsia" w:ascii="仿宋" w:hAnsi="仿宋" w:eastAsia="仿宋"/>
                <w:b/>
                <w:bCs/>
                <w:color w:val="auto"/>
                <w:sz w:val="22"/>
                <w:szCs w:val="22"/>
              </w:rPr>
              <w:t>序号</w:t>
            </w:r>
          </w:p>
        </w:tc>
        <w:tc>
          <w:tcPr>
            <w:tcW w:w="1225" w:type="pct"/>
            <w:tcBorders>
              <w:top w:val="single" w:color="auto" w:sz="4" w:space="0"/>
              <w:left w:val="single" w:color="auto" w:sz="4" w:space="0"/>
              <w:bottom w:val="single" w:color="auto" w:sz="4" w:space="0"/>
              <w:right w:val="single" w:color="auto" w:sz="4" w:space="0"/>
            </w:tcBorders>
            <w:noWrap/>
            <w:vAlign w:val="center"/>
          </w:tcPr>
          <w:p w14:paraId="5E5538CA">
            <w:pPr>
              <w:adjustRightInd w:val="0"/>
              <w:snapToGrid w:val="0"/>
              <w:jc w:val="center"/>
              <w:rPr>
                <w:rFonts w:hint="eastAsia" w:ascii="仿宋" w:hAnsi="仿宋" w:eastAsia="仿宋"/>
                <w:b/>
                <w:bCs/>
                <w:color w:val="auto"/>
                <w:sz w:val="22"/>
                <w:szCs w:val="22"/>
              </w:rPr>
            </w:pPr>
            <w:r>
              <w:rPr>
                <w:rFonts w:hint="eastAsia" w:ascii="仿宋" w:hAnsi="仿宋" w:eastAsia="仿宋"/>
                <w:b/>
                <w:bCs/>
                <w:color w:val="auto"/>
                <w:sz w:val="22"/>
                <w:szCs w:val="22"/>
              </w:rPr>
              <w:t>比赛模块</w:t>
            </w:r>
          </w:p>
        </w:tc>
        <w:tc>
          <w:tcPr>
            <w:tcW w:w="3293" w:type="pct"/>
            <w:tcBorders>
              <w:top w:val="single" w:color="auto" w:sz="4" w:space="0"/>
              <w:left w:val="single" w:color="auto" w:sz="4" w:space="0"/>
              <w:bottom w:val="single" w:color="auto" w:sz="4" w:space="0"/>
              <w:right w:val="single" w:color="auto" w:sz="4" w:space="0"/>
            </w:tcBorders>
            <w:noWrap/>
            <w:vAlign w:val="center"/>
          </w:tcPr>
          <w:p w14:paraId="06707A5F">
            <w:pPr>
              <w:adjustRightInd w:val="0"/>
              <w:snapToGrid w:val="0"/>
              <w:jc w:val="center"/>
              <w:rPr>
                <w:rFonts w:hint="eastAsia" w:ascii="仿宋" w:hAnsi="仿宋" w:eastAsia="仿宋"/>
                <w:b/>
                <w:bCs/>
                <w:color w:val="auto"/>
                <w:sz w:val="22"/>
                <w:szCs w:val="22"/>
              </w:rPr>
            </w:pPr>
            <w:r>
              <w:rPr>
                <w:rFonts w:hint="eastAsia" w:ascii="仿宋" w:hAnsi="仿宋" w:eastAsia="仿宋"/>
                <w:b/>
                <w:bCs/>
                <w:color w:val="auto"/>
                <w:sz w:val="22"/>
                <w:szCs w:val="22"/>
              </w:rPr>
              <w:t>考核内容</w:t>
            </w:r>
          </w:p>
        </w:tc>
      </w:tr>
      <w:tr w14:paraId="2406E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481" w:type="pct"/>
            <w:vMerge w:val="restart"/>
            <w:tcBorders>
              <w:top w:val="single" w:color="auto" w:sz="4" w:space="0"/>
              <w:left w:val="single" w:color="auto" w:sz="4" w:space="0"/>
              <w:bottom w:val="single" w:color="auto" w:sz="4" w:space="0"/>
              <w:right w:val="single" w:color="auto" w:sz="4" w:space="0"/>
            </w:tcBorders>
            <w:vAlign w:val="center"/>
          </w:tcPr>
          <w:p w14:paraId="4E04403B">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1</w:t>
            </w:r>
          </w:p>
        </w:tc>
        <w:tc>
          <w:tcPr>
            <w:tcW w:w="1225" w:type="pct"/>
            <w:vMerge w:val="restart"/>
            <w:tcBorders>
              <w:top w:val="single" w:color="auto" w:sz="4" w:space="0"/>
              <w:left w:val="single" w:color="auto" w:sz="4" w:space="0"/>
              <w:bottom w:val="single" w:color="auto" w:sz="4" w:space="0"/>
              <w:right w:val="single" w:color="auto" w:sz="4" w:space="0"/>
            </w:tcBorders>
            <w:vAlign w:val="center"/>
          </w:tcPr>
          <w:p w14:paraId="1420E8BC">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网络安全设备</w:t>
            </w:r>
          </w:p>
        </w:tc>
        <w:tc>
          <w:tcPr>
            <w:tcW w:w="3293" w:type="pct"/>
            <w:tcBorders>
              <w:top w:val="single" w:color="auto" w:sz="4" w:space="0"/>
              <w:left w:val="single" w:color="auto" w:sz="4" w:space="0"/>
              <w:bottom w:val="single" w:color="auto" w:sz="4" w:space="0"/>
              <w:right w:val="single" w:color="auto" w:sz="4" w:space="0"/>
            </w:tcBorders>
            <w:vAlign w:val="center"/>
          </w:tcPr>
          <w:p w14:paraId="4D8D2AD8">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1、考核选手对防火墙、入侵检测系统（IDS）/入侵防御系统（IPS）、终端安全管理系统等网络安全设备的配置与管理能力，包括设备的基本设置、策略制定与实施、性能调优、HA集群故障切换等。</w:t>
            </w:r>
          </w:p>
        </w:tc>
      </w:tr>
      <w:tr w14:paraId="644D3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86C8AC8">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3714EF7A">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3933E679">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2、根据给定的网络拓扑和安全需求，制定合理的安全防护策略，并能够通过模拟攻击验证策略的有效性。</w:t>
            </w:r>
          </w:p>
        </w:tc>
      </w:tr>
      <w:tr w14:paraId="44CD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216A5AA">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39DE0FD9">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1712CE4E">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3、在设备运行过程中对性能进行优化，以及在设备出现故障时进行快速诊断和排除。</w:t>
            </w:r>
          </w:p>
        </w:tc>
      </w:tr>
      <w:tr w14:paraId="57507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81" w:type="pct"/>
            <w:vMerge w:val="restart"/>
            <w:tcBorders>
              <w:top w:val="single" w:color="auto" w:sz="4" w:space="0"/>
              <w:left w:val="single" w:color="auto" w:sz="4" w:space="0"/>
              <w:bottom w:val="single" w:color="auto" w:sz="4" w:space="0"/>
              <w:right w:val="single" w:color="auto" w:sz="4" w:space="0"/>
            </w:tcBorders>
            <w:vAlign w:val="center"/>
          </w:tcPr>
          <w:p w14:paraId="08249746">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2</w:t>
            </w:r>
          </w:p>
        </w:tc>
        <w:tc>
          <w:tcPr>
            <w:tcW w:w="1225" w:type="pct"/>
            <w:vMerge w:val="restart"/>
            <w:tcBorders>
              <w:top w:val="single" w:color="auto" w:sz="4" w:space="0"/>
              <w:left w:val="single" w:color="auto" w:sz="4" w:space="0"/>
              <w:bottom w:val="single" w:color="auto" w:sz="4" w:space="0"/>
              <w:right w:val="single" w:color="auto" w:sz="4" w:space="0"/>
            </w:tcBorders>
            <w:vAlign w:val="center"/>
          </w:tcPr>
          <w:p w14:paraId="7ECC02C3">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资产梳理</w:t>
            </w:r>
          </w:p>
        </w:tc>
        <w:tc>
          <w:tcPr>
            <w:tcW w:w="3293" w:type="pct"/>
            <w:tcBorders>
              <w:top w:val="single" w:color="auto" w:sz="4" w:space="0"/>
              <w:left w:val="single" w:color="auto" w:sz="4" w:space="0"/>
              <w:bottom w:val="single" w:color="auto" w:sz="4" w:space="0"/>
              <w:right w:val="single" w:color="auto" w:sz="4" w:space="0"/>
            </w:tcBorders>
            <w:vAlign w:val="center"/>
          </w:tcPr>
          <w:p w14:paraId="7392E4BA">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1、对网络资产进行全面清查和分类，包括硬件设备、软件系统、网络服务等，进行自动化扫描技术、风险评估与合规扫描，并能够建立详细的资产清单。</w:t>
            </w:r>
          </w:p>
        </w:tc>
      </w:tr>
      <w:tr w14:paraId="3E32C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6109BF5">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63BE218">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425D6F43">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2、对已清查的资产进行风险评估，识别潜在的安全威胁，并提出相应的风险管理措施。</w:t>
            </w:r>
          </w:p>
        </w:tc>
      </w:tr>
      <w:tr w14:paraId="338BB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C1F331D">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13F8A72B">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4531E8F9">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3、对资产变更的管理能力，以及对资产合规性进行检查，确保资产的使用符合相关法律法规和安全标准。</w:t>
            </w:r>
          </w:p>
        </w:tc>
      </w:tr>
      <w:tr w14:paraId="4C123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81" w:type="pct"/>
            <w:vMerge w:val="restart"/>
            <w:tcBorders>
              <w:top w:val="single" w:color="auto" w:sz="4" w:space="0"/>
              <w:left w:val="single" w:color="auto" w:sz="4" w:space="0"/>
              <w:bottom w:val="single" w:color="auto" w:sz="4" w:space="0"/>
              <w:right w:val="single" w:color="auto" w:sz="4" w:space="0"/>
            </w:tcBorders>
            <w:vAlign w:val="center"/>
          </w:tcPr>
          <w:p w14:paraId="124CD769">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3</w:t>
            </w:r>
          </w:p>
        </w:tc>
        <w:tc>
          <w:tcPr>
            <w:tcW w:w="1225" w:type="pct"/>
            <w:vMerge w:val="restart"/>
            <w:tcBorders>
              <w:top w:val="single" w:color="auto" w:sz="4" w:space="0"/>
              <w:left w:val="single" w:color="auto" w:sz="4" w:space="0"/>
              <w:bottom w:val="single" w:color="auto" w:sz="4" w:space="0"/>
              <w:right w:val="single" w:color="auto" w:sz="4" w:space="0"/>
            </w:tcBorders>
            <w:vAlign w:val="center"/>
          </w:tcPr>
          <w:p w14:paraId="28F0909E">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流量分析</w:t>
            </w:r>
          </w:p>
        </w:tc>
        <w:tc>
          <w:tcPr>
            <w:tcW w:w="3293" w:type="pct"/>
            <w:tcBorders>
              <w:top w:val="single" w:color="auto" w:sz="4" w:space="0"/>
              <w:left w:val="single" w:color="auto" w:sz="4" w:space="0"/>
              <w:bottom w:val="single" w:color="auto" w:sz="4" w:space="0"/>
              <w:right w:val="single" w:color="auto" w:sz="4" w:space="0"/>
            </w:tcBorders>
            <w:vAlign w:val="center"/>
          </w:tcPr>
          <w:p w14:paraId="2FE8BD17">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1、使用网络流量监测工具进行流量数据采集的能力，包括对网络流量的实时监测和历史数据的采集与存储。</w:t>
            </w:r>
          </w:p>
        </w:tc>
      </w:tr>
      <w:tr w14:paraId="0E23B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21EC106">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0DFF6B9">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4B08CE47">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2、对采集到的流量数据进行分析，识别正常的网络流量模式和异常的流量行为，如DDoS攻击、恶意软件传播等。</w:t>
            </w:r>
          </w:p>
        </w:tc>
      </w:tr>
      <w:tr w14:paraId="29A5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C3DF2C1">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3F969248">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0E76A887">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3、根据流量分析结果进行网络流量优化和安全防护的能力，如通过流量整形、带宽管理等技术提高网络性能，同时采取相应的安全措施防范流量中的安全威胁。</w:t>
            </w:r>
          </w:p>
        </w:tc>
      </w:tr>
      <w:tr w14:paraId="1868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81" w:type="pct"/>
            <w:vMerge w:val="restart"/>
            <w:tcBorders>
              <w:top w:val="single" w:color="auto" w:sz="4" w:space="0"/>
              <w:left w:val="single" w:color="auto" w:sz="4" w:space="0"/>
              <w:bottom w:val="single" w:color="auto" w:sz="4" w:space="0"/>
              <w:right w:val="single" w:color="auto" w:sz="4" w:space="0"/>
            </w:tcBorders>
            <w:vAlign w:val="center"/>
          </w:tcPr>
          <w:p w14:paraId="42D7FAC7">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4</w:t>
            </w:r>
          </w:p>
        </w:tc>
        <w:tc>
          <w:tcPr>
            <w:tcW w:w="1225" w:type="pct"/>
            <w:vMerge w:val="restart"/>
            <w:tcBorders>
              <w:top w:val="single" w:color="auto" w:sz="4" w:space="0"/>
              <w:left w:val="single" w:color="auto" w:sz="4" w:space="0"/>
              <w:bottom w:val="single" w:color="auto" w:sz="4" w:space="0"/>
              <w:right w:val="single" w:color="auto" w:sz="4" w:space="0"/>
            </w:tcBorders>
            <w:vAlign w:val="center"/>
          </w:tcPr>
          <w:p w14:paraId="72BC8AF1">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安全加固</w:t>
            </w:r>
          </w:p>
        </w:tc>
        <w:tc>
          <w:tcPr>
            <w:tcW w:w="3293" w:type="pct"/>
            <w:tcBorders>
              <w:top w:val="single" w:color="auto" w:sz="4" w:space="0"/>
              <w:left w:val="single" w:color="auto" w:sz="4" w:space="0"/>
              <w:bottom w:val="single" w:color="auto" w:sz="4" w:space="0"/>
              <w:right w:val="single" w:color="auto" w:sz="4" w:space="0"/>
            </w:tcBorders>
            <w:vAlign w:val="center"/>
          </w:tcPr>
          <w:p w14:paraId="462B39E9">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1、对操作系统和常用应用程序进行安全加固的能力，包括更新补丁、配置安全策略、关闭不必要的服务和端口等。</w:t>
            </w:r>
          </w:p>
        </w:tc>
      </w:tr>
      <w:tr w14:paraId="59F7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3ED3C73">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3F34B3B0">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63DE2B58">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2、对网络服务（如Web服务器、邮件服务器等）进行安全配置和加固，防止常见的网络攻击，如反序列化、CC链、未授权漏洞等。</w:t>
            </w:r>
          </w:p>
        </w:tc>
      </w:tr>
      <w:tr w14:paraId="766C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4E35D7E">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5186A6A1">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35B35212">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3、对敏感数据进行加密处理的能力，以及设置合理的访问控制策略，确保数据的安全性和保密性。</w:t>
            </w:r>
          </w:p>
        </w:tc>
      </w:tr>
      <w:tr w14:paraId="5785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81" w:type="pct"/>
            <w:vMerge w:val="restart"/>
            <w:tcBorders>
              <w:top w:val="single" w:color="auto" w:sz="4" w:space="0"/>
              <w:left w:val="single" w:color="auto" w:sz="4" w:space="0"/>
              <w:bottom w:val="single" w:color="auto" w:sz="4" w:space="0"/>
              <w:right w:val="single" w:color="auto" w:sz="4" w:space="0"/>
            </w:tcBorders>
            <w:vAlign w:val="center"/>
          </w:tcPr>
          <w:p w14:paraId="2D2BFF9A">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5</w:t>
            </w:r>
          </w:p>
        </w:tc>
        <w:tc>
          <w:tcPr>
            <w:tcW w:w="1225" w:type="pct"/>
            <w:vMerge w:val="restart"/>
            <w:tcBorders>
              <w:top w:val="single" w:color="auto" w:sz="4" w:space="0"/>
              <w:left w:val="single" w:color="auto" w:sz="4" w:space="0"/>
              <w:bottom w:val="single" w:color="auto" w:sz="4" w:space="0"/>
              <w:right w:val="single" w:color="auto" w:sz="4" w:space="0"/>
            </w:tcBorders>
            <w:vAlign w:val="center"/>
          </w:tcPr>
          <w:p w14:paraId="0BF98566">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应急响应</w:t>
            </w:r>
          </w:p>
        </w:tc>
        <w:tc>
          <w:tcPr>
            <w:tcW w:w="3293" w:type="pct"/>
            <w:tcBorders>
              <w:top w:val="single" w:color="auto" w:sz="4" w:space="0"/>
              <w:left w:val="single" w:color="auto" w:sz="4" w:space="0"/>
              <w:bottom w:val="single" w:color="auto" w:sz="4" w:space="0"/>
              <w:right w:val="single" w:color="auto" w:sz="4" w:space="0"/>
            </w:tcBorders>
            <w:vAlign w:val="center"/>
          </w:tcPr>
          <w:p w14:paraId="7E7F5458">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1、及时发现安全事件的能力，包括对网络入侵、数据泄露等安全事件的快速检测和预警。</w:t>
            </w:r>
          </w:p>
        </w:tc>
      </w:tr>
      <w:tr w14:paraId="0CE81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67761A8">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1CEA2B12">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5E831E7D">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2、应急响应的基本流程和策略，在安全事件发生时能够迅速采取措施进行遏制和消除，减少损失和影响。</w:t>
            </w:r>
          </w:p>
        </w:tc>
      </w:tr>
      <w:tr w14:paraId="600D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E4DF99F">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506E0C6C">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28DF65E6">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3、在安全事件处理后对系统进行快速恢复和数据备份的能力，确保业务的连续性和数据的完整性。</w:t>
            </w:r>
          </w:p>
        </w:tc>
      </w:tr>
      <w:tr w14:paraId="7459F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81" w:type="pct"/>
            <w:vMerge w:val="restart"/>
            <w:tcBorders>
              <w:top w:val="single" w:color="auto" w:sz="4" w:space="0"/>
              <w:left w:val="single" w:color="auto" w:sz="4" w:space="0"/>
              <w:bottom w:val="single" w:color="auto" w:sz="4" w:space="0"/>
              <w:right w:val="single" w:color="auto" w:sz="4" w:space="0"/>
            </w:tcBorders>
            <w:vAlign w:val="center"/>
          </w:tcPr>
          <w:p w14:paraId="00717F35">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6</w:t>
            </w:r>
          </w:p>
        </w:tc>
        <w:tc>
          <w:tcPr>
            <w:tcW w:w="1225" w:type="pct"/>
            <w:vMerge w:val="restart"/>
            <w:tcBorders>
              <w:top w:val="single" w:color="auto" w:sz="4" w:space="0"/>
              <w:left w:val="single" w:color="auto" w:sz="4" w:space="0"/>
              <w:bottom w:val="single" w:color="auto" w:sz="4" w:space="0"/>
              <w:right w:val="single" w:color="auto" w:sz="4" w:space="0"/>
            </w:tcBorders>
            <w:vAlign w:val="center"/>
          </w:tcPr>
          <w:p w14:paraId="1D29B945">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日志分析</w:t>
            </w:r>
          </w:p>
        </w:tc>
        <w:tc>
          <w:tcPr>
            <w:tcW w:w="3293" w:type="pct"/>
            <w:tcBorders>
              <w:top w:val="single" w:color="auto" w:sz="4" w:space="0"/>
              <w:left w:val="single" w:color="auto" w:sz="4" w:space="0"/>
              <w:bottom w:val="single" w:color="auto" w:sz="4" w:space="0"/>
              <w:right w:val="single" w:color="auto" w:sz="4" w:space="0"/>
            </w:tcBorders>
            <w:vAlign w:val="center"/>
          </w:tcPr>
          <w:p w14:paraId="64B55B91">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1、对各类设备和应用系统的日志进行收集和整理，确保日志数据的完整性和可用性。</w:t>
            </w:r>
          </w:p>
        </w:tc>
      </w:tr>
      <w:tr w14:paraId="68DB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BA14B6F">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35D7A270">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2C7F769C">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2、对日志数据进行深入分析，识别其中的安全事件和异常行为，并能够通过日志追溯安全事件的源头和攻击路径。</w:t>
            </w:r>
          </w:p>
        </w:tc>
      </w:tr>
      <w:tr w14:paraId="107CB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81" w:type="pct"/>
            <w:vMerge w:val="restart"/>
            <w:tcBorders>
              <w:top w:val="single" w:color="auto" w:sz="4" w:space="0"/>
              <w:left w:val="single" w:color="auto" w:sz="4" w:space="0"/>
              <w:bottom w:val="single" w:color="auto" w:sz="4" w:space="0"/>
              <w:right w:val="single" w:color="auto" w:sz="4" w:space="0"/>
            </w:tcBorders>
            <w:noWrap/>
            <w:vAlign w:val="center"/>
          </w:tcPr>
          <w:p w14:paraId="40AC6238">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7</w:t>
            </w:r>
          </w:p>
        </w:tc>
        <w:tc>
          <w:tcPr>
            <w:tcW w:w="1225" w:type="pct"/>
            <w:vMerge w:val="restart"/>
            <w:tcBorders>
              <w:top w:val="single" w:color="auto" w:sz="4" w:space="0"/>
              <w:left w:val="single" w:color="auto" w:sz="4" w:space="0"/>
              <w:bottom w:val="single" w:color="auto" w:sz="4" w:space="0"/>
              <w:right w:val="single" w:color="auto" w:sz="4" w:space="0"/>
            </w:tcBorders>
            <w:noWrap/>
            <w:vAlign w:val="center"/>
          </w:tcPr>
          <w:p w14:paraId="3040D3C3">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渗透测试</w:t>
            </w:r>
          </w:p>
        </w:tc>
        <w:tc>
          <w:tcPr>
            <w:tcW w:w="3293" w:type="pct"/>
            <w:tcBorders>
              <w:top w:val="single" w:color="auto" w:sz="4" w:space="0"/>
              <w:left w:val="single" w:color="auto" w:sz="4" w:space="0"/>
              <w:bottom w:val="single" w:color="auto" w:sz="4" w:space="0"/>
              <w:right w:val="single" w:color="auto" w:sz="4" w:space="0"/>
            </w:tcBorders>
            <w:vAlign w:val="center"/>
          </w:tcPr>
          <w:p w14:paraId="4208BC60">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1、进行目标系统信息收集和漏洞扫描的能力，包括使用各种工具和技术获取目标系统的相关信息和发现潜在的漏洞。</w:t>
            </w:r>
          </w:p>
        </w:tc>
      </w:tr>
      <w:tr w14:paraId="39286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A8E134D">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57873109">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78710BB8">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2、利用发现的漏洞进行模拟攻击，验证漏洞的真实性和可利用性，同时掌握不同的攻击技术和方法。</w:t>
            </w:r>
          </w:p>
        </w:tc>
      </w:tr>
      <w:tr w14:paraId="5F21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EC38B72">
            <w:pPr>
              <w:adjustRightInd w:val="0"/>
              <w:snapToGrid w:val="0"/>
              <w:jc w:val="center"/>
              <w:rPr>
                <w:rFonts w:hint="eastAsia" w:ascii="仿宋" w:hAnsi="仿宋" w:eastAsia="仿宋"/>
                <w:color w:val="auto"/>
                <w:sz w:val="22"/>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EC979A5">
            <w:pPr>
              <w:adjustRightInd w:val="0"/>
              <w:snapToGrid w:val="0"/>
              <w:jc w:val="center"/>
              <w:rPr>
                <w:rFonts w:hint="eastAsia" w:ascii="仿宋" w:hAnsi="仿宋" w:eastAsia="仿宋"/>
                <w:color w:val="auto"/>
                <w:sz w:val="22"/>
                <w:szCs w:val="22"/>
              </w:rPr>
            </w:pPr>
          </w:p>
        </w:tc>
        <w:tc>
          <w:tcPr>
            <w:tcW w:w="3293" w:type="pct"/>
            <w:tcBorders>
              <w:top w:val="single" w:color="auto" w:sz="4" w:space="0"/>
              <w:left w:val="single" w:color="auto" w:sz="4" w:space="0"/>
              <w:bottom w:val="single" w:color="auto" w:sz="4" w:space="0"/>
              <w:right w:val="single" w:color="auto" w:sz="4" w:space="0"/>
            </w:tcBorders>
            <w:vAlign w:val="center"/>
          </w:tcPr>
          <w:p w14:paraId="624C71A0">
            <w:pPr>
              <w:adjustRightInd w:val="0"/>
              <w:snapToGrid w:val="0"/>
              <w:jc w:val="left"/>
              <w:rPr>
                <w:rFonts w:hint="eastAsia" w:ascii="仿宋" w:hAnsi="仿宋" w:eastAsia="仿宋"/>
                <w:color w:val="auto"/>
                <w:sz w:val="22"/>
                <w:szCs w:val="22"/>
              </w:rPr>
            </w:pPr>
            <w:r>
              <w:rPr>
                <w:rFonts w:hint="eastAsia" w:ascii="仿宋" w:hAnsi="仿宋" w:eastAsia="仿宋"/>
                <w:color w:val="auto"/>
                <w:sz w:val="22"/>
                <w:szCs w:val="22"/>
              </w:rPr>
              <w:t>3、内网环境中的渗透能力，包括绕过网络防御、获取内网资源访问权限、提升权限等，以全面评估目标网络的安全性。</w:t>
            </w:r>
          </w:p>
        </w:tc>
      </w:tr>
      <w:tr w14:paraId="336DB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0" w:type="auto"/>
            <w:tcBorders>
              <w:top w:val="single" w:color="auto" w:sz="4" w:space="0"/>
              <w:left w:val="single" w:color="auto" w:sz="4" w:space="0"/>
              <w:bottom w:val="single" w:color="auto" w:sz="4" w:space="0"/>
              <w:right w:val="single" w:color="auto" w:sz="4" w:space="0"/>
            </w:tcBorders>
            <w:vAlign w:val="center"/>
          </w:tcPr>
          <w:p w14:paraId="3A5B709E">
            <w:pPr>
              <w:adjustRightInd w:val="0"/>
              <w:snapToGrid w:val="0"/>
              <w:jc w:val="center"/>
              <w:rPr>
                <w:rFonts w:hint="eastAsia" w:ascii="仿宋" w:hAnsi="仿宋" w:eastAsia="仿宋"/>
                <w:color w:val="auto"/>
                <w:sz w:val="22"/>
                <w:szCs w:val="22"/>
                <w:lang w:val="en-US" w:eastAsia="zh-CN"/>
              </w:rPr>
            </w:pPr>
            <w:r>
              <w:rPr>
                <w:rFonts w:hint="eastAsia" w:ascii="仿宋" w:hAnsi="仿宋" w:eastAsia="仿宋"/>
                <w:color w:val="auto"/>
                <w:sz w:val="22"/>
                <w:szCs w:val="22"/>
                <w:lang w:val="en-US" w:eastAsia="zh-CN"/>
              </w:rPr>
              <w:t>8</w:t>
            </w:r>
          </w:p>
        </w:tc>
        <w:tc>
          <w:tcPr>
            <w:tcW w:w="0" w:type="auto"/>
            <w:tcBorders>
              <w:top w:val="single" w:color="auto" w:sz="4" w:space="0"/>
              <w:left w:val="single" w:color="auto" w:sz="4" w:space="0"/>
              <w:bottom w:val="single" w:color="auto" w:sz="4" w:space="0"/>
              <w:right w:val="single" w:color="auto" w:sz="4" w:space="0"/>
            </w:tcBorders>
            <w:vAlign w:val="center"/>
          </w:tcPr>
          <w:p w14:paraId="347173CC">
            <w:pPr>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lang w:val="en-US" w:eastAsia="zh-CN"/>
              </w:rPr>
              <w:t>项目</w:t>
            </w:r>
            <w:r>
              <w:rPr>
                <w:rFonts w:hint="eastAsia" w:ascii="仿宋" w:hAnsi="仿宋" w:eastAsia="仿宋"/>
                <w:color w:val="auto"/>
                <w:sz w:val="22"/>
                <w:szCs w:val="22"/>
              </w:rPr>
              <w:t>方案展示与答辩</w:t>
            </w:r>
          </w:p>
        </w:tc>
        <w:tc>
          <w:tcPr>
            <w:tcW w:w="3293" w:type="pct"/>
            <w:tcBorders>
              <w:top w:val="single" w:color="auto" w:sz="4" w:space="0"/>
              <w:left w:val="single" w:color="auto" w:sz="4" w:space="0"/>
              <w:bottom w:val="single" w:color="auto" w:sz="4" w:space="0"/>
              <w:right w:val="single" w:color="auto" w:sz="4" w:space="0"/>
            </w:tcBorders>
            <w:vAlign w:val="center"/>
          </w:tcPr>
          <w:p w14:paraId="11102776">
            <w:pPr>
              <w:adjustRightInd w:val="0"/>
              <w:snapToGrid w:val="0"/>
              <w:jc w:val="left"/>
              <w:rPr>
                <w:rFonts w:hint="eastAsia" w:ascii="仿宋" w:hAnsi="仿宋" w:eastAsia="仿宋"/>
                <w:color w:val="auto"/>
                <w:sz w:val="22"/>
                <w:szCs w:val="22"/>
              </w:rPr>
            </w:pPr>
            <w:r>
              <w:rPr>
                <w:rFonts w:ascii="Segoe UI" w:hAnsi="Segoe UI" w:eastAsia="Segoe UI" w:cs="Segoe UI"/>
                <w:i w:val="0"/>
                <w:iCs w:val="0"/>
                <w:caps w:val="0"/>
                <w:color w:val="auto"/>
                <w:spacing w:val="0"/>
                <w:sz w:val="18"/>
                <w:szCs w:val="18"/>
                <w:shd w:val="clear" w:fill="FFFFFF"/>
              </w:rPr>
              <w:t>1</w:t>
            </w:r>
            <w:r>
              <w:rPr>
                <w:rFonts w:hint="eastAsia" w:ascii="仿宋" w:hAnsi="仿宋" w:eastAsia="仿宋"/>
                <w:color w:val="auto"/>
                <w:sz w:val="22"/>
                <w:szCs w:val="22"/>
              </w:rPr>
              <w:t>、基于竞赛任务，制作并展示安全</w:t>
            </w:r>
            <w:r>
              <w:rPr>
                <w:rFonts w:hint="eastAsia" w:ascii="仿宋" w:hAnsi="仿宋" w:eastAsia="仿宋"/>
                <w:color w:val="auto"/>
                <w:sz w:val="22"/>
                <w:szCs w:val="22"/>
                <w:lang w:val="en-US" w:eastAsia="zh-CN"/>
              </w:rPr>
              <w:t>项目</w:t>
            </w:r>
            <w:r>
              <w:rPr>
                <w:rFonts w:hint="eastAsia" w:ascii="仿宋" w:hAnsi="仿宋" w:eastAsia="仿宋"/>
                <w:color w:val="auto"/>
                <w:sz w:val="22"/>
                <w:szCs w:val="22"/>
              </w:rPr>
              <w:t>方案</w:t>
            </w:r>
            <w:r>
              <w:rPr>
                <w:rFonts w:hint="default" w:ascii="仿宋" w:hAnsi="仿宋" w:eastAsia="仿宋"/>
                <w:color w:val="auto"/>
                <w:sz w:val="22"/>
                <w:szCs w:val="22"/>
              </w:rPr>
              <w:br w:type="textWrapping"/>
            </w:r>
            <w:r>
              <w:rPr>
                <w:rFonts w:hint="default" w:ascii="仿宋" w:hAnsi="仿宋" w:eastAsia="仿宋"/>
                <w:color w:val="auto"/>
                <w:sz w:val="22"/>
                <w:szCs w:val="22"/>
              </w:rPr>
              <w:t>2、团队协作进行现场陈述，并清晰、准确地回答评委提问。</w:t>
            </w:r>
          </w:p>
        </w:tc>
      </w:tr>
    </w:tbl>
    <w:p w14:paraId="415300A0">
      <w:pPr>
        <w:pStyle w:val="14"/>
        <w:adjustRightInd w:val="0"/>
        <w:snapToGrid w:val="0"/>
        <w:spacing w:before="156" w:beforeLines="50" w:after="156" w:afterLines="50" w:line="560" w:lineRule="exact"/>
        <w:ind w:left="420" w:leftChars="200" w:firstLine="0" w:firstLineChars="0"/>
        <w:rPr>
          <w:rFonts w:hint="eastAsia" w:ascii="仿宋" w:hAnsi="仿宋" w:eastAsia="仿宋"/>
          <w:color w:val="auto"/>
          <w:sz w:val="28"/>
          <w:szCs w:val="28"/>
        </w:rPr>
      </w:pPr>
      <w:r>
        <w:rPr>
          <w:rFonts w:hint="eastAsia" w:ascii="仿宋" w:hAnsi="仿宋" w:eastAsia="仿宋"/>
          <w:color w:val="auto"/>
          <w:sz w:val="28"/>
          <w:szCs w:val="28"/>
        </w:rPr>
        <w:t>7.竞赛分值权重和时间分布</w:t>
      </w:r>
    </w:p>
    <w:tbl>
      <w:tblPr>
        <w:tblStyle w:val="11"/>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5103"/>
        <w:gridCol w:w="1213"/>
      </w:tblGrid>
      <w:tr w14:paraId="1580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980" w:type="dxa"/>
            <w:vAlign w:val="center"/>
          </w:tcPr>
          <w:p w14:paraId="5C40C15A">
            <w:pPr>
              <w:widowControl/>
              <w:adjustRightInd w:val="0"/>
              <w:snapToGrid w:val="0"/>
              <w:jc w:val="center"/>
              <w:rPr>
                <w:rFonts w:hint="eastAsia" w:ascii="仿宋" w:hAnsi="仿宋" w:eastAsia="仿宋"/>
                <w:b/>
                <w:bCs/>
                <w:color w:val="auto"/>
                <w:sz w:val="22"/>
                <w:szCs w:val="22"/>
              </w:rPr>
            </w:pPr>
            <w:r>
              <w:rPr>
                <w:rFonts w:hint="eastAsia" w:ascii="仿宋" w:hAnsi="仿宋" w:eastAsia="仿宋"/>
                <w:b/>
                <w:bCs/>
                <w:color w:val="auto"/>
                <w:sz w:val="22"/>
                <w:szCs w:val="22"/>
              </w:rPr>
              <w:t>序号</w:t>
            </w:r>
          </w:p>
        </w:tc>
        <w:tc>
          <w:tcPr>
            <w:tcW w:w="5103" w:type="dxa"/>
            <w:vAlign w:val="center"/>
          </w:tcPr>
          <w:p w14:paraId="21C9432C">
            <w:pPr>
              <w:widowControl/>
              <w:adjustRightInd w:val="0"/>
              <w:snapToGrid w:val="0"/>
              <w:jc w:val="center"/>
              <w:rPr>
                <w:rFonts w:hint="eastAsia" w:ascii="仿宋" w:hAnsi="仿宋" w:eastAsia="仿宋"/>
                <w:b/>
                <w:bCs/>
                <w:color w:val="auto"/>
                <w:sz w:val="22"/>
                <w:szCs w:val="22"/>
              </w:rPr>
            </w:pPr>
            <w:r>
              <w:rPr>
                <w:rFonts w:hint="eastAsia" w:ascii="仿宋" w:hAnsi="仿宋" w:eastAsia="仿宋"/>
                <w:b/>
                <w:bCs/>
                <w:color w:val="auto"/>
                <w:sz w:val="22"/>
                <w:szCs w:val="22"/>
              </w:rPr>
              <w:t>内容模块</w:t>
            </w:r>
          </w:p>
        </w:tc>
        <w:tc>
          <w:tcPr>
            <w:tcW w:w="1213" w:type="dxa"/>
            <w:vAlign w:val="center"/>
          </w:tcPr>
          <w:p w14:paraId="497D4717">
            <w:pPr>
              <w:widowControl/>
              <w:adjustRightInd w:val="0"/>
              <w:snapToGrid w:val="0"/>
              <w:jc w:val="center"/>
              <w:rPr>
                <w:rFonts w:hint="eastAsia" w:ascii="仿宋" w:hAnsi="仿宋" w:eastAsia="仿宋"/>
                <w:b/>
                <w:bCs/>
                <w:color w:val="auto"/>
                <w:sz w:val="22"/>
                <w:szCs w:val="22"/>
              </w:rPr>
            </w:pPr>
            <w:r>
              <w:rPr>
                <w:rFonts w:hint="eastAsia" w:ascii="仿宋" w:hAnsi="仿宋" w:eastAsia="仿宋"/>
                <w:b/>
                <w:bCs/>
                <w:color w:val="auto"/>
                <w:sz w:val="22"/>
                <w:szCs w:val="22"/>
              </w:rPr>
              <w:t>竞赛时间</w:t>
            </w:r>
          </w:p>
        </w:tc>
      </w:tr>
      <w:tr w14:paraId="280E9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1980" w:type="dxa"/>
            <w:vAlign w:val="center"/>
          </w:tcPr>
          <w:p w14:paraId="1BAE4CF5">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第一阶段</w:t>
            </w:r>
          </w:p>
          <w:p w14:paraId="4143A18A">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权重</w:t>
            </w:r>
            <w:r>
              <w:rPr>
                <w:rFonts w:hint="eastAsia" w:ascii="仿宋" w:hAnsi="仿宋" w:eastAsia="仿宋"/>
                <w:color w:val="auto"/>
                <w:sz w:val="22"/>
                <w:szCs w:val="22"/>
                <w:lang w:val="en-US" w:eastAsia="zh-CN"/>
              </w:rPr>
              <w:t>20</w:t>
            </w:r>
            <w:r>
              <w:rPr>
                <w:rFonts w:hint="eastAsia" w:ascii="仿宋" w:hAnsi="仿宋" w:eastAsia="仿宋"/>
                <w:color w:val="auto"/>
                <w:sz w:val="22"/>
                <w:szCs w:val="22"/>
              </w:rPr>
              <w:t>%</w:t>
            </w:r>
          </w:p>
        </w:tc>
        <w:tc>
          <w:tcPr>
            <w:tcW w:w="5103" w:type="dxa"/>
            <w:vAlign w:val="center"/>
          </w:tcPr>
          <w:p w14:paraId="0B616DA8">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网络平台搭建与网络安全设备配置与防护（网络与安全设备配置、资产梳理、流量分析）</w:t>
            </w:r>
          </w:p>
        </w:tc>
        <w:tc>
          <w:tcPr>
            <w:tcW w:w="1213" w:type="dxa"/>
            <w:vAlign w:val="center"/>
          </w:tcPr>
          <w:p w14:paraId="286A40B4">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lang w:val="en-US" w:eastAsia="zh-CN"/>
              </w:rPr>
              <w:t>5</w:t>
            </w:r>
            <w:r>
              <w:rPr>
                <w:rFonts w:hint="eastAsia" w:ascii="仿宋" w:hAnsi="仿宋" w:eastAsia="仿宋"/>
                <w:color w:val="auto"/>
                <w:sz w:val="22"/>
                <w:szCs w:val="22"/>
              </w:rPr>
              <w:t>0分钟</w:t>
            </w:r>
          </w:p>
        </w:tc>
      </w:tr>
      <w:tr w14:paraId="152FA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980" w:type="dxa"/>
            <w:vAlign w:val="center"/>
          </w:tcPr>
          <w:p w14:paraId="5B2885B2">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第二阶段</w:t>
            </w:r>
          </w:p>
          <w:p w14:paraId="4CDA4BDD">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权重</w:t>
            </w:r>
            <w:r>
              <w:rPr>
                <w:rFonts w:hint="eastAsia" w:ascii="仿宋" w:hAnsi="仿宋" w:eastAsia="仿宋"/>
                <w:color w:val="auto"/>
                <w:sz w:val="22"/>
                <w:szCs w:val="22"/>
                <w:lang w:val="en-US" w:eastAsia="zh-CN"/>
              </w:rPr>
              <w:t>2</w:t>
            </w:r>
            <w:r>
              <w:rPr>
                <w:rFonts w:hint="eastAsia" w:ascii="仿宋" w:hAnsi="仿宋" w:eastAsia="仿宋"/>
                <w:color w:val="auto"/>
                <w:sz w:val="22"/>
                <w:szCs w:val="22"/>
              </w:rPr>
              <w:t>0%</w:t>
            </w:r>
          </w:p>
        </w:tc>
        <w:tc>
          <w:tcPr>
            <w:tcW w:w="5103" w:type="dxa"/>
            <w:vAlign w:val="center"/>
          </w:tcPr>
          <w:p w14:paraId="417D5DC9">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网络安全事件响应、应用程序安全（安全加固、应急响应、日志分析）</w:t>
            </w:r>
          </w:p>
        </w:tc>
        <w:tc>
          <w:tcPr>
            <w:tcW w:w="1213" w:type="dxa"/>
            <w:vAlign w:val="center"/>
          </w:tcPr>
          <w:p w14:paraId="50626143">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lang w:val="en-US" w:eastAsia="zh-CN"/>
              </w:rPr>
              <w:t>5</w:t>
            </w:r>
            <w:r>
              <w:rPr>
                <w:rFonts w:hint="eastAsia" w:ascii="仿宋" w:hAnsi="仿宋" w:eastAsia="仿宋"/>
                <w:color w:val="auto"/>
                <w:sz w:val="22"/>
                <w:szCs w:val="22"/>
              </w:rPr>
              <w:t>0分钟</w:t>
            </w:r>
          </w:p>
        </w:tc>
      </w:tr>
      <w:tr w14:paraId="2DBE0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1980" w:type="dxa"/>
            <w:vAlign w:val="center"/>
          </w:tcPr>
          <w:p w14:paraId="286E0EC7">
            <w:pPr>
              <w:widowControl/>
              <w:adjustRightInd w:val="0"/>
              <w:snapToGrid w:val="0"/>
              <w:jc w:val="center"/>
              <w:rPr>
                <w:rFonts w:hint="eastAsia" w:ascii="仿宋" w:hAnsi="仿宋" w:eastAsia="仿宋"/>
                <w:color w:val="auto"/>
                <w:sz w:val="22"/>
                <w:szCs w:val="22"/>
                <w:lang w:eastAsia="zh-CN"/>
              </w:rPr>
            </w:pPr>
            <w:r>
              <w:rPr>
                <w:rFonts w:hint="eastAsia" w:ascii="仿宋" w:hAnsi="仿宋" w:eastAsia="仿宋"/>
                <w:color w:val="auto"/>
                <w:sz w:val="22"/>
                <w:szCs w:val="22"/>
              </w:rPr>
              <w:t>第三</w:t>
            </w:r>
            <w:r>
              <w:rPr>
                <w:rFonts w:hint="eastAsia" w:ascii="仿宋" w:hAnsi="仿宋" w:eastAsia="仿宋"/>
                <w:color w:val="auto"/>
                <w:sz w:val="22"/>
                <w:szCs w:val="22"/>
                <w:lang w:val="en-US" w:eastAsia="zh-CN"/>
              </w:rPr>
              <w:t>阶段</w:t>
            </w:r>
          </w:p>
          <w:p w14:paraId="70C497E5">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权重</w:t>
            </w:r>
            <w:r>
              <w:rPr>
                <w:rFonts w:hint="eastAsia" w:ascii="仿宋" w:hAnsi="仿宋" w:eastAsia="仿宋"/>
                <w:color w:val="auto"/>
                <w:sz w:val="22"/>
                <w:szCs w:val="22"/>
                <w:lang w:val="en-US" w:eastAsia="zh-CN"/>
              </w:rPr>
              <w:t>30</w:t>
            </w:r>
            <w:r>
              <w:rPr>
                <w:rFonts w:hint="eastAsia" w:ascii="仿宋" w:hAnsi="仿宋" w:eastAsia="仿宋"/>
                <w:color w:val="auto"/>
                <w:sz w:val="22"/>
                <w:szCs w:val="22"/>
              </w:rPr>
              <w:t>%</w:t>
            </w:r>
          </w:p>
        </w:tc>
        <w:tc>
          <w:tcPr>
            <w:tcW w:w="5103" w:type="dxa"/>
            <w:vAlign w:val="center"/>
          </w:tcPr>
          <w:p w14:paraId="6EB82FDA">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网络安全渗透、理论技能与职业素养</w:t>
            </w:r>
            <w:r>
              <w:rPr>
                <w:rFonts w:ascii="仿宋" w:hAnsi="仿宋" w:eastAsia="仿宋"/>
                <w:color w:val="auto"/>
                <w:sz w:val="22"/>
                <w:szCs w:val="22"/>
              </w:rPr>
              <w:br w:type="textWrapping"/>
            </w:r>
            <w:r>
              <w:rPr>
                <w:rFonts w:hint="eastAsia" w:ascii="仿宋" w:hAnsi="仿宋" w:eastAsia="仿宋"/>
                <w:color w:val="auto"/>
                <w:sz w:val="22"/>
                <w:szCs w:val="22"/>
              </w:rPr>
              <w:t>（渗透测试、理论技能与职业素养）</w:t>
            </w:r>
          </w:p>
        </w:tc>
        <w:tc>
          <w:tcPr>
            <w:tcW w:w="1213" w:type="dxa"/>
            <w:vAlign w:val="center"/>
          </w:tcPr>
          <w:p w14:paraId="487402AE">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lang w:val="en-US" w:eastAsia="zh-CN"/>
              </w:rPr>
              <w:t>5</w:t>
            </w:r>
            <w:r>
              <w:rPr>
                <w:rFonts w:hint="eastAsia" w:ascii="仿宋" w:hAnsi="仿宋" w:eastAsia="仿宋"/>
                <w:color w:val="auto"/>
                <w:sz w:val="22"/>
                <w:szCs w:val="22"/>
              </w:rPr>
              <w:t>0分钟</w:t>
            </w:r>
          </w:p>
        </w:tc>
      </w:tr>
      <w:tr w14:paraId="1A435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1980" w:type="dxa"/>
            <w:vAlign w:val="center"/>
          </w:tcPr>
          <w:p w14:paraId="66FC34F8">
            <w:pPr>
              <w:widowControl/>
              <w:adjustRightInd w:val="0"/>
              <w:snapToGrid w:val="0"/>
              <w:jc w:val="center"/>
              <w:rPr>
                <w:rFonts w:hint="default" w:ascii="仿宋" w:hAnsi="仿宋" w:eastAsia="仿宋"/>
                <w:color w:val="auto"/>
                <w:sz w:val="22"/>
                <w:szCs w:val="22"/>
                <w:lang w:val="en-US" w:eastAsia="zh-CN"/>
              </w:rPr>
            </w:pPr>
            <w:r>
              <w:rPr>
                <w:rFonts w:hint="eastAsia" w:ascii="仿宋" w:hAnsi="仿宋" w:eastAsia="仿宋"/>
                <w:color w:val="auto"/>
                <w:sz w:val="22"/>
                <w:szCs w:val="22"/>
              </w:rPr>
              <w:t>第</w:t>
            </w:r>
            <w:r>
              <w:rPr>
                <w:rFonts w:hint="eastAsia" w:ascii="仿宋" w:hAnsi="仿宋" w:eastAsia="仿宋"/>
                <w:color w:val="auto"/>
                <w:sz w:val="22"/>
                <w:szCs w:val="22"/>
                <w:lang w:val="en-US" w:eastAsia="zh-CN"/>
              </w:rPr>
              <w:t>四阶段</w:t>
            </w:r>
          </w:p>
          <w:p w14:paraId="04779764">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权重</w:t>
            </w:r>
            <w:r>
              <w:rPr>
                <w:rFonts w:hint="eastAsia" w:ascii="仿宋" w:hAnsi="仿宋" w:eastAsia="仿宋"/>
                <w:color w:val="auto"/>
                <w:sz w:val="22"/>
                <w:szCs w:val="22"/>
                <w:lang w:val="en-US" w:eastAsia="zh-CN"/>
              </w:rPr>
              <w:t>30</w:t>
            </w:r>
            <w:r>
              <w:rPr>
                <w:rFonts w:hint="eastAsia" w:ascii="仿宋" w:hAnsi="仿宋" w:eastAsia="仿宋"/>
                <w:color w:val="auto"/>
                <w:sz w:val="22"/>
                <w:szCs w:val="22"/>
              </w:rPr>
              <w:t>%</w:t>
            </w:r>
          </w:p>
        </w:tc>
        <w:tc>
          <w:tcPr>
            <w:tcW w:w="5103" w:type="dxa"/>
            <w:vAlign w:val="center"/>
          </w:tcPr>
          <w:p w14:paraId="3CC4B557">
            <w:pPr>
              <w:widowControl/>
              <w:adjustRightInd w:val="0"/>
              <w:snapToGrid w:val="0"/>
              <w:jc w:val="center"/>
              <w:rPr>
                <w:rFonts w:hint="eastAsia" w:ascii="仿宋" w:hAnsi="仿宋" w:eastAsia="仿宋"/>
                <w:color w:val="auto"/>
                <w:sz w:val="22"/>
                <w:szCs w:val="22"/>
              </w:rPr>
            </w:pPr>
            <w:r>
              <w:rPr>
                <w:rFonts w:hint="eastAsia" w:ascii="仿宋" w:hAnsi="仿宋" w:eastAsia="仿宋" w:cs="仿宋"/>
                <w:i w:val="0"/>
                <w:iCs w:val="0"/>
                <w:caps w:val="0"/>
                <w:color w:val="auto"/>
                <w:spacing w:val="0"/>
                <w:kern w:val="0"/>
                <w:sz w:val="24"/>
                <w:szCs w:val="24"/>
                <w:lang w:val="en-US" w:eastAsia="zh-CN" w:bidi="ar"/>
              </w:rPr>
              <w:t>项目方案</w:t>
            </w:r>
            <w:r>
              <w:rPr>
                <w:rFonts w:hint="eastAsia" w:ascii="仿宋" w:hAnsi="仿宋" w:eastAsia="仿宋"/>
                <w:color w:val="auto"/>
                <w:sz w:val="22"/>
                <w:szCs w:val="22"/>
              </w:rPr>
              <w:t>展示与答辩</w:t>
            </w:r>
          </w:p>
        </w:tc>
        <w:tc>
          <w:tcPr>
            <w:tcW w:w="1213" w:type="dxa"/>
            <w:vAlign w:val="center"/>
          </w:tcPr>
          <w:p w14:paraId="487B9BDA">
            <w:pPr>
              <w:widowControl/>
              <w:adjustRightInd w:val="0"/>
              <w:snapToGrid w:val="0"/>
              <w:jc w:val="center"/>
              <w:rPr>
                <w:rFonts w:hint="eastAsia" w:ascii="仿宋" w:hAnsi="仿宋" w:eastAsia="仿宋"/>
                <w:color w:val="auto"/>
                <w:sz w:val="22"/>
                <w:szCs w:val="22"/>
              </w:rPr>
            </w:pPr>
            <w:r>
              <w:rPr>
                <w:rFonts w:hint="eastAsia" w:ascii="仿宋" w:hAnsi="仿宋" w:eastAsia="仿宋"/>
                <w:color w:val="auto"/>
                <w:sz w:val="22"/>
                <w:szCs w:val="22"/>
              </w:rPr>
              <w:t>每队1</w:t>
            </w:r>
            <w:r>
              <w:rPr>
                <w:rFonts w:hint="eastAsia" w:ascii="仿宋" w:hAnsi="仿宋" w:eastAsia="仿宋"/>
                <w:color w:val="auto"/>
                <w:sz w:val="22"/>
                <w:szCs w:val="22"/>
                <w:lang w:val="en-US" w:eastAsia="zh-CN"/>
              </w:rPr>
              <w:t>0</w:t>
            </w:r>
            <w:r>
              <w:rPr>
                <w:rFonts w:hint="eastAsia" w:ascii="仿宋" w:hAnsi="仿宋" w:eastAsia="仿宋"/>
                <w:color w:val="auto"/>
                <w:sz w:val="22"/>
                <w:szCs w:val="22"/>
              </w:rPr>
              <w:t>分钟</w:t>
            </w:r>
          </w:p>
        </w:tc>
      </w:tr>
    </w:tbl>
    <w:p w14:paraId="21C0B400">
      <w:pPr>
        <w:pStyle w:val="14"/>
        <w:adjustRightInd w:val="0"/>
        <w:snapToGrid w:val="0"/>
        <w:spacing w:line="560" w:lineRule="exact"/>
        <w:ind w:left="420" w:firstLine="0" w:firstLineChars="0"/>
        <w:rPr>
          <w:rFonts w:hint="eastAsia" w:ascii="仿宋" w:hAnsi="仿宋" w:eastAsia="仿宋"/>
          <w:bCs/>
          <w:color w:val="auto"/>
          <w:kern w:val="28"/>
          <w:sz w:val="28"/>
          <w:szCs w:val="28"/>
        </w:rPr>
      </w:pPr>
      <w:r>
        <w:rPr>
          <w:rFonts w:hint="eastAsia" w:ascii="仿宋" w:hAnsi="仿宋" w:eastAsia="仿宋"/>
          <w:bCs/>
          <w:color w:val="auto"/>
          <w:kern w:val="28"/>
          <w:sz w:val="28"/>
          <w:szCs w:val="28"/>
        </w:rPr>
        <w:t>8.竞赛时间</w:t>
      </w:r>
      <w:r>
        <w:rPr>
          <w:rFonts w:ascii="仿宋" w:hAnsi="仿宋" w:eastAsia="仿宋"/>
          <w:bCs/>
          <w:color w:val="auto"/>
          <w:kern w:val="28"/>
          <w:sz w:val="28"/>
          <w:szCs w:val="28"/>
        </w:rPr>
        <w:t>表</w:t>
      </w:r>
    </w:p>
    <w:tbl>
      <w:tblPr>
        <w:tblStyle w:val="11"/>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5"/>
        <w:gridCol w:w="1743"/>
        <w:gridCol w:w="2860"/>
        <w:gridCol w:w="1675"/>
        <w:gridCol w:w="1304"/>
      </w:tblGrid>
      <w:tr w14:paraId="6A814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165" w:type="dxa"/>
            <w:vAlign w:val="center"/>
          </w:tcPr>
          <w:p w14:paraId="65191C6D">
            <w:pPr>
              <w:pStyle w:val="5"/>
              <w:jc w:val="center"/>
              <w:rPr>
                <w:rFonts w:hint="eastAsia" w:ascii="仿宋" w:hAnsi="仿宋" w:eastAsia="仿宋"/>
                <w:b/>
                <w:color w:val="auto"/>
                <w:sz w:val="24"/>
              </w:rPr>
            </w:pPr>
            <w:r>
              <w:rPr>
                <w:rFonts w:hint="eastAsia" w:ascii="仿宋" w:hAnsi="仿宋" w:eastAsia="仿宋"/>
                <w:b/>
                <w:color w:val="auto"/>
                <w:sz w:val="24"/>
              </w:rPr>
              <w:t>日期</w:t>
            </w:r>
          </w:p>
        </w:tc>
        <w:tc>
          <w:tcPr>
            <w:tcW w:w="1743" w:type="dxa"/>
            <w:vAlign w:val="center"/>
          </w:tcPr>
          <w:p w14:paraId="3FE662C6">
            <w:pPr>
              <w:pStyle w:val="5"/>
              <w:jc w:val="center"/>
              <w:rPr>
                <w:rFonts w:hint="eastAsia" w:ascii="仿宋" w:hAnsi="仿宋" w:eastAsia="仿宋"/>
                <w:b/>
                <w:color w:val="auto"/>
                <w:sz w:val="24"/>
              </w:rPr>
            </w:pPr>
            <w:r>
              <w:rPr>
                <w:rFonts w:hint="eastAsia" w:ascii="仿宋" w:hAnsi="仿宋" w:eastAsia="仿宋"/>
                <w:b/>
                <w:color w:val="auto"/>
                <w:sz w:val="24"/>
              </w:rPr>
              <w:t>时间</w:t>
            </w:r>
          </w:p>
        </w:tc>
        <w:tc>
          <w:tcPr>
            <w:tcW w:w="2860" w:type="dxa"/>
            <w:vAlign w:val="center"/>
          </w:tcPr>
          <w:p w14:paraId="49A28EAD">
            <w:pPr>
              <w:pStyle w:val="5"/>
              <w:jc w:val="center"/>
              <w:rPr>
                <w:rFonts w:hint="eastAsia" w:ascii="仿宋" w:hAnsi="仿宋" w:eastAsia="仿宋"/>
                <w:b/>
                <w:color w:val="auto"/>
                <w:sz w:val="24"/>
              </w:rPr>
            </w:pPr>
            <w:r>
              <w:rPr>
                <w:rFonts w:hint="eastAsia" w:ascii="仿宋" w:hAnsi="仿宋" w:eastAsia="仿宋"/>
                <w:b/>
                <w:color w:val="auto"/>
                <w:sz w:val="24"/>
              </w:rPr>
              <w:t>事项</w:t>
            </w:r>
          </w:p>
        </w:tc>
        <w:tc>
          <w:tcPr>
            <w:tcW w:w="1675" w:type="dxa"/>
            <w:vAlign w:val="center"/>
          </w:tcPr>
          <w:p w14:paraId="458ACEBC">
            <w:pPr>
              <w:pStyle w:val="5"/>
              <w:jc w:val="center"/>
              <w:rPr>
                <w:rFonts w:hint="eastAsia" w:ascii="仿宋" w:hAnsi="仿宋" w:eastAsia="仿宋"/>
                <w:b/>
                <w:color w:val="auto"/>
                <w:sz w:val="24"/>
              </w:rPr>
            </w:pPr>
            <w:r>
              <w:rPr>
                <w:rFonts w:hint="eastAsia" w:ascii="仿宋" w:hAnsi="仿宋" w:eastAsia="仿宋"/>
                <w:b/>
                <w:color w:val="auto"/>
                <w:sz w:val="24"/>
              </w:rPr>
              <w:t>参加人员</w:t>
            </w:r>
          </w:p>
        </w:tc>
        <w:tc>
          <w:tcPr>
            <w:tcW w:w="1304" w:type="dxa"/>
            <w:vAlign w:val="center"/>
          </w:tcPr>
          <w:p w14:paraId="2DCBF3D5">
            <w:pPr>
              <w:pStyle w:val="5"/>
              <w:jc w:val="center"/>
              <w:rPr>
                <w:rFonts w:hint="eastAsia" w:ascii="仿宋" w:hAnsi="仿宋" w:eastAsia="仿宋"/>
                <w:b/>
                <w:color w:val="auto"/>
                <w:sz w:val="24"/>
              </w:rPr>
            </w:pPr>
            <w:r>
              <w:rPr>
                <w:rFonts w:hint="eastAsia" w:ascii="仿宋" w:hAnsi="仿宋" w:eastAsia="仿宋"/>
                <w:b/>
                <w:color w:val="auto"/>
                <w:sz w:val="24"/>
              </w:rPr>
              <w:t>地点</w:t>
            </w:r>
          </w:p>
        </w:tc>
      </w:tr>
      <w:tr w14:paraId="1C39C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165" w:type="dxa"/>
            <w:vMerge w:val="restart"/>
            <w:vAlign w:val="center"/>
          </w:tcPr>
          <w:p w14:paraId="16D29C9E">
            <w:pPr>
              <w:pStyle w:val="5"/>
              <w:jc w:val="center"/>
              <w:rPr>
                <w:rFonts w:hint="eastAsia" w:ascii="仿宋" w:hAnsi="仿宋" w:eastAsia="仿宋"/>
                <w:color w:val="auto"/>
                <w:sz w:val="24"/>
              </w:rPr>
            </w:pPr>
            <w:r>
              <w:rPr>
                <w:rFonts w:hint="eastAsia" w:ascii="仿宋" w:hAnsi="仿宋" w:eastAsia="仿宋"/>
                <w:color w:val="auto"/>
                <w:sz w:val="24"/>
              </w:rPr>
              <w:t>竞赛</w:t>
            </w:r>
          </w:p>
          <w:p w14:paraId="2B04D03A">
            <w:pPr>
              <w:pStyle w:val="5"/>
              <w:jc w:val="center"/>
              <w:rPr>
                <w:rFonts w:hint="eastAsia" w:ascii="仿宋" w:hAnsi="仿宋" w:eastAsia="仿宋"/>
                <w:color w:val="auto"/>
                <w:sz w:val="24"/>
              </w:rPr>
            </w:pPr>
            <w:r>
              <w:rPr>
                <w:rFonts w:hint="eastAsia" w:ascii="仿宋" w:hAnsi="仿宋" w:eastAsia="仿宋"/>
                <w:color w:val="auto"/>
                <w:sz w:val="24"/>
              </w:rPr>
              <w:t>当天</w:t>
            </w:r>
          </w:p>
          <w:p w14:paraId="48D72C5D">
            <w:pPr>
              <w:pStyle w:val="5"/>
              <w:jc w:val="center"/>
              <w:rPr>
                <w:rFonts w:hint="eastAsia" w:ascii="仿宋" w:hAnsi="仿宋" w:eastAsia="仿宋"/>
                <w:color w:val="auto"/>
                <w:sz w:val="24"/>
              </w:rPr>
            </w:pPr>
          </w:p>
        </w:tc>
        <w:tc>
          <w:tcPr>
            <w:tcW w:w="1743" w:type="dxa"/>
            <w:vAlign w:val="center"/>
          </w:tcPr>
          <w:p w14:paraId="389051B3">
            <w:pPr>
              <w:shd w:val="solid" w:color="FFFFFF" w:fill="auto"/>
              <w:autoSpaceDN w:val="0"/>
              <w:jc w:val="center"/>
              <w:rPr>
                <w:rFonts w:hint="eastAsia" w:ascii="仿宋" w:hAnsi="仿宋" w:eastAsia="仿宋"/>
                <w:color w:val="auto"/>
                <w:sz w:val="24"/>
              </w:rPr>
            </w:pPr>
            <w:r>
              <w:rPr>
                <w:rFonts w:hint="eastAsia" w:ascii="仿宋" w:hAnsi="仿宋" w:eastAsia="仿宋"/>
                <w:color w:val="auto"/>
                <w:sz w:val="24"/>
                <w:lang w:val="en-US" w:eastAsia="zh-CN"/>
              </w:rPr>
              <w:t>11</w:t>
            </w:r>
            <w:r>
              <w:rPr>
                <w:rFonts w:hint="eastAsia" w:ascii="仿宋" w:hAnsi="仿宋" w:eastAsia="仿宋"/>
                <w:color w:val="auto"/>
                <w:sz w:val="24"/>
              </w:rPr>
              <w:t>:</w:t>
            </w:r>
            <w:r>
              <w:rPr>
                <w:rFonts w:hint="eastAsia" w:ascii="仿宋" w:hAnsi="仿宋" w:eastAsia="仿宋"/>
                <w:color w:val="auto"/>
                <w:sz w:val="24"/>
                <w:lang w:val="en-US" w:eastAsia="zh-CN"/>
              </w:rPr>
              <w:t>5</w:t>
            </w:r>
            <w:r>
              <w:rPr>
                <w:rFonts w:hint="eastAsia" w:ascii="仿宋" w:hAnsi="仿宋" w:eastAsia="仿宋"/>
                <w:color w:val="auto"/>
                <w:sz w:val="24"/>
              </w:rPr>
              <w:t>0-</w:t>
            </w:r>
            <w:r>
              <w:rPr>
                <w:rFonts w:hint="eastAsia" w:ascii="仿宋" w:hAnsi="仿宋" w:eastAsia="仿宋"/>
                <w:color w:val="auto"/>
                <w:sz w:val="24"/>
                <w:lang w:val="en-US" w:eastAsia="zh-CN"/>
              </w:rPr>
              <w:t>12</w:t>
            </w:r>
            <w:r>
              <w:rPr>
                <w:rFonts w:hint="eastAsia" w:ascii="仿宋" w:hAnsi="仿宋" w:eastAsia="仿宋"/>
                <w:color w:val="auto"/>
                <w:sz w:val="24"/>
              </w:rPr>
              <w:t>:</w:t>
            </w:r>
            <w:r>
              <w:rPr>
                <w:rFonts w:hint="eastAsia" w:ascii="仿宋" w:hAnsi="仿宋" w:eastAsia="仿宋"/>
                <w:color w:val="auto"/>
                <w:sz w:val="24"/>
                <w:lang w:val="en-US" w:eastAsia="zh-CN"/>
              </w:rPr>
              <w:t>2</w:t>
            </w:r>
            <w:r>
              <w:rPr>
                <w:rFonts w:hint="eastAsia" w:ascii="仿宋" w:hAnsi="仿宋" w:eastAsia="仿宋"/>
                <w:color w:val="auto"/>
                <w:sz w:val="24"/>
              </w:rPr>
              <w:t>0</w:t>
            </w:r>
          </w:p>
        </w:tc>
        <w:tc>
          <w:tcPr>
            <w:tcW w:w="2860" w:type="dxa"/>
            <w:vAlign w:val="center"/>
          </w:tcPr>
          <w:p w14:paraId="04B2E331">
            <w:pPr>
              <w:shd w:val="solid" w:color="FFFFFF" w:fill="auto"/>
              <w:autoSpaceDN w:val="0"/>
              <w:jc w:val="center"/>
              <w:rPr>
                <w:rFonts w:hint="eastAsia" w:ascii="仿宋" w:hAnsi="仿宋" w:eastAsia="仿宋"/>
                <w:color w:val="auto"/>
                <w:sz w:val="24"/>
                <w:lang w:eastAsia="zh-CN"/>
              </w:rPr>
            </w:pPr>
            <w:r>
              <w:rPr>
                <w:rFonts w:hint="eastAsia" w:ascii="仿宋" w:hAnsi="仿宋" w:eastAsia="仿宋"/>
                <w:color w:val="auto"/>
                <w:sz w:val="24"/>
              </w:rPr>
              <w:t>参赛选手检录</w:t>
            </w:r>
            <w:r>
              <w:rPr>
                <w:rFonts w:hint="eastAsia" w:ascii="仿宋" w:hAnsi="仿宋" w:eastAsia="仿宋"/>
                <w:color w:val="auto"/>
                <w:sz w:val="24"/>
                <w:lang w:eastAsia="zh-CN"/>
              </w:rPr>
              <w:t>、抽签、加密</w:t>
            </w:r>
          </w:p>
        </w:tc>
        <w:tc>
          <w:tcPr>
            <w:tcW w:w="1675" w:type="dxa"/>
            <w:vAlign w:val="center"/>
          </w:tcPr>
          <w:p w14:paraId="13E0F1BE">
            <w:pPr>
              <w:shd w:val="solid" w:color="FFFFFF" w:fill="auto"/>
              <w:autoSpaceDN w:val="0"/>
              <w:jc w:val="center"/>
              <w:rPr>
                <w:rFonts w:hint="eastAsia" w:ascii="仿宋" w:hAnsi="仿宋" w:eastAsia="仿宋"/>
                <w:color w:val="auto"/>
                <w:sz w:val="24"/>
              </w:rPr>
            </w:pPr>
            <w:r>
              <w:rPr>
                <w:rFonts w:hint="eastAsia" w:ascii="仿宋" w:hAnsi="仿宋" w:eastAsia="仿宋"/>
                <w:color w:val="auto"/>
                <w:sz w:val="24"/>
              </w:rPr>
              <w:t>裁判、参赛选手</w:t>
            </w:r>
          </w:p>
        </w:tc>
        <w:tc>
          <w:tcPr>
            <w:tcW w:w="1304" w:type="dxa"/>
            <w:vAlign w:val="center"/>
          </w:tcPr>
          <w:p w14:paraId="2C624AC9">
            <w:pPr>
              <w:shd w:val="solid" w:color="FFFFFF" w:fill="auto"/>
              <w:autoSpaceDN w:val="0"/>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竞赛场地</w:t>
            </w:r>
          </w:p>
        </w:tc>
      </w:tr>
      <w:tr w14:paraId="5196E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165" w:type="dxa"/>
            <w:vMerge w:val="continue"/>
            <w:vAlign w:val="center"/>
          </w:tcPr>
          <w:p w14:paraId="33A7DDE9">
            <w:pPr>
              <w:pStyle w:val="5"/>
              <w:jc w:val="center"/>
              <w:rPr>
                <w:rFonts w:hint="eastAsia" w:ascii="仿宋" w:hAnsi="仿宋" w:eastAsia="仿宋"/>
                <w:color w:val="auto"/>
                <w:sz w:val="24"/>
              </w:rPr>
            </w:pPr>
          </w:p>
        </w:tc>
        <w:tc>
          <w:tcPr>
            <w:tcW w:w="1743" w:type="dxa"/>
            <w:vAlign w:val="center"/>
          </w:tcPr>
          <w:p w14:paraId="120D215A">
            <w:pPr>
              <w:shd w:val="solid" w:color="FFFFFF" w:fill="auto"/>
              <w:autoSpaceDN w:val="0"/>
              <w:jc w:val="center"/>
              <w:rPr>
                <w:rFonts w:hint="eastAsia" w:ascii="仿宋" w:hAnsi="仿宋" w:eastAsia="仿宋"/>
                <w:color w:val="auto"/>
                <w:sz w:val="24"/>
              </w:rPr>
            </w:pPr>
            <w:r>
              <w:rPr>
                <w:rFonts w:hint="eastAsia" w:ascii="仿宋" w:hAnsi="仿宋" w:eastAsia="仿宋"/>
                <w:color w:val="auto"/>
                <w:sz w:val="24"/>
                <w:lang w:val="en-US" w:eastAsia="zh-CN"/>
              </w:rPr>
              <w:t>12</w:t>
            </w:r>
            <w:r>
              <w:rPr>
                <w:rFonts w:hint="eastAsia" w:ascii="仿宋" w:hAnsi="仿宋" w:eastAsia="仿宋"/>
                <w:color w:val="auto"/>
                <w:sz w:val="24"/>
              </w:rPr>
              <w:t>:</w:t>
            </w:r>
            <w:r>
              <w:rPr>
                <w:rFonts w:hint="eastAsia" w:ascii="仿宋" w:hAnsi="仿宋" w:eastAsia="仿宋"/>
                <w:color w:val="auto"/>
                <w:sz w:val="24"/>
                <w:lang w:val="en-US" w:eastAsia="zh-CN"/>
              </w:rPr>
              <w:t>2</w:t>
            </w:r>
            <w:r>
              <w:rPr>
                <w:rFonts w:hint="eastAsia" w:ascii="仿宋" w:hAnsi="仿宋" w:eastAsia="仿宋"/>
                <w:color w:val="auto"/>
                <w:sz w:val="24"/>
              </w:rPr>
              <w:t>0-</w:t>
            </w:r>
            <w:r>
              <w:rPr>
                <w:rFonts w:hint="eastAsia" w:ascii="仿宋" w:hAnsi="仿宋" w:eastAsia="仿宋"/>
                <w:color w:val="auto"/>
                <w:sz w:val="24"/>
                <w:lang w:val="en-US" w:eastAsia="zh-CN"/>
              </w:rPr>
              <w:t>12</w:t>
            </w:r>
            <w:r>
              <w:rPr>
                <w:rFonts w:hint="eastAsia" w:ascii="仿宋" w:hAnsi="仿宋" w:eastAsia="仿宋"/>
                <w:color w:val="auto"/>
                <w:sz w:val="24"/>
              </w:rPr>
              <w:t>:</w:t>
            </w:r>
            <w:r>
              <w:rPr>
                <w:rFonts w:hint="eastAsia" w:ascii="仿宋" w:hAnsi="仿宋" w:eastAsia="仿宋"/>
                <w:color w:val="auto"/>
                <w:sz w:val="24"/>
                <w:lang w:val="en-US" w:eastAsia="zh-CN"/>
              </w:rPr>
              <w:t>3</w:t>
            </w:r>
            <w:r>
              <w:rPr>
                <w:rFonts w:hint="eastAsia" w:ascii="仿宋" w:hAnsi="仿宋" w:eastAsia="仿宋"/>
                <w:color w:val="auto"/>
                <w:sz w:val="24"/>
              </w:rPr>
              <w:t>0</w:t>
            </w:r>
          </w:p>
        </w:tc>
        <w:tc>
          <w:tcPr>
            <w:tcW w:w="2860" w:type="dxa"/>
            <w:vAlign w:val="center"/>
          </w:tcPr>
          <w:p w14:paraId="43003B1E">
            <w:pPr>
              <w:shd w:val="solid" w:color="FFFFFF" w:fill="auto"/>
              <w:autoSpaceDN w:val="0"/>
              <w:jc w:val="center"/>
              <w:rPr>
                <w:rFonts w:hint="eastAsia" w:ascii="仿宋" w:hAnsi="仿宋" w:eastAsia="仿宋"/>
                <w:color w:val="auto"/>
                <w:sz w:val="24"/>
              </w:rPr>
            </w:pPr>
            <w:r>
              <w:rPr>
                <w:rFonts w:hint="eastAsia" w:ascii="仿宋" w:hAnsi="仿宋" w:eastAsia="仿宋"/>
                <w:color w:val="auto"/>
                <w:sz w:val="24"/>
              </w:rPr>
              <w:t>参赛代表队就位，宣读纪律</w:t>
            </w:r>
          </w:p>
        </w:tc>
        <w:tc>
          <w:tcPr>
            <w:tcW w:w="1675" w:type="dxa"/>
            <w:vAlign w:val="center"/>
          </w:tcPr>
          <w:p w14:paraId="53FE803F">
            <w:pPr>
              <w:shd w:val="solid" w:color="FFFFFF" w:fill="auto"/>
              <w:autoSpaceDN w:val="0"/>
              <w:jc w:val="center"/>
              <w:rPr>
                <w:rFonts w:hint="eastAsia" w:ascii="仿宋" w:hAnsi="仿宋" w:eastAsia="仿宋"/>
                <w:color w:val="auto"/>
                <w:sz w:val="24"/>
              </w:rPr>
            </w:pPr>
            <w:r>
              <w:rPr>
                <w:rFonts w:hint="eastAsia" w:ascii="仿宋" w:hAnsi="仿宋" w:eastAsia="仿宋"/>
                <w:color w:val="auto"/>
                <w:sz w:val="24"/>
              </w:rPr>
              <w:t>参赛选手、现场裁判</w:t>
            </w:r>
          </w:p>
        </w:tc>
        <w:tc>
          <w:tcPr>
            <w:tcW w:w="1304" w:type="dxa"/>
            <w:vAlign w:val="center"/>
          </w:tcPr>
          <w:p w14:paraId="50BC882B">
            <w:pPr>
              <w:shd w:val="solid" w:color="FFFFFF" w:fill="auto"/>
              <w:autoSpaceDN w:val="0"/>
              <w:jc w:val="center"/>
              <w:rPr>
                <w:rFonts w:hint="eastAsia" w:ascii="仿宋" w:hAnsi="仿宋" w:eastAsia="仿宋"/>
                <w:color w:val="auto"/>
                <w:sz w:val="24"/>
              </w:rPr>
            </w:pPr>
            <w:r>
              <w:rPr>
                <w:rFonts w:hint="eastAsia" w:ascii="仿宋" w:hAnsi="仿宋" w:eastAsia="仿宋"/>
                <w:color w:val="auto"/>
                <w:sz w:val="24"/>
              </w:rPr>
              <w:t>竞赛场地</w:t>
            </w:r>
          </w:p>
        </w:tc>
      </w:tr>
      <w:tr w14:paraId="5F0CC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165" w:type="dxa"/>
            <w:vMerge w:val="continue"/>
            <w:vAlign w:val="center"/>
          </w:tcPr>
          <w:p w14:paraId="3DF82221">
            <w:pPr>
              <w:pStyle w:val="5"/>
              <w:jc w:val="center"/>
              <w:rPr>
                <w:rFonts w:hint="eastAsia" w:ascii="仿宋" w:hAnsi="仿宋" w:eastAsia="仿宋"/>
                <w:color w:val="auto"/>
                <w:sz w:val="24"/>
              </w:rPr>
            </w:pPr>
          </w:p>
        </w:tc>
        <w:tc>
          <w:tcPr>
            <w:tcW w:w="1743" w:type="dxa"/>
            <w:vAlign w:val="center"/>
          </w:tcPr>
          <w:p w14:paraId="27FD6B77">
            <w:pPr>
              <w:shd w:val="solid" w:color="FFFFFF" w:fill="auto"/>
              <w:autoSpaceDN w:val="0"/>
              <w:jc w:val="center"/>
              <w:rPr>
                <w:rFonts w:hint="eastAsia" w:ascii="仿宋" w:hAnsi="仿宋" w:eastAsia="仿宋"/>
                <w:color w:val="auto"/>
                <w:sz w:val="24"/>
              </w:rPr>
            </w:pPr>
            <w:r>
              <w:rPr>
                <w:rFonts w:hint="eastAsia" w:ascii="仿宋" w:hAnsi="仿宋" w:eastAsia="仿宋"/>
                <w:color w:val="auto"/>
                <w:sz w:val="24"/>
                <w:lang w:val="en-US" w:eastAsia="zh-CN"/>
              </w:rPr>
              <w:t>12</w:t>
            </w:r>
            <w:r>
              <w:rPr>
                <w:rFonts w:hint="eastAsia" w:ascii="仿宋" w:hAnsi="仿宋" w:eastAsia="仿宋"/>
                <w:color w:val="auto"/>
                <w:sz w:val="24"/>
              </w:rPr>
              <w:t>:</w:t>
            </w:r>
            <w:r>
              <w:rPr>
                <w:rFonts w:hint="eastAsia" w:ascii="仿宋" w:hAnsi="仿宋" w:eastAsia="仿宋"/>
                <w:color w:val="auto"/>
                <w:sz w:val="24"/>
                <w:lang w:val="en-US" w:eastAsia="zh-CN"/>
              </w:rPr>
              <w:t>3</w:t>
            </w:r>
            <w:r>
              <w:rPr>
                <w:rFonts w:hint="eastAsia" w:ascii="仿宋" w:hAnsi="仿宋" w:eastAsia="仿宋"/>
                <w:color w:val="auto"/>
                <w:sz w:val="24"/>
              </w:rPr>
              <w:t>0-1</w:t>
            </w:r>
            <w:r>
              <w:rPr>
                <w:rFonts w:hint="eastAsia" w:ascii="仿宋" w:hAnsi="仿宋" w:eastAsia="仿宋"/>
                <w:color w:val="auto"/>
                <w:sz w:val="24"/>
                <w:lang w:val="en-US" w:eastAsia="zh-CN"/>
              </w:rPr>
              <w:t>5</w:t>
            </w:r>
            <w:r>
              <w:rPr>
                <w:rFonts w:hint="eastAsia" w:ascii="仿宋" w:hAnsi="仿宋" w:eastAsia="仿宋"/>
                <w:color w:val="auto"/>
                <w:sz w:val="24"/>
              </w:rPr>
              <w:t>:00</w:t>
            </w:r>
          </w:p>
        </w:tc>
        <w:tc>
          <w:tcPr>
            <w:tcW w:w="2860" w:type="dxa"/>
            <w:vAlign w:val="center"/>
          </w:tcPr>
          <w:p w14:paraId="79C4D1B3">
            <w:pPr>
              <w:shd w:val="solid" w:color="FFFFFF" w:fill="auto"/>
              <w:autoSpaceDN w:val="0"/>
              <w:jc w:val="center"/>
              <w:rPr>
                <w:rFonts w:hint="eastAsia" w:ascii="仿宋" w:hAnsi="仿宋" w:eastAsia="仿宋"/>
                <w:color w:val="auto"/>
                <w:sz w:val="24"/>
              </w:rPr>
            </w:pPr>
            <w:r>
              <w:rPr>
                <w:rFonts w:hint="eastAsia" w:ascii="仿宋" w:hAnsi="仿宋" w:eastAsia="仿宋"/>
                <w:color w:val="auto"/>
                <w:sz w:val="24"/>
              </w:rPr>
              <w:t>第一</w:t>
            </w:r>
            <w:r>
              <w:rPr>
                <w:rFonts w:hint="eastAsia" w:ascii="仿宋" w:hAnsi="仿宋" w:eastAsia="仿宋"/>
                <w:color w:val="auto"/>
                <w:sz w:val="24"/>
                <w:lang w:eastAsia="zh-CN"/>
              </w:rPr>
              <w:t>、</w:t>
            </w:r>
            <w:r>
              <w:rPr>
                <w:rFonts w:hint="eastAsia" w:ascii="仿宋" w:hAnsi="仿宋" w:eastAsia="仿宋"/>
                <w:color w:val="auto"/>
                <w:sz w:val="24"/>
                <w:lang w:val="en-US" w:eastAsia="zh-CN"/>
              </w:rPr>
              <w:t>二、三</w:t>
            </w:r>
            <w:r>
              <w:rPr>
                <w:rFonts w:hint="eastAsia" w:ascii="仿宋" w:hAnsi="仿宋" w:eastAsia="仿宋"/>
                <w:color w:val="auto"/>
                <w:sz w:val="24"/>
              </w:rPr>
              <w:t>阶段比赛</w:t>
            </w:r>
          </w:p>
        </w:tc>
        <w:tc>
          <w:tcPr>
            <w:tcW w:w="1675" w:type="dxa"/>
            <w:vAlign w:val="center"/>
          </w:tcPr>
          <w:p w14:paraId="5085CA31">
            <w:pPr>
              <w:shd w:val="solid" w:color="FFFFFF" w:fill="auto"/>
              <w:autoSpaceDN w:val="0"/>
              <w:jc w:val="center"/>
              <w:rPr>
                <w:rFonts w:hint="eastAsia" w:ascii="仿宋" w:hAnsi="仿宋" w:eastAsia="仿宋"/>
                <w:color w:val="auto"/>
                <w:sz w:val="24"/>
              </w:rPr>
            </w:pPr>
            <w:r>
              <w:rPr>
                <w:rFonts w:ascii="仿宋" w:hAnsi="仿宋" w:eastAsia="仿宋"/>
                <w:color w:val="auto"/>
                <w:sz w:val="24"/>
              </w:rPr>
              <w:t>参赛选手、现场裁判</w:t>
            </w:r>
          </w:p>
        </w:tc>
        <w:tc>
          <w:tcPr>
            <w:tcW w:w="1304" w:type="dxa"/>
            <w:vAlign w:val="center"/>
          </w:tcPr>
          <w:p w14:paraId="5CC5B8F2">
            <w:pPr>
              <w:shd w:val="solid" w:color="FFFFFF" w:fill="auto"/>
              <w:autoSpaceDN w:val="0"/>
              <w:jc w:val="center"/>
              <w:rPr>
                <w:rFonts w:hint="eastAsia" w:ascii="仿宋" w:hAnsi="仿宋" w:eastAsia="仿宋"/>
                <w:color w:val="auto"/>
                <w:sz w:val="24"/>
              </w:rPr>
            </w:pPr>
            <w:r>
              <w:rPr>
                <w:rFonts w:hint="eastAsia" w:ascii="仿宋" w:hAnsi="仿宋" w:eastAsia="仿宋"/>
                <w:color w:val="auto"/>
                <w:sz w:val="24"/>
              </w:rPr>
              <w:t>竞赛场地</w:t>
            </w:r>
          </w:p>
        </w:tc>
      </w:tr>
      <w:tr w14:paraId="2E36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165" w:type="dxa"/>
            <w:vMerge w:val="continue"/>
            <w:vAlign w:val="center"/>
          </w:tcPr>
          <w:p w14:paraId="018116BE">
            <w:pPr>
              <w:pStyle w:val="5"/>
              <w:jc w:val="center"/>
              <w:rPr>
                <w:rFonts w:hint="eastAsia" w:ascii="仿宋" w:hAnsi="仿宋" w:eastAsia="仿宋"/>
                <w:color w:val="auto"/>
                <w:sz w:val="24"/>
              </w:rPr>
            </w:pPr>
          </w:p>
        </w:tc>
        <w:tc>
          <w:tcPr>
            <w:tcW w:w="1743" w:type="dxa"/>
            <w:vAlign w:val="center"/>
          </w:tcPr>
          <w:p w14:paraId="477D45C2">
            <w:pPr>
              <w:shd w:val="solid" w:color="FFFFFF" w:fill="auto"/>
              <w:autoSpaceDN w:val="0"/>
              <w:jc w:val="center"/>
              <w:rPr>
                <w:rFonts w:hint="default" w:ascii="仿宋" w:hAnsi="仿宋" w:eastAsia="仿宋" w:cs="黑体"/>
                <w:color w:val="auto"/>
                <w:sz w:val="24"/>
                <w:szCs w:val="22"/>
                <w:lang w:val="en-US" w:eastAsia="zh-CN"/>
              </w:rPr>
            </w:pPr>
            <w:r>
              <w:rPr>
                <w:rFonts w:hint="eastAsia" w:ascii="仿宋" w:hAnsi="仿宋" w:eastAsia="仿宋"/>
                <w:color w:val="auto"/>
                <w:sz w:val="24"/>
              </w:rPr>
              <w:t>1</w:t>
            </w:r>
            <w:r>
              <w:rPr>
                <w:rFonts w:hint="eastAsia" w:ascii="仿宋" w:hAnsi="仿宋" w:eastAsia="仿宋"/>
                <w:color w:val="auto"/>
                <w:sz w:val="24"/>
                <w:lang w:val="en-US" w:eastAsia="zh-CN"/>
              </w:rPr>
              <w:t>5</w:t>
            </w:r>
            <w:r>
              <w:rPr>
                <w:rFonts w:hint="eastAsia" w:ascii="仿宋" w:hAnsi="仿宋" w:eastAsia="仿宋"/>
                <w:color w:val="auto"/>
                <w:sz w:val="24"/>
              </w:rPr>
              <w:t>:</w:t>
            </w:r>
            <w:r>
              <w:rPr>
                <w:rFonts w:hint="eastAsia" w:ascii="仿宋" w:hAnsi="仿宋" w:eastAsia="仿宋"/>
                <w:color w:val="auto"/>
                <w:sz w:val="24"/>
                <w:lang w:val="en-US" w:eastAsia="zh-CN"/>
              </w:rPr>
              <w:t>10</w:t>
            </w:r>
            <w:r>
              <w:rPr>
                <w:rFonts w:hint="eastAsia" w:ascii="仿宋" w:hAnsi="仿宋" w:eastAsia="仿宋"/>
                <w:color w:val="auto"/>
                <w:sz w:val="24"/>
              </w:rPr>
              <w:t>-1</w:t>
            </w:r>
            <w:r>
              <w:rPr>
                <w:rFonts w:hint="eastAsia" w:ascii="仿宋" w:hAnsi="仿宋" w:eastAsia="仿宋"/>
                <w:color w:val="auto"/>
                <w:sz w:val="24"/>
                <w:lang w:val="en-US" w:eastAsia="zh-CN"/>
              </w:rPr>
              <w:t>7</w:t>
            </w:r>
            <w:r>
              <w:rPr>
                <w:rFonts w:hint="eastAsia" w:ascii="仿宋" w:hAnsi="仿宋" w:eastAsia="仿宋"/>
                <w:color w:val="auto"/>
                <w:sz w:val="24"/>
              </w:rPr>
              <w:t>:</w:t>
            </w:r>
            <w:r>
              <w:rPr>
                <w:rFonts w:hint="eastAsia" w:ascii="仿宋" w:hAnsi="仿宋" w:eastAsia="仿宋"/>
                <w:color w:val="auto"/>
                <w:sz w:val="24"/>
                <w:lang w:val="en-US" w:eastAsia="zh-CN"/>
              </w:rPr>
              <w:t>1</w:t>
            </w:r>
            <w:r>
              <w:rPr>
                <w:rFonts w:hint="eastAsia" w:ascii="仿宋" w:hAnsi="仿宋" w:eastAsia="仿宋"/>
                <w:color w:val="auto"/>
                <w:sz w:val="24"/>
              </w:rPr>
              <w:t>0</w:t>
            </w:r>
          </w:p>
        </w:tc>
        <w:tc>
          <w:tcPr>
            <w:tcW w:w="2860" w:type="dxa"/>
            <w:vAlign w:val="center"/>
          </w:tcPr>
          <w:p w14:paraId="26BD4662">
            <w:pPr>
              <w:shd w:val="solid" w:color="FFFFFF" w:fill="auto"/>
              <w:autoSpaceDN w:val="0"/>
              <w:jc w:val="center"/>
              <w:rPr>
                <w:rFonts w:hint="eastAsia" w:ascii="仿宋" w:hAnsi="仿宋" w:eastAsia="仿宋"/>
                <w:color w:val="auto"/>
                <w:sz w:val="24"/>
              </w:rPr>
            </w:pPr>
            <w:r>
              <w:rPr>
                <w:rFonts w:hint="eastAsia" w:ascii="仿宋" w:hAnsi="仿宋" w:eastAsia="仿宋" w:cs="仿宋"/>
                <w:i w:val="0"/>
                <w:iCs w:val="0"/>
                <w:caps w:val="0"/>
                <w:color w:val="auto"/>
                <w:spacing w:val="0"/>
                <w:kern w:val="0"/>
                <w:sz w:val="24"/>
                <w:szCs w:val="24"/>
                <w:lang w:val="en-US" w:eastAsia="zh-CN" w:bidi="ar"/>
              </w:rPr>
              <w:t>项目方案</w:t>
            </w:r>
            <w:r>
              <w:rPr>
                <w:rFonts w:hint="eastAsia" w:ascii="仿宋" w:hAnsi="仿宋" w:eastAsia="仿宋"/>
                <w:color w:val="auto"/>
                <w:sz w:val="24"/>
              </w:rPr>
              <w:t>展示与答辩</w:t>
            </w:r>
          </w:p>
        </w:tc>
        <w:tc>
          <w:tcPr>
            <w:tcW w:w="1675" w:type="dxa"/>
            <w:vAlign w:val="center"/>
          </w:tcPr>
          <w:p w14:paraId="6C849053">
            <w:pPr>
              <w:shd w:val="solid" w:color="FFFFFF" w:fill="auto"/>
              <w:autoSpaceDN w:val="0"/>
              <w:jc w:val="center"/>
              <w:rPr>
                <w:rFonts w:hint="eastAsia" w:ascii="仿宋" w:hAnsi="仿宋" w:eastAsia="仿宋"/>
                <w:color w:val="auto"/>
                <w:sz w:val="24"/>
              </w:rPr>
            </w:pPr>
            <w:r>
              <w:rPr>
                <w:rFonts w:hint="eastAsia" w:ascii="仿宋" w:hAnsi="仿宋" w:eastAsia="仿宋"/>
                <w:color w:val="auto"/>
                <w:sz w:val="24"/>
              </w:rPr>
              <w:t>参赛选手、现场裁判</w:t>
            </w:r>
          </w:p>
        </w:tc>
        <w:tc>
          <w:tcPr>
            <w:tcW w:w="1304" w:type="dxa"/>
            <w:vAlign w:val="center"/>
          </w:tcPr>
          <w:p w14:paraId="10C73BC9">
            <w:pPr>
              <w:shd w:val="solid" w:color="FFFFFF" w:fill="auto"/>
              <w:autoSpaceDN w:val="0"/>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答辩室</w:t>
            </w:r>
          </w:p>
        </w:tc>
      </w:tr>
      <w:tr w14:paraId="21D19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165" w:type="dxa"/>
            <w:vMerge w:val="continue"/>
            <w:vAlign w:val="center"/>
          </w:tcPr>
          <w:p w14:paraId="12764BA0">
            <w:pPr>
              <w:pStyle w:val="5"/>
              <w:jc w:val="center"/>
              <w:rPr>
                <w:rFonts w:hint="eastAsia" w:ascii="仿宋" w:hAnsi="仿宋" w:eastAsia="仿宋"/>
                <w:color w:val="auto"/>
                <w:sz w:val="24"/>
              </w:rPr>
            </w:pPr>
          </w:p>
        </w:tc>
        <w:tc>
          <w:tcPr>
            <w:tcW w:w="1743" w:type="dxa"/>
            <w:shd w:val="clear" w:color="auto" w:fill="auto"/>
            <w:vAlign w:val="center"/>
          </w:tcPr>
          <w:p w14:paraId="2C421A03">
            <w:pPr>
              <w:pStyle w:val="7"/>
              <w:jc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17:10-17:20</w:t>
            </w:r>
          </w:p>
        </w:tc>
        <w:tc>
          <w:tcPr>
            <w:tcW w:w="2860" w:type="dxa"/>
            <w:shd w:val="clear" w:color="auto" w:fill="auto"/>
            <w:vAlign w:val="center"/>
          </w:tcPr>
          <w:p w14:paraId="19C8BD64">
            <w:pPr>
              <w:shd w:val="solid" w:color="FFFFFF" w:fill="auto"/>
              <w:autoSpaceDN w:val="0"/>
              <w:jc w:val="center"/>
              <w:rPr>
                <w:rFonts w:hint="eastAsia" w:ascii="仿宋" w:hAnsi="仿宋" w:eastAsia="仿宋"/>
                <w:color w:val="auto"/>
                <w:sz w:val="24"/>
                <w:lang w:val="en-US" w:eastAsia="zh-CN"/>
              </w:rPr>
            </w:pPr>
            <w:r>
              <w:rPr>
                <w:rFonts w:hint="eastAsia" w:ascii="仿宋" w:hAnsi="仿宋" w:eastAsia="仿宋"/>
                <w:color w:val="auto"/>
                <w:sz w:val="24"/>
              </w:rPr>
              <w:t>申诉受理</w:t>
            </w:r>
          </w:p>
        </w:tc>
        <w:tc>
          <w:tcPr>
            <w:tcW w:w="1675" w:type="dxa"/>
            <w:shd w:val="clear" w:color="auto" w:fill="auto"/>
            <w:vAlign w:val="center"/>
          </w:tcPr>
          <w:p w14:paraId="50CDCD53">
            <w:pPr>
              <w:shd w:val="solid" w:color="FFFFFF" w:fill="auto"/>
              <w:autoSpaceDN w:val="0"/>
              <w:jc w:val="center"/>
              <w:rPr>
                <w:rFonts w:hint="eastAsia" w:ascii="仿宋" w:hAnsi="仿宋" w:eastAsia="仿宋"/>
                <w:color w:val="auto"/>
                <w:sz w:val="24"/>
                <w:lang w:val="en-US" w:eastAsia="zh-CN"/>
              </w:rPr>
            </w:pPr>
            <w:r>
              <w:rPr>
                <w:rFonts w:ascii="仿宋" w:hAnsi="仿宋" w:eastAsia="仿宋"/>
                <w:color w:val="auto"/>
                <w:sz w:val="24"/>
              </w:rPr>
              <w:t>参赛选手、现场裁判</w:t>
            </w:r>
          </w:p>
        </w:tc>
        <w:tc>
          <w:tcPr>
            <w:tcW w:w="1304" w:type="dxa"/>
            <w:shd w:val="clear" w:color="auto" w:fill="auto"/>
            <w:vAlign w:val="center"/>
          </w:tcPr>
          <w:p w14:paraId="2D113AD2">
            <w:pPr>
              <w:shd w:val="solid" w:color="FFFFFF" w:fill="auto"/>
              <w:autoSpaceDN w:val="0"/>
              <w:jc w:val="center"/>
              <w:rPr>
                <w:rFonts w:ascii="仿宋" w:hAnsi="仿宋" w:eastAsia="仿宋"/>
                <w:color w:val="auto"/>
                <w:sz w:val="24"/>
              </w:rPr>
            </w:pPr>
            <w:r>
              <w:rPr>
                <w:rFonts w:ascii="仿宋" w:hAnsi="仿宋" w:eastAsia="仿宋"/>
                <w:color w:val="auto"/>
                <w:sz w:val="24"/>
              </w:rPr>
              <w:t>监督</w:t>
            </w:r>
          </w:p>
          <w:p w14:paraId="68E351B3">
            <w:pPr>
              <w:shd w:val="solid" w:color="FFFFFF" w:fill="auto"/>
              <w:autoSpaceDN w:val="0"/>
              <w:jc w:val="center"/>
              <w:rPr>
                <w:rFonts w:hint="eastAsia" w:ascii="仿宋" w:hAnsi="仿宋" w:eastAsia="仿宋"/>
                <w:color w:val="auto"/>
                <w:sz w:val="24"/>
                <w:lang w:val="en-US" w:eastAsia="zh-CN"/>
              </w:rPr>
            </w:pPr>
            <w:r>
              <w:rPr>
                <w:rFonts w:ascii="仿宋" w:hAnsi="仿宋" w:eastAsia="仿宋"/>
                <w:color w:val="auto"/>
                <w:sz w:val="24"/>
              </w:rPr>
              <w:t>仲裁室</w:t>
            </w:r>
          </w:p>
        </w:tc>
      </w:tr>
      <w:tr w14:paraId="47DD1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165" w:type="dxa"/>
            <w:vMerge w:val="continue"/>
          </w:tcPr>
          <w:p w14:paraId="149AB7BE">
            <w:pPr>
              <w:pStyle w:val="5"/>
              <w:jc w:val="center"/>
              <w:rPr>
                <w:rFonts w:hint="eastAsia" w:ascii="仿宋" w:hAnsi="仿宋" w:eastAsia="仿宋"/>
                <w:color w:val="auto"/>
                <w:sz w:val="24"/>
              </w:rPr>
            </w:pPr>
          </w:p>
        </w:tc>
        <w:tc>
          <w:tcPr>
            <w:tcW w:w="1743" w:type="dxa"/>
            <w:shd w:val="clear" w:color="auto" w:fill="auto"/>
            <w:vAlign w:val="center"/>
          </w:tcPr>
          <w:p w14:paraId="4AC03710">
            <w:pPr>
              <w:pStyle w:val="7"/>
              <w:jc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17:10-17:20</w:t>
            </w:r>
          </w:p>
        </w:tc>
        <w:tc>
          <w:tcPr>
            <w:tcW w:w="2860" w:type="dxa"/>
            <w:shd w:val="clear" w:color="auto" w:fill="auto"/>
            <w:vAlign w:val="center"/>
          </w:tcPr>
          <w:p w14:paraId="028EBB4F">
            <w:pPr>
              <w:shd w:val="solid" w:color="FFFFFF" w:fill="auto"/>
              <w:autoSpaceDN w:val="0"/>
              <w:jc w:val="center"/>
              <w:rPr>
                <w:rFonts w:hint="eastAsia" w:ascii="仿宋" w:hAnsi="仿宋" w:eastAsia="仿宋"/>
                <w:color w:val="auto"/>
                <w:sz w:val="24"/>
                <w:lang w:val="en-US" w:eastAsia="zh-CN"/>
              </w:rPr>
            </w:pPr>
            <w:r>
              <w:rPr>
                <w:rFonts w:hint="eastAsia" w:ascii="仿宋" w:hAnsi="仿宋" w:eastAsia="仿宋"/>
                <w:color w:val="auto"/>
                <w:sz w:val="24"/>
              </w:rPr>
              <w:t>评分核分</w:t>
            </w:r>
          </w:p>
        </w:tc>
        <w:tc>
          <w:tcPr>
            <w:tcW w:w="0" w:type="auto"/>
            <w:shd w:val="clear" w:color="auto" w:fill="auto"/>
            <w:vAlign w:val="center"/>
          </w:tcPr>
          <w:p w14:paraId="6ABC8942">
            <w:pPr>
              <w:shd w:val="solid" w:color="FFFFFF" w:fill="auto"/>
              <w:autoSpaceDN w:val="0"/>
              <w:jc w:val="center"/>
              <w:rPr>
                <w:rFonts w:hint="eastAsia" w:ascii="仿宋" w:hAnsi="仿宋" w:eastAsia="仿宋"/>
                <w:color w:val="auto"/>
                <w:sz w:val="24"/>
                <w:lang w:val="en-US" w:eastAsia="zh-CN"/>
              </w:rPr>
            </w:pPr>
            <w:r>
              <w:rPr>
                <w:rFonts w:ascii="仿宋" w:hAnsi="仿宋" w:eastAsia="仿宋"/>
                <w:color w:val="auto"/>
                <w:sz w:val="24"/>
              </w:rPr>
              <w:t>裁判长、评分裁判</w:t>
            </w:r>
          </w:p>
        </w:tc>
        <w:tc>
          <w:tcPr>
            <w:tcW w:w="0" w:type="auto"/>
            <w:shd w:val="clear" w:color="auto" w:fill="auto"/>
            <w:vAlign w:val="center"/>
          </w:tcPr>
          <w:p w14:paraId="3711A4C0">
            <w:pPr>
              <w:shd w:val="solid" w:color="FFFFFF" w:fill="auto"/>
              <w:autoSpaceDN w:val="0"/>
              <w:jc w:val="center"/>
              <w:rPr>
                <w:rFonts w:hint="eastAsia" w:ascii="仿宋" w:hAnsi="仿宋" w:eastAsia="仿宋"/>
                <w:color w:val="auto"/>
                <w:sz w:val="24"/>
                <w:lang w:val="en-US" w:eastAsia="zh-CN"/>
              </w:rPr>
            </w:pPr>
            <w:r>
              <w:rPr>
                <w:rFonts w:ascii="仿宋" w:hAnsi="仿宋" w:eastAsia="仿宋"/>
                <w:color w:val="auto"/>
                <w:sz w:val="24"/>
              </w:rPr>
              <w:t>裁判评分室</w:t>
            </w:r>
          </w:p>
        </w:tc>
      </w:tr>
      <w:tr w14:paraId="6795C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165" w:type="dxa"/>
            <w:vMerge w:val="continue"/>
          </w:tcPr>
          <w:p w14:paraId="2D329CA7">
            <w:pPr>
              <w:pStyle w:val="5"/>
              <w:jc w:val="center"/>
              <w:rPr>
                <w:rFonts w:hint="eastAsia" w:ascii="仿宋" w:hAnsi="仿宋" w:eastAsia="仿宋"/>
                <w:color w:val="auto"/>
                <w:sz w:val="24"/>
              </w:rPr>
            </w:pPr>
          </w:p>
        </w:tc>
        <w:tc>
          <w:tcPr>
            <w:tcW w:w="1743" w:type="dxa"/>
            <w:shd w:val="clear" w:color="auto" w:fill="auto"/>
            <w:vAlign w:val="center"/>
          </w:tcPr>
          <w:p w14:paraId="3073D17D">
            <w:pPr>
              <w:pStyle w:val="7"/>
              <w:jc w:val="center"/>
              <w:rPr>
                <w:rFonts w:hint="default"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17:20-17:30</w:t>
            </w:r>
          </w:p>
        </w:tc>
        <w:tc>
          <w:tcPr>
            <w:tcW w:w="2860" w:type="dxa"/>
            <w:shd w:val="clear" w:color="auto" w:fill="auto"/>
            <w:vAlign w:val="center"/>
          </w:tcPr>
          <w:p w14:paraId="209ED756">
            <w:pPr>
              <w:shd w:val="solid" w:color="FFFFFF" w:fill="auto"/>
              <w:autoSpaceDN w:val="0"/>
              <w:jc w:val="center"/>
              <w:rPr>
                <w:rFonts w:hint="eastAsia" w:ascii="仿宋" w:hAnsi="仿宋" w:eastAsia="仿宋"/>
                <w:color w:val="auto"/>
                <w:sz w:val="24"/>
                <w:lang w:val="en-US" w:eastAsia="zh-CN"/>
              </w:rPr>
            </w:pPr>
            <w:r>
              <w:rPr>
                <w:rFonts w:hint="eastAsia" w:ascii="仿宋" w:hAnsi="仿宋" w:eastAsia="仿宋"/>
                <w:color w:val="auto"/>
                <w:sz w:val="24"/>
              </w:rPr>
              <w:t>抽检复核</w:t>
            </w:r>
          </w:p>
        </w:tc>
        <w:tc>
          <w:tcPr>
            <w:tcW w:w="0" w:type="auto"/>
            <w:shd w:val="clear" w:color="auto" w:fill="auto"/>
            <w:vAlign w:val="center"/>
          </w:tcPr>
          <w:p w14:paraId="5166BDC3">
            <w:pPr>
              <w:shd w:val="solid" w:color="FFFFFF" w:fill="auto"/>
              <w:autoSpaceDN w:val="0"/>
              <w:jc w:val="center"/>
              <w:rPr>
                <w:rFonts w:hint="eastAsia" w:ascii="仿宋" w:hAnsi="仿宋" w:eastAsia="仿宋"/>
                <w:color w:val="auto"/>
                <w:sz w:val="24"/>
                <w:lang w:val="en-US" w:eastAsia="zh-CN"/>
              </w:rPr>
            </w:pPr>
            <w:r>
              <w:rPr>
                <w:rFonts w:ascii="仿宋" w:hAnsi="仿宋" w:eastAsia="仿宋"/>
                <w:color w:val="auto"/>
                <w:sz w:val="24"/>
              </w:rPr>
              <w:t>裁判长、评分裁判</w:t>
            </w:r>
          </w:p>
        </w:tc>
        <w:tc>
          <w:tcPr>
            <w:tcW w:w="0" w:type="auto"/>
            <w:shd w:val="clear" w:color="auto" w:fill="auto"/>
            <w:vAlign w:val="center"/>
          </w:tcPr>
          <w:p w14:paraId="34345F1C">
            <w:pPr>
              <w:shd w:val="solid" w:color="FFFFFF" w:fill="auto"/>
              <w:autoSpaceDN w:val="0"/>
              <w:jc w:val="center"/>
              <w:rPr>
                <w:rFonts w:hint="eastAsia" w:ascii="仿宋" w:hAnsi="仿宋" w:eastAsia="仿宋"/>
                <w:color w:val="auto"/>
                <w:sz w:val="24"/>
                <w:lang w:val="en-US" w:eastAsia="zh-CN"/>
              </w:rPr>
            </w:pPr>
            <w:r>
              <w:rPr>
                <w:rFonts w:ascii="仿宋" w:hAnsi="仿宋" w:eastAsia="仿宋"/>
                <w:color w:val="auto"/>
                <w:sz w:val="24"/>
              </w:rPr>
              <w:t>裁判评分室</w:t>
            </w:r>
          </w:p>
        </w:tc>
      </w:tr>
      <w:tr w14:paraId="7CDA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165" w:type="dxa"/>
            <w:vMerge w:val="continue"/>
          </w:tcPr>
          <w:p w14:paraId="7C6A13AE">
            <w:pPr>
              <w:pStyle w:val="5"/>
              <w:jc w:val="center"/>
              <w:rPr>
                <w:rFonts w:hint="eastAsia" w:ascii="仿宋" w:hAnsi="仿宋" w:eastAsia="仿宋"/>
                <w:color w:val="auto"/>
                <w:sz w:val="24"/>
              </w:rPr>
            </w:pPr>
          </w:p>
        </w:tc>
        <w:tc>
          <w:tcPr>
            <w:tcW w:w="1743" w:type="dxa"/>
            <w:shd w:val="clear" w:color="auto" w:fill="auto"/>
            <w:vAlign w:val="center"/>
          </w:tcPr>
          <w:p w14:paraId="13149FEB">
            <w:pPr>
              <w:pStyle w:val="7"/>
              <w:jc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17:30-18:00</w:t>
            </w:r>
          </w:p>
        </w:tc>
        <w:tc>
          <w:tcPr>
            <w:tcW w:w="2860" w:type="dxa"/>
            <w:shd w:val="clear" w:color="auto" w:fill="auto"/>
            <w:vAlign w:val="center"/>
          </w:tcPr>
          <w:p w14:paraId="520D90FF">
            <w:pPr>
              <w:shd w:val="solid" w:color="FFFFFF" w:fill="auto"/>
              <w:autoSpaceDN w:val="0"/>
              <w:jc w:val="center"/>
              <w:rPr>
                <w:rFonts w:hint="eastAsia" w:ascii="仿宋" w:hAnsi="仿宋" w:eastAsia="仿宋"/>
                <w:color w:val="auto"/>
                <w:sz w:val="24"/>
                <w:lang w:val="en-US" w:eastAsia="zh-CN"/>
              </w:rPr>
            </w:pPr>
            <w:r>
              <w:rPr>
                <w:rFonts w:hint="eastAsia" w:ascii="仿宋" w:hAnsi="仿宋" w:eastAsia="仿宋"/>
                <w:color w:val="auto"/>
                <w:sz w:val="24"/>
                <w:lang w:val="en-US" w:eastAsia="zh-CN"/>
              </w:rPr>
              <w:t>成绩汇总报送，成绩公布</w:t>
            </w:r>
          </w:p>
        </w:tc>
        <w:tc>
          <w:tcPr>
            <w:tcW w:w="0" w:type="auto"/>
            <w:shd w:val="clear" w:color="auto" w:fill="auto"/>
            <w:vAlign w:val="center"/>
          </w:tcPr>
          <w:p w14:paraId="4E2D9858">
            <w:pPr>
              <w:shd w:val="solid" w:color="FFFFFF" w:fill="auto"/>
              <w:autoSpaceDN w:val="0"/>
              <w:jc w:val="center"/>
              <w:rPr>
                <w:rFonts w:hint="eastAsia" w:ascii="仿宋" w:hAnsi="仿宋" w:eastAsia="仿宋"/>
                <w:color w:val="auto"/>
                <w:sz w:val="24"/>
                <w:lang w:val="en-US" w:eastAsia="zh-CN"/>
              </w:rPr>
            </w:pPr>
            <w:r>
              <w:rPr>
                <w:rFonts w:ascii="仿宋" w:hAnsi="仿宋" w:eastAsia="仿宋"/>
                <w:color w:val="auto"/>
                <w:sz w:val="24"/>
              </w:rPr>
              <w:t>评分裁判、裁判长</w:t>
            </w:r>
          </w:p>
        </w:tc>
        <w:tc>
          <w:tcPr>
            <w:tcW w:w="0" w:type="auto"/>
            <w:shd w:val="clear" w:color="auto" w:fill="auto"/>
            <w:vAlign w:val="center"/>
          </w:tcPr>
          <w:p w14:paraId="6F7DDB4D">
            <w:pPr>
              <w:shd w:val="solid" w:color="FFFFFF" w:fill="auto"/>
              <w:autoSpaceDN w:val="0"/>
              <w:jc w:val="center"/>
              <w:rPr>
                <w:rFonts w:hint="eastAsia" w:ascii="仿宋" w:hAnsi="仿宋" w:eastAsia="仿宋"/>
                <w:color w:val="auto"/>
                <w:sz w:val="24"/>
                <w:lang w:val="en-US" w:eastAsia="zh-CN"/>
              </w:rPr>
            </w:pPr>
            <w:r>
              <w:rPr>
                <w:rFonts w:ascii="仿宋" w:hAnsi="仿宋" w:eastAsia="仿宋"/>
                <w:color w:val="auto"/>
                <w:sz w:val="24"/>
              </w:rPr>
              <w:t>竞赛场地</w:t>
            </w:r>
          </w:p>
        </w:tc>
      </w:tr>
    </w:tbl>
    <w:p w14:paraId="2AE32F93">
      <w:pPr>
        <w:adjustRightInd w:val="0"/>
        <w:snapToGrid w:val="0"/>
        <w:spacing w:line="560" w:lineRule="exact"/>
        <w:ind w:firstLine="548" w:firstLineChars="196"/>
        <w:rPr>
          <w:rFonts w:hint="eastAsia" w:ascii="仿宋" w:hAnsi="仿宋" w:eastAsia="仿宋"/>
          <w:color w:val="auto"/>
          <w:sz w:val="28"/>
          <w:szCs w:val="28"/>
        </w:rPr>
      </w:pPr>
      <w:r>
        <w:rPr>
          <w:rFonts w:hint="eastAsia" w:ascii="仿宋" w:hAnsi="仿宋" w:eastAsia="仿宋"/>
          <w:color w:val="auto"/>
          <w:sz w:val="28"/>
          <w:szCs w:val="28"/>
        </w:rPr>
        <w:t>备注：</w:t>
      </w:r>
      <w:r>
        <w:rPr>
          <w:rFonts w:hint="eastAsia" w:ascii="仿宋" w:hAnsi="仿宋" w:eastAsia="仿宋" w:cs="Times New Roman"/>
          <w:color w:val="auto"/>
          <w:sz w:val="28"/>
          <w:szCs w:val="28"/>
          <w:lang w:val="en-US" w:eastAsia="zh-CN"/>
        </w:rPr>
        <w:t>项目方案</w:t>
      </w:r>
      <w:r>
        <w:rPr>
          <w:rFonts w:hint="eastAsia" w:ascii="仿宋" w:hAnsi="仿宋" w:eastAsia="仿宋"/>
          <w:color w:val="auto"/>
          <w:sz w:val="28"/>
          <w:szCs w:val="28"/>
        </w:rPr>
        <w:t>展示P</w:t>
      </w:r>
      <w:r>
        <w:rPr>
          <w:rFonts w:hint="eastAsia" w:ascii="仿宋" w:hAnsi="仿宋" w:eastAsia="仿宋"/>
          <w:color w:val="auto"/>
          <w:sz w:val="28"/>
          <w:szCs w:val="28"/>
          <w:lang w:val="en-US" w:eastAsia="zh-CN"/>
        </w:rPr>
        <w:t>PT</w:t>
      </w:r>
      <w:r>
        <w:rPr>
          <w:rFonts w:hint="eastAsia" w:ascii="仿宋" w:hAnsi="仿宋" w:eastAsia="仿宋"/>
          <w:color w:val="auto"/>
          <w:sz w:val="28"/>
          <w:szCs w:val="28"/>
        </w:rPr>
        <w:t>需在第四阶段开始前统一提交。</w:t>
      </w:r>
    </w:p>
    <w:p w14:paraId="45C85EF1">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lang w:val="en-US" w:eastAsia="zh-CN"/>
        </w:rPr>
      </w:pPr>
      <w:bookmarkStart w:id="8" w:name="_Toc8772"/>
      <w:r>
        <w:rPr>
          <w:rFonts w:hint="eastAsia" w:ascii="黑体" w:hAnsi="黑体" w:eastAsia="黑体"/>
          <w:color w:val="auto"/>
          <w:spacing w:val="-10"/>
          <w:kern w:val="0"/>
          <w:sz w:val="32"/>
          <w:szCs w:val="32"/>
          <w:lang w:val="en-US" w:eastAsia="zh-CN"/>
        </w:rPr>
        <w:t>四、</w:t>
      </w:r>
      <w:r>
        <w:rPr>
          <w:rFonts w:hint="eastAsia" w:ascii="黑体" w:hAnsi="黑体" w:eastAsia="黑体"/>
          <w:color w:val="auto"/>
          <w:spacing w:val="-10"/>
          <w:kern w:val="0"/>
          <w:sz w:val="32"/>
          <w:szCs w:val="32"/>
          <w:lang w:eastAsia="zh-CN"/>
        </w:rPr>
        <w:t>参赛资格和报名办法</w:t>
      </w:r>
    </w:p>
    <w:p w14:paraId="23BAC4DF">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参赛队及参赛选手资格。高职院校参赛选手须为高等学校全日制在籍高职高专类学生，参赛选手年龄不超过25周岁（即2002年5月1日及以后出生）</w:t>
      </w:r>
      <w:r>
        <w:rPr>
          <w:rFonts w:hint="eastAsia" w:ascii="Times New Roman" w:hAnsi="Times New Roman" w:cs="Times New Roman"/>
          <w:color w:val="auto"/>
          <w:kern w:val="2"/>
          <w:sz w:val="28"/>
          <w:szCs w:val="28"/>
          <w:lang w:val="en-US" w:eastAsia="zh-CN"/>
        </w:rPr>
        <w:t>；</w:t>
      </w:r>
      <w:r>
        <w:rPr>
          <w:rFonts w:hint="eastAsia" w:ascii="Times New Roman" w:hAnsi="Times New Roman" w:eastAsia="仿宋_GB2312" w:cs="Times New Roman"/>
          <w:color w:val="auto"/>
          <w:kern w:val="2"/>
          <w:sz w:val="28"/>
          <w:szCs w:val="28"/>
          <w:lang w:val="en-US" w:eastAsia="zh-CN"/>
        </w:rPr>
        <w:t>五年制学生报名参赛的，四、五年级学生可参加本次大赛。在 2025 年世界职业院校技能大赛争夺赛中获一等奖的选手，不能再参加今年同一项目 （同一组别）的全省竞赛。</w:t>
      </w:r>
    </w:p>
    <w:p w14:paraId="6217BB2D">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竞赛以线下比赛形式进行，竞赛组队方式为团体组队竞赛方式。每支参赛队由</w:t>
      </w:r>
      <w:r>
        <w:rPr>
          <w:rFonts w:hint="eastAsia" w:eastAsia="仿宋_GB2312" w:cs="Times New Roman"/>
          <w:color w:val="auto"/>
          <w:kern w:val="2"/>
          <w:sz w:val="28"/>
          <w:szCs w:val="28"/>
          <w:lang w:val="en-US" w:eastAsia="zh-CN"/>
        </w:rPr>
        <w:t>3</w:t>
      </w:r>
      <w:r>
        <w:rPr>
          <w:rFonts w:hint="eastAsia" w:ascii="Times New Roman" w:hAnsi="Times New Roman" w:eastAsia="仿宋_GB2312" w:cs="Times New Roman"/>
          <w:color w:val="auto"/>
          <w:kern w:val="2"/>
          <w:sz w:val="28"/>
          <w:szCs w:val="28"/>
          <w:lang w:val="en-US" w:eastAsia="zh-CN"/>
        </w:rPr>
        <w:t>名选手组成，每校限报</w:t>
      </w:r>
      <w:r>
        <w:rPr>
          <w:rFonts w:hint="eastAsia" w:eastAsia="仿宋_GB2312" w:cs="Times New Roman"/>
          <w:color w:val="auto"/>
          <w:sz w:val="28"/>
          <w:szCs w:val="28"/>
          <w:lang w:val="en-US" w:eastAsia="zh-CN"/>
        </w:rPr>
        <w:t>2</w:t>
      </w:r>
      <w:r>
        <w:rPr>
          <w:rFonts w:hint="eastAsia" w:ascii="Times New Roman" w:hAnsi="Times New Roman" w:eastAsia="仿宋_GB2312" w:cs="Times New Roman"/>
          <w:color w:val="auto"/>
          <w:sz w:val="28"/>
          <w:szCs w:val="28"/>
          <w:lang w:val="en-US" w:eastAsia="zh-CN"/>
        </w:rPr>
        <w:t>队，不得跨校组队，竞赛期间不允许指导教师进入赛场进行现场指导。</w:t>
      </w:r>
    </w:p>
    <w:p w14:paraId="2A765FF9">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报名时间：高职组：10 月 26 日—31 日。</w:t>
      </w:r>
    </w:p>
    <w:p w14:paraId="23AA5698">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报名方式</w:t>
      </w:r>
      <w:r>
        <w:rPr>
          <w:rFonts w:hint="eastAsia" w:ascii="Times New Roman" w:hAnsi="Times New Roman" w:cs="Times New Roman"/>
          <w:color w:val="auto"/>
          <w:kern w:val="2"/>
          <w:sz w:val="28"/>
          <w:szCs w:val="28"/>
          <w:lang w:val="en-US" w:eastAsia="zh-CN"/>
        </w:rPr>
        <w:t>：</w:t>
      </w:r>
      <w:r>
        <w:rPr>
          <w:rFonts w:hint="eastAsia" w:ascii="Times New Roman" w:hAnsi="Times New Roman" w:eastAsia="仿宋_GB2312" w:cs="Times New Roman"/>
          <w:color w:val="auto"/>
          <w:sz w:val="28"/>
          <w:szCs w:val="28"/>
          <w:lang w:val="en-US" w:eastAsia="zh-CN"/>
        </w:rPr>
        <w:t>参赛校分别以学校用户名登录组委会办公室指定</w:t>
      </w:r>
      <w:r>
        <w:rPr>
          <w:rFonts w:hint="eastAsia" w:ascii="Times New Roman" w:hAnsi="Times New Roman" w:cs="Times New Roman"/>
          <w:color w:val="auto"/>
          <w:sz w:val="28"/>
          <w:szCs w:val="28"/>
          <w:lang w:val="en-US" w:eastAsia="zh-CN"/>
        </w:rPr>
        <w:t>报名</w:t>
      </w:r>
      <w:r>
        <w:rPr>
          <w:rFonts w:hint="eastAsia" w:ascii="Times New Roman" w:hAnsi="Times New Roman" w:eastAsia="仿宋_GB2312" w:cs="Times New Roman"/>
          <w:color w:val="auto"/>
          <w:sz w:val="28"/>
          <w:szCs w:val="28"/>
          <w:lang w:val="en-US" w:eastAsia="zh-CN"/>
        </w:rPr>
        <w:t>平台，实行网上报名。</w:t>
      </w:r>
    </w:p>
    <w:p w14:paraId="34496630">
      <w:pPr>
        <w:keepNext/>
        <w:keepLines w:val="0"/>
        <w:pageBreakBefore w:val="0"/>
        <w:widowControl w:val="0"/>
        <w:numPr>
          <w:ilvl w:val="0"/>
          <w:numId w:val="3"/>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比赛时间：2026年11月27日报到，11月28日比赛。时间如有变动以省教育厅通知为准。</w:t>
      </w:r>
    </w:p>
    <w:p w14:paraId="564970F7">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rPr>
      </w:pPr>
      <w:r>
        <w:rPr>
          <w:rFonts w:hint="eastAsia" w:ascii="黑体" w:hAnsi="黑体" w:eastAsia="黑体"/>
          <w:color w:val="auto"/>
          <w:spacing w:val="-10"/>
          <w:kern w:val="0"/>
          <w:sz w:val="32"/>
          <w:szCs w:val="32"/>
        </w:rPr>
        <w:t>五、竞赛试题</w:t>
      </w:r>
      <w:bookmarkEnd w:id="8"/>
    </w:p>
    <w:p w14:paraId="3F22CED0">
      <w:pPr>
        <w:adjustRightInd w:val="0"/>
        <w:snapToGrid w:val="0"/>
        <w:spacing w:line="560" w:lineRule="exact"/>
        <w:ind w:firstLine="548" w:firstLineChars="196"/>
        <w:rPr>
          <w:rFonts w:hint="eastAsia" w:ascii="仿宋" w:hAnsi="仿宋" w:eastAsia="仿宋"/>
          <w:color w:val="auto"/>
          <w:sz w:val="28"/>
          <w:szCs w:val="28"/>
        </w:rPr>
      </w:pPr>
      <w:r>
        <w:rPr>
          <w:rFonts w:hint="eastAsia" w:ascii="仿宋" w:hAnsi="仿宋" w:eastAsia="仿宋"/>
          <w:color w:val="auto"/>
          <w:sz w:val="28"/>
          <w:szCs w:val="28"/>
        </w:rPr>
        <w:t>本赛项的命题工作由赛项执委会指定的命题专家组负责，按照竞赛规程的内容要求，在方向和难度上依据教育部颁发的职业院校相关专业人才培养标准和国家职业标准，结合高职信息安全与管理专业人才培养要求和信息安全企业岗位需要进行设计。</w:t>
      </w:r>
      <w:r>
        <w:rPr>
          <w:rFonts w:hint="eastAsia" w:ascii="仿宋" w:hAnsi="仿宋" w:eastAsia="仿宋"/>
          <w:color w:val="auto"/>
          <w:sz w:val="28"/>
          <w:szCs w:val="28"/>
          <w:lang w:val="en-US" w:eastAsia="zh-CN"/>
        </w:rPr>
        <w:t>项目</w:t>
      </w:r>
      <w:r>
        <w:rPr>
          <w:rFonts w:hint="eastAsia" w:ascii="仿宋" w:hAnsi="仿宋" w:eastAsia="仿宋"/>
          <w:color w:val="auto"/>
          <w:sz w:val="28"/>
          <w:szCs w:val="28"/>
        </w:rPr>
        <w:t>方案展示环节的命题指引（如汇报要点、评分维度）将由命题专家组一并提供</w:t>
      </w:r>
    </w:p>
    <w:p w14:paraId="2F0F40A6">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rPr>
      </w:pPr>
      <w:bookmarkStart w:id="9" w:name="_Toc22955"/>
      <w:r>
        <w:rPr>
          <w:rFonts w:hint="eastAsia" w:ascii="黑体" w:hAnsi="黑体" w:eastAsia="黑体"/>
          <w:color w:val="auto"/>
          <w:spacing w:val="-10"/>
          <w:kern w:val="0"/>
          <w:sz w:val="32"/>
          <w:szCs w:val="32"/>
        </w:rPr>
        <w:t>六、竞赛规则</w:t>
      </w:r>
      <w:bookmarkEnd w:id="9"/>
    </w:p>
    <w:p w14:paraId="269B65BB">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（一）报名资格</w:t>
      </w:r>
    </w:p>
    <w:p w14:paraId="3520AB18">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参赛选手须为高等职业学校专科、高等职业学校本科全日制在籍学生。五年制高职四、五年级学生可以报名参赛。原则上参赛选手经过各级选拔产生。在往届</w:t>
      </w:r>
      <w:r>
        <w:rPr>
          <w:rFonts w:hint="eastAsia" w:ascii="仿宋" w:hAnsi="仿宋" w:eastAsia="仿宋" w:cs="Times New Roman"/>
          <w:color w:val="auto"/>
          <w:sz w:val="28"/>
          <w:szCs w:val="28"/>
        </w:rPr>
        <w:t>全国职业院校技能大赛中获本赛项一等奖的选手不再允许参加本赛项竞赛。高职组参赛选手年龄不超过25周岁（即2002年5月1日及以后出生）。</w:t>
      </w:r>
    </w:p>
    <w:p w14:paraId="7C8D3918">
      <w:pPr>
        <w:adjustRightInd w:val="0"/>
        <w:snapToGrid w:val="0"/>
        <w:spacing w:line="560" w:lineRule="exact"/>
        <w:ind w:firstLine="548" w:firstLineChars="196"/>
        <w:rPr>
          <w:rFonts w:hint="eastAsia" w:ascii="仿宋" w:hAnsi="仿宋" w:eastAsia="仿宋"/>
          <w:color w:val="auto"/>
          <w:sz w:val="28"/>
          <w:szCs w:val="28"/>
          <w:highlight w:val="none"/>
        </w:rPr>
      </w:pPr>
      <w:r>
        <w:rPr>
          <w:rFonts w:hint="eastAsia" w:ascii="仿宋" w:hAnsi="仿宋" w:eastAsia="仿宋"/>
          <w:color w:val="auto"/>
          <w:sz w:val="28"/>
          <w:szCs w:val="28"/>
        </w:rPr>
        <w:t>（二）竞赛工位通过抽签决定，竞赛期间参赛选手不得离开竞赛工位。</w:t>
      </w:r>
    </w:p>
    <w:p w14:paraId="6FC09D1A">
      <w:pPr>
        <w:adjustRightInd w:val="0"/>
        <w:snapToGrid w:val="0"/>
        <w:spacing w:line="56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w:t>
      </w:r>
      <w:r>
        <w:rPr>
          <w:rFonts w:ascii="仿宋" w:hAnsi="仿宋" w:eastAsia="仿宋"/>
          <w:color w:val="auto"/>
          <w:sz w:val="28"/>
          <w:szCs w:val="28"/>
          <w:highlight w:val="none"/>
        </w:rPr>
        <w:t>）</w:t>
      </w:r>
      <w:r>
        <w:rPr>
          <w:rFonts w:hint="eastAsia" w:ascii="仿宋" w:hAnsi="仿宋" w:eastAsia="仿宋"/>
          <w:color w:val="auto"/>
          <w:sz w:val="28"/>
          <w:szCs w:val="28"/>
          <w:highlight w:val="none"/>
        </w:rPr>
        <w:t>竞赛所需的</w:t>
      </w:r>
      <w:r>
        <w:rPr>
          <w:rFonts w:hint="eastAsia" w:ascii="仿宋" w:hAnsi="仿宋" w:eastAsia="仿宋"/>
          <w:color w:val="auto"/>
          <w:sz w:val="28"/>
          <w:szCs w:val="28"/>
          <w:highlight w:val="none"/>
          <w:lang w:val="en-US" w:eastAsia="zh-CN"/>
        </w:rPr>
        <w:t>竞赛平台、电脑</w:t>
      </w:r>
      <w:r>
        <w:rPr>
          <w:rFonts w:hint="eastAsia" w:ascii="仿宋" w:hAnsi="仿宋" w:eastAsia="仿宋"/>
          <w:color w:val="auto"/>
          <w:sz w:val="28"/>
          <w:szCs w:val="28"/>
          <w:highlight w:val="none"/>
        </w:rPr>
        <w:t>和由赛项执委会统一安排，参赛选手不得自带硬件设备、软件、移动存储、辅助工具、移动通信等进入竞赛现场。</w:t>
      </w:r>
    </w:p>
    <w:p w14:paraId="39BA7DBB">
      <w:pPr>
        <w:adjustRightInd w:val="0"/>
        <w:snapToGrid w:val="0"/>
        <w:spacing w:line="560" w:lineRule="exact"/>
        <w:ind w:left="560"/>
        <w:rPr>
          <w:rFonts w:hint="eastAsia" w:ascii="仿宋" w:hAnsi="仿宋" w:eastAsia="仿宋"/>
          <w:color w:val="auto"/>
          <w:sz w:val="28"/>
          <w:szCs w:val="28"/>
        </w:rPr>
      </w:pPr>
      <w:r>
        <w:rPr>
          <w:rFonts w:hint="eastAsia" w:ascii="仿宋" w:hAnsi="仿宋" w:eastAsia="仿宋"/>
          <w:color w:val="auto"/>
          <w:sz w:val="28"/>
          <w:szCs w:val="28"/>
        </w:rPr>
        <w:t>（四</w:t>
      </w:r>
      <w:r>
        <w:rPr>
          <w:rFonts w:ascii="仿宋" w:hAnsi="仿宋" w:eastAsia="仿宋"/>
          <w:color w:val="auto"/>
          <w:sz w:val="28"/>
          <w:szCs w:val="28"/>
        </w:rPr>
        <w:t>）</w:t>
      </w:r>
      <w:r>
        <w:rPr>
          <w:rFonts w:hint="eastAsia" w:ascii="仿宋" w:hAnsi="仿宋" w:eastAsia="仿宋"/>
          <w:color w:val="auto"/>
          <w:sz w:val="28"/>
          <w:szCs w:val="28"/>
        </w:rPr>
        <w:t>参赛队自行决定选手分工、工作程序和时间安排。</w:t>
      </w:r>
    </w:p>
    <w:p w14:paraId="4F9F78D6">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（五</w:t>
      </w:r>
      <w:r>
        <w:rPr>
          <w:rFonts w:ascii="仿宋" w:hAnsi="仿宋" w:eastAsia="仿宋"/>
          <w:color w:val="auto"/>
          <w:sz w:val="28"/>
          <w:szCs w:val="28"/>
        </w:rPr>
        <w:t>）</w:t>
      </w:r>
      <w:r>
        <w:rPr>
          <w:rFonts w:hint="eastAsia" w:ascii="仿宋" w:hAnsi="仿宋" w:eastAsia="仿宋"/>
          <w:color w:val="auto"/>
          <w:sz w:val="28"/>
          <w:szCs w:val="28"/>
        </w:rPr>
        <w:t>参赛队在赛前10分钟进入竞赛工位并领取竞赛任务，竞赛正式开始后方可展开相关工作。</w:t>
      </w:r>
    </w:p>
    <w:p w14:paraId="2ABD6144">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（六</w:t>
      </w:r>
      <w:r>
        <w:rPr>
          <w:rFonts w:ascii="仿宋" w:hAnsi="仿宋" w:eastAsia="仿宋"/>
          <w:color w:val="auto"/>
          <w:sz w:val="28"/>
          <w:szCs w:val="28"/>
        </w:rPr>
        <w:t>）</w:t>
      </w:r>
      <w:r>
        <w:rPr>
          <w:rFonts w:hint="eastAsia" w:ascii="仿宋" w:hAnsi="仿宋" w:eastAsia="仿宋"/>
          <w:color w:val="auto"/>
          <w:sz w:val="28"/>
          <w:szCs w:val="28"/>
        </w:rPr>
        <w:t>竞赛过程中，选手须严格遵守操作规程，确保人身及设备安全，并接受裁判员的监督和警示。若因选手因素造成设备故障或损坏，无法继续竞赛，裁判长有权决定终止该队竞赛；若因非参赛选手个人因素造成设备故障，由裁判长视具体情况作出裁决。</w:t>
      </w:r>
    </w:p>
    <w:p w14:paraId="00300813">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（七</w:t>
      </w:r>
      <w:r>
        <w:rPr>
          <w:rFonts w:ascii="仿宋" w:hAnsi="仿宋" w:eastAsia="仿宋"/>
          <w:color w:val="auto"/>
          <w:sz w:val="28"/>
          <w:szCs w:val="28"/>
        </w:rPr>
        <w:t>）</w:t>
      </w:r>
      <w:r>
        <w:rPr>
          <w:rFonts w:hint="eastAsia" w:ascii="仿宋" w:hAnsi="仿宋" w:eastAsia="仿宋"/>
          <w:color w:val="auto"/>
          <w:sz w:val="28"/>
          <w:szCs w:val="28"/>
        </w:rPr>
        <w:t>竞赛结束（或提前完成）后，参赛队要确认已成功提交所有竞赛文档，裁判员与参赛队队长一起确认，参赛队在确认后不得再进行任何操作。</w:t>
      </w:r>
    </w:p>
    <w:p w14:paraId="7548CC32">
      <w:pPr>
        <w:widowControl/>
        <w:shd w:val="clear" w:color="auto" w:fill="FFFFFF"/>
        <w:spacing w:line="560" w:lineRule="exact"/>
        <w:ind w:firstLine="600" w:firstLineChars="200"/>
        <w:jc w:val="left"/>
        <w:outlineLvl w:val="1"/>
        <w:rPr>
          <w:rFonts w:hint="eastAsia" w:ascii="黑体" w:hAnsi="黑体" w:eastAsia="黑体"/>
          <w:color w:val="auto"/>
          <w:spacing w:val="-10"/>
          <w:kern w:val="0"/>
          <w:sz w:val="32"/>
          <w:szCs w:val="32"/>
        </w:rPr>
      </w:pPr>
      <w:bookmarkStart w:id="10" w:name="_Toc23684"/>
      <w:r>
        <w:rPr>
          <w:rFonts w:hint="eastAsia" w:ascii="黑体" w:hAnsi="黑体" w:eastAsia="黑体"/>
          <w:color w:val="auto"/>
          <w:spacing w:val="-10"/>
          <w:kern w:val="0"/>
          <w:sz w:val="32"/>
          <w:szCs w:val="32"/>
        </w:rPr>
        <w:t>七、竞赛环境</w:t>
      </w:r>
      <w:bookmarkEnd w:id="10"/>
    </w:p>
    <w:p w14:paraId="51A65B29">
      <w:pPr>
        <w:adjustRightInd w:val="0"/>
        <w:snapToGrid w:val="0"/>
        <w:spacing w:line="560" w:lineRule="exact"/>
        <w:ind w:firstLine="548" w:firstLineChars="196"/>
        <w:rPr>
          <w:rFonts w:hint="eastAsia" w:ascii="仿宋" w:hAnsi="仿宋" w:eastAsia="仿宋"/>
          <w:color w:val="auto"/>
          <w:sz w:val="28"/>
          <w:szCs w:val="28"/>
        </w:rPr>
      </w:pPr>
      <w:r>
        <w:rPr>
          <w:rFonts w:hint="eastAsia" w:ascii="仿宋" w:hAnsi="仿宋" w:eastAsia="仿宋"/>
          <w:color w:val="auto"/>
          <w:sz w:val="28"/>
          <w:szCs w:val="28"/>
        </w:rPr>
        <w:t>竞赛工位配备220V电源，工位内的电缆线应符合安全要求。确保参赛队之间互不干扰。竞赛工位标明工位号，并配备竞赛平台和技术工作要求的软、硬件。环境标准要求保证赛场采光(大于500lux)、照明和通风良好。赛场另</w:t>
      </w:r>
      <w:r>
        <w:rPr>
          <w:rFonts w:hint="eastAsia" w:ascii="仿宋" w:hAnsi="仿宋" w:eastAsia="仿宋" w:cs="Times New Roman"/>
          <w:color w:val="auto"/>
          <w:sz w:val="28"/>
          <w:szCs w:val="28"/>
        </w:rPr>
        <w:t>设独立的</w:t>
      </w:r>
      <w:r>
        <w:rPr>
          <w:rFonts w:hint="eastAsia" w:ascii="仿宋" w:hAnsi="仿宋" w:eastAsia="仿宋" w:cs="Times New Roman"/>
          <w:color w:val="auto"/>
          <w:sz w:val="28"/>
          <w:szCs w:val="28"/>
          <w:lang w:val="en-US" w:eastAsia="zh-CN"/>
        </w:rPr>
        <w:t>项目方案</w:t>
      </w:r>
      <w:r>
        <w:rPr>
          <w:rFonts w:hint="eastAsia" w:ascii="仿宋" w:hAnsi="仿宋" w:eastAsia="仿宋" w:cs="Times New Roman"/>
          <w:color w:val="auto"/>
          <w:sz w:val="28"/>
          <w:szCs w:val="28"/>
        </w:rPr>
        <w:t>展示</w:t>
      </w:r>
      <w:r>
        <w:rPr>
          <w:rFonts w:hint="eastAsia" w:ascii="仿宋" w:hAnsi="仿宋" w:eastAsia="仿宋"/>
          <w:color w:val="auto"/>
          <w:sz w:val="28"/>
          <w:szCs w:val="28"/>
        </w:rPr>
        <w:t>与答辩区，配备投影设备、计算机及计时装置。</w:t>
      </w:r>
    </w:p>
    <w:p w14:paraId="396F7A13">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rPr>
      </w:pPr>
      <w:bookmarkStart w:id="11" w:name="_Toc4988"/>
      <w:r>
        <w:rPr>
          <w:rFonts w:hint="eastAsia" w:ascii="黑体" w:hAnsi="黑体" w:eastAsia="黑体"/>
          <w:color w:val="auto"/>
          <w:spacing w:val="-10"/>
          <w:kern w:val="0"/>
          <w:sz w:val="32"/>
          <w:szCs w:val="32"/>
        </w:rPr>
        <w:t>八、技术规范</w:t>
      </w:r>
      <w:bookmarkEnd w:id="11"/>
    </w:p>
    <w:p w14:paraId="1BCBA457">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该赛项涉及的信息网络安全工程在设计、组建过程中，主要有以下7项国家标准，参赛队在实施竞赛项目中要求遵循如下规范：</w:t>
      </w:r>
    </w:p>
    <w:p w14:paraId="5F5ACC96">
      <w:pPr>
        <w:adjustRightInd w:val="0"/>
        <w:snapToGrid w:val="0"/>
        <w:spacing w:line="560" w:lineRule="exact"/>
        <w:ind w:firstLine="560" w:firstLineChars="200"/>
        <w:rPr>
          <w:rFonts w:hint="eastAsia" w:ascii="仿宋" w:hAnsi="仿宋" w:eastAsia="仿宋"/>
          <w:color w:val="auto"/>
          <w:sz w:val="28"/>
          <w:szCs w:val="28"/>
        </w:rPr>
      </w:pPr>
    </w:p>
    <w:tbl>
      <w:tblPr>
        <w:tblStyle w:val="11"/>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961"/>
        <w:gridCol w:w="5631"/>
      </w:tblGrid>
      <w:tr w14:paraId="48CD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04" w:type="dxa"/>
            <w:vAlign w:val="center"/>
          </w:tcPr>
          <w:p w14:paraId="1FE2D7B5">
            <w:pPr>
              <w:adjustRightInd w:val="0"/>
              <w:snapToGrid w:val="0"/>
              <w:jc w:val="center"/>
              <w:rPr>
                <w:rFonts w:hint="eastAsia" w:ascii="仿宋" w:hAnsi="仿宋" w:eastAsia="仿宋"/>
                <w:b/>
                <w:bCs/>
                <w:color w:val="auto"/>
                <w:kern w:val="0"/>
                <w:sz w:val="24"/>
              </w:rPr>
            </w:pPr>
            <w:r>
              <w:rPr>
                <w:rFonts w:hint="eastAsia" w:ascii="仿宋" w:hAnsi="仿宋" w:eastAsia="仿宋"/>
                <w:b/>
                <w:bCs/>
                <w:color w:val="auto"/>
                <w:kern w:val="0"/>
                <w:sz w:val="24"/>
              </w:rPr>
              <w:t>序号</w:t>
            </w:r>
          </w:p>
        </w:tc>
        <w:tc>
          <w:tcPr>
            <w:tcW w:w="1961" w:type="dxa"/>
            <w:vAlign w:val="center"/>
          </w:tcPr>
          <w:p w14:paraId="199A99FF">
            <w:pPr>
              <w:adjustRightInd w:val="0"/>
              <w:snapToGrid w:val="0"/>
              <w:jc w:val="center"/>
              <w:rPr>
                <w:rFonts w:hint="eastAsia" w:ascii="仿宋" w:hAnsi="仿宋" w:eastAsia="仿宋"/>
                <w:b/>
                <w:bCs/>
                <w:color w:val="auto"/>
                <w:kern w:val="0"/>
                <w:sz w:val="24"/>
              </w:rPr>
            </w:pPr>
            <w:r>
              <w:rPr>
                <w:rFonts w:hint="eastAsia" w:ascii="仿宋" w:hAnsi="仿宋" w:eastAsia="仿宋"/>
                <w:b/>
                <w:bCs/>
                <w:color w:val="auto"/>
                <w:kern w:val="0"/>
                <w:sz w:val="24"/>
              </w:rPr>
              <w:t>标准号</w:t>
            </w:r>
          </w:p>
        </w:tc>
        <w:tc>
          <w:tcPr>
            <w:tcW w:w="5631" w:type="dxa"/>
            <w:vAlign w:val="center"/>
          </w:tcPr>
          <w:p w14:paraId="3BC0BB3D">
            <w:pPr>
              <w:adjustRightInd w:val="0"/>
              <w:snapToGrid w:val="0"/>
              <w:jc w:val="center"/>
              <w:rPr>
                <w:rFonts w:hint="eastAsia" w:ascii="仿宋" w:hAnsi="仿宋" w:eastAsia="仿宋"/>
                <w:b/>
                <w:bCs/>
                <w:color w:val="auto"/>
                <w:kern w:val="0"/>
                <w:sz w:val="24"/>
              </w:rPr>
            </w:pPr>
            <w:r>
              <w:rPr>
                <w:rFonts w:hint="eastAsia" w:ascii="仿宋" w:hAnsi="仿宋" w:eastAsia="仿宋"/>
                <w:b/>
                <w:bCs/>
                <w:color w:val="auto"/>
                <w:kern w:val="0"/>
                <w:sz w:val="24"/>
              </w:rPr>
              <w:t>中文标准名称</w:t>
            </w:r>
          </w:p>
        </w:tc>
      </w:tr>
      <w:tr w14:paraId="40464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704" w:type="dxa"/>
            <w:vAlign w:val="center"/>
          </w:tcPr>
          <w:p w14:paraId="45CD8940">
            <w:pPr>
              <w:adjustRightInd w:val="0"/>
              <w:snapToGrid w:val="0"/>
              <w:jc w:val="center"/>
              <w:rPr>
                <w:rFonts w:hint="eastAsia" w:ascii="仿宋" w:hAnsi="仿宋" w:eastAsia="仿宋"/>
                <w:color w:val="auto"/>
                <w:kern w:val="0"/>
                <w:sz w:val="24"/>
              </w:rPr>
            </w:pPr>
            <w:r>
              <w:rPr>
                <w:rFonts w:ascii="仿宋" w:hAnsi="仿宋" w:eastAsia="仿宋"/>
                <w:color w:val="auto"/>
                <w:kern w:val="0"/>
                <w:sz w:val="24"/>
              </w:rPr>
              <w:t>1</w:t>
            </w:r>
          </w:p>
        </w:tc>
        <w:tc>
          <w:tcPr>
            <w:tcW w:w="1961" w:type="dxa"/>
            <w:vAlign w:val="center"/>
          </w:tcPr>
          <w:p w14:paraId="18D57814">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GB17859-1999</w:t>
            </w:r>
          </w:p>
        </w:tc>
        <w:tc>
          <w:tcPr>
            <w:tcW w:w="5631" w:type="dxa"/>
            <w:vAlign w:val="center"/>
          </w:tcPr>
          <w:p w14:paraId="79BE0865">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《计算机信息系统安全保护等级划分准则》</w:t>
            </w:r>
          </w:p>
        </w:tc>
      </w:tr>
      <w:tr w14:paraId="70918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704" w:type="dxa"/>
            <w:vAlign w:val="center"/>
          </w:tcPr>
          <w:p w14:paraId="0C2B95DD">
            <w:pPr>
              <w:adjustRightInd w:val="0"/>
              <w:snapToGrid w:val="0"/>
              <w:jc w:val="center"/>
              <w:rPr>
                <w:rFonts w:hint="eastAsia" w:ascii="仿宋" w:hAnsi="仿宋" w:eastAsia="仿宋"/>
                <w:color w:val="auto"/>
                <w:kern w:val="0"/>
                <w:sz w:val="24"/>
              </w:rPr>
            </w:pPr>
            <w:r>
              <w:rPr>
                <w:rFonts w:ascii="仿宋" w:hAnsi="仿宋" w:eastAsia="仿宋"/>
                <w:color w:val="auto"/>
                <w:kern w:val="0"/>
                <w:sz w:val="24"/>
              </w:rPr>
              <w:t>2</w:t>
            </w:r>
          </w:p>
        </w:tc>
        <w:tc>
          <w:tcPr>
            <w:tcW w:w="1961" w:type="dxa"/>
            <w:vAlign w:val="center"/>
          </w:tcPr>
          <w:p w14:paraId="5950B554">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GB/T20271-2006</w:t>
            </w:r>
          </w:p>
        </w:tc>
        <w:tc>
          <w:tcPr>
            <w:tcW w:w="5631" w:type="dxa"/>
            <w:vAlign w:val="center"/>
          </w:tcPr>
          <w:p w14:paraId="042F15BC">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《信息安全技术信息系统通用安全技术要求》</w:t>
            </w:r>
          </w:p>
        </w:tc>
      </w:tr>
      <w:tr w14:paraId="4C6C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04" w:type="dxa"/>
            <w:vAlign w:val="center"/>
          </w:tcPr>
          <w:p w14:paraId="5F53DFE7">
            <w:pPr>
              <w:adjustRightInd w:val="0"/>
              <w:snapToGrid w:val="0"/>
              <w:jc w:val="center"/>
              <w:rPr>
                <w:rFonts w:hint="eastAsia" w:ascii="仿宋" w:hAnsi="仿宋" w:eastAsia="仿宋"/>
                <w:color w:val="auto"/>
                <w:kern w:val="0"/>
                <w:sz w:val="24"/>
              </w:rPr>
            </w:pPr>
            <w:r>
              <w:rPr>
                <w:rFonts w:ascii="仿宋" w:hAnsi="仿宋" w:eastAsia="仿宋"/>
                <w:color w:val="auto"/>
                <w:kern w:val="0"/>
                <w:sz w:val="24"/>
              </w:rPr>
              <w:t>3</w:t>
            </w:r>
          </w:p>
        </w:tc>
        <w:tc>
          <w:tcPr>
            <w:tcW w:w="1961" w:type="dxa"/>
            <w:vAlign w:val="center"/>
          </w:tcPr>
          <w:p w14:paraId="7D2C75AA">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GB/T20270-2006</w:t>
            </w:r>
          </w:p>
        </w:tc>
        <w:tc>
          <w:tcPr>
            <w:tcW w:w="5631" w:type="dxa"/>
            <w:vAlign w:val="center"/>
          </w:tcPr>
          <w:p w14:paraId="082A02F8">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《信息安全技术网络基础安全技术要求》</w:t>
            </w:r>
          </w:p>
        </w:tc>
      </w:tr>
      <w:tr w14:paraId="27BF4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04" w:type="dxa"/>
            <w:vAlign w:val="center"/>
          </w:tcPr>
          <w:p w14:paraId="67C9CECA">
            <w:pPr>
              <w:adjustRightInd w:val="0"/>
              <w:snapToGrid w:val="0"/>
              <w:jc w:val="center"/>
              <w:rPr>
                <w:rFonts w:hint="eastAsia" w:ascii="仿宋" w:hAnsi="仿宋" w:eastAsia="仿宋"/>
                <w:color w:val="auto"/>
                <w:kern w:val="0"/>
                <w:sz w:val="24"/>
              </w:rPr>
            </w:pPr>
            <w:r>
              <w:rPr>
                <w:rFonts w:ascii="仿宋" w:hAnsi="仿宋" w:eastAsia="仿宋"/>
                <w:color w:val="auto"/>
                <w:kern w:val="0"/>
                <w:sz w:val="24"/>
              </w:rPr>
              <w:t>4</w:t>
            </w:r>
          </w:p>
        </w:tc>
        <w:tc>
          <w:tcPr>
            <w:tcW w:w="1961" w:type="dxa"/>
            <w:vAlign w:val="center"/>
          </w:tcPr>
          <w:p w14:paraId="44145D56">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GB/T20272-2006</w:t>
            </w:r>
          </w:p>
        </w:tc>
        <w:tc>
          <w:tcPr>
            <w:tcW w:w="5631" w:type="dxa"/>
            <w:vAlign w:val="center"/>
          </w:tcPr>
          <w:p w14:paraId="0B48B1A3">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《信息安全技术操作系统安全技术要求》</w:t>
            </w:r>
          </w:p>
        </w:tc>
      </w:tr>
      <w:tr w14:paraId="02545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04" w:type="dxa"/>
            <w:vAlign w:val="center"/>
          </w:tcPr>
          <w:p w14:paraId="3B5D4821">
            <w:pPr>
              <w:adjustRightInd w:val="0"/>
              <w:snapToGrid w:val="0"/>
              <w:jc w:val="center"/>
              <w:rPr>
                <w:rFonts w:hint="eastAsia" w:ascii="仿宋" w:hAnsi="仿宋" w:eastAsia="仿宋"/>
                <w:color w:val="auto"/>
                <w:kern w:val="0"/>
                <w:sz w:val="24"/>
              </w:rPr>
            </w:pPr>
            <w:r>
              <w:rPr>
                <w:rFonts w:ascii="仿宋" w:hAnsi="仿宋" w:eastAsia="仿宋"/>
                <w:color w:val="auto"/>
                <w:kern w:val="0"/>
                <w:sz w:val="24"/>
              </w:rPr>
              <w:t>5</w:t>
            </w:r>
          </w:p>
        </w:tc>
        <w:tc>
          <w:tcPr>
            <w:tcW w:w="1961" w:type="dxa"/>
            <w:vAlign w:val="center"/>
          </w:tcPr>
          <w:p w14:paraId="158B825A">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GB/T20273-2006</w:t>
            </w:r>
          </w:p>
        </w:tc>
        <w:tc>
          <w:tcPr>
            <w:tcW w:w="5631" w:type="dxa"/>
            <w:vAlign w:val="center"/>
          </w:tcPr>
          <w:p w14:paraId="3935FD13">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《信息安全技术数据库管理系统安全技术要求》</w:t>
            </w:r>
          </w:p>
        </w:tc>
      </w:tr>
      <w:tr w14:paraId="176E6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04" w:type="dxa"/>
            <w:vAlign w:val="center"/>
          </w:tcPr>
          <w:p w14:paraId="5146222B">
            <w:pPr>
              <w:adjustRightInd w:val="0"/>
              <w:snapToGrid w:val="0"/>
              <w:jc w:val="center"/>
              <w:rPr>
                <w:rFonts w:hint="eastAsia" w:ascii="仿宋" w:hAnsi="仿宋" w:eastAsia="仿宋"/>
                <w:color w:val="auto"/>
                <w:kern w:val="0"/>
                <w:sz w:val="24"/>
              </w:rPr>
            </w:pPr>
            <w:r>
              <w:rPr>
                <w:rFonts w:hint="eastAsia" w:ascii="仿宋" w:hAnsi="仿宋" w:eastAsia="仿宋"/>
                <w:color w:val="auto"/>
                <w:kern w:val="0"/>
                <w:sz w:val="24"/>
              </w:rPr>
              <w:t>6</w:t>
            </w:r>
          </w:p>
        </w:tc>
        <w:tc>
          <w:tcPr>
            <w:tcW w:w="1961" w:type="dxa"/>
            <w:vAlign w:val="center"/>
          </w:tcPr>
          <w:p w14:paraId="4F3B98E2">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GA/T671-2006</w:t>
            </w:r>
          </w:p>
        </w:tc>
        <w:tc>
          <w:tcPr>
            <w:tcW w:w="5631" w:type="dxa"/>
            <w:vAlign w:val="center"/>
          </w:tcPr>
          <w:p w14:paraId="0EEC28C2">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《信息安全技术终端计算机系统安全等级技术要求》</w:t>
            </w:r>
          </w:p>
        </w:tc>
      </w:tr>
      <w:tr w14:paraId="7C85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704" w:type="dxa"/>
            <w:vAlign w:val="center"/>
          </w:tcPr>
          <w:p w14:paraId="67D7B597">
            <w:pPr>
              <w:adjustRightInd w:val="0"/>
              <w:snapToGrid w:val="0"/>
              <w:jc w:val="center"/>
              <w:rPr>
                <w:rFonts w:hint="eastAsia" w:ascii="仿宋" w:hAnsi="仿宋" w:eastAsia="仿宋"/>
                <w:color w:val="auto"/>
                <w:kern w:val="0"/>
                <w:sz w:val="24"/>
              </w:rPr>
            </w:pPr>
            <w:r>
              <w:rPr>
                <w:rFonts w:hint="eastAsia" w:ascii="仿宋" w:hAnsi="仿宋" w:eastAsia="仿宋"/>
                <w:color w:val="auto"/>
                <w:kern w:val="0"/>
                <w:sz w:val="24"/>
              </w:rPr>
              <w:t>7</w:t>
            </w:r>
          </w:p>
        </w:tc>
        <w:tc>
          <w:tcPr>
            <w:tcW w:w="1961" w:type="dxa"/>
            <w:vAlign w:val="center"/>
          </w:tcPr>
          <w:p w14:paraId="1DA0190F">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GB/T20269-2006</w:t>
            </w:r>
          </w:p>
        </w:tc>
        <w:tc>
          <w:tcPr>
            <w:tcW w:w="5631" w:type="dxa"/>
            <w:vAlign w:val="center"/>
          </w:tcPr>
          <w:p w14:paraId="5743BB09">
            <w:pPr>
              <w:adjustRightInd w:val="0"/>
              <w:snapToGrid w:val="0"/>
              <w:rPr>
                <w:rFonts w:hint="eastAsia" w:ascii="仿宋" w:hAnsi="仿宋" w:eastAsia="仿宋"/>
                <w:color w:val="auto"/>
                <w:kern w:val="0"/>
                <w:sz w:val="24"/>
              </w:rPr>
            </w:pPr>
            <w:r>
              <w:rPr>
                <w:rFonts w:hint="eastAsia" w:ascii="仿宋" w:hAnsi="仿宋" w:eastAsia="仿宋"/>
                <w:color w:val="auto"/>
                <w:kern w:val="0"/>
                <w:sz w:val="24"/>
              </w:rPr>
              <w:t>《信息安全技术信息系统安全管理要求》</w:t>
            </w:r>
          </w:p>
        </w:tc>
      </w:tr>
    </w:tbl>
    <w:p w14:paraId="7E915A5E">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rPr>
      </w:pPr>
      <w:bookmarkStart w:id="12" w:name="_Toc16379"/>
      <w:r>
        <w:rPr>
          <w:rFonts w:hint="eastAsia" w:ascii="黑体" w:hAnsi="黑体" w:eastAsia="黑体"/>
          <w:color w:val="auto"/>
          <w:spacing w:val="-10"/>
          <w:kern w:val="0"/>
          <w:sz w:val="32"/>
          <w:szCs w:val="32"/>
        </w:rPr>
        <w:t>九、技术平台</w:t>
      </w:r>
      <w:bookmarkEnd w:id="12"/>
    </w:p>
    <w:p w14:paraId="5B5A19E8">
      <w:pPr>
        <w:adjustRightInd w:val="0"/>
        <w:snapToGrid w:val="0"/>
        <w:spacing w:line="560" w:lineRule="exact"/>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rPr>
        <w:t>赛项执委会提供以下竞赛设备</w:t>
      </w:r>
      <w:r>
        <w:rPr>
          <w:rFonts w:hint="eastAsia" w:ascii="仿宋" w:hAnsi="仿宋" w:eastAsia="仿宋"/>
          <w:color w:val="auto"/>
          <w:sz w:val="28"/>
          <w:szCs w:val="28"/>
          <w:lang w:eastAsia="zh-CN"/>
        </w:rPr>
        <w:t>：</w:t>
      </w:r>
    </w:p>
    <w:tbl>
      <w:tblPr>
        <w:tblStyle w:val="18"/>
        <w:tblW w:w="8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1396"/>
        <w:gridCol w:w="4933"/>
        <w:gridCol w:w="749"/>
        <w:gridCol w:w="757"/>
      </w:tblGrid>
      <w:tr w14:paraId="06457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663" w:type="dxa"/>
            <w:vAlign w:val="center"/>
          </w:tcPr>
          <w:p w14:paraId="290D4887">
            <w:pPr>
              <w:pStyle w:val="17"/>
              <w:spacing w:before="87" w:line="221" w:lineRule="auto"/>
              <w:ind w:left="119"/>
              <w:jc w:val="center"/>
              <w:rPr>
                <w:rFonts w:hint="eastAsia" w:ascii="仿宋-简" w:hAnsi="仿宋-简" w:eastAsia="仿宋-简" w:cs="仿宋-简"/>
                <w:color w:val="auto"/>
                <w:sz w:val="24"/>
                <w:szCs w:val="24"/>
              </w:rPr>
            </w:pPr>
            <w:r>
              <w:rPr>
                <w:rFonts w:hint="eastAsia" w:ascii="仿宋-简" w:hAnsi="仿宋-简" w:eastAsia="仿宋-简" w:cs="仿宋-简"/>
                <w:color w:val="auto"/>
                <w:spacing w:val="-5"/>
                <w:sz w:val="24"/>
                <w:szCs w:val="24"/>
              </w:rPr>
              <w:t>序号</w:t>
            </w:r>
          </w:p>
        </w:tc>
        <w:tc>
          <w:tcPr>
            <w:tcW w:w="1396" w:type="dxa"/>
            <w:vAlign w:val="center"/>
          </w:tcPr>
          <w:p w14:paraId="49855544">
            <w:pPr>
              <w:pStyle w:val="17"/>
              <w:spacing w:before="88" w:line="221" w:lineRule="auto"/>
              <w:ind w:left="514"/>
              <w:jc w:val="both"/>
              <w:rPr>
                <w:rFonts w:hint="eastAsia" w:ascii="仿宋-简" w:hAnsi="仿宋-简" w:eastAsia="仿宋-简" w:cs="仿宋-简"/>
                <w:color w:val="auto"/>
                <w:sz w:val="24"/>
                <w:szCs w:val="24"/>
              </w:rPr>
            </w:pPr>
            <w:r>
              <w:rPr>
                <w:rFonts w:hint="eastAsia" w:ascii="仿宋-简" w:hAnsi="仿宋-简" w:eastAsia="仿宋-简" w:cs="仿宋-简"/>
                <w:color w:val="auto"/>
                <w:spacing w:val="-7"/>
                <w:sz w:val="24"/>
                <w:szCs w:val="24"/>
              </w:rPr>
              <w:t>名称</w:t>
            </w:r>
          </w:p>
        </w:tc>
        <w:tc>
          <w:tcPr>
            <w:tcW w:w="4933" w:type="dxa"/>
            <w:vAlign w:val="center"/>
          </w:tcPr>
          <w:p w14:paraId="5C328D6C">
            <w:pPr>
              <w:pStyle w:val="17"/>
              <w:spacing w:before="88" w:line="219" w:lineRule="auto"/>
              <w:ind w:left="1577"/>
              <w:jc w:val="both"/>
              <w:rPr>
                <w:rFonts w:hint="eastAsia" w:ascii="仿宋-简" w:hAnsi="仿宋-简" w:eastAsia="仿宋-简" w:cs="仿宋-简"/>
                <w:color w:val="auto"/>
                <w:sz w:val="24"/>
                <w:szCs w:val="24"/>
              </w:rPr>
            </w:pPr>
            <w:r>
              <w:rPr>
                <w:rFonts w:hint="eastAsia" w:ascii="仿宋-简" w:hAnsi="仿宋-简" w:eastAsia="仿宋-简" w:cs="仿宋-简"/>
                <w:color w:val="auto"/>
                <w:spacing w:val="-3"/>
                <w:sz w:val="24"/>
                <w:szCs w:val="24"/>
              </w:rPr>
              <w:t>品牌/型号/技术参数</w:t>
            </w:r>
          </w:p>
        </w:tc>
        <w:tc>
          <w:tcPr>
            <w:tcW w:w="749" w:type="dxa"/>
            <w:vAlign w:val="center"/>
          </w:tcPr>
          <w:p w14:paraId="057EFFDB">
            <w:pPr>
              <w:pStyle w:val="17"/>
              <w:spacing w:before="87" w:line="220" w:lineRule="auto"/>
              <w:ind w:left="171"/>
              <w:jc w:val="both"/>
              <w:rPr>
                <w:rFonts w:hint="eastAsia" w:ascii="仿宋-简" w:hAnsi="仿宋-简" w:eastAsia="仿宋-简" w:cs="仿宋-简"/>
                <w:color w:val="auto"/>
                <w:sz w:val="24"/>
                <w:szCs w:val="24"/>
              </w:rPr>
            </w:pPr>
            <w:r>
              <w:rPr>
                <w:rFonts w:hint="eastAsia" w:ascii="仿宋-简" w:hAnsi="仿宋-简" w:eastAsia="仿宋-简" w:cs="仿宋-简"/>
                <w:color w:val="auto"/>
                <w:spacing w:val="-6"/>
                <w:sz w:val="24"/>
                <w:szCs w:val="24"/>
              </w:rPr>
              <w:t>单位</w:t>
            </w:r>
          </w:p>
        </w:tc>
        <w:tc>
          <w:tcPr>
            <w:tcW w:w="757" w:type="dxa"/>
            <w:vAlign w:val="center"/>
          </w:tcPr>
          <w:p w14:paraId="4E54B23F">
            <w:pPr>
              <w:pStyle w:val="17"/>
              <w:spacing w:before="88" w:line="219" w:lineRule="auto"/>
              <w:ind w:left="173"/>
              <w:jc w:val="both"/>
              <w:rPr>
                <w:rFonts w:hint="eastAsia" w:ascii="仿宋-简" w:hAnsi="仿宋-简" w:eastAsia="仿宋-简" w:cs="仿宋-简"/>
                <w:color w:val="auto"/>
                <w:sz w:val="24"/>
                <w:szCs w:val="24"/>
              </w:rPr>
            </w:pPr>
            <w:r>
              <w:rPr>
                <w:rFonts w:hint="eastAsia" w:ascii="仿宋-简" w:hAnsi="仿宋-简" w:eastAsia="仿宋-简" w:cs="仿宋-简"/>
                <w:color w:val="auto"/>
                <w:spacing w:val="-6"/>
                <w:sz w:val="24"/>
                <w:szCs w:val="24"/>
              </w:rPr>
              <w:t>数量</w:t>
            </w:r>
          </w:p>
        </w:tc>
      </w:tr>
      <w:tr w14:paraId="012BE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663" w:type="dxa"/>
            <w:vAlign w:val="center"/>
          </w:tcPr>
          <w:p w14:paraId="5C9E9C22">
            <w:pPr>
              <w:pStyle w:val="17"/>
              <w:spacing w:before="122" w:line="184" w:lineRule="auto"/>
              <w:jc w:val="center"/>
              <w:rPr>
                <w:rFonts w:hint="eastAsia" w:ascii="仿宋-简" w:hAnsi="仿宋-简" w:eastAsia="仿宋-简" w:cs="仿宋-简"/>
                <w:color w:val="auto"/>
                <w:sz w:val="24"/>
                <w:szCs w:val="24"/>
              </w:rPr>
            </w:pPr>
            <w:r>
              <w:rPr>
                <w:rFonts w:hint="eastAsia" w:ascii="仿宋-简" w:hAnsi="仿宋-简" w:eastAsia="仿宋-简" w:cs="仿宋-简"/>
                <w:color w:val="auto"/>
                <w:sz w:val="24"/>
                <w:szCs w:val="24"/>
              </w:rPr>
              <w:t>1</w:t>
            </w:r>
          </w:p>
        </w:tc>
        <w:tc>
          <w:tcPr>
            <w:tcW w:w="1396" w:type="dxa"/>
            <w:vAlign w:val="center"/>
          </w:tcPr>
          <w:p w14:paraId="036B5A65">
            <w:pPr>
              <w:pStyle w:val="17"/>
              <w:spacing w:before="86" w:line="219" w:lineRule="auto"/>
              <w:jc w:val="center"/>
              <w:rPr>
                <w:rFonts w:hint="eastAsia" w:ascii="仿宋-简" w:hAnsi="仿宋-简" w:eastAsia="仿宋-简" w:cs="仿宋-简"/>
                <w:color w:val="auto"/>
                <w:sz w:val="24"/>
                <w:szCs w:val="24"/>
              </w:rPr>
            </w:pPr>
            <w:r>
              <w:rPr>
                <w:rFonts w:hint="eastAsia" w:ascii="仿宋-简" w:hAnsi="仿宋-简" w:eastAsia="仿宋-简" w:cs="仿宋-简"/>
                <w:color w:val="auto"/>
                <w:spacing w:val="-4"/>
                <w:sz w:val="24"/>
                <w:szCs w:val="24"/>
              </w:rPr>
              <w:t>竞赛平台</w:t>
            </w:r>
          </w:p>
        </w:tc>
        <w:tc>
          <w:tcPr>
            <w:tcW w:w="4933" w:type="dxa"/>
            <w:vAlign w:val="center"/>
          </w:tcPr>
          <w:p w14:paraId="698282F9">
            <w:pPr>
              <w:pStyle w:val="17"/>
              <w:spacing w:before="86" w:line="219" w:lineRule="auto"/>
              <w:ind w:left="131"/>
              <w:jc w:val="center"/>
              <w:rPr>
                <w:rFonts w:hint="eastAsia" w:ascii="仿宋-简" w:hAnsi="仿宋-简" w:eastAsia="仿宋-简" w:cs="仿宋-简"/>
                <w:color w:val="auto"/>
                <w:sz w:val="24"/>
                <w:szCs w:val="24"/>
                <w:lang w:eastAsia="zh-CN"/>
              </w:rPr>
            </w:pPr>
            <w:r>
              <w:rPr>
                <w:rFonts w:hint="eastAsia" w:ascii="仿宋-简" w:hAnsi="仿宋-简" w:eastAsia="仿宋-简" w:cs="仿宋-简"/>
                <w:color w:val="auto"/>
                <w:spacing w:val="-2"/>
                <w:sz w:val="24"/>
                <w:szCs w:val="24"/>
                <w:lang w:eastAsia="zh-CN"/>
              </w:rPr>
              <w:t>网络空间安全竞赛平台（含服务器）</w:t>
            </w:r>
          </w:p>
        </w:tc>
        <w:tc>
          <w:tcPr>
            <w:tcW w:w="749" w:type="dxa"/>
            <w:vAlign w:val="center"/>
          </w:tcPr>
          <w:p w14:paraId="398405FD">
            <w:pPr>
              <w:pStyle w:val="17"/>
              <w:spacing w:before="86" w:line="220" w:lineRule="auto"/>
              <w:ind w:left="290"/>
              <w:jc w:val="both"/>
              <w:rPr>
                <w:rFonts w:hint="eastAsia" w:ascii="仿宋-简" w:hAnsi="仿宋-简" w:eastAsia="仿宋-简" w:cs="仿宋-简"/>
                <w:color w:val="auto"/>
                <w:sz w:val="24"/>
                <w:szCs w:val="24"/>
              </w:rPr>
            </w:pPr>
            <w:r>
              <w:rPr>
                <w:rFonts w:hint="eastAsia" w:ascii="仿宋-简" w:hAnsi="仿宋-简" w:eastAsia="仿宋-简" w:cs="仿宋-简"/>
                <w:color w:val="auto"/>
                <w:sz w:val="24"/>
                <w:szCs w:val="24"/>
              </w:rPr>
              <w:t>套</w:t>
            </w:r>
          </w:p>
        </w:tc>
        <w:tc>
          <w:tcPr>
            <w:tcW w:w="757" w:type="dxa"/>
            <w:vAlign w:val="center"/>
          </w:tcPr>
          <w:p w14:paraId="399E6B79">
            <w:pPr>
              <w:pStyle w:val="17"/>
              <w:spacing w:before="122" w:line="184" w:lineRule="auto"/>
              <w:ind w:left="369"/>
              <w:jc w:val="both"/>
              <w:rPr>
                <w:rFonts w:hint="eastAsia" w:ascii="仿宋-简" w:hAnsi="仿宋-简" w:eastAsia="仿宋-简" w:cs="仿宋-简"/>
                <w:color w:val="auto"/>
                <w:sz w:val="24"/>
                <w:szCs w:val="24"/>
                <w:lang w:val="en-US" w:eastAsia="zh-CN"/>
              </w:rPr>
            </w:pPr>
            <w:r>
              <w:rPr>
                <w:rFonts w:hint="eastAsia" w:ascii="仿宋-简" w:hAnsi="仿宋-简" w:eastAsia="仿宋-简" w:cs="仿宋-简"/>
                <w:color w:val="auto"/>
                <w:sz w:val="24"/>
                <w:szCs w:val="24"/>
                <w:lang w:val="en-US" w:eastAsia="zh-CN"/>
              </w:rPr>
              <w:t>1</w:t>
            </w:r>
          </w:p>
        </w:tc>
      </w:tr>
      <w:tr w14:paraId="41A09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663" w:type="dxa"/>
            <w:vAlign w:val="center"/>
          </w:tcPr>
          <w:p w14:paraId="5202A804">
            <w:pPr>
              <w:pStyle w:val="17"/>
              <w:spacing w:before="308" w:line="183" w:lineRule="auto"/>
              <w:jc w:val="center"/>
              <w:rPr>
                <w:rFonts w:hint="eastAsia" w:ascii="仿宋-简" w:hAnsi="仿宋-简" w:eastAsia="仿宋-简" w:cs="仿宋-简"/>
                <w:color w:val="auto"/>
                <w:sz w:val="24"/>
                <w:szCs w:val="24"/>
              </w:rPr>
            </w:pPr>
            <w:r>
              <w:rPr>
                <w:rFonts w:hint="eastAsia" w:ascii="仿宋-简" w:hAnsi="仿宋-简" w:eastAsia="仿宋-简" w:cs="仿宋-简"/>
                <w:color w:val="auto"/>
                <w:sz w:val="24"/>
                <w:szCs w:val="24"/>
              </w:rPr>
              <w:t>2</w:t>
            </w:r>
          </w:p>
        </w:tc>
        <w:tc>
          <w:tcPr>
            <w:tcW w:w="1396" w:type="dxa"/>
            <w:vAlign w:val="center"/>
          </w:tcPr>
          <w:p w14:paraId="08E3E63B">
            <w:pPr>
              <w:pStyle w:val="17"/>
              <w:spacing w:before="270" w:line="221" w:lineRule="auto"/>
              <w:jc w:val="center"/>
              <w:rPr>
                <w:rFonts w:hint="eastAsia" w:ascii="仿宋-简" w:hAnsi="仿宋-简" w:eastAsia="仿宋-简" w:cs="仿宋-简"/>
                <w:color w:val="auto"/>
                <w:sz w:val="24"/>
                <w:szCs w:val="24"/>
              </w:rPr>
            </w:pPr>
            <w:r>
              <w:rPr>
                <w:rFonts w:hint="eastAsia" w:ascii="仿宋-简" w:hAnsi="仿宋-简" w:eastAsia="仿宋-简" w:cs="仿宋-简"/>
                <w:color w:val="auto"/>
                <w:spacing w:val="-19"/>
                <w:sz w:val="24"/>
                <w:szCs w:val="24"/>
              </w:rPr>
              <w:t>电脑</w:t>
            </w:r>
          </w:p>
        </w:tc>
        <w:tc>
          <w:tcPr>
            <w:tcW w:w="4933" w:type="dxa"/>
            <w:vAlign w:val="center"/>
          </w:tcPr>
          <w:p w14:paraId="3CBD98C0">
            <w:pPr>
              <w:pStyle w:val="17"/>
              <w:spacing w:before="37" w:line="345" w:lineRule="auto"/>
              <w:ind w:left="124" w:right="103" w:firstLine="7"/>
              <w:jc w:val="center"/>
              <w:rPr>
                <w:rFonts w:hint="eastAsia" w:ascii="仿宋-简" w:hAnsi="仿宋-简" w:eastAsia="仿宋-简" w:cs="仿宋-简"/>
                <w:color w:val="auto"/>
                <w:sz w:val="24"/>
                <w:szCs w:val="24"/>
              </w:rPr>
            </w:pPr>
            <w:r>
              <w:rPr>
                <w:rFonts w:hint="eastAsia" w:ascii="仿宋-简" w:hAnsi="仿宋-简" w:eastAsia="仿宋-简" w:cs="仿宋-简"/>
                <w:color w:val="auto"/>
                <w:spacing w:val="-5"/>
                <w:sz w:val="24"/>
                <w:szCs w:val="24"/>
              </w:rPr>
              <w:t>台式电脑：I7</w:t>
            </w:r>
            <w:r>
              <w:rPr>
                <w:rFonts w:hint="eastAsia" w:ascii="仿宋-简" w:hAnsi="仿宋-简" w:eastAsia="仿宋-简" w:cs="仿宋-简"/>
                <w:color w:val="auto"/>
                <w:spacing w:val="-46"/>
                <w:sz w:val="24"/>
                <w:szCs w:val="24"/>
              </w:rPr>
              <w:t xml:space="preserve"> </w:t>
            </w:r>
            <w:r>
              <w:rPr>
                <w:rFonts w:hint="eastAsia" w:ascii="仿宋-简" w:hAnsi="仿宋-简" w:eastAsia="仿宋-简" w:cs="仿宋-简"/>
                <w:color w:val="auto"/>
                <w:spacing w:val="-5"/>
                <w:sz w:val="24"/>
                <w:szCs w:val="24"/>
              </w:rPr>
              <w:t>或</w:t>
            </w:r>
            <w:r>
              <w:rPr>
                <w:rFonts w:hint="eastAsia" w:ascii="仿宋-简" w:hAnsi="仿宋-简" w:eastAsia="仿宋-简" w:cs="仿宋-简"/>
                <w:color w:val="auto"/>
                <w:spacing w:val="-38"/>
                <w:sz w:val="24"/>
                <w:szCs w:val="24"/>
              </w:rPr>
              <w:t xml:space="preserve"> </w:t>
            </w:r>
            <w:r>
              <w:rPr>
                <w:rFonts w:hint="eastAsia" w:ascii="仿宋-简" w:hAnsi="仿宋-简" w:eastAsia="仿宋-简" w:cs="仿宋-简"/>
                <w:color w:val="auto"/>
                <w:spacing w:val="-5"/>
                <w:sz w:val="24"/>
                <w:szCs w:val="24"/>
              </w:rPr>
              <w:t>I5/16G 内存/1T</w:t>
            </w:r>
            <w:r>
              <w:rPr>
                <w:rFonts w:hint="eastAsia" w:ascii="仿宋-简" w:hAnsi="仿宋-简" w:eastAsia="仿宋-简" w:cs="仿宋-简"/>
                <w:color w:val="auto"/>
                <w:spacing w:val="-51"/>
                <w:sz w:val="24"/>
                <w:szCs w:val="24"/>
              </w:rPr>
              <w:t xml:space="preserve"> </w:t>
            </w:r>
            <w:r>
              <w:rPr>
                <w:rFonts w:hint="eastAsia" w:ascii="仿宋-简" w:hAnsi="仿宋-简" w:eastAsia="仿宋-简" w:cs="仿宋-简"/>
                <w:color w:val="auto"/>
                <w:spacing w:val="-5"/>
                <w:sz w:val="24"/>
                <w:szCs w:val="24"/>
              </w:rPr>
              <w:t>硬盘/千兆网卡</w:t>
            </w:r>
            <w:r>
              <w:rPr>
                <w:rFonts w:hint="eastAsia" w:ascii="仿宋-简" w:hAnsi="仿宋-简" w:eastAsia="仿宋-简" w:cs="仿宋-简"/>
                <w:color w:val="auto"/>
                <w:sz w:val="24"/>
                <w:szCs w:val="24"/>
              </w:rPr>
              <w:t xml:space="preserve"> </w:t>
            </w:r>
            <w:r>
              <w:rPr>
                <w:rFonts w:hint="eastAsia" w:ascii="仿宋-简" w:hAnsi="仿宋-简" w:eastAsia="仿宋-简" w:cs="仿宋-简"/>
                <w:color w:val="auto"/>
                <w:spacing w:val="-1"/>
                <w:sz w:val="24"/>
                <w:szCs w:val="24"/>
              </w:rPr>
              <w:t>/硬盘保护卡/23.8</w:t>
            </w:r>
            <w:r>
              <w:rPr>
                <w:rFonts w:hint="eastAsia" w:ascii="仿宋-简" w:hAnsi="仿宋-简" w:eastAsia="仿宋-简" w:cs="仿宋-简"/>
                <w:color w:val="auto"/>
                <w:spacing w:val="-41"/>
                <w:sz w:val="24"/>
                <w:szCs w:val="24"/>
              </w:rPr>
              <w:t xml:space="preserve"> </w:t>
            </w:r>
            <w:r>
              <w:rPr>
                <w:rFonts w:hint="eastAsia" w:ascii="仿宋-简" w:hAnsi="仿宋-简" w:eastAsia="仿宋-简" w:cs="仿宋-简"/>
                <w:color w:val="auto"/>
                <w:spacing w:val="-1"/>
                <w:sz w:val="24"/>
                <w:szCs w:val="24"/>
              </w:rPr>
              <w:t>寸显示器/预装</w:t>
            </w:r>
            <w:r>
              <w:rPr>
                <w:rFonts w:hint="eastAsia" w:ascii="仿宋-简" w:hAnsi="仿宋-简" w:eastAsia="仿宋-简" w:cs="仿宋-简"/>
                <w:color w:val="auto"/>
                <w:spacing w:val="-59"/>
                <w:sz w:val="24"/>
                <w:szCs w:val="24"/>
              </w:rPr>
              <w:t xml:space="preserve"> </w:t>
            </w:r>
            <w:r>
              <w:rPr>
                <w:rFonts w:hint="eastAsia" w:ascii="仿宋-简" w:hAnsi="仿宋-简" w:eastAsia="仿宋-简" w:cs="仿宋-简"/>
                <w:color w:val="auto"/>
                <w:spacing w:val="-1"/>
                <w:sz w:val="24"/>
                <w:szCs w:val="24"/>
              </w:rPr>
              <w:t>win10/office</w:t>
            </w:r>
          </w:p>
        </w:tc>
        <w:tc>
          <w:tcPr>
            <w:tcW w:w="749" w:type="dxa"/>
            <w:vAlign w:val="center"/>
          </w:tcPr>
          <w:p w14:paraId="02CE10C4">
            <w:pPr>
              <w:pStyle w:val="17"/>
              <w:spacing w:before="271" w:line="221" w:lineRule="auto"/>
              <w:ind w:left="308"/>
              <w:jc w:val="both"/>
              <w:rPr>
                <w:rFonts w:hint="eastAsia" w:ascii="仿宋-简" w:hAnsi="仿宋-简" w:eastAsia="仿宋-简" w:cs="仿宋-简"/>
                <w:color w:val="auto"/>
                <w:sz w:val="24"/>
                <w:szCs w:val="24"/>
              </w:rPr>
            </w:pPr>
            <w:r>
              <w:rPr>
                <w:rFonts w:hint="eastAsia" w:ascii="仿宋-简" w:hAnsi="仿宋-简" w:eastAsia="仿宋-简" w:cs="仿宋-简"/>
                <w:color w:val="auto"/>
                <w:sz w:val="24"/>
                <w:szCs w:val="24"/>
              </w:rPr>
              <w:t>台</w:t>
            </w:r>
          </w:p>
        </w:tc>
        <w:tc>
          <w:tcPr>
            <w:tcW w:w="757" w:type="dxa"/>
            <w:vAlign w:val="center"/>
          </w:tcPr>
          <w:p w14:paraId="45FD2DF7">
            <w:pPr>
              <w:pStyle w:val="17"/>
              <w:spacing w:before="308" w:line="183" w:lineRule="auto"/>
              <w:jc w:val="center"/>
              <w:rPr>
                <w:rFonts w:hint="eastAsia" w:ascii="仿宋-简" w:hAnsi="仿宋-简" w:eastAsia="仿宋-简" w:cs="仿宋-简"/>
                <w:color w:val="auto"/>
                <w:sz w:val="24"/>
                <w:szCs w:val="24"/>
                <w:lang w:val="en-US" w:eastAsia="zh-CN"/>
              </w:rPr>
            </w:pPr>
            <w:r>
              <w:rPr>
                <w:rFonts w:hint="eastAsia" w:ascii="仿宋-简" w:hAnsi="仿宋-简" w:eastAsia="仿宋-简" w:cs="仿宋-简"/>
                <w:color w:val="auto"/>
                <w:sz w:val="24"/>
                <w:szCs w:val="24"/>
                <w:lang w:val="en-US" w:eastAsia="zh-CN"/>
              </w:rPr>
              <w:t>按需</w:t>
            </w:r>
          </w:p>
        </w:tc>
      </w:tr>
    </w:tbl>
    <w:p w14:paraId="2A8A56CF">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rPr>
      </w:pPr>
      <w:bookmarkStart w:id="13" w:name="_Toc22138"/>
      <w:r>
        <w:rPr>
          <w:rFonts w:hint="eastAsia" w:ascii="黑体" w:hAnsi="黑体" w:eastAsia="黑体"/>
          <w:color w:val="auto"/>
          <w:spacing w:val="-10"/>
          <w:kern w:val="0"/>
          <w:sz w:val="32"/>
          <w:szCs w:val="32"/>
        </w:rPr>
        <w:t>十、成绩评定</w:t>
      </w:r>
      <w:bookmarkEnd w:id="13"/>
    </w:p>
    <w:p w14:paraId="0055BFDF">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（一）裁判评分方法</w:t>
      </w:r>
    </w:p>
    <w:p w14:paraId="6A67A960">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裁判组负责竞赛机考评分和结果性评分，由裁判长负责竞赛全过程；裁判员提前报到，报到后所有裁判的手机全部上缴裁判长统一保管，评分结束返回，保证竞赛的公正与公平</w:t>
      </w:r>
      <w:r>
        <w:rPr>
          <w:rFonts w:hint="eastAsia" w:ascii="仿宋" w:hAnsi="仿宋" w:eastAsia="仿宋" w:cs="Times New Roman"/>
          <w:color w:val="auto"/>
          <w:sz w:val="28"/>
          <w:szCs w:val="28"/>
        </w:rPr>
        <w:t>。</w:t>
      </w:r>
      <w:r>
        <w:rPr>
          <w:rFonts w:hint="eastAsia" w:ascii="仿宋" w:hAnsi="仿宋" w:eastAsia="仿宋" w:cs="Times New Roman"/>
          <w:color w:val="auto"/>
          <w:sz w:val="28"/>
          <w:szCs w:val="28"/>
          <w:lang w:val="en-US" w:eastAsia="zh-CN"/>
        </w:rPr>
        <w:t>项目方案</w:t>
      </w:r>
      <w:r>
        <w:rPr>
          <w:rFonts w:hint="eastAsia" w:ascii="仿宋" w:hAnsi="仿宋" w:eastAsia="仿宋" w:cs="Times New Roman"/>
          <w:color w:val="auto"/>
          <w:sz w:val="28"/>
          <w:szCs w:val="28"/>
        </w:rPr>
        <w:t>展示与</w:t>
      </w:r>
      <w:r>
        <w:rPr>
          <w:rFonts w:hint="eastAsia" w:ascii="仿宋" w:hAnsi="仿宋" w:eastAsia="仿宋"/>
          <w:color w:val="auto"/>
          <w:sz w:val="28"/>
          <w:szCs w:val="28"/>
        </w:rPr>
        <w:t>答辩环节由裁判组进行现场评分。</w:t>
      </w:r>
    </w:p>
    <w:p w14:paraId="65F05D85">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（二）评分标准</w:t>
      </w:r>
    </w:p>
    <w:p w14:paraId="7D2BA328">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竞赛评分严格按照公平、公正、公开的原则，评分标准注重考查参赛选手以下各方面的能力和水平：</w:t>
      </w:r>
    </w:p>
    <w:p w14:paraId="2C6537A0">
      <w:pPr>
        <w:adjustRightInd w:val="0"/>
        <w:snapToGrid w:val="0"/>
        <w:spacing w:line="560" w:lineRule="exact"/>
        <w:ind w:firstLine="560" w:firstLineChars="200"/>
        <w:rPr>
          <w:rFonts w:hint="eastAsia" w:ascii="仿宋" w:hAnsi="仿宋" w:eastAsia="仿宋"/>
          <w:color w:val="auto"/>
          <w:sz w:val="28"/>
          <w:szCs w:val="28"/>
        </w:rPr>
      </w:pPr>
    </w:p>
    <w:p w14:paraId="081F84D8">
      <w:pPr>
        <w:adjustRightInd w:val="0"/>
        <w:snapToGrid w:val="0"/>
        <w:spacing w:line="560" w:lineRule="exact"/>
        <w:ind w:firstLine="560" w:firstLineChars="200"/>
        <w:rPr>
          <w:rFonts w:hint="eastAsia" w:ascii="仿宋" w:hAnsi="仿宋" w:eastAsia="仿宋"/>
          <w:color w:val="auto"/>
          <w:sz w:val="28"/>
          <w:szCs w:val="28"/>
          <w:lang w:eastAsia="zh-CN"/>
        </w:rPr>
      </w:pPr>
    </w:p>
    <w:p w14:paraId="377F4B01">
      <w:pPr>
        <w:rPr>
          <w:color w:val="auto"/>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709"/>
        <w:gridCol w:w="5490"/>
        <w:gridCol w:w="508"/>
        <w:gridCol w:w="886"/>
      </w:tblGrid>
      <w:tr w14:paraId="37B0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0" w:type="auto"/>
            <w:vAlign w:val="center"/>
          </w:tcPr>
          <w:p w14:paraId="7BC23077">
            <w:pPr>
              <w:adjustRightInd w:val="0"/>
              <w:snapToGrid w:val="0"/>
              <w:spacing w:before="156" w:beforeLines="50"/>
              <w:jc w:val="center"/>
              <w:rPr>
                <w:rFonts w:hint="eastAsia" w:ascii="仿宋" w:hAnsi="仿宋" w:eastAsia="仿宋"/>
                <w:b/>
                <w:color w:val="auto"/>
                <w:sz w:val="24"/>
              </w:rPr>
            </w:pPr>
            <w:r>
              <w:rPr>
                <w:rFonts w:hint="eastAsia" w:ascii="仿宋" w:hAnsi="仿宋" w:eastAsia="仿宋"/>
                <w:b/>
                <w:color w:val="auto"/>
                <w:sz w:val="24"/>
              </w:rPr>
              <w:t>竞赛阶段</w:t>
            </w:r>
          </w:p>
        </w:tc>
        <w:tc>
          <w:tcPr>
            <w:tcW w:w="0" w:type="auto"/>
            <w:vAlign w:val="center"/>
          </w:tcPr>
          <w:p w14:paraId="1E257F1B">
            <w:pPr>
              <w:adjustRightInd w:val="0"/>
              <w:snapToGrid w:val="0"/>
              <w:spacing w:before="156" w:beforeLines="50"/>
              <w:jc w:val="center"/>
              <w:rPr>
                <w:rFonts w:hint="eastAsia" w:ascii="仿宋" w:hAnsi="仿宋" w:eastAsia="仿宋"/>
                <w:b/>
                <w:color w:val="auto"/>
                <w:sz w:val="24"/>
              </w:rPr>
            </w:pPr>
            <w:r>
              <w:rPr>
                <w:rFonts w:hint="eastAsia" w:ascii="仿宋" w:hAnsi="仿宋" w:eastAsia="仿宋"/>
                <w:b/>
                <w:color w:val="auto"/>
                <w:sz w:val="24"/>
              </w:rPr>
              <w:t>竞赛任务</w:t>
            </w:r>
          </w:p>
        </w:tc>
        <w:tc>
          <w:tcPr>
            <w:tcW w:w="0" w:type="auto"/>
            <w:vAlign w:val="center"/>
          </w:tcPr>
          <w:p w14:paraId="41DE0954">
            <w:pPr>
              <w:adjustRightInd w:val="0"/>
              <w:snapToGrid w:val="0"/>
              <w:spacing w:before="156" w:beforeLines="50"/>
              <w:jc w:val="center"/>
              <w:rPr>
                <w:rFonts w:hint="eastAsia" w:ascii="仿宋" w:hAnsi="仿宋" w:eastAsia="仿宋"/>
                <w:b/>
                <w:color w:val="auto"/>
                <w:sz w:val="24"/>
              </w:rPr>
            </w:pPr>
            <w:r>
              <w:rPr>
                <w:rFonts w:hint="eastAsia" w:ascii="仿宋" w:hAnsi="仿宋" w:eastAsia="仿宋"/>
                <w:b/>
                <w:color w:val="auto"/>
                <w:sz w:val="24"/>
              </w:rPr>
              <w:t>考核内容</w:t>
            </w:r>
          </w:p>
        </w:tc>
        <w:tc>
          <w:tcPr>
            <w:tcW w:w="0" w:type="auto"/>
            <w:vAlign w:val="center"/>
          </w:tcPr>
          <w:p w14:paraId="1102DFE9">
            <w:pPr>
              <w:adjustRightInd w:val="0"/>
              <w:snapToGrid w:val="0"/>
              <w:spacing w:before="156" w:beforeLines="50"/>
              <w:jc w:val="center"/>
              <w:rPr>
                <w:rFonts w:hint="eastAsia" w:ascii="仿宋" w:hAnsi="仿宋" w:eastAsia="仿宋"/>
                <w:b/>
                <w:color w:val="auto"/>
                <w:sz w:val="24"/>
              </w:rPr>
            </w:pPr>
            <w:r>
              <w:rPr>
                <w:rFonts w:hint="eastAsia" w:ascii="仿宋" w:hAnsi="仿宋" w:eastAsia="仿宋"/>
                <w:b/>
                <w:color w:val="auto"/>
                <w:sz w:val="24"/>
              </w:rPr>
              <w:t>分值</w:t>
            </w:r>
          </w:p>
        </w:tc>
        <w:tc>
          <w:tcPr>
            <w:tcW w:w="0" w:type="auto"/>
            <w:vAlign w:val="center"/>
          </w:tcPr>
          <w:p w14:paraId="2D9DD691">
            <w:pPr>
              <w:adjustRightInd w:val="0"/>
              <w:snapToGrid w:val="0"/>
              <w:spacing w:before="156" w:beforeLines="50"/>
              <w:jc w:val="center"/>
              <w:rPr>
                <w:rFonts w:hint="eastAsia" w:ascii="仿宋" w:hAnsi="仿宋" w:eastAsia="仿宋"/>
                <w:b/>
                <w:color w:val="auto"/>
                <w:sz w:val="24"/>
              </w:rPr>
            </w:pPr>
            <w:r>
              <w:rPr>
                <w:rFonts w:hint="eastAsia" w:ascii="仿宋" w:hAnsi="仿宋" w:eastAsia="仿宋"/>
                <w:b/>
                <w:color w:val="auto"/>
                <w:sz w:val="24"/>
              </w:rPr>
              <w:t>评分方式</w:t>
            </w:r>
          </w:p>
        </w:tc>
      </w:tr>
      <w:tr w14:paraId="64E4A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0" w:type="auto"/>
            <w:vMerge w:val="restart"/>
            <w:vAlign w:val="center"/>
          </w:tcPr>
          <w:p w14:paraId="03B16E30">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第一阶段</w:t>
            </w:r>
          </w:p>
          <w:p w14:paraId="5001B8FA">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权重</w:t>
            </w:r>
            <w:r>
              <w:rPr>
                <w:rFonts w:hint="eastAsia" w:ascii="仿宋" w:hAnsi="仿宋" w:eastAsia="仿宋"/>
                <w:color w:val="auto"/>
                <w:sz w:val="24"/>
                <w:lang w:val="en-US" w:eastAsia="zh-CN"/>
              </w:rPr>
              <w:t>2</w:t>
            </w:r>
            <w:r>
              <w:rPr>
                <w:rFonts w:hint="eastAsia" w:ascii="仿宋" w:hAnsi="仿宋" w:eastAsia="仿宋"/>
                <w:color w:val="auto"/>
                <w:sz w:val="24"/>
              </w:rPr>
              <w:t>0%</w:t>
            </w:r>
          </w:p>
        </w:tc>
        <w:tc>
          <w:tcPr>
            <w:tcW w:w="0" w:type="auto"/>
            <w:vAlign w:val="center"/>
          </w:tcPr>
          <w:p w14:paraId="6D223AB7">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2"/>
                <w:szCs w:val="22"/>
              </w:rPr>
              <w:t>网络安全设备</w:t>
            </w:r>
          </w:p>
        </w:tc>
        <w:tc>
          <w:tcPr>
            <w:tcW w:w="0" w:type="auto"/>
            <w:vAlign w:val="center"/>
          </w:tcPr>
          <w:p w14:paraId="0584A8AD">
            <w:pPr>
              <w:widowControl/>
              <w:jc w:val="center"/>
              <w:rPr>
                <w:rFonts w:ascii="仿宋" w:hAnsi="仿宋" w:eastAsia="仿宋"/>
                <w:color w:val="auto"/>
                <w:sz w:val="22"/>
                <w:szCs w:val="22"/>
              </w:rPr>
            </w:pPr>
            <w:r>
              <w:rPr>
                <w:rFonts w:hint="eastAsia" w:ascii="仿宋" w:hAnsi="仿宋" w:eastAsia="仿宋"/>
                <w:color w:val="auto"/>
                <w:sz w:val="22"/>
                <w:szCs w:val="22"/>
              </w:rPr>
              <w:t>1、考核选手对防火墙、入侵检测系统（IDS）/入侵防御系统（IPS）、终端安全管理系统等网络安全设备的配置与管理能力，包括设备的基本设置、策略制定与实施、性能调优、HA集群故障切换等。</w:t>
            </w:r>
          </w:p>
          <w:p w14:paraId="64CD143C">
            <w:pPr>
              <w:widowControl/>
              <w:rPr>
                <w:rFonts w:ascii="仿宋" w:hAnsi="仿宋" w:eastAsia="仿宋"/>
                <w:color w:val="auto"/>
                <w:sz w:val="22"/>
                <w:szCs w:val="22"/>
              </w:rPr>
            </w:pPr>
            <w:r>
              <w:rPr>
                <w:rFonts w:hint="eastAsia" w:ascii="仿宋" w:hAnsi="仿宋" w:eastAsia="仿宋"/>
                <w:color w:val="auto"/>
                <w:sz w:val="22"/>
                <w:szCs w:val="22"/>
              </w:rPr>
              <w:t>2、根据给定的网络拓扑和安全需求，制定合理的安全防护策略，并能够通过模拟攻击验证策略的有效性。</w:t>
            </w:r>
          </w:p>
          <w:p w14:paraId="55336DE6">
            <w:pPr>
              <w:widowControl/>
              <w:rPr>
                <w:rFonts w:hint="eastAsia" w:ascii="仿宋" w:hAnsi="仿宋" w:eastAsia="仿宋" w:cs="仿宋"/>
                <w:color w:val="auto"/>
                <w:kern w:val="0"/>
                <w:sz w:val="24"/>
                <w:lang w:bidi="ar"/>
              </w:rPr>
            </w:pPr>
            <w:r>
              <w:rPr>
                <w:rFonts w:hint="eastAsia" w:ascii="仿宋" w:hAnsi="仿宋" w:eastAsia="仿宋"/>
                <w:color w:val="auto"/>
                <w:sz w:val="22"/>
                <w:szCs w:val="22"/>
              </w:rPr>
              <w:t>3、在设备运行过程中对性能进行优化，以及在设备出现故障时进行快速诊断和排除。</w:t>
            </w:r>
          </w:p>
        </w:tc>
        <w:tc>
          <w:tcPr>
            <w:tcW w:w="0" w:type="auto"/>
            <w:vAlign w:val="center"/>
          </w:tcPr>
          <w:p w14:paraId="310BEE4B">
            <w:pPr>
              <w:adjustRightInd w:val="0"/>
              <w:snapToGrid w:val="0"/>
              <w:spacing w:before="156" w:beforeLines="50"/>
              <w:jc w:val="center"/>
              <w:rPr>
                <w:rFonts w:hint="eastAsia" w:ascii="仿宋" w:hAnsi="仿宋" w:eastAsia="仿宋"/>
                <w:color w:val="auto"/>
                <w:sz w:val="24"/>
                <w:lang w:eastAsia="zh-CN"/>
              </w:rPr>
            </w:pPr>
            <w:r>
              <w:rPr>
                <w:rFonts w:hint="eastAsia" w:ascii="仿宋" w:hAnsi="仿宋" w:eastAsia="仿宋"/>
                <w:color w:val="auto"/>
                <w:sz w:val="22"/>
                <w:szCs w:val="22"/>
                <w:lang w:val="en-US" w:eastAsia="zh-CN"/>
              </w:rPr>
              <w:t>7</w:t>
            </w:r>
          </w:p>
        </w:tc>
        <w:tc>
          <w:tcPr>
            <w:tcW w:w="0" w:type="auto"/>
            <w:vAlign w:val="center"/>
          </w:tcPr>
          <w:p w14:paraId="31C16FA4">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结果评分-机考评分</w:t>
            </w:r>
          </w:p>
        </w:tc>
      </w:tr>
      <w:tr w14:paraId="1D196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0" w:type="auto"/>
            <w:vMerge w:val="continue"/>
            <w:vAlign w:val="center"/>
          </w:tcPr>
          <w:p w14:paraId="18DFFA2E">
            <w:pPr>
              <w:adjustRightInd w:val="0"/>
              <w:snapToGrid w:val="0"/>
              <w:spacing w:before="156" w:beforeLines="50"/>
              <w:jc w:val="center"/>
              <w:rPr>
                <w:rFonts w:hint="eastAsia" w:ascii="仿宋" w:hAnsi="仿宋" w:eastAsia="仿宋"/>
                <w:color w:val="auto"/>
                <w:sz w:val="24"/>
              </w:rPr>
            </w:pPr>
          </w:p>
        </w:tc>
        <w:tc>
          <w:tcPr>
            <w:tcW w:w="0" w:type="auto"/>
            <w:vAlign w:val="center"/>
          </w:tcPr>
          <w:p w14:paraId="638D82C3">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2"/>
                <w:szCs w:val="22"/>
              </w:rPr>
              <w:t>资产梳理</w:t>
            </w:r>
          </w:p>
        </w:tc>
        <w:tc>
          <w:tcPr>
            <w:tcW w:w="0" w:type="auto"/>
            <w:vAlign w:val="center"/>
          </w:tcPr>
          <w:p w14:paraId="1BC9965E">
            <w:pPr>
              <w:widowControl/>
              <w:jc w:val="center"/>
              <w:rPr>
                <w:rFonts w:ascii="仿宋" w:hAnsi="仿宋" w:eastAsia="仿宋"/>
                <w:color w:val="auto"/>
                <w:sz w:val="22"/>
                <w:szCs w:val="22"/>
              </w:rPr>
            </w:pPr>
            <w:r>
              <w:rPr>
                <w:rFonts w:hint="eastAsia" w:ascii="仿宋" w:hAnsi="仿宋" w:eastAsia="仿宋"/>
                <w:color w:val="auto"/>
                <w:sz w:val="22"/>
                <w:szCs w:val="22"/>
              </w:rPr>
              <w:t>1、对网络资产进行全面清查和分类，包括硬件设备、软件系统、网络服务等，进行自动化扫描技术、风险评估与合规扫描，并能够建立详细的资产清单。</w:t>
            </w:r>
          </w:p>
          <w:p w14:paraId="2D7248B2">
            <w:pPr>
              <w:widowControl/>
              <w:rPr>
                <w:rFonts w:hint="eastAsia" w:ascii="仿宋" w:hAnsi="仿宋" w:eastAsia="仿宋" w:cs="仿宋"/>
                <w:color w:val="auto"/>
                <w:kern w:val="0"/>
                <w:sz w:val="24"/>
                <w:lang w:bidi="ar"/>
              </w:rPr>
            </w:pPr>
            <w:r>
              <w:rPr>
                <w:rFonts w:hint="eastAsia" w:ascii="仿宋" w:hAnsi="仿宋" w:eastAsia="仿宋" w:cs="仿宋"/>
                <w:color w:val="auto"/>
                <w:kern w:val="0"/>
                <w:sz w:val="24"/>
                <w:lang w:bidi="ar"/>
              </w:rPr>
              <w:t>2、对已清查的资产进行风险评估，识别潜在的安全威胁，并提出相应的风险管理措施。</w:t>
            </w:r>
          </w:p>
          <w:p w14:paraId="46DE71B1">
            <w:pPr>
              <w:widowControl/>
              <w:rPr>
                <w:rFonts w:hint="eastAsia" w:ascii="仿宋" w:hAnsi="仿宋" w:eastAsia="仿宋" w:cs="仿宋"/>
                <w:color w:val="auto"/>
                <w:kern w:val="0"/>
                <w:sz w:val="24"/>
                <w:lang w:bidi="ar"/>
              </w:rPr>
            </w:pPr>
            <w:r>
              <w:rPr>
                <w:rFonts w:hint="eastAsia" w:ascii="仿宋" w:hAnsi="仿宋" w:eastAsia="仿宋" w:cs="仿宋"/>
                <w:color w:val="auto"/>
                <w:kern w:val="0"/>
                <w:sz w:val="24"/>
                <w:lang w:bidi="ar"/>
              </w:rPr>
              <w:t>3、对资产变更的管理能力，以及对资产合规性进行检查，确保资产的使用符合相关法律法规和安全标准。</w:t>
            </w:r>
          </w:p>
        </w:tc>
        <w:tc>
          <w:tcPr>
            <w:tcW w:w="0" w:type="auto"/>
            <w:vAlign w:val="center"/>
          </w:tcPr>
          <w:p w14:paraId="5EBC80FF">
            <w:pPr>
              <w:adjustRightInd w:val="0"/>
              <w:snapToGrid w:val="0"/>
              <w:spacing w:before="156" w:beforeLines="50"/>
              <w:jc w:val="center"/>
              <w:rPr>
                <w:rFonts w:hint="eastAsia" w:ascii="仿宋" w:hAnsi="仿宋" w:eastAsia="仿宋"/>
                <w:color w:val="auto"/>
                <w:sz w:val="24"/>
                <w:lang w:eastAsia="zh-CN"/>
              </w:rPr>
            </w:pPr>
            <w:r>
              <w:rPr>
                <w:rFonts w:hint="eastAsia" w:ascii="仿宋" w:hAnsi="仿宋" w:eastAsia="仿宋"/>
                <w:color w:val="auto"/>
                <w:sz w:val="22"/>
                <w:szCs w:val="22"/>
                <w:lang w:val="en-US" w:eastAsia="zh-CN"/>
              </w:rPr>
              <w:t>7</w:t>
            </w:r>
          </w:p>
        </w:tc>
        <w:tc>
          <w:tcPr>
            <w:tcW w:w="0" w:type="auto"/>
            <w:vAlign w:val="center"/>
          </w:tcPr>
          <w:p w14:paraId="00AD8D7C">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结果评分-机考评分</w:t>
            </w:r>
          </w:p>
        </w:tc>
      </w:tr>
      <w:tr w14:paraId="40132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0" w:type="auto"/>
            <w:vMerge w:val="continue"/>
            <w:vAlign w:val="center"/>
          </w:tcPr>
          <w:p w14:paraId="03B73BB8">
            <w:pPr>
              <w:adjustRightInd w:val="0"/>
              <w:snapToGrid w:val="0"/>
              <w:spacing w:before="156" w:beforeLines="50"/>
              <w:jc w:val="center"/>
              <w:rPr>
                <w:rFonts w:hint="eastAsia" w:ascii="仿宋" w:hAnsi="仿宋" w:eastAsia="仿宋"/>
                <w:color w:val="auto"/>
                <w:sz w:val="24"/>
              </w:rPr>
            </w:pPr>
          </w:p>
        </w:tc>
        <w:tc>
          <w:tcPr>
            <w:tcW w:w="0" w:type="auto"/>
            <w:vAlign w:val="center"/>
          </w:tcPr>
          <w:p w14:paraId="277AA117">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2"/>
                <w:szCs w:val="22"/>
              </w:rPr>
              <w:t>流量分析</w:t>
            </w:r>
          </w:p>
        </w:tc>
        <w:tc>
          <w:tcPr>
            <w:tcW w:w="0" w:type="auto"/>
            <w:vAlign w:val="center"/>
          </w:tcPr>
          <w:p w14:paraId="0D5CF74A">
            <w:pPr>
              <w:widowControl/>
              <w:jc w:val="center"/>
              <w:rPr>
                <w:rFonts w:ascii="仿宋" w:hAnsi="仿宋" w:eastAsia="仿宋"/>
                <w:color w:val="auto"/>
                <w:sz w:val="22"/>
                <w:szCs w:val="22"/>
              </w:rPr>
            </w:pPr>
            <w:r>
              <w:rPr>
                <w:rFonts w:hint="eastAsia" w:ascii="仿宋" w:hAnsi="仿宋" w:eastAsia="仿宋"/>
                <w:color w:val="auto"/>
                <w:sz w:val="22"/>
                <w:szCs w:val="22"/>
              </w:rPr>
              <w:t>1、使用网络流量监测工具进行流量数据采集的能力，包括对网络流量的实时监测和历史数据的采集与存储。</w:t>
            </w:r>
          </w:p>
          <w:p w14:paraId="42879060">
            <w:pPr>
              <w:widowControl/>
              <w:jc w:val="center"/>
              <w:rPr>
                <w:rFonts w:ascii="仿宋" w:hAnsi="仿宋" w:eastAsia="仿宋"/>
                <w:color w:val="auto"/>
                <w:sz w:val="22"/>
                <w:szCs w:val="22"/>
              </w:rPr>
            </w:pPr>
            <w:r>
              <w:rPr>
                <w:rFonts w:hint="eastAsia" w:ascii="仿宋" w:hAnsi="仿宋" w:eastAsia="仿宋"/>
                <w:color w:val="auto"/>
                <w:sz w:val="22"/>
                <w:szCs w:val="22"/>
              </w:rPr>
              <w:t>2、对采集到的流量数据进行分析，识别正常的网络流量模式和异常的流量行为，如DDoS攻击、恶意软件传播等。</w:t>
            </w:r>
          </w:p>
          <w:p w14:paraId="2682BF61">
            <w:pPr>
              <w:widowControl/>
              <w:jc w:val="center"/>
              <w:rPr>
                <w:rFonts w:hint="eastAsia" w:ascii="仿宋" w:hAnsi="仿宋" w:eastAsia="仿宋" w:cs="仿宋"/>
                <w:color w:val="auto"/>
                <w:kern w:val="0"/>
                <w:sz w:val="24"/>
                <w:lang w:bidi="ar"/>
              </w:rPr>
            </w:pPr>
            <w:r>
              <w:rPr>
                <w:rFonts w:hint="eastAsia" w:ascii="仿宋" w:hAnsi="仿宋" w:eastAsia="仿宋" w:cs="仿宋"/>
                <w:color w:val="auto"/>
                <w:kern w:val="0"/>
                <w:sz w:val="24"/>
                <w:lang w:bidi="ar"/>
              </w:rPr>
              <w:t>3、根据流量分析结果进行网络流量优化和安全防护的能力，如通过流量整形、带宽管理等技术提高网络性能，同时采取相应的安全措施防范流量中的安全威胁。</w:t>
            </w:r>
          </w:p>
        </w:tc>
        <w:tc>
          <w:tcPr>
            <w:tcW w:w="0" w:type="auto"/>
            <w:vAlign w:val="center"/>
          </w:tcPr>
          <w:p w14:paraId="00F4C5C8">
            <w:pPr>
              <w:adjustRightInd w:val="0"/>
              <w:snapToGrid w:val="0"/>
              <w:spacing w:before="156" w:beforeLines="50"/>
              <w:jc w:val="center"/>
              <w:rPr>
                <w:rFonts w:hint="eastAsia" w:ascii="仿宋" w:hAnsi="仿宋" w:eastAsia="仿宋"/>
                <w:color w:val="auto"/>
                <w:sz w:val="24"/>
                <w:lang w:eastAsia="zh-CN"/>
              </w:rPr>
            </w:pPr>
            <w:r>
              <w:rPr>
                <w:rFonts w:hint="eastAsia" w:ascii="仿宋" w:hAnsi="仿宋" w:eastAsia="仿宋"/>
                <w:color w:val="auto"/>
                <w:sz w:val="22"/>
                <w:szCs w:val="22"/>
                <w:lang w:val="en-US" w:eastAsia="zh-CN"/>
              </w:rPr>
              <w:t>6</w:t>
            </w:r>
          </w:p>
        </w:tc>
        <w:tc>
          <w:tcPr>
            <w:tcW w:w="0" w:type="auto"/>
            <w:vAlign w:val="center"/>
          </w:tcPr>
          <w:p w14:paraId="49543F74">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结果评分-机考评分</w:t>
            </w:r>
          </w:p>
        </w:tc>
      </w:tr>
      <w:tr w14:paraId="383D4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0" w:type="auto"/>
            <w:vMerge w:val="restart"/>
            <w:vAlign w:val="center"/>
          </w:tcPr>
          <w:p w14:paraId="3E97D778">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第二阶段</w:t>
            </w:r>
          </w:p>
          <w:p w14:paraId="17E91560">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权重</w:t>
            </w:r>
            <w:r>
              <w:rPr>
                <w:rFonts w:hint="eastAsia" w:ascii="仿宋" w:hAnsi="仿宋" w:eastAsia="仿宋"/>
                <w:color w:val="auto"/>
                <w:sz w:val="24"/>
                <w:lang w:val="en-US" w:eastAsia="zh-CN"/>
              </w:rPr>
              <w:t>2</w:t>
            </w:r>
            <w:r>
              <w:rPr>
                <w:rFonts w:hint="eastAsia" w:ascii="仿宋" w:hAnsi="仿宋" w:eastAsia="仿宋"/>
                <w:color w:val="auto"/>
                <w:sz w:val="24"/>
              </w:rPr>
              <w:t>0%</w:t>
            </w:r>
          </w:p>
        </w:tc>
        <w:tc>
          <w:tcPr>
            <w:tcW w:w="0" w:type="auto"/>
            <w:vAlign w:val="center"/>
          </w:tcPr>
          <w:p w14:paraId="63E5BBEB">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2"/>
                <w:szCs w:val="22"/>
              </w:rPr>
              <w:t>安全加固</w:t>
            </w:r>
          </w:p>
        </w:tc>
        <w:tc>
          <w:tcPr>
            <w:tcW w:w="0" w:type="auto"/>
            <w:vAlign w:val="center"/>
          </w:tcPr>
          <w:p w14:paraId="779C8CE9">
            <w:pPr>
              <w:widowControl/>
              <w:jc w:val="center"/>
              <w:rPr>
                <w:rFonts w:ascii="仿宋" w:hAnsi="仿宋" w:eastAsia="仿宋"/>
                <w:color w:val="auto"/>
                <w:sz w:val="22"/>
                <w:szCs w:val="22"/>
              </w:rPr>
            </w:pPr>
            <w:r>
              <w:rPr>
                <w:rFonts w:hint="eastAsia" w:ascii="仿宋" w:hAnsi="仿宋" w:eastAsia="仿宋"/>
                <w:color w:val="auto"/>
                <w:sz w:val="22"/>
                <w:szCs w:val="22"/>
              </w:rPr>
              <w:t>1、对操作系统和常用应用程序进行安全加固的能力，包括更新补丁、配置安全策略、关闭不必要的服务和端口等。</w:t>
            </w:r>
          </w:p>
          <w:p w14:paraId="4BD6B4CA">
            <w:pPr>
              <w:widowControl/>
              <w:jc w:val="center"/>
              <w:rPr>
                <w:rFonts w:ascii="仿宋" w:hAnsi="仿宋" w:eastAsia="仿宋"/>
                <w:color w:val="auto"/>
                <w:sz w:val="22"/>
                <w:szCs w:val="22"/>
              </w:rPr>
            </w:pPr>
            <w:r>
              <w:rPr>
                <w:rFonts w:hint="eastAsia" w:ascii="仿宋" w:hAnsi="仿宋" w:eastAsia="仿宋"/>
                <w:color w:val="auto"/>
                <w:sz w:val="22"/>
                <w:szCs w:val="22"/>
              </w:rPr>
              <w:t>2、对网络服务（如Web服务器、邮件服务器等）进行安全配置和加固，防止常见的网络攻击，如反序列化、CC链、未授权漏洞等。</w:t>
            </w:r>
          </w:p>
          <w:p w14:paraId="7F67217A">
            <w:pPr>
              <w:widowControl/>
              <w:rPr>
                <w:rFonts w:hint="eastAsia" w:ascii="仿宋" w:hAnsi="仿宋" w:eastAsia="仿宋" w:cs="仿宋"/>
                <w:color w:val="auto"/>
                <w:kern w:val="0"/>
                <w:sz w:val="24"/>
                <w:lang w:bidi="ar"/>
              </w:rPr>
            </w:pPr>
            <w:r>
              <w:rPr>
                <w:rFonts w:hint="eastAsia" w:ascii="仿宋" w:hAnsi="仿宋" w:eastAsia="仿宋"/>
                <w:color w:val="auto"/>
                <w:sz w:val="22"/>
                <w:szCs w:val="22"/>
              </w:rPr>
              <w:t>3、对敏感数据进行加密处理的能力，以及设置合理的访问控制策略，确保数据的安全性和保密性。</w:t>
            </w:r>
          </w:p>
        </w:tc>
        <w:tc>
          <w:tcPr>
            <w:tcW w:w="0" w:type="auto"/>
            <w:vAlign w:val="center"/>
          </w:tcPr>
          <w:p w14:paraId="327C2FDF">
            <w:pPr>
              <w:adjustRightInd w:val="0"/>
              <w:snapToGrid w:val="0"/>
              <w:spacing w:before="156" w:beforeLines="50"/>
              <w:jc w:val="center"/>
              <w:rPr>
                <w:rFonts w:hint="eastAsia" w:ascii="仿宋" w:hAnsi="仿宋" w:eastAsia="仿宋"/>
                <w:color w:val="auto"/>
                <w:sz w:val="24"/>
                <w:lang w:eastAsia="zh-CN"/>
              </w:rPr>
            </w:pPr>
            <w:r>
              <w:rPr>
                <w:rFonts w:hint="eastAsia" w:ascii="仿宋" w:hAnsi="仿宋" w:eastAsia="仿宋"/>
                <w:color w:val="auto"/>
                <w:sz w:val="22"/>
                <w:szCs w:val="22"/>
                <w:lang w:val="en-US" w:eastAsia="zh-CN"/>
              </w:rPr>
              <w:t>5</w:t>
            </w:r>
          </w:p>
        </w:tc>
        <w:tc>
          <w:tcPr>
            <w:tcW w:w="0" w:type="auto"/>
            <w:vAlign w:val="center"/>
          </w:tcPr>
          <w:p w14:paraId="61453CE0">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结果评分-机考评分</w:t>
            </w:r>
          </w:p>
        </w:tc>
      </w:tr>
      <w:tr w14:paraId="1ECD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0" w:type="auto"/>
            <w:vMerge w:val="continue"/>
            <w:vAlign w:val="center"/>
          </w:tcPr>
          <w:p w14:paraId="576C978F">
            <w:pPr>
              <w:adjustRightInd w:val="0"/>
              <w:snapToGrid w:val="0"/>
              <w:spacing w:before="156" w:beforeLines="50"/>
              <w:jc w:val="center"/>
              <w:rPr>
                <w:rFonts w:hint="eastAsia" w:ascii="仿宋" w:hAnsi="仿宋" w:eastAsia="仿宋"/>
                <w:color w:val="auto"/>
                <w:sz w:val="24"/>
              </w:rPr>
            </w:pPr>
          </w:p>
        </w:tc>
        <w:tc>
          <w:tcPr>
            <w:tcW w:w="0" w:type="auto"/>
            <w:vAlign w:val="center"/>
          </w:tcPr>
          <w:p w14:paraId="7BFF2016">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2"/>
                <w:szCs w:val="22"/>
              </w:rPr>
              <w:t>应急响应</w:t>
            </w:r>
          </w:p>
        </w:tc>
        <w:tc>
          <w:tcPr>
            <w:tcW w:w="0" w:type="auto"/>
            <w:vAlign w:val="center"/>
          </w:tcPr>
          <w:p w14:paraId="5D7BD556">
            <w:pPr>
              <w:widowControl/>
              <w:jc w:val="center"/>
              <w:rPr>
                <w:rFonts w:ascii="仿宋" w:hAnsi="仿宋" w:eastAsia="仿宋"/>
                <w:color w:val="auto"/>
                <w:sz w:val="22"/>
                <w:szCs w:val="22"/>
              </w:rPr>
            </w:pPr>
            <w:r>
              <w:rPr>
                <w:rFonts w:hint="eastAsia" w:ascii="仿宋" w:hAnsi="仿宋" w:eastAsia="仿宋"/>
                <w:color w:val="auto"/>
                <w:sz w:val="22"/>
                <w:szCs w:val="22"/>
              </w:rPr>
              <w:t>1、及时发现安全事件的能力，包括对网络入侵、数据泄露等安全事件的快速检测和预警。</w:t>
            </w:r>
          </w:p>
          <w:p w14:paraId="72B41A2F">
            <w:pPr>
              <w:widowControl/>
              <w:jc w:val="center"/>
              <w:rPr>
                <w:rFonts w:ascii="仿宋" w:hAnsi="仿宋" w:eastAsia="仿宋"/>
                <w:color w:val="auto"/>
                <w:sz w:val="22"/>
                <w:szCs w:val="22"/>
              </w:rPr>
            </w:pPr>
            <w:r>
              <w:rPr>
                <w:rFonts w:hint="eastAsia" w:ascii="仿宋" w:hAnsi="仿宋" w:eastAsia="仿宋"/>
                <w:color w:val="auto"/>
                <w:sz w:val="22"/>
                <w:szCs w:val="22"/>
              </w:rPr>
              <w:t>2、应急响应的基本流程和策略，在安全事件发生时能够迅速采取措施进行遏制和消除，减少损失和影响。</w:t>
            </w:r>
          </w:p>
          <w:p w14:paraId="057EF5B7">
            <w:pPr>
              <w:widowControl/>
              <w:rPr>
                <w:rFonts w:hint="eastAsia" w:ascii="仿宋" w:hAnsi="仿宋" w:eastAsia="仿宋" w:cs="仿宋"/>
                <w:color w:val="auto"/>
                <w:kern w:val="0"/>
                <w:sz w:val="24"/>
                <w:lang w:bidi="ar"/>
              </w:rPr>
            </w:pPr>
            <w:r>
              <w:rPr>
                <w:rFonts w:hint="eastAsia" w:ascii="仿宋" w:hAnsi="仿宋" w:eastAsia="仿宋"/>
                <w:color w:val="auto"/>
                <w:sz w:val="22"/>
                <w:szCs w:val="22"/>
              </w:rPr>
              <w:t>3、在安全事件处理后对系统进行快速恢复和数据备份的能力，确保业务的连续性和数据的完整性。</w:t>
            </w:r>
          </w:p>
        </w:tc>
        <w:tc>
          <w:tcPr>
            <w:tcW w:w="0" w:type="auto"/>
            <w:vAlign w:val="center"/>
          </w:tcPr>
          <w:p w14:paraId="72A51B8F">
            <w:pPr>
              <w:adjustRightInd w:val="0"/>
              <w:snapToGrid w:val="0"/>
              <w:spacing w:before="156" w:beforeLines="50"/>
              <w:jc w:val="center"/>
              <w:rPr>
                <w:rFonts w:hint="eastAsia" w:ascii="仿宋" w:hAnsi="仿宋" w:eastAsia="仿宋"/>
                <w:color w:val="auto"/>
                <w:sz w:val="24"/>
                <w:lang w:eastAsia="zh-CN"/>
              </w:rPr>
            </w:pPr>
            <w:r>
              <w:rPr>
                <w:rFonts w:hint="eastAsia" w:ascii="仿宋" w:hAnsi="仿宋" w:eastAsia="仿宋"/>
                <w:color w:val="auto"/>
                <w:sz w:val="22"/>
                <w:szCs w:val="22"/>
              </w:rPr>
              <w:t>1</w:t>
            </w:r>
            <w:r>
              <w:rPr>
                <w:rFonts w:hint="eastAsia" w:ascii="仿宋" w:hAnsi="仿宋" w:eastAsia="仿宋"/>
                <w:color w:val="auto"/>
                <w:sz w:val="22"/>
                <w:szCs w:val="22"/>
                <w:lang w:val="en-US" w:eastAsia="zh-CN"/>
              </w:rPr>
              <w:t>0</w:t>
            </w:r>
          </w:p>
        </w:tc>
        <w:tc>
          <w:tcPr>
            <w:tcW w:w="0" w:type="auto"/>
            <w:vAlign w:val="center"/>
          </w:tcPr>
          <w:p w14:paraId="431F31FD">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结果评分-机考评分</w:t>
            </w:r>
          </w:p>
        </w:tc>
      </w:tr>
      <w:tr w14:paraId="3497D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0" w:type="auto"/>
            <w:vMerge w:val="continue"/>
            <w:vAlign w:val="center"/>
          </w:tcPr>
          <w:p w14:paraId="24C32588">
            <w:pPr>
              <w:adjustRightInd w:val="0"/>
              <w:snapToGrid w:val="0"/>
              <w:spacing w:before="156" w:beforeLines="50"/>
              <w:jc w:val="center"/>
              <w:rPr>
                <w:rFonts w:hint="eastAsia" w:ascii="仿宋" w:hAnsi="仿宋" w:eastAsia="仿宋"/>
                <w:color w:val="auto"/>
                <w:sz w:val="24"/>
              </w:rPr>
            </w:pPr>
          </w:p>
        </w:tc>
        <w:tc>
          <w:tcPr>
            <w:tcW w:w="0" w:type="auto"/>
            <w:vAlign w:val="center"/>
          </w:tcPr>
          <w:p w14:paraId="6D83A174">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2"/>
                <w:szCs w:val="22"/>
              </w:rPr>
              <w:t>日志分析</w:t>
            </w:r>
          </w:p>
        </w:tc>
        <w:tc>
          <w:tcPr>
            <w:tcW w:w="0" w:type="auto"/>
            <w:vAlign w:val="center"/>
          </w:tcPr>
          <w:p w14:paraId="3898563D">
            <w:pPr>
              <w:widowControl/>
              <w:jc w:val="center"/>
              <w:rPr>
                <w:rFonts w:ascii="仿宋" w:hAnsi="仿宋" w:eastAsia="仿宋"/>
                <w:color w:val="auto"/>
                <w:sz w:val="22"/>
                <w:szCs w:val="22"/>
              </w:rPr>
            </w:pPr>
            <w:r>
              <w:rPr>
                <w:rFonts w:hint="eastAsia" w:ascii="仿宋" w:hAnsi="仿宋" w:eastAsia="仿宋"/>
                <w:color w:val="auto"/>
                <w:sz w:val="22"/>
                <w:szCs w:val="22"/>
              </w:rPr>
              <w:t>1、对各类设备和应用系统的日志进行收集和整理，确保日志数据的完整性和可用性。</w:t>
            </w:r>
          </w:p>
          <w:p w14:paraId="6DD5D12E">
            <w:pPr>
              <w:widowControl/>
              <w:jc w:val="center"/>
              <w:rPr>
                <w:rFonts w:hint="eastAsia" w:ascii="仿宋" w:hAnsi="仿宋" w:eastAsia="仿宋" w:cs="仿宋"/>
                <w:color w:val="auto"/>
                <w:kern w:val="0"/>
                <w:sz w:val="24"/>
                <w:lang w:bidi="ar"/>
              </w:rPr>
            </w:pPr>
            <w:r>
              <w:rPr>
                <w:rFonts w:hint="eastAsia" w:ascii="仿宋" w:hAnsi="仿宋" w:eastAsia="仿宋"/>
                <w:color w:val="auto"/>
                <w:sz w:val="22"/>
                <w:szCs w:val="22"/>
              </w:rPr>
              <w:t>2、对日志数据进行深入分析，识别其中的安全事件和异常行为，并能够通过日志追溯安全事件的源头和攻击路径。</w:t>
            </w:r>
          </w:p>
        </w:tc>
        <w:tc>
          <w:tcPr>
            <w:tcW w:w="0" w:type="auto"/>
            <w:vAlign w:val="center"/>
          </w:tcPr>
          <w:p w14:paraId="3EC6BD3C">
            <w:pPr>
              <w:adjustRightInd w:val="0"/>
              <w:snapToGrid w:val="0"/>
              <w:spacing w:before="156" w:beforeLines="50"/>
              <w:jc w:val="center"/>
              <w:rPr>
                <w:rFonts w:hint="eastAsia" w:ascii="仿宋" w:hAnsi="仿宋" w:eastAsia="仿宋"/>
                <w:color w:val="auto"/>
                <w:sz w:val="24"/>
                <w:lang w:eastAsia="zh-CN"/>
              </w:rPr>
            </w:pPr>
            <w:r>
              <w:rPr>
                <w:rFonts w:hint="eastAsia" w:ascii="仿宋" w:hAnsi="仿宋" w:eastAsia="仿宋"/>
                <w:color w:val="auto"/>
                <w:sz w:val="22"/>
                <w:szCs w:val="22"/>
                <w:lang w:val="en-US" w:eastAsia="zh-CN"/>
              </w:rPr>
              <w:t>5</w:t>
            </w:r>
          </w:p>
        </w:tc>
        <w:tc>
          <w:tcPr>
            <w:tcW w:w="0" w:type="auto"/>
            <w:vAlign w:val="center"/>
          </w:tcPr>
          <w:p w14:paraId="69567372">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结果评分-机考评分</w:t>
            </w:r>
          </w:p>
        </w:tc>
      </w:tr>
      <w:tr w14:paraId="56D2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0" w:type="auto"/>
            <w:vMerge w:val="restart"/>
            <w:vAlign w:val="center"/>
          </w:tcPr>
          <w:p w14:paraId="02BA643C">
            <w:pPr>
              <w:widowControl/>
              <w:adjustRightInd w:val="0"/>
              <w:snapToGrid w:val="0"/>
              <w:jc w:val="center"/>
              <w:rPr>
                <w:rFonts w:hint="eastAsia" w:ascii="仿宋" w:hAnsi="仿宋" w:eastAsia="仿宋"/>
                <w:color w:val="auto"/>
                <w:sz w:val="22"/>
                <w:szCs w:val="22"/>
                <w:lang w:eastAsia="zh-CN"/>
              </w:rPr>
            </w:pPr>
            <w:r>
              <w:rPr>
                <w:rFonts w:hint="eastAsia" w:ascii="仿宋" w:hAnsi="仿宋" w:eastAsia="仿宋"/>
                <w:color w:val="auto"/>
                <w:sz w:val="22"/>
                <w:szCs w:val="22"/>
              </w:rPr>
              <w:t>第三</w:t>
            </w:r>
            <w:r>
              <w:rPr>
                <w:rFonts w:hint="eastAsia" w:ascii="仿宋" w:hAnsi="仿宋" w:eastAsia="仿宋"/>
                <w:color w:val="auto"/>
                <w:sz w:val="22"/>
                <w:szCs w:val="22"/>
                <w:lang w:val="en-US" w:eastAsia="zh-CN"/>
              </w:rPr>
              <w:t>阶段</w:t>
            </w:r>
          </w:p>
          <w:p w14:paraId="2436BFFB">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2"/>
                <w:szCs w:val="22"/>
              </w:rPr>
              <w:t>权重</w:t>
            </w:r>
            <w:r>
              <w:rPr>
                <w:rFonts w:hint="eastAsia" w:ascii="仿宋" w:hAnsi="仿宋" w:eastAsia="仿宋"/>
                <w:color w:val="auto"/>
                <w:sz w:val="22"/>
                <w:szCs w:val="22"/>
                <w:lang w:val="en-US" w:eastAsia="zh-CN"/>
              </w:rPr>
              <w:t>3</w:t>
            </w:r>
            <w:r>
              <w:rPr>
                <w:rFonts w:hint="eastAsia" w:ascii="仿宋" w:hAnsi="仿宋" w:eastAsia="仿宋"/>
                <w:color w:val="auto"/>
                <w:sz w:val="22"/>
                <w:szCs w:val="22"/>
              </w:rPr>
              <w:t>0%</w:t>
            </w:r>
          </w:p>
        </w:tc>
        <w:tc>
          <w:tcPr>
            <w:tcW w:w="0" w:type="auto"/>
            <w:vAlign w:val="center"/>
          </w:tcPr>
          <w:p w14:paraId="636FCD95">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2"/>
                <w:szCs w:val="22"/>
              </w:rPr>
              <w:t>渗透测试</w:t>
            </w:r>
          </w:p>
        </w:tc>
        <w:tc>
          <w:tcPr>
            <w:tcW w:w="0" w:type="auto"/>
            <w:vAlign w:val="center"/>
          </w:tcPr>
          <w:p w14:paraId="5437775B">
            <w:pPr>
              <w:widowControl/>
              <w:jc w:val="center"/>
              <w:rPr>
                <w:rFonts w:ascii="仿宋" w:hAnsi="仿宋" w:eastAsia="仿宋"/>
                <w:color w:val="auto"/>
                <w:sz w:val="22"/>
                <w:szCs w:val="22"/>
              </w:rPr>
            </w:pPr>
            <w:r>
              <w:rPr>
                <w:rFonts w:hint="eastAsia" w:ascii="仿宋" w:hAnsi="仿宋" w:eastAsia="仿宋"/>
                <w:color w:val="auto"/>
                <w:sz w:val="22"/>
                <w:szCs w:val="22"/>
              </w:rPr>
              <w:t>1、进行目标系统信息收集和漏洞扫描的能力，包括使用各种工具和技术获取目标系统的相关信息和发现潜在的漏洞。</w:t>
            </w:r>
          </w:p>
          <w:p w14:paraId="532EBF52">
            <w:pPr>
              <w:widowControl/>
              <w:rPr>
                <w:rFonts w:hint="eastAsia" w:ascii="仿宋" w:hAnsi="仿宋" w:eastAsia="仿宋" w:cs="仿宋"/>
                <w:color w:val="auto"/>
                <w:kern w:val="0"/>
                <w:sz w:val="24"/>
                <w:lang w:bidi="ar"/>
              </w:rPr>
            </w:pPr>
            <w:r>
              <w:rPr>
                <w:rFonts w:hint="eastAsia" w:ascii="仿宋" w:hAnsi="仿宋" w:eastAsia="仿宋"/>
                <w:color w:val="auto"/>
                <w:sz w:val="22"/>
                <w:szCs w:val="22"/>
              </w:rPr>
              <w:t>2、利用发现的漏洞进行模拟攻击，验证漏洞的真实性和可利用性，同时掌握不同的攻击技术和方法。3、内网环境中的渗透能力，包括绕过网络防御、获取内网资源访问权限、提升权限等，以全面评估目标网络的安全性。</w:t>
            </w:r>
          </w:p>
        </w:tc>
        <w:tc>
          <w:tcPr>
            <w:tcW w:w="0" w:type="auto"/>
            <w:vAlign w:val="center"/>
          </w:tcPr>
          <w:p w14:paraId="436E7FBC">
            <w:pPr>
              <w:adjustRightInd w:val="0"/>
              <w:snapToGrid w:val="0"/>
              <w:spacing w:before="156" w:beforeLines="50"/>
              <w:jc w:val="center"/>
              <w:rPr>
                <w:rFonts w:hint="default" w:ascii="仿宋" w:hAnsi="仿宋" w:eastAsia="仿宋"/>
                <w:color w:val="auto"/>
                <w:sz w:val="24"/>
                <w:lang w:val="en-US" w:eastAsia="zh-CN"/>
              </w:rPr>
            </w:pPr>
            <w:r>
              <w:rPr>
                <w:rFonts w:hint="eastAsia" w:ascii="仿宋" w:hAnsi="仿宋" w:eastAsia="仿宋"/>
                <w:color w:val="auto"/>
                <w:sz w:val="22"/>
                <w:szCs w:val="22"/>
                <w:lang w:val="en-US" w:eastAsia="zh-CN"/>
              </w:rPr>
              <w:t>25</w:t>
            </w:r>
          </w:p>
        </w:tc>
        <w:tc>
          <w:tcPr>
            <w:tcW w:w="0" w:type="auto"/>
            <w:vAlign w:val="center"/>
          </w:tcPr>
          <w:p w14:paraId="01272C10">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结果评分-机考评分</w:t>
            </w:r>
          </w:p>
        </w:tc>
      </w:tr>
      <w:tr w14:paraId="456F9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0" w:type="auto"/>
            <w:vMerge w:val="continue"/>
            <w:vAlign w:val="center"/>
          </w:tcPr>
          <w:p w14:paraId="1B60C30C">
            <w:pPr>
              <w:adjustRightInd w:val="0"/>
              <w:snapToGrid w:val="0"/>
              <w:spacing w:before="156" w:beforeLines="50"/>
              <w:jc w:val="center"/>
              <w:rPr>
                <w:rFonts w:hint="eastAsia" w:ascii="仿宋" w:hAnsi="仿宋" w:eastAsia="仿宋"/>
                <w:color w:val="auto"/>
                <w:sz w:val="24"/>
              </w:rPr>
            </w:pPr>
          </w:p>
        </w:tc>
        <w:tc>
          <w:tcPr>
            <w:tcW w:w="0" w:type="auto"/>
            <w:vAlign w:val="center"/>
          </w:tcPr>
          <w:p w14:paraId="6A27691E">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职业素养</w:t>
            </w:r>
          </w:p>
        </w:tc>
        <w:tc>
          <w:tcPr>
            <w:tcW w:w="0" w:type="auto"/>
            <w:vAlign w:val="center"/>
          </w:tcPr>
          <w:p w14:paraId="04F881DD">
            <w:pPr>
              <w:widowControl/>
              <w:jc w:val="center"/>
              <w:rPr>
                <w:rFonts w:hint="eastAsia" w:ascii="仿宋" w:hAnsi="仿宋" w:eastAsia="仿宋" w:cs="仿宋"/>
                <w:color w:val="auto"/>
                <w:kern w:val="0"/>
                <w:sz w:val="24"/>
                <w:lang w:bidi="ar"/>
              </w:rPr>
            </w:pPr>
            <w:r>
              <w:rPr>
                <w:rFonts w:hint="eastAsia" w:ascii="仿宋" w:hAnsi="仿宋" w:eastAsia="仿宋"/>
                <w:color w:val="auto"/>
                <w:sz w:val="22"/>
                <w:szCs w:val="22"/>
              </w:rPr>
              <w:t>网络与信息安全理论知识和职业素养</w:t>
            </w:r>
          </w:p>
        </w:tc>
        <w:tc>
          <w:tcPr>
            <w:tcW w:w="0" w:type="auto"/>
            <w:vAlign w:val="center"/>
          </w:tcPr>
          <w:p w14:paraId="4C9AA638">
            <w:pPr>
              <w:adjustRightInd w:val="0"/>
              <w:snapToGrid w:val="0"/>
              <w:spacing w:before="156" w:beforeLines="50"/>
              <w:jc w:val="center"/>
              <w:rPr>
                <w:rFonts w:hint="eastAsia" w:ascii="仿宋" w:hAnsi="仿宋" w:eastAsia="仿宋"/>
                <w:color w:val="auto"/>
                <w:sz w:val="24"/>
                <w:lang w:eastAsia="zh-CN"/>
              </w:rPr>
            </w:pPr>
            <w:r>
              <w:rPr>
                <w:rFonts w:hint="eastAsia" w:ascii="仿宋" w:hAnsi="仿宋" w:eastAsia="仿宋"/>
                <w:color w:val="auto"/>
                <w:sz w:val="24"/>
                <w:lang w:val="en-US" w:eastAsia="zh-CN"/>
              </w:rPr>
              <w:t>5</w:t>
            </w:r>
          </w:p>
        </w:tc>
        <w:tc>
          <w:tcPr>
            <w:tcW w:w="0" w:type="auto"/>
            <w:vAlign w:val="center"/>
          </w:tcPr>
          <w:p w14:paraId="63E78F41">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4"/>
              </w:rPr>
              <w:t>结果评分-机考评分</w:t>
            </w:r>
          </w:p>
        </w:tc>
      </w:tr>
      <w:tr w14:paraId="7FFD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7" w:hRule="atLeast"/>
          <w:jc w:val="center"/>
        </w:trPr>
        <w:tc>
          <w:tcPr>
            <w:tcW w:w="0" w:type="auto"/>
            <w:vAlign w:val="center"/>
          </w:tcPr>
          <w:p w14:paraId="2407FEF9">
            <w:pPr>
              <w:adjustRightInd w:val="0"/>
              <w:snapToGrid w:val="0"/>
              <w:spacing w:before="156" w:beforeLines="50"/>
              <w:jc w:val="center"/>
              <w:rPr>
                <w:rFonts w:hint="eastAsia" w:ascii="仿宋" w:hAnsi="仿宋" w:eastAsia="仿宋"/>
                <w:color w:val="auto"/>
                <w:sz w:val="22"/>
                <w:szCs w:val="22"/>
                <w:lang w:val="en-US" w:eastAsia="zh-CN"/>
              </w:rPr>
            </w:pPr>
            <w:r>
              <w:rPr>
                <w:rFonts w:hint="eastAsia" w:ascii="仿宋" w:hAnsi="仿宋" w:eastAsia="仿宋"/>
                <w:color w:val="auto"/>
                <w:sz w:val="22"/>
                <w:szCs w:val="22"/>
                <w:lang w:val="en-US" w:eastAsia="zh-CN"/>
              </w:rPr>
              <w:t>第四阶段</w:t>
            </w:r>
          </w:p>
          <w:p w14:paraId="4941E7B4">
            <w:pPr>
              <w:adjustRightInd w:val="0"/>
              <w:snapToGrid w:val="0"/>
              <w:spacing w:before="156" w:beforeLines="50"/>
              <w:jc w:val="center"/>
              <w:rPr>
                <w:rFonts w:hint="eastAsia" w:ascii="仿宋" w:hAnsi="仿宋" w:eastAsia="仿宋"/>
                <w:color w:val="auto"/>
                <w:sz w:val="24"/>
              </w:rPr>
            </w:pPr>
            <w:r>
              <w:rPr>
                <w:rFonts w:hint="eastAsia" w:ascii="仿宋" w:hAnsi="仿宋" w:eastAsia="仿宋"/>
                <w:color w:val="auto"/>
                <w:sz w:val="22"/>
                <w:szCs w:val="22"/>
              </w:rPr>
              <w:t>权重</w:t>
            </w:r>
            <w:r>
              <w:rPr>
                <w:rFonts w:hint="eastAsia" w:ascii="仿宋" w:hAnsi="仿宋" w:eastAsia="仿宋"/>
                <w:color w:val="auto"/>
                <w:sz w:val="22"/>
                <w:szCs w:val="22"/>
                <w:lang w:val="en-US" w:eastAsia="zh-CN"/>
              </w:rPr>
              <w:t>3</w:t>
            </w:r>
            <w:r>
              <w:rPr>
                <w:rFonts w:hint="eastAsia" w:ascii="仿宋" w:hAnsi="仿宋" w:eastAsia="仿宋"/>
                <w:color w:val="auto"/>
                <w:sz w:val="22"/>
                <w:szCs w:val="22"/>
              </w:rPr>
              <w:t>0%</w:t>
            </w:r>
          </w:p>
        </w:tc>
        <w:tc>
          <w:tcPr>
            <w:tcW w:w="0" w:type="auto"/>
            <w:vAlign w:val="center"/>
          </w:tcPr>
          <w:p w14:paraId="279E3DBB">
            <w:pPr>
              <w:adjustRightInd w:val="0"/>
              <w:snapToGrid w:val="0"/>
              <w:spacing w:before="156" w:beforeLines="50"/>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项目方案展示</w:t>
            </w:r>
          </w:p>
        </w:tc>
        <w:tc>
          <w:tcPr>
            <w:tcW w:w="0" w:type="auto"/>
            <w:vAlign w:val="center"/>
          </w:tcPr>
          <w:p w14:paraId="185EED95">
            <w:pPr>
              <w:widowControl/>
              <w:jc w:val="center"/>
              <w:rPr>
                <w:rFonts w:hint="eastAsia" w:ascii="仿宋" w:hAnsi="仿宋" w:eastAsia="仿宋" w:cs="仿宋"/>
                <w:color w:val="auto"/>
                <w:kern w:val="0"/>
                <w:sz w:val="24"/>
                <w:lang w:bidi="ar"/>
              </w:rPr>
            </w:pPr>
            <w:r>
              <w:rPr>
                <w:rFonts w:hint="eastAsia" w:ascii="仿宋" w:hAnsi="仿宋" w:eastAsia="仿宋"/>
                <w:color w:val="auto"/>
                <w:sz w:val="22"/>
                <w:szCs w:val="22"/>
              </w:rPr>
              <w:t>信息安全方案设计、现场表达、团队协作与应变能力</w:t>
            </w:r>
          </w:p>
        </w:tc>
        <w:tc>
          <w:tcPr>
            <w:tcW w:w="0" w:type="auto"/>
            <w:vAlign w:val="center"/>
          </w:tcPr>
          <w:p w14:paraId="5FC0881B">
            <w:pPr>
              <w:adjustRightInd w:val="0"/>
              <w:snapToGrid w:val="0"/>
              <w:spacing w:before="156" w:beforeLines="50"/>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30</w:t>
            </w:r>
          </w:p>
        </w:tc>
        <w:tc>
          <w:tcPr>
            <w:tcW w:w="0" w:type="auto"/>
            <w:vAlign w:val="center"/>
          </w:tcPr>
          <w:p w14:paraId="2EC28536">
            <w:pPr>
              <w:adjustRightInd w:val="0"/>
              <w:snapToGrid w:val="0"/>
              <w:spacing w:before="156" w:beforeLines="50"/>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结果评分-裁判组评分</w:t>
            </w:r>
          </w:p>
        </w:tc>
      </w:tr>
    </w:tbl>
    <w:p w14:paraId="5C50A78B">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（三）注意事项</w:t>
      </w:r>
    </w:p>
    <w:p w14:paraId="1215C947">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参赛选手应体现团队风貌、团队协作与沟通、组织与管理能力和工作计划能力等，并注意相关文档的准确性与规范性。在方案展示环节，选手需着装整洁，表达流畅，展现良好的职业风采。</w:t>
      </w:r>
    </w:p>
    <w:p w14:paraId="5324F35A">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竞赛过程中，参赛选手如有不服从裁判判决、扰乱赛场秩序、舞弊等不文明行为，由裁判组按照规定扣减相应分数，情节严重的取消竞赛资格。选手有下列情形，须从比赛成绩中扣分：</w:t>
      </w:r>
    </w:p>
    <w:p w14:paraId="6071E89B">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1.违反比赛规定，提前进行操作或比赛终止后仍继续操作的，由现场裁判负责记录并酌情扣1-5分。</w:t>
      </w:r>
    </w:p>
    <w:p w14:paraId="13BAE962">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2.在竞赛过程中，造成设备损坏、情节严重的报竞赛执委会批准，终止该参赛队的比赛，竞赛成绩以0分计算。</w:t>
      </w:r>
    </w:p>
    <w:p w14:paraId="0A6CE59C">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3.禁止参赛队在比赛过程中对服务器或网络设备的任何攻击行为，一经发现立即中止该参赛队的比赛，参赛选手清离赛场，并隔离到比赛结束。该队比赛成绩经报赛项执委会批准，核计零分，比赛结束，上报大赛组委会并予以通报批评。涉及刑事犯罪的移交司法机关处理。</w:t>
      </w:r>
    </w:p>
    <w:p w14:paraId="682E6130">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（四）成绩复核与公布</w:t>
      </w:r>
    </w:p>
    <w:p w14:paraId="6E78EA13">
      <w:pPr>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竞赛成绩以复核无误后，经裁判审核签字后确定。竞赛成绩按照202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年海南省职业院校技能大赛委员会相关规定予以发布。若有异议，经过规定程序仲裁后，按照仲裁结果公布比赛成绩。</w:t>
      </w:r>
    </w:p>
    <w:p w14:paraId="27DD42F6">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rPr>
      </w:pPr>
      <w:bookmarkStart w:id="14" w:name="_Toc20085"/>
      <w:r>
        <w:rPr>
          <w:rFonts w:hint="eastAsia" w:ascii="黑体" w:hAnsi="黑体" w:eastAsia="黑体"/>
          <w:color w:val="auto"/>
          <w:spacing w:val="-10"/>
          <w:kern w:val="0"/>
          <w:sz w:val="32"/>
          <w:szCs w:val="32"/>
        </w:rPr>
        <w:t>十一、申诉与仲裁</w:t>
      </w:r>
      <w:bookmarkEnd w:id="14"/>
    </w:p>
    <w:p w14:paraId="5F0C625D">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1.海南省职业院校技能大赛设仲裁工作委员会，赛点设仲裁工作组，组长由大赛组委会办公室指派，组员为赛项裁判长和赛点执委会主任。</w:t>
      </w:r>
    </w:p>
    <w:p w14:paraId="024088BE">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2.参赛队对赛事过程、工作人员工作若有疑异，在事实清楚，证据充分的前提下可由参赛队领队以书面形式向赛点仲裁组提出申诉。报告应对申诉事件的现象、发生时间、涉及人员、申诉依据等进行充分、实事求是的叙述。非书面申诉不予受理。</w:t>
      </w:r>
    </w:p>
    <w:p w14:paraId="1AC18BAC">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3.提出申诉应在赛项比赛结束后1小时内向赛点仲裁组提出。超过时效不予受理。提出申诉后申诉人及相关涉及人员不得离开赛点，否则视为自行放弃申诉。</w:t>
      </w:r>
    </w:p>
    <w:p w14:paraId="27263112">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4.赛点仲裁工作组在接到申诉报告后的2小时内组织复议，并及时将复议结果以书面形式告知申诉方。</w:t>
      </w:r>
    </w:p>
    <w:p w14:paraId="0F96B29F">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5.对赛点仲裁组复议结果不服的，可由代表队所在院校校级领导向大赛仲裁委员会提出申诉。大赛仲裁委员会的仲裁结果为最终结果。</w:t>
      </w:r>
    </w:p>
    <w:p w14:paraId="21039A69">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6.申诉方不得以任何理由拒绝接收仲裁结果；不得以任何理由采取过激行为扰乱赛场秩序；仲裁结果由申诉人签收，不能代收；如在约定时间和地点申诉人离开，视为撤诉。</w:t>
      </w:r>
    </w:p>
    <w:p w14:paraId="140DFD3F">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7.申诉方可随时提出放弃申诉。</w:t>
      </w:r>
    </w:p>
    <w:p w14:paraId="6DB8BC80">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rPr>
      </w:pPr>
      <w:bookmarkStart w:id="15" w:name="_Toc17867"/>
      <w:r>
        <w:rPr>
          <w:rFonts w:hint="eastAsia" w:ascii="黑体" w:hAnsi="黑体" w:eastAsia="黑体"/>
          <w:color w:val="auto"/>
          <w:spacing w:val="-10"/>
          <w:kern w:val="0"/>
          <w:sz w:val="32"/>
          <w:szCs w:val="32"/>
        </w:rPr>
        <w:t>十二、竞赛观摩</w:t>
      </w:r>
      <w:bookmarkEnd w:id="15"/>
    </w:p>
    <w:p w14:paraId="4D7C4C30">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媒体可以在不打扰选手竞赛的要求下，沿现场指定观摩通道有组织</w:t>
      </w:r>
      <w:r>
        <w:rPr>
          <w:rFonts w:hint="eastAsia" w:ascii="仿宋" w:hAnsi="仿宋" w:eastAsia="仿宋" w:cs="Times New Roman"/>
          <w:color w:val="auto"/>
          <w:sz w:val="28"/>
          <w:szCs w:val="28"/>
        </w:rPr>
        <w:t>地参观竞赛现场，了解信息安全技术及职业教育教学成果。</w:t>
      </w:r>
      <w:r>
        <w:rPr>
          <w:rFonts w:hint="eastAsia" w:ascii="仿宋" w:hAnsi="仿宋" w:eastAsia="仿宋" w:cs="Times New Roman"/>
          <w:color w:val="auto"/>
          <w:sz w:val="28"/>
          <w:szCs w:val="28"/>
          <w:lang w:val="en-US" w:eastAsia="zh-CN"/>
        </w:rPr>
        <w:t>项目方案</w:t>
      </w:r>
      <w:r>
        <w:rPr>
          <w:rFonts w:hint="eastAsia" w:ascii="仿宋" w:hAnsi="仿宋" w:eastAsia="仿宋" w:cs="Times New Roman"/>
          <w:color w:val="auto"/>
          <w:sz w:val="28"/>
          <w:szCs w:val="28"/>
        </w:rPr>
        <w:t>展示与答辩</w:t>
      </w:r>
      <w:r>
        <w:rPr>
          <w:rFonts w:hint="eastAsia" w:ascii="仿宋" w:hAnsi="仿宋" w:eastAsia="仿宋"/>
          <w:color w:val="auto"/>
          <w:sz w:val="28"/>
          <w:szCs w:val="28"/>
        </w:rPr>
        <w:t>环节可向媒体、指导老师及经批准的人员开放观摩。</w:t>
      </w:r>
    </w:p>
    <w:p w14:paraId="233F9774">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在赛场外布置开放式展区，对信息安全技术应用进行科普宣传，将信息安全技术在人们生活中的应用对公众进行展现。</w:t>
      </w:r>
    </w:p>
    <w:p w14:paraId="03F75AB7">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rPr>
      </w:pPr>
      <w:r>
        <w:rPr>
          <w:rFonts w:hint="eastAsia" w:ascii="黑体" w:hAnsi="黑体" w:eastAsia="黑体"/>
          <w:color w:val="auto"/>
          <w:spacing w:val="-10"/>
          <w:kern w:val="0"/>
          <w:sz w:val="32"/>
          <w:szCs w:val="32"/>
        </w:rPr>
        <w:t>十</w:t>
      </w:r>
      <w:r>
        <w:rPr>
          <w:rFonts w:hint="eastAsia" w:ascii="黑体" w:hAnsi="黑体" w:eastAsia="黑体"/>
          <w:color w:val="auto"/>
          <w:spacing w:val="-10"/>
          <w:kern w:val="0"/>
          <w:sz w:val="32"/>
          <w:szCs w:val="32"/>
          <w:lang w:val="en-US" w:eastAsia="zh-CN"/>
        </w:rPr>
        <w:t>三</w:t>
      </w:r>
      <w:r>
        <w:rPr>
          <w:rFonts w:hint="eastAsia" w:ascii="黑体" w:hAnsi="黑体" w:eastAsia="黑体"/>
          <w:color w:val="auto"/>
          <w:spacing w:val="-10"/>
          <w:kern w:val="0"/>
          <w:sz w:val="32"/>
          <w:szCs w:val="32"/>
        </w:rPr>
        <w:t>、</w:t>
      </w:r>
      <w:r>
        <w:rPr>
          <w:rFonts w:hint="eastAsia" w:ascii="黑体" w:hAnsi="黑体" w:eastAsia="黑体"/>
          <w:color w:val="auto"/>
          <w:spacing w:val="-10"/>
          <w:kern w:val="0"/>
          <w:sz w:val="32"/>
          <w:szCs w:val="32"/>
          <w:lang w:val="en-US" w:eastAsia="zh-CN"/>
        </w:rPr>
        <w:t>项目</w:t>
      </w:r>
      <w:r>
        <w:rPr>
          <w:rFonts w:hint="eastAsia" w:ascii="黑体" w:hAnsi="黑体" w:eastAsia="黑体"/>
          <w:color w:val="auto"/>
          <w:spacing w:val="-10"/>
          <w:kern w:val="0"/>
          <w:sz w:val="32"/>
          <w:szCs w:val="32"/>
        </w:rPr>
        <w:t>展示与答辩环节</w:t>
      </w:r>
    </w:p>
    <w:p w14:paraId="2ED9801C">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（一）</w:t>
      </w:r>
      <w:r>
        <w:rPr>
          <w:rFonts w:hint="eastAsia" w:ascii="仿宋" w:hAnsi="仿宋" w:eastAsia="仿宋"/>
          <w:color w:val="auto"/>
          <w:sz w:val="28"/>
          <w:szCs w:val="28"/>
          <w:lang w:val="en-US" w:eastAsia="zh-CN"/>
        </w:rPr>
        <w:t>项目</w:t>
      </w:r>
      <w:r>
        <w:rPr>
          <w:rFonts w:hint="eastAsia" w:ascii="仿宋" w:hAnsi="仿宋" w:eastAsia="仿宋"/>
          <w:color w:val="auto"/>
          <w:sz w:val="28"/>
          <w:szCs w:val="28"/>
        </w:rPr>
        <w:t>展示目的</w:t>
      </w:r>
    </w:p>
    <w:p w14:paraId="169D9EE9">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为全面考察参赛队伍在信息安全方案设计、现场表达、团队协作与应变能力等方面的综合素质，特增设“方案展示与答辩”环节。该环节旨在模拟真实工作场景中向客户或管理层汇报安全方案的过程，提升选手的综合职业素养。</w:t>
      </w:r>
    </w:p>
    <w:p w14:paraId="10C2E3E0">
      <w:pPr>
        <w:numPr>
          <w:ilvl w:val="0"/>
          <w:numId w:val="4"/>
        </w:num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lang w:val="en-US" w:eastAsia="zh-CN"/>
        </w:rPr>
        <w:t>项目</w:t>
      </w:r>
      <w:r>
        <w:rPr>
          <w:rFonts w:hint="eastAsia" w:ascii="仿宋" w:hAnsi="仿宋" w:eastAsia="仿宋"/>
          <w:color w:val="auto"/>
          <w:sz w:val="28"/>
          <w:szCs w:val="28"/>
        </w:rPr>
        <w:t>展示</w:t>
      </w:r>
      <w:r>
        <w:rPr>
          <w:rFonts w:hint="eastAsia" w:ascii="仿宋" w:hAnsi="仿宋" w:eastAsia="仿宋"/>
          <w:color w:val="auto"/>
          <w:sz w:val="28"/>
          <w:szCs w:val="28"/>
          <w:lang w:val="en-US" w:eastAsia="zh-CN"/>
        </w:rPr>
        <w:t>内容</w:t>
      </w:r>
    </w:p>
    <w:p w14:paraId="4A9EAD9A">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每支参赛队伍需基于比赛过程中所完成的安全加固策略部署、应急响应流程、渗透测试报告，整理并制作一份PDF汇报材料，内容包括但不限于：</w:t>
      </w:r>
    </w:p>
    <w:p w14:paraId="372788DA">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安全</w:t>
      </w:r>
      <w:r>
        <w:rPr>
          <w:rFonts w:hint="eastAsia" w:ascii="仿宋" w:hAnsi="仿宋" w:eastAsia="仿宋"/>
          <w:color w:val="auto"/>
          <w:sz w:val="28"/>
          <w:szCs w:val="28"/>
          <w:lang w:val="en-US" w:eastAsia="zh-CN"/>
        </w:rPr>
        <w:t>问题</w:t>
      </w:r>
      <w:r>
        <w:rPr>
          <w:rFonts w:hint="eastAsia" w:ascii="仿宋" w:hAnsi="仿宋" w:eastAsia="仿宋"/>
          <w:color w:val="auto"/>
          <w:sz w:val="28"/>
          <w:szCs w:val="28"/>
        </w:rPr>
        <w:t>分析</w:t>
      </w:r>
    </w:p>
    <w:p w14:paraId="3CFEEAE8">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lang w:val="en-US" w:eastAsia="zh-CN"/>
        </w:rPr>
        <w:t>加固</w:t>
      </w:r>
      <w:r>
        <w:rPr>
          <w:rFonts w:hint="eastAsia" w:ascii="仿宋" w:hAnsi="仿宋" w:eastAsia="仿宋"/>
          <w:color w:val="auto"/>
          <w:sz w:val="28"/>
          <w:szCs w:val="28"/>
        </w:rPr>
        <w:t>方案设计与实施路径</w:t>
      </w:r>
    </w:p>
    <w:p w14:paraId="383877E3">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遇到的</w:t>
      </w:r>
      <w:r>
        <w:rPr>
          <w:rFonts w:hint="eastAsia" w:ascii="仿宋" w:hAnsi="仿宋" w:eastAsia="仿宋"/>
          <w:color w:val="auto"/>
          <w:sz w:val="28"/>
          <w:szCs w:val="28"/>
          <w:lang w:val="en-US" w:eastAsia="zh-CN"/>
        </w:rPr>
        <w:t>安全</w:t>
      </w:r>
      <w:r>
        <w:rPr>
          <w:rFonts w:hint="eastAsia" w:ascii="仿宋" w:hAnsi="仿宋" w:eastAsia="仿宋"/>
          <w:color w:val="auto"/>
          <w:sz w:val="28"/>
          <w:szCs w:val="28"/>
        </w:rPr>
        <w:t>问题</w:t>
      </w:r>
      <w:r>
        <w:rPr>
          <w:rFonts w:hint="eastAsia" w:ascii="仿宋" w:hAnsi="仿宋" w:eastAsia="仿宋"/>
          <w:color w:val="auto"/>
          <w:sz w:val="28"/>
          <w:szCs w:val="28"/>
          <w:lang w:val="en-US" w:eastAsia="zh-CN"/>
        </w:rPr>
        <w:t>分析</w:t>
      </w:r>
      <w:r>
        <w:rPr>
          <w:rFonts w:hint="eastAsia" w:ascii="仿宋" w:hAnsi="仿宋" w:eastAsia="仿宋"/>
          <w:color w:val="auto"/>
          <w:sz w:val="28"/>
          <w:szCs w:val="28"/>
        </w:rPr>
        <w:t>与解决思路</w:t>
      </w:r>
    </w:p>
    <w:p w14:paraId="37960075">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lang w:val="en-US" w:eastAsia="zh-CN"/>
        </w:rPr>
        <w:t>渗透</w:t>
      </w:r>
      <w:r>
        <w:rPr>
          <w:rFonts w:hint="eastAsia" w:ascii="仿宋" w:hAnsi="仿宋" w:eastAsia="仿宋"/>
          <w:color w:val="auto"/>
          <w:sz w:val="28"/>
          <w:szCs w:val="28"/>
        </w:rPr>
        <w:t>成果总结与</w:t>
      </w:r>
      <w:r>
        <w:rPr>
          <w:rFonts w:hint="eastAsia" w:ascii="仿宋" w:hAnsi="仿宋" w:eastAsia="仿宋"/>
          <w:color w:val="auto"/>
          <w:sz w:val="28"/>
          <w:szCs w:val="28"/>
          <w:lang w:val="en-US" w:eastAsia="zh-CN"/>
        </w:rPr>
        <w:t>修复</w:t>
      </w:r>
      <w:r>
        <w:rPr>
          <w:rFonts w:hint="eastAsia" w:ascii="仿宋" w:hAnsi="仿宋" w:eastAsia="仿宋"/>
          <w:color w:val="auto"/>
          <w:sz w:val="28"/>
          <w:szCs w:val="28"/>
        </w:rPr>
        <w:t>建议</w:t>
      </w:r>
    </w:p>
    <w:p w14:paraId="60144E2A">
      <w:pPr>
        <w:numPr>
          <w:ilvl w:val="0"/>
          <w:numId w:val="4"/>
        </w:numPr>
        <w:adjustRightInd w:val="0"/>
        <w:snapToGrid w:val="0"/>
        <w:spacing w:line="560" w:lineRule="exact"/>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lang w:val="en-US" w:eastAsia="zh-CN"/>
        </w:rPr>
        <w:t>展示形式</w:t>
      </w:r>
    </w:p>
    <w:p w14:paraId="7D46CF2C">
      <w:pPr>
        <w:adjustRightInd w:val="0"/>
        <w:snapToGrid w:val="0"/>
        <w:spacing w:line="560" w:lineRule="exact"/>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展示时间：每队8分钟陈述 + </w:t>
      </w:r>
      <w:r>
        <w:rPr>
          <w:rFonts w:hint="eastAsia" w:ascii="仿宋" w:hAnsi="仿宋" w:eastAsia="仿宋"/>
          <w:color w:val="auto"/>
          <w:sz w:val="28"/>
          <w:szCs w:val="28"/>
          <w:lang w:val="en-US" w:eastAsia="zh-CN"/>
        </w:rPr>
        <w:t>2</w:t>
      </w:r>
      <w:r>
        <w:rPr>
          <w:rFonts w:hint="eastAsia" w:ascii="仿宋" w:hAnsi="仿宋" w:eastAsia="仿宋"/>
          <w:color w:val="auto"/>
          <w:sz w:val="28"/>
          <w:szCs w:val="28"/>
          <w:lang w:eastAsia="zh-CN"/>
        </w:rPr>
        <w:t>分钟评委提问与答辩。</w:t>
      </w:r>
    </w:p>
    <w:p w14:paraId="7DC91E74">
      <w:pPr>
        <w:adjustRightInd w:val="0"/>
        <w:snapToGrid w:val="0"/>
        <w:spacing w:line="560" w:lineRule="exact"/>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lang w:eastAsia="zh-CN"/>
        </w:rPr>
        <w:t>展示顺序：抽签决定。</w:t>
      </w:r>
    </w:p>
    <w:p w14:paraId="39825781">
      <w:pPr>
        <w:adjustRightInd w:val="0"/>
        <w:snapToGrid w:val="0"/>
        <w:spacing w:line="560" w:lineRule="exact"/>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lang w:eastAsia="zh-CN"/>
        </w:rPr>
        <w:t>参与人员：每队全体成员共同参与，可分工讲解。</w:t>
      </w:r>
    </w:p>
    <w:p w14:paraId="7D2862EE">
      <w:pPr>
        <w:adjustRightInd w:val="0"/>
        <w:snapToGrid w:val="0"/>
        <w:spacing w:line="560" w:lineRule="exact"/>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lang w:eastAsia="zh-CN"/>
        </w:rPr>
        <w:t>评审方式：由裁判组与特邀企业专家共同评分。</w:t>
      </w:r>
    </w:p>
    <w:p w14:paraId="72AE6822">
      <w:pPr>
        <w:numPr>
          <w:ilvl w:val="0"/>
          <w:numId w:val="4"/>
        </w:numPr>
        <w:adjustRightInd w:val="0"/>
        <w:snapToGrid w:val="0"/>
        <w:spacing w:line="560" w:lineRule="exact"/>
        <w:ind w:firstLine="560" w:firstLineChars="200"/>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评分标准</w:t>
      </w:r>
    </w:p>
    <w:tbl>
      <w:tblPr>
        <w:tblStyle w:val="11"/>
        <w:tblW w:w="90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2258"/>
        <w:gridCol w:w="924"/>
        <w:gridCol w:w="5842"/>
      </w:tblGrid>
      <w:tr w14:paraId="0150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blHeader/>
        </w:trPr>
        <w:tc>
          <w:tcPr>
            <w:tcW w:w="0" w:type="auto"/>
            <w:shd w:val="clear" w:color="auto" w:fill="FFFFFF"/>
            <w:tcMar>
              <w:top w:w="120" w:type="dxa"/>
              <w:left w:w="0" w:type="dxa"/>
              <w:bottom w:w="120" w:type="dxa"/>
              <w:right w:w="192" w:type="dxa"/>
            </w:tcMar>
            <w:vAlign w:val="center"/>
          </w:tcPr>
          <w:p w14:paraId="1D085EEA">
            <w:pPr>
              <w:keepNext w:val="0"/>
              <w:keepLines w:val="0"/>
              <w:widowControl/>
              <w:suppressLineNumbers w:val="0"/>
              <w:spacing w:line="300" w:lineRule="atLeast"/>
              <w:jc w:val="left"/>
              <w:rPr>
                <w:rFonts w:hint="eastAsia" w:ascii="仿宋" w:hAnsi="仿宋" w:eastAsia="仿宋" w:cs="仿宋"/>
                <w:b/>
                <w:bCs/>
                <w:i w:val="0"/>
                <w:iCs w:val="0"/>
                <w:caps w:val="0"/>
                <w:color w:val="auto"/>
                <w:spacing w:val="0"/>
                <w:sz w:val="24"/>
                <w:szCs w:val="24"/>
              </w:rPr>
            </w:pPr>
            <w:r>
              <w:rPr>
                <w:rFonts w:hint="eastAsia" w:ascii="仿宋" w:hAnsi="仿宋" w:eastAsia="仿宋" w:cs="仿宋"/>
                <w:b/>
                <w:bCs/>
                <w:i w:val="0"/>
                <w:iCs w:val="0"/>
                <w:caps w:val="0"/>
                <w:color w:val="auto"/>
                <w:spacing w:val="0"/>
                <w:kern w:val="0"/>
                <w:sz w:val="24"/>
                <w:szCs w:val="24"/>
                <w:lang w:val="en-US" w:eastAsia="zh-CN" w:bidi="ar"/>
              </w:rPr>
              <w:t>评分维度</w:t>
            </w:r>
          </w:p>
        </w:tc>
        <w:tc>
          <w:tcPr>
            <w:tcW w:w="0" w:type="auto"/>
            <w:shd w:val="clear" w:color="auto" w:fill="FFFFFF"/>
            <w:tcMar>
              <w:top w:w="120" w:type="dxa"/>
              <w:left w:w="192" w:type="dxa"/>
              <w:bottom w:w="120" w:type="dxa"/>
              <w:right w:w="192" w:type="dxa"/>
            </w:tcMar>
            <w:vAlign w:val="center"/>
          </w:tcPr>
          <w:p w14:paraId="0C20D9E0">
            <w:pPr>
              <w:keepNext w:val="0"/>
              <w:keepLines w:val="0"/>
              <w:widowControl/>
              <w:suppressLineNumbers w:val="0"/>
              <w:spacing w:line="300" w:lineRule="atLeast"/>
              <w:jc w:val="left"/>
              <w:rPr>
                <w:rFonts w:hint="eastAsia" w:ascii="仿宋" w:hAnsi="仿宋" w:eastAsia="仿宋" w:cs="仿宋"/>
                <w:b/>
                <w:bCs/>
                <w:i w:val="0"/>
                <w:iCs w:val="0"/>
                <w:caps w:val="0"/>
                <w:color w:val="auto"/>
                <w:spacing w:val="0"/>
                <w:sz w:val="24"/>
                <w:szCs w:val="24"/>
              </w:rPr>
            </w:pPr>
            <w:r>
              <w:rPr>
                <w:rFonts w:hint="eastAsia" w:ascii="仿宋" w:hAnsi="仿宋" w:eastAsia="仿宋" w:cs="仿宋"/>
                <w:b/>
                <w:bCs/>
                <w:i w:val="0"/>
                <w:iCs w:val="0"/>
                <w:caps w:val="0"/>
                <w:color w:val="auto"/>
                <w:spacing w:val="0"/>
                <w:kern w:val="0"/>
                <w:sz w:val="24"/>
                <w:szCs w:val="24"/>
                <w:lang w:val="en-US" w:eastAsia="zh-CN" w:bidi="ar"/>
              </w:rPr>
              <w:t>分值</w:t>
            </w:r>
          </w:p>
        </w:tc>
        <w:tc>
          <w:tcPr>
            <w:tcW w:w="0" w:type="auto"/>
            <w:shd w:val="clear" w:color="auto" w:fill="FFFFFF"/>
            <w:tcMar>
              <w:top w:w="120" w:type="dxa"/>
              <w:left w:w="192" w:type="dxa"/>
              <w:bottom w:w="120" w:type="dxa"/>
              <w:right w:w="192" w:type="dxa"/>
            </w:tcMar>
            <w:vAlign w:val="center"/>
          </w:tcPr>
          <w:p w14:paraId="2CE93E75">
            <w:pPr>
              <w:keepNext w:val="0"/>
              <w:keepLines w:val="0"/>
              <w:widowControl/>
              <w:suppressLineNumbers w:val="0"/>
              <w:spacing w:line="300" w:lineRule="atLeast"/>
              <w:jc w:val="left"/>
              <w:rPr>
                <w:rFonts w:hint="eastAsia" w:ascii="仿宋" w:hAnsi="仿宋" w:eastAsia="仿宋" w:cs="仿宋"/>
                <w:b/>
                <w:bCs/>
                <w:i w:val="0"/>
                <w:iCs w:val="0"/>
                <w:caps w:val="0"/>
                <w:color w:val="auto"/>
                <w:spacing w:val="0"/>
                <w:sz w:val="24"/>
                <w:szCs w:val="24"/>
              </w:rPr>
            </w:pPr>
            <w:r>
              <w:rPr>
                <w:rFonts w:hint="eastAsia" w:ascii="仿宋" w:hAnsi="仿宋" w:eastAsia="仿宋" w:cs="仿宋"/>
                <w:b/>
                <w:bCs/>
                <w:i w:val="0"/>
                <w:iCs w:val="0"/>
                <w:caps w:val="0"/>
                <w:color w:val="auto"/>
                <w:spacing w:val="0"/>
                <w:kern w:val="0"/>
                <w:sz w:val="24"/>
                <w:szCs w:val="24"/>
                <w:lang w:val="en-US" w:eastAsia="zh-CN" w:bidi="ar"/>
              </w:rPr>
              <w:t>说明</w:t>
            </w:r>
          </w:p>
        </w:tc>
      </w:tr>
      <w:tr w14:paraId="1B541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FFFFFF"/>
            <w:tcMar>
              <w:top w:w="120" w:type="dxa"/>
              <w:left w:w="0" w:type="dxa"/>
              <w:bottom w:w="120" w:type="dxa"/>
              <w:right w:w="192" w:type="dxa"/>
            </w:tcMar>
            <w:vAlign w:val="center"/>
          </w:tcPr>
          <w:p w14:paraId="554A649E">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项目方案完整性</w:t>
            </w:r>
          </w:p>
        </w:tc>
        <w:tc>
          <w:tcPr>
            <w:tcW w:w="0" w:type="auto"/>
            <w:shd w:val="clear" w:color="auto" w:fill="FFFFFF"/>
            <w:tcMar>
              <w:top w:w="120" w:type="dxa"/>
              <w:left w:w="192" w:type="dxa"/>
              <w:bottom w:w="120" w:type="dxa"/>
              <w:right w:w="192" w:type="dxa"/>
            </w:tcMar>
            <w:vAlign w:val="center"/>
          </w:tcPr>
          <w:p w14:paraId="1529FB51">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30%</w:t>
            </w:r>
          </w:p>
        </w:tc>
        <w:tc>
          <w:tcPr>
            <w:tcW w:w="0" w:type="auto"/>
            <w:shd w:val="clear" w:color="auto" w:fill="FFFFFF"/>
            <w:tcMar>
              <w:top w:w="120" w:type="dxa"/>
              <w:left w:w="192" w:type="dxa"/>
              <w:bottom w:w="120" w:type="dxa"/>
              <w:right w:w="0" w:type="dxa"/>
            </w:tcMar>
            <w:vAlign w:val="center"/>
          </w:tcPr>
          <w:p w14:paraId="1C7385EE">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内容全面、逻辑清晰、符合实际场景</w:t>
            </w:r>
          </w:p>
        </w:tc>
      </w:tr>
      <w:tr w14:paraId="5B9E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FFFFFF"/>
            <w:tcMar>
              <w:top w:w="120" w:type="dxa"/>
              <w:left w:w="0" w:type="dxa"/>
              <w:bottom w:w="120" w:type="dxa"/>
              <w:right w:w="192" w:type="dxa"/>
            </w:tcMar>
            <w:vAlign w:val="center"/>
          </w:tcPr>
          <w:p w14:paraId="3B4624F1">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技术深度与创新性</w:t>
            </w:r>
          </w:p>
        </w:tc>
        <w:tc>
          <w:tcPr>
            <w:tcW w:w="0" w:type="auto"/>
            <w:shd w:val="clear" w:color="auto" w:fill="FFFFFF"/>
            <w:tcMar>
              <w:top w:w="120" w:type="dxa"/>
              <w:left w:w="192" w:type="dxa"/>
              <w:bottom w:w="120" w:type="dxa"/>
              <w:right w:w="192" w:type="dxa"/>
            </w:tcMar>
            <w:vAlign w:val="center"/>
          </w:tcPr>
          <w:p w14:paraId="7646CF31">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30%</w:t>
            </w:r>
          </w:p>
        </w:tc>
        <w:tc>
          <w:tcPr>
            <w:tcW w:w="0" w:type="auto"/>
            <w:shd w:val="clear" w:color="auto" w:fill="FFFFFF"/>
            <w:tcMar>
              <w:top w:w="120" w:type="dxa"/>
              <w:left w:w="192" w:type="dxa"/>
              <w:bottom w:w="120" w:type="dxa"/>
              <w:right w:w="0" w:type="dxa"/>
            </w:tcMar>
            <w:vAlign w:val="center"/>
          </w:tcPr>
          <w:p w14:paraId="44559F88">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安全方案是否具有技术前瞻性、创新点或实用优化</w:t>
            </w:r>
          </w:p>
        </w:tc>
      </w:tr>
      <w:tr w14:paraId="4349C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0" w:type="auto"/>
            <w:shd w:val="clear" w:color="auto" w:fill="FFFFFF"/>
            <w:tcMar>
              <w:top w:w="120" w:type="dxa"/>
              <w:left w:w="0" w:type="dxa"/>
              <w:bottom w:w="120" w:type="dxa"/>
              <w:right w:w="192" w:type="dxa"/>
            </w:tcMar>
            <w:vAlign w:val="center"/>
          </w:tcPr>
          <w:p w14:paraId="1800FFF3">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表达与协作</w:t>
            </w:r>
          </w:p>
        </w:tc>
        <w:tc>
          <w:tcPr>
            <w:tcW w:w="0" w:type="auto"/>
            <w:shd w:val="clear" w:color="auto" w:fill="FFFFFF"/>
            <w:tcMar>
              <w:top w:w="120" w:type="dxa"/>
              <w:left w:w="192" w:type="dxa"/>
              <w:bottom w:w="120" w:type="dxa"/>
              <w:right w:w="192" w:type="dxa"/>
            </w:tcMar>
            <w:vAlign w:val="center"/>
          </w:tcPr>
          <w:p w14:paraId="481599F3">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20%</w:t>
            </w:r>
          </w:p>
        </w:tc>
        <w:tc>
          <w:tcPr>
            <w:tcW w:w="0" w:type="auto"/>
            <w:shd w:val="clear" w:color="auto" w:fill="FFFFFF"/>
            <w:tcMar>
              <w:top w:w="120" w:type="dxa"/>
              <w:left w:w="192" w:type="dxa"/>
              <w:bottom w:w="120" w:type="dxa"/>
              <w:right w:w="0" w:type="dxa"/>
            </w:tcMar>
            <w:vAlign w:val="center"/>
          </w:tcPr>
          <w:p w14:paraId="08AB9E11">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表达清晰、团队配合默契、时间控制得当</w:t>
            </w:r>
          </w:p>
        </w:tc>
      </w:tr>
      <w:tr w14:paraId="0046C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0" w:type="auto"/>
            <w:shd w:val="clear" w:color="auto" w:fill="FFFFFF"/>
            <w:tcMar>
              <w:top w:w="120" w:type="dxa"/>
              <w:left w:w="0" w:type="dxa"/>
              <w:bottom w:w="120" w:type="dxa"/>
              <w:right w:w="192" w:type="dxa"/>
            </w:tcMar>
            <w:vAlign w:val="center"/>
          </w:tcPr>
          <w:p w14:paraId="0B4E510F">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答辩表现</w:t>
            </w:r>
          </w:p>
        </w:tc>
        <w:tc>
          <w:tcPr>
            <w:tcW w:w="0" w:type="auto"/>
            <w:shd w:val="clear" w:color="auto" w:fill="FFFFFF"/>
            <w:tcMar>
              <w:top w:w="120" w:type="dxa"/>
              <w:left w:w="192" w:type="dxa"/>
              <w:bottom w:w="120" w:type="dxa"/>
              <w:right w:w="192" w:type="dxa"/>
            </w:tcMar>
            <w:vAlign w:val="center"/>
          </w:tcPr>
          <w:p w14:paraId="26D7EE4B">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20%</w:t>
            </w:r>
          </w:p>
        </w:tc>
        <w:tc>
          <w:tcPr>
            <w:tcW w:w="0" w:type="auto"/>
            <w:shd w:val="clear" w:color="auto" w:fill="FFFFFF"/>
            <w:tcMar>
              <w:top w:w="120" w:type="dxa"/>
              <w:left w:w="192" w:type="dxa"/>
              <w:bottom w:w="120" w:type="dxa"/>
              <w:right w:w="0" w:type="dxa"/>
            </w:tcMar>
            <w:vAlign w:val="center"/>
          </w:tcPr>
          <w:p w14:paraId="57D04574">
            <w:pPr>
              <w:keepNext w:val="0"/>
              <w:keepLines w:val="0"/>
              <w:widowControl/>
              <w:suppressLineNumbers w:val="0"/>
              <w:spacing w:line="300" w:lineRule="atLeast"/>
              <w:jc w:val="lef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kern w:val="0"/>
                <w:sz w:val="24"/>
                <w:szCs w:val="24"/>
                <w:lang w:val="en-US" w:eastAsia="zh-CN" w:bidi="ar"/>
              </w:rPr>
              <w:t>对评委提问的理解能力、回答的专业性与应变能力</w:t>
            </w:r>
          </w:p>
        </w:tc>
      </w:tr>
    </w:tbl>
    <w:p w14:paraId="00F051DD">
      <w:pPr>
        <w:numPr>
          <w:ilvl w:val="0"/>
          <w:numId w:val="4"/>
        </w:numPr>
        <w:adjustRightInd w:val="0"/>
        <w:snapToGrid w:val="0"/>
        <w:spacing w:line="560" w:lineRule="exact"/>
        <w:ind w:firstLine="560" w:firstLineChars="200"/>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时间安排建议</w:t>
      </w:r>
    </w:p>
    <w:p w14:paraId="22C3A326">
      <w:pPr>
        <w:adjustRightInd w:val="0"/>
        <w:snapToGrid w:val="0"/>
        <w:spacing w:line="560" w:lineRule="exact"/>
        <w:ind w:firstLine="560" w:firstLineChars="200"/>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可在第三阶段结束后统一安排展示环节，或在比赛日下午单独设立展示时段。</w:t>
      </w:r>
    </w:p>
    <w:p w14:paraId="2C603DFB">
      <w:pPr>
        <w:adjustRightInd w:val="0"/>
        <w:snapToGrid w:val="0"/>
        <w:spacing w:line="560" w:lineRule="exact"/>
        <w:ind w:firstLine="560" w:firstLineChars="200"/>
        <w:rPr>
          <w:rFonts w:hint="eastAsia" w:ascii="黑体" w:hAnsi="黑体" w:eastAsia="黑体"/>
          <w:color w:val="auto"/>
          <w:spacing w:val="-10"/>
          <w:kern w:val="0"/>
          <w:sz w:val="32"/>
          <w:szCs w:val="32"/>
        </w:rPr>
      </w:pPr>
      <w:r>
        <w:rPr>
          <w:rFonts w:hint="eastAsia" w:ascii="仿宋" w:hAnsi="仿宋" w:eastAsia="仿宋"/>
          <w:color w:val="auto"/>
          <w:sz w:val="28"/>
          <w:szCs w:val="28"/>
          <w:lang w:val="en-US" w:eastAsia="zh-CN"/>
        </w:rPr>
        <w:t>总时长控制在每队10分钟内，确保所有队伍在2小时内完成展示与答辩。</w:t>
      </w:r>
    </w:p>
    <w:p w14:paraId="586213A2">
      <w:pPr>
        <w:widowControl/>
        <w:shd w:val="clear" w:color="auto" w:fill="FFFFFF"/>
        <w:spacing w:line="560" w:lineRule="exact"/>
        <w:ind w:firstLine="594" w:firstLineChars="198"/>
        <w:jc w:val="left"/>
        <w:outlineLvl w:val="1"/>
        <w:rPr>
          <w:rFonts w:hint="eastAsia" w:ascii="黑体" w:hAnsi="黑体" w:eastAsia="黑体"/>
          <w:color w:val="auto"/>
          <w:spacing w:val="-10"/>
          <w:kern w:val="0"/>
          <w:sz w:val="32"/>
          <w:szCs w:val="32"/>
        </w:rPr>
      </w:pPr>
      <w:bookmarkStart w:id="16" w:name="_Toc3943"/>
      <w:r>
        <w:rPr>
          <w:rFonts w:hint="eastAsia" w:ascii="黑体" w:hAnsi="黑体" w:eastAsia="黑体"/>
          <w:color w:val="auto"/>
          <w:spacing w:val="-10"/>
          <w:kern w:val="0"/>
          <w:sz w:val="32"/>
          <w:szCs w:val="32"/>
        </w:rPr>
        <w:t>十</w:t>
      </w:r>
      <w:r>
        <w:rPr>
          <w:rFonts w:hint="eastAsia" w:ascii="黑体" w:hAnsi="黑体" w:eastAsia="黑体"/>
          <w:color w:val="auto"/>
          <w:spacing w:val="-10"/>
          <w:kern w:val="0"/>
          <w:sz w:val="32"/>
          <w:szCs w:val="32"/>
          <w:lang w:val="en-US" w:eastAsia="zh-CN"/>
        </w:rPr>
        <w:t>五</w:t>
      </w:r>
      <w:r>
        <w:rPr>
          <w:rFonts w:hint="eastAsia" w:ascii="黑体" w:hAnsi="黑体" w:eastAsia="黑体"/>
          <w:color w:val="auto"/>
          <w:spacing w:val="-10"/>
          <w:kern w:val="0"/>
          <w:sz w:val="32"/>
          <w:szCs w:val="32"/>
        </w:rPr>
        <w:t>、其他</w:t>
      </w:r>
      <w:bookmarkEnd w:id="16"/>
    </w:p>
    <w:p w14:paraId="19EE6F04">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（一）赛项安全</w:t>
      </w:r>
    </w:p>
    <w:p w14:paraId="78B01874">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赛事安全是海南省职业院校技能大赛一切工作顺利开展的先决条件，是本赛项筹备和运行工作必须考虑的核心问题。</w:t>
      </w:r>
    </w:p>
    <w:p w14:paraId="41976980">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1.组织机构</w:t>
      </w:r>
    </w:p>
    <w:p w14:paraId="48C27388">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赛项执委会组织专门机构负责赛区内赛项的安全工作，建立公安、消防、司法行政、交通、卫生、食品、质检等相关部门协调机制保证比赛安全，制定应急预案，及时处置突发事件。制定相应安全管理的规范、流程和突发事件应急预案，全过程保证比赛筹备和实施工作安全。</w:t>
      </w:r>
    </w:p>
    <w:p w14:paraId="1810B255">
      <w:pPr>
        <w:tabs>
          <w:tab w:val="left" w:pos="1425"/>
        </w:tabs>
        <w:adjustRightInd w:val="0"/>
        <w:snapToGrid w:val="0"/>
        <w:spacing w:line="560" w:lineRule="exact"/>
        <w:ind w:left="570"/>
        <w:rPr>
          <w:rFonts w:hint="eastAsia" w:ascii="仿宋" w:hAnsi="仿宋" w:eastAsia="仿宋"/>
          <w:color w:val="auto"/>
          <w:sz w:val="28"/>
          <w:szCs w:val="28"/>
        </w:rPr>
      </w:pPr>
      <w:r>
        <w:rPr>
          <w:rFonts w:hint="eastAsia" w:ascii="仿宋" w:hAnsi="仿宋" w:eastAsia="仿宋"/>
          <w:color w:val="auto"/>
          <w:sz w:val="28"/>
          <w:szCs w:val="28"/>
        </w:rPr>
        <w:t>2.赛项设计</w:t>
      </w:r>
    </w:p>
    <w:p w14:paraId="54C68E23">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比赛内容涉及的器材、设备应符合国家有关安全规定。赛项专家组应充分考虑比赛内容和所用器材、耗材可能存在的危险因素，通过完善设计规避风险，采取有效防范措施保证选手备赛和比赛安全。危险提示和防范措施应在赛项技术文件中加以明确。</w:t>
      </w:r>
    </w:p>
    <w:p w14:paraId="4B800E8B">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（2）赛项技术文件应包含国家（或行业）有关职业岗位安全的规范、条例和资格证书要求等内容。</w:t>
      </w:r>
    </w:p>
    <w:p w14:paraId="2BE10E9D">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3）赛项执委会须在赛前对本赛项全体裁判员进行裁判培训和安全培训，对服务人员进行安全培训。源于实际生产过程的赛项，须根据《中华人民共和国劳动法》等法律法规，建立完善的安全事故防范制度，并在赛前对选手进行培训，避免发生人身伤害事故。</w:t>
      </w:r>
    </w:p>
    <w:p w14:paraId="35EE7267">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（4）赛项执委会须制定专门方案保证比赛命题、赛题保管和评判过程的安全。</w:t>
      </w:r>
    </w:p>
    <w:p w14:paraId="0E9F6080">
      <w:pPr>
        <w:tabs>
          <w:tab w:val="left" w:pos="1425"/>
        </w:tabs>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3.比赛环境</w:t>
      </w:r>
    </w:p>
    <w:p w14:paraId="0E474BDD">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（1）环境安全保障</w:t>
      </w:r>
    </w:p>
    <w:p w14:paraId="4C1F3C42">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赛场组织与管理员应制定安保须知、安全隐患规避方法及突发事件预案，设立紧急疏散路线及通道等，确保比赛期间所有进入竞赛地点的车辆、人员需凭证入内；严禁携带易燃易爆物、管制刀具等危险品及比赛严令禁止的其他物品进入场地；对于紧急发生的拥挤、踩踏、地震、火灾等进行紧急有效的处置。</w:t>
      </w:r>
    </w:p>
    <w:p w14:paraId="4505E4CD">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（2）操作安全保障</w:t>
      </w:r>
    </w:p>
    <w:p w14:paraId="1F70AD2B">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赛前要对选手进行计算机、网络设备、工具等操作的安全培训，进行安全操作的宣讲，确保每个队员能够安全操作设备后方可进行比赛。裁判员在比赛前，宣读安全注意事项，强调用火、用电安全规则。</w:t>
      </w:r>
    </w:p>
    <w:p w14:paraId="4407965E">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整个大赛过程邀请当地公安系统、卫生系统和保险系统协助支持。</w:t>
      </w:r>
    </w:p>
    <w:p w14:paraId="1B15FBCA">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3）赛项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赛项执委会要求排除安全隐患。参赛队由各参赛校负责参赛选手旅途及竞赛过程中的安全保障。</w:t>
      </w:r>
    </w:p>
    <w:p w14:paraId="2F878321">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（4）赛场周围要设立警戒线，防止无关人员进入发生意外事件。比赛现场内应参照相关职业岗位的要求为选手提供必要的劳动保护。在具有危险性的操作环节，裁判员要严防选手出现错误操作。</w:t>
      </w:r>
    </w:p>
    <w:p w14:paraId="10461AD8">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（5）承办单位应提供保证应急预案实施的条件。对于比赛内容涉及高空作业、可能有坠物、大用电量、易发生火灾等情况的赛项，必须明确制度和预案，并配备急救人员与设施。</w:t>
      </w:r>
    </w:p>
    <w:p w14:paraId="16F92037">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（6）赛项执委会须会同承办单位制定开放赛场和体验区的人员疏导方案。赛场环境中存在人员密集、车流人流交错的区域，除了设置齐全的指示标志外，须增加引导人员，并开辟备用通道。</w:t>
      </w:r>
    </w:p>
    <w:p w14:paraId="7FB249A9">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（7）大赛期间，赛项承办单位须在赛场管理的关键岗位，增加力量，建立安全管理日志。</w:t>
      </w:r>
    </w:p>
    <w:p w14:paraId="0A8B2577">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8）参赛选手进入赛位、赛事裁判工作人员进入工作场所，严禁携带通讯、照相摄录设备，禁止携带记录用具。如确有需要，由赛场统一配置、统一管理。赛项可根据需要配置安检设备对进入赛场重要部位的人员进行安检。</w:t>
      </w:r>
    </w:p>
    <w:p w14:paraId="6E169E1E">
      <w:pPr>
        <w:tabs>
          <w:tab w:val="left" w:pos="1425"/>
        </w:tabs>
        <w:adjustRightInd w:val="0"/>
        <w:snapToGrid w:val="0"/>
        <w:spacing w:line="560" w:lineRule="exact"/>
        <w:ind w:left="570"/>
        <w:rPr>
          <w:rFonts w:hint="eastAsia" w:ascii="仿宋" w:hAnsi="仿宋" w:eastAsia="仿宋"/>
          <w:color w:val="auto"/>
          <w:sz w:val="28"/>
          <w:szCs w:val="28"/>
        </w:rPr>
      </w:pPr>
      <w:r>
        <w:rPr>
          <w:rFonts w:hint="eastAsia" w:ascii="仿宋" w:hAnsi="仿宋" w:eastAsia="仿宋"/>
          <w:color w:val="auto"/>
          <w:sz w:val="28"/>
          <w:szCs w:val="28"/>
        </w:rPr>
        <w:t>4.生活条件</w:t>
      </w:r>
    </w:p>
    <w:p w14:paraId="42AF0B52">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（1）本次比赛不统一安排食宿，各参赛单位可自行联系解决。</w:t>
      </w:r>
    </w:p>
    <w:p w14:paraId="22B41F76">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（2）各赛项的安全管理，除了可以采取必要的安全隔离措施外，应严格遵守国家相关法律法规，保护个人隐私和人身自由。</w:t>
      </w:r>
    </w:p>
    <w:p w14:paraId="17789046">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（二）</w:t>
      </w:r>
      <w:r>
        <w:rPr>
          <w:rFonts w:ascii="仿宋" w:hAnsi="仿宋" w:eastAsia="仿宋"/>
          <w:color w:val="auto"/>
          <w:sz w:val="28"/>
          <w:szCs w:val="28"/>
        </w:rPr>
        <w:t>竞赛须知</w:t>
      </w:r>
    </w:p>
    <w:p w14:paraId="44774D6A">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1.参赛队须知</w:t>
      </w:r>
    </w:p>
    <w:p w14:paraId="00ECEFCC">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（1）各参赛队要发扬良好道德风尚，听从指挥，服从裁判，不弄虚作假。如发现弄虚作假者，取消参赛资格，名次无效。</w:t>
      </w:r>
    </w:p>
    <w:p w14:paraId="2D9E2E0B">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（2）各参赛队领队要坚决执行竞赛的各项规定，加强对参赛人员的管理，做好赛前准备工作，督促选手带好证件等竞赛相关材料。</w:t>
      </w:r>
    </w:p>
    <w:p w14:paraId="37AB554B">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（3）竞赛过程中，除参加当场次竞赛的选手、执行裁判员、现场工作人员和经批准的人员外，领队、指导教师及其他人员一律不得进入竞赛现场。</w:t>
      </w:r>
    </w:p>
    <w:p w14:paraId="536BCAC9">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（4）参赛队若对竞赛过程有异议，在规定的时间内由领队向赛项仲裁工作组提出书面报告。</w:t>
      </w:r>
    </w:p>
    <w:p w14:paraId="450C5B9A">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（5）对申诉的仲裁结果，领队要带头服从和执行，并做好选手工作。参赛选手不得因申诉或处理意见不服而停止竞赛，否则以弃权处理。</w:t>
      </w:r>
    </w:p>
    <w:p w14:paraId="34374539">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（6）指导老师应及时查看大赛专用网页有关赛项的通知和内容，认真研究和掌握本赛项竞赛的规程、技术规范和赛场要求，指导选手做好赛前的一切技术准备和竞赛准备。</w:t>
      </w:r>
    </w:p>
    <w:p w14:paraId="07C6233C">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（7）参赛队领队应对本队参赛队员和指导教师的参赛期间安全负责，参赛学校须为参赛选手和指导教师购买意外保险。</w:t>
      </w:r>
    </w:p>
    <w:p w14:paraId="23DBA8F1">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（8）领队和指导教师应在赛后做好赛事总结和工作总结。</w:t>
      </w:r>
    </w:p>
    <w:p w14:paraId="50E640B0">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2.指导</w:t>
      </w:r>
      <w:r>
        <w:rPr>
          <w:rFonts w:ascii="仿宋" w:hAnsi="仿宋" w:eastAsia="仿宋"/>
          <w:color w:val="auto"/>
          <w:sz w:val="28"/>
          <w:szCs w:val="28"/>
        </w:rPr>
        <w:t>教师</w:t>
      </w:r>
      <w:r>
        <w:rPr>
          <w:rFonts w:hint="eastAsia" w:ascii="仿宋" w:hAnsi="仿宋" w:eastAsia="仿宋"/>
          <w:color w:val="auto"/>
          <w:sz w:val="28"/>
          <w:szCs w:val="28"/>
        </w:rPr>
        <w:t>须知</w:t>
      </w:r>
    </w:p>
    <w:p w14:paraId="1FF69BE0">
      <w:pPr>
        <w:pStyle w:val="16"/>
        <w:adjustRightInd w:val="0"/>
        <w:snapToGrid w:val="0"/>
        <w:spacing w:beforeLines="0" w:afterLines="0" w:line="560" w:lineRule="exact"/>
        <w:ind w:firstLine="560"/>
        <w:rPr>
          <w:rFonts w:hint="eastAsia" w:ascii="仿宋" w:hAnsi="仿宋" w:eastAsia="仿宋" w:cs="黑体"/>
          <w:color w:val="auto"/>
          <w:kern w:val="2"/>
          <w:szCs w:val="28"/>
        </w:rPr>
      </w:pPr>
      <w:r>
        <w:rPr>
          <w:rFonts w:hint="eastAsia" w:ascii="仿宋" w:hAnsi="仿宋" w:eastAsia="仿宋" w:cs="黑体"/>
          <w:color w:val="auto"/>
          <w:kern w:val="2"/>
          <w:szCs w:val="28"/>
        </w:rPr>
        <w:t>（1）各参赛代表队要发扬良好道德风尚，听从指挥，服从裁判，不弄虚作假。如发现弄虚作假者，取消参赛资格，名次无效。</w:t>
      </w:r>
    </w:p>
    <w:p w14:paraId="701C14FF">
      <w:pPr>
        <w:pStyle w:val="16"/>
        <w:adjustRightInd w:val="0"/>
        <w:snapToGrid w:val="0"/>
        <w:spacing w:beforeLines="0" w:afterLines="0" w:line="560" w:lineRule="exact"/>
        <w:ind w:firstLine="560"/>
        <w:rPr>
          <w:rFonts w:hint="eastAsia" w:ascii="仿宋" w:hAnsi="仿宋" w:eastAsia="仿宋" w:cs="黑体"/>
          <w:color w:val="auto"/>
          <w:kern w:val="2"/>
          <w:szCs w:val="28"/>
        </w:rPr>
      </w:pPr>
      <w:r>
        <w:rPr>
          <w:rFonts w:hint="eastAsia" w:ascii="仿宋" w:hAnsi="仿宋" w:eastAsia="仿宋" w:cs="黑体"/>
          <w:color w:val="auto"/>
          <w:kern w:val="2"/>
          <w:szCs w:val="28"/>
        </w:rPr>
        <w:t>（2）各代表队领队要坚决执行竞赛的各项规定，加强对参赛人员的管理，做好赛前准备工作，督促选手带好证件等竞赛相关材料。</w:t>
      </w:r>
    </w:p>
    <w:p w14:paraId="099A3EDC">
      <w:pPr>
        <w:pStyle w:val="16"/>
        <w:adjustRightInd w:val="0"/>
        <w:snapToGrid w:val="0"/>
        <w:spacing w:beforeLines="0" w:afterLines="0" w:line="560" w:lineRule="exact"/>
        <w:ind w:firstLine="560"/>
        <w:rPr>
          <w:rFonts w:hint="eastAsia" w:ascii="仿宋" w:hAnsi="仿宋" w:eastAsia="仿宋" w:cs="黑体"/>
          <w:color w:val="auto"/>
          <w:kern w:val="2"/>
          <w:szCs w:val="28"/>
        </w:rPr>
      </w:pPr>
      <w:r>
        <w:rPr>
          <w:rFonts w:hint="eastAsia" w:ascii="仿宋" w:hAnsi="仿宋" w:eastAsia="仿宋" w:cs="黑体"/>
          <w:color w:val="auto"/>
          <w:kern w:val="2"/>
          <w:szCs w:val="28"/>
        </w:rPr>
        <w:t>（3）竞赛过程中，除参加当场次竞赛的选手、执行裁判员、现场工作人员和经批准的人员外，领队、指导教师及其他人员一律不得进入竞赛现场。</w:t>
      </w:r>
    </w:p>
    <w:p w14:paraId="18FCA286">
      <w:pPr>
        <w:pStyle w:val="16"/>
        <w:adjustRightInd w:val="0"/>
        <w:snapToGrid w:val="0"/>
        <w:spacing w:beforeLines="0" w:afterLines="0" w:line="560" w:lineRule="exact"/>
        <w:ind w:firstLine="560"/>
        <w:rPr>
          <w:rFonts w:hint="eastAsia" w:ascii="仿宋" w:hAnsi="仿宋" w:eastAsia="仿宋" w:cs="黑体"/>
          <w:color w:val="auto"/>
          <w:kern w:val="2"/>
          <w:szCs w:val="28"/>
        </w:rPr>
      </w:pPr>
      <w:r>
        <w:rPr>
          <w:rFonts w:hint="eastAsia" w:ascii="仿宋" w:hAnsi="仿宋" w:eastAsia="仿宋" w:cs="黑体"/>
          <w:color w:val="auto"/>
          <w:kern w:val="2"/>
          <w:szCs w:val="28"/>
        </w:rPr>
        <w:t>（4）参赛代表队若对竞赛过程有异议，在规定的时间内由领队向赛项仲裁工作组提出书面报告。</w:t>
      </w:r>
    </w:p>
    <w:p w14:paraId="4B581A4F">
      <w:pPr>
        <w:pStyle w:val="16"/>
        <w:adjustRightInd w:val="0"/>
        <w:snapToGrid w:val="0"/>
        <w:spacing w:beforeLines="0" w:afterLines="0" w:line="560" w:lineRule="exact"/>
        <w:ind w:firstLine="560"/>
        <w:rPr>
          <w:rFonts w:hint="eastAsia" w:ascii="仿宋" w:hAnsi="仿宋" w:eastAsia="仿宋" w:cs="黑体"/>
          <w:color w:val="auto"/>
          <w:kern w:val="2"/>
          <w:szCs w:val="28"/>
        </w:rPr>
      </w:pPr>
      <w:r>
        <w:rPr>
          <w:rFonts w:hint="eastAsia" w:ascii="仿宋" w:hAnsi="仿宋" w:eastAsia="仿宋" w:cs="黑体"/>
          <w:color w:val="auto"/>
          <w:kern w:val="2"/>
          <w:szCs w:val="28"/>
        </w:rPr>
        <w:t>（5）对申诉的仲裁结果，领队要带头服从和执行，并做好选手工作。参赛选手不得因申诉或对处理意见不服而停止竞赛，否则以弃权处理。</w:t>
      </w:r>
    </w:p>
    <w:p w14:paraId="142D5E65">
      <w:pPr>
        <w:pStyle w:val="16"/>
        <w:adjustRightInd w:val="0"/>
        <w:snapToGrid w:val="0"/>
        <w:spacing w:beforeLines="0" w:afterLines="0" w:line="560" w:lineRule="exact"/>
        <w:ind w:firstLine="560"/>
        <w:rPr>
          <w:rFonts w:hint="eastAsia" w:ascii="仿宋" w:hAnsi="仿宋" w:eastAsia="仿宋" w:cs="黑体"/>
          <w:color w:val="auto"/>
          <w:kern w:val="2"/>
          <w:szCs w:val="28"/>
        </w:rPr>
      </w:pPr>
      <w:r>
        <w:rPr>
          <w:rFonts w:hint="eastAsia" w:ascii="仿宋" w:hAnsi="仿宋" w:eastAsia="仿宋" w:cs="黑体"/>
          <w:color w:val="auto"/>
          <w:kern w:val="2"/>
          <w:szCs w:val="28"/>
        </w:rPr>
        <w:t>（6）指导老师应及时查看大赛专用网页有关赛项的通知和内容，认真研究和掌握本赛项竞赛的规程、技术规范和赛场要求，指导选手做好赛前的一切技术准备和竞赛准备。</w:t>
      </w:r>
    </w:p>
    <w:p w14:paraId="01229541">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3.参赛选手须知</w:t>
      </w:r>
    </w:p>
    <w:p w14:paraId="377E87C4">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（1）参赛选手应按有关要求如实填报个人信息，否则取消竞赛资格。</w:t>
      </w:r>
    </w:p>
    <w:p w14:paraId="0C8A292D">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（2）参赛选手需持统一印制的参赛证、有效身份证件、学生证参加竞赛。</w:t>
      </w:r>
    </w:p>
    <w:p w14:paraId="2E4E26A8">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（3）参加选手应认真学习领会本次竞赛相关文件，自觉遵守大赛纪律，服从指挥，听从安排，文明参赛。</w:t>
      </w:r>
    </w:p>
    <w:p w14:paraId="4438E50F">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（4）参加选手请勿携带任何电子设备及其他资料、用品进入赛场。</w:t>
      </w:r>
    </w:p>
    <w:p w14:paraId="34BA8112">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（5）参赛选手应按照规定时间抵达赛场，凭参赛证、身份证件检录，按要求入场，不得迟到早退。</w:t>
      </w:r>
    </w:p>
    <w:p w14:paraId="5EC0E632">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（6）参赛选手应增强角色意识，科学合理分工与合作。</w:t>
      </w:r>
    </w:p>
    <w:p w14:paraId="52AAF0B8">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（7）参赛选手应按有关要求在指定位置就坐。</w:t>
      </w:r>
    </w:p>
    <w:p w14:paraId="5CA8E3C1">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（8）参赛选手须在确认竞赛内容和现场设备等无误后开始竞赛。在竞赛过程中，确因计算机软件或硬件故障，致使操作无法继续的，经项目裁判长确认，予以启用备用计算机。</w:t>
      </w:r>
    </w:p>
    <w:p w14:paraId="06C26004">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（9）各参赛选手必须按规范要求操作竞赛设备。一旦出现较严重的安全事故，经总裁判长批准后将立即取消其参赛资格。</w:t>
      </w:r>
    </w:p>
    <w:p w14:paraId="28666334">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（10）参赛选手需详细阅读赛题中竞赛文档命名的要求，不得在提交的竞赛文档中标识出任何关于参赛选手地名、校名、姓名、参赛编号等信息，否则取消竞赛成绩。</w:t>
      </w:r>
    </w:p>
    <w:p w14:paraId="0EB42F1E">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（11）竞赛时间终了，选手应全体起立，结束操作。</w:t>
      </w:r>
    </w:p>
    <w:p w14:paraId="31AE449E">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（12）在竞赛期间，未经执委会批准，参赛选手不得接受其他单位和个人进行的与竞赛内容相关的采访。参赛选手不得将竞赛的相关信息私自公布。</w:t>
      </w:r>
    </w:p>
    <w:p w14:paraId="59477EF5">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4.工作人员须知</w:t>
      </w:r>
    </w:p>
    <w:p w14:paraId="141E402E">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（1）树立服务观念，一切为选手着想，以高度负责的精神、严肃认真的态度和严谨细致的作风，在赛项执委会的领导下，按照各自职责分工和要求认真做好岗位工作。</w:t>
      </w:r>
    </w:p>
    <w:p w14:paraId="6CABB2A3">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（2）所有工作人员必须佩带证件，忠于职守，秉公办理，保守秘密。</w:t>
      </w:r>
    </w:p>
    <w:p w14:paraId="651D0F32">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（3）注意文明礼貌，保持良好形象，熟悉赛项指南。</w:t>
      </w:r>
    </w:p>
    <w:p w14:paraId="040CF3B0">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（4）自觉遵守赛项纪律和规则，服从调配和分工，确保竞赛工作的顺利进行。</w:t>
      </w:r>
    </w:p>
    <w:p w14:paraId="683763FC">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（5）提前30分钟到达赛场，严守工作岗位，不迟到，不早退，不得无故离岗，特殊情况需向工作组组长请假。</w:t>
      </w:r>
    </w:p>
    <w:p w14:paraId="6478959C">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（6）熟悉竞赛规程，严格按照工作程序和有关规定办事，遇突发事件，按照应急预案，组织指挥人员疏散，确保人员安全。</w:t>
      </w:r>
    </w:p>
    <w:p w14:paraId="3C5297F1">
      <w:pPr>
        <w:adjustRightInd w:val="0"/>
        <w:snapToGrid w:val="0"/>
        <w:spacing w:line="56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（7）工作人员在竞赛中若有舞弊行为，立即撤销其工作资格，并严肃处理。</w:t>
      </w:r>
    </w:p>
    <w:p w14:paraId="48F702E4">
      <w:pPr>
        <w:adjustRightInd w:val="0"/>
        <w:snapToGrid w:val="0"/>
        <w:spacing w:line="560" w:lineRule="exact"/>
        <w:ind w:firstLine="560" w:firstLineChars="200"/>
        <w:rPr>
          <w:color w:val="auto"/>
        </w:rPr>
      </w:pPr>
      <w:r>
        <w:rPr>
          <w:rFonts w:hint="eastAsia" w:ascii="仿宋" w:hAnsi="仿宋" w:eastAsia="仿宋"/>
          <w:color w:val="auto"/>
          <w:sz w:val="28"/>
          <w:szCs w:val="28"/>
        </w:rPr>
        <w:t>（8）保持通讯畅通，服从统一领导，严格遵守竞赛纪律，加强协作配合，提高工作效率。</w:t>
      </w:r>
      <w:bookmarkEnd w:id="1"/>
      <w:bookmarkEnd w:id="2"/>
      <w:bookmarkEnd w:id="3"/>
      <w:bookmarkEnd w:id="4"/>
      <w:bookmarkEnd w:id="5"/>
    </w:p>
    <w:bookmarkEnd w:id="17"/>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D006522-9D25-47CA-A9DF-B91B84C7038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2" w:fontKey="{31487404-212D-4A6F-B01F-C861B0A56E1B}"/>
  </w:font>
  <w:font w:name="方正公文小标宋">
    <w:panose1 w:val="02000500000000000000"/>
    <w:charset w:val="86"/>
    <w:family w:val="auto"/>
    <w:pitch w:val="default"/>
    <w:sig w:usb0="A00002BF" w:usb1="38CF7CFA" w:usb2="00000016" w:usb3="00000000" w:csb0="00040001" w:csb1="00000000"/>
    <w:embedRegular r:id="rId3" w:fontKey="{BC9EF627-44D5-4F55-AA9C-1B8245503B2B}"/>
  </w:font>
  <w:font w:name="方正小标宋_GBK">
    <w:panose1 w:val="02000000000000000000"/>
    <w:charset w:val="86"/>
    <w:family w:val="auto"/>
    <w:pitch w:val="default"/>
    <w:sig w:usb0="A00002BF" w:usb1="38CF7CFA" w:usb2="00082016" w:usb3="00000000" w:csb0="00040001" w:csb1="00000000"/>
    <w:embedRegular r:id="rId4" w:fontKey="{514A1E0F-93DD-410B-87CA-AFE093F91EA3}"/>
  </w:font>
  <w:font w:name="仿宋">
    <w:panose1 w:val="02010609060101010101"/>
    <w:charset w:val="86"/>
    <w:family w:val="modern"/>
    <w:pitch w:val="default"/>
    <w:sig w:usb0="800002BF" w:usb1="38CF7CFA" w:usb2="00000016" w:usb3="00000000" w:csb0="00040001" w:csb1="00000000"/>
    <w:embedRegular r:id="rId5" w:fontKey="{210B1B0F-35E5-4225-B238-6D2DF6A64BC5}"/>
  </w:font>
  <w:font w:name="Segoe UI">
    <w:panose1 w:val="020B0502040204020203"/>
    <w:charset w:val="00"/>
    <w:family w:val="auto"/>
    <w:pitch w:val="default"/>
    <w:sig w:usb0="E4002EFF" w:usb1="C000E47F" w:usb2="00000009" w:usb3="00000000" w:csb0="200001FF" w:csb1="00000000"/>
    <w:embedRegular r:id="rId6" w:fontKey="{84ACFB9D-B0CD-4242-8F49-CD325036784D}"/>
  </w:font>
  <w:font w:name="仿宋-简">
    <w:altName w:val="仿宋"/>
    <w:panose1 w:val="02010609060101010101"/>
    <w:charset w:val="86"/>
    <w:family w:val="auto"/>
    <w:pitch w:val="default"/>
    <w:sig w:usb0="00000000" w:usb1="00000000" w:usb2="00000016" w:usb3="00000000" w:csb0="00040001" w:csb1="00000000"/>
    <w:embedRegular r:id="rId7" w:fontKey="{B623D34C-1C2F-4C32-86C7-16D2AF7E6CF3}"/>
  </w:font>
  <w:font w:name="WPSEMBED1">
    <w:panose1 w:val="02000500000000000000"/>
    <w:charset w:val="86"/>
    <w:family w:val="auto"/>
    <w:pitch w:val="default"/>
    <w:sig w:usb0="A00002BF" w:usb1="38CF7CFA" w:usb2="00000016" w:usb3="00000000" w:csb0="00040001" w:csb1="00000000"/>
  </w:font>
  <w:font w:name="WPSEMBED2">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19701">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47934309"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04E9965A">
                          <w:pPr>
                            <w:pStyle w:val="8"/>
                          </w:pPr>
                          <w:r>
                            <w:fldChar w:fldCharType="begin"/>
                          </w:r>
                          <w:r>
                            <w:instrText xml:space="preserve"> PAGE  \* MERGEFORMAT </w:instrText>
                          </w:r>
                          <w:r>
                            <w:fldChar w:fldCharType="separate"/>
                          </w:r>
                          <w:r>
                            <w:t>17</w:t>
                          </w:r>
                          <w: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L3UTQAAAAAgEAAA8AAAAAAAAAAQAgAAAAIgAAAGRycy9kb3ducmV2&#10;LnhtbFBLAQIUABQAAAAIAIdO4kCHo1V4BAIAAAsEAAAOAAAAAAAAAAEAIAAAAB8BAABkcnMvZTJv&#10;RG9jLnhtbFBLBQYAAAAABgAGAFkBAACVBQAAAAA=&#10;">
              <v:fill on="f" focussize="0,0"/>
              <v:stroke on="f"/>
              <v:imagedata o:title=""/>
              <o:lock v:ext="edit" aspectratio="f"/>
              <v:textbox inset="0mm,0mm,0mm,0mm" style="mso-fit-shape-to-text:t;">
                <w:txbxContent>
                  <w:p w14:paraId="04E9965A">
                    <w:pPr>
                      <w:pStyle w:val="8"/>
                    </w:pPr>
                    <w:r>
                      <w:fldChar w:fldCharType="begin"/>
                    </w:r>
                    <w:r>
                      <w:instrText xml:space="preserve"> PAGE  \* MERGEFORMAT </w:instrText>
                    </w:r>
                    <w:r>
                      <w:fldChar w:fldCharType="separate"/>
                    </w:r>
                    <w:r>
                      <w:t>17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EF9459"/>
    <w:multiLevelType w:val="singleLevel"/>
    <w:tmpl w:val="BEEF9459"/>
    <w:lvl w:ilvl="0" w:tentative="0">
      <w:start w:val="7"/>
      <w:numFmt w:val="decimal"/>
      <w:suff w:val="nothing"/>
      <w:lvlText w:val="（%1）"/>
      <w:lvlJc w:val="left"/>
    </w:lvl>
  </w:abstractNum>
  <w:abstractNum w:abstractNumId="1">
    <w:nsid w:val="E2754247"/>
    <w:multiLevelType w:val="singleLevel"/>
    <w:tmpl w:val="E2754247"/>
    <w:lvl w:ilvl="0" w:tentative="0">
      <w:start w:val="2"/>
      <w:numFmt w:val="chineseCounting"/>
      <w:suff w:val="nothing"/>
      <w:lvlText w:val="（%1）"/>
      <w:lvlJc w:val="left"/>
      <w:rPr>
        <w:rFonts w:hint="eastAsia"/>
      </w:rPr>
    </w:lvl>
  </w:abstractNum>
  <w:abstractNum w:abstractNumId="2">
    <w:nsid w:val="00000002"/>
    <w:multiLevelType w:val="multilevel"/>
    <w:tmpl w:val="00000002"/>
    <w:lvl w:ilvl="0" w:tentative="0">
      <w:start w:val="4"/>
      <w:numFmt w:val="bullet"/>
      <w:pStyle w:val="2"/>
      <w:lvlText w:val="□"/>
      <w:lvlJc w:val="left"/>
      <w:pPr>
        <w:tabs>
          <w:tab w:val="left" w:pos="360"/>
        </w:tabs>
        <w:ind w:left="360" w:hanging="360"/>
      </w:pPr>
      <w:rPr>
        <w:rFonts w:hint="eastAsia" w:ascii="宋体" w:hAnsi="宋体" w:eastAsia="宋体" w:cs="Times New Roman"/>
        <w:b/>
        <w:sz w:val="4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3B0FBB2C"/>
    <w:multiLevelType w:val="singleLevel"/>
    <w:tmpl w:val="3B0FBB2C"/>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A2MjM1NDc1YzQwMjczZDAzMTc3YWJjMmYzNWY4MGQifQ=="/>
  </w:docVars>
  <w:rsids>
    <w:rsidRoot w:val="007375AC"/>
    <w:rsid w:val="00014B9C"/>
    <w:rsid w:val="00192E43"/>
    <w:rsid w:val="00196C6B"/>
    <w:rsid w:val="002060C0"/>
    <w:rsid w:val="00222843"/>
    <w:rsid w:val="004646DC"/>
    <w:rsid w:val="00486E52"/>
    <w:rsid w:val="004A7804"/>
    <w:rsid w:val="00575E23"/>
    <w:rsid w:val="00591EB9"/>
    <w:rsid w:val="00593D6B"/>
    <w:rsid w:val="005B52F7"/>
    <w:rsid w:val="0060429B"/>
    <w:rsid w:val="00641033"/>
    <w:rsid w:val="006727AE"/>
    <w:rsid w:val="00674753"/>
    <w:rsid w:val="006A7139"/>
    <w:rsid w:val="006B1872"/>
    <w:rsid w:val="006F2552"/>
    <w:rsid w:val="00721CA5"/>
    <w:rsid w:val="007375AC"/>
    <w:rsid w:val="00742BC5"/>
    <w:rsid w:val="00743188"/>
    <w:rsid w:val="007540BA"/>
    <w:rsid w:val="00794860"/>
    <w:rsid w:val="007B75DA"/>
    <w:rsid w:val="007D2173"/>
    <w:rsid w:val="00812251"/>
    <w:rsid w:val="0083092E"/>
    <w:rsid w:val="00846344"/>
    <w:rsid w:val="008903FB"/>
    <w:rsid w:val="008B67D0"/>
    <w:rsid w:val="008D2B82"/>
    <w:rsid w:val="008E7EB5"/>
    <w:rsid w:val="00937521"/>
    <w:rsid w:val="00951AF0"/>
    <w:rsid w:val="009E1E77"/>
    <w:rsid w:val="00A469DD"/>
    <w:rsid w:val="00A5543F"/>
    <w:rsid w:val="00C13DAB"/>
    <w:rsid w:val="00C67BFB"/>
    <w:rsid w:val="00CA4263"/>
    <w:rsid w:val="00CD2F50"/>
    <w:rsid w:val="00D447D1"/>
    <w:rsid w:val="00D86218"/>
    <w:rsid w:val="00DF02E6"/>
    <w:rsid w:val="00E36614"/>
    <w:rsid w:val="00E51B44"/>
    <w:rsid w:val="00E5740B"/>
    <w:rsid w:val="00E92DF1"/>
    <w:rsid w:val="00EF1B9D"/>
    <w:rsid w:val="00FD39A5"/>
    <w:rsid w:val="02B811DD"/>
    <w:rsid w:val="03AB26E4"/>
    <w:rsid w:val="03C70711"/>
    <w:rsid w:val="050F6A1B"/>
    <w:rsid w:val="05A957CD"/>
    <w:rsid w:val="05D1471C"/>
    <w:rsid w:val="069B6EEA"/>
    <w:rsid w:val="078D330D"/>
    <w:rsid w:val="08792EF6"/>
    <w:rsid w:val="0917656F"/>
    <w:rsid w:val="095F3199"/>
    <w:rsid w:val="0A1357D3"/>
    <w:rsid w:val="0B3362C6"/>
    <w:rsid w:val="0CE04884"/>
    <w:rsid w:val="0D84766A"/>
    <w:rsid w:val="0EE379BA"/>
    <w:rsid w:val="0F7F5316"/>
    <w:rsid w:val="116A7C1C"/>
    <w:rsid w:val="11B76268"/>
    <w:rsid w:val="12E34F1A"/>
    <w:rsid w:val="180A4E2F"/>
    <w:rsid w:val="18811EFC"/>
    <w:rsid w:val="18DC19AD"/>
    <w:rsid w:val="1A4A0192"/>
    <w:rsid w:val="1ABE22CB"/>
    <w:rsid w:val="1BB43819"/>
    <w:rsid w:val="1E041209"/>
    <w:rsid w:val="1E1D5A5B"/>
    <w:rsid w:val="2203629B"/>
    <w:rsid w:val="22AD085E"/>
    <w:rsid w:val="23944CD4"/>
    <w:rsid w:val="23B609C0"/>
    <w:rsid w:val="2420068E"/>
    <w:rsid w:val="2670658E"/>
    <w:rsid w:val="274F3D93"/>
    <w:rsid w:val="27F66E2D"/>
    <w:rsid w:val="29700F5B"/>
    <w:rsid w:val="29B36EBE"/>
    <w:rsid w:val="29CD16D5"/>
    <w:rsid w:val="2A5E1E5B"/>
    <w:rsid w:val="2A844458"/>
    <w:rsid w:val="2AE869A7"/>
    <w:rsid w:val="2C113E5C"/>
    <w:rsid w:val="2CF22582"/>
    <w:rsid w:val="2D151EBE"/>
    <w:rsid w:val="2D4F1A56"/>
    <w:rsid w:val="2DA46DB0"/>
    <w:rsid w:val="2DBA109D"/>
    <w:rsid w:val="2DF720F6"/>
    <w:rsid w:val="2FCB323B"/>
    <w:rsid w:val="30490208"/>
    <w:rsid w:val="30A26617"/>
    <w:rsid w:val="312071B2"/>
    <w:rsid w:val="32762A2D"/>
    <w:rsid w:val="33934FE4"/>
    <w:rsid w:val="33F23E05"/>
    <w:rsid w:val="35E47D8D"/>
    <w:rsid w:val="384B6116"/>
    <w:rsid w:val="385B6FD2"/>
    <w:rsid w:val="39205BF2"/>
    <w:rsid w:val="39FF3196"/>
    <w:rsid w:val="3BFEF5D7"/>
    <w:rsid w:val="3CA26EAF"/>
    <w:rsid w:val="3E8352F2"/>
    <w:rsid w:val="3EBC1AAC"/>
    <w:rsid w:val="3F7824A8"/>
    <w:rsid w:val="40AA5BFF"/>
    <w:rsid w:val="40B732E0"/>
    <w:rsid w:val="446C1E10"/>
    <w:rsid w:val="449B599A"/>
    <w:rsid w:val="451243C3"/>
    <w:rsid w:val="464649F8"/>
    <w:rsid w:val="470E4700"/>
    <w:rsid w:val="47AF2F63"/>
    <w:rsid w:val="48416D17"/>
    <w:rsid w:val="484459AF"/>
    <w:rsid w:val="4ADA0FDC"/>
    <w:rsid w:val="4BE62CCB"/>
    <w:rsid w:val="4CA77F9D"/>
    <w:rsid w:val="4CB976CC"/>
    <w:rsid w:val="4CDF2E8A"/>
    <w:rsid w:val="4D81379B"/>
    <w:rsid w:val="4E55643D"/>
    <w:rsid w:val="4ECC32FB"/>
    <w:rsid w:val="4F5F6B09"/>
    <w:rsid w:val="4FD36336"/>
    <w:rsid w:val="516E79EA"/>
    <w:rsid w:val="51A45CFD"/>
    <w:rsid w:val="551D485B"/>
    <w:rsid w:val="565847C5"/>
    <w:rsid w:val="57A23F4A"/>
    <w:rsid w:val="57EA78B2"/>
    <w:rsid w:val="587734FC"/>
    <w:rsid w:val="59B7695C"/>
    <w:rsid w:val="59BC46C1"/>
    <w:rsid w:val="5A305967"/>
    <w:rsid w:val="5AC42872"/>
    <w:rsid w:val="5B0204E0"/>
    <w:rsid w:val="5C361105"/>
    <w:rsid w:val="5C555203"/>
    <w:rsid w:val="5DFBD3FC"/>
    <w:rsid w:val="5EEE213C"/>
    <w:rsid w:val="6038094B"/>
    <w:rsid w:val="640115C4"/>
    <w:rsid w:val="64086AC7"/>
    <w:rsid w:val="640B10C9"/>
    <w:rsid w:val="6557657C"/>
    <w:rsid w:val="6576253C"/>
    <w:rsid w:val="675E1DC3"/>
    <w:rsid w:val="68A044D6"/>
    <w:rsid w:val="68EF720B"/>
    <w:rsid w:val="69966CB4"/>
    <w:rsid w:val="69C37EA1"/>
    <w:rsid w:val="6A2D3FCC"/>
    <w:rsid w:val="6AF67FAD"/>
    <w:rsid w:val="6B4A2513"/>
    <w:rsid w:val="6C24561D"/>
    <w:rsid w:val="6C6C46CF"/>
    <w:rsid w:val="6D7752DF"/>
    <w:rsid w:val="72644F15"/>
    <w:rsid w:val="738C4A46"/>
    <w:rsid w:val="74A311D9"/>
    <w:rsid w:val="74B10D53"/>
    <w:rsid w:val="75062D05"/>
    <w:rsid w:val="75371BE9"/>
    <w:rsid w:val="76AE0F04"/>
    <w:rsid w:val="79C845F2"/>
    <w:rsid w:val="7AD6769A"/>
    <w:rsid w:val="7B407452"/>
    <w:rsid w:val="7B9812C0"/>
    <w:rsid w:val="7BCB1412"/>
    <w:rsid w:val="7BD75E7C"/>
    <w:rsid w:val="7CFE7FA7"/>
    <w:rsid w:val="7D31397B"/>
    <w:rsid w:val="7DCD03B8"/>
    <w:rsid w:val="7E235FBD"/>
    <w:rsid w:val="A0EECBF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2" w:semiHidden="0" w:name="index 5"/>
    <w:lsdException w:qFormat="1" w:unhideWhenUsed="0" w:uiPriority="0" w:semiHidden="0"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numPr>
        <w:ilvl w:val="0"/>
        <w:numId w:val="1"/>
      </w:numPr>
      <w:spacing w:before="400" w:after="120"/>
      <w:ind w:left="432" w:hanging="432"/>
      <w:outlineLvl w:val="0"/>
    </w:pPr>
    <w:rPr>
      <w:rFonts w:ascii="微软雅黑" w:hAnsi="微软雅黑" w:eastAsia="微软雅黑" w:cs="微软雅黑"/>
      <w:b/>
      <w:color w:val="003764"/>
      <w:kern w:val="0"/>
      <w:sz w:val="40"/>
      <w:szCs w:val="32"/>
      <w:lang w:val="en-GB" w:eastAsia="en-US"/>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Normal Indent"/>
    <w:qFormat/>
    <w:uiPriority w:val="99"/>
    <w:pPr>
      <w:widowControl w:val="0"/>
      <w:ind w:firstLine="420" w:firstLineChars="200"/>
      <w:jc w:val="both"/>
    </w:pPr>
    <w:rPr>
      <w:rFonts w:ascii="Times New Roman" w:hAnsi="Times New Roman" w:eastAsia="宋体" w:cs="Times New Roman"/>
      <w:kern w:val="0"/>
      <w:sz w:val="20"/>
      <w:szCs w:val="24"/>
      <w:lang w:val="en-US" w:eastAsia="zh-CN" w:bidi="ar-SA"/>
    </w:rPr>
  </w:style>
  <w:style w:type="paragraph" w:styleId="4">
    <w:name w:val="index 5"/>
    <w:basedOn w:val="1"/>
    <w:next w:val="1"/>
    <w:qFormat/>
    <w:uiPriority w:val="2"/>
    <w:pPr>
      <w:widowControl w:val="0"/>
      <w:ind w:left="1680"/>
      <w:jc w:val="both"/>
    </w:pPr>
    <w:rPr>
      <w:rFonts w:ascii="Calibri" w:hAnsi="Calibri" w:eastAsia="宋体" w:cs="Times New Roman"/>
      <w:kern w:val="2"/>
      <w:sz w:val="21"/>
      <w:szCs w:val="24"/>
      <w:lang w:val="en-US" w:eastAsia="zh-CN" w:bidi="ar-SA"/>
    </w:rPr>
  </w:style>
  <w:style w:type="paragraph" w:styleId="5">
    <w:name w:val="annotation text"/>
    <w:basedOn w:val="1"/>
    <w:link w:val="15"/>
    <w:autoRedefine/>
    <w:qFormat/>
    <w:uiPriority w:val="99"/>
    <w:pPr>
      <w:jc w:val="left"/>
    </w:pPr>
    <w:rPr>
      <w:sz w:val="22"/>
    </w:rPr>
  </w:style>
  <w:style w:type="paragraph" w:styleId="6">
    <w:name w:val="index 6"/>
    <w:basedOn w:val="1"/>
    <w:next w:val="1"/>
    <w:qFormat/>
    <w:uiPriority w:val="0"/>
    <w:pPr>
      <w:widowControl w:val="0"/>
      <w:ind w:firstLine="840"/>
      <w:jc w:val="both"/>
    </w:pPr>
    <w:rPr>
      <w:rFonts w:ascii="Calibri" w:hAnsi="Calibri" w:eastAsia="宋体" w:cs="Arial"/>
      <w:kern w:val="2"/>
      <w:sz w:val="21"/>
      <w:szCs w:val="24"/>
      <w:lang w:val="en-US" w:eastAsia="zh-CN" w:bidi="ar-SA"/>
    </w:rPr>
  </w:style>
  <w:style w:type="paragraph" w:styleId="7">
    <w:name w:val="Body Text"/>
    <w:basedOn w:val="1"/>
    <w:next w:val="8"/>
    <w:qFormat/>
    <w:uiPriority w:val="0"/>
    <w:pPr>
      <w:spacing w:after="120"/>
    </w:pPr>
  </w:style>
  <w:style w:type="paragraph" w:styleId="8">
    <w:name w:val="footer"/>
    <w:basedOn w:val="1"/>
    <w:next w:val="4"/>
    <w:autoRedefine/>
    <w:unhideWhenUsed/>
    <w:qFormat/>
    <w:uiPriority w:val="99"/>
    <w:pPr>
      <w:tabs>
        <w:tab w:val="center" w:pos="4153"/>
        <w:tab w:val="right" w:pos="8306"/>
      </w:tabs>
      <w:snapToGrid w:val="0"/>
      <w:jc w:val="left"/>
    </w:pPr>
    <w:rPr>
      <w:sz w:val="18"/>
    </w:rPr>
  </w:style>
  <w:style w:type="paragraph" w:styleId="9">
    <w:name w:val="header"/>
    <w:basedOn w:val="1"/>
    <w:autoRedefine/>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Body Text First Indent"/>
    <w:basedOn w:val="7"/>
    <w:next w:val="6"/>
    <w:unhideWhenUsed/>
    <w:qFormat/>
    <w:uiPriority w:val="0"/>
    <w:pPr>
      <w:widowControl w:val="0"/>
      <w:spacing w:after="120"/>
      <w:ind w:firstLine="420" w:firstLineChars="100"/>
      <w:jc w:val="both"/>
    </w:pPr>
    <w:rPr>
      <w:rFonts w:ascii="Calibri" w:hAnsi="Calibri" w:eastAsia="宋体" w:cs="Times New Roman"/>
      <w:kern w:val="2"/>
      <w:sz w:val="21"/>
      <w:szCs w:val="24"/>
      <w:lang w:val="en-US" w:eastAsia="zh-CN" w:bidi="ar-SA"/>
    </w:rPr>
  </w:style>
  <w:style w:type="character" w:styleId="13">
    <w:name w:val="Strong"/>
    <w:basedOn w:val="12"/>
    <w:qFormat/>
    <w:uiPriority w:val="22"/>
    <w:rPr>
      <w:b/>
    </w:rPr>
  </w:style>
  <w:style w:type="paragraph" w:styleId="14">
    <w:name w:val="List Paragraph"/>
    <w:basedOn w:val="1"/>
    <w:autoRedefine/>
    <w:qFormat/>
    <w:uiPriority w:val="99"/>
    <w:pPr>
      <w:ind w:firstLine="420" w:firstLineChars="200"/>
    </w:pPr>
  </w:style>
  <w:style w:type="character" w:customStyle="1" w:styleId="15">
    <w:name w:val="批注文字 字符"/>
    <w:basedOn w:val="12"/>
    <w:link w:val="5"/>
    <w:autoRedefine/>
    <w:qFormat/>
    <w:uiPriority w:val="99"/>
    <w:rPr>
      <w:rFonts w:ascii="Times New Roman" w:hAnsi="Times New Roman" w:eastAsia="宋体" w:cs="Times New Roman"/>
      <w:sz w:val="22"/>
      <w:szCs w:val="24"/>
    </w:rPr>
  </w:style>
  <w:style w:type="paragraph" w:customStyle="1" w:styleId="16">
    <w:name w:val="5-内文"/>
    <w:basedOn w:val="1"/>
    <w:autoRedefine/>
    <w:qFormat/>
    <w:uiPriority w:val="99"/>
    <w:pPr>
      <w:spacing w:beforeLines="25" w:afterLines="25" w:line="300" w:lineRule="auto"/>
      <w:ind w:firstLine="200" w:firstLineChars="200"/>
    </w:pPr>
    <w:rPr>
      <w:rFonts w:eastAsia="仿宋_GB2312"/>
      <w:kern w:val="0"/>
      <w:sz w:val="28"/>
      <w:szCs w:val="20"/>
    </w:rPr>
  </w:style>
  <w:style w:type="paragraph" w:customStyle="1" w:styleId="17">
    <w:name w:val="Table Text"/>
    <w:basedOn w:val="1"/>
    <w:semiHidden/>
    <w:qFormat/>
    <w:uiPriority w:val="0"/>
    <w:rPr>
      <w:rFonts w:ascii="宋体" w:hAnsi="宋体" w:eastAsia="宋体" w:cs="宋体"/>
      <w:sz w:val="24"/>
      <w:szCs w:val="24"/>
    </w:rPr>
  </w:style>
  <w:style w:type="table" w:customStyle="1" w:styleId="1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4542</Words>
  <Characters>4820</Characters>
  <Lines>81</Lines>
  <Paragraphs>22</Paragraphs>
  <TotalTime>0</TotalTime>
  <ScaleCrop>false</ScaleCrop>
  <LinksUpToDate>false</LinksUpToDate>
  <CharactersWithSpaces>4835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2025-11-10T14:17:00Z</dcterms:created>
  <dc:creator>ygx</dc:creator>
  <cp:lastModifiedBy>hncst1117</cp:lastModifiedBy>
  <cp:lastPrinted>2021-04-08T16:49:00Z</cp:lastPrinted>
  <dcterms:modified xsi:type="dcterms:W3CDTF">2026-10-22T06:36:01Z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CFDCF1C12F4FDFB7E3B4D56A5B9F19E4_43</vt:lpwstr>
  </property>
  <property fmtid="{D5CDD505-2E9C-101B-9397-08002B2CF9AE}" pid="4" name="KSOTemplateDocerSaveRecord">
    <vt:lpwstr>eyJoZGlkIjoiMDcwNzJlODk4Mjk1ZjFiOTJhNWNkOWViMGVkYWI4NzUiLCJ1c2VySWQiOiI1MTk2NjM3MDcifQ==</vt:lpwstr>
  </property>
</Properties>
</file>