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06F7F8">
      <w:pPr>
        <w:ind w:firstLine="640"/>
        <w:rPr>
          <w:rFonts w:hint="eastAsia" w:ascii="仿宋" w:hAnsi="仿宋" w:eastAsia="仿宋"/>
          <w:color w:val="auto"/>
          <w:szCs w:val="36"/>
        </w:rPr>
      </w:pPr>
      <w:bookmarkStart w:id="2" w:name="_GoBack"/>
      <w:bookmarkStart w:id="0" w:name="_Hlk509411330"/>
    </w:p>
    <w:p w14:paraId="3063B27F">
      <w:pPr>
        <w:ind w:firstLine="640"/>
        <w:rPr>
          <w:rFonts w:hint="eastAsia" w:ascii="仿宋" w:hAnsi="仿宋" w:eastAsia="仿宋"/>
          <w:color w:val="auto"/>
          <w:szCs w:val="36"/>
        </w:rPr>
      </w:pPr>
    </w:p>
    <w:p w14:paraId="7BC37DF6">
      <w:pPr>
        <w:ind w:firstLine="640"/>
        <w:rPr>
          <w:rFonts w:hint="eastAsia" w:ascii="仿宋" w:hAnsi="仿宋" w:eastAsia="仿宋"/>
          <w:color w:val="auto"/>
          <w:szCs w:val="36"/>
        </w:rPr>
      </w:pPr>
    </w:p>
    <w:bookmarkEnd w:id="0"/>
    <w:p w14:paraId="7EC26EE3">
      <w:pPr>
        <w:pStyle w:val="3"/>
        <w:ind w:left="0" w:leftChars="0" w:firstLine="0" w:firstLineChars="0"/>
        <w:jc w:val="center"/>
        <w:rPr>
          <w:rFonts w:hint="eastAsia" w:ascii="方正公文小标宋" w:hAnsi="方正公文小标宋" w:eastAsia="方正公文小标宋" w:cs="方正公文小标宋"/>
          <w:b w:val="0"/>
          <w:bCs w:val="0"/>
          <w:color w:val="auto"/>
          <w:sz w:val="44"/>
          <w:szCs w:val="60"/>
        </w:rPr>
      </w:pPr>
      <w:r>
        <w:rPr>
          <w:rFonts w:hint="eastAsia" w:ascii="方正公文小标宋" w:hAnsi="方正公文小标宋" w:eastAsia="方正公文小标宋" w:cs="方正公文小标宋"/>
          <w:b w:val="0"/>
          <w:bCs w:val="0"/>
          <w:color w:val="auto"/>
          <w:sz w:val="44"/>
          <w:szCs w:val="60"/>
        </w:rPr>
        <w:t xml:space="preserve"> 202</w:t>
      </w:r>
      <w:r>
        <w:rPr>
          <w:rFonts w:hint="eastAsia" w:ascii="方正公文小标宋" w:hAnsi="方正公文小标宋" w:eastAsia="方正公文小标宋" w:cs="方正公文小标宋"/>
          <w:b w:val="0"/>
          <w:bCs w:val="0"/>
          <w:color w:val="auto"/>
          <w:sz w:val="44"/>
          <w:szCs w:val="60"/>
          <w:lang w:val="en-US" w:eastAsia="zh-CN"/>
        </w:rPr>
        <w:t>6</w:t>
      </w:r>
      <w:r>
        <w:rPr>
          <w:rFonts w:hint="eastAsia" w:ascii="方正公文小标宋" w:hAnsi="方正公文小标宋" w:eastAsia="方正公文小标宋" w:cs="方正公文小标宋"/>
          <w:b w:val="0"/>
          <w:bCs w:val="0"/>
          <w:color w:val="auto"/>
          <w:sz w:val="44"/>
          <w:szCs w:val="60"/>
        </w:rPr>
        <w:t>年</w:t>
      </w:r>
      <w:r>
        <w:rPr>
          <w:rFonts w:hint="eastAsia" w:ascii="方正公文小标宋" w:hAnsi="方正公文小标宋" w:eastAsia="方正公文小标宋" w:cs="方正公文小标宋"/>
          <w:b w:val="0"/>
          <w:bCs w:val="0"/>
          <w:color w:val="auto"/>
          <w:sz w:val="44"/>
          <w:szCs w:val="60"/>
          <w:lang w:val="en-US" w:eastAsia="zh-CN"/>
        </w:rPr>
        <w:t>海南省</w:t>
      </w:r>
      <w:r>
        <w:rPr>
          <w:rFonts w:hint="eastAsia" w:ascii="方正公文小标宋" w:hAnsi="方正公文小标宋" w:eastAsia="方正公文小标宋" w:cs="方正公文小标宋"/>
          <w:b w:val="0"/>
          <w:bCs w:val="0"/>
          <w:color w:val="auto"/>
          <w:sz w:val="44"/>
          <w:szCs w:val="60"/>
        </w:rPr>
        <w:t>职业院校技能大赛</w:t>
      </w:r>
    </w:p>
    <w:p w14:paraId="6334A18A">
      <w:pPr>
        <w:pStyle w:val="3"/>
        <w:ind w:left="0" w:leftChars="0" w:firstLine="0" w:firstLineChars="0"/>
        <w:jc w:val="center"/>
        <w:rPr>
          <w:rFonts w:hint="eastAsia" w:ascii="方正公文小标宋" w:hAnsi="方正公文小标宋" w:eastAsia="方正公文小标宋" w:cs="方正公文小标宋"/>
          <w:b w:val="0"/>
          <w:bCs w:val="0"/>
          <w:color w:val="auto"/>
          <w:sz w:val="44"/>
          <w:szCs w:val="60"/>
          <w:lang w:val="en-US" w:eastAsia="zh-CN"/>
        </w:rPr>
      </w:pPr>
      <w:r>
        <w:rPr>
          <w:rFonts w:hint="eastAsia" w:ascii="方正公文小标宋" w:hAnsi="方正公文小标宋" w:eastAsia="方正公文小标宋" w:cs="方正公文小标宋"/>
          <w:b w:val="0"/>
          <w:bCs w:val="0"/>
          <w:color w:val="auto"/>
          <w:sz w:val="44"/>
          <w:szCs w:val="60"/>
          <w:lang w:val="en-US" w:eastAsia="zh-CN"/>
        </w:rPr>
        <w:t>云计算应用赛项</w:t>
      </w:r>
    </w:p>
    <w:p w14:paraId="654AAA28">
      <w:pPr>
        <w:pStyle w:val="3"/>
        <w:ind w:left="0" w:leftChars="0" w:firstLine="0" w:firstLineChars="0"/>
        <w:jc w:val="center"/>
        <w:rPr>
          <w:rFonts w:hint="eastAsia" w:ascii="方正公文小标宋" w:hAnsi="方正公文小标宋" w:eastAsia="方正公文小标宋" w:cs="方正公文小标宋"/>
          <w:b w:val="0"/>
          <w:bCs w:val="0"/>
          <w:color w:val="auto"/>
          <w:sz w:val="48"/>
          <w:szCs w:val="72"/>
        </w:rPr>
      </w:pPr>
      <w:r>
        <w:rPr>
          <w:rFonts w:hint="eastAsia" w:ascii="方正公文小标宋" w:hAnsi="方正公文小标宋" w:eastAsia="方正公文小标宋" w:cs="方正公文小标宋"/>
          <w:b w:val="0"/>
          <w:bCs w:val="0"/>
          <w:color w:val="auto"/>
          <w:sz w:val="48"/>
          <w:szCs w:val="72"/>
        </w:rPr>
        <w:t>竞赛规程</w:t>
      </w:r>
    </w:p>
    <w:p w14:paraId="0B8BA77D">
      <w:pPr>
        <w:jc w:val="center"/>
        <w:rPr>
          <w:rFonts w:hint="default" w:ascii="Times New Roman" w:hAnsi="Times New Roman" w:eastAsia="宋体" w:cs="Times New Roman"/>
          <w:color w:val="auto"/>
          <w:sz w:val="30"/>
        </w:rPr>
      </w:pPr>
    </w:p>
    <w:p w14:paraId="382A2D66">
      <w:pPr>
        <w:widowControl/>
        <w:jc w:val="left"/>
        <w:rPr>
          <w:rFonts w:hint="default" w:ascii="Times New Roman" w:hAnsi="Times New Roman" w:eastAsia="黑体" w:cs="Times New Roman"/>
          <w:color w:val="auto"/>
          <w:sz w:val="24"/>
        </w:rPr>
      </w:pPr>
    </w:p>
    <w:p w14:paraId="13A7BE76">
      <w:pPr>
        <w:widowControl/>
        <w:jc w:val="left"/>
        <w:rPr>
          <w:rFonts w:hint="default" w:ascii="Times New Roman" w:hAnsi="Times New Roman" w:eastAsia="黑体" w:cs="Times New Roman"/>
          <w:color w:val="auto"/>
          <w:sz w:val="32"/>
        </w:rPr>
      </w:pPr>
    </w:p>
    <w:p w14:paraId="5871B1B3">
      <w:pPr>
        <w:pStyle w:val="10"/>
        <w:rPr>
          <w:rFonts w:hint="default" w:ascii="Times New Roman" w:hAnsi="Times New Roman" w:eastAsia="黑体" w:cs="Times New Roman"/>
          <w:color w:val="auto"/>
          <w:sz w:val="32"/>
        </w:rPr>
      </w:pPr>
    </w:p>
    <w:p w14:paraId="790FE445">
      <w:pPr>
        <w:pStyle w:val="5"/>
        <w:rPr>
          <w:rFonts w:hint="default" w:ascii="Times New Roman" w:hAnsi="Times New Roman" w:eastAsia="黑体" w:cs="Times New Roman"/>
          <w:color w:val="auto"/>
          <w:sz w:val="32"/>
        </w:rPr>
      </w:pPr>
    </w:p>
    <w:p w14:paraId="6D0D87B8">
      <w:pPr>
        <w:rPr>
          <w:rFonts w:hint="default" w:ascii="Times New Roman" w:hAnsi="Times New Roman" w:eastAsia="黑体" w:cs="Times New Roman"/>
          <w:color w:val="auto"/>
          <w:sz w:val="32"/>
        </w:rPr>
      </w:pPr>
    </w:p>
    <w:p w14:paraId="1F17200F">
      <w:pPr>
        <w:pStyle w:val="5"/>
        <w:rPr>
          <w:rFonts w:hint="default" w:ascii="Times New Roman" w:hAnsi="Times New Roman" w:eastAsia="黑体" w:cs="Times New Roman"/>
          <w:color w:val="auto"/>
          <w:sz w:val="32"/>
        </w:rPr>
      </w:pPr>
    </w:p>
    <w:p w14:paraId="4E6A123D">
      <w:pPr>
        <w:rPr>
          <w:rFonts w:hint="default" w:ascii="Times New Roman" w:hAnsi="Times New Roman" w:eastAsia="黑体" w:cs="Times New Roman"/>
          <w:color w:val="auto"/>
          <w:sz w:val="32"/>
        </w:rPr>
      </w:pPr>
    </w:p>
    <w:p w14:paraId="385EED5C">
      <w:pPr>
        <w:pStyle w:val="3"/>
        <w:ind w:left="0" w:leftChars="0" w:firstLine="0" w:firstLineChars="0"/>
        <w:jc w:val="center"/>
        <w:rPr>
          <w:rFonts w:hint="eastAsia" w:eastAsia="宋体"/>
          <w:b/>
          <w:bCs/>
          <w:color w:val="auto"/>
          <w:sz w:val="36"/>
          <w:szCs w:val="48"/>
          <w:highlight w:val="none"/>
          <w:lang w:val="en-US" w:eastAsia="zh-CN"/>
        </w:rPr>
        <w:sectPr>
          <w:pgSz w:w="11906" w:h="16838"/>
          <w:pgMar w:top="1240" w:right="1800" w:bottom="1318" w:left="1800" w:header="851" w:footer="992" w:gutter="0"/>
          <w:pgBorders>
            <w:top w:val="none" w:sz="0" w:space="0"/>
            <w:left w:val="none" w:sz="0" w:space="0"/>
            <w:bottom w:val="none" w:sz="0" w:space="0"/>
            <w:right w:val="none" w:sz="0" w:space="0"/>
          </w:pgBorders>
          <w:pgNumType w:fmt="numberInDash" w:start="1"/>
          <w:cols w:space="720" w:num="1"/>
          <w:docGrid w:type="lines" w:linePitch="312" w:charSpace="0"/>
        </w:sectPr>
      </w:pPr>
      <w:r>
        <w:rPr>
          <w:rFonts w:hint="eastAsia" w:eastAsia="宋体"/>
          <w:b/>
          <w:bCs/>
          <w:color w:val="auto"/>
          <w:sz w:val="36"/>
          <w:szCs w:val="48"/>
          <w:highlight w:val="none"/>
          <w:lang w:val="en-US" w:eastAsia="zh-CN"/>
        </w:rPr>
        <w:t>202</w:t>
      </w:r>
      <w:r>
        <w:rPr>
          <w:rFonts w:hint="eastAsia"/>
          <w:b/>
          <w:bCs/>
          <w:color w:val="auto"/>
          <w:sz w:val="36"/>
          <w:szCs w:val="48"/>
          <w:highlight w:val="none"/>
          <w:lang w:val="en-US" w:eastAsia="zh-CN"/>
        </w:rPr>
        <w:t>6</w:t>
      </w:r>
      <w:r>
        <w:rPr>
          <w:rFonts w:hint="eastAsia" w:ascii="方正公文小标宋" w:hAnsi="方正公文小标宋" w:eastAsia="方正公文小标宋" w:cs="方正公文小标宋"/>
          <w:b w:val="0"/>
          <w:bCs w:val="0"/>
          <w:color w:val="auto"/>
          <w:sz w:val="36"/>
          <w:szCs w:val="36"/>
          <w:highlight w:val="none"/>
          <w:lang w:val="en-US" w:eastAsia="zh-CN"/>
        </w:rPr>
        <w:t>年11月</w:t>
      </w:r>
    </w:p>
    <w:p w14:paraId="4D2BED7E">
      <w:pPr>
        <w:snapToGrid w:val="0"/>
        <w:spacing w:line="560" w:lineRule="exact"/>
        <w:jc w:val="center"/>
        <w:rPr>
          <w:rFonts w:hint="eastAsia" w:ascii="方正小标宋_GBK" w:hAnsi="方正小标宋_GBK" w:eastAsia="方正小标宋_GBK" w:cs="方正小标宋_GBK"/>
          <w:bCs/>
          <w:color w:val="auto"/>
          <w:sz w:val="40"/>
          <w:szCs w:val="40"/>
        </w:rPr>
      </w:pPr>
      <w:r>
        <w:rPr>
          <w:rFonts w:hint="eastAsia" w:ascii="方正小标宋_GBK" w:hAnsi="方正小标宋_GBK" w:eastAsia="方正小标宋_GBK" w:cs="方正小标宋_GBK"/>
          <w:bCs/>
          <w:color w:val="auto"/>
          <w:sz w:val="40"/>
          <w:szCs w:val="40"/>
        </w:rPr>
        <w:t>202</w:t>
      </w:r>
      <w:r>
        <w:rPr>
          <w:rFonts w:hint="eastAsia" w:ascii="方正小标宋_GBK" w:hAnsi="方正小标宋_GBK" w:eastAsia="方正小标宋_GBK" w:cs="方正小标宋_GBK"/>
          <w:bCs/>
          <w:color w:val="auto"/>
          <w:sz w:val="40"/>
          <w:szCs w:val="40"/>
          <w:lang w:val="en-US" w:eastAsia="zh-CN"/>
        </w:rPr>
        <w:t>6</w:t>
      </w:r>
      <w:r>
        <w:rPr>
          <w:rFonts w:hint="eastAsia" w:ascii="方正小标宋_GBK" w:hAnsi="方正小标宋_GBK" w:eastAsia="方正小标宋_GBK" w:cs="方正小标宋_GBK"/>
          <w:bCs/>
          <w:color w:val="auto"/>
          <w:sz w:val="40"/>
          <w:szCs w:val="40"/>
        </w:rPr>
        <w:t>年海南省高等职业院校技能大赛</w:t>
      </w:r>
    </w:p>
    <w:p w14:paraId="34D7665F">
      <w:pPr>
        <w:snapToGrid w:val="0"/>
        <w:spacing w:line="560" w:lineRule="exact"/>
        <w:jc w:val="center"/>
        <w:rPr>
          <w:rFonts w:hint="eastAsia" w:ascii="方正小标宋_GBK" w:hAnsi="方正小标宋_GBK" w:eastAsia="方正小标宋_GBK" w:cs="方正小标宋_GBK"/>
          <w:bCs/>
          <w:color w:val="auto"/>
          <w:sz w:val="40"/>
          <w:szCs w:val="40"/>
        </w:rPr>
      </w:pPr>
      <w:r>
        <w:rPr>
          <w:rFonts w:hint="eastAsia" w:ascii="方正小标宋_GBK" w:hAnsi="方正小标宋_GBK" w:eastAsia="方正小标宋_GBK" w:cs="方正小标宋_GBK"/>
          <w:bCs/>
          <w:color w:val="auto"/>
          <w:sz w:val="40"/>
          <w:szCs w:val="40"/>
        </w:rPr>
        <w:t>云计算应用赛项规程</w:t>
      </w:r>
    </w:p>
    <w:p w14:paraId="76A5FB92">
      <w:pPr>
        <w:pStyle w:val="14"/>
        <w:numPr>
          <w:ilvl w:val="0"/>
          <w:numId w:val="0"/>
        </w:numPr>
        <w:ind w:leftChars="0"/>
        <w:rPr>
          <w:rFonts w:hint="eastAsia" w:ascii="仿宋" w:hAnsi="仿宋" w:eastAsia="仿宋"/>
          <w:b/>
          <w:bCs/>
          <w:color w:val="auto"/>
        </w:rPr>
      </w:pPr>
    </w:p>
    <w:p w14:paraId="412C8885">
      <w:pPr>
        <w:pStyle w:val="14"/>
        <w:rPr>
          <w:rFonts w:hint="eastAsia" w:ascii="仿宋" w:hAnsi="仿宋" w:eastAsia="仿宋"/>
          <w:b/>
          <w:bCs/>
          <w:color w:val="auto"/>
        </w:rPr>
      </w:pPr>
      <w:r>
        <w:rPr>
          <w:rFonts w:hint="eastAsia" w:ascii="仿宋" w:hAnsi="仿宋" w:eastAsia="仿宋"/>
          <w:b/>
          <w:bCs/>
          <w:color w:val="auto"/>
        </w:rPr>
        <w:t>赛项</w:t>
      </w:r>
      <w:r>
        <w:rPr>
          <w:rFonts w:hint="eastAsia" w:ascii="仿宋" w:hAnsi="仿宋" w:eastAsia="仿宋"/>
          <w:b/>
          <w:bCs/>
          <w:color w:val="auto"/>
          <w:lang w:val="en-US" w:eastAsia="zh-CN"/>
        </w:rPr>
        <w:t>信息</w:t>
      </w:r>
    </w:p>
    <w:p w14:paraId="04CEF30B">
      <w:pPr>
        <w:ind w:firstLine="640"/>
        <w:rPr>
          <w:rFonts w:hint="eastAsia" w:ascii="仿宋" w:hAnsi="仿宋" w:eastAsia="仿宋"/>
          <w:color w:val="auto"/>
        </w:rPr>
      </w:pPr>
      <w:r>
        <w:rPr>
          <w:rFonts w:hint="eastAsia" w:ascii="仿宋" w:hAnsi="仿宋" w:eastAsia="仿宋"/>
          <w:color w:val="auto"/>
        </w:rPr>
        <w:t>赛项归属赛道：新一代信息技术</w:t>
      </w:r>
    </w:p>
    <w:p w14:paraId="647E2F41">
      <w:pPr>
        <w:ind w:firstLine="640"/>
        <w:rPr>
          <w:rFonts w:hint="eastAsia" w:ascii="仿宋" w:hAnsi="仿宋" w:eastAsia="仿宋"/>
          <w:color w:val="auto"/>
        </w:rPr>
      </w:pPr>
      <w:r>
        <w:rPr>
          <w:rFonts w:hint="eastAsia" w:ascii="仿宋" w:hAnsi="仿宋" w:eastAsia="仿宋"/>
          <w:color w:val="auto"/>
        </w:rPr>
        <w:t>赛项名称：云计算应用</w:t>
      </w:r>
    </w:p>
    <w:p w14:paraId="7100ED97">
      <w:pPr>
        <w:ind w:firstLine="640"/>
        <w:rPr>
          <w:rFonts w:hint="eastAsia" w:ascii="仿宋" w:hAnsi="仿宋" w:eastAsia="仿宋"/>
          <w:color w:val="auto"/>
        </w:rPr>
      </w:pPr>
      <w:r>
        <w:rPr>
          <w:rFonts w:hint="eastAsia" w:ascii="仿宋" w:hAnsi="仿宋" w:eastAsia="仿宋"/>
          <w:color w:val="auto"/>
        </w:rPr>
        <w:t>赛项组别：</w:t>
      </w:r>
      <w:r>
        <w:rPr>
          <w:rFonts w:hint="eastAsia" w:ascii="仿宋" w:hAnsi="仿宋" w:eastAsia="仿宋"/>
          <w:color w:val="auto"/>
          <w:lang w:val="en-US" w:eastAsia="zh-CN"/>
        </w:rPr>
        <w:t>高职组</w:t>
      </w:r>
    </w:p>
    <w:p w14:paraId="7A2F9EEC">
      <w:pPr>
        <w:pStyle w:val="14"/>
        <w:rPr>
          <w:rFonts w:hint="eastAsia" w:ascii="仿宋" w:hAnsi="仿宋" w:eastAsia="仿宋"/>
          <w:b/>
          <w:bCs/>
          <w:color w:val="auto"/>
        </w:rPr>
      </w:pPr>
      <w:r>
        <w:rPr>
          <w:rFonts w:hint="eastAsia" w:ascii="仿宋" w:hAnsi="仿宋" w:eastAsia="仿宋"/>
          <w:b/>
          <w:bCs/>
          <w:color w:val="auto"/>
        </w:rPr>
        <w:t>竞赛目标</w:t>
      </w:r>
    </w:p>
    <w:p w14:paraId="0FF0C729">
      <w:pPr>
        <w:keepNext w:val="0"/>
        <w:keepLines w:val="0"/>
        <w:pageBreakBefore w:val="0"/>
        <w:widowControl w:val="0"/>
        <w:kinsoku/>
        <w:wordWrap/>
        <w:overflowPunct/>
        <w:topLinePunct w:val="0"/>
        <w:autoSpaceDE/>
        <w:autoSpaceDN/>
        <w:bidi w:val="0"/>
        <w:adjustRightInd w:val="0"/>
        <w:snapToGrid w:val="0"/>
        <w:spacing w:before="157" w:beforeLines="50"/>
        <w:ind w:firstLine="640"/>
        <w:jc w:val="left"/>
        <w:textAlignment w:val="auto"/>
        <w:rPr>
          <w:rFonts w:hint="eastAsia" w:ascii="仿宋" w:hAnsi="仿宋" w:eastAsia="仿宋" w:cs="仿宋_GB2312"/>
          <w:color w:val="auto"/>
          <w:szCs w:val="32"/>
        </w:rPr>
      </w:pPr>
      <w:r>
        <w:rPr>
          <w:rFonts w:hint="eastAsia" w:ascii="仿宋" w:hAnsi="仿宋" w:eastAsia="仿宋" w:cs="仿宋_GB2312"/>
          <w:color w:val="auto"/>
          <w:szCs w:val="32"/>
        </w:rPr>
        <w:t>以习近平新时代中国特色社会主义思想为指导，深入学习贯彻党的二十大精神，认真贯彻落实习近平总书记关于职业教育的重要论述和全国职业教育大会精神，推动战略性新兴产业融合集群发展，构建新一代信息技术、人工智能等一批新的增长引擎。落实立德树人根本任务，构建“三全育人”体系，发挥大赛的引领示范作用，落实课程思政，深化“三教”改革。</w:t>
      </w:r>
    </w:p>
    <w:p w14:paraId="23153A73">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坚持职教特色，育人为本。提高技术技能人才培养质量、促进高质量就业、服务经济社会发展。重点考察参赛选手云计算运维、开发、技术支持、法律法规等方面的知识和能力；职业道德、团队合作、工匠精神等方面的素养。</w:t>
      </w:r>
    </w:p>
    <w:p w14:paraId="00701D5B">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坚持教学改革，提升质量。针对数字经济时代人才需求特征，面向云计算岗位（群），按照行企实际岗位工作过程设计，通过技能竞赛考核内容和考核标准对原有的教学内容进行迭代，以赛促改，逐步完善人才培养的针对性、有效性。</w:t>
      </w:r>
    </w:p>
    <w:p w14:paraId="6822DBC9">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坚持以赛促融，以点带面。推动职普融通、产教融合、科教融汇，加强通用处理器、云计算系统和软件核心技术一体化研发，实施教育数字化战略行动，将新的科技成果和企业技术融入比赛，推动职业教育与产业深度互动，推动职业教育提档升级。</w:t>
      </w:r>
    </w:p>
    <w:p w14:paraId="1C56A2E9">
      <w:pPr>
        <w:pStyle w:val="14"/>
        <w:rPr>
          <w:rFonts w:hint="eastAsia" w:ascii="仿宋" w:hAnsi="仿宋" w:eastAsia="仿宋"/>
          <w:b/>
          <w:bCs/>
          <w:color w:val="auto"/>
        </w:rPr>
      </w:pPr>
      <w:r>
        <w:rPr>
          <w:rFonts w:hint="eastAsia" w:ascii="仿宋" w:hAnsi="仿宋" w:eastAsia="仿宋"/>
          <w:b/>
          <w:bCs/>
          <w:color w:val="auto"/>
        </w:rPr>
        <w:t>竞赛内容</w:t>
      </w:r>
    </w:p>
    <w:p w14:paraId="42B4915F">
      <w:pPr>
        <w:keepNext w:val="0"/>
        <w:keepLines w:val="0"/>
        <w:pageBreakBefore w:val="0"/>
        <w:widowControl w:val="0"/>
        <w:kinsoku/>
        <w:wordWrap/>
        <w:overflowPunct/>
        <w:topLinePunct w:val="0"/>
        <w:autoSpaceDE/>
        <w:autoSpaceDN/>
        <w:bidi w:val="0"/>
        <w:adjustRightInd/>
        <w:snapToGrid/>
        <w:spacing w:before="157" w:beforeLines="50"/>
        <w:ind w:firstLine="0" w:firstLineChars="0"/>
        <w:jc w:val="left"/>
        <w:textAlignment w:val="auto"/>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（一）技术技能和职业典型工作任务</w:t>
      </w:r>
    </w:p>
    <w:p w14:paraId="2439C35A">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围绕数字中国战略，基于云计算行业云原生、云网融合、云边端一体化等技术最新发展、产业岗位需求、业务需求与工程应用环境，考核参赛选手云计算服务搭建、云计算系统运维、云计算应用开发等竞赛内容。具体内容如下：</w:t>
      </w:r>
    </w:p>
    <w:p w14:paraId="4D42C0E0">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1.熟悉云主机硬件配置、操作系统安装、网络配置、搭建各类常用应用服务，如：Yum、Raid、数据库、FTP、NFS 、DNS、SSH等。</w:t>
      </w:r>
    </w:p>
    <w:p w14:paraId="14EE3868">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w:t>
      </w:r>
      <w:r>
        <w:rPr>
          <w:rFonts w:hint="eastAsia" w:ascii="仿宋" w:hAnsi="仿宋" w:eastAsia="仿宋" w:cs="宋体"/>
          <w:color w:val="auto"/>
          <w:szCs w:val="32"/>
        </w:rPr>
        <w:t>掌握</w:t>
      </w:r>
      <w:r>
        <w:rPr>
          <w:rFonts w:hint="eastAsia" w:ascii="仿宋" w:hAnsi="仿宋" w:eastAsia="仿宋" w:cs="___WRD_EMBED_SUB_44"/>
          <w:color w:val="auto"/>
          <w:szCs w:val="32"/>
        </w:rPr>
        <w:t>云</w:t>
      </w:r>
      <w:r>
        <w:rPr>
          <w:rFonts w:hint="eastAsia" w:ascii="仿宋" w:hAnsi="仿宋" w:eastAsia="仿宋" w:cs="仿宋_GB2312"/>
          <w:color w:val="auto"/>
          <w:szCs w:val="32"/>
        </w:rPr>
        <w:t>计算常用中间件的使用，如Apache、Nginx、Tomcat、Zookeeper、RocketMQ、Kafka、Redis、haproxy、keepalived等。</w:t>
      </w:r>
    </w:p>
    <w:p w14:paraId="11F697E5">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w:t>
      </w:r>
      <w:r>
        <w:rPr>
          <w:rFonts w:hint="eastAsia" w:ascii="仿宋" w:hAnsi="仿宋" w:eastAsia="仿宋" w:cs="宋体"/>
          <w:color w:val="auto"/>
          <w:szCs w:val="32"/>
        </w:rPr>
        <w:t>掌握</w:t>
      </w:r>
      <w:r>
        <w:rPr>
          <w:rFonts w:hint="eastAsia" w:ascii="仿宋" w:hAnsi="仿宋" w:eastAsia="仿宋" w:cs="___WRD_EMBED_SUB_44"/>
          <w:color w:val="auto"/>
          <w:szCs w:val="32"/>
        </w:rPr>
        <w:t>云计算虚拟化技术，如</w:t>
      </w:r>
      <w:r>
        <w:rPr>
          <w:rFonts w:hint="eastAsia" w:ascii="仿宋" w:hAnsi="仿宋" w:eastAsia="仿宋" w:cs="仿宋_GB2312"/>
          <w:color w:val="auto"/>
          <w:szCs w:val="32"/>
        </w:rPr>
        <w:t>KVM，OpenStack私有云平台的搭建及组件运维，包括Keystone、Glance、Nova、Neutron、Cinder、Swift等。</w:t>
      </w:r>
    </w:p>
    <w:p w14:paraId="385410AB">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4.掌握Ceph分布式存储集群的部署与运维，以及块存储、对象存储和文件存储服务的配置与应用。</w:t>
      </w:r>
    </w:p>
    <w:p w14:paraId="3C2DE2D1">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5.</w:t>
      </w:r>
      <w:r>
        <w:rPr>
          <w:rFonts w:hint="eastAsia" w:ascii="仿宋" w:hAnsi="仿宋" w:eastAsia="仿宋" w:cs="宋体"/>
          <w:color w:val="auto"/>
          <w:szCs w:val="32"/>
        </w:rPr>
        <w:t>掌握</w:t>
      </w:r>
      <w:r>
        <w:rPr>
          <w:rFonts w:hint="eastAsia" w:ascii="仿宋" w:hAnsi="仿宋" w:eastAsia="仿宋" w:cs="仿宋_GB2312"/>
          <w:color w:val="auto"/>
          <w:szCs w:val="32"/>
        </w:rPr>
        <w:t>shell、python脚本编写，对云主机、云存储、云网络、云数据库进行运维管理，完成云应用项目部署，故障排</w:t>
      </w:r>
      <w:r>
        <w:rPr>
          <w:rFonts w:hint="eastAsia" w:ascii="仿宋" w:hAnsi="仿宋" w:eastAsia="仿宋" w:cs="宋体"/>
          <w:color w:val="auto"/>
          <w:szCs w:val="32"/>
        </w:rPr>
        <w:t>除</w:t>
      </w:r>
      <w:r>
        <w:rPr>
          <w:rFonts w:hint="eastAsia" w:ascii="仿宋" w:hAnsi="仿宋" w:eastAsia="仿宋" w:cs="___WRD_EMBED_SUB_44"/>
          <w:color w:val="auto"/>
          <w:szCs w:val="32"/>
        </w:rPr>
        <w:t>，确保私有云环境</w:t>
      </w:r>
      <w:r>
        <w:rPr>
          <w:rFonts w:hint="eastAsia" w:ascii="仿宋" w:hAnsi="仿宋" w:eastAsia="仿宋" w:cs="宋体"/>
          <w:color w:val="auto"/>
          <w:szCs w:val="32"/>
        </w:rPr>
        <w:t>稳</w:t>
      </w:r>
      <w:r>
        <w:rPr>
          <w:rFonts w:hint="eastAsia" w:ascii="仿宋" w:hAnsi="仿宋" w:eastAsia="仿宋" w:cs="___WRD_EMBED_SUB_44"/>
          <w:color w:val="auto"/>
          <w:szCs w:val="32"/>
        </w:rPr>
        <w:t>定、顺</w:t>
      </w:r>
      <w:r>
        <w:rPr>
          <w:rFonts w:hint="eastAsia" w:ascii="仿宋" w:hAnsi="仿宋" w:eastAsia="仿宋" w:cs="宋体"/>
          <w:color w:val="auto"/>
          <w:szCs w:val="32"/>
        </w:rPr>
        <w:t>畅</w:t>
      </w:r>
      <w:r>
        <w:rPr>
          <w:rFonts w:hint="eastAsia" w:ascii="仿宋" w:hAnsi="仿宋" w:eastAsia="仿宋" w:cs="___WRD_EMBED_SUB_44"/>
          <w:color w:val="auto"/>
          <w:szCs w:val="32"/>
        </w:rPr>
        <w:t>运行。</w:t>
      </w:r>
    </w:p>
    <w:p w14:paraId="47632F5C">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6.熟悉Docker容器技术，部署容器仓库，熟练使用Docker各项</w:t>
      </w:r>
      <w:r>
        <w:rPr>
          <w:rFonts w:hint="eastAsia" w:ascii="仿宋" w:hAnsi="仿宋" w:eastAsia="仿宋" w:cs="宋体"/>
          <w:color w:val="auto"/>
          <w:szCs w:val="32"/>
        </w:rPr>
        <w:t>命令</w:t>
      </w:r>
      <w:r>
        <w:rPr>
          <w:rFonts w:hint="eastAsia" w:ascii="仿宋" w:hAnsi="仿宋" w:eastAsia="仿宋" w:cs="___WRD_EMBED_SUB_44"/>
          <w:color w:val="auto"/>
          <w:szCs w:val="32"/>
        </w:rPr>
        <w:t>。</w:t>
      </w:r>
    </w:p>
    <w:p w14:paraId="431CC88B">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7.</w:t>
      </w:r>
      <w:r>
        <w:rPr>
          <w:rFonts w:hint="eastAsia" w:ascii="仿宋" w:hAnsi="仿宋" w:eastAsia="仿宋" w:cs="宋体"/>
          <w:color w:val="auto"/>
          <w:szCs w:val="32"/>
        </w:rPr>
        <w:t>掌握</w:t>
      </w:r>
      <w:r>
        <w:rPr>
          <w:rFonts w:hint="eastAsia" w:ascii="仿宋" w:hAnsi="仿宋" w:eastAsia="仿宋" w:cs="___WRD_EMBED_SUB_44"/>
          <w:color w:val="auto"/>
          <w:szCs w:val="32"/>
        </w:rPr>
        <w:t>搭建</w:t>
      </w:r>
      <w:r>
        <w:rPr>
          <w:rFonts w:hint="eastAsia" w:ascii="仿宋" w:hAnsi="仿宋" w:eastAsia="仿宋" w:cs="仿宋_GB2312"/>
          <w:color w:val="auto"/>
          <w:szCs w:val="32"/>
        </w:rPr>
        <w:t>Kubernetes容器编排。使用</w:t>
      </w:r>
      <w:r>
        <w:rPr>
          <w:rFonts w:hint="eastAsia" w:ascii="仿宋" w:hAnsi="仿宋" w:eastAsia="仿宋" w:cs="宋体"/>
          <w:color w:val="auto"/>
          <w:szCs w:val="32"/>
        </w:rPr>
        <w:t>命令</w:t>
      </w:r>
      <w:r>
        <w:rPr>
          <w:rFonts w:hint="eastAsia" w:ascii="仿宋" w:hAnsi="仿宋" w:eastAsia="仿宋" w:cs="___WRD_EMBED_SUB_44"/>
          <w:color w:val="auto"/>
          <w:szCs w:val="32"/>
        </w:rPr>
        <w:t>检查容器的运行状态。管理</w:t>
      </w:r>
      <w:r>
        <w:rPr>
          <w:rFonts w:hint="eastAsia" w:ascii="仿宋" w:hAnsi="仿宋" w:eastAsia="仿宋" w:cs="仿宋_GB2312"/>
          <w:color w:val="auto"/>
          <w:szCs w:val="32"/>
        </w:rPr>
        <w:t>Pod、编写Yaml 模板文件部署编排应用、负载均衡、自动</w:t>
      </w:r>
      <w:r>
        <w:rPr>
          <w:rFonts w:hint="eastAsia" w:ascii="仿宋" w:hAnsi="仿宋" w:eastAsia="仿宋" w:cs="宋体"/>
          <w:color w:val="auto"/>
          <w:szCs w:val="32"/>
        </w:rPr>
        <w:t>伸缩</w:t>
      </w:r>
      <w:r>
        <w:rPr>
          <w:rFonts w:hint="eastAsia" w:ascii="仿宋" w:hAnsi="仿宋" w:eastAsia="仿宋" w:cs="___WRD_EMBED_SUB_44"/>
          <w:color w:val="auto"/>
          <w:szCs w:val="32"/>
        </w:rPr>
        <w:t>等；基于容器平台的技术方案设计和实施，云计算平台架构优化、提升服务质量等工作。</w:t>
      </w:r>
    </w:p>
    <w:p w14:paraId="42465A75">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8.</w:t>
      </w:r>
      <w:r>
        <w:rPr>
          <w:rFonts w:hint="eastAsia" w:ascii="仿宋" w:hAnsi="仿宋" w:eastAsia="仿宋" w:cs="宋体"/>
          <w:color w:val="auto"/>
          <w:szCs w:val="32"/>
        </w:rPr>
        <w:t>掌握</w:t>
      </w:r>
      <w:r>
        <w:rPr>
          <w:rFonts w:hint="eastAsia" w:ascii="仿宋" w:hAnsi="仿宋" w:eastAsia="仿宋" w:cs="仿宋_GB2312"/>
          <w:color w:val="auto"/>
          <w:szCs w:val="32"/>
        </w:rPr>
        <w:t>Kubernetes相关技术的应用与调优，如Helm，CRD，CNI，istio，ingress等。</w:t>
      </w:r>
    </w:p>
    <w:p w14:paraId="20090BCE">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9.</w:t>
      </w:r>
      <w:r>
        <w:rPr>
          <w:rFonts w:hint="eastAsia" w:ascii="仿宋" w:hAnsi="仿宋" w:eastAsia="仿宋" w:cs="宋体"/>
          <w:color w:val="auto"/>
          <w:szCs w:val="32"/>
        </w:rPr>
        <w:t>掌握</w:t>
      </w:r>
      <w:r>
        <w:rPr>
          <w:rFonts w:hint="eastAsia" w:ascii="仿宋" w:hAnsi="仿宋" w:eastAsia="仿宋" w:cs="___WRD_EMBED_SUB_44"/>
          <w:color w:val="auto"/>
          <w:szCs w:val="32"/>
        </w:rPr>
        <w:t>监控软件的使用，熟悉</w:t>
      </w:r>
      <w:r>
        <w:rPr>
          <w:rFonts w:hint="eastAsia" w:ascii="仿宋" w:hAnsi="仿宋" w:eastAsia="仿宋" w:cs="仿宋_GB2312"/>
          <w:color w:val="auto"/>
          <w:szCs w:val="32"/>
        </w:rPr>
        <w:t>Prometheus，grafana和Zabbix等常用工具的使用。</w:t>
      </w:r>
    </w:p>
    <w:p w14:paraId="16169463">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10.</w:t>
      </w:r>
      <w:r>
        <w:rPr>
          <w:rFonts w:hint="eastAsia" w:ascii="仿宋" w:hAnsi="仿宋" w:eastAsia="仿宋" w:cs="宋体"/>
          <w:color w:val="auto"/>
          <w:szCs w:val="32"/>
        </w:rPr>
        <w:t>掌握</w:t>
      </w:r>
      <w:r>
        <w:rPr>
          <w:rFonts w:hint="eastAsia" w:ascii="仿宋" w:hAnsi="仿宋" w:eastAsia="仿宋" w:cs="___WRD_EMBED_SUB_44"/>
          <w:color w:val="auto"/>
          <w:szCs w:val="32"/>
        </w:rPr>
        <w:t>开发运维</w:t>
      </w:r>
      <w:r>
        <w:rPr>
          <w:rFonts w:hint="eastAsia" w:ascii="仿宋" w:hAnsi="仿宋" w:eastAsia="仿宋" w:cs="仿宋_GB2312"/>
          <w:color w:val="auto"/>
          <w:szCs w:val="32"/>
        </w:rPr>
        <w:t>DevOps一体化，如gitlab、jenkins、Argo 等常用软件。</w:t>
      </w:r>
    </w:p>
    <w:p w14:paraId="0A58E858">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11.熟悉云计算平台资源管理、状态监测、故障</w:t>
      </w:r>
      <w:r>
        <w:rPr>
          <w:rFonts w:hint="eastAsia" w:ascii="仿宋" w:hAnsi="仿宋" w:eastAsia="仿宋" w:cs="宋体"/>
          <w:color w:val="auto"/>
          <w:szCs w:val="32"/>
        </w:rPr>
        <w:t>恢</w:t>
      </w:r>
      <w:r>
        <w:rPr>
          <w:rFonts w:hint="eastAsia" w:ascii="仿宋" w:hAnsi="仿宋" w:eastAsia="仿宋" w:cs="___WRD_EMBED_SUB_44"/>
          <w:color w:val="auto"/>
          <w:szCs w:val="32"/>
        </w:rPr>
        <w:t>复、自动化运维</w:t>
      </w:r>
      <w:r>
        <w:rPr>
          <w:rFonts w:hint="eastAsia" w:ascii="仿宋" w:hAnsi="仿宋" w:eastAsia="仿宋" w:cs="仿宋_GB2312"/>
          <w:color w:val="auto"/>
          <w:szCs w:val="32"/>
        </w:rPr>
        <w:t>工具的使用：Ansible、Puppet和Saltstack等。</w:t>
      </w:r>
    </w:p>
    <w:p w14:paraId="0FD62574">
      <w:pPr>
        <w:ind w:firstLine="0" w:firstLineChars="0"/>
        <w:jc w:val="left"/>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（二）赛项模块、主要内容、比赛时长及分值配比</w:t>
      </w:r>
    </w:p>
    <w:p w14:paraId="2567906F">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云计算应用赛项模块与内容，如表1所示。竞赛时长共计4个小时。</w:t>
      </w:r>
    </w:p>
    <w:p w14:paraId="111CBC22">
      <w:pPr>
        <w:adjustRightInd w:val="0"/>
        <w:snapToGrid w:val="0"/>
        <w:ind w:right="320" w:rightChars="100" w:firstLine="480"/>
        <w:jc w:val="center"/>
        <w:rPr>
          <w:rFonts w:hint="eastAsia" w:ascii="仿宋" w:hAnsi="仿宋" w:eastAsia="仿宋" w:cs="仿宋_GB2312"/>
          <w:color w:val="auto"/>
          <w:sz w:val="24"/>
          <w:szCs w:val="18"/>
        </w:rPr>
      </w:pPr>
      <w:r>
        <w:rPr>
          <w:rFonts w:hint="eastAsia" w:ascii="仿宋" w:hAnsi="仿宋" w:eastAsia="仿宋" w:cs="仿宋_GB2312"/>
          <w:color w:val="auto"/>
          <w:sz w:val="24"/>
          <w:szCs w:val="18"/>
        </w:rPr>
        <w:t>表1 云计算应用赛项模块与内容</w:t>
      </w:r>
    </w:p>
    <w:tbl>
      <w:tblPr>
        <w:tblStyle w:val="11"/>
        <w:tblW w:w="906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2268"/>
        <w:gridCol w:w="3402"/>
        <w:gridCol w:w="1417"/>
        <w:gridCol w:w="992"/>
      </w:tblGrid>
      <w:tr w14:paraId="4409A1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9" w:hRule="atLeast"/>
        </w:trPr>
        <w:tc>
          <w:tcPr>
            <w:tcW w:w="3256" w:type="dxa"/>
            <w:gridSpan w:val="2"/>
            <w:shd w:val="clear" w:color="auto" w:fill="auto"/>
            <w:vAlign w:val="center"/>
          </w:tcPr>
          <w:p w14:paraId="166A149C">
            <w:pPr>
              <w:ind w:firstLine="0" w:firstLineChars="0"/>
              <w:jc w:val="left"/>
              <w:rPr>
                <w:rFonts w:hint="eastAsia" w:ascii="仿宋" w:hAnsi="仿宋" w:eastAsia="仿宋"/>
                <w:b/>
                <w:bCs/>
                <w:color w:val="auto"/>
                <w:sz w:val="24"/>
              </w:rPr>
            </w:pPr>
            <w:r>
              <w:rPr>
                <w:rFonts w:hint="eastAsia" w:ascii="仿宋" w:hAnsi="仿宋" w:eastAsia="仿宋"/>
                <w:bCs/>
                <w:color w:val="auto"/>
                <w:sz w:val="24"/>
              </w:rPr>
              <w:t>模块</w:t>
            </w:r>
          </w:p>
        </w:tc>
        <w:tc>
          <w:tcPr>
            <w:tcW w:w="3402" w:type="dxa"/>
            <w:shd w:val="clear" w:color="auto" w:fill="auto"/>
            <w:vAlign w:val="center"/>
          </w:tcPr>
          <w:p w14:paraId="7EA5573F">
            <w:pPr>
              <w:ind w:firstLine="0" w:firstLineChars="0"/>
              <w:jc w:val="left"/>
              <w:rPr>
                <w:rFonts w:hint="eastAsia" w:ascii="仿宋" w:hAnsi="仿宋" w:eastAsia="仿宋"/>
                <w:b/>
                <w:bCs/>
                <w:color w:val="auto"/>
                <w:sz w:val="24"/>
              </w:rPr>
            </w:pPr>
            <w:r>
              <w:rPr>
                <w:rFonts w:hint="eastAsia" w:ascii="仿宋" w:hAnsi="仿宋" w:eastAsia="仿宋"/>
                <w:bCs/>
                <w:color w:val="auto"/>
                <w:sz w:val="24"/>
              </w:rPr>
              <w:t>主要内容</w:t>
            </w:r>
          </w:p>
        </w:tc>
        <w:tc>
          <w:tcPr>
            <w:tcW w:w="1417" w:type="dxa"/>
            <w:shd w:val="clear" w:color="auto" w:fill="auto"/>
            <w:vAlign w:val="center"/>
          </w:tcPr>
          <w:p w14:paraId="2810FD08">
            <w:pPr>
              <w:ind w:firstLine="0" w:firstLineChars="0"/>
              <w:jc w:val="left"/>
              <w:rPr>
                <w:rFonts w:hint="eastAsia" w:ascii="仿宋" w:hAnsi="仿宋" w:eastAsia="仿宋"/>
                <w:b/>
                <w:bCs/>
                <w:color w:val="auto"/>
                <w:sz w:val="24"/>
              </w:rPr>
            </w:pPr>
            <w:r>
              <w:rPr>
                <w:rFonts w:hint="eastAsia" w:ascii="仿宋" w:hAnsi="仿宋" w:eastAsia="仿宋"/>
                <w:bCs/>
                <w:color w:val="auto"/>
                <w:sz w:val="24"/>
              </w:rPr>
              <w:t>比赛时长</w:t>
            </w:r>
          </w:p>
        </w:tc>
        <w:tc>
          <w:tcPr>
            <w:tcW w:w="992" w:type="dxa"/>
            <w:shd w:val="clear" w:color="auto" w:fill="auto"/>
            <w:vAlign w:val="center"/>
          </w:tcPr>
          <w:p w14:paraId="2EC7DA2C">
            <w:pPr>
              <w:ind w:firstLine="0" w:firstLineChars="0"/>
              <w:jc w:val="left"/>
              <w:rPr>
                <w:rFonts w:hint="eastAsia" w:ascii="仿宋" w:hAnsi="仿宋" w:eastAsia="仿宋"/>
                <w:b/>
                <w:bCs/>
                <w:color w:val="auto"/>
                <w:sz w:val="24"/>
              </w:rPr>
            </w:pPr>
            <w:r>
              <w:rPr>
                <w:rFonts w:hint="eastAsia" w:ascii="仿宋" w:hAnsi="仿宋" w:eastAsia="仿宋"/>
                <w:bCs/>
                <w:color w:val="auto"/>
                <w:sz w:val="24"/>
              </w:rPr>
              <w:t>分值</w:t>
            </w:r>
          </w:p>
        </w:tc>
      </w:tr>
      <w:tr w14:paraId="07703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988" w:type="dxa"/>
            <w:shd w:val="clear" w:color="auto" w:fill="auto"/>
            <w:vAlign w:val="center"/>
          </w:tcPr>
          <w:p w14:paraId="408B4B13">
            <w:pPr>
              <w:ind w:firstLine="0" w:firstLineChars="0"/>
              <w:jc w:val="left"/>
              <w:rPr>
                <w:rFonts w:hint="eastAsia" w:ascii="仿宋" w:hAnsi="仿宋" w:eastAsia="仿宋"/>
                <w:color w:val="auto"/>
                <w:sz w:val="24"/>
              </w:rPr>
            </w:pPr>
            <w:r>
              <w:rPr>
                <w:rFonts w:hint="eastAsia" w:ascii="仿宋" w:hAnsi="仿宋" w:eastAsia="仿宋"/>
                <w:color w:val="auto"/>
                <w:sz w:val="24"/>
              </w:rPr>
              <w:t>模块一</w:t>
            </w:r>
          </w:p>
        </w:tc>
        <w:tc>
          <w:tcPr>
            <w:tcW w:w="2268" w:type="dxa"/>
            <w:shd w:val="clear" w:color="auto" w:fill="auto"/>
            <w:vAlign w:val="center"/>
          </w:tcPr>
          <w:p w14:paraId="3ACBF5B7">
            <w:pPr>
              <w:ind w:firstLine="0" w:firstLineChars="0"/>
              <w:jc w:val="left"/>
              <w:rPr>
                <w:rFonts w:hint="eastAsia" w:ascii="仿宋" w:hAnsi="仿宋" w:eastAsia="仿宋"/>
                <w:color w:val="auto"/>
                <w:sz w:val="24"/>
              </w:rPr>
            </w:pPr>
            <w:r>
              <w:rPr>
                <w:rFonts w:hint="eastAsia" w:ascii="仿宋" w:hAnsi="仿宋" w:eastAsia="仿宋"/>
                <w:color w:val="auto"/>
                <w:sz w:val="24"/>
              </w:rPr>
              <w:t>私有云平台的搭建与运维</w:t>
            </w:r>
          </w:p>
        </w:tc>
        <w:tc>
          <w:tcPr>
            <w:tcW w:w="3402" w:type="dxa"/>
            <w:shd w:val="clear" w:color="auto" w:fill="auto"/>
            <w:vAlign w:val="center"/>
          </w:tcPr>
          <w:p w14:paraId="3D9E30D7">
            <w:pPr>
              <w:ind w:firstLine="0" w:firstLineChars="0"/>
              <w:jc w:val="left"/>
              <w:rPr>
                <w:rFonts w:hint="eastAsia" w:ascii="仿宋" w:hAnsi="仿宋" w:eastAsia="仿宋"/>
                <w:color w:val="auto"/>
                <w:sz w:val="24"/>
              </w:rPr>
            </w:pPr>
            <w:r>
              <w:rPr>
                <w:rFonts w:hint="eastAsia" w:ascii="仿宋" w:hAnsi="仿宋" w:eastAsia="仿宋"/>
                <w:color w:val="auto"/>
                <w:sz w:val="24"/>
              </w:rPr>
              <w:t>私有云服务搭建</w:t>
            </w:r>
          </w:p>
          <w:p w14:paraId="276BFF0F">
            <w:pPr>
              <w:ind w:firstLine="0" w:firstLineChars="0"/>
              <w:jc w:val="left"/>
              <w:rPr>
                <w:rFonts w:hint="eastAsia" w:ascii="仿宋" w:hAnsi="仿宋" w:eastAsia="仿宋"/>
                <w:color w:val="auto"/>
                <w:sz w:val="24"/>
              </w:rPr>
            </w:pPr>
            <w:r>
              <w:rPr>
                <w:rFonts w:hint="eastAsia" w:ascii="仿宋" w:hAnsi="仿宋" w:eastAsia="仿宋"/>
                <w:color w:val="auto"/>
                <w:sz w:val="24"/>
              </w:rPr>
              <w:t>私有云服务运维</w:t>
            </w:r>
          </w:p>
        </w:tc>
        <w:tc>
          <w:tcPr>
            <w:tcW w:w="1417" w:type="dxa"/>
            <w:vMerge w:val="restart"/>
            <w:shd w:val="clear" w:color="auto" w:fill="auto"/>
            <w:vAlign w:val="center"/>
          </w:tcPr>
          <w:p w14:paraId="7524B372">
            <w:pPr>
              <w:ind w:firstLine="0" w:firstLineChars="0"/>
              <w:jc w:val="left"/>
              <w:rPr>
                <w:rFonts w:hint="eastAsia" w:ascii="仿宋" w:hAnsi="仿宋" w:eastAsia="仿宋"/>
                <w:color w:val="auto"/>
                <w:sz w:val="24"/>
              </w:rPr>
            </w:pPr>
            <w:r>
              <w:rPr>
                <w:rFonts w:hint="eastAsia" w:ascii="仿宋" w:hAnsi="仿宋" w:eastAsia="仿宋"/>
                <w:color w:val="auto"/>
                <w:sz w:val="24"/>
              </w:rPr>
              <w:t>240分钟</w:t>
            </w:r>
          </w:p>
        </w:tc>
        <w:tc>
          <w:tcPr>
            <w:tcW w:w="992" w:type="dxa"/>
            <w:shd w:val="clear" w:color="auto" w:fill="auto"/>
            <w:vAlign w:val="center"/>
          </w:tcPr>
          <w:p w14:paraId="1C0503D1">
            <w:pPr>
              <w:ind w:firstLine="0" w:firstLineChars="0"/>
              <w:jc w:val="left"/>
              <w:rPr>
                <w:rFonts w:hint="eastAsia" w:ascii="仿宋" w:hAnsi="仿宋" w:eastAsia="仿宋"/>
                <w:color w:val="auto"/>
                <w:sz w:val="24"/>
              </w:rPr>
            </w:pPr>
            <w:r>
              <w:rPr>
                <w:rFonts w:hint="eastAsia" w:ascii="仿宋" w:hAnsi="仿宋" w:eastAsia="仿宋"/>
                <w:color w:val="auto"/>
                <w:sz w:val="24"/>
              </w:rPr>
              <w:t>35分</w:t>
            </w:r>
          </w:p>
        </w:tc>
      </w:tr>
      <w:tr w14:paraId="3019F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988" w:type="dxa"/>
            <w:shd w:val="clear" w:color="auto" w:fill="auto"/>
            <w:vAlign w:val="center"/>
          </w:tcPr>
          <w:p w14:paraId="76CFC11E">
            <w:pPr>
              <w:ind w:firstLine="0" w:firstLineChars="0"/>
              <w:jc w:val="left"/>
              <w:rPr>
                <w:rFonts w:hint="eastAsia" w:ascii="仿宋" w:hAnsi="仿宋" w:eastAsia="仿宋"/>
                <w:color w:val="auto"/>
                <w:sz w:val="24"/>
              </w:rPr>
            </w:pPr>
            <w:r>
              <w:rPr>
                <w:rFonts w:hint="eastAsia" w:ascii="仿宋" w:hAnsi="仿宋" w:eastAsia="仿宋"/>
                <w:color w:val="auto"/>
                <w:sz w:val="24"/>
              </w:rPr>
              <w:t>模块二</w:t>
            </w:r>
          </w:p>
        </w:tc>
        <w:tc>
          <w:tcPr>
            <w:tcW w:w="2268" w:type="dxa"/>
            <w:shd w:val="clear" w:color="auto" w:fill="auto"/>
            <w:vAlign w:val="center"/>
          </w:tcPr>
          <w:p w14:paraId="1B308793">
            <w:pPr>
              <w:ind w:firstLine="0" w:firstLineChars="0"/>
              <w:jc w:val="left"/>
              <w:rPr>
                <w:rFonts w:hint="eastAsia" w:ascii="仿宋" w:hAnsi="仿宋" w:eastAsia="仿宋"/>
                <w:color w:val="auto"/>
                <w:sz w:val="24"/>
              </w:rPr>
            </w:pPr>
            <w:r>
              <w:rPr>
                <w:rFonts w:hint="eastAsia" w:ascii="仿宋" w:hAnsi="仿宋" w:eastAsia="仿宋"/>
                <w:color w:val="auto"/>
                <w:sz w:val="24"/>
              </w:rPr>
              <w:t>容器的编排与运维</w:t>
            </w:r>
          </w:p>
        </w:tc>
        <w:tc>
          <w:tcPr>
            <w:tcW w:w="3402" w:type="dxa"/>
            <w:shd w:val="clear" w:color="auto" w:fill="auto"/>
            <w:vAlign w:val="center"/>
          </w:tcPr>
          <w:p w14:paraId="2FCDC6A1">
            <w:pPr>
              <w:ind w:firstLine="0" w:firstLineChars="0"/>
              <w:jc w:val="left"/>
              <w:rPr>
                <w:rFonts w:hint="eastAsia" w:ascii="仿宋" w:hAnsi="仿宋" w:eastAsia="仿宋"/>
                <w:color w:val="auto"/>
                <w:sz w:val="24"/>
              </w:rPr>
            </w:pPr>
            <w:r>
              <w:rPr>
                <w:rFonts w:hint="eastAsia" w:ascii="仿宋" w:hAnsi="仿宋" w:eastAsia="仿宋"/>
                <w:color w:val="auto"/>
                <w:sz w:val="24"/>
              </w:rPr>
              <w:t>容器云服务搭建</w:t>
            </w:r>
          </w:p>
          <w:p w14:paraId="201B2A71">
            <w:pPr>
              <w:ind w:firstLine="0" w:firstLineChars="0"/>
              <w:jc w:val="left"/>
              <w:rPr>
                <w:rFonts w:hint="eastAsia" w:ascii="仿宋" w:hAnsi="仿宋" w:eastAsia="仿宋"/>
                <w:color w:val="auto"/>
                <w:sz w:val="24"/>
              </w:rPr>
            </w:pPr>
            <w:r>
              <w:rPr>
                <w:rFonts w:hint="eastAsia" w:ascii="仿宋" w:hAnsi="仿宋" w:eastAsia="仿宋"/>
                <w:color w:val="auto"/>
                <w:sz w:val="24"/>
              </w:rPr>
              <w:t>容器云服务运维</w:t>
            </w:r>
          </w:p>
        </w:tc>
        <w:tc>
          <w:tcPr>
            <w:tcW w:w="1417" w:type="dxa"/>
            <w:vMerge w:val="continue"/>
            <w:shd w:val="clear" w:color="auto" w:fill="auto"/>
            <w:vAlign w:val="center"/>
          </w:tcPr>
          <w:p w14:paraId="4D380306">
            <w:pPr>
              <w:ind w:firstLine="0" w:firstLineChars="0"/>
              <w:jc w:val="left"/>
              <w:rPr>
                <w:rFonts w:hint="eastAsia" w:ascii="仿宋" w:hAnsi="仿宋" w:eastAsia="仿宋"/>
                <w:color w:val="auto"/>
                <w:sz w:val="24"/>
              </w:rPr>
            </w:pPr>
          </w:p>
        </w:tc>
        <w:tc>
          <w:tcPr>
            <w:tcW w:w="992" w:type="dxa"/>
            <w:shd w:val="clear" w:color="auto" w:fill="auto"/>
            <w:vAlign w:val="center"/>
          </w:tcPr>
          <w:p w14:paraId="78D8CC13">
            <w:pPr>
              <w:ind w:firstLine="0" w:firstLineChars="0"/>
              <w:jc w:val="left"/>
              <w:rPr>
                <w:rFonts w:hint="eastAsia" w:ascii="仿宋" w:hAnsi="仿宋" w:eastAsia="仿宋"/>
                <w:color w:val="auto"/>
                <w:sz w:val="24"/>
              </w:rPr>
            </w:pPr>
            <w:r>
              <w:rPr>
                <w:rFonts w:hint="eastAsia" w:ascii="仿宋" w:hAnsi="仿宋" w:eastAsia="仿宋"/>
                <w:color w:val="auto"/>
                <w:sz w:val="24"/>
              </w:rPr>
              <w:t>35分</w:t>
            </w:r>
          </w:p>
        </w:tc>
      </w:tr>
      <w:tr w14:paraId="00A993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988" w:type="dxa"/>
            <w:shd w:val="clear" w:color="auto" w:fill="auto"/>
            <w:vAlign w:val="center"/>
          </w:tcPr>
          <w:p w14:paraId="3C5D685E">
            <w:pPr>
              <w:ind w:firstLine="0" w:firstLineChars="0"/>
              <w:jc w:val="left"/>
              <w:rPr>
                <w:rFonts w:hint="eastAsia" w:ascii="仿宋" w:hAnsi="仿宋" w:eastAsia="仿宋"/>
                <w:color w:val="auto"/>
                <w:sz w:val="24"/>
              </w:rPr>
            </w:pPr>
            <w:r>
              <w:rPr>
                <w:rFonts w:hint="eastAsia" w:ascii="仿宋" w:hAnsi="仿宋" w:eastAsia="仿宋"/>
                <w:color w:val="auto"/>
                <w:sz w:val="24"/>
              </w:rPr>
              <w:t>模块</w:t>
            </w:r>
            <w:r>
              <w:rPr>
                <w:rFonts w:hint="eastAsia" w:ascii="仿宋" w:hAnsi="仿宋" w:eastAsia="仿宋" w:cs="宋体"/>
                <w:color w:val="auto"/>
                <w:sz w:val="24"/>
              </w:rPr>
              <w:t>三</w:t>
            </w:r>
          </w:p>
        </w:tc>
        <w:tc>
          <w:tcPr>
            <w:tcW w:w="2268" w:type="dxa"/>
            <w:shd w:val="clear" w:color="auto" w:fill="auto"/>
            <w:vAlign w:val="center"/>
          </w:tcPr>
          <w:p w14:paraId="6679ADF2">
            <w:pPr>
              <w:ind w:firstLine="0" w:firstLineChars="0"/>
              <w:jc w:val="left"/>
              <w:rPr>
                <w:rFonts w:hint="eastAsia" w:ascii="仿宋" w:hAnsi="仿宋" w:eastAsia="仿宋"/>
                <w:color w:val="auto"/>
                <w:sz w:val="24"/>
              </w:rPr>
            </w:pPr>
            <w:r>
              <w:rPr>
                <w:rFonts w:hint="eastAsia" w:ascii="仿宋" w:hAnsi="仿宋" w:eastAsia="仿宋"/>
                <w:color w:val="auto"/>
                <w:sz w:val="24"/>
              </w:rPr>
              <w:t>企业级应用的自动化部署和运维</w:t>
            </w:r>
          </w:p>
        </w:tc>
        <w:tc>
          <w:tcPr>
            <w:tcW w:w="3402" w:type="dxa"/>
            <w:shd w:val="clear" w:color="auto" w:fill="auto"/>
            <w:vAlign w:val="center"/>
          </w:tcPr>
          <w:p w14:paraId="651307E9">
            <w:pPr>
              <w:ind w:firstLine="0" w:firstLineChars="0"/>
              <w:jc w:val="left"/>
              <w:rPr>
                <w:rFonts w:hint="eastAsia" w:ascii="仿宋" w:hAnsi="仿宋" w:eastAsia="仿宋"/>
                <w:color w:val="auto"/>
                <w:sz w:val="24"/>
              </w:rPr>
            </w:pPr>
            <w:r>
              <w:rPr>
                <w:rFonts w:hint="eastAsia" w:ascii="仿宋" w:hAnsi="仿宋" w:eastAsia="仿宋"/>
                <w:color w:val="auto"/>
                <w:sz w:val="24"/>
              </w:rPr>
              <w:t>企业级自动化部署与运维</w:t>
            </w:r>
          </w:p>
        </w:tc>
        <w:tc>
          <w:tcPr>
            <w:tcW w:w="1417" w:type="dxa"/>
            <w:vMerge w:val="continue"/>
            <w:shd w:val="clear" w:color="auto" w:fill="auto"/>
            <w:vAlign w:val="center"/>
          </w:tcPr>
          <w:p w14:paraId="26235E2C">
            <w:pPr>
              <w:ind w:firstLine="0" w:firstLineChars="0"/>
              <w:jc w:val="left"/>
              <w:rPr>
                <w:rFonts w:hint="eastAsia" w:ascii="仿宋" w:hAnsi="仿宋" w:eastAsia="仿宋"/>
                <w:color w:val="auto"/>
                <w:sz w:val="24"/>
              </w:rPr>
            </w:pPr>
          </w:p>
        </w:tc>
        <w:tc>
          <w:tcPr>
            <w:tcW w:w="992" w:type="dxa"/>
            <w:shd w:val="clear" w:color="auto" w:fill="auto"/>
            <w:vAlign w:val="center"/>
          </w:tcPr>
          <w:p w14:paraId="35E0805F">
            <w:pPr>
              <w:ind w:firstLine="0" w:firstLineChars="0"/>
              <w:jc w:val="left"/>
              <w:rPr>
                <w:rFonts w:hint="eastAsia" w:ascii="仿宋" w:hAnsi="仿宋" w:eastAsia="仿宋"/>
                <w:color w:val="auto"/>
                <w:sz w:val="24"/>
              </w:rPr>
            </w:pPr>
            <w:r>
              <w:rPr>
                <w:rFonts w:hint="eastAsia" w:ascii="仿宋" w:hAnsi="仿宋" w:eastAsia="仿宋"/>
                <w:color w:val="auto"/>
                <w:sz w:val="24"/>
              </w:rPr>
              <w:t>30分</w:t>
            </w:r>
          </w:p>
        </w:tc>
      </w:tr>
    </w:tbl>
    <w:p w14:paraId="7066ACC3">
      <w:pPr>
        <w:ind w:firstLine="640"/>
        <w:rPr>
          <w:rFonts w:hint="eastAsia" w:ascii="仿宋" w:hAnsi="仿宋" w:eastAsia="仿宋"/>
          <w:color w:val="auto"/>
        </w:rPr>
      </w:pPr>
    </w:p>
    <w:p w14:paraId="7ED09323">
      <w:pPr>
        <w:pStyle w:val="14"/>
        <w:rPr>
          <w:rFonts w:hint="eastAsia" w:ascii="黑体" w:hAnsi="黑体" w:eastAsia="黑体" w:cs="黑体"/>
          <w:color w:val="auto"/>
          <w:sz w:val="32"/>
          <w:szCs w:val="32"/>
          <w:lang w:val="en-US" w:eastAsia="zh-CN"/>
        </w:rPr>
      </w:pPr>
      <w:r>
        <w:rPr>
          <w:rFonts w:hint="eastAsia" w:ascii="黑体" w:hAnsi="黑体" w:eastAsia="黑体" w:cs="黑体"/>
          <w:color w:val="auto"/>
          <w:sz w:val="32"/>
          <w:szCs w:val="32"/>
          <w:lang w:eastAsia="zh-CN"/>
        </w:rPr>
        <w:t>参赛资格和报名办法</w:t>
      </w:r>
    </w:p>
    <w:p w14:paraId="04AB07D5">
      <w:pPr>
        <w:keepNext/>
        <w:keepLines w:val="0"/>
        <w:pageBreakBefore w:val="0"/>
        <w:widowControl w:val="0"/>
        <w:numPr>
          <w:ilvl w:val="0"/>
          <w:numId w:val="2"/>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参赛队及参赛选手资格。高职院校参赛选手须为高等学校全日制在籍高职高专类学生，参赛选手年龄不超过25周岁（即2002年5月1日及以后出生）</w:t>
      </w:r>
      <w:r>
        <w:rPr>
          <w:rFonts w:hint="eastAsia" w:ascii="Times New Roman" w:hAnsi="Times New Roman" w:cs="Times New Roman"/>
          <w:color w:val="auto"/>
          <w:kern w:val="2"/>
          <w:sz w:val="28"/>
          <w:szCs w:val="28"/>
          <w:lang w:val="en-US" w:eastAsia="zh-CN"/>
        </w:rPr>
        <w:t>；</w:t>
      </w:r>
      <w:r>
        <w:rPr>
          <w:rFonts w:hint="eastAsia" w:ascii="Times New Roman" w:hAnsi="Times New Roman" w:eastAsia="仿宋_GB2312" w:cs="Times New Roman"/>
          <w:color w:val="auto"/>
          <w:kern w:val="2"/>
          <w:sz w:val="28"/>
          <w:szCs w:val="28"/>
          <w:lang w:val="en-US" w:eastAsia="zh-CN"/>
        </w:rPr>
        <w:t>五年制学生报名参赛的，四、五年级学生可参加本次大赛。在 2025 年世界职业院校技能大赛争夺赛中获一等奖的选手，不能再参加今年同一项目 （同一组别）的全省竞赛。。</w:t>
      </w:r>
    </w:p>
    <w:p w14:paraId="57B82D90">
      <w:pPr>
        <w:keepNext/>
        <w:keepLines w:val="0"/>
        <w:pageBreakBefore w:val="0"/>
        <w:widowControl w:val="0"/>
        <w:numPr>
          <w:ilvl w:val="0"/>
          <w:numId w:val="2"/>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竞赛以线下比赛形式进行，竞赛组队方式为团体组队竞赛方式。每支参赛队由2名选手组成，每校限报</w:t>
      </w:r>
      <w:r>
        <w:rPr>
          <w:rFonts w:hint="eastAsia" w:ascii="Times New Roman" w:hAnsi="Times New Roman" w:eastAsia="仿宋_GB2312" w:cs="Times New Roman"/>
          <w:color w:val="auto"/>
          <w:sz w:val="28"/>
          <w:szCs w:val="28"/>
          <w:lang w:val="en-US" w:eastAsia="zh-CN"/>
        </w:rPr>
        <w:t>3队，不得跨校组队，竞赛期间不允许指导教师进入赛场进行现场指导。</w:t>
      </w:r>
    </w:p>
    <w:p w14:paraId="2A765FF9">
      <w:pPr>
        <w:keepNext/>
        <w:keepLines w:val="0"/>
        <w:pageBreakBefore w:val="0"/>
        <w:widowControl w:val="0"/>
        <w:numPr>
          <w:ilvl w:val="0"/>
          <w:numId w:val="2"/>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报名时间：高职组：10 月 26 日—31 日。</w:t>
      </w:r>
    </w:p>
    <w:p w14:paraId="23AA5698">
      <w:pPr>
        <w:keepNext/>
        <w:keepLines w:val="0"/>
        <w:pageBreakBefore w:val="0"/>
        <w:widowControl w:val="0"/>
        <w:numPr>
          <w:ilvl w:val="0"/>
          <w:numId w:val="2"/>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报名方式</w:t>
      </w:r>
      <w:r>
        <w:rPr>
          <w:rFonts w:hint="eastAsia" w:ascii="Times New Roman" w:hAnsi="Times New Roman" w:cs="Times New Roman"/>
          <w:color w:val="auto"/>
          <w:kern w:val="2"/>
          <w:sz w:val="28"/>
          <w:szCs w:val="28"/>
          <w:lang w:val="en-US" w:eastAsia="zh-CN"/>
        </w:rPr>
        <w:t>：</w:t>
      </w:r>
      <w:r>
        <w:rPr>
          <w:rFonts w:hint="eastAsia" w:ascii="Times New Roman" w:hAnsi="Times New Roman" w:eastAsia="仿宋_GB2312" w:cs="Times New Roman"/>
          <w:color w:val="auto"/>
          <w:sz w:val="28"/>
          <w:szCs w:val="28"/>
          <w:lang w:val="en-US" w:eastAsia="zh-CN"/>
        </w:rPr>
        <w:t>参赛校分别以学校用户名登录组委会办公室指定</w:t>
      </w:r>
      <w:r>
        <w:rPr>
          <w:rFonts w:hint="eastAsia" w:ascii="Times New Roman" w:hAnsi="Times New Roman" w:cs="Times New Roman"/>
          <w:color w:val="auto"/>
          <w:sz w:val="28"/>
          <w:szCs w:val="28"/>
          <w:lang w:val="en-US" w:eastAsia="zh-CN"/>
        </w:rPr>
        <w:t>报名</w:t>
      </w:r>
      <w:r>
        <w:rPr>
          <w:rFonts w:hint="eastAsia" w:ascii="Times New Roman" w:hAnsi="Times New Roman" w:eastAsia="仿宋_GB2312" w:cs="Times New Roman"/>
          <w:color w:val="auto"/>
          <w:sz w:val="28"/>
          <w:szCs w:val="28"/>
          <w:lang w:val="en-US" w:eastAsia="zh-CN"/>
        </w:rPr>
        <w:t>平台，实行网上报名。</w:t>
      </w:r>
    </w:p>
    <w:p w14:paraId="34496630">
      <w:pPr>
        <w:keepNext/>
        <w:keepLines w:val="0"/>
        <w:pageBreakBefore w:val="0"/>
        <w:widowControl w:val="0"/>
        <w:numPr>
          <w:ilvl w:val="0"/>
          <w:numId w:val="2"/>
        </w:numPr>
        <w:kinsoku/>
        <w:wordWrap w:val="0"/>
        <w:overflowPunct/>
        <w:topLinePunct w:val="0"/>
        <w:autoSpaceDE/>
        <w:autoSpaceDN/>
        <w:bidi w:val="0"/>
        <w:adjustRightInd/>
        <w:snapToGrid w:val="0"/>
        <w:spacing w:line="560" w:lineRule="exact"/>
        <w:ind w:left="0" w:leftChars="0" w:firstLine="560" w:firstLineChars="200"/>
        <w:jc w:val="both"/>
        <w:textAlignment w:val="auto"/>
        <w:rPr>
          <w:rFonts w:hint="eastAsia" w:ascii="Times New Roman" w:hAnsi="Times New Roman" w:eastAsia="仿宋_GB2312" w:cs="Times New Roman"/>
          <w:color w:val="auto"/>
          <w:kern w:val="2"/>
          <w:sz w:val="28"/>
          <w:szCs w:val="28"/>
          <w:lang w:val="en-US" w:eastAsia="zh-CN"/>
        </w:rPr>
      </w:pPr>
      <w:r>
        <w:rPr>
          <w:rFonts w:hint="eastAsia" w:ascii="Times New Roman" w:hAnsi="Times New Roman" w:eastAsia="仿宋_GB2312" w:cs="Times New Roman"/>
          <w:color w:val="auto"/>
          <w:kern w:val="2"/>
          <w:sz w:val="28"/>
          <w:szCs w:val="28"/>
          <w:lang w:val="en-US" w:eastAsia="zh-CN"/>
        </w:rPr>
        <w:t>比赛时间：2026年11月27日报到，11月28日比赛。时间如有变动以省教育厅通知为准。</w:t>
      </w:r>
    </w:p>
    <w:p w14:paraId="67D9D6D2">
      <w:pPr>
        <w:pStyle w:val="14"/>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竞赛流程</w:t>
      </w:r>
    </w:p>
    <w:p w14:paraId="2B133286">
      <w:pPr>
        <w:ind w:firstLine="0" w:firstLineChars="0"/>
        <w:jc w:val="left"/>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（一）比赛时间安排</w:t>
      </w:r>
    </w:p>
    <w:p w14:paraId="1A85F84D">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竞赛开始与结束时段为9:00～13:00，共计4个小时。时间安排如表2所示：</w:t>
      </w:r>
    </w:p>
    <w:p w14:paraId="20936F9A">
      <w:pPr>
        <w:adjustRightInd w:val="0"/>
        <w:snapToGrid w:val="0"/>
        <w:ind w:right="320" w:rightChars="100" w:firstLine="480"/>
        <w:jc w:val="center"/>
        <w:rPr>
          <w:rFonts w:hint="eastAsia" w:ascii="仿宋" w:hAnsi="仿宋" w:eastAsia="仿宋" w:cs="仿宋_GB2312"/>
          <w:color w:val="auto"/>
          <w:sz w:val="24"/>
          <w:szCs w:val="18"/>
        </w:rPr>
      </w:pPr>
      <w:r>
        <w:rPr>
          <w:rFonts w:hint="eastAsia" w:ascii="仿宋" w:hAnsi="仿宋" w:eastAsia="仿宋" w:cs="仿宋_GB2312"/>
          <w:color w:val="auto"/>
          <w:sz w:val="24"/>
          <w:szCs w:val="18"/>
        </w:rPr>
        <w:t>表2 比赛时间安排</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1788"/>
        <w:gridCol w:w="2122"/>
        <w:gridCol w:w="2694"/>
        <w:gridCol w:w="1557"/>
      </w:tblGrid>
      <w:tr w14:paraId="63ACC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tcMar>
              <w:top w:w="0" w:type="dxa"/>
              <w:left w:w="0" w:type="dxa"/>
              <w:bottom w:w="0" w:type="dxa"/>
              <w:right w:w="0" w:type="dxa"/>
            </w:tcMar>
            <w:vAlign w:val="center"/>
          </w:tcPr>
          <w:p w14:paraId="532D2150">
            <w:pPr>
              <w:ind w:firstLine="0" w:firstLineChars="0"/>
              <w:jc w:val="center"/>
              <w:rPr>
                <w:rFonts w:hint="eastAsia" w:ascii="仿宋" w:hAnsi="仿宋" w:eastAsia="仿宋"/>
                <w:b/>
                <w:bCs/>
                <w:color w:val="auto"/>
                <w:sz w:val="24"/>
              </w:rPr>
            </w:pPr>
            <w:r>
              <w:rPr>
                <w:rFonts w:hint="eastAsia" w:ascii="仿宋" w:hAnsi="仿宋" w:eastAsia="仿宋"/>
                <w:bCs/>
                <w:color w:val="auto"/>
                <w:sz w:val="24"/>
              </w:rPr>
              <w:t>日期</w:t>
            </w:r>
          </w:p>
        </w:tc>
        <w:tc>
          <w:tcPr>
            <w:tcW w:w="987" w:type="pct"/>
            <w:tcMar>
              <w:top w:w="0" w:type="dxa"/>
              <w:left w:w="0" w:type="dxa"/>
              <w:bottom w:w="0" w:type="dxa"/>
              <w:right w:w="0" w:type="dxa"/>
            </w:tcMar>
            <w:vAlign w:val="center"/>
          </w:tcPr>
          <w:p w14:paraId="0563E703">
            <w:pPr>
              <w:ind w:firstLine="0" w:firstLineChars="0"/>
              <w:jc w:val="center"/>
              <w:rPr>
                <w:rFonts w:hint="eastAsia" w:ascii="仿宋" w:hAnsi="仿宋" w:eastAsia="仿宋"/>
                <w:b/>
                <w:bCs/>
                <w:color w:val="auto"/>
                <w:sz w:val="24"/>
              </w:rPr>
            </w:pPr>
            <w:r>
              <w:rPr>
                <w:rFonts w:hint="eastAsia" w:ascii="仿宋" w:hAnsi="仿宋" w:eastAsia="仿宋"/>
                <w:bCs/>
                <w:color w:val="auto"/>
                <w:sz w:val="24"/>
              </w:rPr>
              <w:t>时间</w:t>
            </w:r>
          </w:p>
        </w:tc>
        <w:tc>
          <w:tcPr>
            <w:tcW w:w="1171" w:type="pct"/>
            <w:tcMar>
              <w:top w:w="0" w:type="dxa"/>
              <w:left w:w="0" w:type="dxa"/>
              <w:bottom w:w="0" w:type="dxa"/>
              <w:right w:w="0" w:type="dxa"/>
            </w:tcMar>
            <w:vAlign w:val="center"/>
          </w:tcPr>
          <w:p w14:paraId="64A2159C">
            <w:pPr>
              <w:ind w:firstLine="0" w:firstLineChars="0"/>
              <w:jc w:val="center"/>
              <w:rPr>
                <w:rFonts w:hint="eastAsia" w:ascii="仿宋" w:hAnsi="仿宋" w:eastAsia="仿宋"/>
                <w:b/>
                <w:bCs/>
                <w:color w:val="auto"/>
                <w:sz w:val="24"/>
              </w:rPr>
            </w:pPr>
            <w:r>
              <w:rPr>
                <w:rFonts w:hint="eastAsia" w:ascii="仿宋" w:hAnsi="仿宋" w:eastAsia="仿宋"/>
                <w:bCs/>
                <w:color w:val="auto"/>
                <w:sz w:val="24"/>
              </w:rPr>
              <w:t>事项</w:t>
            </w:r>
          </w:p>
        </w:tc>
        <w:tc>
          <w:tcPr>
            <w:tcW w:w="1487" w:type="pct"/>
            <w:tcMar>
              <w:top w:w="0" w:type="dxa"/>
              <w:left w:w="0" w:type="dxa"/>
              <w:bottom w:w="0" w:type="dxa"/>
              <w:right w:w="0" w:type="dxa"/>
            </w:tcMar>
            <w:vAlign w:val="center"/>
          </w:tcPr>
          <w:p w14:paraId="3923F25D">
            <w:pPr>
              <w:ind w:firstLine="0" w:firstLineChars="0"/>
              <w:jc w:val="center"/>
              <w:rPr>
                <w:rFonts w:hint="eastAsia" w:ascii="仿宋" w:hAnsi="仿宋" w:eastAsia="仿宋"/>
                <w:b/>
                <w:bCs/>
                <w:color w:val="auto"/>
                <w:sz w:val="24"/>
              </w:rPr>
            </w:pPr>
            <w:r>
              <w:rPr>
                <w:rFonts w:hint="eastAsia" w:ascii="仿宋" w:hAnsi="仿宋" w:eastAsia="仿宋"/>
                <w:bCs/>
                <w:color w:val="auto"/>
                <w:sz w:val="24"/>
              </w:rPr>
              <w:t>参加人员</w:t>
            </w:r>
          </w:p>
        </w:tc>
        <w:tc>
          <w:tcPr>
            <w:tcW w:w="860" w:type="pct"/>
            <w:tcMar>
              <w:top w:w="0" w:type="dxa"/>
              <w:left w:w="0" w:type="dxa"/>
              <w:bottom w:w="0" w:type="dxa"/>
              <w:right w:w="0" w:type="dxa"/>
            </w:tcMar>
            <w:vAlign w:val="center"/>
          </w:tcPr>
          <w:p w14:paraId="3315BAD2">
            <w:pPr>
              <w:ind w:firstLine="0" w:firstLineChars="0"/>
              <w:jc w:val="center"/>
              <w:rPr>
                <w:rFonts w:hint="eastAsia" w:ascii="仿宋" w:hAnsi="仿宋" w:eastAsia="仿宋"/>
                <w:b/>
                <w:bCs/>
                <w:color w:val="auto"/>
                <w:sz w:val="24"/>
              </w:rPr>
            </w:pPr>
            <w:r>
              <w:rPr>
                <w:rFonts w:hint="eastAsia" w:ascii="仿宋" w:hAnsi="仿宋" w:eastAsia="仿宋"/>
                <w:bCs/>
                <w:color w:val="auto"/>
                <w:sz w:val="24"/>
              </w:rPr>
              <w:t>地点</w:t>
            </w:r>
          </w:p>
        </w:tc>
      </w:tr>
      <w:tr w14:paraId="5307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restart"/>
            <w:vAlign w:val="center"/>
          </w:tcPr>
          <w:p w14:paraId="76436B00">
            <w:pPr>
              <w:ind w:firstLine="0" w:firstLineChars="0"/>
              <w:jc w:val="left"/>
              <w:rPr>
                <w:rFonts w:hint="eastAsia" w:ascii="仿宋" w:hAnsi="仿宋" w:eastAsia="仿宋"/>
                <w:color w:val="auto"/>
                <w:sz w:val="24"/>
              </w:rPr>
            </w:pPr>
            <w:r>
              <w:rPr>
                <w:rFonts w:hint="eastAsia" w:ascii="仿宋" w:hAnsi="仿宋" w:eastAsia="仿宋"/>
                <w:color w:val="auto"/>
                <w:sz w:val="24"/>
              </w:rPr>
              <w:t>竞赛前1日</w:t>
            </w:r>
          </w:p>
        </w:tc>
        <w:tc>
          <w:tcPr>
            <w:tcW w:w="987" w:type="pct"/>
            <w:vAlign w:val="center"/>
          </w:tcPr>
          <w:p w14:paraId="136CD132">
            <w:pPr>
              <w:ind w:firstLine="0" w:firstLineChars="0"/>
              <w:jc w:val="left"/>
              <w:rPr>
                <w:rFonts w:hint="eastAsia" w:ascii="仿宋" w:hAnsi="仿宋" w:eastAsia="仿宋"/>
                <w:color w:val="auto"/>
                <w:sz w:val="24"/>
              </w:rPr>
            </w:pPr>
            <w:r>
              <w:rPr>
                <w:rFonts w:hint="eastAsia" w:ascii="仿宋" w:hAnsi="仿宋" w:eastAsia="仿宋"/>
                <w:color w:val="auto"/>
                <w:sz w:val="24"/>
              </w:rPr>
              <w:t>1</w:t>
            </w:r>
            <w:r>
              <w:rPr>
                <w:rFonts w:hint="eastAsia" w:ascii="仿宋" w:hAnsi="仿宋" w:eastAsia="仿宋"/>
                <w:color w:val="auto"/>
                <w:sz w:val="24"/>
                <w:lang w:val="en-US" w:eastAsia="zh-CN"/>
              </w:rPr>
              <w:t>3</w:t>
            </w:r>
            <w:r>
              <w:rPr>
                <w:rFonts w:hint="eastAsia" w:ascii="仿宋" w:hAnsi="仿宋" w:eastAsia="仿宋"/>
                <w:color w:val="auto"/>
                <w:sz w:val="24"/>
              </w:rPr>
              <w:t>:00-16:00</w:t>
            </w:r>
          </w:p>
        </w:tc>
        <w:tc>
          <w:tcPr>
            <w:tcW w:w="1171" w:type="pct"/>
            <w:vAlign w:val="center"/>
          </w:tcPr>
          <w:p w14:paraId="50A217BF">
            <w:pPr>
              <w:ind w:firstLine="0" w:firstLineChars="0"/>
              <w:jc w:val="left"/>
              <w:rPr>
                <w:rFonts w:hint="eastAsia" w:ascii="仿宋" w:hAnsi="仿宋" w:eastAsia="仿宋"/>
                <w:color w:val="auto"/>
                <w:sz w:val="24"/>
              </w:rPr>
            </w:pPr>
            <w:r>
              <w:rPr>
                <w:rFonts w:hint="eastAsia" w:ascii="仿宋" w:hAnsi="仿宋" w:eastAsia="仿宋"/>
                <w:color w:val="auto"/>
                <w:sz w:val="24"/>
              </w:rPr>
              <w:t>各参赛队报到</w:t>
            </w:r>
          </w:p>
        </w:tc>
        <w:tc>
          <w:tcPr>
            <w:tcW w:w="1487" w:type="pct"/>
            <w:vAlign w:val="center"/>
          </w:tcPr>
          <w:p w14:paraId="7575D725">
            <w:pPr>
              <w:ind w:firstLine="0" w:firstLineChars="0"/>
              <w:jc w:val="left"/>
              <w:rPr>
                <w:rFonts w:hint="eastAsia" w:ascii="仿宋" w:hAnsi="仿宋" w:eastAsia="仿宋"/>
                <w:color w:val="auto"/>
                <w:sz w:val="24"/>
              </w:rPr>
            </w:pPr>
            <w:r>
              <w:rPr>
                <w:rFonts w:hint="eastAsia" w:ascii="仿宋" w:hAnsi="仿宋" w:eastAsia="仿宋"/>
                <w:color w:val="auto"/>
                <w:sz w:val="24"/>
              </w:rPr>
              <w:t>工作人员、各参赛队</w:t>
            </w:r>
          </w:p>
        </w:tc>
        <w:tc>
          <w:tcPr>
            <w:tcW w:w="860" w:type="pct"/>
            <w:vAlign w:val="center"/>
          </w:tcPr>
          <w:p w14:paraId="44CBA1B3">
            <w:pPr>
              <w:ind w:firstLine="0" w:firstLineChars="0"/>
              <w:jc w:val="left"/>
              <w:rPr>
                <w:rFonts w:hint="eastAsia" w:ascii="仿宋" w:hAnsi="仿宋" w:eastAsia="仿宋"/>
                <w:color w:val="auto"/>
                <w:sz w:val="24"/>
              </w:rPr>
            </w:pPr>
            <w:r>
              <w:rPr>
                <w:rFonts w:hint="eastAsia" w:ascii="仿宋" w:hAnsi="仿宋" w:eastAsia="仿宋"/>
                <w:color w:val="auto"/>
                <w:sz w:val="24"/>
              </w:rPr>
              <w:t>指定地点</w:t>
            </w:r>
          </w:p>
        </w:tc>
      </w:tr>
      <w:tr w14:paraId="1428C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53B8C883">
            <w:pPr>
              <w:ind w:firstLine="0" w:firstLineChars="0"/>
              <w:jc w:val="left"/>
              <w:rPr>
                <w:rFonts w:hint="eastAsia" w:ascii="仿宋" w:hAnsi="仿宋" w:eastAsia="仿宋"/>
                <w:color w:val="auto"/>
                <w:sz w:val="24"/>
              </w:rPr>
            </w:pPr>
          </w:p>
        </w:tc>
        <w:tc>
          <w:tcPr>
            <w:tcW w:w="987" w:type="pct"/>
            <w:vAlign w:val="center"/>
          </w:tcPr>
          <w:p w14:paraId="72F12154">
            <w:pPr>
              <w:ind w:firstLine="0" w:firstLineChars="0"/>
              <w:jc w:val="left"/>
              <w:rPr>
                <w:rFonts w:hint="eastAsia" w:ascii="仿宋" w:hAnsi="仿宋" w:eastAsia="仿宋"/>
                <w:color w:val="auto"/>
                <w:sz w:val="24"/>
              </w:rPr>
            </w:pPr>
            <w:r>
              <w:rPr>
                <w:rFonts w:hint="eastAsia" w:ascii="仿宋" w:hAnsi="仿宋" w:eastAsia="仿宋"/>
                <w:color w:val="auto"/>
                <w:sz w:val="24"/>
              </w:rPr>
              <w:t>16:00-17:00</w:t>
            </w:r>
          </w:p>
        </w:tc>
        <w:tc>
          <w:tcPr>
            <w:tcW w:w="1171" w:type="pct"/>
            <w:vAlign w:val="center"/>
          </w:tcPr>
          <w:p w14:paraId="27988841">
            <w:pPr>
              <w:ind w:firstLine="0" w:firstLineChars="0"/>
              <w:jc w:val="left"/>
              <w:rPr>
                <w:rFonts w:hint="eastAsia" w:ascii="仿宋" w:hAnsi="仿宋" w:eastAsia="仿宋"/>
                <w:color w:val="auto"/>
                <w:sz w:val="24"/>
              </w:rPr>
            </w:pPr>
            <w:r>
              <w:rPr>
                <w:rFonts w:hint="eastAsia" w:ascii="仿宋" w:hAnsi="仿宋" w:eastAsia="仿宋"/>
                <w:color w:val="auto"/>
                <w:sz w:val="24"/>
              </w:rPr>
              <w:t>裁判工作会议</w:t>
            </w:r>
          </w:p>
        </w:tc>
        <w:tc>
          <w:tcPr>
            <w:tcW w:w="1487" w:type="pct"/>
            <w:vAlign w:val="center"/>
          </w:tcPr>
          <w:p w14:paraId="21AFFF74">
            <w:pPr>
              <w:ind w:firstLine="0" w:firstLineChars="0"/>
              <w:jc w:val="left"/>
              <w:rPr>
                <w:rFonts w:hint="eastAsia" w:ascii="仿宋" w:hAnsi="仿宋" w:eastAsia="仿宋"/>
                <w:color w:val="auto"/>
                <w:sz w:val="24"/>
              </w:rPr>
            </w:pPr>
            <w:r>
              <w:rPr>
                <w:rFonts w:hint="eastAsia" w:ascii="仿宋" w:hAnsi="仿宋" w:eastAsia="仿宋"/>
                <w:color w:val="auto"/>
                <w:sz w:val="24"/>
              </w:rPr>
              <w:t>裁判长、裁判、监督仲裁、工作人员</w:t>
            </w:r>
          </w:p>
        </w:tc>
        <w:tc>
          <w:tcPr>
            <w:tcW w:w="860" w:type="pct"/>
            <w:vAlign w:val="center"/>
          </w:tcPr>
          <w:p w14:paraId="77E7D6CF">
            <w:pPr>
              <w:ind w:firstLine="0" w:firstLineChars="0"/>
              <w:jc w:val="left"/>
              <w:rPr>
                <w:rFonts w:hint="eastAsia" w:ascii="仿宋" w:hAnsi="仿宋" w:eastAsia="仿宋"/>
                <w:color w:val="auto"/>
                <w:sz w:val="24"/>
              </w:rPr>
            </w:pPr>
            <w:r>
              <w:rPr>
                <w:rFonts w:hint="eastAsia" w:ascii="仿宋" w:hAnsi="仿宋" w:eastAsia="仿宋"/>
                <w:color w:val="auto"/>
                <w:sz w:val="24"/>
              </w:rPr>
              <w:t>会议室</w:t>
            </w:r>
          </w:p>
        </w:tc>
      </w:tr>
      <w:tr w14:paraId="2F44F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7ACBD8F0">
            <w:pPr>
              <w:ind w:firstLine="0" w:firstLineChars="0"/>
              <w:jc w:val="left"/>
              <w:rPr>
                <w:rFonts w:hint="eastAsia" w:ascii="仿宋" w:hAnsi="仿宋" w:eastAsia="仿宋"/>
                <w:color w:val="auto"/>
                <w:sz w:val="24"/>
              </w:rPr>
            </w:pPr>
          </w:p>
        </w:tc>
        <w:tc>
          <w:tcPr>
            <w:tcW w:w="987" w:type="pct"/>
            <w:vAlign w:val="center"/>
          </w:tcPr>
          <w:p w14:paraId="794E6845">
            <w:pPr>
              <w:ind w:firstLine="0" w:firstLineChars="0"/>
              <w:jc w:val="left"/>
              <w:rPr>
                <w:rFonts w:hint="eastAsia" w:ascii="仿宋" w:hAnsi="仿宋" w:eastAsia="仿宋"/>
                <w:color w:val="auto"/>
                <w:sz w:val="24"/>
              </w:rPr>
            </w:pPr>
            <w:r>
              <w:rPr>
                <w:rFonts w:hint="eastAsia" w:ascii="仿宋" w:hAnsi="仿宋" w:eastAsia="仿宋"/>
                <w:color w:val="auto"/>
                <w:sz w:val="24"/>
              </w:rPr>
              <w:t>17:00-18:00</w:t>
            </w:r>
          </w:p>
        </w:tc>
        <w:tc>
          <w:tcPr>
            <w:tcW w:w="1171" w:type="pct"/>
            <w:vAlign w:val="center"/>
          </w:tcPr>
          <w:p w14:paraId="50030D49">
            <w:pPr>
              <w:ind w:firstLine="0" w:firstLineChars="0"/>
              <w:jc w:val="left"/>
              <w:rPr>
                <w:rFonts w:hint="eastAsia" w:ascii="仿宋" w:hAnsi="仿宋" w:eastAsia="仿宋"/>
                <w:color w:val="auto"/>
                <w:sz w:val="24"/>
              </w:rPr>
            </w:pPr>
            <w:r>
              <w:rPr>
                <w:rFonts w:hint="eastAsia" w:ascii="仿宋" w:hAnsi="仿宋" w:eastAsia="仿宋"/>
                <w:color w:val="auto"/>
                <w:sz w:val="24"/>
              </w:rPr>
              <w:t>开赛式、领队会</w:t>
            </w:r>
          </w:p>
        </w:tc>
        <w:tc>
          <w:tcPr>
            <w:tcW w:w="1487" w:type="pct"/>
            <w:vAlign w:val="center"/>
          </w:tcPr>
          <w:p w14:paraId="20218ADB">
            <w:pPr>
              <w:ind w:firstLine="0" w:firstLineChars="0"/>
              <w:jc w:val="left"/>
              <w:rPr>
                <w:rFonts w:hint="eastAsia" w:ascii="仿宋" w:hAnsi="仿宋" w:eastAsia="仿宋"/>
                <w:color w:val="auto"/>
                <w:sz w:val="24"/>
              </w:rPr>
            </w:pPr>
            <w:r>
              <w:rPr>
                <w:rFonts w:hint="eastAsia" w:ascii="仿宋" w:hAnsi="仿宋" w:eastAsia="仿宋"/>
                <w:color w:val="auto"/>
                <w:sz w:val="24"/>
              </w:rPr>
              <w:t>领导、各参赛队、裁判长、裁判、监督仲裁</w:t>
            </w:r>
          </w:p>
        </w:tc>
        <w:tc>
          <w:tcPr>
            <w:tcW w:w="860" w:type="pct"/>
            <w:vAlign w:val="center"/>
          </w:tcPr>
          <w:p w14:paraId="41D8A529">
            <w:pPr>
              <w:ind w:firstLine="0" w:firstLineChars="0"/>
              <w:jc w:val="left"/>
              <w:rPr>
                <w:rFonts w:hint="eastAsia" w:ascii="仿宋" w:hAnsi="仿宋" w:eastAsia="仿宋"/>
                <w:color w:val="auto"/>
                <w:sz w:val="24"/>
              </w:rPr>
            </w:pPr>
            <w:r>
              <w:rPr>
                <w:rFonts w:hint="eastAsia" w:ascii="仿宋" w:hAnsi="仿宋" w:eastAsia="仿宋"/>
                <w:color w:val="auto"/>
                <w:sz w:val="24"/>
              </w:rPr>
              <w:t>会议室</w:t>
            </w:r>
          </w:p>
        </w:tc>
      </w:tr>
      <w:tr w14:paraId="3D39C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041800AD">
            <w:pPr>
              <w:ind w:firstLine="0" w:firstLineChars="0"/>
              <w:jc w:val="left"/>
              <w:rPr>
                <w:rFonts w:hint="eastAsia" w:ascii="仿宋" w:hAnsi="仿宋" w:eastAsia="仿宋"/>
                <w:color w:val="auto"/>
                <w:sz w:val="24"/>
              </w:rPr>
            </w:pPr>
          </w:p>
        </w:tc>
        <w:tc>
          <w:tcPr>
            <w:tcW w:w="987" w:type="pct"/>
            <w:vAlign w:val="center"/>
          </w:tcPr>
          <w:p w14:paraId="27DEB1B5">
            <w:pPr>
              <w:ind w:firstLine="0" w:firstLineChars="0"/>
              <w:jc w:val="left"/>
              <w:rPr>
                <w:rFonts w:hint="eastAsia" w:ascii="仿宋" w:hAnsi="仿宋" w:eastAsia="仿宋"/>
                <w:color w:val="auto"/>
                <w:sz w:val="24"/>
              </w:rPr>
            </w:pPr>
            <w:r>
              <w:rPr>
                <w:rFonts w:hint="eastAsia" w:ascii="仿宋" w:hAnsi="仿宋" w:eastAsia="仿宋"/>
                <w:color w:val="auto"/>
                <w:sz w:val="24"/>
              </w:rPr>
              <w:t>18:00-18:30</w:t>
            </w:r>
          </w:p>
        </w:tc>
        <w:tc>
          <w:tcPr>
            <w:tcW w:w="1171" w:type="pct"/>
            <w:vAlign w:val="center"/>
          </w:tcPr>
          <w:p w14:paraId="255443D3">
            <w:pPr>
              <w:ind w:firstLine="0" w:firstLineChars="0"/>
              <w:jc w:val="left"/>
              <w:rPr>
                <w:rFonts w:hint="eastAsia" w:ascii="仿宋" w:hAnsi="仿宋" w:eastAsia="仿宋"/>
                <w:color w:val="auto"/>
                <w:sz w:val="24"/>
              </w:rPr>
            </w:pPr>
            <w:r>
              <w:rPr>
                <w:rFonts w:hint="eastAsia" w:ascii="仿宋" w:hAnsi="仿宋" w:eastAsia="仿宋"/>
                <w:color w:val="auto"/>
                <w:sz w:val="24"/>
              </w:rPr>
              <w:t>熟悉赛场</w:t>
            </w:r>
          </w:p>
        </w:tc>
        <w:tc>
          <w:tcPr>
            <w:tcW w:w="1487" w:type="pct"/>
            <w:vAlign w:val="center"/>
          </w:tcPr>
          <w:p w14:paraId="2CBAABAD">
            <w:pPr>
              <w:ind w:firstLine="0" w:firstLineChars="0"/>
              <w:jc w:val="left"/>
              <w:rPr>
                <w:rFonts w:hint="eastAsia" w:ascii="仿宋" w:hAnsi="仿宋" w:eastAsia="仿宋"/>
                <w:color w:val="auto"/>
                <w:sz w:val="24"/>
              </w:rPr>
            </w:pPr>
            <w:r>
              <w:rPr>
                <w:rFonts w:hint="eastAsia" w:ascii="仿宋" w:hAnsi="仿宋" w:eastAsia="仿宋"/>
                <w:color w:val="auto"/>
                <w:sz w:val="24"/>
              </w:rPr>
              <w:t>各参赛队</w:t>
            </w:r>
          </w:p>
        </w:tc>
        <w:tc>
          <w:tcPr>
            <w:tcW w:w="860" w:type="pct"/>
            <w:vAlign w:val="center"/>
          </w:tcPr>
          <w:p w14:paraId="1058E444">
            <w:pPr>
              <w:ind w:firstLine="0" w:firstLineChars="0"/>
              <w:jc w:val="left"/>
              <w:rPr>
                <w:rFonts w:hint="eastAsia" w:ascii="仿宋" w:hAnsi="仿宋" w:eastAsia="仿宋"/>
                <w:color w:val="auto"/>
                <w:sz w:val="24"/>
              </w:rPr>
            </w:pPr>
            <w:r>
              <w:rPr>
                <w:rFonts w:hint="eastAsia" w:ascii="仿宋" w:hAnsi="仿宋" w:eastAsia="仿宋"/>
                <w:color w:val="auto"/>
                <w:sz w:val="24"/>
              </w:rPr>
              <w:t>竞赛场地</w:t>
            </w:r>
          </w:p>
        </w:tc>
      </w:tr>
      <w:tr w14:paraId="07853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6C49F823">
            <w:pPr>
              <w:ind w:firstLine="0" w:firstLineChars="0"/>
              <w:jc w:val="left"/>
              <w:rPr>
                <w:rFonts w:hint="eastAsia" w:ascii="仿宋" w:hAnsi="仿宋" w:eastAsia="仿宋"/>
                <w:color w:val="auto"/>
                <w:sz w:val="24"/>
              </w:rPr>
            </w:pPr>
          </w:p>
        </w:tc>
        <w:tc>
          <w:tcPr>
            <w:tcW w:w="987" w:type="pct"/>
            <w:vAlign w:val="center"/>
          </w:tcPr>
          <w:p w14:paraId="6CC1442F">
            <w:pPr>
              <w:ind w:firstLine="0" w:firstLineChars="0"/>
              <w:jc w:val="left"/>
              <w:rPr>
                <w:rFonts w:hint="eastAsia" w:ascii="仿宋" w:hAnsi="仿宋" w:eastAsia="仿宋"/>
                <w:color w:val="auto"/>
                <w:sz w:val="24"/>
              </w:rPr>
            </w:pPr>
            <w:r>
              <w:rPr>
                <w:rFonts w:hint="eastAsia" w:ascii="仿宋" w:hAnsi="仿宋" w:eastAsia="仿宋"/>
                <w:color w:val="auto"/>
                <w:sz w:val="24"/>
              </w:rPr>
              <w:t>18:30-19:00</w:t>
            </w:r>
          </w:p>
        </w:tc>
        <w:tc>
          <w:tcPr>
            <w:tcW w:w="1171" w:type="pct"/>
            <w:vAlign w:val="center"/>
          </w:tcPr>
          <w:p w14:paraId="4D61A773">
            <w:pPr>
              <w:ind w:firstLine="0" w:firstLineChars="0"/>
              <w:jc w:val="left"/>
              <w:rPr>
                <w:rFonts w:hint="eastAsia" w:ascii="仿宋" w:hAnsi="仿宋" w:eastAsia="仿宋"/>
                <w:color w:val="auto"/>
                <w:sz w:val="24"/>
              </w:rPr>
            </w:pPr>
            <w:r>
              <w:rPr>
                <w:rFonts w:hint="eastAsia" w:ascii="仿宋" w:hAnsi="仿宋" w:eastAsia="仿宋"/>
                <w:color w:val="auto"/>
                <w:sz w:val="24"/>
              </w:rPr>
              <w:t>检查、封闭赛场</w:t>
            </w:r>
          </w:p>
        </w:tc>
        <w:tc>
          <w:tcPr>
            <w:tcW w:w="1487" w:type="pct"/>
            <w:vAlign w:val="center"/>
          </w:tcPr>
          <w:p w14:paraId="3661C1AB">
            <w:pPr>
              <w:ind w:firstLine="0" w:firstLineChars="0"/>
              <w:jc w:val="left"/>
              <w:rPr>
                <w:rFonts w:hint="eastAsia" w:ascii="仿宋" w:hAnsi="仿宋" w:eastAsia="仿宋"/>
                <w:color w:val="auto"/>
                <w:sz w:val="24"/>
              </w:rPr>
            </w:pPr>
            <w:r>
              <w:rPr>
                <w:rFonts w:hint="eastAsia" w:ascii="仿宋" w:hAnsi="仿宋" w:eastAsia="仿宋"/>
                <w:color w:val="auto"/>
                <w:sz w:val="24"/>
              </w:rPr>
              <w:t>裁判长、监督仲裁、工作人员</w:t>
            </w:r>
          </w:p>
        </w:tc>
        <w:tc>
          <w:tcPr>
            <w:tcW w:w="860" w:type="pct"/>
            <w:vAlign w:val="center"/>
          </w:tcPr>
          <w:p w14:paraId="5F4F7D42">
            <w:pPr>
              <w:ind w:firstLine="0" w:firstLineChars="0"/>
              <w:jc w:val="left"/>
              <w:rPr>
                <w:rFonts w:hint="eastAsia" w:ascii="仿宋" w:hAnsi="仿宋" w:eastAsia="仿宋"/>
                <w:color w:val="auto"/>
                <w:sz w:val="24"/>
              </w:rPr>
            </w:pPr>
            <w:r>
              <w:rPr>
                <w:rFonts w:hint="eastAsia" w:ascii="仿宋" w:hAnsi="仿宋" w:eastAsia="仿宋"/>
                <w:color w:val="auto"/>
                <w:sz w:val="24"/>
              </w:rPr>
              <w:t>竞赛场地</w:t>
            </w:r>
          </w:p>
        </w:tc>
      </w:tr>
      <w:tr w14:paraId="0A0F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restart"/>
            <w:vAlign w:val="center"/>
          </w:tcPr>
          <w:p w14:paraId="1CF7D187">
            <w:pPr>
              <w:ind w:firstLine="0" w:firstLineChars="0"/>
              <w:jc w:val="left"/>
              <w:rPr>
                <w:rFonts w:hint="eastAsia" w:ascii="仿宋" w:hAnsi="仿宋" w:eastAsia="仿宋"/>
                <w:color w:val="auto"/>
                <w:sz w:val="24"/>
              </w:rPr>
            </w:pPr>
            <w:r>
              <w:rPr>
                <w:rFonts w:hint="eastAsia" w:ascii="仿宋" w:hAnsi="仿宋" w:eastAsia="仿宋"/>
                <w:color w:val="auto"/>
                <w:sz w:val="24"/>
              </w:rPr>
              <w:t>竞赛日</w:t>
            </w:r>
          </w:p>
        </w:tc>
        <w:tc>
          <w:tcPr>
            <w:tcW w:w="987" w:type="pct"/>
            <w:vAlign w:val="center"/>
          </w:tcPr>
          <w:p w14:paraId="6A2DE8DB">
            <w:pPr>
              <w:ind w:firstLine="0" w:firstLineChars="0"/>
              <w:jc w:val="left"/>
              <w:rPr>
                <w:rFonts w:hint="eastAsia" w:ascii="仿宋" w:hAnsi="仿宋" w:eastAsia="仿宋"/>
                <w:color w:val="auto"/>
                <w:sz w:val="24"/>
              </w:rPr>
            </w:pPr>
            <w:r>
              <w:rPr>
                <w:rFonts w:hint="eastAsia" w:ascii="仿宋" w:hAnsi="仿宋" w:eastAsia="仿宋"/>
                <w:color w:val="auto"/>
                <w:sz w:val="24"/>
              </w:rPr>
              <w:t>07:30</w:t>
            </w:r>
          </w:p>
        </w:tc>
        <w:tc>
          <w:tcPr>
            <w:tcW w:w="1171" w:type="pct"/>
            <w:vAlign w:val="center"/>
          </w:tcPr>
          <w:p w14:paraId="7E4AF7F7">
            <w:pPr>
              <w:ind w:firstLine="0" w:firstLineChars="0"/>
              <w:jc w:val="left"/>
              <w:rPr>
                <w:rFonts w:hint="eastAsia" w:ascii="仿宋" w:hAnsi="仿宋" w:eastAsia="仿宋"/>
                <w:color w:val="auto"/>
                <w:sz w:val="24"/>
              </w:rPr>
            </w:pPr>
            <w:r>
              <w:rPr>
                <w:rFonts w:hint="eastAsia" w:ascii="仿宋" w:hAnsi="仿宋" w:eastAsia="仿宋"/>
                <w:color w:val="auto"/>
                <w:sz w:val="24"/>
              </w:rPr>
              <w:t>参赛队到达会议室集合</w:t>
            </w:r>
          </w:p>
        </w:tc>
        <w:tc>
          <w:tcPr>
            <w:tcW w:w="1487" w:type="pct"/>
            <w:vAlign w:val="center"/>
          </w:tcPr>
          <w:p w14:paraId="1D17B9D7">
            <w:pPr>
              <w:ind w:firstLine="0" w:firstLineChars="0"/>
              <w:jc w:val="left"/>
              <w:rPr>
                <w:rFonts w:hint="eastAsia" w:ascii="仿宋" w:hAnsi="仿宋" w:eastAsia="仿宋"/>
                <w:color w:val="auto"/>
                <w:sz w:val="24"/>
              </w:rPr>
            </w:pPr>
            <w:r>
              <w:rPr>
                <w:rFonts w:hint="eastAsia" w:ascii="仿宋" w:hAnsi="仿宋" w:eastAsia="仿宋"/>
                <w:color w:val="auto"/>
                <w:sz w:val="24"/>
              </w:rPr>
              <w:t>各参赛队、工作人员</w:t>
            </w:r>
          </w:p>
        </w:tc>
        <w:tc>
          <w:tcPr>
            <w:tcW w:w="860" w:type="pct"/>
            <w:vAlign w:val="center"/>
          </w:tcPr>
          <w:p w14:paraId="3241315E">
            <w:pPr>
              <w:ind w:firstLine="0" w:firstLineChars="0"/>
              <w:jc w:val="left"/>
              <w:rPr>
                <w:rFonts w:hint="eastAsia" w:ascii="仿宋" w:hAnsi="仿宋" w:eastAsia="仿宋"/>
                <w:color w:val="auto"/>
                <w:sz w:val="24"/>
              </w:rPr>
            </w:pPr>
            <w:r>
              <w:rPr>
                <w:rFonts w:hint="eastAsia" w:ascii="仿宋" w:hAnsi="仿宋" w:eastAsia="仿宋"/>
                <w:color w:val="auto"/>
                <w:sz w:val="24"/>
              </w:rPr>
              <w:t>会议室</w:t>
            </w:r>
          </w:p>
        </w:tc>
      </w:tr>
      <w:tr w14:paraId="55D66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15CCCA60">
            <w:pPr>
              <w:ind w:firstLine="0" w:firstLineChars="0"/>
              <w:jc w:val="left"/>
              <w:rPr>
                <w:rFonts w:hint="eastAsia" w:ascii="仿宋" w:hAnsi="仿宋" w:eastAsia="仿宋"/>
                <w:color w:val="auto"/>
                <w:sz w:val="24"/>
              </w:rPr>
            </w:pPr>
          </w:p>
        </w:tc>
        <w:tc>
          <w:tcPr>
            <w:tcW w:w="987" w:type="pct"/>
            <w:vAlign w:val="center"/>
          </w:tcPr>
          <w:p w14:paraId="6C7C73ED">
            <w:pPr>
              <w:ind w:firstLine="0" w:firstLineChars="0"/>
              <w:jc w:val="left"/>
              <w:rPr>
                <w:rFonts w:hint="eastAsia" w:ascii="仿宋" w:hAnsi="仿宋" w:eastAsia="仿宋"/>
                <w:color w:val="auto"/>
                <w:sz w:val="24"/>
              </w:rPr>
            </w:pPr>
            <w:r>
              <w:rPr>
                <w:rFonts w:hint="eastAsia" w:ascii="仿宋" w:hAnsi="仿宋" w:eastAsia="仿宋"/>
                <w:color w:val="auto"/>
                <w:sz w:val="24"/>
              </w:rPr>
              <w:t>07:40-08:00</w:t>
            </w:r>
          </w:p>
        </w:tc>
        <w:tc>
          <w:tcPr>
            <w:tcW w:w="1171" w:type="pct"/>
            <w:vAlign w:val="center"/>
          </w:tcPr>
          <w:p w14:paraId="7D784DFE">
            <w:pPr>
              <w:ind w:firstLine="0" w:firstLineChars="0"/>
              <w:jc w:val="left"/>
              <w:rPr>
                <w:rFonts w:hint="eastAsia" w:ascii="仿宋" w:hAnsi="仿宋" w:eastAsia="仿宋"/>
                <w:color w:val="auto"/>
                <w:sz w:val="24"/>
              </w:rPr>
            </w:pPr>
            <w:r>
              <w:rPr>
                <w:rFonts w:hint="eastAsia" w:ascii="仿宋" w:hAnsi="仿宋" w:eastAsia="仿宋"/>
                <w:color w:val="auto"/>
                <w:sz w:val="24"/>
              </w:rPr>
              <w:t>大赛检录</w:t>
            </w:r>
          </w:p>
        </w:tc>
        <w:tc>
          <w:tcPr>
            <w:tcW w:w="1487" w:type="pct"/>
            <w:vAlign w:val="center"/>
          </w:tcPr>
          <w:p w14:paraId="0B551611">
            <w:pPr>
              <w:ind w:firstLine="0" w:firstLineChars="0"/>
              <w:jc w:val="left"/>
              <w:rPr>
                <w:rFonts w:hint="eastAsia" w:ascii="仿宋" w:hAnsi="仿宋" w:eastAsia="仿宋"/>
                <w:color w:val="auto"/>
                <w:sz w:val="24"/>
              </w:rPr>
            </w:pPr>
            <w:r>
              <w:rPr>
                <w:rFonts w:hint="eastAsia" w:ascii="仿宋" w:hAnsi="仿宋" w:eastAsia="仿宋"/>
                <w:color w:val="auto"/>
                <w:sz w:val="24"/>
              </w:rPr>
              <w:t>参赛选手、检录工作人员</w:t>
            </w:r>
          </w:p>
        </w:tc>
        <w:tc>
          <w:tcPr>
            <w:tcW w:w="860" w:type="pct"/>
            <w:vAlign w:val="center"/>
          </w:tcPr>
          <w:p w14:paraId="5A3C4957">
            <w:pPr>
              <w:ind w:firstLine="0" w:firstLineChars="0"/>
              <w:jc w:val="left"/>
              <w:rPr>
                <w:rFonts w:hint="eastAsia" w:ascii="仿宋" w:hAnsi="仿宋" w:eastAsia="仿宋"/>
                <w:color w:val="auto"/>
                <w:sz w:val="24"/>
              </w:rPr>
            </w:pPr>
            <w:r>
              <w:rPr>
                <w:rFonts w:hint="eastAsia" w:ascii="仿宋" w:hAnsi="仿宋" w:eastAsia="仿宋"/>
                <w:color w:val="auto"/>
                <w:sz w:val="24"/>
              </w:rPr>
              <w:t>会议室</w:t>
            </w:r>
          </w:p>
        </w:tc>
      </w:tr>
      <w:tr w14:paraId="27F52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1E26C6F1">
            <w:pPr>
              <w:ind w:firstLine="0" w:firstLineChars="0"/>
              <w:jc w:val="left"/>
              <w:rPr>
                <w:rFonts w:hint="eastAsia" w:ascii="仿宋" w:hAnsi="仿宋" w:eastAsia="仿宋"/>
                <w:color w:val="auto"/>
                <w:sz w:val="24"/>
              </w:rPr>
            </w:pPr>
          </w:p>
        </w:tc>
        <w:tc>
          <w:tcPr>
            <w:tcW w:w="987" w:type="pct"/>
            <w:vAlign w:val="center"/>
          </w:tcPr>
          <w:p w14:paraId="50AAC77E">
            <w:pPr>
              <w:ind w:firstLine="0" w:firstLineChars="0"/>
              <w:jc w:val="left"/>
              <w:rPr>
                <w:rFonts w:hint="eastAsia" w:ascii="仿宋" w:hAnsi="仿宋" w:eastAsia="仿宋"/>
                <w:color w:val="auto"/>
                <w:sz w:val="24"/>
              </w:rPr>
            </w:pPr>
            <w:r>
              <w:rPr>
                <w:rFonts w:hint="eastAsia" w:ascii="仿宋" w:hAnsi="仿宋" w:eastAsia="仿宋"/>
                <w:color w:val="auto"/>
                <w:sz w:val="24"/>
              </w:rPr>
              <w:t>08:00-08:20</w:t>
            </w:r>
          </w:p>
        </w:tc>
        <w:tc>
          <w:tcPr>
            <w:tcW w:w="1171" w:type="pct"/>
            <w:vAlign w:val="center"/>
          </w:tcPr>
          <w:p w14:paraId="42B4129A">
            <w:pPr>
              <w:ind w:firstLine="0" w:firstLineChars="0"/>
              <w:jc w:val="left"/>
              <w:rPr>
                <w:rFonts w:hint="eastAsia" w:ascii="仿宋" w:hAnsi="仿宋" w:eastAsia="仿宋"/>
                <w:color w:val="auto"/>
                <w:sz w:val="24"/>
              </w:rPr>
            </w:pPr>
            <w:r>
              <w:rPr>
                <w:rFonts w:hint="eastAsia" w:ascii="仿宋" w:hAnsi="仿宋" w:eastAsia="仿宋"/>
                <w:color w:val="auto"/>
                <w:sz w:val="24"/>
              </w:rPr>
              <w:t>第一次抽签加密(抽取参赛编号)</w:t>
            </w:r>
          </w:p>
        </w:tc>
        <w:tc>
          <w:tcPr>
            <w:tcW w:w="1487" w:type="pct"/>
            <w:vAlign w:val="center"/>
          </w:tcPr>
          <w:p w14:paraId="113A7205">
            <w:pPr>
              <w:ind w:firstLine="0" w:firstLineChars="0"/>
              <w:jc w:val="left"/>
              <w:rPr>
                <w:rFonts w:hint="eastAsia" w:ascii="仿宋" w:hAnsi="仿宋" w:eastAsia="仿宋"/>
                <w:color w:val="auto"/>
                <w:sz w:val="24"/>
              </w:rPr>
            </w:pPr>
            <w:r>
              <w:rPr>
                <w:rFonts w:hint="eastAsia" w:ascii="仿宋" w:hAnsi="仿宋" w:eastAsia="仿宋"/>
                <w:color w:val="auto"/>
                <w:sz w:val="24"/>
              </w:rPr>
              <w:t>参赛选手、第一次加密裁判、监督仲裁</w:t>
            </w:r>
          </w:p>
        </w:tc>
        <w:tc>
          <w:tcPr>
            <w:tcW w:w="860" w:type="pct"/>
            <w:vAlign w:val="center"/>
          </w:tcPr>
          <w:p w14:paraId="0A34D5A7">
            <w:pPr>
              <w:ind w:firstLine="0" w:firstLineChars="0"/>
              <w:jc w:val="left"/>
              <w:rPr>
                <w:rFonts w:hint="eastAsia" w:ascii="仿宋" w:hAnsi="仿宋" w:eastAsia="仿宋"/>
                <w:color w:val="auto"/>
                <w:sz w:val="24"/>
              </w:rPr>
            </w:pPr>
            <w:r>
              <w:rPr>
                <w:rFonts w:hint="eastAsia" w:ascii="仿宋" w:hAnsi="仿宋" w:eastAsia="仿宋"/>
                <w:color w:val="auto"/>
                <w:sz w:val="24"/>
              </w:rPr>
              <w:t>一次抽签区域</w:t>
            </w:r>
          </w:p>
        </w:tc>
      </w:tr>
      <w:tr w14:paraId="25DB4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029D7AEB">
            <w:pPr>
              <w:ind w:firstLine="0" w:firstLineChars="0"/>
              <w:jc w:val="left"/>
              <w:rPr>
                <w:rFonts w:hint="eastAsia" w:ascii="仿宋" w:hAnsi="仿宋" w:eastAsia="仿宋"/>
                <w:color w:val="auto"/>
                <w:sz w:val="24"/>
              </w:rPr>
            </w:pPr>
          </w:p>
        </w:tc>
        <w:tc>
          <w:tcPr>
            <w:tcW w:w="987" w:type="pct"/>
            <w:vAlign w:val="center"/>
          </w:tcPr>
          <w:p w14:paraId="6E813161">
            <w:pPr>
              <w:ind w:firstLine="0" w:firstLineChars="0"/>
              <w:jc w:val="left"/>
              <w:rPr>
                <w:rFonts w:hint="eastAsia" w:ascii="仿宋" w:hAnsi="仿宋" w:eastAsia="仿宋"/>
                <w:color w:val="auto"/>
                <w:sz w:val="24"/>
              </w:rPr>
            </w:pPr>
            <w:r>
              <w:rPr>
                <w:rFonts w:hint="eastAsia" w:ascii="仿宋" w:hAnsi="仿宋" w:eastAsia="仿宋"/>
                <w:color w:val="auto"/>
                <w:sz w:val="24"/>
              </w:rPr>
              <w:t>08:20-08:40</w:t>
            </w:r>
          </w:p>
        </w:tc>
        <w:tc>
          <w:tcPr>
            <w:tcW w:w="1171" w:type="pct"/>
            <w:vAlign w:val="center"/>
          </w:tcPr>
          <w:p w14:paraId="6D50564A">
            <w:pPr>
              <w:ind w:firstLine="0" w:firstLineChars="0"/>
              <w:jc w:val="left"/>
              <w:rPr>
                <w:rFonts w:hint="eastAsia" w:ascii="仿宋" w:hAnsi="仿宋" w:eastAsia="仿宋"/>
                <w:color w:val="auto"/>
                <w:sz w:val="24"/>
              </w:rPr>
            </w:pPr>
            <w:r>
              <w:rPr>
                <w:rFonts w:hint="eastAsia" w:ascii="仿宋" w:hAnsi="仿宋" w:eastAsia="仿宋"/>
                <w:color w:val="auto"/>
                <w:sz w:val="24"/>
              </w:rPr>
              <w:t>第二次抽签加密</w:t>
            </w:r>
          </w:p>
          <w:p w14:paraId="3E0B55FC">
            <w:pPr>
              <w:ind w:firstLine="0" w:firstLineChars="0"/>
              <w:jc w:val="left"/>
              <w:rPr>
                <w:rFonts w:hint="eastAsia" w:ascii="仿宋" w:hAnsi="仿宋" w:eastAsia="仿宋"/>
                <w:color w:val="auto"/>
                <w:sz w:val="24"/>
              </w:rPr>
            </w:pPr>
            <w:r>
              <w:rPr>
                <w:rFonts w:hint="eastAsia" w:ascii="仿宋" w:hAnsi="仿宋" w:eastAsia="仿宋"/>
                <w:color w:val="auto"/>
                <w:sz w:val="24"/>
              </w:rPr>
              <w:t>(抽取赛位号)</w:t>
            </w:r>
          </w:p>
        </w:tc>
        <w:tc>
          <w:tcPr>
            <w:tcW w:w="1487" w:type="pct"/>
            <w:vAlign w:val="center"/>
          </w:tcPr>
          <w:p w14:paraId="53EE7D30">
            <w:pPr>
              <w:ind w:firstLine="0" w:firstLineChars="0"/>
              <w:jc w:val="left"/>
              <w:rPr>
                <w:rFonts w:hint="eastAsia" w:ascii="仿宋" w:hAnsi="仿宋" w:eastAsia="仿宋"/>
                <w:color w:val="auto"/>
                <w:sz w:val="24"/>
              </w:rPr>
            </w:pPr>
            <w:r>
              <w:rPr>
                <w:rFonts w:hint="eastAsia" w:ascii="仿宋" w:hAnsi="仿宋" w:eastAsia="仿宋"/>
                <w:color w:val="auto"/>
                <w:sz w:val="24"/>
              </w:rPr>
              <w:t>参赛选手、第二次加密裁判、监督仲裁</w:t>
            </w:r>
          </w:p>
        </w:tc>
        <w:tc>
          <w:tcPr>
            <w:tcW w:w="860" w:type="pct"/>
            <w:vAlign w:val="center"/>
          </w:tcPr>
          <w:p w14:paraId="7F456FB4">
            <w:pPr>
              <w:ind w:firstLine="0" w:firstLineChars="0"/>
              <w:jc w:val="left"/>
              <w:rPr>
                <w:rFonts w:hint="eastAsia" w:ascii="仿宋" w:hAnsi="仿宋" w:eastAsia="仿宋"/>
                <w:color w:val="auto"/>
                <w:sz w:val="24"/>
              </w:rPr>
            </w:pPr>
            <w:r>
              <w:rPr>
                <w:rFonts w:hint="eastAsia" w:ascii="仿宋" w:hAnsi="仿宋" w:eastAsia="仿宋"/>
                <w:color w:val="auto"/>
                <w:sz w:val="24"/>
              </w:rPr>
              <w:t>二次抽签区域</w:t>
            </w:r>
          </w:p>
        </w:tc>
      </w:tr>
      <w:tr w14:paraId="0FF51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6767085D">
            <w:pPr>
              <w:ind w:firstLine="0" w:firstLineChars="0"/>
              <w:jc w:val="left"/>
              <w:rPr>
                <w:rFonts w:hint="eastAsia" w:ascii="仿宋" w:hAnsi="仿宋" w:eastAsia="仿宋"/>
                <w:color w:val="auto"/>
                <w:sz w:val="24"/>
              </w:rPr>
            </w:pPr>
          </w:p>
        </w:tc>
        <w:tc>
          <w:tcPr>
            <w:tcW w:w="987" w:type="pct"/>
            <w:vAlign w:val="center"/>
          </w:tcPr>
          <w:p w14:paraId="76B8BC7C">
            <w:pPr>
              <w:ind w:firstLine="0" w:firstLineChars="0"/>
              <w:jc w:val="left"/>
              <w:rPr>
                <w:rFonts w:hint="eastAsia" w:ascii="仿宋" w:hAnsi="仿宋" w:eastAsia="仿宋"/>
                <w:color w:val="auto"/>
                <w:sz w:val="24"/>
              </w:rPr>
            </w:pPr>
            <w:r>
              <w:rPr>
                <w:rFonts w:hint="eastAsia" w:ascii="仿宋" w:hAnsi="仿宋" w:eastAsia="仿宋"/>
                <w:color w:val="auto"/>
                <w:sz w:val="24"/>
              </w:rPr>
              <w:t>08:40-9:00</w:t>
            </w:r>
          </w:p>
        </w:tc>
        <w:tc>
          <w:tcPr>
            <w:tcW w:w="1171" w:type="pct"/>
            <w:vAlign w:val="center"/>
          </w:tcPr>
          <w:p w14:paraId="2823E60C">
            <w:pPr>
              <w:ind w:firstLine="0" w:firstLineChars="0"/>
              <w:jc w:val="left"/>
              <w:rPr>
                <w:rFonts w:hint="eastAsia" w:ascii="仿宋" w:hAnsi="仿宋" w:eastAsia="仿宋"/>
                <w:color w:val="auto"/>
                <w:sz w:val="24"/>
              </w:rPr>
            </w:pPr>
            <w:r>
              <w:rPr>
                <w:rFonts w:hint="eastAsia" w:ascii="仿宋" w:hAnsi="仿宋" w:eastAsia="仿宋"/>
                <w:color w:val="auto"/>
                <w:sz w:val="24"/>
              </w:rPr>
              <w:t>设备工具检查确认</w:t>
            </w:r>
          </w:p>
        </w:tc>
        <w:tc>
          <w:tcPr>
            <w:tcW w:w="1487" w:type="pct"/>
            <w:vAlign w:val="center"/>
          </w:tcPr>
          <w:p w14:paraId="043D1DB9">
            <w:pPr>
              <w:ind w:firstLine="0" w:firstLineChars="0"/>
              <w:jc w:val="left"/>
              <w:rPr>
                <w:rFonts w:hint="eastAsia" w:ascii="仿宋" w:hAnsi="仿宋" w:eastAsia="仿宋"/>
                <w:color w:val="auto"/>
                <w:sz w:val="24"/>
              </w:rPr>
            </w:pPr>
            <w:r>
              <w:rPr>
                <w:rFonts w:hint="eastAsia" w:ascii="仿宋" w:hAnsi="仿宋" w:eastAsia="仿宋"/>
                <w:color w:val="auto"/>
                <w:sz w:val="24"/>
              </w:rPr>
              <w:t>参赛选手、裁判、监督仲裁</w:t>
            </w:r>
          </w:p>
        </w:tc>
        <w:tc>
          <w:tcPr>
            <w:tcW w:w="860" w:type="pct"/>
            <w:vAlign w:val="center"/>
          </w:tcPr>
          <w:p w14:paraId="37AA00FF">
            <w:pPr>
              <w:ind w:firstLine="0" w:firstLineChars="0"/>
              <w:jc w:val="left"/>
              <w:rPr>
                <w:rFonts w:hint="eastAsia" w:ascii="仿宋" w:hAnsi="仿宋" w:eastAsia="仿宋"/>
                <w:color w:val="auto"/>
                <w:sz w:val="24"/>
              </w:rPr>
            </w:pPr>
            <w:r>
              <w:rPr>
                <w:rFonts w:hint="eastAsia" w:ascii="仿宋" w:hAnsi="仿宋" w:eastAsia="仿宋"/>
                <w:color w:val="auto"/>
                <w:sz w:val="24"/>
              </w:rPr>
              <w:t>竞赛场地</w:t>
            </w:r>
          </w:p>
        </w:tc>
      </w:tr>
      <w:tr w14:paraId="02715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48C21BC4">
            <w:pPr>
              <w:ind w:firstLine="0" w:firstLineChars="0"/>
              <w:jc w:val="left"/>
              <w:rPr>
                <w:rFonts w:hint="eastAsia" w:ascii="仿宋" w:hAnsi="仿宋" w:eastAsia="仿宋"/>
                <w:color w:val="auto"/>
                <w:sz w:val="24"/>
              </w:rPr>
            </w:pPr>
          </w:p>
        </w:tc>
        <w:tc>
          <w:tcPr>
            <w:tcW w:w="987" w:type="pct"/>
            <w:vAlign w:val="center"/>
          </w:tcPr>
          <w:p w14:paraId="59B00EA2">
            <w:pPr>
              <w:ind w:firstLine="0" w:firstLineChars="0"/>
              <w:jc w:val="left"/>
              <w:rPr>
                <w:rFonts w:hint="eastAsia" w:ascii="仿宋" w:hAnsi="仿宋" w:eastAsia="仿宋"/>
                <w:color w:val="auto"/>
                <w:sz w:val="24"/>
              </w:rPr>
            </w:pPr>
            <w:r>
              <w:rPr>
                <w:rFonts w:hint="eastAsia" w:ascii="仿宋" w:hAnsi="仿宋" w:eastAsia="仿宋"/>
                <w:color w:val="auto"/>
                <w:sz w:val="24"/>
              </w:rPr>
              <w:t>9:00</w:t>
            </w:r>
            <w:bookmarkStart w:id="1" w:name="OLE_LINK1"/>
            <w:r>
              <w:rPr>
                <w:rFonts w:hint="eastAsia" w:ascii="仿宋" w:hAnsi="仿宋" w:eastAsia="仿宋"/>
                <w:color w:val="auto"/>
                <w:sz w:val="24"/>
              </w:rPr>
              <w:t>-13</w:t>
            </w:r>
            <w:bookmarkEnd w:id="1"/>
            <w:r>
              <w:rPr>
                <w:rFonts w:hint="eastAsia" w:ascii="仿宋" w:hAnsi="仿宋" w:eastAsia="仿宋"/>
                <w:color w:val="auto"/>
                <w:sz w:val="24"/>
              </w:rPr>
              <w:t>:00</w:t>
            </w:r>
          </w:p>
        </w:tc>
        <w:tc>
          <w:tcPr>
            <w:tcW w:w="1171" w:type="pct"/>
            <w:vAlign w:val="center"/>
          </w:tcPr>
          <w:p w14:paraId="522E5449">
            <w:pPr>
              <w:ind w:firstLine="0" w:firstLineChars="0"/>
              <w:jc w:val="left"/>
              <w:rPr>
                <w:rFonts w:hint="eastAsia" w:ascii="仿宋" w:hAnsi="仿宋" w:eastAsia="仿宋"/>
                <w:color w:val="auto"/>
                <w:sz w:val="24"/>
              </w:rPr>
            </w:pPr>
            <w:r>
              <w:rPr>
                <w:rFonts w:hint="eastAsia" w:ascii="仿宋" w:hAnsi="仿宋" w:eastAsia="仿宋"/>
                <w:color w:val="auto"/>
                <w:sz w:val="24"/>
              </w:rPr>
              <w:t>参赛队竞赛</w:t>
            </w:r>
          </w:p>
        </w:tc>
        <w:tc>
          <w:tcPr>
            <w:tcW w:w="1487" w:type="pct"/>
            <w:vAlign w:val="center"/>
          </w:tcPr>
          <w:p w14:paraId="566462E3">
            <w:pPr>
              <w:ind w:firstLine="0" w:firstLineChars="0"/>
              <w:jc w:val="left"/>
              <w:rPr>
                <w:rFonts w:hint="eastAsia" w:ascii="仿宋" w:hAnsi="仿宋" w:eastAsia="仿宋"/>
                <w:color w:val="auto"/>
                <w:sz w:val="24"/>
              </w:rPr>
            </w:pPr>
            <w:r>
              <w:rPr>
                <w:rFonts w:hint="eastAsia" w:ascii="仿宋" w:hAnsi="仿宋" w:eastAsia="仿宋"/>
                <w:color w:val="auto"/>
                <w:sz w:val="24"/>
              </w:rPr>
              <w:t>参赛选手、裁判、监督仲裁</w:t>
            </w:r>
          </w:p>
        </w:tc>
        <w:tc>
          <w:tcPr>
            <w:tcW w:w="860" w:type="pct"/>
            <w:vAlign w:val="center"/>
          </w:tcPr>
          <w:p w14:paraId="64328DA8">
            <w:pPr>
              <w:ind w:firstLine="0" w:firstLineChars="0"/>
              <w:jc w:val="left"/>
              <w:rPr>
                <w:rFonts w:hint="eastAsia" w:ascii="仿宋" w:hAnsi="仿宋" w:eastAsia="仿宋"/>
                <w:color w:val="auto"/>
                <w:sz w:val="24"/>
              </w:rPr>
            </w:pPr>
            <w:r>
              <w:rPr>
                <w:rFonts w:hint="eastAsia" w:ascii="仿宋" w:hAnsi="仿宋" w:eastAsia="仿宋"/>
                <w:color w:val="auto"/>
                <w:sz w:val="24"/>
              </w:rPr>
              <w:t>竞赛场地</w:t>
            </w:r>
          </w:p>
        </w:tc>
      </w:tr>
      <w:tr w14:paraId="4F2BC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50DC7AF4">
            <w:pPr>
              <w:ind w:firstLine="0" w:firstLineChars="0"/>
              <w:jc w:val="left"/>
              <w:rPr>
                <w:rFonts w:hint="eastAsia" w:ascii="仿宋" w:hAnsi="仿宋" w:eastAsia="仿宋"/>
                <w:color w:val="auto"/>
                <w:sz w:val="24"/>
              </w:rPr>
            </w:pPr>
          </w:p>
        </w:tc>
        <w:tc>
          <w:tcPr>
            <w:tcW w:w="987" w:type="pct"/>
            <w:vAlign w:val="center"/>
          </w:tcPr>
          <w:p w14:paraId="3565CEEA">
            <w:pPr>
              <w:ind w:firstLine="0" w:firstLineChars="0"/>
              <w:jc w:val="left"/>
              <w:rPr>
                <w:rFonts w:hint="eastAsia" w:ascii="仿宋" w:hAnsi="仿宋" w:eastAsia="仿宋"/>
                <w:color w:val="auto"/>
                <w:sz w:val="24"/>
              </w:rPr>
            </w:pPr>
            <w:r>
              <w:rPr>
                <w:rFonts w:hint="eastAsia" w:ascii="仿宋" w:hAnsi="仿宋" w:eastAsia="仿宋"/>
                <w:color w:val="auto"/>
                <w:sz w:val="24"/>
              </w:rPr>
              <w:t>13:00-15:00</w:t>
            </w:r>
          </w:p>
        </w:tc>
        <w:tc>
          <w:tcPr>
            <w:tcW w:w="1171" w:type="pct"/>
            <w:vAlign w:val="center"/>
          </w:tcPr>
          <w:p w14:paraId="1DBFC38C">
            <w:pPr>
              <w:ind w:firstLine="0" w:firstLineChars="0"/>
              <w:jc w:val="left"/>
              <w:rPr>
                <w:rFonts w:hint="eastAsia" w:ascii="仿宋" w:hAnsi="仿宋" w:eastAsia="仿宋"/>
                <w:color w:val="auto"/>
                <w:sz w:val="24"/>
              </w:rPr>
            </w:pPr>
            <w:r>
              <w:rPr>
                <w:rFonts w:hint="eastAsia" w:ascii="仿宋" w:hAnsi="仿宋" w:eastAsia="仿宋"/>
                <w:color w:val="auto"/>
                <w:sz w:val="24"/>
              </w:rPr>
              <w:t>申诉受理</w:t>
            </w:r>
          </w:p>
        </w:tc>
        <w:tc>
          <w:tcPr>
            <w:tcW w:w="1487" w:type="pct"/>
            <w:vAlign w:val="center"/>
          </w:tcPr>
          <w:p w14:paraId="60BD91D9">
            <w:pPr>
              <w:ind w:firstLine="0" w:firstLineChars="0"/>
              <w:jc w:val="left"/>
              <w:rPr>
                <w:rFonts w:hint="eastAsia" w:ascii="仿宋" w:hAnsi="仿宋" w:eastAsia="仿宋"/>
                <w:color w:val="auto"/>
                <w:sz w:val="24"/>
              </w:rPr>
            </w:pPr>
            <w:r>
              <w:rPr>
                <w:rFonts w:hint="eastAsia" w:ascii="仿宋" w:hAnsi="仿宋" w:eastAsia="仿宋"/>
                <w:color w:val="auto"/>
                <w:sz w:val="24"/>
              </w:rPr>
              <w:t>参赛队、裁判长、监督仲裁</w:t>
            </w:r>
          </w:p>
        </w:tc>
        <w:tc>
          <w:tcPr>
            <w:tcW w:w="860" w:type="pct"/>
            <w:vAlign w:val="center"/>
          </w:tcPr>
          <w:p w14:paraId="63911051">
            <w:pPr>
              <w:ind w:firstLine="0" w:firstLineChars="0"/>
              <w:jc w:val="left"/>
              <w:rPr>
                <w:rFonts w:hint="eastAsia" w:ascii="仿宋" w:hAnsi="仿宋" w:eastAsia="仿宋"/>
                <w:color w:val="auto"/>
                <w:sz w:val="24"/>
              </w:rPr>
            </w:pPr>
            <w:r>
              <w:rPr>
                <w:rFonts w:hint="eastAsia" w:ascii="仿宋" w:hAnsi="仿宋" w:eastAsia="仿宋"/>
                <w:color w:val="auto"/>
                <w:sz w:val="24"/>
              </w:rPr>
              <w:t>竞赛场地</w:t>
            </w:r>
          </w:p>
        </w:tc>
      </w:tr>
      <w:tr w14:paraId="573C1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5EB65824">
            <w:pPr>
              <w:ind w:firstLine="0" w:firstLineChars="0"/>
              <w:jc w:val="left"/>
              <w:rPr>
                <w:rFonts w:hint="eastAsia" w:ascii="仿宋" w:hAnsi="仿宋" w:eastAsia="仿宋"/>
                <w:color w:val="auto"/>
                <w:sz w:val="24"/>
              </w:rPr>
            </w:pPr>
          </w:p>
        </w:tc>
        <w:tc>
          <w:tcPr>
            <w:tcW w:w="987" w:type="pct"/>
            <w:vAlign w:val="center"/>
          </w:tcPr>
          <w:p w14:paraId="14604289">
            <w:pPr>
              <w:ind w:firstLine="0" w:firstLineChars="0"/>
              <w:jc w:val="left"/>
              <w:rPr>
                <w:rFonts w:hint="eastAsia" w:ascii="仿宋" w:hAnsi="仿宋" w:eastAsia="仿宋"/>
                <w:color w:val="auto"/>
                <w:sz w:val="24"/>
              </w:rPr>
            </w:pPr>
            <w:r>
              <w:rPr>
                <w:rFonts w:hint="eastAsia" w:ascii="仿宋" w:hAnsi="仿宋" w:eastAsia="仿宋"/>
                <w:color w:val="auto"/>
                <w:sz w:val="24"/>
              </w:rPr>
              <w:t>15:00-15:30</w:t>
            </w:r>
          </w:p>
        </w:tc>
        <w:tc>
          <w:tcPr>
            <w:tcW w:w="1171" w:type="pct"/>
            <w:vAlign w:val="center"/>
          </w:tcPr>
          <w:p w14:paraId="4BE532FF">
            <w:pPr>
              <w:ind w:firstLine="0" w:firstLineChars="0"/>
              <w:jc w:val="left"/>
              <w:rPr>
                <w:rFonts w:hint="eastAsia" w:ascii="仿宋" w:hAnsi="仿宋" w:eastAsia="仿宋"/>
                <w:color w:val="auto"/>
                <w:sz w:val="24"/>
              </w:rPr>
            </w:pPr>
            <w:r>
              <w:rPr>
                <w:rFonts w:hint="eastAsia" w:ascii="仿宋" w:hAnsi="仿宋" w:eastAsia="仿宋"/>
                <w:color w:val="auto"/>
                <w:sz w:val="24"/>
              </w:rPr>
              <w:t>核分</w:t>
            </w:r>
          </w:p>
        </w:tc>
        <w:tc>
          <w:tcPr>
            <w:tcW w:w="1487" w:type="pct"/>
            <w:vAlign w:val="center"/>
          </w:tcPr>
          <w:p w14:paraId="32E24771">
            <w:pPr>
              <w:ind w:firstLine="0" w:firstLineChars="0"/>
              <w:jc w:val="left"/>
              <w:rPr>
                <w:rFonts w:hint="eastAsia" w:ascii="仿宋" w:hAnsi="仿宋" w:eastAsia="仿宋"/>
                <w:color w:val="auto"/>
                <w:sz w:val="24"/>
              </w:rPr>
            </w:pPr>
            <w:r>
              <w:rPr>
                <w:rFonts w:hint="eastAsia" w:ascii="仿宋" w:hAnsi="仿宋" w:eastAsia="仿宋"/>
                <w:color w:val="auto"/>
                <w:sz w:val="24"/>
              </w:rPr>
              <w:t>裁判、监督仲裁</w:t>
            </w:r>
          </w:p>
        </w:tc>
        <w:tc>
          <w:tcPr>
            <w:tcW w:w="860" w:type="pct"/>
            <w:vAlign w:val="center"/>
          </w:tcPr>
          <w:p w14:paraId="2DDB759F">
            <w:pPr>
              <w:ind w:firstLine="0" w:firstLineChars="0"/>
              <w:jc w:val="left"/>
              <w:rPr>
                <w:rFonts w:hint="eastAsia" w:ascii="仿宋" w:hAnsi="仿宋" w:eastAsia="仿宋"/>
                <w:color w:val="auto"/>
                <w:sz w:val="24"/>
              </w:rPr>
            </w:pPr>
            <w:r>
              <w:rPr>
                <w:rFonts w:hint="eastAsia" w:ascii="仿宋" w:hAnsi="仿宋" w:eastAsia="仿宋"/>
                <w:color w:val="auto"/>
                <w:sz w:val="24"/>
              </w:rPr>
              <w:t>判分会议室</w:t>
            </w:r>
          </w:p>
        </w:tc>
      </w:tr>
      <w:tr w14:paraId="60D9C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3767E310">
            <w:pPr>
              <w:ind w:firstLine="0" w:firstLineChars="0"/>
              <w:jc w:val="left"/>
              <w:rPr>
                <w:rFonts w:hint="eastAsia" w:ascii="仿宋" w:hAnsi="仿宋" w:eastAsia="仿宋"/>
                <w:color w:val="auto"/>
                <w:sz w:val="24"/>
              </w:rPr>
            </w:pPr>
          </w:p>
        </w:tc>
        <w:tc>
          <w:tcPr>
            <w:tcW w:w="987" w:type="pct"/>
            <w:vAlign w:val="center"/>
          </w:tcPr>
          <w:p w14:paraId="277EAD23">
            <w:pPr>
              <w:ind w:firstLine="0" w:firstLineChars="0"/>
              <w:jc w:val="left"/>
              <w:rPr>
                <w:rFonts w:hint="eastAsia" w:ascii="仿宋" w:hAnsi="仿宋" w:eastAsia="仿宋"/>
                <w:color w:val="auto"/>
                <w:sz w:val="24"/>
              </w:rPr>
            </w:pPr>
            <w:r>
              <w:rPr>
                <w:rFonts w:hint="eastAsia" w:ascii="仿宋" w:hAnsi="仿宋" w:eastAsia="仿宋"/>
                <w:color w:val="auto"/>
                <w:sz w:val="24"/>
              </w:rPr>
              <w:t>15:30-16:00</w:t>
            </w:r>
          </w:p>
        </w:tc>
        <w:tc>
          <w:tcPr>
            <w:tcW w:w="1171" w:type="pct"/>
            <w:vAlign w:val="center"/>
          </w:tcPr>
          <w:p w14:paraId="41C4E6C4">
            <w:pPr>
              <w:ind w:firstLine="0" w:firstLineChars="0"/>
              <w:jc w:val="left"/>
              <w:rPr>
                <w:rFonts w:hint="eastAsia" w:ascii="仿宋" w:hAnsi="仿宋" w:eastAsia="仿宋"/>
                <w:color w:val="auto"/>
                <w:sz w:val="24"/>
              </w:rPr>
            </w:pPr>
            <w:r>
              <w:rPr>
                <w:rFonts w:hint="eastAsia" w:ascii="仿宋" w:hAnsi="仿宋" w:eastAsia="仿宋"/>
                <w:color w:val="auto"/>
                <w:sz w:val="24"/>
              </w:rPr>
              <w:t>抽检复核</w:t>
            </w:r>
          </w:p>
        </w:tc>
        <w:tc>
          <w:tcPr>
            <w:tcW w:w="1487" w:type="pct"/>
            <w:vAlign w:val="center"/>
          </w:tcPr>
          <w:p w14:paraId="39D5B8E2">
            <w:pPr>
              <w:ind w:firstLine="0" w:firstLineChars="0"/>
              <w:jc w:val="left"/>
              <w:rPr>
                <w:rFonts w:hint="eastAsia" w:ascii="仿宋" w:hAnsi="仿宋" w:eastAsia="仿宋"/>
                <w:color w:val="auto"/>
                <w:sz w:val="24"/>
              </w:rPr>
            </w:pPr>
            <w:r>
              <w:rPr>
                <w:rFonts w:hint="eastAsia" w:ascii="仿宋" w:hAnsi="仿宋" w:eastAsia="仿宋"/>
                <w:color w:val="auto"/>
                <w:sz w:val="24"/>
              </w:rPr>
              <w:t>裁判、监督仲裁</w:t>
            </w:r>
          </w:p>
        </w:tc>
        <w:tc>
          <w:tcPr>
            <w:tcW w:w="860" w:type="pct"/>
            <w:vAlign w:val="center"/>
          </w:tcPr>
          <w:p w14:paraId="57227B1C">
            <w:pPr>
              <w:ind w:firstLine="0" w:firstLineChars="0"/>
              <w:jc w:val="left"/>
              <w:rPr>
                <w:rFonts w:hint="eastAsia" w:ascii="仿宋" w:hAnsi="仿宋" w:eastAsia="仿宋"/>
                <w:color w:val="auto"/>
                <w:sz w:val="24"/>
              </w:rPr>
            </w:pPr>
            <w:r>
              <w:rPr>
                <w:rFonts w:hint="eastAsia" w:ascii="仿宋" w:hAnsi="仿宋" w:eastAsia="仿宋"/>
                <w:color w:val="auto"/>
                <w:sz w:val="24"/>
              </w:rPr>
              <w:t>判分会议室</w:t>
            </w:r>
          </w:p>
        </w:tc>
      </w:tr>
      <w:tr w14:paraId="38AB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1D94807F">
            <w:pPr>
              <w:ind w:firstLine="0" w:firstLineChars="0"/>
              <w:jc w:val="left"/>
              <w:rPr>
                <w:rFonts w:hint="eastAsia" w:ascii="仿宋" w:hAnsi="仿宋" w:eastAsia="仿宋"/>
                <w:color w:val="auto"/>
                <w:sz w:val="24"/>
              </w:rPr>
            </w:pPr>
          </w:p>
        </w:tc>
        <w:tc>
          <w:tcPr>
            <w:tcW w:w="987" w:type="pct"/>
            <w:vAlign w:val="center"/>
          </w:tcPr>
          <w:p w14:paraId="65123AF0">
            <w:pPr>
              <w:ind w:firstLine="0" w:firstLineChars="0"/>
              <w:jc w:val="left"/>
              <w:rPr>
                <w:rFonts w:hint="eastAsia" w:ascii="仿宋" w:hAnsi="仿宋" w:eastAsia="仿宋"/>
                <w:color w:val="auto"/>
                <w:sz w:val="24"/>
              </w:rPr>
            </w:pPr>
            <w:r>
              <w:rPr>
                <w:rFonts w:hint="eastAsia" w:ascii="仿宋" w:hAnsi="仿宋" w:eastAsia="仿宋"/>
                <w:color w:val="auto"/>
                <w:sz w:val="24"/>
              </w:rPr>
              <w:t>16:00-16:30</w:t>
            </w:r>
          </w:p>
        </w:tc>
        <w:tc>
          <w:tcPr>
            <w:tcW w:w="1171" w:type="pct"/>
            <w:vAlign w:val="center"/>
          </w:tcPr>
          <w:p w14:paraId="076BE8E0">
            <w:pPr>
              <w:ind w:firstLine="0" w:firstLineChars="0"/>
              <w:jc w:val="left"/>
              <w:rPr>
                <w:rFonts w:hint="eastAsia" w:ascii="仿宋" w:hAnsi="仿宋" w:eastAsia="仿宋"/>
                <w:color w:val="auto"/>
                <w:sz w:val="24"/>
              </w:rPr>
            </w:pPr>
            <w:r>
              <w:rPr>
                <w:rFonts w:hint="eastAsia" w:ascii="仿宋" w:hAnsi="仿宋" w:eastAsia="仿宋"/>
                <w:color w:val="auto"/>
                <w:sz w:val="24"/>
              </w:rPr>
              <w:t>解密</w:t>
            </w:r>
          </w:p>
        </w:tc>
        <w:tc>
          <w:tcPr>
            <w:tcW w:w="1487" w:type="pct"/>
            <w:vAlign w:val="center"/>
          </w:tcPr>
          <w:p w14:paraId="51D18B20">
            <w:pPr>
              <w:ind w:firstLine="0" w:firstLineChars="0"/>
              <w:jc w:val="left"/>
              <w:rPr>
                <w:rFonts w:hint="eastAsia" w:ascii="仿宋" w:hAnsi="仿宋" w:eastAsia="仿宋"/>
                <w:color w:val="auto"/>
                <w:sz w:val="24"/>
              </w:rPr>
            </w:pPr>
            <w:r>
              <w:rPr>
                <w:rFonts w:hint="eastAsia" w:ascii="仿宋" w:hAnsi="仿宋" w:eastAsia="仿宋"/>
                <w:color w:val="auto"/>
                <w:sz w:val="24"/>
              </w:rPr>
              <w:t>裁判、监督仲裁</w:t>
            </w:r>
          </w:p>
        </w:tc>
        <w:tc>
          <w:tcPr>
            <w:tcW w:w="860" w:type="pct"/>
            <w:vAlign w:val="center"/>
          </w:tcPr>
          <w:p w14:paraId="6ED33BD7">
            <w:pPr>
              <w:ind w:firstLine="0" w:firstLineChars="0"/>
              <w:jc w:val="left"/>
              <w:rPr>
                <w:rFonts w:hint="eastAsia" w:ascii="仿宋" w:hAnsi="仿宋" w:eastAsia="仿宋"/>
                <w:color w:val="auto"/>
                <w:sz w:val="24"/>
              </w:rPr>
            </w:pPr>
            <w:r>
              <w:rPr>
                <w:rFonts w:hint="eastAsia" w:ascii="仿宋" w:hAnsi="仿宋" w:eastAsia="仿宋"/>
                <w:color w:val="auto"/>
                <w:sz w:val="24"/>
              </w:rPr>
              <w:t>判分会议室</w:t>
            </w:r>
          </w:p>
        </w:tc>
      </w:tr>
      <w:tr w14:paraId="6FEA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6" w:type="pct"/>
            <w:vMerge w:val="continue"/>
            <w:vAlign w:val="center"/>
          </w:tcPr>
          <w:p w14:paraId="29221759">
            <w:pPr>
              <w:ind w:firstLine="0" w:firstLineChars="0"/>
              <w:jc w:val="left"/>
              <w:rPr>
                <w:rFonts w:hint="eastAsia" w:ascii="仿宋" w:hAnsi="仿宋" w:eastAsia="仿宋"/>
                <w:color w:val="auto"/>
                <w:sz w:val="24"/>
              </w:rPr>
            </w:pPr>
          </w:p>
        </w:tc>
        <w:tc>
          <w:tcPr>
            <w:tcW w:w="987" w:type="pct"/>
            <w:vAlign w:val="center"/>
          </w:tcPr>
          <w:p w14:paraId="1BE668EE">
            <w:pPr>
              <w:ind w:firstLine="0" w:firstLineChars="0"/>
              <w:jc w:val="left"/>
              <w:rPr>
                <w:rFonts w:hint="eastAsia" w:ascii="仿宋" w:hAnsi="仿宋" w:eastAsia="仿宋"/>
                <w:color w:val="auto"/>
                <w:sz w:val="24"/>
              </w:rPr>
            </w:pPr>
            <w:r>
              <w:rPr>
                <w:rFonts w:hint="eastAsia" w:ascii="仿宋" w:hAnsi="仿宋" w:eastAsia="仿宋"/>
                <w:color w:val="auto"/>
                <w:sz w:val="24"/>
              </w:rPr>
              <w:t>17:00</w:t>
            </w:r>
          </w:p>
        </w:tc>
        <w:tc>
          <w:tcPr>
            <w:tcW w:w="1171" w:type="pct"/>
            <w:vAlign w:val="center"/>
          </w:tcPr>
          <w:p w14:paraId="715443C1">
            <w:pPr>
              <w:ind w:firstLine="0" w:firstLineChars="0"/>
              <w:jc w:val="left"/>
              <w:rPr>
                <w:rFonts w:hint="eastAsia" w:ascii="仿宋" w:hAnsi="仿宋" w:eastAsia="仿宋"/>
                <w:color w:val="auto"/>
                <w:sz w:val="24"/>
              </w:rPr>
            </w:pPr>
            <w:r>
              <w:rPr>
                <w:rFonts w:hint="eastAsia" w:ascii="仿宋" w:hAnsi="仿宋" w:eastAsia="仿宋"/>
                <w:color w:val="auto"/>
                <w:sz w:val="24"/>
              </w:rPr>
              <w:t>成绩公布</w:t>
            </w:r>
          </w:p>
        </w:tc>
        <w:tc>
          <w:tcPr>
            <w:tcW w:w="1487" w:type="pct"/>
            <w:vAlign w:val="center"/>
          </w:tcPr>
          <w:p w14:paraId="48B84663">
            <w:pPr>
              <w:ind w:firstLine="0" w:firstLineChars="0"/>
              <w:jc w:val="left"/>
              <w:rPr>
                <w:rFonts w:hint="eastAsia" w:ascii="仿宋" w:hAnsi="仿宋" w:eastAsia="仿宋"/>
                <w:color w:val="auto"/>
                <w:sz w:val="24"/>
              </w:rPr>
            </w:pPr>
            <w:r>
              <w:rPr>
                <w:rFonts w:hint="eastAsia" w:ascii="仿宋" w:hAnsi="仿宋" w:eastAsia="仿宋"/>
                <w:color w:val="auto"/>
                <w:sz w:val="24"/>
              </w:rPr>
              <w:t>各参赛队、裁判长、监督仲裁</w:t>
            </w:r>
          </w:p>
        </w:tc>
        <w:tc>
          <w:tcPr>
            <w:tcW w:w="860" w:type="pct"/>
            <w:vAlign w:val="center"/>
          </w:tcPr>
          <w:p w14:paraId="607126CB">
            <w:pPr>
              <w:ind w:firstLine="0" w:firstLineChars="0"/>
              <w:jc w:val="left"/>
              <w:rPr>
                <w:rFonts w:hint="eastAsia" w:ascii="仿宋" w:hAnsi="仿宋" w:eastAsia="仿宋"/>
                <w:color w:val="auto"/>
                <w:sz w:val="24"/>
              </w:rPr>
            </w:pPr>
            <w:r>
              <w:rPr>
                <w:rFonts w:hint="eastAsia" w:ascii="仿宋" w:hAnsi="仿宋" w:eastAsia="仿宋"/>
                <w:color w:val="auto"/>
                <w:sz w:val="24"/>
              </w:rPr>
              <w:t>指定地点</w:t>
            </w:r>
          </w:p>
        </w:tc>
      </w:tr>
    </w:tbl>
    <w:p w14:paraId="0559AC80">
      <w:pPr>
        <w:ind w:firstLine="0" w:firstLineChars="0"/>
        <w:jc w:val="left"/>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（二）比赛流程</w:t>
      </w:r>
    </w:p>
    <w:p w14:paraId="5C3B5907">
      <w:pPr>
        <w:spacing w:line="240" w:lineRule="auto"/>
        <w:ind w:firstLine="0" w:firstLineChars="0"/>
        <w:jc w:val="center"/>
        <w:rPr>
          <w:rFonts w:hint="eastAsia" w:ascii="仿宋" w:hAnsi="仿宋" w:eastAsia="仿宋"/>
          <w:color w:val="auto"/>
          <w:szCs w:val="21"/>
        </w:rPr>
      </w:pPr>
      <w:r>
        <w:rPr>
          <w:rFonts w:hint="eastAsia" w:ascii="仿宋" w:hAnsi="仿宋" w:eastAsia="仿宋"/>
          <w:color w:val="auto"/>
        </w:rPr>
        <w:drawing>
          <wp:inline distT="0" distB="0" distL="0" distR="0">
            <wp:extent cx="4713605" cy="4905375"/>
            <wp:effectExtent l="0" t="0" r="0" b="0"/>
            <wp:docPr id="1791787359"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787359" name="图片 35"/>
                    <pic:cNvPicPr>
                      <a:picLocks noChangeAspect="1" noChangeArrowheads="1"/>
                    </pic:cNvPicPr>
                  </pic:nvPicPr>
                  <pic:blipFill>
                    <a:blip r:embed="rId8">
                      <a:extLst>
                        <a:ext uri="{28A0092B-C50C-407E-A947-70E740481C1C}">
                          <a14:useLocalDpi xmlns:a14="http://schemas.microsoft.com/office/drawing/2010/main" val="0"/>
                        </a:ext>
                      </a:extLst>
                    </a:blip>
                    <a:srcRect r="20571"/>
                    <a:stretch>
                      <a:fillRect/>
                    </a:stretch>
                  </pic:blipFill>
                  <pic:spPr>
                    <a:xfrm>
                      <a:off x="0" y="0"/>
                      <a:ext cx="4723717" cy="4916145"/>
                    </a:xfrm>
                    <a:prstGeom prst="rect">
                      <a:avLst/>
                    </a:prstGeom>
                    <a:noFill/>
                    <a:ln>
                      <a:noFill/>
                    </a:ln>
                  </pic:spPr>
                </pic:pic>
              </a:graphicData>
            </a:graphic>
          </wp:inline>
        </w:drawing>
      </w:r>
    </w:p>
    <w:p w14:paraId="6BD35A06">
      <w:pPr>
        <w:ind w:firstLine="640"/>
        <w:jc w:val="center"/>
        <w:rPr>
          <w:rFonts w:hint="eastAsia" w:ascii="仿宋" w:hAnsi="仿宋" w:eastAsia="仿宋"/>
          <w:color w:val="auto"/>
          <w:szCs w:val="32"/>
        </w:rPr>
      </w:pPr>
      <w:r>
        <w:rPr>
          <w:rFonts w:hint="eastAsia" w:ascii="仿宋" w:hAnsi="仿宋" w:eastAsia="仿宋"/>
          <w:color w:val="auto"/>
        </w:rPr>
        <w:t>图 1 比赛流程图</w:t>
      </w:r>
    </w:p>
    <w:p w14:paraId="26319B62">
      <w:pPr>
        <w:pStyle w:val="14"/>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竞赛规则</w:t>
      </w:r>
    </w:p>
    <w:p w14:paraId="5822B42D">
      <w:pPr>
        <w:keepNext w:val="0"/>
        <w:keepLines w:val="0"/>
        <w:pageBreakBefore w:val="0"/>
        <w:widowControl w:val="0"/>
        <w:kinsoku/>
        <w:wordWrap/>
        <w:overflowPunct/>
        <w:topLinePunct w:val="0"/>
        <w:autoSpaceDE/>
        <w:autoSpaceDN/>
        <w:bidi w:val="0"/>
        <w:adjustRightInd w:val="0"/>
        <w:snapToGrid w:val="0"/>
        <w:spacing w:before="157" w:beforeLines="50"/>
        <w:ind w:firstLine="640"/>
        <w:jc w:val="left"/>
        <w:textAlignment w:val="auto"/>
        <w:rPr>
          <w:rFonts w:hint="eastAsia" w:ascii="仿宋" w:hAnsi="仿宋" w:eastAsia="仿宋" w:cs="仿宋_GB2312"/>
          <w:color w:val="auto"/>
          <w:szCs w:val="32"/>
        </w:rPr>
      </w:pPr>
      <w:r>
        <w:rPr>
          <w:rFonts w:hint="eastAsia" w:ascii="仿宋" w:hAnsi="仿宋" w:eastAsia="仿宋" w:cs="仿宋_GB2312"/>
          <w:color w:val="auto"/>
          <w:szCs w:val="32"/>
        </w:rPr>
        <w:t>1.参赛选手须为全日制高等职业学校本科、高等职业学校专科在籍学生、五年制高职四、五年级在籍学生。</w:t>
      </w:r>
      <w:r>
        <w:rPr>
          <w:rFonts w:hint="eastAsia" w:ascii="仿宋" w:hAnsi="仿宋" w:eastAsia="仿宋" w:cs="仿宋_GB2312"/>
          <w:color w:val="auto"/>
          <w:szCs w:val="32"/>
          <w:lang w:val="en-US" w:eastAsia="zh-CN"/>
        </w:rPr>
        <w:t>在2025年</w:t>
      </w:r>
      <w:r>
        <w:rPr>
          <w:rFonts w:hint="eastAsia" w:ascii="仿宋" w:hAnsi="仿宋" w:eastAsia="仿宋" w:cs="仿宋_GB2312"/>
          <w:color w:val="auto"/>
          <w:szCs w:val="32"/>
        </w:rPr>
        <w:t>世界职业院校技能大赛</w:t>
      </w:r>
      <w:r>
        <w:rPr>
          <w:rFonts w:hint="eastAsia" w:ascii="仿宋" w:hAnsi="仿宋" w:eastAsia="仿宋" w:cs="仿宋_GB2312"/>
          <w:color w:val="auto"/>
          <w:szCs w:val="32"/>
          <w:lang w:val="en-US" w:eastAsia="zh-CN"/>
        </w:rPr>
        <w:t>争夺赛</w:t>
      </w:r>
      <w:r>
        <w:rPr>
          <w:rFonts w:hint="eastAsia" w:ascii="仿宋" w:hAnsi="仿宋" w:eastAsia="仿宋" w:cs="仿宋_GB2312"/>
          <w:color w:val="auto"/>
          <w:szCs w:val="32"/>
        </w:rPr>
        <w:t>中获</w:t>
      </w:r>
      <w:r>
        <w:rPr>
          <w:rFonts w:hint="eastAsia" w:ascii="仿宋" w:hAnsi="仿宋" w:eastAsia="仿宋" w:cs="仿宋_GB2312"/>
          <w:color w:val="auto"/>
          <w:szCs w:val="32"/>
          <w:lang w:val="en-US" w:eastAsia="zh-CN"/>
        </w:rPr>
        <w:t>一等</w:t>
      </w:r>
      <w:r>
        <w:rPr>
          <w:rFonts w:hint="eastAsia" w:ascii="仿宋" w:hAnsi="仿宋" w:eastAsia="仿宋" w:cs="仿宋_GB2312"/>
          <w:color w:val="auto"/>
          <w:szCs w:val="32"/>
        </w:rPr>
        <w:t>奖的</w:t>
      </w:r>
      <w:r>
        <w:rPr>
          <w:rFonts w:hint="eastAsia" w:ascii="仿宋" w:hAnsi="仿宋" w:eastAsia="仿宋" w:cs="仿宋_GB2312"/>
          <w:color w:val="auto"/>
          <w:szCs w:val="32"/>
          <w:lang w:val="en-US" w:eastAsia="zh-CN"/>
        </w:rPr>
        <w:t>选手</w:t>
      </w:r>
      <w:r>
        <w:rPr>
          <w:rFonts w:hint="eastAsia" w:ascii="仿宋" w:hAnsi="仿宋" w:eastAsia="仿宋" w:cs="仿宋_GB2312"/>
          <w:color w:val="auto"/>
          <w:szCs w:val="32"/>
        </w:rPr>
        <w:t>，不能再参加今年同一项目（同一组别）的全省竞赛。参赛选手的资格审查工作按照大赛组委会要求执行。</w:t>
      </w:r>
    </w:p>
    <w:p w14:paraId="4666F751">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2.竞赛前1日安排各参赛队领队、参赛选手熟悉赛场。</w:t>
      </w:r>
    </w:p>
    <w:p w14:paraId="772AB783">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3.严禁参赛选手、赛项裁判、工作人员私自携带通讯、摄录设备进入比赛场地。</w:t>
      </w:r>
    </w:p>
    <w:p w14:paraId="3CCF1BAB">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4.比赛期间，参赛选手所需的硬件、软件和辅助工具统一提供，参赛队不得使用自带的任何有存储功能的设备，如硬盘、光盘、U盘、手机、随身听、智能手表等。</w:t>
      </w:r>
    </w:p>
    <w:p w14:paraId="70654B5B">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5.所有参赛选手都必须携带有效身份证、学生证进行检录。</w:t>
      </w:r>
    </w:p>
    <w:p w14:paraId="7908D2E6">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6.参赛选手在赛前20分钟，进入比赛工位并检查软硬件设施，比赛正式开始后方可进行答题操作。</w:t>
      </w:r>
    </w:p>
    <w:p w14:paraId="628FB0AC">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7.比赛过程中，参赛选手须严格遵守操作规程，确保人身及设备安全，并接受裁判员的监督和指示。因选手原因造成设备故障或损坏而无法继续比赛的，裁判长有权决定终止该队比赛；非因选手个人原因造成设备故障的，由裁判长视具体情况作出裁决。</w:t>
      </w:r>
    </w:p>
    <w:p w14:paraId="3D799EB6">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8.成绩评定由竞赛系统自动评分。竞赛系统自动评分裁判不参与评分，依据参赛选手提交的结果，由后台竞赛系统进行实时自动评分和排名。</w:t>
      </w:r>
    </w:p>
    <w:p w14:paraId="7DCA78FD">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9.竞赛开始时统一发放赛卷。竞赛结束后，参赛选手不得再进行任何操作。</w:t>
      </w:r>
    </w:p>
    <w:p w14:paraId="5B90900C">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10.赛项成绩解密后，在指定地点，以纸质形式向全体参赛队进行公布。</w:t>
      </w:r>
    </w:p>
    <w:p w14:paraId="53F30C3A">
      <w:pPr>
        <w:pStyle w:val="14"/>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技术规范</w:t>
      </w:r>
    </w:p>
    <w:p w14:paraId="2E28EE2E">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参赛队在实施竞赛项目时要求遵循赛项技术规范，如表3所示。</w:t>
      </w:r>
    </w:p>
    <w:p w14:paraId="73461DC5">
      <w:pPr>
        <w:spacing w:line="410" w:lineRule="auto"/>
        <w:ind w:firstLine="480"/>
        <w:jc w:val="center"/>
        <w:rPr>
          <w:rFonts w:hint="eastAsia" w:ascii="仿宋" w:hAnsi="仿宋" w:eastAsia="仿宋" w:cs="仿宋_GB2312"/>
          <w:color w:val="auto"/>
          <w:sz w:val="24"/>
          <w:szCs w:val="18"/>
        </w:rPr>
      </w:pPr>
      <w:r>
        <w:rPr>
          <w:rFonts w:hint="eastAsia" w:ascii="仿宋" w:hAnsi="仿宋" w:eastAsia="仿宋" w:cs="仿宋_GB2312"/>
          <w:color w:val="auto"/>
          <w:sz w:val="24"/>
          <w:szCs w:val="18"/>
        </w:rPr>
        <w:t>表3 赛项技术规范表</w:t>
      </w:r>
    </w:p>
    <w:tbl>
      <w:tblPr>
        <w:tblStyle w:val="1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18"/>
        <w:gridCol w:w="3143"/>
        <w:gridCol w:w="5103"/>
      </w:tblGrid>
      <w:tr w14:paraId="09770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63F0FE35">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序号</w:t>
            </w:r>
          </w:p>
        </w:tc>
        <w:tc>
          <w:tcPr>
            <w:tcW w:w="3143" w:type="dxa"/>
            <w:tcBorders>
              <w:top w:val="single" w:color="000000" w:sz="2" w:space="0"/>
              <w:bottom w:val="single" w:color="000000" w:sz="2" w:space="0"/>
            </w:tcBorders>
            <w:shd w:val="clear" w:color="auto" w:fill="auto"/>
            <w:vAlign w:val="center"/>
          </w:tcPr>
          <w:p w14:paraId="2F5529F8">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标准号/规范简称</w:t>
            </w:r>
          </w:p>
        </w:tc>
        <w:tc>
          <w:tcPr>
            <w:tcW w:w="5103" w:type="dxa"/>
            <w:tcBorders>
              <w:top w:val="single" w:color="000000" w:sz="2" w:space="0"/>
              <w:bottom w:val="single" w:color="000000" w:sz="2" w:space="0"/>
            </w:tcBorders>
            <w:shd w:val="clear" w:color="auto" w:fill="auto"/>
            <w:vAlign w:val="center"/>
          </w:tcPr>
          <w:p w14:paraId="7137EC74">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名称</w:t>
            </w:r>
          </w:p>
        </w:tc>
      </w:tr>
      <w:tr w14:paraId="0CB2B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35F15477">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1</w:t>
            </w:r>
          </w:p>
        </w:tc>
        <w:tc>
          <w:tcPr>
            <w:tcW w:w="3143" w:type="dxa"/>
            <w:tcBorders>
              <w:top w:val="single" w:color="000000" w:sz="2" w:space="0"/>
              <w:bottom w:val="single" w:color="000000" w:sz="2" w:space="0"/>
            </w:tcBorders>
            <w:shd w:val="clear" w:color="auto" w:fill="auto"/>
            <w:vAlign w:val="center"/>
          </w:tcPr>
          <w:p w14:paraId="064219AC">
            <w:pPr>
              <w:ind w:firstLine="0" w:firstLineChars="0"/>
              <w:jc w:val="left"/>
              <w:rPr>
                <w:rFonts w:hint="eastAsia" w:ascii="仿宋" w:hAnsi="仿宋" w:eastAsia="仿宋" w:cs="Arial"/>
                <w:color w:val="auto"/>
                <w:sz w:val="24"/>
              </w:rPr>
            </w:pPr>
            <w:r>
              <w:rPr>
                <w:color w:val="auto"/>
              </w:rPr>
              <w:fldChar w:fldCharType="begin"/>
            </w:r>
            <w:r>
              <w:rPr>
                <w:color w:val="auto"/>
              </w:rPr>
              <w:instrText xml:space="preserve"> HYPERLINK "http://www.chinabyte.com/keyword/ISO/" </w:instrText>
            </w:r>
            <w:r>
              <w:rPr>
                <w:color w:val="auto"/>
              </w:rPr>
              <w:fldChar w:fldCharType="separate"/>
            </w:r>
            <w:r>
              <w:rPr>
                <w:rFonts w:hint="eastAsia" w:ascii="仿宋" w:hAnsi="仿宋" w:eastAsia="仿宋" w:cs="Arial"/>
                <w:color w:val="auto"/>
                <w:sz w:val="24"/>
              </w:rPr>
              <w:t>ISO</w:t>
            </w:r>
            <w:r>
              <w:rPr>
                <w:rFonts w:hint="eastAsia" w:ascii="仿宋" w:hAnsi="仿宋" w:eastAsia="仿宋" w:cs="Arial"/>
                <w:color w:val="auto"/>
                <w:sz w:val="24"/>
              </w:rPr>
              <w:fldChar w:fldCharType="end"/>
            </w:r>
            <w:r>
              <w:rPr>
                <w:rFonts w:hint="eastAsia" w:ascii="仿宋" w:hAnsi="仿宋" w:eastAsia="仿宋" w:cs="Arial"/>
                <w:color w:val="auto"/>
                <w:sz w:val="24"/>
              </w:rPr>
              <w:t>/IEC 17788:2014</w:t>
            </w:r>
          </w:p>
        </w:tc>
        <w:tc>
          <w:tcPr>
            <w:tcW w:w="5103" w:type="dxa"/>
            <w:tcBorders>
              <w:top w:val="single" w:color="000000" w:sz="2" w:space="0"/>
              <w:bottom w:val="single" w:color="000000" w:sz="2" w:space="0"/>
            </w:tcBorders>
            <w:shd w:val="clear" w:color="auto" w:fill="auto"/>
            <w:vAlign w:val="center"/>
          </w:tcPr>
          <w:p w14:paraId="30DF970E">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信息技术 云计算 概述和词汇</w:t>
            </w:r>
          </w:p>
        </w:tc>
      </w:tr>
      <w:tr w14:paraId="75A83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3F261637">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2</w:t>
            </w:r>
          </w:p>
        </w:tc>
        <w:tc>
          <w:tcPr>
            <w:tcW w:w="3143" w:type="dxa"/>
            <w:tcBorders>
              <w:top w:val="single" w:color="000000" w:sz="2" w:space="0"/>
              <w:bottom w:val="single" w:color="000000" w:sz="2" w:space="0"/>
            </w:tcBorders>
            <w:shd w:val="clear" w:color="auto" w:fill="auto"/>
            <w:vAlign w:val="center"/>
          </w:tcPr>
          <w:p w14:paraId="332F0C4E">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ISO/IEC 17789:2014</w:t>
            </w:r>
          </w:p>
        </w:tc>
        <w:tc>
          <w:tcPr>
            <w:tcW w:w="5103" w:type="dxa"/>
            <w:tcBorders>
              <w:top w:val="single" w:color="000000" w:sz="2" w:space="0"/>
              <w:bottom w:val="single" w:color="000000" w:sz="2" w:space="0"/>
            </w:tcBorders>
            <w:shd w:val="clear" w:color="auto" w:fill="auto"/>
            <w:vAlign w:val="center"/>
          </w:tcPr>
          <w:p w14:paraId="2EF7DB63">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信息技术 云计算 参考架构</w:t>
            </w:r>
          </w:p>
        </w:tc>
      </w:tr>
      <w:tr w14:paraId="7A3BE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505EEEF3">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3</w:t>
            </w:r>
          </w:p>
        </w:tc>
        <w:tc>
          <w:tcPr>
            <w:tcW w:w="3143" w:type="dxa"/>
            <w:tcBorders>
              <w:top w:val="single" w:color="000000" w:sz="2" w:space="0"/>
              <w:bottom w:val="single" w:color="000000" w:sz="2" w:space="0"/>
            </w:tcBorders>
            <w:shd w:val="clear" w:color="auto" w:fill="auto"/>
            <w:vAlign w:val="center"/>
          </w:tcPr>
          <w:p w14:paraId="6501C55B">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GB/T 31167-2014</w:t>
            </w:r>
          </w:p>
        </w:tc>
        <w:tc>
          <w:tcPr>
            <w:tcW w:w="5103" w:type="dxa"/>
            <w:tcBorders>
              <w:top w:val="single" w:color="000000" w:sz="2" w:space="0"/>
              <w:bottom w:val="single" w:color="000000" w:sz="2" w:space="0"/>
            </w:tcBorders>
            <w:shd w:val="clear" w:color="auto" w:fill="auto"/>
            <w:vAlign w:val="center"/>
          </w:tcPr>
          <w:p w14:paraId="0FFD0F2D">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云计算服务安全指南</w:t>
            </w:r>
          </w:p>
        </w:tc>
      </w:tr>
      <w:tr w14:paraId="04820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660E4C99">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4</w:t>
            </w:r>
          </w:p>
        </w:tc>
        <w:tc>
          <w:tcPr>
            <w:tcW w:w="3143" w:type="dxa"/>
            <w:tcBorders>
              <w:top w:val="single" w:color="000000" w:sz="2" w:space="0"/>
              <w:bottom w:val="single" w:color="000000" w:sz="2" w:space="0"/>
            </w:tcBorders>
            <w:shd w:val="clear" w:color="auto" w:fill="auto"/>
            <w:vAlign w:val="center"/>
          </w:tcPr>
          <w:p w14:paraId="4D9D84B0">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GB/T 31168-2014</w:t>
            </w:r>
          </w:p>
        </w:tc>
        <w:tc>
          <w:tcPr>
            <w:tcW w:w="5103" w:type="dxa"/>
            <w:tcBorders>
              <w:top w:val="single" w:color="000000" w:sz="2" w:space="0"/>
              <w:bottom w:val="single" w:color="000000" w:sz="2" w:space="0"/>
            </w:tcBorders>
            <w:shd w:val="clear" w:color="auto" w:fill="auto"/>
            <w:vAlign w:val="center"/>
          </w:tcPr>
          <w:p w14:paraId="2EF83E7D">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信息安全技术 云计算服务安全能力要求</w:t>
            </w:r>
          </w:p>
        </w:tc>
      </w:tr>
      <w:tr w14:paraId="5012C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0A4BA6BE">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5</w:t>
            </w:r>
          </w:p>
        </w:tc>
        <w:tc>
          <w:tcPr>
            <w:tcW w:w="3143" w:type="dxa"/>
            <w:tcBorders>
              <w:top w:val="single" w:color="000000" w:sz="2" w:space="0"/>
              <w:bottom w:val="single" w:color="000000" w:sz="2" w:space="0"/>
            </w:tcBorders>
            <w:shd w:val="clear" w:color="auto" w:fill="auto"/>
            <w:vAlign w:val="center"/>
          </w:tcPr>
          <w:p w14:paraId="134875B5">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GB/T 32400-2015</w:t>
            </w:r>
          </w:p>
        </w:tc>
        <w:tc>
          <w:tcPr>
            <w:tcW w:w="5103" w:type="dxa"/>
            <w:tcBorders>
              <w:top w:val="single" w:color="000000" w:sz="2" w:space="0"/>
              <w:bottom w:val="single" w:color="000000" w:sz="2" w:space="0"/>
            </w:tcBorders>
            <w:shd w:val="clear" w:color="auto" w:fill="auto"/>
            <w:vAlign w:val="center"/>
          </w:tcPr>
          <w:p w14:paraId="5DD85A72">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信息技术 云计算 概览和词汇</w:t>
            </w:r>
          </w:p>
        </w:tc>
      </w:tr>
      <w:tr w14:paraId="50C1D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7AB7931F">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6</w:t>
            </w:r>
          </w:p>
        </w:tc>
        <w:tc>
          <w:tcPr>
            <w:tcW w:w="3143" w:type="dxa"/>
            <w:tcBorders>
              <w:top w:val="single" w:color="000000" w:sz="2" w:space="0"/>
              <w:bottom w:val="single" w:color="000000" w:sz="2" w:space="0"/>
            </w:tcBorders>
            <w:shd w:val="clear" w:color="auto" w:fill="auto"/>
            <w:vAlign w:val="center"/>
          </w:tcPr>
          <w:p w14:paraId="6F93F994">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YD/T 2542-2013</w:t>
            </w:r>
          </w:p>
        </w:tc>
        <w:tc>
          <w:tcPr>
            <w:tcW w:w="5103" w:type="dxa"/>
            <w:tcBorders>
              <w:top w:val="single" w:color="000000" w:sz="2" w:space="0"/>
              <w:bottom w:val="single" w:color="000000" w:sz="2" w:space="0"/>
            </w:tcBorders>
            <w:shd w:val="clear" w:color="auto" w:fill="auto"/>
            <w:vAlign w:val="center"/>
          </w:tcPr>
          <w:p w14:paraId="1ADAA392">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电信互联网数据中心(IDC)总体技术要求</w:t>
            </w:r>
          </w:p>
        </w:tc>
      </w:tr>
      <w:tr w14:paraId="4FD5E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370DC897">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7</w:t>
            </w:r>
          </w:p>
        </w:tc>
        <w:tc>
          <w:tcPr>
            <w:tcW w:w="3143" w:type="dxa"/>
            <w:tcBorders>
              <w:top w:val="single" w:color="000000" w:sz="2" w:space="0"/>
              <w:bottom w:val="single" w:color="000000" w:sz="2" w:space="0"/>
            </w:tcBorders>
            <w:shd w:val="clear" w:color="auto" w:fill="auto"/>
            <w:vAlign w:val="center"/>
          </w:tcPr>
          <w:p w14:paraId="26D515F5">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YD/T 2441-2013</w:t>
            </w:r>
          </w:p>
        </w:tc>
        <w:tc>
          <w:tcPr>
            <w:tcW w:w="5103" w:type="dxa"/>
            <w:tcBorders>
              <w:top w:val="single" w:color="000000" w:sz="2" w:space="0"/>
              <w:bottom w:val="single" w:color="000000" w:sz="2" w:space="0"/>
            </w:tcBorders>
            <w:shd w:val="clear" w:color="auto" w:fill="auto"/>
            <w:vAlign w:val="center"/>
          </w:tcPr>
          <w:p w14:paraId="57B82E52">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互联网数据中心技术及分级分类标准</w:t>
            </w:r>
          </w:p>
        </w:tc>
      </w:tr>
      <w:tr w14:paraId="45867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5B7AB69B">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8</w:t>
            </w:r>
          </w:p>
        </w:tc>
        <w:tc>
          <w:tcPr>
            <w:tcW w:w="3143" w:type="dxa"/>
            <w:tcBorders>
              <w:top w:val="single" w:color="000000" w:sz="2" w:space="0"/>
              <w:bottom w:val="single" w:color="000000" w:sz="2" w:space="0"/>
            </w:tcBorders>
            <w:shd w:val="clear" w:color="auto" w:fill="auto"/>
            <w:vAlign w:val="center"/>
          </w:tcPr>
          <w:p w14:paraId="0DBC3B4B">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YD/T 2442-2013</w:t>
            </w:r>
          </w:p>
        </w:tc>
        <w:tc>
          <w:tcPr>
            <w:tcW w:w="5103" w:type="dxa"/>
            <w:tcBorders>
              <w:top w:val="single" w:color="000000" w:sz="2" w:space="0"/>
              <w:bottom w:val="single" w:color="000000" w:sz="2" w:space="0"/>
            </w:tcBorders>
            <w:shd w:val="clear" w:color="auto" w:fill="auto"/>
            <w:vAlign w:val="center"/>
          </w:tcPr>
          <w:p w14:paraId="093B5DB4">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互联网数据中心资源占用、能效及排放技术要求和评测方法</w:t>
            </w:r>
          </w:p>
        </w:tc>
      </w:tr>
      <w:tr w14:paraId="69946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51B81F14">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9</w:t>
            </w:r>
          </w:p>
        </w:tc>
        <w:tc>
          <w:tcPr>
            <w:tcW w:w="3143" w:type="dxa"/>
            <w:tcBorders>
              <w:top w:val="single" w:color="000000" w:sz="2" w:space="0"/>
              <w:bottom w:val="single" w:color="000000" w:sz="2" w:space="0"/>
            </w:tcBorders>
            <w:shd w:val="clear" w:color="auto" w:fill="auto"/>
            <w:vAlign w:val="center"/>
          </w:tcPr>
          <w:p w14:paraId="1F8D2CBE">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YD/T 2543-2013</w:t>
            </w:r>
          </w:p>
        </w:tc>
        <w:tc>
          <w:tcPr>
            <w:tcW w:w="5103" w:type="dxa"/>
            <w:tcBorders>
              <w:top w:val="single" w:color="000000" w:sz="2" w:space="0"/>
              <w:bottom w:val="single" w:color="000000" w:sz="2" w:space="0"/>
            </w:tcBorders>
            <w:shd w:val="clear" w:color="auto" w:fill="auto"/>
            <w:vAlign w:val="center"/>
          </w:tcPr>
          <w:p w14:paraId="05FA2CC6">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电信互联网数据中心(IDC)的能耗测评方法</w:t>
            </w:r>
          </w:p>
        </w:tc>
      </w:tr>
      <w:tr w14:paraId="41793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7C526D23">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10</w:t>
            </w:r>
          </w:p>
        </w:tc>
        <w:tc>
          <w:tcPr>
            <w:tcW w:w="3143" w:type="dxa"/>
            <w:tcBorders>
              <w:top w:val="single" w:color="000000" w:sz="2" w:space="0"/>
              <w:bottom w:val="single" w:color="000000" w:sz="2" w:space="0"/>
            </w:tcBorders>
            <w:shd w:val="clear" w:color="auto" w:fill="auto"/>
            <w:vAlign w:val="center"/>
          </w:tcPr>
          <w:p w14:paraId="0131E1A9">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ISO/IEC JTC 1/SC 32 N 2388b</w:t>
            </w:r>
          </w:p>
        </w:tc>
        <w:tc>
          <w:tcPr>
            <w:tcW w:w="5103" w:type="dxa"/>
            <w:tcBorders>
              <w:top w:val="single" w:color="000000" w:sz="2" w:space="0"/>
              <w:bottom w:val="single" w:color="000000" w:sz="2" w:space="0"/>
            </w:tcBorders>
            <w:shd w:val="clear" w:color="auto" w:fill="auto"/>
            <w:vAlign w:val="center"/>
          </w:tcPr>
          <w:p w14:paraId="71AAD34E">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数据管理和交互( Data  Management  and Interchange )</w:t>
            </w:r>
          </w:p>
        </w:tc>
      </w:tr>
      <w:tr w14:paraId="7F0F24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628E3AFA">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11</w:t>
            </w:r>
          </w:p>
        </w:tc>
        <w:tc>
          <w:tcPr>
            <w:tcW w:w="3143" w:type="dxa"/>
            <w:tcBorders>
              <w:top w:val="single" w:color="000000" w:sz="2" w:space="0"/>
              <w:bottom w:val="single" w:color="000000" w:sz="2" w:space="0"/>
            </w:tcBorders>
            <w:shd w:val="clear" w:color="auto" w:fill="auto"/>
            <w:vAlign w:val="center"/>
          </w:tcPr>
          <w:p w14:paraId="05797CD0">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GB/T 28821- 2012</w:t>
            </w:r>
          </w:p>
        </w:tc>
        <w:tc>
          <w:tcPr>
            <w:tcW w:w="5103" w:type="dxa"/>
            <w:tcBorders>
              <w:top w:val="single" w:color="000000" w:sz="2" w:space="0"/>
              <w:bottom w:val="single" w:color="000000" w:sz="2" w:space="0"/>
            </w:tcBorders>
            <w:shd w:val="clear" w:color="auto" w:fill="auto"/>
            <w:vAlign w:val="center"/>
          </w:tcPr>
          <w:p w14:paraId="20B5F1EF">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关系数据管理系统技术要求</w:t>
            </w:r>
          </w:p>
        </w:tc>
      </w:tr>
      <w:tr w14:paraId="7C347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02F487AC">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12</w:t>
            </w:r>
          </w:p>
        </w:tc>
        <w:tc>
          <w:tcPr>
            <w:tcW w:w="3143" w:type="dxa"/>
            <w:tcBorders>
              <w:top w:val="single" w:color="000000" w:sz="2" w:space="0"/>
              <w:bottom w:val="single" w:color="000000" w:sz="2" w:space="0"/>
            </w:tcBorders>
            <w:shd w:val="clear" w:color="auto" w:fill="auto"/>
            <w:vAlign w:val="center"/>
          </w:tcPr>
          <w:p w14:paraId="7A057586">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LD/T81. 1-2006</w:t>
            </w:r>
          </w:p>
        </w:tc>
        <w:tc>
          <w:tcPr>
            <w:tcW w:w="5103" w:type="dxa"/>
            <w:tcBorders>
              <w:top w:val="single" w:color="000000" w:sz="2" w:space="0"/>
              <w:bottom w:val="single" w:color="000000" w:sz="2" w:space="0"/>
            </w:tcBorders>
            <w:shd w:val="clear" w:color="auto" w:fill="auto"/>
            <w:vAlign w:val="center"/>
          </w:tcPr>
          <w:p w14:paraId="3E7A7DAF">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职业技能实训和鉴定设备技术规范</w:t>
            </w:r>
          </w:p>
        </w:tc>
      </w:tr>
      <w:tr w14:paraId="79904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02F7D2CF">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13</w:t>
            </w:r>
          </w:p>
        </w:tc>
        <w:tc>
          <w:tcPr>
            <w:tcW w:w="3143" w:type="dxa"/>
            <w:tcBorders>
              <w:top w:val="single" w:color="000000" w:sz="2" w:space="0"/>
              <w:bottom w:val="single" w:color="000000" w:sz="2" w:space="0"/>
            </w:tcBorders>
            <w:shd w:val="clear" w:color="auto" w:fill="auto"/>
            <w:vAlign w:val="center"/>
          </w:tcPr>
          <w:p w14:paraId="785EEDFE">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GZB国家职业技术技能标准（2021年版）</w:t>
            </w:r>
          </w:p>
        </w:tc>
        <w:tc>
          <w:tcPr>
            <w:tcW w:w="5103" w:type="dxa"/>
            <w:tcBorders>
              <w:top w:val="single" w:color="000000" w:sz="2" w:space="0"/>
              <w:bottom w:val="single" w:color="000000" w:sz="2" w:space="0"/>
            </w:tcBorders>
            <w:shd w:val="clear" w:color="auto" w:fill="auto"/>
            <w:vAlign w:val="center"/>
          </w:tcPr>
          <w:p w14:paraId="6CDD1C37">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云计算工程技术人员国家职业技术技能标准（2021年版）</w:t>
            </w:r>
          </w:p>
        </w:tc>
      </w:tr>
      <w:tr w14:paraId="17DE8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2FE55142">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14</w:t>
            </w:r>
          </w:p>
        </w:tc>
        <w:tc>
          <w:tcPr>
            <w:tcW w:w="3143" w:type="dxa"/>
            <w:tcBorders>
              <w:top w:val="single" w:color="000000" w:sz="2" w:space="0"/>
              <w:bottom w:val="single" w:color="000000" w:sz="2" w:space="0"/>
            </w:tcBorders>
            <w:shd w:val="clear" w:color="auto" w:fill="auto"/>
            <w:vAlign w:val="center"/>
          </w:tcPr>
          <w:p w14:paraId="0B6B2D5E">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GB/T 32421—2015</w:t>
            </w:r>
          </w:p>
        </w:tc>
        <w:tc>
          <w:tcPr>
            <w:tcW w:w="5103" w:type="dxa"/>
            <w:tcBorders>
              <w:top w:val="single" w:color="000000" w:sz="2" w:space="0"/>
              <w:bottom w:val="single" w:color="000000" w:sz="2" w:space="0"/>
            </w:tcBorders>
            <w:shd w:val="clear" w:color="auto" w:fill="auto"/>
            <w:vAlign w:val="center"/>
          </w:tcPr>
          <w:p w14:paraId="29B82134">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 xml:space="preserve">软件工程 软件评审与审核 </w:t>
            </w:r>
          </w:p>
        </w:tc>
      </w:tr>
      <w:tr w14:paraId="7F6A8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818" w:type="dxa"/>
            <w:tcBorders>
              <w:top w:val="single" w:color="000000" w:sz="2" w:space="0"/>
              <w:bottom w:val="single" w:color="000000" w:sz="2" w:space="0"/>
            </w:tcBorders>
            <w:shd w:val="clear" w:color="auto" w:fill="auto"/>
            <w:vAlign w:val="center"/>
          </w:tcPr>
          <w:p w14:paraId="4F1E0093">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15</w:t>
            </w:r>
          </w:p>
        </w:tc>
        <w:tc>
          <w:tcPr>
            <w:tcW w:w="3143" w:type="dxa"/>
            <w:tcBorders>
              <w:top w:val="single" w:color="000000" w:sz="2" w:space="0"/>
              <w:bottom w:val="single" w:color="000000" w:sz="2" w:space="0"/>
            </w:tcBorders>
            <w:shd w:val="clear" w:color="auto" w:fill="auto"/>
            <w:vAlign w:val="center"/>
          </w:tcPr>
          <w:p w14:paraId="4D08F4DF">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GB/T 30999—2014</w:t>
            </w:r>
          </w:p>
        </w:tc>
        <w:tc>
          <w:tcPr>
            <w:tcW w:w="5103" w:type="dxa"/>
            <w:tcBorders>
              <w:top w:val="single" w:color="000000" w:sz="2" w:space="0"/>
              <w:bottom w:val="single" w:color="000000" w:sz="2" w:space="0"/>
            </w:tcBorders>
            <w:shd w:val="clear" w:color="auto" w:fill="auto"/>
            <w:vAlign w:val="center"/>
          </w:tcPr>
          <w:p w14:paraId="6BA6F74F">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系统和软件工程 生存周期管理过程描述指南</w:t>
            </w:r>
          </w:p>
        </w:tc>
      </w:tr>
    </w:tbl>
    <w:p w14:paraId="35862703">
      <w:pPr>
        <w:ind w:firstLine="480"/>
        <w:rPr>
          <w:rFonts w:hint="eastAsia" w:ascii="仿宋" w:hAnsi="仿宋" w:eastAsia="仿宋" w:cs="微软雅黑"/>
          <w:color w:val="auto"/>
          <w:sz w:val="24"/>
        </w:rPr>
      </w:pPr>
    </w:p>
    <w:p w14:paraId="76936EEF">
      <w:pPr>
        <w:pStyle w:val="14"/>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技术环境</w:t>
      </w:r>
    </w:p>
    <w:p w14:paraId="1113C6A8">
      <w:pPr>
        <w:keepNext w:val="0"/>
        <w:keepLines w:val="0"/>
        <w:pageBreakBefore w:val="0"/>
        <w:widowControl w:val="0"/>
        <w:kinsoku/>
        <w:wordWrap/>
        <w:overflowPunct/>
        <w:topLinePunct w:val="0"/>
        <w:autoSpaceDE/>
        <w:autoSpaceDN/>
        <w:bidi w:val="0"/>
        <w:adjustRightInd/>
        <w:snapToGrid/>
        <w:spacing w:before="157" w:beforeLines="50"/>
        <w:ind w:firstLine="0" w:firstLineChars="0"/>
        <w:jc w:val="left"/>
        <w:textAlignment w:val="auto"/>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（一）竞赛环境</w:t>
      </w:r>
    </w:p>
    <w:p w14:paraId="3EB8CA03">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每队竞赛位配有单独带漏电保护空气开关的220伏交流电源，按照1000W的用电负荷来规划准备。</w:t>
      </w:r>
    </w:p>
    <w:p w14:paraId="522AAAA8">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每队竞赛位面积约3—4</w:t>
      </w:r>
      <w:r>
        <w:rPr>
          <w:rFonts w:hint="eastAsia" w:ascii="仿宋" w:hAnsi="仿宋" w:eastAsia="仿宋" w:cs="微软雅黑"/>
          <w:color w:val="auto"/>
          <w:szCs w:val="32"/>
        </w:rPr>
        <w:t>㎡</w:t>
      </w:r>
      <w:r>
        <w:rPr>
          <w:rFonts w:hint="eastAsia" w:ascii="仿宋" w:hAnsi="仿宋" w:eastAsia="仿宋" w:cs="仿宋_GB2312"/>
          <w:color w:val="auto"/>
          <w:szCs w:val="32"/>
        </w:rPr>
        <w:t>，赛位之间由隔板隔开，配备竞赛平台和技术工作要求的软、硬件。环境标准要求保证赛场采光、照明和通风良好。</w:t>
      </w:r>
    </w:p>
    <w:p w14:paraId="49E1D981">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赛场应具有2条互联网出口专线，每条专线带宽不小于200M。</w:t>
      </w:r>
    </w:p>
    <w:p w14:paraId="786207F8">
      <w:pPr>
        <w:ind w:firstLine="0" w:firstLineChars="0"/>
        <w:jc w:val="left"/>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（二）技术平台</w:t>
      </w:r>
    </w:p>
    <w:p w14:paraId="63D8BAB0">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1.竞赛环境使用云平台集群模式，建议配置如表4所示（按照40个参赛队配置）。</w:t>
      </w:r>
    </w:p>
    <w:p w14:paraId="0C7EED0C">
      <w:pPr>
        <w:ind w:firstLine="480"/>
        <w:jc w:val="center"/>
        <w:rPr>
          <w:rFonts w:hint="eastAsia" w:ascii="仿宋" w:hAnsi="仿宋" w:eastAsia="仿宋"/>
          <w:color w:val="auto"/>
          <w:sz w:val="24"/>
        </w:rPr>
      </w:pPr>
      <w:r>
        <w:rPr>
          <w:rFonts w:hint="eastAsia" w:ascii="仿宋" w:hAnsi="仿宋" w:eastAsia="仿宋"/>
          <w:color w:val="auto"/>
          <w:sz w:val="24"/>
        </w:rPr>
        <w:t>表4 云计算平台集群软、硬件建议表</w:t>
      </w:r>
    </w:p>
    <w:tbl>
      <w:tblPr>
        <w:tblStyle w:val="11"/>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1172"/>
        <w:gridCol w:w="1606"/>
        <w:gridCol w:w="595"/>
        <w:gridCol w:w="595"/>
        <w:gridCol w:w="5098"/>
      </w:tblGrid>
      <w:tr w14:paraId="45B99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shd w:val="clear" w:color="auto" w:fill="auto"/>
            <w:vAlign w:val="center"/>
          </w:tcPr>
          <w:p w14:paraId="7C58A98A">
            <w:pPr>
              <w:ind w:firstLine="0" w:firstLineChars="0"/>
              <w:jc w:val="left"/>
              <w:rPr>
                <w:rFonts w:hint="eastAsia" w:ascii="仿宋" w:hAnsi="仿宋" w:eastAsia="仿宋" w:cs="Arial"/>
                <w:b/>
                <w:bCs/>
                <w:color w:val="auto"/>
                <w:spacing w:val="-3"/>
                <w:sz w:val="24"/>
                <w:szCs w:val="18"/>
              </w:rPr>
            </w:pPr>
            <w:r>
              <w:rPr>
                <w:rFonts w:hint="eastAsia" w:ascii="仿宋" w:hAnsi="仿宋" w:eastAsia="仿宋" w:cs="Arial"/>
                <w:bCs/>
                <w:color w:val="auto"/>
                <w:spacing w:val="-3"/>
                <w:sz w:val="24"/>
                <w:szCs w:val="18"/>
              </w:rPr>
              <w:t>类别</w:t>
            </w:r>
          </w:p>
        </w:tc>
        <w:tc>
          <w:tcPr>
            <w:tcW w:w="0" w:type="auto"/>
            <w:shd w:val="clear" w:color="auto" w:fill="auto"/>
            <w:vAlign w:val="center"/>
          </w:tcPr>
          <w:p w14:paraId="706D1E92">
            <w:pPr>
              <w:ind w:firstLine="0" w:firstLineChars="0"/>
              <w:jc w:val="left"/>
              <w:rPr>
                <w:rFonts w:hint="eastAsia" w:ascii="仿宋" w:hAnsi="仿宋" w:eastAsia="仿宋" w:cs="Arial"/>
                <w:b/>
                <w:bCs/>
                <w:color w:val="auto"/>
                <w:spacing w:val="-3"/>
                <w:sz w:val="24"/>
                <w:szCs w:val="18"/>
              </w:rPr>
            </w:pPr>
            <w:r>
              <w:rPr>
                <w:rFonts w:hint="eastAsia" w:ascii="仿宋" w:hAnsi="仿宋" w:eastAsia="仿宋" w:cs="Arial"/>
                <w:bCs/>
                <w:color w:val="auto"/>
                <w:spacing w:val="-3"/>
                <w:sz w:val="24"/>
                <w:szCs w:val="18"/>
              </w:rPr>
              <w:t>名称</w:t>
            </w:r>
          </w:p>
        </w:tc>
        <w:tc>
          <w:tcPr>
            <w:tcW w:w="0" w:type="auto"/>
            <w:shd w:val="clear" w:color="auto" w:fill="auto"/>
            <w:vAlign w:val="center"/>
          </w:tcPr>
          <w:p w14:paraId="253AC898">
            <w:pPr>
              <w:ind w:firstLine="0" w:firstLineChars="0"/>
              <w:jc w:val="left"/>
              <w:rPr>
                <w:rFonts w:hint="eastAsia" w:ascii="仿宋" w:hAnsi="仿宋" w:eastAsia="仿宋" w:cs="Arial"/>
                <w:b/>
                <w:bCs/>
                <w:color w:val="auto"/>
                <w:spacing w:val="-3"/>
                <w:sz w:val="24"/>
                <w:szCs w:val="18"/>
              </w:rPr>
            </w:pPr>
            <w:r>
              <w:rPr>
                <w:rFonts w:hint="eastAsia" w:ascii="仿宋" w:hAnsi="仿宋" w:eastAsia="仿宋" w:cs="Arial"/>
                <w:bCs/>
                <w:color w:val="auto"/>
                <w:spacing w:val="-3"/>
                <w:sz w:val="24"/>
                <w:szCs w:val="18"/>
              </w:rPr>
              <w:t>单位</w:t>
            </w:r>
          </w:p>
        </w:tc>
        <w:tc>
          <w:tcPr>
            <w:tcW w:w="0" w:type="auto"/>
            <w:shd w:val="clear" w:color="auto" w:fill="auto"/>
            <w:vAlign w:val="center"/>
          </w:tcPr>
          <w:p w14:paraId="5B2E24F1">
            <w:pPr>
              <w:ind w:firstLine="0" w:firstLineChars="0"/>
              <w:jc w:val="left"/>
              <w:rPr>
                <w:rFonts w:hint="eastAsia" w:ascii="仿宋" w:hAnsi="仿宋" w:eastAsia="仿宋" w:cs="Arial"/>
                <w:b/>
                <w:bCs/>
                <w:color w:val="auto"/>
                <w:spacing w:val="-3"/>
                <w:sz w:val="24"/>
                <w:szCs w:val="18"/>
              </w:rPr>
            </w:pPr>
            <w:r>
              <w:rPr>
                <w:rFonts w:hint="eastAsia" w:ascii="仿宋" w:hAnsi="仿宋" w:eastAsia="仿宋" w:cs="Arial"/>
                <w:bCs/>
                <w:color w:val="auto"/>
                <w:spacing w:val="-3"/>
                <w:sz w:val="24"/>
                <w:szCs w:val="18"/>
              </w:rPr>
              <w:t>数量</w:t>
            </w:r>
          </w:p>
        </w:tc>
        <w:tc>
          <w:tcPr>
            <w:tcW w:w="0" w:type="auto"/>
            <w:shd w:val="clear" w:color="auto" w:fill="auto"/>
            <w:vAlign w:val="center"/>
          </w:tcPr>
          <w:p w14:paraId="144C1476">
            <w:pPr>
              <w:ind w:firstLine="0" w:firstLineChars="0"/>
              <w:jc w:val="left"/>
              <w:rPr>
                <w:rFonts w:hint="eastAsia" w:ascii="仿宋" w:hAnsi="仿宋" w:eastAsia="仿宋" w:cs="Arial"/>
                <w:b/>
                <w:bCs/>
                <w:color w:val="auto"/>
                <w:spacing w:val="-3"/>
                <w:sz w:val="24"/>
                <w:szCs w:val="18"/>
              </w:rPr>
            </w:pPr>
            <w:r>
              <w:rPr>
                <w:rFonts w:hint="eastAsia" w:ascii="仿宋" w:hAnsi="仿宋" w:eastAsia="仿宋" w:cs="Arial"/>
                <w:bCs/>
                <w:color w:val="auto"/>
                <w:spacing w:val="-3"/>
                <w:sz w:val="24"/>
                <w:szCs w:val="18"/>
              </w:rPr>
              <w:t>备注</w:t>
            </w:r>
          </w:p>
        </w:tc>
      </w:tr>
      <w:tr w14:paraId="2F6604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shd w:val="clear" w:color="auto" w:fill="auto"/>
            <w:vAlign w:val="center"/>
          </w:tcPr>
          <w:p w14:paraId="7CD65F28">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云资源</w:t>
            </w:r>
          </w:p>
        </w:tc>
        <w:tc>
          <w:tcPr>
            <w:tcW w:w="0" w:type="auto"/>
            <w:shd w:val="clear" w:color="auto" w:fill="auto"/>
            <w:vAlign w:val="center"/>
          </w:tcPr>
          <w:p w14:paraId="470D7D17">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云服务器</w:t>
            </w:r>
          </w:p>
        </w:tc>
        <w:tc>
          <w:tcPr>
            <w:tcW w:w="0" w:type="auto"/>
            <w:shd w:val="clear" w:color="auto" w:fill="auto"/>
            <w:vAlign w:val="center"/>
          </w:tcPr>
          <w:p w14:paraId="6B84A30F">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w:t>
            </w:r>
          </w:p>
        </w:tc>
        <w:tc>
          <w:tcPr>
            <w:tcW w:w="0" w:type="auto"/>
            <w:shd w:val="clear" w:color="auto" w:fill="auto"/>
            <w:vAlign w:val="center"/>
          </w:tcPr>
          <w:p w14:paraId="5A707022">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w:t>
            </w:r>
          </w:p>
        </w:tc>
        <w:tc>
          <w:tcPr>
            <w:tcW w:w="0" w:type="auto"/>
            <w:shd w:val="clear" w:color="auto" w:fill="auto"/>
            <w:vAlign w:val="center"/>
          </w:tcPr>
          <w:p w14:paraId="268AA198">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云服务器若干（数量按照实际参赛队酌情增减）</w:t>
            </w:r>
          </w:p>
        </w:tc>
      </w:tr>
      <w:tr w14:paraId="6F05CF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shd w:val="clear" w:color="auto" w:fill="auto"/>
            <w:vAlign w:val="center"/>
          </w:tcPr>
          <w:p w14:paraId="3335EEDC">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软件平台</w:t>
            </w:r>
          </w:p>
        </w:tc>
        <w:tc>
          <w:tcPr>
            <w:tcW w:w="0" w:type="auto"/>
            <w:shd w:val="clear" w:color="auto" w:fill="auto"/>
            <w:vAlign w:val="center"/>
          </w:tcPr>
          <w:p w14:paraId="37193ACD">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云计算基础架构软件</w:t>
            </w:r>
          </w:p>
        </w:tc>
        <w:tc>
          <w:tcPr>
            <w:tcW w:w="0" w:type="auto"/>
            <w:shd w:val="clear" w:color="auto" w:fill="auto"/>
            <w:vAlign w:val="center"/>
          </w:tcPr>
          <w:p w14:paraId="5DF18BE2">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套</w:t>
            </w:r>
          </w:p>
        </w:tc>
        <w:tc>
          <w:tcPr>
            <w:tcW w:w="0" w:type="auto"/>
            <w:shd w:val="clear" w:color="auto" w:fill="auto"/>
            <w:vAlign w:val="center"/>
          </w:tcPr>
          <w:p w14:paraId="16904CE6">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1</w:t>
            </w:r>
          </w:p>
        </w:tc>
        <w:tc>
          <w:tcPr>
            <w:tcW w:w="0" w:type="auto"/>
            <w:shd w:val="clear" w:color="auto" w:fill="auto"/>
            <w:vAlign w:val="center"/>
          </w:tcPr>
          <w:p w14:paraId="38E2C755">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基于开源OpenStack云计算基础架构，支撑租户隔离，资源弹性拓展。</w:t>
            </w:r>
          </w:p>
        </w:tc>
      </w:tr>
      <w:tr w14:paraId="7ED58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0" w:type="auto"/>
            <w:shd w:val="clear" w:color="auto" w:fill="auto"/>
            <w:vAlign w:val="center"/>
          </w:tcPr>
          <w:p w14:paraId="4CE561B8">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竞赛管理系统</w:t>
            </w:r>
          </w:p>
        </w:tc>
        <w:tc>
          <w:tcPr>
            <w:tcW w:w="0" w:type="auto"/>
            <w:shd w:val="clear" w:color="auto" w:fill="auto"/>
            <w:vAlign w:val="center"/>
          </w:tcPr>
          <w:p w14:paraId="16E29FA5">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云计算竞赛管理软件</w:t>
            </w:r>
          </w:p>
        </w:tc>
        <w:tc>
          <w:tcPr>
            <w:tcW w:w="0" w:type="auto"/>
            <w:shd w:val="clear" w:color="auto" w:fill="auto"/>
            <w:vAlign w:val="center"/>
          </w:tcPr>
          <w:p w14:paraId="0F134194">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套</w:t>
            </w:r>
          </w:p>
        </w:tc>
        <w:tc>
          <w:tcPr>
            <w:tcW w:w="0" w:type="auto"/>
            <w:shd w:val="clear" w:color="auto" w:fill="auto"/>
            <w:vAlign w:val="center"/>
          </w:tcPr>
          <w:p w14:paraId="70C78CED">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1</w:t>
            </w:r>
          </w:p>
        </w:tc>
        <w:tc>
          <w:tcPr>
            <w:tcW w:w="0" w:type="auto"/>
            <w:shd w:val="clear" w:color="auto" w:fill="auto"/>
            <w:vAlign w:val="center"/>
          </w:tcPr>
          <w:p w14:paraId="327648D9">
            <w:pPr>
              <w:ind w:firstLine="0" w:firstLineChars="0"/>
              <w:jc w:val="left"/>
              <w:rPr>
                <w:rFonts w:hint="eastAsia" w:ascii="仿宋" w:hAnsi="仿宋" w:eastAsia="仿宋" w:cs="Arial"/>
                <w:color w:val="auto"/>
                <w:spacing w:val="-3"/>
                <w:sz w:val="24"/>
                <w:szCs w:val="18"/>
              </w:rPr>
            </w:pPr>
            <w:r>
              <w:rPr>
                <w:rFonts w:hint="eastAsia" w:ascii="仿宋" w:hAnsi="仿宋" w:eastAsia="仿宋" w:cs="Arial"/>
                <w:color w:val="auto"/>
                <w:spacing w:val="-3"/>
                <w:sz w:val="24"/>
                <w:szCs w:val="18"/>
              </w:rPr>
              <w:t>支持自动评分、支持多场次管理、延时管理。支持单人赛、团体赛。</w:t>
            </w:r>
          </w:p>
        </w:tc>
      </w:tr>
    </w:tbl>
    <w:p w14:paraId="60404A4B">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2.单组赛位软、硬件配置，如表5所示。</w:t>
      </w:r>
    </w:p>
    <w:p w14:paraId="1D6F0992">
      <w:pPr>
        <w:spacing w:line="410" w:lineRule="auto"/>
        <w:ind w:firstLine="468"/>
        <w:jc w:val="center"/>
        <w:rPr>
          <w:rFonts w:hint="eastAsia" w:ascii="仿宋" w:hAnsi="仿宋" w:eastAsia="仿宋" w:cs="仿宋_GB2312"/>
          <w:color w:val="auto"/>
          <w:spacing w:val="-3"/>
          <w:sz w:val="24"/>
        </w:rPr>
      </w:pPr>
      <w:r>
        <w:rPr>
          <w:rFonts w:hint="eastAsia" w:ascii="仿宋" w:hAnsi="仿宋" w:eastAsia="仿宋" w:cs="仿宋_GB2312"/>
          <w:color w:val="auto"/>
          <w:spacing w:val="-3"/>
          <w:sz w:val="24"/>
        </w:rPr>
        <w:t>表 5 单组赛位软、硬件配置表</w:t>
      </w:r>
    </w:p>
    <w:tbl>
      <w:tblPr>
        <w:tblStyle w:val="11"/>
        <w:tblW w:w="5000"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108" w:type="dxa"/>
          <w:bottom w:w="0" w:type="dxa"/>
          <w:right w:w="108" w:type="dxa"/>
        </w:tblCellMar>
      </w:tblPr>
      <w:tblGrid>
        <w:gridCol w:w="708"/>
        <w:gridCol w:w="1159"/>
        <w:gridCol w:w="537"/>
        <w:gridCol w:w="537"/>
        <w:gridCol w:w="6125"/>
      </w:tblGrid>
      <w:tr w14:paraId="6C4E5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jc w:val="center"/>
        </w:trPr>
        <w:tc>
          <w:tcPr>
            <w:tcW w:w="391" w:type="pct"/>
            <w:tcBorders>
              <w:top w:val="single" w:color="000000" w:sz="2" w:space="0"/>
              <w:left w:val="single" w:color="000000" w:sz="2" w:space="0"/>
              <w:bottom w:val="single" w:color="000000" w:sz="2" w:space="0"/>
              <w:right w:val="single" w:color="000000" w:sz="2" w:space="0"/>
            </w:tcBorders>
            <w:shd w:val="clear" w:color="auto" w:fill="auto"/>
            <w:vAlign w:val="center"/>
          </w:tcPr>
          <w:p w14:paraId="47CEF636">
            <w:pPr>
              <w:ind w:firstLine="0" w:firstLineChars="0"/>
              <w:jc w:val="left"/>
              <w:rPr>
                <w:rFonts w:hint="eastAsia" w:ascii="仿宋" w:hAnsi="仿宋" w:eastAsia="仿宋" w:cs="Arial"/>
                <w:b/>
                <w:bCs/>
                <w:color w:val="auto"/>
                <w:spacing w:val="-3"/>
                <w:kern w:val="0"/>
                <w:sz w:val="24"/>
              </w:rPr>
            </w:pPr>
            <w:r>
              <w:rPr>
                <w:rFonts w:hint="eastAsia" w:ascii="仿宋" w:hAnsi="仿宋" w:eastAsia="仿宋" w:cs="Arial"/>
                <w:bCs/>
                <w:color w:val="auto"/>
                <w:spacing w:val="-3"/>
                <w:kern w:val="0"/>
                <w:sz w:val="24"/>
              </w:rPr>
              <w:t>类别</w:t>
            </w: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14:paraId="69C85D17">
            <w:pPr>
              <w:ind w:firstLine="0" w:firstLineChars="0"/>
              <w:jc w:val="left"/>
              <w:rPr>
                <w:rFonts w:hint="eastAsia" w:ascii="仿宋" w:hAnsi="仿宋" w:eastAsia="仿宋" w:cs="Arial"/>
                <w:b/>
                <w:bCs/>
                <w:color w:val="auto"/>
                <w:spacing w:val="-3"/>
                <w:kern w:val="0"/>
                <w:sz w:val="24"/>
              </w:rPr>
            </w:pPr>
            <w:r>
              <w:rPr>
                <w:rFonts w:hint="eastAsia" w:ascii="仿宋" w:hAnsi="仿宋" w:eastAsia="仿宋" w:cs="Arial"/>
                <w:bCs/>
                <w:color w:val="auto"/>
                <w:spacing w:val="-3"/>
                <w:kern w:val="0"/>
                <w:sz w:val="24"/>
              </w:rPr>
              <w:t>名称</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46A835A3">
            <w:pPr>
              <w:ind w:firstLine="0" w:firstLineChars="0"/>
              <w:jc w:val="left"/>
              <w:rPr>
                <w:rFonts w:hint="eastAsia" w:ascii="仿宋" w:hAnsi="仿宋" w:eastAsia="仿宋" w:cs="Arial"/>
                <w:b/>
                <w:bCs/>
                <w:color w:val="auto"/>
                <w:spacing w:val="-3"/>
                <w:kern w:val="0"/>
                <w:sz w:val="24"/>
              </w:rPr>
            </w:pPr>
            <w:r>
              <w:rPr>
                <w:rFonts w:hint="eastAsia" w:ascii="仿宋" w:hAnsi="仿宋" w:eastAsia="仿宋" w:cs="Arial"/>
                <w:bCs/>
                <w:color w:val="auto"/>
                <w:spacing w:val="-3"/>
                <w:kern w:val="0"/>
                <w:sz w:val="24"/>
              </w:rPr>
              <w:t>单位</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3E1E98D7">
            <w:pPr>
              <w:ind w:firstLine="0" w:firstLineChars="0"/>
              <w:jc w:val="left"/>
              <w:rPr>
                <w:rFonts w:hint="eastAsia" w:ascii="仿宋" w:hAnsi="仿宋" w:eastAsia="仿宋" w:cs="Arial"/>
                <w:b/>
                <w:bCs/>
                <w:color w:val="auto"/>
                <w:spacing w:val="-3"/>
                <w:kern w:val="0"/>
                <w:sz w:val="24"/>
              </w:rPr>
            </w:pPr>
            <w:r>
              <w:rPr>
                <w:rFonts w:hint="eastAsia" w:ascii="仿宋" w:hAnsi="仿宋" w:eastAsia="仿宋" w:cs="Arial"/>
                <w:bCs/>
                <w:color w:val="auto"/>
                <w:spacing w:val="-3"/>
                <w:kern w:val="0"/>
                <w:sz w:val="24"/>
              </w:rPr>
              <w:t>数量</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14:paraId="36DA35CA">
            <w:pPr>
              <w:ind w:firstLine="0" w:firstLineChars="0"/>
              <w:jc w:val="left"/>
              <w:rPr>
                <w:rFonts w:hint="eastAsia" w:ascii="仿宋" w:hAnsi="仿宋" w:eastAsia="仿宋" w:cs="Arial"/>
                <w:b/>
                <w:bCs/>
                <w:color w:val="auto"/>
                <w:spacing w:val="-3"/>
                <w:kern w:val="0"/>
                <w:sz w:val="24"/>
              </w:rPr>
            </w:pPr>
            <w:r>
              <w:rPr>
                <w:rFonts w:hint="eastAsia" w:ascii="仿宋" w:hAnsi="仿宋" w:eastAsia="仿宋" w:cs="Arial"/>
                <w:bCs/>
                <w:color w:val="auto"/>
                <w:spacing w:val="-3"/>
                <w:kern w:val="0"/>
                <w:sz w:val="24"/>
              </w:rPr>
              <w:t>备注</w:t>
            </w:r>
          </w:p>
        </w:tc>
      </w:tr>
      <w:tr w14:paraId="123137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restart"/>
            <w:tcBorders>
              <w:top w:val="single" w:color="000000" w:sz="2" w:space="0"/>
              <w:left w:val="single" w:color="000000" w:sz="2" w:space="0"/>
              <w:right w:val="single" w:color="000000" w:sz="2" w:space="0"/>
            </w:tcBorders>
            <w:shd w:val="clear" w:color="auto" w:fill="auto"/>
            <w:vAlign w:val="center"/>
          </w:tcPr>
          <w:p w14:paraId="1561014C">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硬件资源</w:t>
            </w: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14:paraId="457B76C8">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云平台集群</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2C88BD03">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台</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14C7D437">
            <w:pPr>
              <w:ind w:firstLine="0" w:firstLineChars="0"/>
              <w:jc w:val="left"/>
              <w:rPr>
                <w:rFonts w:hint="eastAsia" w:ascii="仿宋" w:hAnsi="仿宋" w:eastAsia="仿宋" w:cs="Arial"/>
                <w:color w:val="auto"/>
                <w:spacing w:val="-3"/>
                <w:sz w:val="24"/>
              </w:rPr>
            </w:pPr>
            <w:r>
              <w:rPr>
                <w:rFonts w:hint="eastAsia" w:ascii="仿宋" w:hAnsi="仿宋" w:eastAsia="仿宋" w:cs="Arial"/>
                <w:color w:val="auto"/>
                <w:spacing w:val="-3"/>
                <w:sz w:val="24"/>
              </w:rPr>
              <w:t>7</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14:paraId="5124F754">
            <w:pPr>
              <w:ind w:firstLine="0" w:firstLineChars="0"/>
              <w:jc w:val="left"/>
              <w:rPr>
                <w:rFonts w:hint="eastAsia" w:ascii="仿宋" w:hAnsi="仿宋" w:eastAsia="仿宋" w:cs="Arial"/>
                <w:color w:val="auto"/>
                <w:spacing w:val="-3"/>
                <w:sz w:val="24"/>
              </w:rPr>
            </w:pPr>
            <w:r>
              <w:rPr>
                <w:rFonts w:hint="eastAsia" w:ascii="仿宋" w:hAnsi="仿宋" w:eastAsia="仿宋" w:cs="Arial"/>
                <w:color w:val="auto"/>
                <w:spacing w:val="-3"/>
                <w:sz w:val="24"/>
              </w:rPr>
              <w:t>资源配置不低于4个vCPUS、8G内存。</w:t>
            </w:r>
          </w:p>
        </w:tc>
      </w:tr>
      <w:tr w14:paraId="35BF4E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continue"/>
            <w:tcBorders>
              <w:left w:val="single" w:color="000000" w:sz="2" w:space="0"/>
              <w:bottom w:val="single" w:color="000000" w:sz="2" w:space="0"/>
              <w:right w:val="single" w:color="000000" w:sz="2" w:space="0"/>
            </w:tcBorders>
            <w:shd w:val="clear" w:color="auto" w:fill="auto"/>
            <w:vAlign w:val="center"/>
          </w:tcPr>
          <w:p w14:paraId="053BFE02">
            <w:pPr>
              <w:widowControl/>
              <w:ind w:firstLine="0" w:firstLineChars="0"/>
              <w:jc w:val="left"/>
              <w:rPr>
                <w:rFonts w:hint="eastAsia" w:ascii="仿宋" w:hAnsi="仿宋" w:eastAsia="仿宋" w:cs="Arial"/>
                <w:color w:val="auto"/>
                <w:spacing w:val="-3"/>
                <w:kern w:val="0"/>
                <w:sz w:val="24"/>
              </w:rPr>
            </w:pP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14:paraId="698C43F4">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PC机</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4517CE71">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台</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3D57A6FC">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2</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14:paraId="66ADD488">
            <w:pPr>
              <w:ind w:firstLine="0" w:firstLineChars="0"/>
              <w:jc w:val="left"/>
              <w:rPr>
                <w:rFonts w:hint="eastAsia" w:ascii="仿宋" w:hAnsi="仿宋" w:eastAsia="仿宋" w:cs="Arial"/>
                <w:color w:val="auto"/>
                <w:spacing w:val="-3"/>
                <w:sz w:val="24"/>
              </w:rPr>
            </w:pPr>
            <w:r>
              <w:rPr>
                <w:rFonts w:hint="eastAsia" w:ascii="仿宋" w:hAnsi="仿宋" w:eastAsia="仿宋" w:cs="Arial"/>
                <w:color w:val="auto"/>
                <w:spacing w:val="-3"/>
                <w:sz w:val="24"/>
              </w:rPr>
              <w:t>包含通用设备，建议i5CPU或以上，内存8G以上，SSD硬盘128G以上。</w:t>
            </w:r>
          </w:p>
        </w:tc>
      </w:tr>
      <w:tr w14:paraId="6D3AB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restart"/>
            <w:tcBorders>
              <w:top w:val="single" w:color="000000" w:sz="2" w:space="0"/>
              <w:left w:val="single" w:color="000000" w:sz="2" w:space="0"/>
              <w:right w:val="single" w:color="000000" w:sz="2" w:space="0"/>
            </w:tcBorders>
            <w:shd w:val="clear" w:color="auto" w:fill="auto"/>
            <w:vAlign w:val="center"/>
          </w:tcPr>
          <w:p w14:paraId="07234BF5">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软件资源</w:t>
            </w: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14:paraId="70259EB0">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私有云软件包</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6E45B7FA">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套</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03AFDD59">
            <w:pPr>
              <w:ind w:firstLine="0" w:firstLineChars="0"/>
              <w:jc w:val="left"/>
              <w:rPr>
                <w:rFonts w:hint="eastAsia" w:ascii="仿宋" w:hAnsi="仿宋" w:eastAsia="仿宋" w:cs="Arial"/>
                <w:color w:val="auto"/>
                <w:spacing w:val="-3"/>
                <w:sz w:val="24"/>
              </w:rPr>
            </w:pPr>
            <w:r>
              <w:rPr>
                <w:rFonts w:hint="eastAsia" w:ascii="仿宋" w:hAnsi="仿宋" w:eastAsia="仿宋" w:cs="Arial"/>
                <w:color w:val="auto"/>
                <w:spacing w:val="-3"/>
                <w:kern w:val="0"/>
                <w:sz w:val="24"/>
              </w:rPr>
              <w:t>1</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14:paraId="0CCB45A0">
            <w:pPr>
              <w:ind w:firstLine="0" w:firstLineChars="0"/>
              <w:jc w:val="left"/>
              <w:rPr>
                <w:rFonts w:hint="eastAsia" w:ascii="仿宋" w:hAnsi="仿宋" w:eastAsia="仿宋" w:cs="Arial"/>
                <w:color w:val="auto"/>
                <w:spacing w:val="-3"/>
                <w:sz w:val="24"/>
              </w:rPr>
            </w:pPr>
            <w:r>
              <w:rPr>
                <w:rFonts w:hint="eastAsia" w:ascii="仿宋" w:hAnsi="仿宋" w:eastAsia="仿宋" w:cs="Arial"/>
                <w:color w:val="auto"/>
                <w:spacing w:val="-3"/>
                <w:sz w:val="24"/>
              </w:rPr>
              <w:t>包含OpenStack离线安装包、安装脚本、qcow2 镜像文件等。</w:t>
            </w:r>
          </w:p>
        </w:tc>
      </w:tr>
      <w:tr w14:paraId="3EC29C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391" w:type="pct"/>
            <w:vMerge w:val="continue"/>
            <w:tcBorders>
              <w:left w:val="single" w:color="000000" w:sz="2" w:space="0"/>
              <w:right w:val="single" w:color="000000" w:sz="2" w:space="0"/>
            </w:tcBorders>
            <w:shd w:val="clear" w:color="auto" w:fill="auto"/>
            <w:vAlign w:val="center"/>
          </w:tcPr>
          <w:p w14:paraId="00A397A6">
            <w:pPr>
              <w:widowControl/>
              <w:ind w:firstLine="0" w:firstLineChars="0"/>
              <w:jc w:val="left"/>
              <w:rPr>
                <w:rFonts w:hint="eastAsia" w:ascii="仿宋" w:hAnsi="仿宋" w:eastAsia="仿宋" w:cs="Arial"/>
                <w:color w:val="auto"/>
                <w:spacing w:val="-3"/>
                <w:kern w:val="0"/>
                <w:sz w:val="24"/>
              </w:rPr>
            </w:pPr>
          </w:p>
        </w:tc>
        <w:tc>
          <w:tcPr>
            <w:tcW w:w="639" w:type="pct"/>
            <w:tcBorders>
              <w:top w:val="single" w:color="000000" w:sz="2" w:space="0"/>
              <w:left w:val="single" w:color="000000" w:sz="2" w:space="0"/>
              <w:bottom w:val="single" w:color="000000" w:sz="2" w:space="0"/>
              <w:right w:val="single" w:color="000000" w:sz="2" w:space="0"/>
            </w:tcBorders>
            <w:shd w:val="clear" w:color="auto" w:fill="auto"/>
            <w:vAlign w:val="center"/>
          </w:tcPr>
          <w:p w14:paraId="1EFD6E09">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容器云软件包</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7B73019F">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套</w:t>
            </w:r>
          </w:p>
        </w:tc>
        <w:tc>
          <w:tcPr>
            <w:tcW w:w="296" w:type="pct"/>
            <w:tcBorders>
              <w:top w:val="single" w:color="000000" w:sz="2" w:space="0"/>
              <w:left w:val="single" w:color="000000" w:sz="2" w:space="0"/>
              <w:bottom w:val="single" w:color="000000" w:sz="2" w:space="0"/>
              <w:right w:val="single" w:color="000000" w:sz="2" w:space="0"/>
            </w:tcBorders>
            <w:shd w:val="clear" w:color="auto" w:fill="auto"/>
            <w:vAlign w:val="center"/>
          </w:tcPr>
          <w:p w14:paraId="06121881">
            <w:pPr>
              <w:ind w:firstLine="0" w:firstLineChars="0"/>
              <w:jc w:val="left"/>
              <w:rPr>
                <w:rFonts w:hint="eastAsia" w:ascii="仿宋" w:hAnsi="仿宋" w:eastAsia="仿宋" w:cs="Arial"/>
                <w:color w:val="auto"/>
                <w:spacing w:val="-3"/>
                <w:kern w:val="0"/>
                <w:sz w:val="24"/>
              </w:rPr>
            </w:pPr>
            <w:r>
              <w:rPr>
                <w:rFonts w:hint="eastAsia" w:ascii="仿宋" w:hAnsi="仿宋" w:eastAsia="仿宋" w:cs="Arial"/>
                <w:color w:val="auto"/>
                <w:spacing w:val="-3"/>
                <w:kern w:val="0"/>
                <w:sz w:val="24"/>
              </w:rPr>
              <w:t>1</w:t>
            </w:r>
          </w:p>
        </w:tc>
        <w:tc>
          <w:tcPr>
            <w:tcW w:w="3377" w:type="pct"/>
            <w:tcBorders>
              <w:top w:val="single" w:color="000000" w:sz="2" w:space="0"/>
              <w:left w:val="single" w:color="000000" w:sz="2" w:space="0"/>
              <w:bottom w:val="single" w:color="000000" w:sz="2" w:space="0"/>
              <w:right w:val="single" w:color="000000" w:sz="2" w:space="0"/>
            </w:tcBorders>
            <w:shd w:val="clear" w:color="auto" w:fill="auto"/>
            <w:vAlign w:val="center"/>
          </w:tcPr>
          <w:p w14:paraId="7F42BFBC">
            <w:pPr>
              <w:ind w:firstLine="0" w:firstLineChars="0"/>
              <w:jc w:val="left"/>
              <w:rPr>
                <w:rFonts w:hint="eastAsia" w:ascii="仿宋" w:hAnsi="仿宋" w:eastAsia="仿宋" w:cs="Arial"/>
                <w:color w:val="auto"/>
                <w:spacing w:val="-3"/>
                <w:sz w:val="24"/>
              </w:rPr>
            </w:pPr>
            <w:r>
              <w:rPr>
                <w:rFonts w:hint="eastAsia" w:ascii="仿宋" w:hAnsi="仿宋" w:eastAsia="仿宋" w:cs="Arial"/>
                <w:color w:val="auto"/>
                <w:spacing w:val="-3"/>
                <w:sz w:val="24"/>
              </w:rPr>
              <w:t>包含Docker、Docker Compose、Kubernetes、KubeVirt、Istio、Harbor等离线安装包，Nginx、nfs等应用软件包。</w:t>
            </w:r>
          </w:p>
        </w:tc>
      </w:tr>
    </w:tbl>
    <w:p w14:paraId="4AF37D35">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3.通用软件和工具清单如表6所示。</w:t>
      </w:r>
    </w:p>
    <w:p w14:paraId="7A17336A">
      <w:pPr>
        <w:ind w:firstLine="480"/>
        <w:jc w:val="center"/>
        <w:rPr>
          <w:rFonts w:hint="eastAsia" w:ascii="仿宋" w:hAnsi="仿宋" w:eastAsia="仿宋" w:cs="仿宋_GB2312"/>
          <w:color w:val="auto"/>
          <w:sz w:val="24"/>
          <w:szCs w:val="18"/>
        </w:rPr>
      </w:pPr>
      <w:r>
        <w:rPr>
          <w:rFonts w:hint="eastAsia" w:ascii="仿宋" w:hAnsi="仿宋" w:eastAsia="仿宋" w:cs="仿宋_GB2312"/>
          <w:color w:val="auto"/>
          <w:sz w:val="24"/>
          <w:szCs w:val="18"/>
        </w:rPr>
        <w:t>表6 通用软件工具清单</w:t>
      </w:r>
    </w:p>
    <w:tbl>
      <w:tblPr>
        <w:tblStyle w:val="11"/>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960"/>
        <w:gridCol w:w="2075"/>
        <w:gridCol w:w="4730"/>
      </w:tblGrid>
      <w:tr w14:paraId="24DA55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87" w:hRule="atLeast"/>
          <w:jc w:val="center"/>
        </w:trPr>
        <w:tc>
          <w:tcPr>
            <w:tcW w:w="960" w:type="dxa"/>
            <w:shd w:val="clear" w:color="auto" w:fill="auto"/>
            <w:vAlign w:val="center"/>
          </w:tcPr>
          <w:p w14:paraId="671C6F8D">
            <w:pPr>
              <w:ind w:firstLine="0" w:firstLineChars="0"/>
              <w:jc w:val="left"/>
              <w:rPr>
                <w:rFonts w:hint="eastAsia" w:ascii="仿宋" w:hAnsi="仿宋" w:eastAsia="仿宋" w:cs="Arial"/>
                <w:b/>
                <w:bCs/>
                <w:color w:val="auto"/>
                <w:spacing w:val="-3"/>
                <w:kern w:val="0"/>
                <w:sz w:val="24"/>
                <w:szCs w:val="28"/>
              </w:rPr>
            </w:pPr>
            <w:r>
              <w:rPr>
                <w:rFonts w:hint="eastAsia" w:ascii="仿宋" w:hAnsi="仿宋" w:eastAsia="仿宋" w:cs="Arial"/>
                <w:bCs/>
                <w:color w:val="auto"/>
                <w:spacing w:val="-3"/>
                <w:kern w:val="0"/>
                <w:sz w:val="24"/>
                <w:szCs w:val="28"/>
              </w:rPr>
              <w:t>序号</w:t>
            </w:r>
          </w:p>
        </w:tc>
        <w:tc>
          <w:tcPr>
            <w:tcW w:w="2075" w:type="dxa"/>
            <w:shd w:val="clear" w:color="auto" w:fill="auto"/>
            <w:vAlign w:val="center"/>
          </w:tcPr>
          <w:p w14:paraId="48F072C7">
            <w:pPr>
              <w:ind w:firstLine="0" w:firstLineChars="0"/>
              <w:jc w:val="left"/>
              <w:rPr>
                <w:rFonts w:hint="eastAsia" w:ascii="仿宋" w:hAnsi="仿宋" w:eastAsia="仿宋" w:cs="Arial"/>
                <w:b/>
                <w:bCs/>
                <w:color w:val="auto"/>
                <w:spacing w:val="-3"/>
                <w:kern w:val="0"/>
                <w:sz w:val="24"/>
                <w:szCs w:val="28"/>
              </w:rPr>
            </w:pPr>
            <w:r>
              <w:rPr>
                <w:rFonts w:hint="eastAsia" w:ascii="仿宋" w:hAnsi="仿宋" w:eastAsia="仿宋" w:cs="Arial"/>
                <w:bCs/>
                <w:color w:val="auto"/>
                <w:spacing w:val="-3"/>
                <w:kern w:val="0"/>
                <w:sz w:val="24"/>
                <w:szCs w:val="28"/>
              </w:rPr>
              <w:t>软件</w:t>
            </w:r>
          </w:p>
        </w:tc>
        <w:tc>
          <w:tcPr>
            <w:tcW w:w="4730" w:type="dxa"/>
            <w:shd w:val="clear" w:color="auto" w:fill="auto"/>
            <w:vAlign w:val="center"/>
          </w:tcPr>
          <w:p w14:paraId="4B700E1D">
            <w:pPr>
              <w:ind w:firstLine="0" w:firstLineChars="0"/>
              <w:jc w:val="left"/>
              <w:rPr>
                <w:rFonts w:hint="eastAsia" w:ascii="仿宋" w:hAnsi="仿宋" w:eastAsia="仿宋" w:cs="Arial"/>
                <w:b/>
                <w:bCs/>
                <w:color w:val="auto"/>
                <w:spacing w:val="-3"/>
                <w:kern w:val="0"/>
                <w:sz w:val="24"/>
                <w:szCs w:val="28"/>
              </w:rPr>
            </w:pPr>
            <w:r>
              <w:rPr>
                <w:rFonts w:hint="eastAsia" w:ascii="仿宋" w:hAnsi="仿宋" w:eastAsia="仿宋" w:cs="Arial"/>
                <w:bCs/>
                <w:color w:val="auto"/>
                <w:spacing w:val="-3"/>
                <w:kern w:val="0"/>
                <w:sz w:val="24"/>
                <w:szCs w:val="28"/>
              </w:rPr>
              <w:t>介绍</w:t>
            </w:r>
          </w:p>
        </w:tc>
      </w:tr>
      <w:tr w14:paraId="6EBF73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1" w:hRule="atLeast"/>
          <w:jc w:val="center"/>
        </w:trPr>
        <w:tc>
          <w:tcPr>
            <w:tcW w:w="960" w:type="dxa"/>
            <w:shd w:val="clear" w:color="auto" w:fill="auto"/>
            <w:vAlign w:val="center"/>
          </w:tcPr>
          <w:p w14:paraId="671CC544">
            <w:pPr>
              <w:ind w:firstLine="0" w:firstLineChars="0"/>
              <w:jc w:val="left"/>
              <w:rPr>
                <w:rFonts w:hint="eastAsia" w:ascii="仿宋" w:hAnsi="仿宋" w:eastAsia="仿宋" w:cs="Arial"/>
                <w:color w:val="auto"/>
                <w:spacing w:val="-3"/>
                <w:sz w:val="24"/>
                <w:szCs w:val="28"/>
              </w:rPr>
            </w:pPr>
            <w:r>
              <w:rPr>
                <w:rFonts w:hint="eastAsia" w:ascii="仿宋" w:hAnsi="仿宋" w:eastAsia="仿宋" w:cs="Arial"/>
                <w:color w:val="auto"/>
                <w:spacing w:val="-3"/>
                <w:sz w:val="24"/>
                <w:szCs w:val="28"/>
              </w:rPr>
              <w:t>1</w:t>
            </w:r>
          </w:p>
        </w:tc>
        <w:tc>
          <w:tcPr>
            <w:tcW w:w="2075" w:type="dxa"/>
            <w:shd w:val="clear" w:color="auto" w:fill="auto"/>
            <w:vAlign w:val="center"/>
          </w:tcPr>
          <w:p w14:paraId="55C8B491">
            <w:pPr>
              <w:ind w:firstLine="0" w:firstLineChars="0"/>
              <w:jc w:val="left"/>
              <w:rPr>
                <w:rFonts w:hint="eastAsia" w:ascii="仿宋" w:hAnsi="仿宋" w:eastAsia="仿宋" w:cs="Arial"/>
                <w:color w:val="auto"/>
                <w:spacing w:val="-3"/>
                <w:sz w:val="24"/>
                <w:szCs w:val="28"/>
              </w:rPr>
            </w:pPr>
            <w:r>
              <w:rPr>
                <w:rFonts w:hint="eastAsia" w:ascii="仿宋" w:hAnsi="仿宋" w:eastAsia="仿宋" w:cs="Arial"/>
                <w:color w:val="auto"/>
                <w:spacing w:val="-3"/>
                <w:sz w:val="24"/>
                <w:szCs w:val="28"/>
              </w:rPr>
              <w:t>PC端操作系统</w:t>
            </w:r>
          </w:p>
        </w:tc>
        <w:tc>
          <w:tcPr>
            <w:tcW w:w="4730" w:type="dxa"/>
            <w:shd w:val="clear" w:color="auto" w:fill="auto"/>
            <w:vAlign w:val="center"/>
          </w:tcPr>
          <w:p w14:paraId="0FC409FA">
            <w:pPr>
              <w:ind w:firstLine="0" w:firstLineChars="0"/>
              <w:jc w:val="left"/>
              <w:rPr>
                <w:rFonts w:hint="eastAsia" w:ascii="仿宋" w:hAnsi="仿宋" w:eastAsia="仿宋" w:cs="Arial"/>
                <w:color w:val="auto"/>
                <w:spacing w:val="-3"/>
                <w:sz w:val="24"/>
                <w:szCs w:val="28"/>
              </w:rPr>
            </w:pPr>
            <w:r>
              <w:rPr>
                <w:rFonts w:hint="eastAsia" w:ascii="仿宋" w:hAnsi="仿宋" w:eastAsia="仿宋" w:cs="Arial"/>
                <w:color w:val="auto"/>
                <w:spacing w:val="-3"/>
                <w:sz w:val="24"/>
                <w:szCs w:val="28"/>
              </w:rPr>
              <w:t>Windows或Linux桌面系统</w:t>
            </w:r>
          </w:p>
        </w:tc>
      </w:tr>
      <w:tr w14:paraId="0FA1B0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1" w:hRule="atLeast"/>
          <w:jc w:val="center"/>
        </w:trPr>
        <w:tc>
          <w:tcPr>
            <w:tcW w:w="960" w:type="dxa"/>
            <w:shd w:val="clear" w:color="auto" w:fill="auto"/>
            <w:vAlign w:val="center"/>
          </w:tcPr>
          <w:p w14:paraId="41BE810A">
            <w:pPr>
              <w:ind w:firstLine="0" w:firstLineChars="0"/>
              <w:jc w:val="left"/>
              <w:rPr>
                <w:rFonts w:hint="eastAsia" w:ascii="仿宋" w:hAnsi="仿宋" w:eastAsia="仿宋" w:cs="Arial"/>
                <w:color w:val="auto"/>
                <w:spacing w:val="-3"/>
                <w:sz w:val="24"/>
                <w:szCs w:val="28"/>
              </w:rPr>
            </w:pPr>
            <w:r>
              <w:rPr>
                <w:rFonts w:hint="eastAsia" w:ascii="仿宋" w:hAnsi="仿宋" w:eastAsia="仿宋" w:cs="Arial"/>
                <w:color w:val="auto"/>
                <w:spacing w:val="-3"/>
                <w:sz w:val="24"/>
                <w:szCs w:val="28"/>
              </w:rPr>
              <w:t>2</w:t>
            </w:r>
          </w:p>
        </w:tc>
        <w:tc>
          <w:tcPr>
            <w:tcW w:w="2075" w:type="dxa"/>
            <w:shd w:val="clear" w:color="auto" w:fill="auto"/>
            <w:vAlign w:val="center"/>
          </w:tcPr>
          <w:p w14:paraId="44693593">
            <w:pPr>
              <w:ind w:firstLine="0" w:firstLineChars="0"/>
              <w:jc w:val="left"/>
              <w:rPr>
                <w:rFonts w:hint="eastAsia" w:ascii="仿宋" w:hAnsi="仿宋" w:eastAsia="仿宋" w:cs="Arial"/>
                <w:color w:val="auto"/>
                <w:spacing w:val="-3"/>
                <w:sz w:val="24"/>
                <w:szCs w:val="28"/>
              </w:rPr>
            </w:pPr>
            <w:r>
              <w:rPr>
                <w:rFonts w:hint="eastAsia" w:ascii="仿宋" w:hAnsi="仿宋" w:eastAsia="仿宋" w:cs="Arial"/>
                <w:color w:val="auto"/>
                <w:spacing w:val="-3"/>
                <w:sz w:val="24"/>
                <w:szCs w:val="28"/>
              </w:rPr>
              <w:t>SSH客户端工具</w:t>
            </w:r>
          </w:p>
        </w:tc>
        <w:tc>
          <w:tcPr>
            <w:tcW w:w="4730" w:type="dxa"/>
            <w:shd w:val="clear" w:color="auto" w:fill="auto"/>
            <w:vAlign w:val="center"/>
          </w:tcPr>
          <w:p w14:paraId="1339132F">
            <w:pPr>
              <w:ind w:firstLine="0" w:firstLineChars="0"/>
              <w:jc w:val="left"/>
              <w:rPr>
                <w:rFonts w:hint="eastAsia" w:ascii="仿宋" w:hAnsi="仿宋" w:eastAsia="仿宋" w:cs="Arial"/>
                <w:color w:val="auto"/>
                <w:spacing w:val="-3"/>
                <w:sz w:val="24"/>
                <w:szCs w:val="28"/>
              </w:rPr>
            </w:pPr>
            <w:r>
              <w:rPr>
                <w:rFonts w:hint="eastAsia" w:ascii="仿宋" w:hAnsi="仿宋" w:eastAsia="仿宋" w:cs="Arial"/>
                <w:color w:val="auto"/>
                <w:spacing w:val="-3"/>
                <w:sz w:val="24"/>
                <w:szCs w:val="28"/>
              </w:rPr>
              <w:t>SSH(SSH1和SSH2)的终端仿真程序</w:t>
            </w:r>
          </w:p>
        </w:tc>
      </w:tr>
      <w:tr w14:paraId="14D9C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51" w:hRule="atLeast"/>
          <w:jc w:val="center"/>
        </w:trPr>
        <w:tc>
          <w:tcPr>
            <w:tcW w:w="960" w:type="dxa"/>
            <w:shd w:val="clear" w:color="auto" w:fill="auto"/>
            <w:vAlign w:val="center"/>
          </w:tcPr>
          <w:p w14:paraId="7D3885D5">
            <w:pPr>
              <w:ind w:firstLine="0" w:firstLineChars="0"/>
              <w:jc w:val="left"/>
              <w:rPr>
                <w:rFonts w:hint="eastAsia" w:ascii="仿宋" w:hAnsi="仿宋" w:eastAsia="仿宋" w:cs="Arial"/>
                <w:color w:val="auto"/>
                <w:spacing w:val="-3"/>
                <w:sz w:val="24"/>
                <w:szCs w:val="28"/>
              </w:rPr>
            </w:pPr>
            <w:r>
              <w:rPr>
                <w:rFonts w:hint="eastAsia" w:ascii="仿宋" w:hAnsi="仿宋" w:eastAsia="仿宋" w:cs="Arial"/>
                <w:color w:val="auto"/>
                <w:spacing w:val="-3"/>
                <w:sz w:val="24"/>
                <w:szCs w:val="28"/>
              </w:rPr>
              <w:t>3</w:t>
            </w:r>
          </w:p>
        </w:tc>
        <w:tc>
          <w:tcPr>
            <w:tcW w:w="2075" w:type="dxa"/>
            <w:shd w:val="clear" w:color="auto" w:fill="auto"/>
            <w:vAlign w:val="center"/>
          </w:tcPr>
          <w:p w14:paraId="7C733C34">
            <w:pPr>
              <w:ind w:firstLine="0" w:firstLineChars="0"/>
              <w:jc w:val="left"/>
              <w:rPr>
                <w:rFonts w:hint="eastAsia" w:ascii="仿宋" w:hAnsi="仿宋" w:eastAsia="仿宋" w:cs="Arial"/>
                <w:color w:val="auto"/>
                <w:spacing w:val="-3"/>
                <w:sz w:val="24"/>
                <w:szCs w:val="28"/>
              </w:rPr>
            </w:pPr>
            <w:r>
              <w:rPr>
                <w:rFonts w:hint="eastAsia" w:ascii="仿宋" w:hAnsi="仿宋" w:eastAsia="仿宋" w:cs="Arial"/>
                <w:color w:val="auto"/>
                <w:spacing w:val="-3"/>
                <w:sz w:val="24"/>
                <w:szCs w:val="28"/>
              </w:rPr>
              <w:t>浏览器</w:t>
            </w:r>
          </w:p>
        </w:tc>
        <w:tc>
          <w:tcPr>
            <w:tcW w:w="4730" w:type="dxa"/>
            <w:shd w:val="clear" w:color="auto" w:fill="auto"/>
            <w:vAlign w:val="center"/>
          </w:tcPr>
          <w:p w14:paraId="6BD99298">
            <w:pPr>
              <w:ind w:firstLine="0" w:firstLineChars="0"/>
              <w:jc w:val="left"/>
              <w:rPr>
                <w:rFonts w:hint="eastAsia" w:ascii="仿宋" w:hAnsi="仿宋" w:eastAsia="仿宋" w:cs="Arial"/>
                <w:color w:val="auto"/>
                <w:spacing w:val="-3"/>
                <w:sz w:val="24"/>
                <w:szCs w:val="28"/>
              </w:rPr>
            </w:pPr>
            <w:r>
              <w:rPr>
                <w:rFonts w:hint="eastAsia" w:ascii="仿宋" w:hAnsi="仿宋" w:eastAsia="仿宋" w:cs="Arial"/>
                <w:color w:val="auto"/>
                <w:spacing w:val="-3"/>
                <w:sz w:val="24"/>
                <w:szCs w:val="28"/>
              </w:rPr>
              <w:t>谷歌浏览器</w:t>
            </w:r>
          </w:p>
        </w:tc>
      </w:tr>
    </w:tbl>
    <w:p w14:paraId="5A124E08">
      <w:pPr>
        <w:ind w:firstLine="548"/>
        <w:rPr>
          <w:rFonts w:hint="eastAsia" w:ascii="仿宋" w:hAnsi="仿宋" w:eastAsia="仿宋"/>
          <w:color w:val="auto"/>
          <w:spacing w:val="-3"/>
          <w:sz w:val="28"/>
          <w:szCs w:val="28"/>
        </w:rPr>
      </w:pPr>
    </w:p>
    <w:p w14:paraId="0B487E8C">
      <w:pPr>
        <w:pStyle w:val="14"/>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竞赛样题</w:t>
      </w:r>
    </w:p>
    <w:p w14:paraId="772B7B13">
      <w:pPr>
        <w:keepNext w:val="0"/>
        <w:keepLines w:val="0"/>
        <w:pageBreakBefore w:val="0"/>
        <w:widowControl w:val="0"/>
        <w:kinsoku/>
        <w:wordWrap/>
        <w:overflowPunct/>
        <w:topLinePunct w:val="0"/>
        <w:autoSpaceDE/>
        <w:autoSpaceDN/>
        <w:bidi w:val="0"/>
        <w:adjustRightInd/>
        <w:snapToGrid/>
        <w:spacing w:before="157" w:beforeLines="50"/>
        <w:ind w:firstLine="628"/>
        <w:textAlignment w:val="auto"/>
        <w:rPr>
          <w:rFonts w:hint="eastAsia" w:ascii="仿宋" w:hAnsi="仿宋" w:eastAsia="仿宋" w:cs="仿宋_GB2312"/>
          <w:color w:val="auto"/>
          <w:spacing w:val="-3"/>
          <w:szCs w:val="32"/>
        </w:rPr>
      </w:pPr>
      <w:r>
        <w:rPr>
          <w:rFonts w:hint="eastAsia" w:ascii="仿宋" w:hAnsi="仿宋" w:eastAsia="仿宋" w:cs="仿宋_GB2312"/>
          <w:color w:val="auto"/>
          <w:spacing w:val="-3"/>
          <w:szCs w:val="32"/>
        </w:rPr>
        <w:t>详见附件：2026年海南省职业院校技能大赛(高职组)新一代信息技术赛道“云计算应用”赛项样题。</w:t>
      </w:r>
    </w:p>
    <w:p w14:paraId="5A1D8D46">
      <w:pPr>
        <w:pStyle w:val="14"/>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成绩评定</w:t>
      </w:r>
    </w:p>
    <w:p w14:paraId="3AC19C8F">
      <w:pPr>
        <w:keepNext w:val="0"/>
        <w:keepLines w:val="0"/>
        <w:pageBreakBefore w:val="0"/>
        <w:widowControl w:val="0"/>
        <w:kinsoku/>
        <w:wordWrap/>
        <w:overflowPunct/>
        <w:topLinePunct w:val="0"/>
        <w:autoSpaceDE/>
        <w:autoSpaceDN/>
        <w:bidi w:val="0"/>
        <w:adjustRightInd/>
        <w:snapToGrid/>
        <w:spacing w:before="157" w:beforeLines="50"/>
        <w:ind w:firstLine="0" w:firstLineChars="0"/>
        <w:jc w:val="left"/>
        <w:textAlignment w:val="auto"/>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（一）评分标准</w:t>
      </w:r>
    </w:p>
    <w:p w14:paraId="309FE388">
      <w:pPr>
        <w:ind w:firstLine="628"/>
        <w:rPr>
          <w:rFonts w:hint="eastAsia" w:ascii="仿宋" w:hAnsi="仿宋" w:eastAsia="仿宋" w:cs="仿宋_GB2312"/>
          <w:color w:val="auto"/>
          <w:spacing w:val="-3"/>
          <w:szCs w:val="32"/>
        </w:rPr>
      </w:pPr>
      <w:r>
        <w:rPr>
          <w:rFonts w:hint="eastAsia" w:ascii="仿宋" w:hAnsi="仿宋" w:eastAsia="仿宋" w:cs="仿宋_GB2312"/>
          <w:color w:val="auto"/>
          <w:spacing w:val="-3"/>
          <w:szCs w:val="32"/>
        </w:rPr>
        <w:t>赛项评分标准如表7所示。</w:t>
      </w:r>
    </w:p>
    <w:p w14:paraId="00E89A1F">
      <w:pPr>
        <w:ind w:firstLine="480"/>
        <w:jc w:val="center"/>
        <w:rPr>
          <w:rFonts w:hint="eastAsia" w:ascii="仿宋" w:hAnsi="仿宋" w:eastAsia="仿宋" w:cs="仿宋_GB2312"/>
          <w:color w:val="auto"/>
          <w:sz w:val="24"/>
          <w:szCs w:val="18"/>
        </w:rPr>
      </w:pPr>
      <w:r>
        <w:rPr>
          <w:rFonts w:hint="eastAsia" w:ascii="仿宋" w:hAnsi="仿宋" w:eastAsia="仿宋" w:cs="仿宋_GB2312"/>
          <w:color w:val="auto"/>
          <w:sz w:val="24"/>
          <w:szCs w:val="18"/>
        </w:rPr>
        <w:t>表7 赛项评分标准表</w:t>
      </w:r>
    </w:p>
    <w:tbl>
      <w:tblPr>
        <w:tblStyle w:val="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1274"/>
        <w:gridCol w:w="6799"/>
      </w:tblGrid>
      <w:tr w14:paraId="2EA4D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shd w:val="clear" w:color="auto" w:fill="auto"/>
            <w:vAlign w:val="center"/>
          </w:tcPr>
          <w:p w14:paraId="734CD334">
            <w:pPr>
              <w:adjustRightInd w:val="0"/>
              <w:snapToGrid w:val="0"/>
              <w:spacing w:before="46" w:beforeLines="15" w:line="276" w:lineRule="auto"/>
              <w:ind w:firstLine="0" w:firstLineChars="0"/>
              <w:jc w:val="center"/>
              <w:rPr>
                <w:rFonts w:hint="eastAsia" w:ascii="仿宋" w:hAnsi="仿宋" w:eastAsia="仿宋"/>
                <w:color w:val="auto"/>
                <w:sz w:val="24"/>
                <w:lang w:val="zh-CN" w:bidi="zh-CN"/>
              </w:rPr>
            </w:pPr>
            <w:r>
              <w:rPr>
                <w:rFonts w:ascii="仿宋" w:hAnsi="仿宋" w:eastAsia="仿宋"/>
                <w:color w:val="auto"/>
                <w:sz w:val="24"/>
                <w:lang w:val="zh-CN" w:bidi="zh-CN"/>
              </w:rPr>
              <w:t>模块编号</w:t>
            </w:r>
          </w:p>
        </w:tc>
        <w:tc>
          <w:tcPr>
            <w:tcW w:w="703" w:type="pct"/>
            <w:shd w:val="clear" w:color="auto" w:fill="auto"/>
            <w:vAlign w:val="center"/>
          </w:tcPr>
          <w:p w14:paraId="654F5E03">
            <w:pPr>
              <w:adjustRightInd w:val="0"/>
              <w:snapToGrid w:val="0"/>
              <w:spacing w:before="46" w:beforeLines="15" w:line="276" w:lineRule="auto"/>
              <w:ind w:firstLine="0" w:firstLineChars="0"/>
              <w:jc w:val="center"/>
              <w:rPr>
                <w:rFonts w:hint="eastAsia" w:ascii="仿宋" w:hAnsi="仿宋" w:eastAsia="仿宋"/>
                <w:color w:val="auto"/>
                <w:sz w:val="24"/>
                <w:lang w:val="zh-CN" w:bidi="zh-CN"/>
              </w:rPr>
            </w:pPr>
            <w:r>
              <w:rPr>
                <w:rFonts w:ascii="仿宋" w:hAnsi="仿宋" w:eastAsia="仿宋"/>
                <w:color w:val="auto"/>
                <w:sz w:val="24"/>
                <w:lang w:val="zh-CN" w:bidi="zh-CN"/>
              </w:rPr>
              <w:t>模块名称</w:t>
            </w:r>
          </w:p>
        </w:tc>
        <w:tc>
          <w:tcPr>
            <w:tcW w:w="3752" w:type="pct"/>
            <w:shd w:val="clear" w:color="auto" w:fill="auto"/>
            <w:vAlign w:val="center"/>
          </w:tcPr>
          <w:p w14:paraId="30D67720">
            <w:pPr>
              <w:adjustRightInd w:val="0"/>
              <w:snapToGrid w:val="0"/>
              <w:spacing w:before="46" w:beforeLines="15" w:line="276" w:lineRule="auto"/>
              <w:ind w:firstLine="0" w:firstLineChars="0"/>
              <w:jc w:val="center"/>
              <w:rPr>
                <w:rFonts w:hint="eastAsia" w:ascii="仿宋" w:hAnsi="仿宋" w:eastAsia="仿宋"/>
                <w:color w:val="auto"/>
                <w:sz w:val="24"/>
                <w:lang w:val="zh-CN" w:bidi="zh-CN"/>
              </w:rPr>
            </w:pPr>
            <w:r>
              <w:rPr>
                <w:rFonts w:ascii="仿宋" w:hAnsi="仿宋" w:eastAsia="仿宋"/>
                <w:color w:val="auto"/>
                <w:sz w:val="24"/>
                <w:lang w:val="zh-CN" w:bidi="zh-CN"/>
              </w:rPr>
              <w:t>作业范围</w:t>
            </w:r>
          </w:p>
        </w:tc>
      </w:tr>
      <w:tr w14:paraId="19AF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Align w:val="center"/>
          </w:tcPr>
          <w:p w14:paraId="0607A99F">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模块一</w:t>
            </w:r>
          </w:p>
        </w:tc>
        <w:tc>
          <w:tcPr>
            <w:tcW w:w="703" w:type="pct"/>
            <w:vAlign w:val="center"/>
          </w:tcPr>
          <w:p w14:paraId="6F02F59A">
            <w:pPr>
              <w:adjustRightInd w:val="0"/>
              <w:snapToGrid w:val="0"/>
              <w:spacing w:before="78" w:beforeLines="25" w:line="300" w:lineRule="auto"/>
              <w:ind w:firstLine="0" w:firstLineChars="0"/>
              <w:rPr>
                <w:rFonts w:hint="eastAsia" w:ascii="仿宋" w:hAnsi="仿宋" w:eastAsia="仿宋"/>
                <w:color w:val="auto"/>
                <w:sz w:val="24"/>
                <w:lang w:val="zh-CN" w:bidi="zh-CN"/>
              </w:rPr>
            </w:pPr>
            <w:r>
              <w:rPr>
                <w:rFonts w:ascii="仿宋" w:hAnsi="仿宋" w:eastAsia="仿宋"/>
                <w:color w:val="auto"/>
                <w:sz w:val="24"/>
                <w:lang w:bidi="zh-CN"/>
              </w:rPr>
              <w:t>私有云平台的搭建与运维</w:t>
            </w:r>
          </w:p>
        </w:tc>
        <w:tc>
          <w:tcPr>
            <w:tcW w:w="3752" w:type="pct"/>
            <w:vAlign w:val="center"/>
          </w:tcPr>
          <w:p w14:paraId="5F9501AA">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ascii="仿宋" w:hAnsi="仿宋" w:eastAsia="仿宋"/>
                <w:color w:val="auto"/>
                <w:sz w:val="24"/>
                <w:lang w:val="zh-CN" w:bidi="zh-CN"/>
              </w:rPr>
              <w:t>1对物理主机操作系统设置与管理，包括网络、存储、虚拟化和安全等，确保操作系统正常；</w:t>
            </w:r>
          </w:p>
          <w:p w14:paraId="726DC62C">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ascii="仿宋" w:hAnsi="仿宋" w:eastAsia="仿宋"/>
                <w:color w:val="auto"/>
                <w:sz w:val="24"/>
                <w:lang w:val="zh-CN" w:bidi="zh-CN"/>
              </w:rPr>
              <w:t>2测试网络的连通性；</w:t>
            </w:r>
          </w:p>
          <w:p w14:paraId="78588A01">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ascii="仿宋" w:hAnsi="仿宋" w:eastAsia="仿宋"/>
                <w:color w:val="auto"/>
                <w:sz w:val="24"/>
                <w:lang w:val="zh-CN" w:bidi="zh-CN"/>
              </w:rPr>
              <w:t>3安装和配置Yum源、FTP、NTP、HTTP、RabbitMQ、MariaDB 数据库、Memcached、Etcd 等服务；</w:t>
            </w:r>
          </w:p>
          <w:p w14:paraId="77B34AA9">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ascii="仿宋" w:hAnsi="仿宋" w:eastAsia="仿宋"/>
                <w:color w:val="auto"/>
                <w:sz w:val="24"/>
                <w:lang w:val="zh-CN" w:bidi="zh-CN"/>
              </w:rPr>
              <w:t>4</w:t>
            </w:r>
            <w:r>
              <w:rPr>
                <w:rFonts w:hint="eastAsia" w:ascii="仿宋" w:hAnsi="仿宋" w:eastAsia="仿宋"/>
                <w:color w:val="auto"/>
                <w:sz w:val="24"/>
                <w:lang w:val="zh-CN" w:bidi="zh-CN"/>
              </w:rPr>
              <w:t>安装和配置 OpenStack 核心组件（Keystone、Glance、Nova、Neutron、Cinder等），</w:t>
            </w:r>
            <w:r>
              <w:rPr>
                <w:rFonts w:ascii="仿宋" w:hAnsi="仿宋" w:eastAsia="仿宋"/>
                <w:color w:val="auto"/>
                <w:sz w:val="24"/>
                <w:lang w:val="zh-CN" w:bidi="zh-CN"/>
              </w:rPr>
              <w:t>搭建完成后，检查各个组件的运行状态，能正确地使用私有云平台；</w:t>
            </w:r>
          </w:p>
          <w:p w14:paraId="344430CD">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ascii="仿宋" w:hAnsi="仿宋" w:eastAsia="仿宋"/>
                <w:color w:val="auto"/>
                <w:sz w:val="24"/>
                <w:lang w:val="zh-CN" w:bidi="zh-CN"/>
              </w:rPr>
              <w:t>5完成私有云组件的运维，包括Keystone、Glance、Nova、Neutron、Cinder、Swift等组件，并编写Shell脚本完成对Openstack的运维；</w:t>
            </w:r>
          </w:p>
          <w:p w14:paraId="3711089B">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ascii="仿宋" w:hAnsi="仿宋" w:eastAsia="仿宋"/>
                <w:color w:val="auto"/>
                <w:sz w:val="24"/>
                <w:lang w:val="zh-CN" w:bidi="zh-CN"/>
              </w:rPr>
              <w:t>6编写Python脚本调用Openstack API完成对Openstack的运维管理；</w:t>
            </w:r>
          </w:p>
          <w:p w14:paraId="2383FDDF">
            <w:pPr>
              <w:adjustRightInd w:val="0"/>
              <w:snapToGrid w:val="0"/>
              <w:spacing w:before="46" w:beforeLines="15" w:line="276" w:lineRule="auto"/>
              <w:ind w:firstLine="0" w:firstLineChars="0"/>
              <w:rPr>
                <w:rFonts w:hint="eastAsia" w:ascii="仿宋" w:hAnsi="仿宋" w:eastAsia="仿宋"/>
                <w:color w:val="auto"/>
                <w:sz w:val="24"/>
                <w:lang w:bidi="zh-CN"/>
              </w:rPr>
            </w:pPr>
            <w:r>
              <w:rPr>
                <w:rFonts w:ascii="仿宋" w:hAnsi="仿宋" w:eastAsia="仿宋"/>
                <w:color w:val="auto"/>
                <w:sz w:val="24"/>
                <w:lang w:bidi="zh-CN"/>
              </w:rPr>
              <w:t>7</w:t>
            </w:r>
            <w:r>
              <w:rPr>
                <w:rFonts w:hint="eastAsia" w:ascii="仿宋" w:hAnsi="仿宋" w:eastAsia="仿宋"/>
                <w:color w:val="auto"/>
                <w:sz w:val="24"/>
                <w:lang w:bidi="zh-CN"/>
              </w:rPr>
              <w:t>配置和管理 OpenStack 的日志系统，</w:t>
            </w:r>
            <w:r>
              <w:rPr>
                <w:rFonts w:hint="eastAsia" w:ascii="仿宋" w:hAnsi="仿宋" w:eastAsia="仿宋"/>
                <w:color w:val="auto"/>
                <w:sz w:val="24"/>
                <w:lang w:val="zh-CN" w:bidi="zh-CN"/>
              </w:rPr>
              <w:t>故障排查与恢复（虚拟机故障、网络故障、存储故障等），实施云平台的安全加固措施（如密钥管理、SSL 证书配置等）。</w:t>
            </w:r>
          </w:p>
        </w:tc>
      </w:tr>
      <w:tr w14:paraId="07DC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Align w:val="center"/>
          </w:tcPr>
          <w:p w14:paraId="704B1831">
            <w:pPr>
              <w:adjustRightInd w:val="0"/>
              <w:snapToGrid w:val="0"/>
              <w:spacing w:before="46" w:beforeLines="15" w:line="276" w:lineRule="auto"/>
              <w:ind w:firstLine="0" w:firstLineChars="0"/>
              <w:rPr>
                <w:rFonts w:hint="default" w:ascii="仿宋" w:hAnsi="仿宋" w:eastAsia="仿宋"/>
                <w:color w:val="auto"/>
                <w:sz w:val="24"/>
                <w:lang w:val="en-US" w:bidi="zh-CN"/>
              </w:rPr>
            </w:pPr>
            <w:r>
              <w:rPr>
                <w:rFonts w:hint="eastAsia" w:ascii="仿宋" w:hAnsi="仿宋" w:eastAsia="仿宋"/>
                <w:color w:val="auto"/>
                <w:sz w:val="24"/>
                <w:lang w:val="zh-CN" w:bidi="zh-CN"/>
              </w:rPr>
              <w:t>模块</w:t>
            </w:r>
            <w:r>
              <w:rPr>
                <w:rFonts w:hint="eastAsia" w:ascii="仿宋" w:hAnsi="仿宋" w:eastAsia="仿宋"/>
                <w:color w:val="auto"/>
                <w:sz w:val="24"/>
                <w:lang w:val="en-US" w:bidi="zh-CN"/>
              </w:rPr>
              <w:t>二</w:t>
            </w:r>
          </w:p>
        </w:tc>
        <w:tc>
          <w:tcPr>
            <w:tcW w:w="703" w:type="pct"/>
            <w:vAlign w:val="center"/>
          </w:tcPr>
          <w:p w14:paraId="0BEC0D02">
            <w:pPr>
              <w:adjustRightInd w:val="0"/>
              <w:snapToGrid w:val="0"/>
              <w:spacing w:before="78" w:beforeLines="25" w:line="300" w:lineRule="auto"/>
              <w:ind w:firstLine="0" w:firstLineChars="0"/>
              <w:rPr>
                <w:rFonts w:hint="eastAsia" w:ascii="仿宋" w:hAnsi="仿宋" w:eastAsia="仿宋"/>
                <w:color w:val="auto"/>
                <w:sz w:val="24"/>
                <w:lang w:val="zh-CN" w:bidi="zh-CN"/>
              </w:rPr>
            </w:pPr>
            <w:r>
              <w:rPr>
                <w:rFonts w:ascii="仿宋" w:hAnsi="仿宋" w:eastAsia="仿宋"/>
                <w:color w:val="auto"/>
                <w:sz w:val="24"/>
                <w:lang w:bidi="zh-CN"/>
              </w:rPr>
              <w:t>容器的编排与运维</w:t>
            </w:r>
          </w:p>
        </w:tc>
        <w:tc>
          <w:tcPr>
            <w:tcW w:w="3752" w:type="pct"/>
            <w:vAlign w:val="center"/>
          </w:tcPr>
          <w:p w14:paraId="79BBCD48">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1安装Docker服务，部署私有容器仓库（如Harbor），能熟练使用Docker的各项命令；</w:t>
            </w:r>
          </w:p>
          <w:p w14:paraId="34BF2EE7">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2 Kubernetes平台的架构设计，容器环境准备，编写正确的模板文件，搭建Kubernetes容器云平台；</w:t>
            </w:r>
          </w:p>
          <w:p w14:paraId="2577358D">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3运行容器云平台的各项命令，能够检查容器云平台的运行状态，监控容器云平台的运行情况；</w:t>
            </w:r>
          </w:p>
          <w:p w14:paraId="694E2FB2">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4能够进行容器基础的运维操作，包括镜像管理、容器生命周期管理、仓库配置、网络设置等；</w:t>
            </w:r>
          </w:p>
          <w:p w14:paraId="7788B8D2">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5编写Dockerfile和使用Commit等方式制作容器私有镜像；</w:t>
            </w:r>
          </w:p>
          <w:p w14:paraId="5327457A">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6进行Kubernetes平台运维操作，包括管理Pod、编写YAML文件部署应用、配置负载均衡（Service/Ingress）、自动伸缩（HPA）、实现DevOps流水线；</w:t>
            </w:r>
          </w:p>
          <w:p w14:paraId="24A13675">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7 集成Istio服务网格，实现流量管理（如金丝雀发布、蓝绿部署）、安全策略（mTLS）、监控与追踪（Prometheus、Jaeger）；</w:t>
            </w:r>
          </w:p>
          <w:p w14:paraId="57B2F7E0">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8 使用KubeVirt管理虚拟机，在Kubernetes上实现容器与虚拟机的混合部署，支持传统应用与云原生应用的共存。</w:t>
            </w:r>
          </w:p>
        </w:tc>
      </w:tr>
      <w:tr w14:paraId="0CFD6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5" w:type="pct"/>
            <w:vAlign w:val="center"/>
          </w:tcPr>
          <w:p w14:paraId="25340C53">
            <w:pPr>
              <w:adjustRightInd w:val="0"/>
              <w:snapToGrid w:val="0"/>
              <w:spacing w:before="46" w:beforeLines="15" w:line="276" w:lineRule="auto"/>
              <w:ind w:firstLine="0" w:firstLineChars="0"/>
              <w:rPr>
                <w:rFonts w:hint="eastAsia" w:ascii="仿宋" w:hAnsi="仿宋" w:eastAsia="仿宋"/>
                <w:color w:val="auto"/>
                <w:sz w:val="24"/>
                <w:lang w:bidi="zh-CN"/>
              </w:rPr>
            </w:pPr>
            <w:r>
              <w:rPr>
                <w:rFonts w:hint="eastAsia" w:ascii="仿宋" w:hAnsi="仿宋" w:eastAsia="仿宋"/>
                <w:color w:val="auto"/>
                <w:sz w:val="24"/>
                <w:lang w:bidi="zh-CN"/>
              </w:rPr>
              <w:t>模块</w:t>
            </w:r>
            <w:r>
              <w:rPr>
                <w:rFonts w:hint="eastAsia" w:ascii="仿宋" w:hAnsi="仿宋" w:eastAsia="仿宋"/>
                <w:color w:val="auto"/>
                <w:sz w:val="24"/>
                <w:lang w:val="en-US" w:bidi="zh-CN"/>
              </w:rPr>
              <w:t>三</w:t>
            </w:r>
          </w:p>
        </w:tc>
        <w:tc>
          <w:tcPr>
            <w:tcW w:w="703" w:type="pct"/>
            <w:vAlign w:val="center"/>
          </w:tcPr>
          <w:p w14:paraId="58C99668">
            <w:pPr>
              <w:adjustRightInd w:val="0"/>
              <w:snapToGrid w:val="0"/>
              <w:spacing w:before="78" w:beforeLines="25" w:line="300" w:lineRule="auto"/>
              <w:ind w:firstLine="0" w:firstLineChars="0"/>
              <w:rPr>
                <w:rFonts w:hint="eastAsia" w:ascii="仿宋" w:hAnsi="仿宋" w:eastAsia="仿宋"/>
                <w:color w:val="auto"/>
                <w:sz w:val="24"/>
                <w:lang w:bidi="zh-CN"/>
              </w:rPr>
            </w:pPr>
            <w:r>
              <w:rPr>
                <w:rFonts w:hint="eastAsia" w:ascii="仿宋" w:hAnsi="仿宋" w:eastAsia="仿宋"/>
                <w:color w:val="auto"/>
                <w:sz w:val="24"/>
                <w:lang w:bidi="zh-CN"/>
              </w:rPr>
              <w:t>企业级应用的自动化部署和运维</w:t>
            </w:r>
          </w:p>
        </w:tc>
        <w:tc>
          <w:tcPr>
            <w:tcW w:w="3752" w:type="pct"/>
            <w:vAlign w:val="center"/>
          </w:tcPr>
          <w:p w14:paraId="489BEDD8">
            <w:pPr>
              <w:adjustRightInd w:val="0"/>
              <w:snapToGrid w:val="0"/>
              <w:spacing w:before="46" w:beforeLines="15" w:line="276" w:lineRule="auto"/>
              <w:ind w:firstLine="0" w:firstLineChars="0"/>
              <w:rPr>
                <w:rFonts w:hint="eastAsia" w:ascii="仿宋" w:hAnsi="仿宋" w:eastAsia="仿宋"/>
                <w:color w:val="auto"/>
                <w:sz w:val="24"/>
                <w:lang w:bidi="zh-CN"/>
              </w:rPr>
            </w:pPr>
            <w:r>
              <w:rPr>
                <w:rFonts w:hint="eastAsia" w:ascii="仿宋" w:hAnsi="仿宋" w:eastAsia="仿宋"/>
                <w:color w:val="auto"/>
                <w:sz w:val="24"/>
                <w:lang w:val="zh-CN" w:bidi="zh-CN"/>
              </w:rPr>
              <w:t>1使用Ansible等自动化运维工具完成运维任务，例如多节点集群部署、集群运维、批量运行命令等；使用Terraform进行基础设施即代码（IaC）的实践；使用Jenkins或GitLab CI/CD 进行持续集成和持续部署（CI/CD）；</w:t>
            </w:r>
          </w:p>
          <w:p w14:paraId="21005E0C">
            <w:pPr>
              <w:adjustRightInd w:val="0"/>
              <w:snapToGrid w:val="0"/>
              <w:spacing w:before="46" w:beforeLines="15" w:line="276" w:lineRule="auto"/>
              <w:ind w:firstLine="0" w:firstLineChars="0"/>
              <w:rPr>
                <w:rFonts w:hint="eastAsia" w:ascii="仿宋" w:hAnsi="仿宋" w:eastAsia="仿宋"/>
                <w:color w:val="auto"/>
                <w:sz w:val="24"/>
                <w:lang w:bidi="zh-CN"/>
              </w:rPr>
            </w:pPr>
            <w:r>
              <w:rPr>
                <w:rFonts w:hint="eastAsia" w:ascii="仿宋" w:hAnsi="仿宋" w:eastAsia="仿宋"/>
                <w:color w:val="auto"/>
                <w:sz w:val="24"/>
                <w:lang w:val="zh-CN" w:bidi="zh-CN"/>
              </w:rPr>
              <w:t>2</w:t>
            </w:r>
            <w:r>
              <w:rPr>
                <w:rFonts w:ascii="仿宋" w:hAnsi="仿宋" w:eastAsia="仿宋"/>
                <w:color w:val="auto"/>
                <w:sz w:val="24"/>
                <w:lang w:val="zh-CN" w:bidi="zh-CN"/>
              </w:rPr>
              <w:t>部署和管理企业级应用</w:t>
            </w:r>
            <w:r>
              <w:rPr>
                <w:rFonts w:hint="eastAsia" w:ascii="仿宋" w:hAnsi="仿宋" w:eastAsia="仿宋"/>
                <w:color w:val="auto"/>
                <w:sz w:val="24"/>
                <w:lang w:val="zh-CN" w:bidi="zh-CN"/>
              </w:rPr>
              <w:t>（</w:t>
            </w:r>
            <w:r>
              <w:rPr>
                <w:rFonts w:ascii="仿宋" w:hAnsi="仿宋" w:eastAsia="仿宋"/>
                <w:color w:val="auto"/>
                <w:sz w:val="24"/>
                <w:lang w:val="zh-CN" w:bidi="zh-CN"/>
              </w:rPr>
              <w:t>如Web应用、数据库、消息队列等）</w:t>
            </w:r>
            <w:r>
              <w:rPr>
                <w:rFonts w:hint="eastAsia" w:ascii="仿宋" w:hAnsi="仿宋" w:eastAsia="仿宋"/>
                <w:color w:val="auto"/>
                <w:sz w:val="24"/>
                <w:lang w:val="zh-CN" w:bidi="zh-CN"/>
              </w:rPr>
              <w:t>；配置和管理应用的负载均衡和高可用性（HAProxy、Nginx等）；</w:t>
            </w:r>
          </w:p>
          <w:p w14:paraId="2624BF63">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3配置和使用云平台的监控工具（如Prometheus、CloudWatch、Zabbix、Nagios 等）；使用Prometheus等工具定义监测指标与告警规则，对云主机、应用系统、服务进行性能监测、提供高可用服务，并可根据业务需求扩展服务，自动故障恢复、提升应用系统的安全性、可靠性、可维护性等；</w:t>
            </w:r>
          </w:p>
          <w:p w14:paraId="6ACF0850">
            <w:pPr>
              <w:adjustRightInd w:val="0"/>
              <w:snapToGrid w:val="0"/>
              <w:spacing w:before="46" w:beforeLines="15" w:line="276" w:lineRule="auto"/>
              <w:ind w:firstLine="0" w:firstLineChars="0"/>
              <w:rPr>
                <w:rFonts w:hint="eastAsia" w:ascii="仿宋" w:hAnsi="仿宋" w:eastAsia="仿宋"/>
                <w:color w:val="auto"/>
                <w:sz w:val="24"/>
                <w:lang w:bidi="zh-CN"/>
              </w:rPr>
            </w:pPr>
            <w:r>
              <w:rPr>
                <w:rFonts w:hint="eastAsia" w:ascii="仿宋" w:hAnsi="仿宋" w:eastAsia="仿宋"/>
                <w:color w:val="auto"/>
                <w:sz w:val="24"/>
                <w:lang w:val="zh-CN" w:bidi="zh-CN"/>
              </w:rPr>
              <w:t>4实施云资源的备份和恢复策略，实施云平台和应用的高可用性（HA）和容灾方案</w:t>
            </w:r>
          </w:p>
          <w:p w14:paraId="237ECC9E">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5完成云上的应用项目部署，如搭建私有博客系统、搭建应用商城网站等；</w:t>
            </w:r>
          </w:p>
          <w:p w14:paraId="527C7E12">
            <w:pPr>
              <w:adjustRightInd w:val="0"/>
              <w:snapToGrid w:val="0"/>
              <w:spacing w:before="46" w:beforeLines="15" w:line="276" w:lineRule="auto"/>
              <w:ind w:firstLine="0" w:firstLineChars="0"/>
              <w:rPr>
                <w:rFonts w:hint="eastAsia" w:ascii="仿宋" w:hAnsi="仿宋" w:eastAsia="仿宋"/>
                <w:color w:val="auto"/>
                <w:sz w:val="24"/>
                <w:lang w:val="zh-CN" w:bidi="zh-CN"/>
              </w:rPr>
            </w:pPr>
            <w:r>
              <w:rPr>
                <w:rFonts w:hint="eastAsia" w:ascii="仿宋" w:hAnsi="仿宋" w:eastAsia="仿宋"/>
                <w:color w:val="auto"/>
                <w:sz w:val="24"/>
                <w:lang w:val="zh-CN" w:bidi="zh-CN"/>
              </w:rPr>
              <w:t>6编写Shell脚本完成运维任务，例如数据库备份、应用的一键部署、检测服务状态等。</w:t>
            </w:r>
          </w:p>
        </w:tc>
      </w:tr>
    </w:tbl>
    <w:p w14:paraId="4E48C35E">
      <w:pPr>
        <w:ind w:firstLine="548"/>
        <w:rPr>
          <w:rFonts w:hint="eastAsia" w:ascii="仿宋" w:hAnsi="仿宋" w:eastAsia="仿宋" w:cs="仿宋_GB2312"/>
          <w:color w:val="auto"/>
          <w:spacing w:val="-3"/>
          <w:sz w:val="28"/>
          <w:szCs w:val="28"/>
        </w:rPr>
      </w:pPr>
    </w:p>
    <w:p w14:paraId="587BDD04">
      <w:pPr>
        <w:ind w:firstLine="0" w:firstLineChars="0"/>
        <w:jc w:val="left"/>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（二）核分</w:t>
      </w:r>
    </w:p>
    <w:p w14:paraId="22DAC390">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监督仲裁对大赛进行全程监督，对竞赛成绩抽检复核，并接受由参赛队领队提出的申诉、组织复议，及时反馈复议结果。</w:t>
      </w:r>
    </w:p>
    <w:p w14:paraId="3D8D2E60">
      <w:pPr>
        <w:ind w:firstLine="0" w:firstLineChars="0"/>
        <w:jc w:val="left"/>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（三）评分方法</w:t>
      </w:r>
    </w:p>
    <w:p w14:paraId="6C38E227">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1.本赛项采用竞赛系统实时自动评分。</w:t>
      </w:r>
    </w:p>
    <w:p w14:paraId="507BCFCC">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为保障成绩准确性，监督仲裁组将对赛项总成绩排名前30%的所有参赛队伍的成绩进行复核；对其余参赛队成绩进行抽检复核，抽检覆盖率不得低于15%。如发现成绩错误以书面方式及时告知裁判长，由裁判长更正成绩并签字确认。复核、抽检错误率超过5%时，裁判组将对所有成绩进行复核。</w:t>
      </w:r>
    </w:p>
    <w:p w14:paraId="38DF943C">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3.裁判长正式提交赛位评分结果并复核无误后，加密裁判在监督仲裁人员监督下对加密结果进行逐层解密，解密过程严格按照相关文件的方法和模板进行。</w:t>
      </w:r>
    </w:p>
    <w:p w14:paraId="74469471">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4.竞赛成绩经复核无误后，由裁判长、监督仲裁人员审核签字后公布。</w:t>
      </w:r>
    </w:p>
    <w:p w14:paraId="52B99A4D">
      <w:pPr>
        <w:pStyle w:val="14"/>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赛场预案</w:t>
      </w:r>
    </w:p>
    <w:p w14:paraId="35616180">
      <w:pPr>
        <w:keepNext w:val="0"/>
        <w:keepLines w:val="0"/>
        <w:pageBreakBefore w:val="0"/>
        <w:widowControl w:val="0"/>
        <w:kinsoku/>
        <w:wordWrap/>
        <w:overflowPunct/>
        <w:topLinePunct w:val="0"/>
        <w:autoSpaceDE/>
        <w:autoSpaceDN/>
        <w:bidi w:val="0"/>
        <w:adjustRightInd w:val="0"/>
        <w:snapToGrid w:val="0"/>
        <w:spacing w:before="157" w:beforeLines="50"/>
        <w:ind w:firstLine="640"/>
        <w:jc w:val="left"/>
        <w:textAlignment w:val="auto"/>
        <w:rPr>
          <w:rFonts w:hint="eastAsia" w:ascii="仿宋" w:hAnsi="仿宋" w:eastAsia="仿宋" w:cs="仿宋_GB2312"/>
          <w:color w:val="auto"/>
          <w:szCs w:val="32"/>
        </w:rPr>
      </w:pPr>
      <w:r>
        <w:rPr>
          <w:rFonts w:hint="eastAsia" w:ascii="仿宋" w:hAnsi="仿宋" w:eastAsia="仿宋" w:cs="仿宋_GB2312"/>
          <w:color w:val="auto"/>
          <w:szCs w:val="32"/>
        </w:rPr>
        <w:t>赛场备用赛位：赛场提供占总参赛队伍10%的备用赛位。</w:t>
      </w:r>
    </w:p>
    <w:p w14:paraId="73E64A0F">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竞赛系统可靠性：竞赛系统服务器应进行冗余，数据库、存储应使用高可用架构。赛前一周试运行、压力测试，由承办院校组织真实竞赛环境测试。</w:t>
      </w:r>
    </w:p>
    <w:p w14:paraId="64B40421">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竞赛备用云主机资源：竞赛现场提供占总参赛队伍10%的备用云主机资源。</w:t>
      </w:r>
    </w:p>
    <w:p w14:paraId="690F485E">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竞赛现场应急预案如下：</w:t>
      </w:r>
    </w:p>
    <w:p w14:paraId="0A582AF3">
      <w:pPr>
        <w:adjustRightInd w:val="0"/>
        <w:snapToGrid w:val="0"/>
        <w:ind w:firstLine="640"/>
        <w:jc w:val="left"/>
        <w:rPr>
          <w:rFonts w:hint="eastAsia" w:ascii="仿宋" w:hAnsi="仿宋" w:eastAsia="仿宋" w:cs="仿宋_GB2312"/>
          <w:bCs/>
          <w:color w:val="auto"/>
          <w:szCs w:val="32"/>
        </w:rPr>
      </w:pPr>
      <w:r>
        <w:rPr>
          <w:rFonts w:hint="eastAsia" w:ascii="仿宋" w:hAnsi="仿宋" w:eastAsia="仿宋" w:cs="仿宋_GB2312"/>
          <w:bCs/>
          <w:color w:val="auto"/>
          <w:szCs w:val="32"/>
        </w:rPr>
        <w:t>1.云主机资源问题预案</w:t>
      </w:r>
    </w:p>
    <w:p w14:paraId="737455DC">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若云主机在比赛过程中出现卡顿、死机等情况，参赛选手举手示意裁判，由裁判与技术支持人员确定情况，经裁判长同意后，可更换云主机资源。更换云主机资源的等待时间，延时时间由裁判长确定，写出书面说明，并签字确认。</w:t>
      </w:r>
    </w:p>
    <w:p w14:paraId="510ED1DB">
      <w:pPr>
        <w:adjustRightInd w:val="0"/>
        <w:snapToGrid w:val="0"/>
        <w:ind w:firstLine="640"/>
        <w:jc w:val="left"/>
        <w:rPr>
          <w:rFonts w:hint="eastAsia" w:ascii="仿宋" w:hAnsi="仿宋" w:eastAsia="仿宋" w:cs="仿宋_GB2312"/>
          <w:bCs/>
          <w:color w:val="auto"/>
          <w:szCs w:val="32"/>
        </w:rPr>
      </w:pPr>
      <w:r>
        <w:rPr>
          <w:rFonts w:hint="eastAsia" w:ascii="仿宋" w:hAnsi="仿宋" w:eastAsia="仿宋" w:cs="仿宋_GB2312"/>
          <w:bCs/>
          <w:color w:val="auto"/>
          <w:szCs w:val="32"/>
        </w:rPr>
        <w:t>2.PC机问题预案</w:t>
      </w:r>
    </w:p>
    <w:p w14:paraId="40959EFE">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若PC机在比赛过程中出现死机、蓝屏等现象（重启后无法解决），参赛选手举手示意裁判，由裁判与技术支持人员确定情况，经裁判长同意后，可更换备用赛位或更换PC机进行答题，延时时间由裁判长确定，写出书面说明，并签字确认。</w:t>
      </w:r>
    </w:p>
    <w:p w14:paraId="47014759">
      <w:pPr>
        <w:pStyle w:val="14"/>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赛项安全</w:t>
      </w:r>
    </w:p>
    <w:p w14:paraId="171AE957">
      <w:pPr>
        <w:keepNext w:val="0"/>
        <w:keepLines w:val="0"/>
        <w:pageBreakBefore w:val="0"/>
        <w:widowControl w:val="0"/>
        <w:kinsoku/>
        <w:wordWrap/>
        <w:overflowPunct/>
        <w:topLinePunct w:val="0"/>
        <w:autoSpaceDE/>
        <w:autoSpaceDN/>
        <w:bidi w:val="0"/>
        <w:adjustRightInd w:val="0"/>
        <w:snapToGrid w:val="0"/>
        <w:spacing w:before="157" w:beforeLines="50"/>
        <w:ind w:firstLine="640"/>
        <w:jc w:val="left"/>
        <w:textAlignment w:val="auto"/>
        <w:rPr>
          <w:rFonts w:hint="eastAsia" w:ascii="仿宋" w:hAnsi="仿宋" w:eastAsia="仿宋" w:cs="仿宋_GB2312"/>
          <w:color w:val="auto"/>
          <w:szCs w:val="32"/>
        </w:rPr>
      </w:pPr>
      <w:r>
        <w:rPr>
          <w:rFonts w:hint="eastAsia" w:ascii="仿宋" w:hAnsi="仿宋" w:eastAsia="仿宋" w:cs="仿宋_GB2312"/>
          <w:color w:val="auto"/>
          <w:szCs w:val="32"/>
        </w:rPr>
        <w:t>（一）比赛环境</w:t>
      </w:r>
    </w:p>
    <w:p w14:paraId="7E76776F">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1.须在赛前组织专人对比赛现场、住宿场所和交通保障进行考察，赛场的布置、器材、设备、网络、用电总负荷，应符合国家安全规定和赛项安全要求。</w:t>
      </w:r>
    </w:p>
    <w:p w14:paraId="21D0CC72">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2.赛场周围要设立警戒线，人员必须凭有效证件进入场地。</w:t>
      </w:r>
    </w:p>
    <w:p w14:paraId="623FF346">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3.严格控制与参赛无关的易燃、易爆及各类危险品进入比赛场地。</w:t>
      </w:r>
    </w:p>
    <w:p w14:paraId="4A64B7AB">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4.防止外部电磁波干扰比赛。</w:t>
      </w:r>
    </w:p>
    <w:p w14:paraId="14E702E6">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5.由承办院校制定赛场开放期间人员疏导方案。</w:t>
      </w:r>
    </w:p>
    <w:p w14:paraId="7D66FAFB">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6.承办院校须在赛场设置医疗医护工作站。</w:t>
      </w:r>
    </w:p>
    <w:p w14:paraId="72B76FAF">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（二）生活条件</w:t>
      </w:r>
    </w:p>
    <w:p w14:paraId="02447A33">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1.大赛期间承办院校统一安排参赛选手和指导教师食宿，安排好少数民族饮食起居。</w:t>
      </w:r>
    </w:p>
    <w:p w14:paraId="1810A01E">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2.安排的住宿地应具有经营许可资质。</w:t>
      </w:r>
    </w:p>
    <w:p w14:paraId="50DB4B1C">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3.严格遵守国家相关法律法规，保护个人隐私和人身自由。</w:t>
      </w:r>
    </w:p>
    <w:p w14:paraId="07DD4219">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（三）组队责任</w:t>
      </w:r>
    </w:p>
    <w:p w14:paraId="4E3D7327">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1.各参赛学校须为参赛选手购买大赛期间的人身意外伤害保险。</w:t>
      </w:r>
    </w:p>
    <w:p w14:paraId="2677703E">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2.各参赛学校须制定相关管理制度，并进行安全教育。</w:t>
      </w:r>
    </w:p>
    <w:p w14:paraId="4F19C287">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（四）应急处理</w:t>
      </w:r>
    </w:p>
    <w:p w14:paraId="2A48A43D">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比赛期间发生意外事故时，赛项执委会立即启动预案予以解决。出现重大安全问题的赛项可由大赛执委会决定是否停赛。</w:t>
      </w:r>
    </w:p>
    <w:p w14:paraId="3FD180EA">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（五）处罚措施</w:t>
      </w:r>
    </w:p>
    <w:p w14:paraId="634B7928">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1.因参赛队伍原因造成重大安全事故，取消其获奖资格。</w:t>
      </w:r>
    </w:p>
    <w:p w14:paraId="6173DFCD">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2.赛事工作人员违规者，按照相应的制度追究责任。情节恶劣并造成重大安全事故的，由司法机关追究相应法律责任。</w:t>
      </w:r>
    </w:p>
    <w:p w14:paraId="355DA75F">
      <w:pPr>
        <w:pStyle w:val="14"/>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竞赛须知</w:t>
      </w:r>
    </w:p>
    <w:p w14:paraId="64EAB091">
      <w:pPr>
        <w:keepNext w:val="0"/>
        <w:keepLines w:val="0"/>
        <w:pageBreakBefore w:val="0"/>
        <w:widowControl w:val="0"/>
        <w:kinsoku/>
        <w:wordWrap/>
        <w:overflowPunct/>
        <w:topLinePunct w:val="0"/>
        <w:autoSpaceDE/>
        <w:autoSpaceDN/>
        <w:bidi w:val="0"/>
        <w:adjustRightInd/>
        <w:snapToGrid/>
        <w:spacing w:before="157" w:beforeLines="50"/>
        <w:ind w:firstLine="0" w:firstLineChars="0"/>
        <w:jc w:val="left"/>
        <w:textAlignment w:val="auto"/>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（一）参赛队须知</w:t>
      </w:r>
    </w:p>
    <w:p w14:paraId="1A848857">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1.参赛队应按时参加赛项承办单位组织的各项赛事活动。</w:t>
      </w:r>
    </w:p>
    <w:p w14:paraId="696F2707">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2.在赛事期间，领队及参赛队其他成员不得私自接触裁判，凡发现有弄虚作假者，取消其参赛资格，成绩无效。</w:t>
      </w:r>
    </w:p>
    <w:p w14:paraId="683924F0">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3.所有参赛人员须按照赛项规程要求完成赛项评价工作。</w:t>
      </w:r>
    </w:p>
    <w:p w14:paraId="734AEC84">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4.对于有碍大赛公正和正常进行的参赛队，视其情节轻重，按照《海南省职业院校学生技能大赛方案》给予警告、取消比赛成绩、通报批评等处理。</w:t>
      </w:r>
    </w:p>
    <w:p w14:paraId="1C608249">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5.对于在大赛过程及有关活动中造成重大影响的，以适当方式通告参赛院校或其所属地区的教育行政主管部门，依据有关规定给予行政或纪律处分，同时停止该院校参加职业院校技能大赛1年(届)。涉及刑事犯罪的移交司法机关处理。</w:t>
      </w:r>
    </w:p>
    <w:p w14:paraId="3D72E796">
      <w:pPr>
        <w:ind w:firstLine="0" w:firstLineChars="0"/>
        <w:jc w:val="left"/>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（二）参赛选手须知</w:t>
      </w:r>
    </w:p>
    <w:p w14:paraId="7C2B40C0">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1.参赛选手应当文明参赛，服从裁判统一指挥，尊重赛场工作人员，自觉维护赛场秩序。如参赛选手因对裁判不服从而停止比赛，则以弃权处理。</w:t>
      </w:r>
    </w:p>
    <w:p w14:paraId="22600F18">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2.参赛选手须严格遵守竞赛规程规定的安全操作流程，防止发生安全事故。</w:t>
      </w:r>
    </w:p>
    <w:p w14:paraId="5A2FE39C">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3.参赛选手应该爱护赛场使用的设备、仪器等，不得人为损坏比赛所使用的仪器设备。</w:t>
      </w:r>
    </w:p>
    <w:p w14:paraId="7A3BB3FB">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4.参赛选手须严格按照规定时间进入候考区和比赛场地，不允许携带任何竞赛规程禁止使用的电子产品及通讯工具，以及其它与竞赛有关的资料和书籍，不得以任何方式泄露参赛院校、选手姓名等涉及竞赛中应该保密的信息。</w:t>
      </w:r>
    </w:p>
    <w:p w14:paraId="5F749BFE">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5.参赛选手对于认为有影响比赛成绩的裁判行为或设备故障等，应向指导教师反映，由指导教师按大赛制度规定进行申诉。参赛选手不得利用比赛相关的微信群、QQ 群发表虚假信息和不当言论。</w:t>
      </w:r>
    </w:p>
    <w:p w14:paraId="17914A33">
      <w:pPr>
        <w:ind w:firstLine="0" w:firstLineChars="0"/>
        <w:jc w:val="left"/>
        <w:outlineLvl w:val="1"/>
        <w:rPr>
          <w:rFonts w:hint="eastAsia" w:ascii="仿宋" w:hAnsi="仿宋" w:eastAsia="仿宋" w:cs="仿宋_GB2312"/>
          <w:bCs/>
          <w:color w:val="auto"/>
          <w:szCs w:val="32"/>
        </w:rPr>
      </w:pPr>
      <w:r>
        <w:rPr>
          <w:rFonts w:hint="eastAsia" w:ascii="仿宋" w:hAnsi="仿宋" w:eastAsia="仿宋" w:cs="仿宋_GB2312"/>
          <w:bCs/>
          <w:color w:val="auto"/>
          <w:szCs w:val="32"/>
        </w:rPr>
        <w:t>（三）指导教师须知</w:t>
      </w:r>
    </w:p>
    <w:p w14:paraId="3BD841B9">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1.指导教师应该根据专业教学计划和赛项规程合理制定训练方案，认真指导选手训练，培养选手的综合职业能力和良好的职业素养，克服功利化思想。</w:t>
      </w:r>
    </w:p>
    <w:p w14:paraId="725E1CB6">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2.指导教师应该根据赛项规程要求做好参赛选手保险办理工作，并积极做好选手的安全教育。</w:t>
      </w:r>
    </w:p>
    <w:p w14:paraId="1F806F66">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3.指导教师参加赛项观摩等活动，不得违反赛项规定进入赛场，干扰比赛正常进行。</w:t>
      </w:r>
    </w:p>
    <w:p w14:paraId="1D3E6A82">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4.指导教师应自觉遵守大赛各项制度，尊重专家、裁判、监督仲裁及工作人员。要引导和教育参赛选手对于认为有影响比赛成绩的裁判行为或设备故障，按照赛项指南规定和大赛制度与裁判、工作人员进行充分沟通或赛后提出申诉，不得在网络、微信群等各种媒体发表、传播有待核实信息和过激言论。对比赛过程中的争议问题，要按大赛制度规定程序处理，不得采取过激行为。</w:t>
      </w:r>
    </w:p>
    <w:p w14:paraId="7E88B784">
      <w:pPr>
        <w:ind w:firstLine="0" w:firstLineChars="0"/>
        <w:jc w:val="left"/>
        <w:outlineLvl w:val="1"/>
        <w:rPr>
          <w:rFonts w:hint="eastAsia" w:ascii="仿宋" w:hAnsi="仿宋" w:eastAsia="仿宋" w:cs="仿宋_GB2312"/>
          <w:bCs/>
          <w:color w:val="auto"/>
          <w:szCs w:val="32"/>
        </w:rPr>
      </w:pPr>
      <w:r>
        <w:rPr>
          <w:rFonts w:hint="eastAsia" w:ascii="仿宋" w:hAnsi="仿宋" w:eastAsia="仿宋" w:cs="仿宋_GB2312"/>
          <w:bCs/>
          <w:color w:val="auto"/>
          <w:szCs w:val="32"/>
        </w:rPr>
        <w:t>（四）工作人员须知</w:t>
      </w:r>
    </w:p>
    <w:p w14:paraId="5DF54F4B">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1.全体工作人员必须佩戴标志，按照工作分工准时到岗，协助裁判员做好抽签、技术保障、维持秩序等工作，保证大赛顺利进行。</w:t>
      </w:r>
    </w:p>
    <w:p w14:paraId="26EFD254">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2.如遇突发事件要及时报告裁判长，同时做好疏导工作，避免重大事故发生，确保大赛圆满成功。</w:t>
      </w:r>
    </w:p>
    <w:p w14:paraId="5964B170">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3.全体工作人员不得在大赛现场接打电话，以保证赛场肃静无扰。</w:t>
      </w:r>
    </w:p>
    <w:p w14:paraId="06F7F620">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4.各工作组负责人，要坚守岗位，组织落实本组成员高效率完成各自工作任务，做好监督协调工作。</w:t>
      </w:r>
    </w:p>
    <w:p w14:paraId="71A9D455">
      <w:pPr>
        <w:pStyle w:val="14"/>
        <w:rPr>
          <w:rFonts w:hint="eastAsia" w:ascii="黑体" w:hAnsi="黑体" w:eastAsia="黑体" w:cs="黑体"/>
          <w:color w:val="auto"/>
          <w:sz w:val="32"/>
          <w:szCs w:val="32"/>
          <w:lang w:eastAsia="zh-CN"/>
        </w:rPr>
      </w:pPr>
      <w:r>
        <w:rPr>
          <w:rFonts w:hint="eastAsia" w:ascii="黑体" w:hAnsi="黑体" w:eastAsia="黑体" w:cs="黑体"/>
          <w:color w:val="auto"/>
          <w:sz w:val="32"/>
          <w:szCs w:val="32"/>
          <w:lang w:eastAsia="zh-CN"/>
        </w:rPr>
        <w:t>申诉与仲裁</w:t>
      </w:r>
    </w:p>
    <w:p w14:paraId="1B43AF40">
      <w:pPr>
        <w:keepNext w:val="0"/>
        <w:keepLines w:val="0"/>
        <w:pageBreakBefore w:val="0"/>
        <w:widowControl w:val="0"/>
        <w:kinsoku/>
        <w:wordWrap/>
        <w:overflowPunct/>
        <w:topLinePunct w:val="0"/>
        <w:autoSpaceDE/>
        <w:autoSpaceDN/>
        <w:bidi w:val="0"/>
        <w:adjustRightInd w:val="0"/>
        <w:snapToGrid w:val="0"/>
        <w:spacing w:before="157" w:beforeLines="50"/>
        <w:ind w:firstLine="640"/>
        <w:jc w:val="left"/>
        <w:textAlignment w:val="auto"/>
        <w:rPr>
          <w:rFonts w:hint="eastAsia" w:ascii="仿宋" w:hAnsi="仿宋" w:eastAsia="仿宋" w:cs="仿宋_GB2312"/>
          <w:color w:val="auto"/>
          <w:szCs w:val="32"/>
        </w:rPr>
      </w:pPr>
      <w:r>
        <w:rPr>
          <w:rFonts w:hint="eastAsia" w:ascii="仿宋" w:hAnsi="仿宋" w:eastAsia="仿宋" w:cs="仿宋_GB2312"/>
          <w:color w:val="auto"/>
          <w:szCs w:val="32"/>
        </w:rPr>
        <w:t>1.各参赛队对不符合赛项规程规定的仪器、设备、工装、材料、物件、计算机软硬件、竞赛使用工具、用品，竞赛执裁、赛场管理，以及工作人员的不规范行为等，可向赛项监督仲裁组提出申诉。申诉主体为参赛队领队，参赛队领队可在申诉受理时间段内向监督仲裁组提出书面申诉。</w:t>
      </w:r>
    </w:p>
    <w:p w14:paraId="0EA6F329">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2.书面申诉报告应对申诉事件的现象、发生时间、涉及人员、申诉依据等进行充分、实事求是的叙述，并由领队签名。非书面申诉不予受理。</w:t>
      </w:r>
    </w:p>
    <w:p w14:paraId="35CB1542">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3.赛项仲裁工作在接到申诉报告后的2小时内组织复议，并及时将复议结果以书面形式告知申诉方。申诉方对复议结果仍有异议，可由参赛队领队向赛区仲裁委员会提出申诉。赛区仲裁委员会的仲裁结果为最终结果。</w:t>
      </w:r>
    </w:p>
    <w:p w14:paraId="4AFB42A4">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4.仲裁结果由申诉人签收，不能代收，如在约定时间和地点申诉人离开，视为自行放弃申诉。</w:t>
      </w:r>
    </w:p>
    <w:p w14:paraId="24387A3A">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5.申诉方可随时提出放弃申诉。</w:t>
      </w:r>
    </w:p>
    <w:p w14:paraId="25B5C516">
      <w:pPr>
        <w:adjustRightInd w:val="0"/>
        <w:snapToGrid w:val="0"/>
        <w:ind w:firstLine="640"/>
        <w:jc w:val="left"/>
        <w:rPr>
          <w:rFonts w:hint="eastAsia" w:ascii="仿宋" w:hAnsi="仿宋" w:eastAsia="仿宋" w:cs="仿宋_GB2312"/>
          <w:color w:val="auto"/>
          <w:szCs w:val="32"/>
        </w:rPr>
      </w:pPr>
      <w:r>
        <w:rPr>
          <w:rFonts w:hint="eastAsia" w:ascii="仿宋" w:hAnsi="仿宋" w:eastAsia="仿宋" w:cs="仿宋_GB2312"/>
          <w:color w:val="auto"/>
          <w:szCs w:val="32"/>
        </w:rPr>
        <w:t>6.申诉方不得以任何理由采取过激行为扰乱赛场秩序。</w:t>
      </w:r>
    </w:p>
    <w:p w14:paraId="49569171">
      <w:pPr>
        <w:ind w:firstLine="628"/>
        <w:rPr>
          <w:rFonts w:hint="eastAsia" w:ascii="仿宋" w:hAnsi="仿宋" w:eastAsia="仿宋" w:cs="仿宋_GB2312"/>
          <w:color w:val="auto"/>
          <w:spacing w:val="-3"/>
          <w:szCs w:val="32"/>
        </w:rPr>
      </w:pPr>
      <w:r>
        <w:rPr>
          <w:rFonts w:hint="eastAsia" w:ascii="仿宋" w:hAnsi="仿宋" w:eastAsia="仿宋" w:cs="仿宋_GB2312"/>
          <w:color w:val="auto"/>
          <w:spacing w:val="-3"/>
          <w:szCs w:val="32"/>
        </w:rPr>
        <w:br w:type="page"/>
      </w:r>
    </w:p>
    <w:p w14:paraId="19167B96">
      <w:pPr>
        <w:adjustRightInd w:val="0"/>
        <w:snapToGrid w:val="0"/>
        <w:ind w:firstLine="538"/>
        <w:jc w:val="left"/>
        <w:rPr>
          <w:rFonts w:hint="eastAsia" w:ascii="仿宋" w:hAnsi="仿宋" w:eastAsia="仿宋"/>
          <w:b/>
          <w:color w:val="auto"/>
          <w:spacing w:val="-6"/>
          <w:sz w:val="28"/>
          <w:szCs w:val="28"/>
        </w:rPr>
      </w:pPr>
      <w:r>
        <w:rPr>
          <w:rFonts w:hint="eastAsia" w:ascii="仿宋" w:hAnsi="仿宋" w:eastAsia="仿宋"/>
          <w:b/>
          <w:color w:val="auto"/>
          <w:spacing w:val="-6"/>
          <w:sz w:val="28"/>
          <w:szCs w:val="28"/>
        </w:rPr>
        <w:t>附件：2026年海南省职业院校技能大赛(高职组)新一代信息技术“云计算应用”赛项样题</w:t>
      </w:r>
    </w:p>
    <w:p w14:paraId="0E8FF3AD">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某企业根据自身业务需求，实施数字化转型，规划和建设数字化平台建设，平台</w:t>
      </w:r>
      <w:r>
        <w:rPr>
          <w:rFonts w:hint="eastAsia" w:ascii="仿宋" w:hAnsi="仿宋" w:eastAsia="仿宋"/>
          <w:color w:val="auto"/>
          <w:szCs w:val="32"/>
        </w:rPr>
        <w:t>聚焦“DevOps开发运维一体化”和“数据驱动产品开发”，</w:t>
      </w:r>
      <w:r>
        <w:rPr>
          <w:rFonts w:hint="eastAsia" w:ascii="仿宋" w:hAnsi="仿宋" w:eastAsia="仿宋"/>
          <w:color w:val="auto"/>
          <w:spacing w:val="-6"/>
          <w:szCs w:val="32"/>
        </w:rPr>
        <w:t>拟采用</w:t>
      </w:r>
      <w:r>
        <w:rPr>
          <w:rFonts w:hint="eastAsia" w:ascii="仿宋" w:hAnsi="仿宋" w:eastAsia="仿宋"/>
          <w:color w:val="auto"/>
          <w:spacing w:val="-3"/>
          <w:szCs w:val="32"/>
        </w:rPr>
        <w:t>开源OpenStack搭建企业内部私有云平台，开源Kubernetes搭建云原生服务平台，</w:t>
      </w:r>
      <w:r>
        <w:rPr>
          <w:rFonts w:hint="eastAsia" w:ascii="仿宋" w:hAnsi="仿宋" w:eastAsia="仿宋"/>
          <w:color w:val="auto"/>
          <w:spacing w:val="-6"/>
          <w:szCs w:val="32"/>
        </w:rPr>
        <w:t>面向业务开发云应用产品。</w:t>
      </w:r>
    </w:p>
    <w:p w14:paraId="4383E094">
      <w:pPr>
        <w:ind w:firstLine="640"/>
        <w:rPr>
          <w:rFonts w:hint="eastAsia" w:ascii="仿宋" w:hAnsi="仿宋" w:eastAsia="仿宋"/>
          <w:color w:val="auto"/>
          <w:szCs w:val="32"/>
        </w:rPr>
      </w:pPr>
      <w:r>
        <w:rPr>
          <w:rFonts w:hint="eastAsia" w:ascii="仿宋" w:hAnsi="仿宋" w:eastAsia="仿宋"/>
          <w:bCs/>
          <w:color w:val="auto"/>
          <w:szCs w:val="32"/>
        </w:rPr>
        <w:t>拟将该任务交给工程师A与B，分工协助完成云平台服务部署、云应用开发、云系统运维等任务，</w:t>
      </w:r>
      <w:r>
        <w:rPr>
          <w:rFonts w:hint="eastAsia" w:ascii="仿宋" w:hAnsi="仿宋" w:eastAsia="仿宋"/>
          <w:color w:val="auto"/>
          <w:spacing w:val="-14"/>
          <w:szCs w:val="32"/>
        </w:rPr>
        <w:t>I</w:t>
      </w:r>
      <w:r>
        <w:rPr>
          <w:rFonts w:hint="eastAsia" w:ascii="仿宋" w:hAnsi="仿宋" w:eastAsia="仿宋"/>
          <w:color w:val="auto"/>
          <w:spacing w:val="-9"/>
          <w:szCs w:val="32"/>
        </w:rPr>
        <w:t>P</w:t>
      </w:r>
      <w:r>
        <w:rPr>
          <w:rFonts w:hint="eastAsia" w:ascii="仿宋" w:hAnsi="仿宋" w:eastAsia="仿宋"/>
          <w:color w:val="auto"/>
          <w:spacing w:val="-14"/>
          <w:szCs w:val="32"/>
        </w:rPr>
        <w:t>地址规划如表1所示。</w:t>
      </w:r>
    </w:p>
    <w:p w14:paraId="190E65FA">
      <w:pPr>
        <w:spacing w:line="410" w:lineRule="auto"/>
        <w:ind w:firstLine="468"/>
        <w:jc w:val="center"/>
        <w:rPr>
          <w:rFonts w:hint="eastAsia" w:ascii="仿宋" w:hAnsi="仿宋" w:eastAsia="仿宋"/>
          <w:color w:val="auto"/>
          <w:sz w:val="24"/>
          <w:szCs w:val="18"/>
        </w:rPr>
      </w:pPr>
      <w:r>
        <w:rPr>
          <w:rFonts w:hint="eastAsia" w:ascii="仿宋" w:hAnsi="仿宋" w:eastAsia="仿宋"/>
          <w:color w:val="auto"/>
          <w:spacing w:val="-3"/>
          <w:sz w:val="24"/>
          <w:szCs w:val="18"/>
        </w:rPr>
        <w:t>表 1  IP 地址规划</w:t>
      </w:r>
    </w:p>
    <w:tbl>
      <w:tblPr>
        <w:tblStyle w:val="11"/>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557"/>
        <w:gridCol w:w="1701"/>
        <w:gridCol w:w="1275"/>
        <w:gridCol w:w="2975"/>
        <w:gridCol w:w="1558"/>
      </w:tblGrid>
      <w:tr w14:paraId="45706D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trPr>
        <w:tc>
          <w:tcPr>
            <w:tcW w:w="859" w:type="pct"/>
            <w:shd w:val="clear" w:color="auto" w:fill="auto"/>
            <w:vAlign w:val="center"/>
          </w:tcPr>
          <w:p w14:paraId="586AD740">
            <w:pPr>
              <w:ind w:firstLine="0" w:firstLineChars="0"/>
              <w:jc w:val="left"/>
              <w:rPr>
                <w:rFonts w:hint="eastAsia" w:ascii="仿宋" w:hAnsi="仿宋" w:eastAsia="仿宋" w:cs="Arial"/>
                <w:color w:val="auto"/>
                <w:sz w:val="24"/>
              </w:rPr>
            </w:pPr>
            <w:r>
              <w:rPr>
                <w:rFonts w:hint="eastAsia" w:ascii="仿宋" w:hAnsi="仿宋" w:eastAsia="仿宋" w:cs="Arial"/>
                <w:color w:val="auto"/>
                <w:spacing w:val="9"/>
                <w:sz w:val="24"/>
              </w:rPr>
              <w:t>设</w:t>
            </w:r>
            <w:r>
              <w:rPr>
                <w:rFonts w:hint="eastAsia" w:ascii="仿宋" w:hAnsi="仿宋" w:eastAsia="仿宋" w:cs="Arial"/>
                <w:color w:val="auto"/>
                <w:spacing w:val="8"/>
                <w:sz w:val="24"/>
              </w:rPr>
              <w:t>备名称</w:t>
            </w:r>
          </w:p>
        </w:tc>
        <w:tc>
          <w:tcPr>
            <w:tcW w:w="938" w:type="pct"/>
            <w:shd w:val="clear" w:color="auto" w:fill="auto"/>
            <w:vAlign w:val="center"/>
          </w:tcPr>
          <w:p w14:paraId="15D08B45">
            <w:pPr>
              <w:ind w:firstLine="0" w:firstLineChars="0"/>
              <w:jc w:val="left"/>
              <w:rPr>
                <w:rFonts w:hint="eastAsia" w:ascii="仿宋" w:hAnsi="仿宋" w:eastAsia="仿宋" w:cs="Arial"/>
                <w:color w:val="auto"/>
                <w:sz w:val="24"/>
              </w:rPr>
            </w:pPr>
            <w:r>
              <w:rPr>
                <w:rFonts w:hint="eastAsia" w:ascii="仿宋" w:hAnsi="仿宋" w:eastAsia="仿宋" w:cs="Arial"/>
                <w:color w:val="auto"/>
                <w:spacing w:val="4"/>
                <w:sz w:val="24"/>
              </w:rPr>
              <w:t>主机名</w:t>
            </w:r>
          </w:p>
        </w:tc>
        <w:tc>
          <w:tcPr>
            <w:tcW w:w="703" w:type="pct"/>
            <w:shd w:val="clear" w:color="auto" w:fill="auto"/>
            <w:vAlign w:val="center"/>
          </w:tcPr>
          <w:p w14:paraId="7C7B8172">
            <w:pPr>
              <w:ind w:firstLine="0" w:firstLineChars="0"/>
              <w:jc w:val="left"/>
              <w:rPr>
                <w:rFonts w:hint="eastAsia" w:ascii="仿宋" w:hAnsi="仿宋" w:eastAsia="仿宋" w:cs="Arial"/>
                <w:color w:val="auto"/>
                <w:sz w:val="24"/>
              </w:rPr>
            </w:pPr>
            <w:r>
              <w:rPr>
                <w:rFonts w:hint="eastAsia" w:ascii="仿宋" w:hAnsi="仿宋" w:eastAsia="仿宋" w:cs="Arial"/>
                <w:color w:val="auto"/>
                <w:spacing w:val="-22"/>
                <w:sz w:val="24"/>
              </w:rPr>
              <w:t>接</w:t>
            </w:r>
            <w:r>
              <w:rPr>
                <w:rFonts w:hint="eastAsia" w:ascii="仿宋" w:hAnsi="仿宋" w:eastAsia="仿宋" w:cs="Arial"/>
                <w:color w:val="auto"/>
                <w:spacing w:val="-20"/>
                <w:sz w:val="24"/>
              </w:rPr>
              <w:t xml:space="preserve"> 口</w:t>
            </w:r>
          </w:p>
        </w:tc>
        <w:tc>
          <w:tcPr>
            <w:tcW w:w="1641" w:type="pct"/>
            <w:shd w:val="clear" w:color="auto" w:fill="auto"/>
            <w:vAlign w:val="center"/>
          </w:tcPr>
          <w:p w14:paraId="2921F923">
            <w:pPr>
              <w:ind w:firstLine="0" w:firstLineChars="0"/>
              <w:jc w:val="left"/>
              <w:rPr>
                <w:rFonts w:hint="eastAsia" w:ascii="仿宋" w:hAnsi="仿宋" w:eastAsia="仿宋" w:cs="Arial"/>
                <w:color w:val="auto"/>
                <w:sz w:val="24"/>
              </w:rPr>
            </w:pPr>
            <w:r>
              <w:rPr>
                <w:rFonts w:hint="eastAsia" w:ascii="仿宋" w:hAnsi="仿宋" w:eastAsia="仿宋" w:cs="Arial"/>
                <w:color w:val="auto"/>
                <w:spacing w:val="-10"/>
                <w:sz w:val="24"/>
              </w:rPr>
              <w:t>IP</w:t>
            </w:r>
            <w:r>
              <w:rPr>
                <w:rFonts w:hint="eastAsia" w:ascii="仿宋" w:hAnsi="仿宋" w:eastAsia="仿宋" w:cs="Arial"/>
                <w:color w:val="auto"/>
                <w:spacing w:val="-14"/>
                <w:sz w:val="24"/>
              </w:rPr>
              <w:t xml:space="preserve"> </w:t>
            </w:r>
            <w:r>
              <w:rPr>
                <w:rFonts w:hint="eastAsia" w:ascii="仿宋" w:hAnsi="仿宋" w:eastAsia="仿宋" w:cs="Arial"/>
                <w:color w:val="auto"/>
                <w:spacing w:val="-10"/>
                <w:sz w:val="24"/>
              </w:rPr>
              <w:t>地址</w:t>
            </w:r>
          </w:p>
        </w:tc>
        <w:tc>
          <w:tcPr>
            <w:tcW w:w="859" w:type="pct"/>
            <w:shd w:val="clear" w:color="auto" w:fill="auto"/>
            <w:vAlign w:val="center"/>
          </w:tcPr>
          <w:p w14:paraId="175F7DF9">
            <w:pPr>
              <w:ind w:firstLine="0" w:firstLineChars="0"/>
              <w:jc w:val="left"/>
              <w:rPr>
                <w:rFonts w:hint="eastAsia" w:ascii="仿宋" w:hAnsi="仿宋" w:eastAsia="仿宋" w:cs="Arial"/>
                <w:color w:val="auto"/>
                <w:sz w:val="24"/>
              </w:rPr>
            </w:pPr>
            <w:r>
              <w:rPr>
                <w:rFonts w:hint="eastAsia" w:ascii="仿宋" w:hAnsi="仿宋" w:eastAsia="仿宋" w:cs="Arial"/>
                <w:color w:val="auto"/>
                <w:spacing w:val="5"/>
                <w:sz w:val="24"/>
              </w:rPr>
              <w:t>说明</w:t>
            </w:r>
          </w:p>
        </w:tc>
      </w:tr>
      <w:tr w14:paraId="49B91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59" w:type="pct"/>
            <w:vMerge w:val="restart"/>
            <w:tcBorders>
              <w:bottom w:val="nil"/>
            </w:tcBorders>
            <w:shd w:val="clear" w:color="auto" w:fill="auto"/>
            <w:vAlign w:val="center"/>
          </w:tcPr>
          <w:p w14:paraId="05187E1D">
            <w:pPr>
              <w:ind w:firstLine="0" w:firstLineChars="0"/>
              <w:jc w:val="left"/>
              <w:rPr>
                <w:rFonts w:hint="eastAsia" w:ascii="仿宋" w:hAnsi="仿宋" w:eastAsia="仿宋" w:cs="Arial"/>
                <w:color w:val="auto"/>
                <w:spacing w:val="-2"/>
                <w:sz w:val="24"/>
              </w:rPr>
            </w:pPr>
            <w:r>
              <w:rPr>
                <w:rFonts w:hint="eastAsia" w:ascii="仿宋" w:hAnsi="仿宋" w:eastAsia="仿宋" w:cs="Arial"/>
                <w:color w:val="auto"/>
                <w:spacing w:val="-2"/>
                <w:sz w:val="24"/>
              </w:rPr>
              <w:t>云服务器 1</w:t>
            </w:r>
          </w:p>
        </w:tc>
        <w:tc>
          <w:tcPr>
            <w:tcW w:w="938" w:type="pct"/>
            <w:vMerge w:val="restart"/>
            <w:tcBorders>
              <w:bottom w:val="nil"/>
            </w:tcBorders>
            <w:shd w:val="clear" w:color="auto" w:fill="auto"/>
            <w:vAlign w:val="center"/>
          </w:tcPr>
          <w:p w14:paraId="17AAC533">
            <w:pPr>
              <w:ind w:firstLine="0" w:firstLineChars="0"/>
              <w:jc w:val="left"/>
              <w:rPr>
                <w:rFonts w:hint="eastAsia" w:ascii="仿宋" w:hAnsi="仿宋" w:eastAsia="仿宋" w:cs="Arial"/>
                <w:color w:val="auto"/>
                <w:sz w:val="24"/>
              </w:rPr>
            </w:pPr>
            <w:r>
              <w:rPr>
                <w:rFonts w:hint="eastAsia" w:ascii="仿宋" w:hAnsi="仿宋" w:eastAsia="仿宋" w:cs="Arial"/>
                <w:color w:val="auto"/>
                <w:spacing w:val="4"/>
                <w:position w:val="1"/>
                <w:sz w:val="24"/>
              </w:rPr>
              <w:t>Controlle</w:t>
            </w:r>
            <w:r>
              <w:rPr>
                <w:rFonts w:hint="eastAsia" w:ascii="仿宋" w:hAnsi="仿宋" w:eastAsia="仿宋" w:cs="Arial"/>
                <w:color w:val="auto"/>
                <w:spacing w:val="3"/>
                <w:position w:val="1"/>
                <w:sz w:val="24"/>
              </w:rPr>
              <w:t>r</w:t>
            </w:r>
          </w:p>
        </w:tc>
        <w:tc>
          <w:tcPr>
            <w:tcW w:w="703" w:type="pct"/>
            <w:vMerge w:val="restart"/>
            <w:shd w:val="clear" w:color="auto" w:fill="auto"/>
            <w:vAlign w:val="center"/>
          </w:tcPr>
          <w:p w14:paraId="0D5C04E1">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eth</w:t>
            </w:r>
            <w:r>
              <w:rPr>
                <w:rFonts w:hint="eastAsia" w:ascii="仿宋" w:hAnsi="仿宋" w:eastAsia="仿宋" w:cs="Arial"/>
                <w:color w:val="auto"/>
                <w:spacing w:val="5"/>
                <w:sz w:val="24"/>
              </w:rPr>
              <w:t>0</w:t>
            </w:r>
          </w:p>
        </w:tc>
        <w:tc>
          <w:tcPr>
            <w:tcW w:w="1641" w:type="pct"/>
            <w:vMerge w:val="restart"/>
            <w:shd w:val="clear" w:color="auto" w:fill="auto"/>
            <w:vAlign w:val="center"/>
          </w:tcPr>
          <w:p w14:paraId="6E44281C">
            <w:pPr>
              <w:ind w:firstLine="0" w:firstLineChars="0"/>
              <w:jc w:val="left"/>
              <w:rPr>
                <w:rFonts w:hint="eastAsia" w:ascii="仿宋" w:hAnsi="仿宋" w:eastAsia="仿宋" w:cs="Arial"/>
                <w:color w:val="auto"/>
                <w:sz w:val="24"/>
              </w:rPr>
            </w:pPr>
            <w:r>
              <w:rPr>
                <w:rFonts w:hint="eastAsia" w:ascii="仿宋" w:hAnsi="仿宋" w:eastAsia="仿宋" w:cs="Arial"/>
                <w:color w:val="auto"/>
                <w:spacing w:val="6"/>
                <w:sz w:val="24"/>
              </w:rPr>
              <w:t>公网IP:********</w:t>
            </w:r>
          </w:p>
          <w:p w14:paraId="1E33ECEE">
            <w:pPr>
              <w:ind w:firstLine="0" w:firstLineChars="0"/>
              <w:jc w:val="left"/>
              <w:rPr>
                <w:rFonts w:hint="eastAsia" w:ascii="仿宋" w:hAnsi="仿宋" w:eastAsia="仿宋" w:cs="Arial"/>
                <w:color w:val="auto"/>
                <w:sz w:val="24"/>
              </w:rPr>
            </w:pPr>
            <w:r>
              <w:rPr>
                <w:rFonts w:hint="eastAsia" w:ascii="仿宋" w:hAnsi="仿宋" w:eastAsia="仿宋" w:cs="Arial"/>
                <w:color w:val="auto"/>
                <w:spacing w:val="-9"/>
                <w:sz w:val="24"/>
              </w:rPr>
              <w:t>私网IP:192.168.100.*/24</w:t>
            </w:r>
          </w:p>
        </w:tc>
        <w:tc>
          <w:tcPr>
            <w:tcW w:w="859" w:type="pct"/>
            <w:shd w:val="clear" w:color="auto" w:fill="auto"/>
            <w:vAlign w:val="center"/>
          </w:tcPr>
          <w:p w14:paraId="49151AFC">
            <w:pPr>
              <w:ind w:firstLine="0" w:firstLineChars="0"/>
              <w:jc w:val="left"/>
              <w:rPr>
                <w:rFonts w:hint="eastAsia" w:ascii="仿宋" w:hAnsi="仿宋" w:eastAsia="仿宋" w:cs="Arial"/>
                <w:color w:val="auto"/>
                <w:sz w:val="24"/>
              </w:rPr>
            </w:pPr>
          </w:p>
        </w:tc>
      </w:tr>
      <w:tr w14:paraId="5E87D3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59" w:type="pct"/>
            <w:vMerge w:val="continue"/>
            <w:tcBorders>
              <w:top w:val="nil"/>
            </w:tcBorders>
            <w:shd w:val="clear" w:color="auto" w:fill="auto"/>
            <w:vAlign w:val="center"/>
          </w:tcPr>
          <w:p w14:paraId="5D75E4C7">
            <w:pPr>
              <w:ind w:firstLine="0" w:firstLineChars="0"/>
              <w:jc w:val="left"/>
              <w:rPr>
                <w:rFonts w:hint="eastAsia" w:ascii="仿宋" w:hAnsi="仿宋" w:eastAsia="仿宋" w:cs="Arial"/>
                <w:color w:val="auto"/>
                <w:spacing w:val="-2"/>
                <w:sz w:val="24"/>
              </w:rPr>
            </w:pPr>
          </w:p>
        </w:tc>
        <w:tc>
          <w:tcPr>
            <w:tcW w:w="938" w:type="pct"/>
            <w:vMerge w:val="continue"/>
            <w:tcBorders>
              <w:top w:val="nil"/>
            </w:tcBorders>
            <w:shd w:val="clear" w:color="auto" w:fill="auto"/>
            <w:vAlign w:val="center"/>
          </w:tcPr>
          <w:p w14:paraId="0ED6A021">
            <w:pPr>
              <w:ind w:firstLine="0" w:firstLineChars="0"/>
              <w:jc w:val="left"/>
              <w:rPr>
                <w:rFonts w:hint="eastAsia" w:ascii="仿宋" w:hAnsi="仿宋" w:eastAsia="仿宋" w:cs="Arial"/>
                <w:color w:val="auto"/>
                <w:sz w:val="24"/>
              </w:rPr>
            </w:pPr>
          </w:p>
        </w:tc>
        <w:tc>
          <w:tcPr>
            <w:tcW w:w="703" w:type="pct"/>
            <w:vMerge w:val="continue"/>
            <w:shd w:val="clear" w:color="auto" w:fill="auto"/>
            <w:vAlign w:val="center"/>
          </w:tcPr>
          <w:p w14:paraId="5AC9D2CD">
            <w:pPr>
              <w:ind w:firstLine="0" w:firstLineChars="0"/>
              <w:jc w:val="left"/>
              <w:rPr>
                <w:rFonts w:hint="eastAsia" w:ascii="仿宋" w:hAnsi="仿宋" w:eastAsia="仿宋" w:cs="Arial"/>
                <w:color w:val="auto"/>
                <w:sz w:val="24"/>
              </w:rPr>
            </w:pPr>
          </w:p>
        </w:tc>
        <w:tc>
          <w:tcPr>
            <w:tcW w:w="1641" w:type="pct"/>
            <w:vMerge w:val="continue"/>
            <w:shd w:val="clear" w:color="auto" w:fill="auto"/>
            <w:vAlign w:val="center"/>
          </w:tcPr>
          <w:p w14:paraId="0BA8E0E3">
            <w:pPr>
              <w:ind w:firstLine="0" w:firstLineChars="0"/>
              <w:jc w:val="left"/>
              <w:rPr>
                <w:rFonts w:hint="eastAsia" w:ascii="仿宋" w:hAnsi="仿宋" w:eastAsia="仿宋" w:cs="Arial"/>
                <w:color w:val="auto"/>
                <w:sz w:val="24"/>
              </w:rPr>
            </w:pPr>
          </w:p>
        </w:tc>
        <w:tc>
          <w:tcPr>
            <w:tcW w:w="859" w:type="pct"/>
            <w:shd w:val="clear" w:color="auto" w:fill="auto"/>
            <w:vAlign w:val="center"/>
          </w:tcPr>
          <w:p w14:paraId="68C812D8">
            <w:pPr>
              <w:ind w:firstLine="0" w:firstLineChars="0"/>
              <w:jc w:val="left"/>
              <w:rPr>
                <w:rFonts w:hint="eastAsia" w:ascii="仿宋" w:hAnsi="仿宋" w:eastAsia="仿宋" w:cs="Arial"/>
                <w:color w:val="auto"/>
                <w:sz w:val="24"/>
              </w:rPr>
            </w:pPr>
          </w:p>
        </w:tc>
      </w:tr>
      <w:tr w14:paraId="531954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trPr>
        <w:tc>
          <w:tcPr>
            <w:tcW w:w="859" w:type="pct"/>
            <w:vMerge w:val="restart"/>
            <w:tcBorders>
              <w:bottom w:val="nil"/>
            </w:tcBorders>
            <w:shd w:val="clear" w:color="auto" w:fill="auto"/>
            <w:vAlign w:val="center"/>
          </w:tcPr>
          <w:p w14:paraId="1BB72589">
            <w:pPr>
              <w:ind w:firstLine="0" w:firstLineChars="0"/>
              <w:jc w:val="left"/>
              <w:rPr>
                <w:rFonts w:hint="eastAsia" w:ascii="仿宋" w:hAnsi="仿宋" w:eastAsia="仿宋" w:cs="Arial"/>
                <w:color w:val="auto"/>
                <w:spacing w:val="-2"/>
                <w:sz w:val="24"/>
              </w:rPr>
            </w:pPr>
            <w:r>
              <w:rPr>
                <w:rFonts w:hint="eastAsia" w:ascii="仿宋" w:hAnsi="仿宋" w:eastAsia="仿宋" w:cs="Arial"/>
                <w:color w:val="auto"/>
                <w:spacing w:val="-2"/>
                <w:sz w:val="24"/>
              </w:rPr>
              <w:t>云服务器 2</w:t>
            </w:r>
          </w:p>
        </w:tc>
        <w:tc>
          <w:tcPr>
            <w:tcW w:w="938" w:type="pct"/>
            <w:vMerge w:val="restart"/>
            <w:tcBorders>
              <w:bottom w:val="nil"/>
            </w:tcBorders>
            <w:shd w:val="clear" w:color="auto" w:fill="auto"/>
            <w:vAlign w:val="center"/>
          </w:tcPr>
          <w:p w14:paraId="5C27AD85">
            <w:pPr>
              <w:ind w:firstLine="0" w:firstLineChars="0"/>
              <w:jc w:val="left"/>
              <w:rPr>
                <w:rFonts w:hint="eastAsia" w:ascii="仿宋" w:hAnsi="仿宋" w:eastAsia="仿宋" w:cs="Arial"/>
                <w:color w:val="auto"/>
                <w:sz w:val="24"/>
              </w:rPr>
            </w:pPr>
            <w:r>
              <w:rPr>
                <w:rFonts w:hint="eastAsia" w:ascii="仿宋" w:hAnsi="仿宋" w:eastAsia="仿宋" w:cs="Arial"/>
                <w:color w:val="auto"/>
                <w:spacing w:val="6"/>
                <w:sz w:val="24"/>
              </w:rPr>
              <w:t>C</w:t>
            </w:r>
            <w:r>
              <w:rPr>
                <w:rFonts w:hint="eastAsia" w:ascii="仿宋" w:hAnsi="仿宋" w:eastAsia="仿宋" w:cs="Arial"/>
                <w:color w:val="auto"/>
                <w:spacing w:val="3"/>
                <w:sz w:val="24"/>
              </w:rPr>
              <w:t>ompute</w:t>
            </w:r>
          </w:p>
        </w:tc>
        <w:tc>
          <w:tcPr>
            <w:tcW w:w="703" w:type="pct"/>
            <w:vMerge w:val="restart"/>
            <w:shd w:val="clear" w:color="auto" w:fill="auto"/>
            <w:vAlign w:val="center"/>
          </w:tcPr>
          <w:p w14:paraId="79389C5B">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eth</w:t>
            </w:r>
            <w:r>
              <w:rPr>
                <w:rFonts w:hint="eastAsia" w:ascii="仿宋" w:hAnsi="仿宋" w:eastAsia="仿宋" w:cs="Arial"/>
                <w:color w:val="auto"/>
                <w:spacing w:val="5"/>
                <w:sz w:val="24"/>
              </w:rPr>
              <w:t>0</w:t>
            </w:r>
          </w:p>
        </w:tc>
        <w:tc>
          <w:tcPr>
            <w:tcW w:w="1641" w:type="pct"/>
            <w:vMerge w:val="restart"/>
            <w:shd w:val="clear" w:color="auto" w:fill="auto"/>
            <w:vAlign w:val="center"/>
          </w:tcPr>
          <w:p w14:paraId="6AE0FFD9">
            <w:pPr>
              <w:ind w:firstLine="0" w:firstLineChars="0"/>
              <w:jc w:val="left"/>
              <w:rPr>
                <w:rFonts w:hint="eastAsia" w:ascii="仿宋" w:hAnsi="仿宋" w:eastAsia="仿宋" w:cs="Arial"/>
                <w:color w:val="auto"/>
                <w:sz w:val="24"/>
              </w:rPr>
            </w:pPr>
            <w:r>
              <w:rPr>
                <w:rFonts w:hint="eastAsia" w:ascii="仿宋" w:hAnsi="仿宋" w:eastAsia="仿宋" w:cs="Arial"/>
                <w:color w:val="auto"/>
                <w:spacing w:val="6"/>
                <w:sz w:val="24"/>
              </w:rPr>
              <w:t>公网IP:********</w:t>
            </w:r>
          </w:p>
          <w:p w14:paraId="0BD3557C">
            <w:pPr>
              <w:ind w:firstLine="0" w:firstLineChars="0"/>
              <w:jc w:val="left"/>
              <w:rPr>
                <w:rFonts w:hint="eastAsia" w:ascii="仿宋" w:hAnsi="仿宋" w:eastAsia="仿宋" w:cs="Arial"/>
                <w:color w:val="auto"/>
                <w:sz w:val="24"/>
              </w:rPr>
            </w:pPr>
            <w:r>
              <w:rPr>
                <w:rFonts w:hint="eastAsia" w:ascii="仿宋" w:hAnsi="仿宋" w:eastAsia="仿宋" w:cs="Arial"/>
                <w:color w:val="auto"/>
                <w:spacing w:val="-9"/>
                <w:sz w:val="24"/>
              </w:rPr>
              <w:t>私网IP:192.168.100.*/24</w:t>
            </w:r>
          </w:p>
        </w:tc>
        <w:tc>
          <w:tcPr>
            <w:tcW w:w="859" w:type="pct"/>
            <w:shd w:val="clear" w:color="auto" w:fill="auto"/>
            <w:vAlign w:val="center"/>
          </w:tcPr>
          <w:p w14:paraId="4583246D">
            <w:pPr>
              <w:ind w:firstLine="0" w:firstLineChars="0"/>
              <w:jc w:val="left"/>
              <w:rPr>
                <w:rFonts w:hint="eastAsia" w:ascii="仿宋" w:hAnsi="仿宋" w:eastAsia="仿宋" w:cs="Arial"/>
                <w:color w:val="auto"/>
                <w:sz w:val="24"/>
              </w:rPr>
            </w:pPr>
          </w:p>
        </w:tc>
      </w:tr>
      <w:tr w14:paraId="505900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859" w:type="pct"/>
            <w:vMerge w:val="continue"/>
            <w:tcBorders>
              <w:top w:val="nil"/>
            </w:tcBorders>
            <w:shd w:val="clear" w:color="auto" w:fill="auto"/>
            <w:vAlign w:val="center"/>
          </w:tcPr>
          <w:p w14:paraId="0DBDF486">
            <w:pPr>
              <w:ind w:firstLine="0" w:firstLineChars="0"/>
              <w:jc w:val="left"/>
              <w:rPr>
                <w:rFonts w:hint="eastAsia" w:ascii="仿宋" w:hAnsi="仿宋" w:eastAsia="仿宋" w:cs="Arial"/>
                <w:color w:val="auto"/>
                <w:spacing w:val="-2"/>
                <w:sz w:val="24"/>
              </w:rPr>
            </w:pPr>
          </w:p>
        </w:tc>
        <w:tc>
          <w:tcPr>
            <w:tcW w:w="938" w:type="pct"/>
            <w:vMerge w:val="continue"/>
            <w:tcBorders>
              <w:top w:val="nil"/>
            </w:tcBorders>
            <w:shd w:val="clear" w:color="auto" w:fill="auto"/>
            <w:vAlign w:val="center"/>
          </w:tcPr>
          <w:p w14:paraId="4B5A6D6E">
            <w:pPr>
              <w:ind w:firstLine="0" w:firstLineChars="0"/>
              <w:jc w:val="left"/>
              <w:rPr>
                <w:rFonts w:hint="eastAsia" w:ascii="仿宋" w:hAnsi="仿宋" w:eastAsia="仿宋" w:cs="Arial"/>
                <w:color w:val="auto"/>
                <w:sz w:val="24"/>
              </w:rPr>
            </w:pPr>
          </w:p>
        </w:tc>
        <w:tc>
          <w:tcPr>
            <w:tcW w:w="703" w:type="pct"/>
            <w:vMerge w:val="continue"/>
            <w:shd w:val="clear" w:color="auto" w:fill="auto"/>
            <w:vAlign w:val="center"/>
          </w:tcPr>
          <w:p w14:paraId="6724EA01">
            <w:pPr>
              <w:ind w:firstLine="0" w:firstLineChars="0"/>
              <w:jc w:val="left"/>
              <w:rPr>
                <w:rFonts w:hint="eastAsia" w:ascii="仿宋" w:hAnsi="仿宋" w:eastAsia="仿宋" w:cs="Arial"/>
                <w:color w:val="auto"/>
                <w:sz w:val="24"/>
              </w:rPr>
            </w:pPr>
          </w:p>
        </w:tc>
        <w:tc>
          <w:tcPr>
            <w:tcW w:w="1641" w:type="pct"/>
            <w:vMerge w:val="continue"/>
            <w:shd w:val="clear" w:color="auto" w:fill="auto"/>
            <w:vAlign w:val="center"/>
          </w:tcPr>
          <w:p w14:paraId="0E32086D">
            <w:pPr>
              <w:ind w:firstLine="0" w:firstLineChars="0"/>
              <w:jc w:val="left"/>
              <w:rPr>
                <w:rFonts w:hint="eastAsia" w:ascii="仿宋" w:hAnsi="仿宋" w:eastAsia="仿宋" w:cs="Arial"/>
                <w:color w:val="auto"/>
                <w:sz w:val="24"/>
              </w:rPr>
            </w:pPr>
          </w:p>
        </w:tc>
        <w:tc>
          <w:tcPr>
            <w:tcW w:w="859" w:type="pct"/>
            <w:shd w:val="clear" w:color="auto" w:fill="auto"/>
            <w:vAlign w:val="center"/>
          </w:tcPr>
          <w:p w14:paraId="3079EBD4">
            <w:pPr>
              <w:ind w:firstLine="0" w:firstLineChars="0"/>
              <w:jc w:val="left"/>
              <w:rPr>
                <w:rFonts w:hint="eastAsia" w:ascii="仿宋" w:hAnsi="仿宋" w:eastAsia="仿宋" w:cs="Arial"/>
                <w:color w:val="auto"/>
                <w:sz w:val="24"/>
              </w:rPr>
            </w:pPr>
          </w:p>
        </w:tc>
      </w:tr>
      <w:tr w14:paraId="4DE421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859" w:type="pct"/>
            <w:shd w:val="clear" w:color="auto" w:fill="auto"/>
            <w:vAlign w:val="center"/>
          </w:tcPr>
          <w:p w14:paraId="0179E773">
            <w:pPr>
              <w:ind w:firstLine="0" w:firstLineChars="0"/>
              <w:jc w:val="left"/>
              <w:rPr>
                <w:rFonts w:hint="eastAsia" w:ascii="仿宋" w:hAnsi="仿宋" w:eastAsia="仿宋" w:cs="Arial"/>
                <w:color w:val="auto"/>
                <w:spacing w:val="-2"/>
                <w:sz w:val="24"/>
              </w:rPr>
            </w:pPr>
            <w:r>
              <w:rPr>
                <w:rFonts w:hint="eastAsia" w:ascii="仿宋" w:hAnsi="仿宋" w:eastAsia="仿宋" w:cs="Arial"/>
                <w:color w:val="auto"/>
                <w:spacing w:val="-2"/>
                <w:sz w:val="24"/>
              </w:rPr>
              <w:t>云服务器 3</w:t>
            </w:r>
          </w:p>
          <w:p w14:paraId="3CB0DAC7">
            <w:pPr>
              <w:ind w:firstLine="0" w:firstLineChars="0"/>
              <w:jc w:val="left"/>
              <w:rPr>
                <w:rFonts w:hint="eastAsia" w:ascii="仿宋" w:hAnsi="仿宋" w:eastAsia="仿宋" w:cs="Arial"/>
                <w:color w:val="auto"/>
                <w:spacing w:val="-2"/>
                <w:sz w:val="24"/>
              </w:rPr>
            </w:pPr>
            <w:r>
              <w:rPr>
                <w:rFonts w:hint="eastAsia" w:ascii="仿宋" w:hAnsi="仿宋" w:eastAsia="仿宋" w:cs="Arial"/>
                <w:color w:val="auto"/>
                <w:spacing w:val="-2"/>
                <w:sz w:val="24"/>
              </w:rPr>
              <w:t>...</w:t>
            </w:r>
          </w:p>
          <w:p w14:paraId="67C5E061">
            <w:pPr>
              <w:ind w:firstLine="0" w:firstLineChars="0"/>
              <w:jc w:val="left"/>
              <w:rPr>
                <w:rFonts w:hint="eastAsia" w:ascii="仿宋" w:hAnsi="仿宋" w:eastAsia="仿宋" w:cs="Arial"/>
                <w:color w:val="auto"/>
                <w:spacing w:val="-2"/>
                <w:sz w:val="24"/>
              </w:rPr>
            </w:pPr>
            <w:r>
              <w:rPr>
                <w:rFonts w:hint="eastAsia" w:ascii="仿宋" w:hAnsi="仿宋" w:eastAsia="仿宋" w:cs="Arial"/>
                <w:color w:val="auto"/>
                <w:spacing w:val="-2"/>
                <w:sz w:val="24"/>
              </w:rPr>
              <w:t>云服务器n</w:t>
            </w:r>
          </w:p>
        </w:tc>
        <w:tc>
          <w:tcPr>
            <w:tcW w:w="938" w:type="pct"/>
            <w:shd w:val="clear" w:color="auto" w:fill="auto"/>
            <w:vAlign w:val="center"/>
          </w:tcPr>
          <w:p w14:paraId="1AE3D1E8">
            <w:pPr>
              <w:ind w:firstLine="0" w:firstLineChars="0"/>
              <w:jc w:val="left"/>
              <w:rPr>
                <w:rFonts w:hint="eastAsia" w:ascii="仿宋" w:hAnsi="仿宋" w:eastAsia="仿宋" w:cs="Arial"/>
                <w:color w:val="auto"/>
                <w:spacing w:val="-9"/>
                <w:sz w:val="24"/>
              </w:rPr>
            </w:pPr>
            <w:r>
              <w:rPr>
                <w:rFonts w:hint="eastAsia" w:ascii="仿宋" w:hAnsi="仿宋" w:eastAsia="仿宋" w:cs="Arial"/>
                <w:color w:val="auto"/>
                <w:spacing w:val="-9"/>
                <w:sz w:val="24"/>
              </w:rPr>
              <w:t>Master</w:t>
            </w:r>
          </w:p>
          <w:p w14:paraId="60BBC7EF">
            <w:pPr>
              <w:ind w:firstLine="0" w:firstLineChars="0"/>
              <w:jc w:val="left"/>
              <w:rPr>
                <w:rFonts w:hint="eastAsia" w:ascii="仿宋" w:hAnsi="仿宋" w:eastAsia="仿宋" w:cs="Arial"/>
                <w:color w:val="auto"/>
                <w:spacing w:val="-9"/>
                <w:sz w:val="24"/>
              </w:rPr>
            </w:pPr>
            <w:r>
              <w:rPr>
                <w:rFonts w:hint="eastAsia" w:ascii="仿宋" w:hAnsi="仿宋" w:eastAsia="仿宋" w:cs="Arial"/>
                <w:color w:val="auto"/>
                <w:spacing w:val="-9"/>
                <w:sz w:val="24"/>
              </w:rPr>
              <w:t>Node</w:t>
            </w:r>
          </w:p>
          <w:p w14:paraId="2D3DD79C">
            <w:pPr>
              <w:ind w:firstLine="0" w:firstLineChars="0"/>
              <w:jc w:val="left"/>
              <w:rPr>
                <w:rFonts w:hint="eastAsia" w:ascii="仿宋" w:hAnsi="仿宋" w:eastAsia="仿宋" w:cs="Arial"/>
                <w:color w:val="auto"/>
                <w:sz w:val="24"/>
              </w:rPr>
            </w:pPr>
            <w:r>
              <w:rPr>
                <w:rFonts w:ascii="仿宋" w:hAnsi="仿宋" w:eastAsia="仿宋" w:cs="Arial"/>
                <w:color w:val="auto"/>
                <w:sz w:val="24"/>
              </w:rPr>
              <w:t>…</w:t>
            </w:r>
          </w:p>
        </w:tc>
        <w:tc>
          <w:tcPr>
            <w:tcW w:w="703" w:type="pct"/>
            <w:shd w:val="clear" w:color="auto" w:fill="auto"/>
            <w:vAlign w:val="center"/>
          </w:tcPr>
          <w:p w14:paraId="38854481">
            <w:pPr>
              <w:ind w:firstLine="0" w:firstLineChars="0"/>
              <w:jc w:val="left"/>
              <w:rPr>
                <w:rFonts w:hint="eastAsia" w:ascii="仿宋" w:hAnsi="仿宋" w:eastAsia="仿宋" w:cs="Arial"/>
                <w:color w:val="auto"/>
                <w:sz w:val="24"/>
              </w:rPr>
            </w:pPr>
            <w:r>
              <w:rPr>
                <w:rFonts w:hint="eastAsia" w:ascii="仿宋" w:hAnsi="仿宋" w:eastAsia="仿宋" w:cs="Arial"/>
                <w:color w:val="auto"/>
                <w:position w:val="1"/>
                <w:sz w:val="24"/>
              </w:rPr>
              <w:t>eth</w:t>
            </w:r>
            <w:r>
              <w:rPr>
                <w:rFonts w:hint="eastAsia" w:ascii="仿宋" w:hAnsi="仿宋" w:eastAsia="仿宋" w:cs="Arial"/>
                <w:color w:val="auto"/>
                <w:spacing w:val="5"/>
                <w:position w:val="1"/>
                <w:sz w:val="24"/>
              </w:rPr>
              <w:t>0</w:t>
            </w:r>
          </w:p>
        </w:tc>
        <w:tc>
          <w:tcPr>
            <w:tcW w:w="1641" w:type="pct"/>
            <w:shd w:val="clear" w:color="auto" w:fill="auto"/>
            <w:vAlign w:val="center"/>
          </w:tcPr>
          <w:p w14:paraId="17A0F274">
            <w:pPr>
              <w:ind w:firstLine="0" w:firstLineChars="0"/>
              <w:jc w:val="left"/>
              <w:rPr>
                <w:rFonts w:hint="eastAsia" w:ascii="仿宋" w:hAnsi="仿宋" w:eastAsia="仿宋" w:cs="Arial"/>
                <w:color w:val="auto"/>
                <w:spacing w:val="6"/>
                <w:position w:val="1"/>
                <w:sz w:val="24"/>
              </w:rPr>
            </w:pPr>
            <w:r>
              <w:rPr>
                <w:rFonts w:hint="eastAsia" w:ascii="仿宋" w:hAnsi="仿宋" w:eastAsia="仿宋" w:cs="Arial"/>
                <w:color w:val="auto"/>
                <w:spacing w:val="6"/>
                <w:position w:val="1"/>
                <w:sz w:val="24"/>
              </w:rPr>
              <w:t>公网IP:********</w:t>
            </w:r>
          </w:p>
          <w:p w14:paraId="6BA1D19E">
            <w:pPr>
              <w:ind w:firstLine="0" w:firstLineChars="0"/>
              <w:jc w:val="left"/>
              <w:rPr>
                <w:rFonts w:hint="eastAsia" w:ascii="仿宋" w:hAnsi="仿宋" w:eastAsia="仿宋" w:cs="Arial"/>
                <w:color w:val="auto"/>
                <w:sz w:val="24"/>
              </w:rPr>
            </w:pPr>
            <w:r>
              <w:rPr>
                <w:rFonts w:hint="eastAsia" w:ascii="仿宋" w:hAnsi="仿宋" w:eastAsia="仿宋" w:cs="Arial"/>
                <w:color w:val="auto"/>
                <w:spacing w:val="6"/>
                <w:position w:val="1"/>
                <w:sz w:val="24"/>
              </w:rPr>
              <w:t>私网IP:192.168.100.*/24</w:t>
            </w:r>
          </w:p>
        </w:tc>
        <w:tc>
          <w:tcPr>
            <w:tcW w:w="859" w:type="pct"/>
            <w:shd w:val="clear" w:color="auto" w:fill="auto"/>
            <w:vAlign w:val="center"/>
          </w:tcPr>
          <w:p w14:paraId="39F3828D">
            <w:pPr>
              <w:ind w:firstLine="0" w:firstLineChars="0"/>
              <w:jc w:val="left"/>
              <w:rPr>
                <w:rFonts w:hint="eastAsia" w:ascii="仿宋" w:hAnsi="仿宋" w:eastAsia="仿宋" w:cs="Arial"/>
                <w:color w:val="auto"/>
                <w:sz w:val="24"/>
              </w:rPr>
            </w:pPr>
          </w:p>
        </w:tc>
      </w:tr>
      <w:tr w14:paraId="16230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59" w:type="pct"/>
            <w:shd w:val="clear" w:color="auto" w:fill="auto"/>
            <w:vAlign w:val="center"/>
          </w:tcPr>
          <w:p w14:paraId="43DD9AA0">
            <w:pPr>
              <w:ind w:firstLine="0" w:firstLineChars="0"/>
              <w:jc w:val="left"/>
              <w:rPr>
                <w:rFonts w:hint="eastAsia" w:ascii="仿宋" w:hAnsi="仿宋" w:eastAsia="仿宋" w:cs="Arial"/>
                <w:color w:val="auto"/>
                <w:spacing w:val="-2"/>
                <w:sz w:val="24"/>
              </w:rPr>
            </w:pPr>
            <w:r>
              <w:rPr>
                <w:rFonts w:hint="eastAsia" w:ascii="仿宋" w:hAnsi="仿宋" w:eastAsia="仿宋" w:cs="Arial"/>
                <w:color w:val="auto"/>
                <w:spacing w:val="-2"/>
                <w:sz w:val="24"/>
              </w:rPr>
              <w:t>PC-1</w:t>
            </w:r>
          </w:p>
        </w:tc>
        <w:tc>
          <w:tcPr>
            <w:tcW w:w="938" w:type="pct"/>
            <w:shd w:val="clear" w:color="auto" w:fill="auto"/>
            <w:vAlign w:val="center"/>
          </w:tcPr>
          <w:p w14:paraId="2781D34E">
            <w:pPr>
              <w:ind w:firstLine="0" w:firstLineChars="0"/>
              <w:jc w:val="left"/>
              <w:rPr>
                <w:rFonts w:hint="eastAsia" w:ascii="仿宋" w:hAnsi="仿宋" w:eastAsia="仿宋" w:cs="Arial"/>
                <w:color w:val="auto"/>
                <w:sz w:val="24"/>
              </w:rPr>
            </w:pPr>
          </w:p>
        </w:tc>
        <w:tc>
          <w:tcPr>
            <w:tcW w:w="703" w:type="pct"/>
            <w:shd w:val="clear" w:color="auto" w:fill="auto"/>
            <w:vAlign w:val="center"/>
          </w:tcPr>
          <w:p w14:paraId="3A940F62">
            <w:pPr>
              <w:ind w:firstLine="0" w:firstLineChars="0"/>
              <w:jc w:val="left"/>
              <w:rPr>
                <w:rFonts w:hint="eastAsia" w:ascii="仿宋" w:hAnsi="仿宋" w:eastAsia="仿宋" w:cs="Arial"/>
                <w:color w:val="auto"/>
                <w:sz w:val="24"/>
              </w:rPr>
            </w:pPr>
            <w:r>
              <w:rPr>
                <w:rFonts w:hint="eastAsia" w:ascii="仿宋" w:hAnsi="仿宋" w:eastAsia="仿宋" w:cs="Arial"/>
                <w:color w:val="auto"/>
                <w:sz w:val="24"/>
              </w:rPr>
              <w:t>以太网</w:t>
            </w:r>
          </w:p>
        </w:tc>
        <w:tc>
          <w:tcPr>
            <w:tcW w:w="1641" w:type="pct"/>
            <w:shd w:val="clear" w:color="auto" w:fill="auto"/>
            <w:vAlign w:val="center"/>
          </w:tcPr>
          <w:p w14:paraId="5D1EF758">
            <w:pPr>
              <w:ind w:firstLine="0" w:firstLineChars="0"/>
              <w:jc w:val="left"/>
              <w:rPr>
                <w:rFonts w:hint="eastAsia" w:ascii="仿宋" w:hAnsi="仿宋" w:eastAsia="仿宋" w:cs="Arial"/>
                <w:color w:val="auto"/>
                <w:sz w:val="24"/>
              </w:rPr>
            </w:pPr>
          </w:p>
        </w:tc>
        <w:tc>
          <w:tcPr>
            <w:tcW w:w="859" w:type="pct"/>
            <w:shd w:val="clear" w:color="auto" w:fill="auto"/>
            <w:vAlign w:val="center"/>
          </w:tcPr>
          <w:p w14:paraId="0803D585">
            <w:pPr>
              <w:ind w:firstLine="0" w:firstLineChars="0"/>
              <w:jc w:val="left"/>
              <w:rPr>
                <w:rFonts w:hint="eastAsia" w:ascii="仿宋" w:hAnsi="仿宋" w:eastAsia="仿宋" w:cs="Arial"/>
                <w:color w:val="auto"/>
                <w:sz w:val="24"/>
              </w:rPr>
            </w:pPr>
            <w:r>
              <w:rPr>
                <w:rFonts w:hint="eastAsia" w:ascii="仿宋" w:hAnsi="仿宋" w:eastAsia="仿宋" w:cs="Arial"/>
                <w:color w:val="auto"/>
                <w:spacing w:val="-7"/>
                <w:sz w:val="24"/>
              </w:rPr>
              <w:t>PC 使用</w:t>
            </w:r>
          </w:p>
        </w:tc>
      </w:tr>
      <w:tr w14:paraId="1D22D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859" w:type="pct"/>
            <w:shd w:val="clear" w:color="auto" w:fill="auto"/>
            <w:vAlign w:val="center"/>
          </w:tcPr>
          <w:p w14:paraId="59DE2405">
            <w:pPr>
              <w:ind w:firstLine="0" w:firstLineChars="0"/>
              <w:jc w:val="left"/>
              <w:rPr>
                <w:rFonts w:hint="eastAsia" w:ascii="仿宋" w:hAnsi="仿宋" w:eastAsia="仿宋" w:cs="Arial"/>
                <w:color w:val="auto"/>
                <w:spacing w:val="-2"/>
                <w:sz w:val="24"/>
              </w:rPr>
            </w:pPr>
            <w:r>
              <w:rPr>
                <w:rFonts w:hint="eastAsia" w:ascii="仿宋" w:hAnsi="仿宋" w:eastAsia="仿宋" w:cs="Arial"/>
                <w:color w:val="auto"/>
                <w:spacing w:val="-2"/>
                <w:sz w:val="24"/>
              </w:rPr>
              <w:t>PC-2</w:t>
            </w:r>
          </w:p>
        </w:tc>
        <w:tc>
          <w:tcPr>
            <w:tcW w:w="938" w:type="pct"/>
            <w:shd w:val="clear" w:color="auto" w:fill="auto"/>
            <w:vAlign w:val="center"/>
          </w:tcPr>
          <w:p w14:paraId="3A18A8DC">
            <w:pPr>
              <w:ind w:firstLine="0" w:firstLineChars="0"/>
              <w:jc w:val="left"/>
              <w:rPr>
                <w:rFonts w:hint="eastAsia" w:ascii="仿宋" w:hAnsi="仿宋" w:eastAsia="仿宋" w:cs="Arial"/>
                <w:color w:val="auto"/>
                <w:sz w:val="24"/>
              </w:rPr>
            </w:pPr>
          </w:p>
        </w:tc>
        <w:tc>
          <w:tcPr>
            <w:tcW w:w="703" w:type="pct"/>
            <w:shd w:val="clear" w:color="auto" w:fill="auto"/>
            <w:vAlign w:val="center"/>
          </w:tcPr>
          <w:p w14:paraId="5F12DFFA">
            <w:pPr>
              <w:ind w:firstLine="0" w:firstLineChars="0"/>
              <w:jc w:val="left"/>
              <w:rPr>
                <w:rFonts w:hint="eastAsia" w:ascii="仿宋" w:hAnsi="仿宋" w:eastAsia="仿宋" w:cs="Arial"/>
                <w:color w:val="auto"/>
                <w:spacing w:val="9"/>
                <w:sz w:val="24"/>
              </w:rPr>
            </w:pPr>
            <w:r>
              <w:rPr>
                <w:rFonts w:hint="eastAsia" w:ascii="仿宋" w:hAnsi="仿宋" w:eastAsia="仿宋" w:cs="Arial"/>
                <w:color w:val="auto"/>
                <w:spacing w:val="9"/>
                <w:sz w:val="24"/>
              </w:rPr>
              <w:t>以太网</w:t>
            </w:r>
          </w:p>
        </w:tc>
        <w:tc>
          <w:tcPr>
            <w:tcW w:w="1641" w:type="pct"/>
            <w:shd w:val="clear" w:color="auto" w:fill="auto"/>
            <w:vAlign w:val="center"/>
          </w:tcPr>
          <w:p w14:paraId="722774C6">
            <w:pPr>
              <w:ind w:firstLine="0" w:firstLineChars="0"/>
              <w:jc w:val="left"/>
              <w:rPr>
                <w:rFonts w:hint="eastAsia" w:ascii="仿宋" w:hAnsi="仿宋" w:eastAsia="仿宋" w:cs="Arial"/>
                <w:color w:val="auto"/>
                <w:spacing w:val="3"/>
                <w:position w:val="1"/>
                <w:sz w:val="24"/>
              </w:rPr>
            </w:pPr>
          </w:p>
        </w:tc>
        <w:tc>
          <w:tcPr>
            <w:tcW w:w="859" w:type="pct"/>
            <w:shd w:val="clear" w:color="auto" w:fill="auto"/>
            <w:vAlign w:val="center"/>
          </w:tcPr>
          <w:p w14:paraId="6EB7D2E7">
            <w:pPr>
              <w:ind w:firstLine="0" w:firstLineChars="0"/>
              <w:jc w:val="left"/>
              <w:rPr>
                <w:rFonts w:hint="eastAsia" w:ascii="仿宋" w:hAnsi="仿宋" w:eastAsia="仿宋" w:cs="Arial"/>
                <w:color w:val="auto"/>
                <w:spacing w:val="-7"/>
                <w:sz w:val="24"/>
              </w:rPr>
            </w:pPr>
            <w:r>
              <w:rPr>
                <w:rFonts w:hint="eastAsia" w:ascii="仿宋" w:hAnsi="仿宋" w:eastAsia="仿宋" w:cs="Arial"/>
                <w:color w:val="auto"/>
                <w:spacing w:val="-7"/>
                <w:sz w:val="24"/>
              </w:rPr>
              <w:t>PC 使用</w:t>
            </w:r>
          </w:p>
        </w:tc>
      </w:tr>
    </w:tbl>
    <w:p w14:paraId="5C5B5F99">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说明：</w:t>
      </w:r>
    </w:p>
    <w:p w14:paraId="26A0547F">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1. 上表中的公网IP以自己云主机显示为准，每个人的公网IP不同。使用第三方软件远程连接云主机，使用公网IP连接。</w:t>
      </w:r>
    </w:p>
    <w:p w14:paraId="6FD64C0C">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2.云主机名称已预先配置，直接使用对应名字的云主机即可。</w:t>
      </w:r>
    </w:p>
    <w:p w14:paraId="487CD75E">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3.竞赛用到的软件包都在云主机/root下。</w:t>
      </w:r>
    </w:p>
    <w:p w14:paraId="72B02831">
      <w:pPr>
        <w:adjustRightInd w:val="0"/>
        <w:snapToGrid w:val="0"/>
        <w:ind w:firstLine="616"/>
        <w:rPr>
          <w:rFonts w:hint="eastAsia" w:ascii="仿宋" w:hAnsi="仿宋" w:eastAsia="仿宋"/>
          <w:color w:val="auto"/>
          <w:spacing w:val="-6"/>
          <w:szCs w:val="32"/>
        </w:rPr>
      </w:pPr>
    </w:p>
    <w:p w14:paraId="2198305B">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（一）模块一 私有云平台的搭建与运维（35分）</w:t>
      </w:r>
    </w:p>
    <w:p w14:paraId="6683C9AE">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任务1. 私有云服务搭建（10分）</w:t>
      </w:r>
    </w:p>
    <w:p w14:paraId="68DD0202">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1.确保云服务器网络正常通信，然后按要求配置服务器，安装基础服务。</w:t>
      </w:r>
    </w:p>
    <w:p w14:paraId="01A2F2DA">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 xml:space="preserve">2.根据提供安装脚本框架，补充完成OpenStack平台各服务组件的部署，使用OpenStack的各项命令，检测平台和服务运行状态。 </w:t>
      </w:r>
    </w:p>
    <w:p w14:paraId="634B4CCA">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任务2. 私有云服务运维（25分）</w:t>
      </w:r>
    </w:p>
    <w:p w14:paraId="5ACDD90B">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1.在搭建好的 OpenStack平台上，对OpenStack平台及各组件进行运维管理，对云主机、云存储、云网络、云数据库、负载均衡和高可用等进行运维管理。</w:t>
      </w:r>
    </w:p>
    <w:p w14:paraId="260C6360">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2.完成私有云应用项目部署，搭建私有博客系统、应用商城网站等。</w:t>
      </w:r>
    </w:p>
    <w:p w14:paraId="422AE0FE">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（二）模块二 容器的编排与运维（35分）</w:t>
      </w:r>
    </w:p>
    <w:p w14:paraId="02065AFA">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任务1. 容器云服务搭建（10分）</w:t>
      </w:r>
    </w:p>
    <w:p w14:paraId="48DCCF1C">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1.完成DockerCE、docker-compose以及Harbor仓库的安装，导入给定镜像，并推送到私有仓库。</w:t>
      </w:r>
    </w:p>
    <w:p w14:paraId="5A02380B">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2.完成Kubernetes平台、istio、KubeVirt、Prometheus等服务的部署，使用容器云平台的各项命令，检测容器云平台和服务的运行状态。</w:t>
      </w:r>
    </w:p>
    <w:p w14:paraId="222CEACB">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任务2. 容器云服务运维（25分）</w:t>
      </w:r>
    </w:p>
    <w:p w14:paraId="30383DB2">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1.在搭建好的Kubernetes平台上，对Kubernetes平台及istio、KubeVirt各组件进行运维管理，对Pod、Deployment、Service、Ingress、网络、存储卷和Istio服务网格等运维。</w:t>
      </w:r>
    </w:p>
    <w:p w14:paraId="78A3A83B">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2.使用提供的应用程序，基于Docker容器编排技术，部署应用系统。采用给定架构来构建CI/CD环境，并针对给定应用系统配置持续集成服务。</w:t>
      </w:r>
    </w:p>
    <w:p w14:paraId="3979E615">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3.分析和排查Kubernetes容器云平台、云服务、云应用的系统问题。</w:t>
      </w:r>
    </w:p>
    <w:p w14:paraId="05E7ED53">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（三）模块三 企业级应用的自动化部署和运维（30分）</w:t>
      </w:r>
    </w:p>
    <w:p w14:paraId="1F8E8358">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1.完成ansible工具的安装、配置。</w:t>
      </w:r>
    </w:p>
    <w:p w14:paraId="7AD507A7">
      <w:pPr>
        <w:adjustRightInd w:val="0"/>
        <w:snapToGrid w:val="0"/>
        <w:ind w:firstLine="616"/>
        <w:rPr>
          <w:rFonts w:hint="eastAsia" w:ascii="仿宋" w:hAnsi="仿宋" w:eastAsia="仿宋"/>
          <w:color w:val="auto"/>
          <w:spacing w:val="-6"/>
          <w:szCs w:val="32"/>
        </w:rPr>
      </w:pPr>
      <w:r>
        <w:rPr>
          <w:rFonts w:hint="eastAsia" w:ascii="仿宋" w:hAnsi="仿宋" w:eastAsia="仿宋"/>
          <w:color w:val="auto"/>
          <w:spacing w:val="-6"/>
          <w:szCs w:val="32"/>
        </w:rPr>
        <w:t>2.使用Ansible等自动化运维工具完成运维任务，例如多节点集群部署、集群运维、批量运行命令等。</w:t>
      </w:r>
    </w:p>
    <w:bookmarkEnd w:id="2"/>
    <w:sectPr>
      <w:headerReference r:id="rId5" w:type="default"/>
      <w:footerReference r:id="rId6" w:type="default"/>
      <w:pgSz w:w="11906" w:h="16838"/>
      <w:pgMar w:top="1418" w:right="1418" w:bottom="1418" w:left="1418" w:header="851" w:footer="850"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9168A73-4510-4E6A-BBAE-378B94B7FD24}"/>
  </w:font>
  <w:font w:name="黑体">
    <w:panose1 w:val="02010609060101010101"/>
    <w:charset w:val="86"/>
    <w:family w:val="auto"/>
    <w:pitch w:val="default"/>
    <w:sig w:usb0="800002BF" w:usb1="38CF7CFA" w:usb2="00000016" w:usb3="00000000" w:csb0="00040001" w:csb1="00000000"/>
    <w:embedRegular r:id="rId2" w:fontKey="{F7714039-9F56-43B7-82D3-E3C57789AA4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4AE29038-A6B3-4D76-B33B-2A238AD5453A}"/>
  </w:font>
  <w:font w:name="Noto Sans Mono CJK JP Bold">
    <w:altName w:val="Calibri"/>
    <w:panose1 w:val="00000000000000000000"/>
    <w:charset w:val="00"/>
    <w:family w:val="swiss"/>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embedRegular r:id="rId4" w:fontKey="{BA92DA44-480D-409B-9852-E5DC8E792B87}"/>
  </w:font>
  <w:font w:name="方正公文小标宋">
    <w:panose1 w:val="02000500000000000000"/>
    <w:charset w:val="86"/>
    <w:family w:val="auto"/>
    <w:pitch w:val="default"/>
    <w:sig w:usb0="A00002BF" w:usb1="38CF7CFA" w:usb2="00000016" w:usb3="00000000" w:csb0="00040001" w:csb1="00000000"/>
    <w:embedRegular r:id="rId5" w:fontKey="{8C3DDB68-9AB4-45BA-8C56-51845C7AF71C}"/>
  </w:font>
  <w:font w:name="方正小标宋_GBK">
    <w:panose1 w:val="02000000000000000000"/>
    <w:charset w:val="86"/>
    <w:family w:val="auto"/>
    <w:pitch w:val="default"/>
    <w:sig w:usb0="A00002BF" w:usb1="38CF7CFA" w:usb2="00082016" w:usb3="00000000" w:csb0="00040001" w:csb1="00000000"/>
    <w:embedRegular r:id="rId6" w:fontKey="{2AD0303C-BEFA-4616-AFB4-9DBF85843EA2}"/>
  </w:font>
  <w:font w:name="___WRD_EMBED_SUB_44">
    <w:altName w:val="微软雅黑"/>
    <w:panose1 w:val="00000000000000000000"/>
    <w:charset w:val="86"/>
    <w:family w:val="modern"/>
    <w:pitch w:val="default"/>
    <w:sig w:usb0="00000000" w:usb1="00000000" w:usb2="00000000" w:usb3="00000000" w:csb0="00040000" w:csb1="00000000"/>
    <w:embedRegular r:id="rId7" w:fontKey="{FA75F0AE-3907-4F59-98DF-1B93860FF0C8}"/>
  </w:font>
  <w:font w:name="微软雅黑">
    <w:panose1 w:val="020B0503020204020204"/>
    <w:charset w:val="86"/>
    <w:family w:val="auto"/>
    <w:pitch w:val="default"/>
    <w:sig w:usb0="80000287" w:usb1="2ACF3C50" w:usb2="00000016" w:usb3="00000000" w:csb0="0004001F" w:csb1="00000000"/>
    <w:embedRegular r:id="rId8" w:fontKey="{2F9D8CA2-074C-4657-8661-DD74C96D76E3}"/>
  </w:font>
  <w:font w:name="WPSEMBED1">
    <w:panose1 w:val="02000500000000000000"/>
    <w:charset w:val="86"/>
    <w:family w:val="auto"/>
    <w:pitch w:val="default"/>
    <w:sig w:usb0="A00002BF" w:usb1="38CF7CFA" w:usb2="00000016" w:usb3="00000000" w:csb0="00040001" w:csb1="00000000"/>
  </w:font>
  <w:font w:name="WPSEMBED2">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CAC34">
    <w:pPr>
      <w:pStyle w:val="7"/>
      <w:spacing w:before="36"/>
      <w:ind w:firstLine="42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2</w:t>
    </w:r>
    <w:r>
      <w:rPr>
        <w:rFonts w:ascii="Times New Roman" w:hAnsi="Times New Roman"/>
        <w:sz w:val="21"/>
        <w:szCs w:val="21"/>
      </w:rPr>
      <w:fldChar w:fldCharType="end"/>
    </w:r>
  </w:p>
  <w:p w14:paraId="61244A12">
    <w:pPr>
      <w:spacing w:before="36"/>
      <w:ind w:firstLine="640"/>
    </w:pPr>
  </w:p>
  <w:p w14:paraId="44276678">
    <w:pPr>
      <w:spacing w:before="36"/>
      <w:ind w:firstLine="6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5C638">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793B9E"/>
    <w:multiLevelType w:val="multilevel"/>
    <w:tmpl w:val="08793B9E"/>
    <w:lvl w:ilvl="0" w:tentative="0">
      <w:start w:val="1"/>
      <w:numFmt w:val="chineseCountingThousand"/>
      <w:pStyle w:val="14"/>
      <w:suff w:val="nothing"/>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
    <w:nsid w:val="3B0FBB2C"/>
    <w:multiLevelType w:val="singleLevel"/>
    <w:tmpl w:val="3B0FBB2C"/>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c3M2Y5NzIzMDFlZjAyY2Q4Njk5ODkyYjFjNzBiNTQifQ=="/>
  </w:docVars>
  <w:rsids>
    <w:rsidRoot w:val="00F23A3F"/>
    <w:rsid w:val="0001034E"/>
    <w:rsid w:val="000200E3"/>
    <w:rsid w:val="00020377"/>
    <w:rsid w:val="00027606"/>
    <w:rsid w:val="0003259A"/>
    <w:rsid w:val="00036F26"/>
    <w:rsid w:val="0004277D"/>
    <w:rsid w:val="00043716"/>
    <w:rsid w:val="000473D4"/>
    <w:rsid w:val="00071583"/>
    <w:rsid w:val="00075768"/>
    <w:rsid w:val="000803EB"/>
    <w:rsid w:val="000910C2"/>
    <w:rsid w:val="000A0FF0"/>
    <w:rsid w:val="000A2B78"/>
    <w:rsid w:val="000B1024"/>
    <w:rsid w:val="000B1AE5"/>
    <w:rsid w:val="000C4E01"/>
    <w:rsid w:val="000C4E4A"/>
    <w:rsid w:val="000F7601"/>
    <w:rsid w:val="001073CE"/>
    <w:rsid w:val="00120B4A"/>
    <w:rsid w:val="00147B2C"/>
    <w:rsid w:val="00176F9E"/>
    <w:rsid w:val="00177184"/>
    <w:rsid w:val="00182CED"/>
    <w:rsid w:val="00196E69"/>
    <w:rsid w:val="001D7AED"/>
    <w:rsid w:val="00206C92"/>
    <w:rsid w:val="00223F93"/>
    <w:rsid w:val="00260CAB"/>
    <w:rsid w:val="002847CA"/>
    <w:rsid w:val="00286E0E"/>
    <w:rsid w:val="0029523C"/>
    <w:rsid w:val="002955EB"/>
    <w:rsid w:val="002E487C"/>
    <w:rsid w:val="002F133A"/>
    <w:rsid w:val="00302996"/>
    <w:rsid w:val="003032A0"/>
    <w:rsid w:val="0033699E"/>
    <w:rsid w:val="003812C7"/>
    <w:rsid w:val="00384B9A"/>
    <w:rsid w:val="00397CED"/>
    <w:rsid w:val="003D0FD0"/>
    <w:rsid w:val="003D5D00"/>
    <w:rsid w:val="003E107C"/>
    <w:rsid w:val="003E20DC"/>
    <w:rsid w:val="003E6344"/>
    <w:rsid w:val="003E674F"/>
    <w:rsid w:val="003F6C7E"/>
    <w:rsid w:val="00403E8C"/>
    <w:rsid w:val="00410380"/>
    <w:rsid w:val="004232D6"/>
    <w:rsid w:val="0044525D"/>
    <w:rsid w:val="00452598"/>
    <w:rsid w:val="0046679A"/>
    <w:rsid w:val="00467421"/>
    <w:rsid w:val="004974B7"/>
    <w:rsid w:val="004A5559"/>
    <w:rsid w:val="004A6991"/>
    <w:rsid w:val="004B16DB"/>
    <w:rsid w:val="004B3209"/>
    <w:rsid w:val="004B5EDF"/>
    <w:rsid w:val="004D042D"/>
    <w:rsid w:val="00555476"/>
    <w:rsid w:val="005635C3"/>
    <w:rsid w:val="00573DC3"/>
    <w:rsid w:val="00591581"/>
    <w:rsid w:val="005A6556"/>
    <w:rsid w:val="005B3A9D"/>
    <w:rsid w:val="005B7C5E"/>
    <w:rsid w:val="005C1BD9"/>
    <w:rsid w:val="005D0234"/>
    <w:rsid w:val="005E2BA9"/>
    <w:rsid w:val="005F092A"/>
    <w:rsid w:val="005F5BE6"/>
    <w:rsid w:val="006026C8"/>
    <w:rsid w:val="006054B5"/>
    <w:rsid w:val="00615A79"/>
    <w:rsid w:val="0064591A"/>
    <w:rsid w:val="00650427"/>
    <w:rsid w:val="00667238"/>
    <w:rsid w:val="00670FF8"/>
    <w:rsid w:val="0068356D"/>
    <w:rsid w:val="00686FEF"/>
    <w:rsid w:val="00693722"/>
    <w:rsid w:val="006A2214"/>
    <w:rsid w:val="006B4BF1"/>
    <w:rsid w:val="006E292D"/>
    <w:rsid w:val="006E5B1E"/>
    <w:rsid w:val="0070072D"/>
    <w:rsid w:val="00700A5E"/>
    <w:rsid w:val="007173D5"/>
    <w:rsid w:val="00721C54"/>
    <w:rsid w:val="00724232"/>
    <w:rsid w:val="007254FF"/>
    <w:rsid w:val="007255F6"/>
    <w:rsid w:val="007372CD"/>
    <w:rsid w:val="00743842"/>
    <w:rsid w:val="00784593"/>
    <w:rsid w:val="00790627"/>
    <w:rsid w:val="007A5346"/>
    <w:rsid w:val="007A7642"/>
    <w:rsid w:val="007E0434"/>
    <w:rsid w:val="00802C5E"/>
    <w:rsid w:val="00816064"/>
    <w:rsid w:val="008273AA"/>
    <w:rsid w:val="00842FDD"/>
    <w:rsid w:val="00853009"/>
    <w:rsid w:val="00856C6D"/>
    <w:rsid w:val="00892665"/>
    <w:rsid w:val="008A03D8"/>
    <w:rsid w:val="008B545C"/>
    <w:rsid w:val="008B7FD9"/>
    <w:rsid w:val="008D099B"/>
    <w:rsid w:val="00943420"/>
    <w:rsid w:val="009456B0"/>
    <w:rsid w:val="00975B91"/>
    <w:rsid w:val="00993D57"/>
    <w:rsid w:val="009949EA"/>
    <w:rsid w:val="009A21FE"/>
    <w:rsid w:val="009A3AB0"/>
    <w:rsid w:val="009B204F"/>
    <w:rsid w:val="009C038F"/>
    <w:rsid w:val="009D52C3"/>
    <w:rsid w:val="009E1997"/>
    <w:rsid w:val="009E752D"/>
    <w:rsid w:val="009F38BC"/>
    <w:rsid w:val="00A054DD"/>
    <w:rsid w:val="00A06F8B"/>
    <w:rsid w:val="00A21BAF"/>
    <w:rsid w:val="00A41EA9"/>
    <w:rsid w:val="00A66066"/>
    <w:rsid w:val="00A74615"/>
    <w:rsid w:val="00A83CC1"/>
    <w:rsid w:val="00A8792E"/>
    <w:rsid w:val="00A95CA6"/>
    <w:rsid w:val="00A96FCF"/>
    <w:rsid w:val="00AB3D9D"/>
    <w:rsid w:val="00AC0502"/>
    <w:rsid w:val="00AD1BBF"/>
    <w:rsid w:val="00AE2857"/>
    <w:rsid w:val="00AE62D0"/>
    <w:rsid w:val="00AE6334"/>
    <w:rsid w:val="00B1181D"/>
    <w:rsid w:val="00B168AA"/>
    <w:rsid w:val="00B17C07"/>
    <w:rsid w:val="00B346E2"/>
    <w:rsid w:val="00B45669"/>
    <w:rsid w:val="00B456B5"/>
    <w:rsid w:val="00B76C1E"/>
    <w:rsid w:val="00B95F3B"/>
    <w:rsid w:val="00BB77AC"/>
    <w:rsid w:val="00BC716A"/>
    <w:rsid w:val="00BE1E01"/>
    <w:rsid w:val="00C05FAA"/>
    <w:rsid w:val="00C06E9F"/>
    <w:rsid w:val="00C1123B"/>
    <w:rsid w:val="00C204DA"/>
    <w:rsid w:val="00C31997"/>
    <w:rsid w:val="00C3264A"/>
    <w:rsid w:val="00C34487"/>
    <w:rsid w:val="00C41A37"/>
    <w:rsid w:val="00C446B3"/>
    <w:rsid w:val="00C503BE"/>
    <w:rsid w:val="00C56738"/>
    <w:rsid w:val="00C62DF7"/>
    <w:rsid w:val="00C85C7E"/>
    <w:rsid w:val="00CA21CD"/>
    <w:rsid w:val="00CC4573"/>
    <w:rsid w:val="00CD568E"/>
    <w:rsid w:val="00CE5E20"/>
    <w:rsid w:val="00D001BF"/>
    <w:rsid w:val="00D00F42"/>
    <w:rsid w:val="00D26A89"/>
    <w:rsid w:val="00D303D2"/>
    <w:rsid w:val="00D3257D"/>
    <w:rsid w:val="00D5431D"/>
    <w:rsid w:val="00D55647"/>
    <w:rsid w:val="00D72B9D"/>
    <w:rsid w:val="00DC3B76"/>
    <w:rsid w:val="00DD5262"/>
    <w:rsid w:val="00DE0FCE"/>
    <w:rsid w:val="00DE5F89"/>
    <w:rsid w:val="00E020BC"/>
    <w:rsid w:val="00E46A64"/>
    <w:rsid w:val="00E95AEE"/>
    <w:rsid w:val="00EC0CA7"/>
    <w:rsid w:val="00EC4A0D"/>
    <w:rsid w:val="00ED2CBB"/>
    <w:rsid w:val="00EE021E"/>
    <w:rsid w:val="00F07D4F"/>
    <w:rsid w:val="00F10E67"/>
    <w:rsid w:val="00F165F6"/>
    <w:rsid w:val="00F23A3F"/>
    <w:rsid w:val="00F52612"/>
    <w:rsid w:val="00F564D2"/>
    <w:rsid w:val="00F74C09"/>
    <w:rsid w:val="00F910A8"/>
    <w:rsid w:val="00FA6A66"/>
    <w:rsid w:val="00FC14FA"/>
    <w:rsid w:val="00FD1B1A"/>
    <w:rsid w:val="00FD42FC"/>
    <w:rsid w:val="00FD5E1C"/>
    <w:rsid w:val="00FD67B3"/>
    <w:rsid w:val="01520EF8"/>
    <w:rsid w:val="0426021C"/>
    <w:rsid w:val="04DF7CDC"/>
    <w:rsid w:val="07D57174"/>
    <w:rsid w:val="082A3964"/>
    <w:rsid w:val="0D372729"/>
    <w:rsid w:val="0F5827B9"/>
    <w:rsid w:val="0FA312B2"/>
    <w:rsid w:val="15982684"/>
    <w:rsid w:val="180A4514"/>
    <w:rsid w:val="19121BF9"/>
    <w:rsid w:val="1CCE4466"/>
    <w:rsid w:val="1D70547B"/>
    <w:rsid w:val="1F294157"/>
    <w:rsid w:val="1F576A10"/>
    <w:rsid w:val="20D2755D"/>
    <w:rsid w:val="228C6048"/>
    <w:rsid w:val="23865A9B"/>
    <w:rsid w:val="27286E69"/>
    <w:rsid w:val="281F4BEA"/>
    <w:rsid w:val="285578F0"/>
    <w:rsid w:val="286640ED"/>
    <w:rsid w:val="2B8054C5"/>
    <w:rsid w:val="2B8859CF"/>
    <w:rsid w:val="2B8C3E6A"/>
    <w:rsid w:val="2BB138D1"/>
    <w:rsid w:val="2C6905CE"/>
    <w:rsid w:val="2DC17609"/>
    <w:rsid w:val="30B12152"/>
    <w:rsid w:val="31081DB2"/>
    <w:rsid w:val="32C87F3B"/>
    <w:rsid w:val="34D50DE1"/>
    <w:rsid w:val="355F7EFA"/>
    <w:rsid w:val="36550519"/>
    <w:rsid w:val="381E7F36"/>
    <w:rsid w:val="3B5E3713"/>
    <w:rsid w:val="3D442F30"/>
    <w:rsid w:val="3F12422F"/>
    <w:rsid w:val="3F705385"/>
    <w:rsid w:val="434817B2"/>
    <w:rsid w:val="43AB3ABD"/>
    <w:rsid w:val="47D76015"/>
    <w:rsid w:val="4B362CD3"/>
    <w:rsid w:val="4DFB72F2"/>
    <w:rsid w:val="4EC91C50"/>
    <w:rsid w:val="506D5769"/>
    <w:rsid w:val="52CF094C"/>
    <w:rsid w:val="52E82979"/>
    <w:rsid w:val="531A4852"/>
    <w:rsid w:val="531E403A"/>
    <w:rsid w:val="551008FC"/>
    <w:rsid w:val="5CB85D2B"/>
    <w:rsid w:val="62384B44"/>
    <w:rsid w:val="648007F7"/>
    <w:rsid w:val="69CB51A1"/>
    <w:rsid w:val="6A3019D4"/>
    <w:rsid w:val="6B1962B7"/>
    <w:rsid w:val="6B8F25DF"/>
    <w:rsid w:val="6BB32772"/>
    <w:rsid w:val="708C533F"/>
    <w:rsid w:val="73A14A8E"/>
    <w:rsid w:val="741841A5"/>
    <w:rsid w:val="74690259"/>
    <w:rsid w:val="776A1499"/>
    <w:rsid w:val="7A614AAA"/>
    <w:rsid w:val="7DEE6C44"/>
    <w:rsid w:val="7E2C56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2"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200" w:firstLineChars="200"/>
      <w:jc w:val="both"/>
    </w:pPr>
    <w:rPr>
      <w:rFonts w:ascii="Calibri" w:hAnsi="Calibri" w:eastAsia="仿宋_GB2312" w:cs="Times New Roman"/>
      <w:kern w:val="2"/>
      <w:sz w:val="32"/>
      <w:szCs w:val="24"/>
      <w:lang w:val="en-US" w:eastAsia="zh-CN" w:bidi="ar-SA"/>
    </w:rPr>
  </w:style>
  <w:style w:type="paragraph" w:styleId="2">
    <w:name w:val="heading 1"/>
    <w:basedOn w:val="1"/>
    <w:next w:val="1"/>
    <w:link w:val="18"/>
    <w:qFormat/>
    <w:uiPriority w:val="0"/>
    <w:pPr>
      <w:keepNext/>
      <w:keepLines/>
      <w:spacing w:before="340" w:after="330" w:line="578" w:lineRule="auto"/>
      <w:outlineLvl w:val="0"/>
    </w:pPr>
    <w:rPr>
      <w:b/>
      <w:bCs/>
      <w:kern w:val="44"/>
      <w:sz w:val="44"/>
      <w:szCs w:val="44"/>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Normal Indent"/>
    <w:qFormat/>
    <w:uiPriority w:val="99"/>
    <w:pPr>
      <w:widowControl w:val="0"/>
      <w:ind w:firstLine="420" w:firstLineChars="200"/>
      <w:jc w:val="both"/>
    </w:pPr>
    <w:rPr>
      <w:rFonts w:ascii="Times New Roman" w:hAnsi="Times New Roman" w:eastAsia="宋体" w:cs="Times New Roman"/>
      <w:kern w:val="0"/>
      <w:sz w:val="20"/>
      <w:szCs w:val="24"/>
      <w:lang w:val="en-US" w:eastAsia="zh-CN" w:bidi="ar-SA"/>
    </w:rPr>
  </w:style>
  <w:style w:type="paragraph" w:styleId="4">
    <w:name w:val="index 5"/>
    <w:basedOn w:val="1"/>
    <w:next w:val="1"/>
    <w:qFormat/>
    <w:uiPriority w:val="2"/>
    <w:pPr>
      <w:widowControl w:val="0"/>
      <w:ind w:left="1680"/>
      <w:jc w:val="both"/>
    </w:pPr>
    <w:rPr>
      <w:rFonts w:ascii="Calibri" w:hAnsi="Calibri" w:eastAsia="宋体" w:cs="Times New Roman"/>
      <w:kern w:val="2"/>
      <w:sz w:val="21"/>
      <w:szCs w:val="24"/>
      <w:lang w:val="en-US" w:eastAsia="zh-CN" w:bidi="ar-SA"/>
    </w:rPr>
  </w:style>
  <w:style w:type="paragraph" w:styleId="5">
    <w:name w:val="index 6"/>
    <w:basedOn w:val="1"/>
    <w:next w:val="1"/>
    <w:qFormat/>
    <w:uiPriority w:val="0"/>
    <w:pPr>
      <w:widowControl w:val="0"/>
      <w:ind w:firstLine="840"/>
      <w:jc w:val="both"/>
    </w:pPr>
    <w:rPr>
      <w:rFonts w:ascii="Calibri" w:hAnsi="Calibri" w:eastAsia="宋体" w:cs="Arial"/>
      <w:kern w:val="2"/>
      <w:sz w:val="21"/>
      <w:szCs w:val="24"/>
      <w:lang w:val="en-US" w:eastAsia="zh-CN" w:bidi="ar-SA"/>
    </w:rPr>
  </w:style>
  <w:style w:type="paragraph" w:styleId="6">
    <w:name w:val="Body Text"/>
    <w:basedOn w:val="1"/>
    <w:next w:val="7"/>
    <w:unhideWhenUsed/>
    <w:qFormat/>
    <w:uiPriority w:val="99"/>
    <w:pPr>
      <w:widowControl w:val="0"/>
      <w:spacing w:after="120"/>
      <w:jc w:val="both"/>
    </w:pPr>
    <w:rPr>
      <w:rFonts w:ascii="Calibri" w:hAnsi="Calibri" w:eastAsia="宋体" w:cs="Times New Roman"/>
      <w:kern w:val="2"/>
      <w:sz w:val="21"/>
      <w:szCs w:val="24"/>
      <w:lang w:val="en-US" w:eastAsia="zh-CN" w:bidi="ar-SA"/>
    </w:rPr>
  </w:style>
  <w:style w:type="paragraph" w:styleId="7">
    <w:name w:val="footer"/>
    <w:basedOn w:val="1"/>
    <w:next w:val="4"/>
    <w:autoRedefine/>
    <w:unhideWhenUsed/>
    <w:qFormat/>
    <w:uiPriority w:val="99"/>
    <w:pPr>
      <w:tabs>
        <w:tab w:val="center" w:pos="4153"/>
        <w:tab w:val="right" w:pos="8306"/>
      </w:tabs>
      <w:snapToGrid w:val="0"/>
      <w:jc w:val="left"/>
    </w:pPr>
    <w:rPr>
      <w:sz w:val="18"/>
      <w:szCs w:val="18"/>
    </w:rPr>
  </w:style>
  <w:style w:type="paragraph" w:styleId="8">
    <w:name w:val="header"/>
    <w:basedOn w:val="1"/>
    <w:link w:val="17"/>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0">
    <w:name w:val="Body Text First Indent"/>
    <w:basedOn w:val="6"/>
    <w:next w:val="5"/>
    <w:unhideWhenUsed/>
    <w:qFormat/>
    <w:uiPriority w:val="0"/>
    <w:pPr>
      <w:widowControl w:val="0"/>
      <w:spacing w:after="120"/>
      <w:ind w:firstLine="420" w:firstLineChars="100"/>
      <w:jc w:val="both"/>
    </w:pPr>
    <w:rPr>
      <w:rFonts w:ascii="Calibri" w:hAnsi="Calibri" w:eastAsia="宋体" w:cs="Times New Roman"/>
      <w:kern w:val="2"/>
      <w:sz w:val="21"/>
      <w:szCs w:val="24"/>
      <w:lang w:val="en-US" w:eastAsia="zh-CN" w:bidi="ar-SA"/>
    </w:rPr>
  </w:style>
  <w:style w:type="table" w:styleId="12">
    <w:name w:val="Table Grid"/>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paragraph" w:styleId="14">
    <w:name w:val="List Paragraph"/>
    <w:basedOn w:val="1"/>
    <w:autoRedefine/>
    <w:qFormat/>
    <w:uiPriority w:val="99"/>
    <w:pPr>
      <w:widowControl/>
      <w:numPr>
        <w:ilvl w:val="0"/>
        <w:numId w:val="1"/>
      </w:numPr>
      <w:spacing w:line="560" w:lineRule="exact"/>
      <w:ind w:left="0" w:firstLine="0" w:firstLineChars="0"/>
      <w:jc w:val="left"/>
      <w:outlineLvl w:val="0"/>
    </w:pPr>
    <w:rPr>
      <w:rFonts w:ascii="黑体" w:hAnsi="黑体" w:eastAsia="黑体"/>
    </w:rPr>
  </w:style>
  <w:style w:type="table" w:customStyle="1" w:styleId="15">
    <w:name w:val="Table Normal"/>
    <w:autoRedefine/>
    <w:unhideWhenUsed/>
    <w:qFormat/>
    <w:uiPriority w:val="2"/>
    <w:rPr>
      <w:rFonts w:ascii="Arial" w:hAnsi="Arial" w:cs="Arial"/>
    </w:rPr>
    <w:tblPr>
      <w:tblCellMar>
        <w:top w:w="0" w:type="dxa"/>
        <w:left w:w="0" w:type="dxa"/>
        <w:bottom w:w="0" w:type="dxa"/>
        <w:right w:w="0" w:type="dxa"/>
      </w:tblCellMar>
    </w:tblPr>
  </w:style>
  <w:style w:type="paragraph" w:customStyle="1" w:styleId="16">
    <w:name w:val="Table Paragraph"/>
    <w:basedOn w:val="1"/>
    <w:qFormat/>
    <w:uiPriority w:val="1"/>
    <w:pPr>
      <w:autoSpaceDE w:val="0"/>
      <w:autoSpaceDN w:val="0"/>
      <w:ind w:firstLine="0" w:firstLineChars="0"/>
      <w:jc w:val="center"/>
    </w:pPr>
    <w:rPr>
      <w:rFonts w:ascii="Noto Sans Mono CJK JP Bold" w:hAnsi="Noto Sans Mono CJK JP Bold" w:eastAsia="Noto Sans Mono CJK JP Bold" w:cs="Noto Sans Mono CJK JP Bold"/>
      <w:kern w:val="0"/>
      <w:sz w:val="22"/>
    </w:rPr>
  </w:style>
  <w:style w:type="character" w:customStyle="1" w:styleId="17">
    <w:name w:val="页眉 字符"/>
    <w:basedOn w:val="13"/>
    <w:link w:val="8"/>
    <w:autoRedefine/>
    <w:qFormat/>
    <w:uiPriority w:val="0"/>
    <w:rPr>
      <w:kern w:val="2"/>
      <w:sz w:val="18"/>
      <w:szCs w:val="18"/>
    </w:rPr>
  </w:style>
  <w:style w:type="character" w:customStyle="1" w:styleId="18">
    <w:name w:val="标题 1 字符"/>
    <w:basedOn w:val="13"/>
    <w:link w:val="2"/>
    <w:qFormat/>
    <w:uiPriority w:val="0"/>
    <w:rPr>
      <w:rFonts w:eastAsia="仿宋_GB2312"/>
      <w:b/>
      <w:bCs/>
      <w:kern w:val="44"/>
      <w:sz w:val="44"/>
      <w:szCs w:val="44"/>
    </w:rPr>
  </w:style>
  <w:style w:type="table" w:customStyle="1" w:styleId="19">
    <w:name w:val="网格型2"/>
    <w:basedOn w:val="11"/>
    <w:qFormat/>
    <w:uiPriority w:val="39"/>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emf"/><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0D810-A710-4667-BC73-BE16A8DDBE8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3512</Words>
  <Characters>4262</Characters>
  <Lines>73</Lines>
  <Paragraphs>20</Paragraphs>
  <TotalTime>0</TotalTime>
  <ScaleCrop>false</ScaleCrop>
  <LinksUpToDate>false</LinksUpToDate>
  <CharactersWithSpaces>4319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2026-10-19T12:56:00Z</dcterms:created>
  <dc:creator>HP</dc:creator>
  <cp:lastModifiedBy>hncst1117</cp:lastModifiedBy>
  <dcterms:modified xsi:type="dcterms:W3CDTF">2026-10-22T06:39:24Z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7F0935B2338A42E88812E7EC9BBF9811_13</vt:lpwstr>
  </property>
  <property fmtid="{D5CDD505-2E9C-101B-9397-08002B2CF9AE}" pid="4" name="KSOTemplateDocerSaveRecord">
    <vt:lpwstr>eyJoZGlkIjoiMDcwNzJlODk4Mjk1ZjFiOTJhNWNkOWViMGVkYWI4NzUiLCJ1c2VySWQiOiI1MTk2NjM3MDcifQ==</vt:lpwstr>
  </property>
</Properties>
</file>