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CAA3A">
      <w:pPr>
        <w:pStyle w:val="6"/>
        <w:jc w:val="center"/>
        <w:rPr>
          <w:rFonts w:hint="eastAsia"/>
          <w:b/>
          <w:bCs/>
          <w:color w:val="auto"/>
          <w:sz w:val="40"/>
          <w:szCs w:val="52"/>
        </w:rPr>
      </w:pPr>
      <w:bookmarkStart w:id="2" w:name="_GoBack"/>
    </w:p>
    <w:p w14:paraId="4A2EDAE2">
      <w:pPr>
        <w:pStyle w:val="6"/>
        <w:jc w:val="center"/>
        <w:rPr>
          <w:rFonts w:hint="eastAsia"/>
          <w:b/>
          <w:bCs/>
          <w:color w:val="auto"/>
          <w:sz w:val="40"/>
          <w:szCs w:val="52"/>
        </w:rPr>
      </w:pPr>
    </w:p>
    <w:p w14:paraId="699FFD1A">
      <w:pPr>
        <w:pStyle w:val="6"/>
        <w:jc w:val="center"/>
        <w:rPr>
          <w:rFonts w:hint="eastAsia"/>
          <w:b/>
          <w:bCs/>
          <w:color w:val="auto"/>
          <w:sz w:val="40"/>
          <w:szCs w:val="52"/>
        </w:rPr>
      </w:pPr>
    </w:p>
    <w:p w14:paraId="70CCD281">
      <w:pPr>
        <w:pStyle w:val="6"/>
        <w:jc w:val="center"/>
        <w:rPr>
          <w:rFonts w:hint="eastAsia"/>
          <w:b/>
          <w:bCs/>
          <w:color w:val="auto"/>
          <w:sz w:val="40"/>
          <w:szCs w:val="52"/>
        </w:rPr>
      </w:pPr>
    </w:p>
    <w:p w14:paraId="59BCCB5A">
      <w:pPr>
        <w:pStyle w:val="6"/>
        <w:jc w:val="center"/>
        <w:rPr>
          <w:rFonts w:hint="eastAsia"/>
          <w:b/>
          <w:bCs/>
          <w:color w:val="auto"/>
          <w:sz w:val="40"/>
          <w:szCs w:val="52"/>
        </w:rPr>
      </w:pPr>
    </w:p>
    <w:p w14:paraId="7038B1A1">
      <w:pPr>
        <w:pStyle w:val="6"/>
        <w:jc w:val="center"/>
        <w:rPr>
          <w:rFonts w:hint="eastAsia"/>
          <w:b/>
          <w:bCs/>
          <w:color w:val="auto"/>
          <w:sz w:val="40"/>
          <w:szCs w:val="52"/>
        </w:rPr>
      </w:pPr>
    </w:p>
    <w:p w14:paraId="393A7993">
      <w:pPr>
        <w:pStyle w:val="6"/>
        <w:jc w:val="center"/>
        <w:rPr>
          <w:rFonts w:hint="eastAsia"/>
          <w:b/>
          <w:bCs/>
          <w:color w:val="auto"/>
          <w:sz w:val="40"/>
          <w:szCs w:val="52"/>
        </w:rPr>
      </w:pPr>
    </w:p>
    <w:p w14:paraId="6BB4A3D3">
      <w:pPr>
        <w:pStyle w:val="6"/>
        <w:jc w:val="center"/>
        <w:rPr>
          <w:rFonts w:hint="eastAsia" w:ascii="方正公文小标宋" w:hAnsi="方正公文小标宋" w:eastAsia="方正公文小标宋" w:cs="方正公文小标宋"/>
          <w:b w:val="0"/>
          <w:bCs w:val="0"/>
          <w:color w:val="auto"/>
          <w:sz w:val="40"/>
          <w:szCs w:val="52"/>
        </w:rPr>
      </w:pPr>
    </w:p>
    <w:p w14:paraId="7EC26EE3">
      <w:pPr>
        <w:pStyle w:val="6"/>
        <w:ind w:left="0" w:leftChars="0" w:firstLine="0" w:firstLineChars="0"/>
        <w:jc w:val="center"/>
        <w:rPr>
          <w:rFonts w:hint="eastAsia" w:ascii="方正公文小标宋" w:hAnsi="方正公文小标宋" w:eastAsia="方正公文小标宋" w:cs="方正公文小标宋"/>
          <w:b w:val="0"/>
          <w:bCs w:val="0"/>
          <w:color w:val="auto"/>
          <w:sz w:val="44"/>
          <w:szCs w:val="60"/>
        </w:rPr>
      </w:pPr>
      <w:r>
        <w:rPr>
          <w:rFonts w:hint="eastAsia" w:ascii="方正公文小标宋" w:hAnsi="方正公文小标宋" w:eastAsia="方正公文小标宋" w:cs="方正公文小标宋"/>
          <w:b w:val="0"/>
          <w:bCs w:val="0"/>
          <w:color w:val="auto"/>
          <w:sz w:val="44"/>
          <w:szCs w:val="60"/>
        </w:rPr>
        <w:t xml:space="preserve"> 202</w:t>
      </w:r>
      <w:r>
        <w:rPr>
          <w:rFonts w:hint="eastAsia" w:ascii="方正公文小标宋" w:hAnsi="方正公文小标宋" w:eastAsia="方正公文小标宋" w:cs="方正公文小标宋"/>
          <w:b w:val="0"/>
          <w:bCs w:val="0"/>
          <w:color w:val="auto"/>
          <w:sz w:val="44"/>
          <w:szCs w:val="60"/>
          <w:lang w:val="en-US" w:eastAsia="zh-CN"/>
        </w:rPr>
        <w:t>6</w:t>
      </w:r>
      <w:r>
        <w:rPr>
          <w:rFonts w:hint="eastAsia" w:ascii="方正公文小标宋" w:hAnsi="方正公文小标宋" w:eastAsia="方正公文小标宋" w:cs="方正公文小标宋"/>
          <w:b w:val="0"/>
          <w:bCs w:val="0"/>
          <w:color w:val="auto"/>
          <w:sz w:val="44"/>
          <w:szCs w:val="60"/>
        </w:rPr>
        <w:t>年</w:t>
      </w:r>
      <w:r>
        <w:rPr>
          <w:rFonts w:hint="eastAsia" w:ascii="方正公文小标宋" w:hAnsi="方正公文小标宋" w:eastAsia="方正公文小标宋" w:cs="方正公文小标宋"/>
          <w:b w:val="0"/>
          <w:bCs w:val="0"/>
          <w:color w:val="auto"/>
          <w:sz w:val="44"/>
          <w:szCs w:val="60"/>
          <w:lang w:val="en-US" w:eastAsia="zh-CN"/>
        </w:rPr>
        <w:t>海南省</w:t>
      </w:r>
      <w:r>
        <w:rPr>
          <w:rFonts w:hint="eastAsia" w:ascii="方正公文小标宋" w:hAnsi="方正公文小标宋" w:eastAsia="方正公文小标宋" w:cs="方正公文小标宋"/>
          <w:b w:val="0"/>
          <w:bCs w:val="0"/>
          <w:color w:val="auto"/>
          <w:sz w:val="44"/>
          <w:szCs w:val="60"/>
        </w:rPr>
        <w:t>职业院校技能大赛</w:t>
      </w:r>
    </w:p>
    <w:p w14:paraId="6334A18A">
      <w:pPr>
        <w:pStyle w:val="6"/>
        <w:ind w:left="0" w:leftChars="0" w:firstLine="0" w:firstLineChars="0"/>
        <w:jc w:val="center"/>
        <w:rPr>
          <w:rFonts w:hint="eastAsia" w:ascii="方正公文小标宋" w:hAnsi="方正公文小标宋" w:eastAsia="方正公文小标宋" w:cs="方正公文小标宋"/>
          <w:b w:val="0"/>
          <w:bCs w:val="0"/>
          <w:color w:val="auto"/>
          <w:sz w:val="44"/>
          <w:szCs w:val="60"/>
          <w:lang w:val="en-US" w:eastAsia="zh-CN"/>
        </w:rPr>
      </w:pPr>
      <w:r>
        <w:rPr>
          <w:rFonts w:hint="eastAsia" w:ascii="方正公文小标宋" w:hAnsi="方正公文小标宋" w:eastAsia="方正公文小标宋" w:cs="方正公文小标宋"/>
          <w:b w:val="0"/>
          <w:bCs w:val="0"/>
          <w:color w:val="auto"/>
          <w:sz w:val="44"/>
          <w:szCs w:val="60"/>
        </w:rPr>
        <w:t>应用软件系统开发</w:t>
      </w:r>
      <w:r>
        <w:rPr>
          <w:rFonts w:hint="eastAsia" w:ascii="方正公文小标宋" w:hAnsi="方正公文小标宋" w:eastAsia="方正公文小标宋" w:cs="方正公文小标宋"/>
          <w:b w:val="0"/>
          <w:bCs w:val="0"/>
          <w:color w:val="auto"/>
          <w:sz w:val="44"/>
          <w:szCs w:val="60"/>
          <w:lang w:val="en-US" w:eastAsia="zh-CN"/>
        </w:rPr>
        <w:t>赛项</w:t>
      </w:r>
    </w:p>
    <w:p w14:paraId="654AAA28">
      <w:pPr>
        <w:pStyle w:val="6"/>
        <w:ind w:left="0" w:leftChars="0" w:firstLine="0" w:firstLineChars="0"/>
        <w:jc w:val="center"/>
        <w:rPr>
          <w:rFonts w:hint="eastAsia" w:ascii="方正公文小标宋" w:hAnsi="方正公文小标宋" w:eastAsia="方正公文小标宋" w:cs="方正公文小标宋"/>
          <w:b w:val="0"/>
          <w:bCs w:val="0"/>
          <w:color w:val="auto"/>
          <w:sz w:val="48"/>
          <w:szCs w:val="72"/>
        </w:rPr>
      </w:pPr>
      <w:r>
        <w:rPr>
          <w:rFonts w:hint="eastAsia" w:ascii="方正公文小标宋" w:hAnsi="方正公文小标宋" w:eastAsia="方正公文小标宋" w:cs="方正公文小标宋"/>
          <w:b w:val="0"/>
          <w:bCs w:val="0"/>
          <w:color w:val="auto"/>
          <w:sz w:val="48"/>
          <w:szCs w:val="72"/>
        </w:rPr>
        <w:t>竞赛规程</w:t>
      </w:r>
    </w:p>
    <w:p w14:paraId="0B8BA77D">
      <w:pPr>
        <w:jc w:val="center"/>
        <w:rPr>
          <w:rFonts w:hint="default" w:ascii="Times New Roman" w:hAnsi="Times New Roman" w:eastAsia="宋体" w:cs="Times New Roman"/>
          <w:color w:val="auto"/>
          <w:sz w:val="30"/>
        </w:rPr>
      </w:pPr>
    </w:p>
    <w:p w14:paraId="382A2D66">
      <w:pPr>
        <w:widowControl/>
        <w:jc w:val="left"/>
        <w:rPr>
          <w:rFonts w:hint="default" w:ascii="Times New Roman" w:hAnsi="Times New Roman" w:eastAsia="黑体" w:cs="Times New Roman"/>
          <w:color w:val="auto"/>
          <w:sz w:val="24"/>
        </w:rPr>
      </w:pPr>
    </w:p>
    <w:p w14:paraId="13A7BE76">
      <w:pPr>
        <w:widowControl/>
        <w:jc w:val="left"/>
        <w:rPr>
          <w:rFonts w:hint="default" w:ascii="Times New Roman" w:hAnsi="Times New Roman" w:eastAsia="黑体" w:cs="Times New Roman"/>
          <w:color w:val="auto"/>
          <w:sz w:val="32"/>
        </w:rPr>
      </w:pPr>
    </w:p>
    <w:p w14:paraId="5871B1B3">
      <w:pPr>
        <w:pStyle w:val="13"/>
        <w:rPr>
          <w:rFonts w:hint="default" w:ascii="Times New Roman" w:hAnsi="Times New Roman" w:eastAsia="黑体" w:cs="Times New Roman"/>
          <w:color w:val="auto"/>
          <w:sz w:val="32"/>
        </w:rPr>
      </w:pPr>
    </w:p>
    <w:p w14:paraId="790FE445">
      <w:pPr>
        <w:pStyle w:val="8"/>
        <w:rPr>
          <w:rFonts w:hint="default" w:ascii="Times New Roman" w:hAnsi="Times New Roman" w:eastAsia="黑体" w:cs="Times New Roman"/>
          <w:color w:val="auto"/>
          <w:sz w:val="32"/>
        </w:rPr>
      </w:pPr>
    </w:p>
    <w:p w14:paraId="6D0D87B8">
      <w:pPr>
        <w:rPr>
          <w:rFonts w:hint="default" w:ascii="Times New Roman" w:hAnsi="Times New Roman" w:eastAsia="黑体" w:cs="Times New Roman"/>
          <w:color w:val="auto"/>
          <w:sz w:val="32"/>
        </w:rPr>
      </w:pPr>
    </w:p>
    <w:p w14:paraId="1F17200F">
      <w:pPr>
        <w:pStyle w:val="8"/>
        <w:rPr>
          <w:rFonts w:hint="default" w:ascii="Times New Roman" w:hAnsi="Times New Roman" w:eastAsia="黑体" w:cs="Times New Roman"/>
          <w:color w:val="auto"/>
          <w:sz w:val="32"/>
        </w:rPr>
      </w:pPr>
    </w:p>
    <w:p w14:paraId="4E6A123D">
      <w:pPr>
        <w:rPr>
          <w:rFonts w:hint="default" w:ascii="Times New Roman" w:hAnsi="Times New Roman" w:eastAsia="黑体" w:cs="Times New Roman"/>
          <w:color w:val="auto"/>
          <w:sz w:val="32"/>
        </w:rPr>
      </w:pPr>
    </w:p>
    <w:p w14:paraId="385EED5C">
      <w:pPr>
        <w:pStyle w:val="6"/>
        <w:ind w:left="0" w:leftChars="0" w:firstLine="0" w:firstLineChars="0"/>
        <w:jc w:val="center"/>
        <w:rPr>
          <w:rFonts w:hint="eastAsia" w:eastAsia="宋体"/>
          <w:b/>
          <w:bCs/>
          <w:color w:val="auto"/>
          <w:sz w:val="36"/>
          <w:szCs w:val="48"/>
          <w:highlight w:val="none"/>
          <w:lang w:val="en-US" w:eastAsia="zh-CN"/>
        </w:rPr>
        <w:sectPr>
          <w:pgSz w:w="11906" w:h="16838"/>
          <w:pgMar w:top="1240" w:right="1800" w:bottom="1318" w:left="1800"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r>
        <w:rPr>
          <w:rFonts w:hint="eastAsia" w:eastAsia="宋体"/>
          <w:b/>
          <w:bCs/>
          <w:color w:val="auto"/>
          <w:sz w:val="36"/>
          <w:szCs w:val="48"/>
          <w:highlight w:val="none"/>
          <w:lang w:val="en-US" w:eastAsia="zh-CN"/>
        </w:rPr>
        <w:t>202</w:t>
      </w:r>
      <w:r>
        <w:rPr>
          <w:rFonts w:hint="eastAsia"/>
          <w:b/>
          <w:bCs/>
          <w:color w:val="auto"/>
          <w:sz w:val="36"/>
          <w:szCs w:val="48"/>
          <w:highlight w:val="none"/>
          <w:lang w:val="en-US" w:eastAsia="zh-CN"/>
        </w:rPr>
        <w:t>6</w:t>
      </w:r>
      <w:r>
        <w:rPr>
          <w:rFonts w:hint="eastAsia" w:ascii="方正公文小标宋" w:hAnsi="方正公文小标宋" w:eastAsia="方正公文小标宋" w:cs="方正公文小标宋"/>
          <w:b w:val="0"/>
          <w:bCs w:val="0"/>
          <w:color w:val="auto"/>
          <w:sz w:val="36"/>
          <w:szCs w:val="36"/>
          <w:highlight w:val="none"/>
          <w:lang w:val="en-US" w:eastAsia="zh-CN"/>
        </w:rPr>
        <w:t>年11月</w:t>
      </w:r>
    </w:p>
    <w:p w14:paraId="537A2C99">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lang w:eastAsia="zh-CN"/>
        </w:rPr>
      </w:pPr>
      <w:r>
        <w:rPr>
          <w:rFonts w:hint="eastAsia" w:ascii="仿宋_GB2312" w:hAnsi="仿宋" w:eastAsia="仿宋_GB2312" w:cs="Times New Roman"/>
          <w:b/>
          <w:bCs/>
          <w:color w:val="auto"/>
          <w:kern w:val="2"/>
          <w:sz w:val="32"/>
          <w:szCs w:val="32"/>
          <w:lang w:val="en-US" w:eastAsia="zh-CN" w:bidi="ar-SA"/>
        </w:rPr>
        <w:t>一、</w:t>
      </w:r>
      <w:r>
        <w:rPr>
          <w:rFonts w:hint="eastAsia" w:ascii="仿宋_GB2312" w:hAnsi="仿宋" w:eastAsia="仿宋_GB2312"/>
          <w:b/>
          <w:bCs/>
          <w:color w:val="auto"/>
          <w:sz w:val="32"/>
          <w:szCs w:val="32"/>
        </w:rPr>
        <w:t>赛项</w:t>
      </w:r>
      <w:r>
        <w:rPr>
          <w:rFonts w:hint="eastAsia" w:ascii="仿宋_GB2312" w:hAnsi="仿宋" w:eastAsia="仿宋_GB2312"/>
          <w:b/>
          <w:bCs/>
          <w:color w:val="auto"/>
          <w:sz w:val="32"/>
          <w:szCs w:val="32"/>
          <w:lang w:val="en-US" w:eastAsia="zh-CN"/>
        </w:rPr>
        <w:t>信息</w:t>
      </w:r>
    </w:p>
    <w:p w14:paraId="2A1C8C72">
      <w:pPr>
        <w:adjustRightInd w:val="0"/>
        <w:snapToGrid w:val="0"/>
        <w:spacing w:line="360" w:lineRule="auto"/>
        <w:ind w:left="319" w:leftChars="152" w:firstLine="320" w:firstLineChars="100"/>
        <w:jc w:val="left"/>
        <w:rPr>
          <w:rFonts w:hint="default"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赛道归属：新一代信息技术赛道</w:t>
      </w:r>
    </w:p>
    <w:p w14:paraId="40C6D894">
      <w:pPr>
        <w:adjustRightInd w:val="0"/>
        <w:snapToGrid w:val="0"/>
        <w:spacing w:line="360" w:lineRule="auto"/>
        <w:ind w:left="319" w:leftChars="152" w:firstLine="320" w:firstLineChars="100"/>
        <w:jc w:val="left"/>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eastAsia="zh-CN"/>
        </w:rPr>
        <w:t>赛项名称：</w:t>
      </w:r>
      <w:r>
        <w:rPr>
          <w:rFonts w:hint="eastAsia" w:ascii="仿宋_GB2312" w:hAnsi="仿宋" w:eastAsia="仿宋_GB2312"/>
          <w:color w:val="auto"/>
          <w:sz w:val="32"/>
          <w:szCs w:val="32"/>
          <w:highlight w:val="none"/>
          <w:lang w:val="en-US" w:eastAsia="zh-CN"/>
        </w:rPr>
        <w:t>应用软件系统开发</w:t>
      </w:r>
    </w:p>
    <w:p w14:paraId="5E0C6335">
      <w:pPr>
        <w:adjustRightInd w:val="0"/>
        <w:snapToGrid w:val="0"/>
        <w:spacing w:line="360" w:lineRule="auto"/>
        <w:ind w:left="319" w:leftChars="152" w:firstLine="320" w:firstLineChars="100"/>
        <w:jc w:val="left"/>
        <w:rPr>
          <w:rFonts w:hint="default"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eastAsia="zh-CN"/>
        </w:rPr>
        <w:t>赛项组别：高职</w:t>
      </w:r>
      <w:r>
        <w:rPr>
          <w:rFonts w:hint="eastAsia" w:ascii="仿宋_GB2312" w:hAnsi="仿宋" w:eastAsia="仿宋_GB2312"/>
          <w:color w:val="auto"/>
          <w:sz w:val="32"/>
          <w:szCs w:val="32"/>
          <w:highlight w:val="none"/>
          <w:lang w:val="en-US" w:eastAsia="zh-CN"/>
        </w:rPr>
        <w:t>组</w:t>
      </w:r>
    </w:p>
    <w:p w14:paraId="007C2E99">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lang w:eastAsia="zh-CN"/>
        </w:rPr>
      </w:pPr>
      <w:r>
        <w:rPr>
          <w:rFonts w:hint="eastAsia" w:ascii="仿宋_GB2312" w:hAnsi="仿宋" w:eastAsia="仿宋_GB2312" w:cs="Times New Roman"/>
          <w:b/>
          <w:bCs/>
          <w:color w:val="auto"/>
          <w:kern w:val="2"/>
          <w:sz w:val="32"/>
          <w:szCs w:val="32"/>
          <w:lang w:val="en-US" w:eastAsia="zh-CN" w:bidi="ar-SA"/>
        </w:rPr>
        <w:t>二、</w:t>
      </w:r>
      <w:r>
        <w:rPr>
          <w:rFonts w:hint="eastAsia" w:ascii="仿宋_GB2312" w:hAnsi="仿宋" w:eastAsia="仿宋_GB2312"/>
          <w:b/>
          <w:bCs/>
          <w:color w:val="auto"/>
          <w:sz w:val="32"/>
          <w:szCs w:val="32"/>
        </w:rPr>
        <w:t>竞赛目</w:t>
      </w:r>
      <w:r>
        <w:rPr>
          <w:rFonts w:hint="eastAsia" w:ascii="仿宋_GB2312" w:hAnsi="仿宋" w:eastAsia="仿宋_GB2312"/>
          <w:b/>
          <w:bCs/>
          <w:color w:val="auto"/>
          <w:sz w:val="32"/>
          <w:szCs w:val="32"/>
          <w:lang w:val="en-US" w:eastAsia="zh-CN"/>
        </w:rPr>
        <w:t>标</w:t>
      </w:r>
    </w:p>
    <w:p w14:paraId="2FCE7570">
      <w:pPr>
        <w:adjustRightInd w:val="0"/>
        <w:snapToGrid w:val="0"/>
        <w:spacing w:line="360" w:lineRule="auto"/>
        <w:ind w:firstLine="640" w:firstLineChars="200"/>
        <w:jc w:val="left"/>
        <w:rPr>
          <w:rFonts w:hint="default" w:ascii="仿宋_GB2312" w:hAnsi="仿宋" w:eastAsia="仿宋_GB2312"/>
          <w:color w:val="auto"/>
          <w:sz w:val="32"/>
          <w:szCs w:val="32"/>
          <w:lang w:val="en-US" w:eastAsia="zh-CN"/>
        </w:rPr>
      </w:pPr>
      <w:r>
        <w:rPr>
          <w:rFonts w:hint="default" w:ascii="仿宋_GB2312" w:hAnsi="仿宋" w:eastAsia="仿宋_GB2312"/>
          <w:color w:val="auto"/>
          <w:sz w:val="32"/>
          <w:szCs w:val="32"/>
          <w:lang w:val="en-US" w:eastAsia="zh-CN"/>
        </w:rPr>
        <w:t>党的二十大报告明确指出“要推动战略性新兴产业融合集群发展，构建新一代信息技术等一批新的增长引擎”，新一代信息技术产业对经济社会高质量发展的赋能作用更加突显，软件是新一代信息技术的灵魂，是数字经济发展的基础，是制造强国、网络强国、数字中国建设的关键支撑，是壮大产业高质量发展的新动能。</w:t>
      </w:r>
    </w:p>
    <w:p w14:paraId="0CFE5E69">
      <w:pPr>
        <w:adjustRightInd w:val="0"/>
        <w:snapToGrid w:val="0"/>
        <w:spacing w:line="360" w:lineRule="auto"/>
        <w:ind w:firstLine="640" w:firstLineChars="200"/>
        <w:jc w:val="left"/>
        <w:rPr>
          <w:rFonts w:hint="default" w:ascii="仿宋_GB2312" w:hAnsi="仿宋" w:eastAsia="仿宋_GB2312"/>
          <w:color w:val="auto"/>
          <w:sz w:val="32"/>
          <w:szCs w:val="32"/>
          <w:lang w:eastAsia="zh-CN"/>
        </w:rPr>
      </w:pPr>
      <w:r>
        <w:rPr>
          <w:rFonts w:hint="default" w:ascii="仿宋_GB2312" w:hAnsi="仿宋" w:eastAsia="仿宋_GB2312"/>
          <w:color w:val="auto"/>
          <w:sz w:val="32"/>
          <w:szCs w:val="32"/>
          <w:lang w:val="en-US" w:eastAsia="zh-CN"/>
        </w:rPr>
        <w:t>本赛项旨在落实国家</w:t>
      </w:r>
      <w:r>
        <w:rPr>
          <w:rFonts w:hint="default" w:ascii="仿宋_GB2312" w:hAnsi="仿宋" w:eastAsia="仿宋_GB2312"/>
          <w:color w:val="auto"/>
          <w:sz w:val="32"/>
          <w:szCs w:val="32"/>
          <w:lang w:eastAsia="zh-CN"/>
        </w:rPr>
        <w:t>软件发展</w:t>
      </w:r>
      <w:r>
        <w:rPr>
          <w:rFonts w:hint="default" w:ascii="仿宋_GB2312" w:hAnsi="仿宋" w:eastAsia="仿宋_GB2312"/>
          <w:color w:val="auto"/>
          <w:sz w:val="32"/>
          <w:szCs w:val="32"/>
          <w:lang w:val="en-US" w:eastAsia="zh-CN"/>
        </w:rPr>
        <w:t>战略，深化产教融合，协同推动软件行业创新与发展，赋能经济社会和现代职业教育高质量发展。对接软件</w:t>
      </w:r>
      <w:r>
        <w:rPr>
          <w:rFonts w:hint="default" w:ascii="仿宋_GB2312" w:hAnsi="仿宋" w:eastAsia="仿宋_GB2312"/>
          <w:color w:val="auto"/>
          <w:sz w:val="32"/>
          <w:szCs w:val="32"/>
          <w:lang w:eastAsia="zh-CN"/>
        </w:rPr>
        <w:t>工程领域</w:t>
      </w:r>
      <w:r>
        <w:rPr>
          <w:rFonts w:hint="default" w:ascii="仿宋_GB2312" w:hAnsi="仿宋" w:eastAsia="仿宋_GB2312"/>
          <w:color w:val="auto"/>
          <w:sz w:val="32"/>
          <w:szCs w:val="32"/>
          <w:lang w:val="en-US" w:eastAsia="zh-CN"/>
        </w:rPr>
        <w:t>当前的新技术、新业态、新模式、新要求，通过大赛让参赛选手掌握一个真实企业应用软件系统的开发流程和实现过程；</w:t>
      </w:r>
      <w:r>
        <w:rPr>
          <w:rFonts w:hint="default" w:ascii="仿宋_GB2312" w:hAnsi="仿宋" w:eastAsia="仿宋_GB2312"/>
          <w:color w:val="auto"/>
          <w:sz w:val="32"/>
          <w:szCs w:val="32"/>
          <w:lang w:eastAsia="zh-CN"/>
        </w:rPr>
        <w:t>培养选手在企业真实项目环境下进行数据库设计、简单算法分析和设计、软件设计和开发、软件</w:t>
      </w:r>
      <w:r>
        <w:rPr>
          <w:rFonts w:hint="default" w:ascii="仿宋_GB2312" w:hAnsi="仿宋" w:eastAsia="仿宋_GB2312"/>
          <w:color w:val="auto"/>
          <w:sz w:val="32"/>
          <w:szCs w:val="32"/>
          <w:lang w:val="en-US" w:eastAsia="zh-CN"/>
        </w:rPr>
        <w:t>部署测试</w:t>
      </w:r>
      <w:r>
        <w:rPr>
          <w:rFonts w:hint="default" w:ascii="仿宋_GB2312" w:hAnsi="仿宋" w:eastAsia="仿宋_GB2312"/>
          <w:color w:val="auto"/>
          <w:sz w:val="32"/>
          <w:szCs w:val="32"/>
          <w:lang w:eastAsia="zh-CN"/>
        </w:rPr>
        <w:t>和运维、软件项目文档</w:t>
      </w:r>
      <w:r>
        <w:rPr>
          <w:rFonts w:hint="default" w:ascii="仿宋_GB2312" w:hAnsi="仿宋" w:eastAsia="仿宋_GB2312"/>
          <w:color w:val="auto"/>
          <w:sz w:val="32"/>
          <w:szCs w:val="32"/>
          <w:lang w:val="en-US" w:eastAsia="zh-CN"/>
        </w:rPr>
        <w:t>编制</w:t>
      </w:r>
      <w:r>
        <w:rPr>
          <w:rFonts w:hint="default" w:ascii="仿宋_GB2312" w:hAnsi="仿宋" w:eastAsia="仿宋_GB2312"/>
          <w:color w:val="auto"/>
          <w:sz w:val="32"/>
          <w:szCs w:val="32"/>
          <w:lang w:eastAsia="zh-CN"/>
        </w:rPr>
        <w:t>等方面的能力，同时培养选手探究学习、终身学习和可持续发展的能力。</w:t>
      </w:r>
    </w:p>
    <w:p w14:paraId="66D46EC7">
      <w:pPr>
        <w:adjustRightInd w:val="0"/>
        <w:snapToGrid w:val="0"/>
        <w:spacing w:line="360" w:lineRule="auto"/>
        <w:ind w:firstLine="640" w:firstLineChars="200"/>
        <w:jc w:val="left"/>
        <w:rPr>
          <w:rFonts w:hint="default" w:ascii="仿宋_GB2312" w:hAnsi="仿宋" w:eastAsia="仿宋_GB2312"/>
          <w:color w:val="auto"/>
          <w:sz w:val="32"/>
          <w:szCs w:val="32"/>
          <w:lang w:val="en-US" w:eastAsia="zh-CN"/>
        </w:rPr>
      </w:pPr>
      <w:r>
        <w:rPr>
          <w:rFonts w:hint="default" w:ascii="仿宋_GB2312" w:hAnsi="仿宋" w:eastAsia="仿宋_GB2312"/>
          <w:color w:val="auto"/>
          <w:sz w:val="32"/>
          <w:szCs w:val="32"/>
          <w:lang w:val="en-US" w:eastAsia="zh-CN"/>
        </w:rPr>
        <w:t>赛项围绕软件行业相关岗位的实际需求和要求进行设计，通过大赛推动</w:t>
      </w:r>
      <w:r>
        <w:rPr>
          <w:rFonts w:hint="default" w:ascii="仿宋_GB2312" w:hAnsi="仿宋" w:eastAsia="仿宋_GB2312"/>
          <w:color w:val="auto"/>
          <w:sz w:val="32"/>
          <w:szCs w:val="32"/>
          <w:lang w:eastAsia="zh-CN"/>
        </w:rPr>
        <w:t>龙头、产教融合型</w:t>
      </w:r>
      <w:r>
        <w:rPr>
          <w:rFonts w:hint="default" w:ascii="仿宋_GB2312" w:hAnsi="仿宋" w:eastAsia="仿宋_GB2312"/>
          <w:color w:val="auto"/>
          <w:sz w:val="32"/>
          <w:szCs w:val="32"/>
          <w:lang w:val="en-US" w:eastAsia="zh-CN"/>
        </w:rPr>
        <w:t>等</w:t>
      </w:r>
      <w:r>
        <w:rPr>
          <w:rFonts w:hint="default" w:ascii="仿宋_GB2312" w:hAnsi="仿宋" w:eastAsia="仿宋_GB2312"/>
          <w:color w:val="auto"/>
          <w:sz w:val="32"/>
          <w:szCs w:val="32"/>
          <w:lang w:eastAsia="zh-CN"/>
        </w:rPr>
        <w:t>企业深度参与职业教育</w:t>
      </w:r>
      <w:r>
        <w:rPr>
          <w:rFonts w:hint="default" w:ascii="仿宋_GB2312" w:hAnsi="仿宋" w:eastAsia="仿宋_GB2312"/>
          <w:color w:val="auto"/>
          <w:sz w:val="32"/>
          <w:szCs w:val="32"/>
          <w:lang w:val="en-US" w:eastAsia="zh-CN"/>
        </w:rPr>
        <w:t>的</w:t>
      </w:r>
      <w:r>
        <w:rPr>
          <w:rFonts w:hint="default" w:ascii="仿宋_GB2312" w:hAnsi="仿宋" w:eastAsia="仿宋_GB2312"/>
          <w:color w:val="auto"/>
          <w:sz w:val="32"/>
          <w:szCs w:val="32"/>
          <w:lang w:eastAsia="zh-CN"/>
        </w:rPr>
        <w:t>人才培养、</w:t>
      </w:r>
      <w:r>
        <w:rPr>
          <w:rFonts w:hint="default" w:ascii="仿宋_GB2312" w:hAnsi="仿宋" w:eastAsia="仿宋_GB2312"/>
          <w:color w:val="auto"/>
          <w:sz w:val="32"/>
          <w:szCs w:val="32"/>
          <w:lang w:val="en-US" w:eastAsia="zh-CN"/>
        </w:rPr>
        <w:t>科技创新、</w:t>
      </w:r>
      <w:r>
        <w:rPr>
          <w:rFonts w:hint="default" w:ascii="仿宋_GB2312" w:hAnsi="仿宋" w:eastAsia="仿宋_GB2312"/>
          <w:color w:val="auto"/>
          <w:sz w:val="32"/>
          <w:szCs w:val="32"/>
          <w:lang w:eastAsia="zh-CN"/>
        </w:rPr>
        <w:t>社会服务、</w:t>
      </w:r>
      <w:r>
        <w:rPr>
          <w:rFonts w:hint="default" w:ascii="仿宋_GB2312" w:hAnsi="仿宋" w:eastAsia="仿宋_GB2312"/>
          <w:color w:val="auto"/>
          <w:sz w:val="32"/>
          <w:szCs w:val="32"/>
          <w:lang w:val="en-US" w:eastAsia="zh-CN"/>
        </w:rPr>
        <w:t>就业创业</w:t>
      </w:r>
      <w:r>
        <w:rPr>
          <w:rFonts w:hint="default" w:ascii="仿宋_GB2312" w:hAnsi="仿宋" w:eastAsia="仿宋_GB2312"/>
          <w:color w:val="auto"/>
          <w:sz w:val="32"/>
          <w:szCs w:val="32"/>
          <w:lang w:eastAsia="zh-CN"/>
        </w:rPr>
        <w:t>等</w:t>
      </w:r>
      <w:r>
        <w:rPr>
          <w:rFonts w:hint="default" w:ascii="仿宋_GB2312" w:hAnsi="仿宋" w:eastAsia="仿宋_GB2312"/>
          <w:color w:val="auto"/>
          <w:sz w:val="32"/>
          <w:szCs w:val="32"/>
          <w:lang w:val="en-US" w:eastAsia="zh-CN"/>
        </w:rPr>
        <w:t>各个环节</w:t>
      </w:r>
      <w:r>
        <w:rPr>
          <w:rFonts w:hint="default" w:ascii="仿宋_GB2312" w:hAnsi="仿宋" w:eastAsia="仿宋_GB2312"/>
          <w:color w:val="auto"/>
          <w:sz w:val="32"/>
          <w:szCs w:val="32"/>
          <w:lang w:eastAsia="zh-CN"/>
        </w:rPr>
        <w:t>；</w:t>
      </w:r>
      <w:r>
        <w:rPr>
          <w:rFonts w:hint="default" w:ascii="仿宋_GB2312" w:hAnsi="仿宋" w:eastAsia="仿宋_GB2312"/>
          <w:color w:val="auto"/>
          <w:sz w:val="32"/>
          <w:szCs w:val="32"/>
          <w:lang w:val="en-US" w:eastAsia="zh-CN"/>
        </w:rPr>
        <w:t>检验职业院校教学水平，引领专业建设和“三教”改革，</w:t>
      </w:r>
      <w:r>
        <w:rPr>
          <w:rFonts w:hint="default" w:ascii="仿宋_GB2312" w:hAnsi="仿宋" w:eastAsia="仿宋_GB2312"/>
          <w:color w:val="auto"/>
          <w:sz w:val="32"/>
          <w:szCs w:val="32"/>
          <w:lang w:eastAsia="zh-CN"/>
        </w:rPr>
        <w:t>促进“岗课赛证”协同育人，</w:t>
      </w:r>
      <w:r>
        <w:rPr>
          <w:rFonts w:hint="default" w:ascii="仿宋_GB2312" w:hAnsi="仿宋" w:eastAsia="仿宋_GB2312"/>
          <w:color w:val="auto"/>
          <w:sz w:val="32"/>
          <w:szCs w:val="32"/>
          <w:lang w:val="en-US" w:eastAsia="zh-CN"/>
        </w:rPr>
        <w:t>营造崇尚技能的社会氛围；强化</w:t>
      </w:r>
      <w:r>
        <w:rPr>
          <w:rFonts w:hint="default" w:ascii="仿宋_GB2312" w:hAnsi="仿宋" w:eastAsia="仿宋_GB2312"/>
          <w:color w:val="auto"/>
          <w:sz w:val="32"/>
          <w:szCs w:val="32"/>
          <w:lang w:eastAsia="zh-CN"/>
        </w:rPr>
        <w:t>赛后资源转化，将竞赛成果转化为教材、课程和实训项目等资源，融入教学、服务教学，为国家发展战略提供软件工程领域高素质技术技能人才。</w:t>
      </w:r>
    </w:p>
    <w:p w14:paraId="1DBBD2EC">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三、</w:t>
      </w:r>
      <w:r>
        <w:rPr>
          <w:rFonts w:hint="eastAsia" w:ascii="仿宋_GB2312" w:hAnsi="仿宋" w:eastAsia="仿宋_GB2312"/>
          <w:b/>
          <w:bCs/>
          <w:color w:val="auto"/>
          <w:sz w:val="32"/>
          <w:szCs w:val="32"/>
        </w:rPr>
        <w:t>竞赛内容</w:t>
      </w:r>
    </w:p>
    <w:p w14:paraId="4AF87BFF">
      <w:pPr>
        <w:adjustRightInd w:val="0"/>
        <w:snapToGrid w:val="0"/>
        <w:spacing w:line="360" w:lineRule="auto"/>
        <w:ind w:firstLine="643" w:firstLineChars="200"/>
        <w:jc w:val="left"/>
        <w:outlineLvl w:val="1"/>
        <w:rPr>
          <w:rFonts w:hint="default" w:ascii="仿宋_GB2312" w:hAnsi="仿宋" w:eastAsia="仿宋_GB2312"/>
          <w:b/>
          <w:bCs/>
          <w:color w:val="auto"/>
          <w:sz w:val="32"/>
          <w:szCs w:val="32"/>
          <w:lang w:val="en-US" w:eastAsia="zh-CN"/>
        </w:rPr>
      </w:pPr>
      <w:r>
        <w:rPr>
          <w:rFonts w:hint="default" w:ascii="仿宋_GB2312" w:hAnsi="仿宋" w:eastAsia="仿宋_GB2312"/>
          <w:b/>
          <w:bCs/>
          <w:color w:val="auto"/>
          <w:sz w:val="32"/>
          <w:szCs w:val="32"/>
          <w:lang w:val="en-US" w:eastAsia="zh-CN"/>
        </w:rPr>
        <w:t>（一）选手需具备能力</w:t>
      </w:r>
    </w:p>
    <w:p w14:paraId="6017FC8F">
      <w:pPr>
        <w:adjustRightInd w:val="0"/>
        <w:snapToGrid w:val="0"/>
        <w:spacing w:line="360" w:lineRule="auto"/>
        <w:ind w:firstLine="640" w:firstLineChars="200"/>
        <w:jc w:val="left"/>
        <w:rPr>
          <w:rFonts w:hint="default" w:ascii="仿宋_GB2312" w:hAnsi="仿宋" w:eastAsia="仿宋_GB2312"/>
          <w:color w:val="auto"/>
          <w:sz w:val="32"/>
          <w:szCs w:val="32"/>
          <w:lang w:val="en-US" w:eastAsia="zh-CN"/>
        </w:rPr>
      </w:pPr>
      <w:r>
        <w:rPr>
          <w:rFonts w:hint="default" w:ascii="仿宋_GB2312" w:hAnsi="仿宋" w:eastAsia="仿宋_GB2312"/>
          <w:color w:val="auto"/>
          <w:sz w:val="32"/>
          <w:szCs w:val="32"/>
          <w:lang w:val="en-US" w:eastAsia="zh-CN"/>
        </w:rPr>
        <w:t>本赛项基于企业真实软件系统项目和工作模块，通过“需求分析—数据库设计—模块开发—系统部署—系统测试”等软件系统开发典型工作任务，结合高职</w:t>
      </w:r>
      <w:r>
        <w:rPr>
          <w:rFonts w:hint="eastAsia" w:ascii="仿宋_GB2312" w:hAnsi="仿宋" w:eastAsia="仿宋_GB2312"/>
          <w:color w:val="auto"/>
          <w:sz w:val="32"/>
          <w:szCs w:val="32"/>
          <w:lang w:val="en-US" w:eastAsia="zh-CN"/>
        </w:rPr>
        <w:t>计算机类</w:t>
      </w:r>
      <w:r>
        <w:rPr>
          <w:rFonts w:hint="default" w:ascii="仿宋_GB2312" w:hAnsi="仿宋" w:eastAsia="仿宋_GB2312"/>
          <w:color w:val="auto"/>
          <w:sz w:val="32"/>
          <w:szCs w:val="32"/>
          <w:lang w:val="en-US" w:eastAsia="zh-CN"/>
        </w:rPr>
        <w:t>专业教学标准，充分考量企业岗位对学生职业技能的最新需求，在规定的时间内完成指定竞赛模块，主要考查参赛选手计算机信息处理技术、程序设计、操作系统等相关知识，应用软件系统数据库设计、简单算法分析和设计、前端页面和后端业务功能开发、数据采集与分析、系统部署测试与运维、软件项目文档编制等方面的能力，培养选手工作组织和团队协作能力、沟通和人际交往能力、解决问题能力以及致力于紧跟行业发展步伐的自我学习能力。</w:t>
      </w:r>
    </w:p>
    <w:p w14:paraId="733B00A6">
      <w:pPr>
        <w:adjustRightInd w:val="0"/>
        <w:snapToGrid w:val="0"/>
        <w:spacing w:line="360" w:lineRule="auto"/>
        <w:ind w:firstLine="643" w:firstLineChars="200"/>
        <w:jc w:val="left"/>
        <w:outlineLvl w:val="1"/>
        <w:rPr>
          <w:rFonts w:hint="default" w:ascii="仿宋_GB2312" w:hAnsi="仿宋" w:eastAsia="仿宋_GB2312"/>
          <w:b/>
          <w:bCs/>
          <w:color w:val="auto"/>
          <w:sz w:val="32"/>
          <w:szCs w:val="32"/>
          <w:lang w:val="en-US" w:eastAsia="zh-CN"/>
        </w:rPr>
      </w:pPr>
      <w:r>
        <w:rPr>
          <w:rFonts w:hint="default" w:ascii="仿宋_GB2312" w:hAnsi="仿宋" w:eastAsia="仿宋_GB2312"/>
          <w:b/>
          <w:bCs/>
          <w:color w:val="auto"/>
          <w:sz w:val="32"/>
          <w:szCs w:val="32"/>
          <w:lang w:val="en-US" w:eastAsia="zh-CN"/>
        </w:rPr>
        <w:t>（二）竞赛模块及内容</w:t>
      </w:r>
    </w:p>
    <w:p w14:paraId="3BFD0988">
      <w:pPr>
        <w:adjustRightInd w:val="0"/>
        <w:snapToGrid w:val="0"/>
        <w:spacing w:line="360" w:lineRule="auto"/>
        <w:ind w:firstLine="643" w:firstLineChars="200"/>
        <w:jc w:val="left"/>
        <w:outlineLvl w:val="2"/>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1.竞赛时间</w:t>
      </w:r>
    </w:p>
    <w:p w14:paraId="01DE1AB8">
      <w:pPr>
        <w:adjustRightInd w:val="0"/>
        <w:snapToGrid w:val="0"/>
        <w:spacing w:line="360" w:lineRule="auto"/>
        <w:ind w:firstLine="640" w:firstLineChars="200"/>
        <w:jc w:val="left"/>
        <w:rPr>
          <w:rFonts w:hint="default" w:ascii="仿宋_GB2312" w:hAnsi="仿宋" w:eastAsia="仿宋_GB2312"/>
          <w:color w:val="auto"/>
          <w:sz w:val="32"/>
          <w:szCs w:val="32"/>
          <w:lang w:val="en-US" w:eastAsia="zh-CN"/>
        </w:rPr>
      </w:pPr>
      <w:r>
        <w:rPr>
          <w:rFonts w:hint="default" w:ascii="仿宋_GB2312" w:hAnsi="仿宋" w:eastAsia="仿宋_GB2312"/>
          <w:color w:val="auto"/>
          <w:sz w:val="32"/>
          <w:szCs w:val="32"/>
          <w:highlight w:val="none"/>
          <w:lang w:val="en-US" w:eastAsia="zh-CN"/>
        </w:rPr>
        <w:t>本赛项竞赛总时长</w:t>
      </w:r>
      <w:r>
        <w:rPr>
          <w:rFonts w:hint="eastAsia" w:ascii="仿宋_GB2312" w:hAnsi="仿宋" w:eastAsia="仿宋_GB2312"/>
          <w:color w:val="auto"/>
          <w:sz w:val="32"/>
          <w:szCs w:val="32"/>
          <w:highlight w:val="none"/>
          <w:lang w:val="en-US" w:eastAsia="zh-CN"/>
        </w:rPr>
        <w:t>4小时</w:t>
      </w:r>
      <w:r>
        <w:rPr>
          <w:rFonts w:hint="default" w:ascii="仿宋_GB2312" w:hAnsi="仿宋" w:eastAsia="仿宋_GB2312"/>
          <w:color w:val="auto"/>
          <w:sz w:val="32"/>
          <w:szCs w:val="32"/>
          <w:highlight w:val="none"/>
          <w:lang w:val="en-US" w:eastAsia="zh-CN"/>
        </w:rPr>
        <w:t>（1天</w:t>
      </w:r>
      <w:r>
        <w:rPr>
          <w:rFonts w:hint="eastAsia" w:ascii="仿宋_GB2312" w:hAnsi="仿宋" w:eastAsia="仿宋_GB2312"/>
          <w:color w:val="auto"/>
          <w:sz w:val="32"/>
          <w:szCs w:val="32"/>
          <w:highlight w:val="none"/>
          <w:lang w:val="en-US" w:eastAsia="zh-CN"/>
        </w:rPr>
        <w:t>内</w:t>
      </w:r>
      <w:r>
        <w:rPr>
          <w:rFonts w:hint="default" w:ascii="仿宋_GB2312" w:hAnsi="仿宋" w:eastAsia="仿宋_GB2312"/>
          <w:color w:val="auto"/>
          <w:sz w:val="32"/>
          <w:szCs w:val="32"/>
          <w:highlight w:val="none"/>
          <w:lang w:val="en-US" w:eastAsia="zh-CN"/>
        </w:rPr>
        <w:t>进行），</w:t>
      </w:r>
      <w:r>
        <w:rPr>
          <w:rFonts w:hint="default" w:ascii="仿宋_GB2312" w:hAnsi="仿宋" w:eastAsia="仿宋_GB2312"/>
          <w:color w:val="auto"/>
          <w:sz w:val="32"/>
          <w:szCs w:val="32"/>
          <w:lang w:val="en-US" w:eastAsia="zh-CN"/>
        </w:rPr>
        <w:t>各参赛队在规定的时间内，独立完成“竞赛内容”规定的竞赛模块。</w:t>
      </w:r>
    </w:p>
    <w:p w14:paraId="5BD65A8A">
      <w:pPr>
        <w:adjustRightInd w:val="0"/>
        <w:snapToGrid w:val="0"/>
        <w:spacing w:line="360" w:lineRule="auto"/>
        <w:ind w:firstLine="643" w:firstLineChars="200"/>
        <w:jc w:val="left"/>
        <w:outlineLvl w:val="2"/>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2.竞赛内容</w:t>
      </w:r>
    </w:p>
    <w:p w14:paraId="1DE4A6E9">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default" w:ascii="仿宋_GB2312" w:hAnsi="仿宋" w:eastAsia="仿宋_GB2312" w:cs="Times New Roman"/>
          <w:color w:val="auto"/>
          <w:sz w:val="32"/>
          <w:szCs w:val="32"/>
          <w:lang w:val="en-US" w:eastAsia="zh-CN"/>
        </w:rPr>
        <w:t>竞赛内容以真实企业软件系统项目为载体，按照软件系统开发典型工作任务，设置</w:t>
      </w:r>
      <w:r>
        <w:rPr>
          <w:rFonts w:hint="default" w:ascii="仿宋_GB2312" w:hAnsi="仿宋" w:eastAsia="仿宋_GB2312" w:cs="Times New Roman"/>
          <w:b/>
          <w:bCs/>
          <w:color w:val="auto"/>
          <w:sz w:val="32"/>
          <w:szCs w:val="32"/>
          <w:lang w:val="en-US" w:eastAsia="zh-CN"/>
        </w:rPr>
        <w:t>“软件系统开发”和“系统部署测试”</w:t>
      </w:r>
      <w:r>
        <w:rPr>
          <w:rFonts w:hint="eastAsia" w:ascii="仿宋_GB2312" w:hAnsi="仿宋" w:eastAsia="仿宋_GB2312" w:cs="Times New Roman"/>
          <w:b/>
          <w:bCs/>
          <w:color w:val="auto"/>
          <w:sz w:val="32"/>
          <w:szCs w:val="32"/>
          <w:lang w:val="en-US" w:eastAsia="zh-CN"/>
        </w:rPr>
        <w:t>两</w:t>
      </w:r>
      <w:r>
        <w:rPr>
          <w:rFonts w:hint="default" w:ascii="仿宋_GB2312" w:hAnsi="仿宋" w:eastAsia="仿宋_GB2312" w:cs="Times New Roman"/>
          <w:b/>
          <w:bCs/>
          <w:color w:val="auto"/>
          <w:sz w:val="32"/>
          <w:szCs w:val="32"/>
          <w:lang w:val="en-US" w:eastAsia="zh-CN"/>
        </w:rPr>
        <w:t>个竞赛模块。</w:t>
      </w:r>
    </w:p>
    <w:p w14:paraId="4013E855">
      <w:pPr>
        <w:adjustRightInd w:val="0"/>
        <w:snapToGrid w:val="0"/>
        <w:spacing w:line="360" w:lineRule="auto"/>
        <w:ind w:firstLine="643" w:firstLineChars="200"/>
        <w:jc w:val="left"/>
        <w:rPr>
          <w:rFonts w:hint="default" w:ascii="仿宋_GB2312" w:hAnsi="仿宋" w:eastAsia="仿宋_GB2312" w:cs="Times New Roman"/>
          <w:b/>
          <w:bCs/>
          <w:color w:val="auto"/>
          <w:sz w:val="32"/>
          <w:szCs w:val="32"/>
          <w:lang w:val="en-US" w:eastAsia="zh-CN"/>
        </w:rPr>
      </w:pPr>
      <w:r>
        <w:rPr>
          <w:rFonts w:hint="eastAsia" w:ascii="仿宋_GB2312" w:hAnsi="仿宋" w:eastAsia="仿宋_GB2312" w:cs="Times New Roman"/>
          <w:b/>
          <w:bCs/>
          <w:color w:val="auto"/>
          <w:sz w:val="32"/>
          <w:szCs w:val="32"/>
          <w:lang w:val="en-US" w:eastAsia="zh-CN"/>
        </w:rPr>
        <w:t>模块一：软件系统开发</w:t>
      </w:r>
    </w:p>
    <w:p w14:paraId="56C4D3C7">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本模块重点考查参赛选手的</w:t>
      </w:r>
      <w:r>
        <w:rPr>
          <w:rFonts w:hint="eastAsia" w:ascii="仿宋_GB2312" w:hAnsi="仿宋" w:eastAsia="仿宋_GB2312" w:cs="Times New Roman"/>
          <w:color w:val="auto"/>
          <w:sz w:val="32"/>
          <w:szCs w:val="32"/>
          <w:highlight w:val="none"/>
          <w:lang w:val="en-US" w:eastAsia="zh-CN"/>
        </w:rPr>
        <w:t>业务设计</w:t>
      </w:r>
      <w:r>
        <w:rPr>
          <w:rFonts w:hint="eastAsia" w:ascii="仿宋_GB2312" w:hAnsi="仿宋" w:eastAsia="仿宋_GB2312" w:cs="Times New Roman"/>
          <w:color w:val="auto"/>
          <w:sz w:val="32"/>
          <w:szCs w:val="32"/>
          <w:lang w:val="en-US" w:eastAsia="zh-CN"/>
        </w:rPr>
        <w:t>、前端页面开发和后端业务代码编写能力，具体包括：</w:t>
      </w:r>
    </w:p>
    <w:p w14:paraId="57FD5D65">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（1）前端页面开发。基于给定的系统需求，利用后端API提供的数据接口，使用</w:t>
      </w:r>
      <w:r>
        <w:rPr>
          <w:rFonts w:hint="default" w:ascii="Times New Roman" w:hAnsi="Times New Roman" w:eastAsia="仿宋_GB2312" w:cs="Times New Roman"/>
          <w:color w:val="auto"/>
          <w:sz w:val="32"/>
          <w:szCs w:val="32"/>
          <w:lang w:val="en-US" w:eastAsia="zh-CN"/>
        </w:rPr>
        <w:t>HTML5、CSS3、JavaScript、Vue3.js（ElementPlus）</w:t>
      </w:r>
      <w:r>
        <w:rPr>
          <w:rFonts w:hint="eastAsia" w:ascii="仿宋_GB2312" w:hAnsi="仿宋" w:eastAsia="仿宋_GB2312" w:cs="Times New Roman"/>
          <w:color w:val="auto"/>
          <w:sz w:val="32"/>
          <w:szCs w:val="32"/>
          <w:lang w:val="en-US" w:eastAsia="zh-CN"/>
        </w:rPr>
        <w:t>等技术，遵循</w:t>
      </w:r>
      <w:r>
        <w:rPr>
          <w:rFonts w:hint="default" w:ascii="Times New Roman" w:hAnsi="Times New Roman" w:eastAsia="仿宋_GB2312" w:cs="Times New Roman"/>
          <w:color w:val="auto"/>
          <w:sz w:val="32"/>
          <w:szCs w:val="32"/>
          <w:lang w:val="en-US" w:eastAsia="zh-CN"/>
        </w:rPr>
        <w:t>MVVM</w:t>
      </w:r>
      <w:r>
        <w:rPr>
          <w:rFonts w:hint="eastAsia" w:ascii="仿宋_GB2312" w:hAnsi="仿宋" w:eastAsia="仿宋_GB2312" w:cs="Times New Roman"/>
          <w:color w:val="auto"/>
          <w:sz w:val="32"/>
          <w:szCs w:val="32"/>
          <w:lang w:val="en-US" w:eastAsia="zh-CN"/>
        </w:rPr>
        <w:t>模式完成前端页面，实现业务功能。要求编码符合前端工程化开发技术规范。</w:t>
      </w:r>
    </w:p>
    <w:p w14:paraId="2DF4DF4F">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（2）后端业务开发。基于给定的系统需求，利用可视化开发工具设计数据库，并利用</w:t>
      </w:r>
      <w:r>
        <w:rPr>
          <w:rFonts w:hint="default" w:ascii="Times New Roman" w:hAnsi="Times New Roman" w:eastAsia="仿宋_GB2312" w:cs="Times New Roman"/>
          <w:color w:val="auto"/>
          <w:sz w:val="32"/>
          <w:szCs w:val="32"/>
          <w:lang w:val="en-US" w:eastAsia="zh-CN"/>
        </w:rPr>
        <w:t>Spring Boot</w:t>
      </w:r>
      <w:r>
        <w:rPr>
          <w:rFonts w:hint="eastAsia" w:ascii="仿宋_GB2312" w:hAnsi="仿宋" w:eastAsia="仿宋_GB2312" w:cs="Times New Roman"/>
          <w:color w:val="auto"/>
          <w:sz w:val="32"/>
          <w:szCs w:val="32"/>
          <w:lang w:val="en-US" w:eastAsia="zh-CN"/>
        </w:rPr>
        <w:t>框架实现后端业务功能，完成</w:t>
      </w:r>
      <w:r>
        <w:rPr>
          <w:rFonts w:hint="default" w:ascii="Times New Roman" w:hAnsi="Times New Roman" w:eastAsia="仿宋_GB2312" w:cs="Times New Roman"/>
          <w:color w:val="auto"/>
          <w:sz w:val="32"/>
          <w:szCs w:val="32"/>
          <w:lang w:val="en-US" w:eastAsia="zh-CN"/>
        </w:rPr>
        <w:t>RESTful API</w:t>
      </w:r>
      <w:r>
        <w:rPr>
          <w:rFonts w:hint="eastAsia" w:ascii="仿宋_GB2312" w:hAnsi="仿宋" w:eastAsia="仿宋_GB2312" w:cs="Times New Roman"/>
          <w:color w:val="auto"/>
          <w:sz w:val="32"/>
          <w:szCs w:val="32"/>
          <w:lang w:val="en-US" w:eastAsia="zh-CN"/>
        </w:rPr>
        <w:t>接口开发，并发布运行。要求设计符合</w:t>
      </w:r>
      <w:r>
        <w:rPr>
          <w:rFonts w:hint="eastAsia" w:ascii="Times New Roman" w:hAnsi="Times New Roman" w:eastAsia="仿宋_GB2312" w:cs="Times New Roman"/>
          <w:color w:val="auto"/>
          <w:sz w:val="32"/>
          <w:szCs w:val="32"/>
          <w:lang w:val="en-US" w:eastAsia="zh-CN"/>
        </w:rPr>
        <w:t>Spring Boot</w:t>
      </w:r>
      <w:r>
        <w:rPr>
          <w:rFonts w:hint="eastAsia" w:ascii="仿宋_GB2312" w:hAnsi="仿宋" w:eastAsia="仿宋_GB2312" w:cs="Times New Roman"/>
          <w:color w:val="auto"/>
          <w:sz w:val="32"/>
          <w:szCs w:val="32"/>
          <w:lang w:val="en-US" w:eastAsia="zh-CN"/>
        </w:rPr>
        <w:t>框架的</w:t>
      </w:r>
      <w:r>
        <w:rPr>
          <w:rFonts w:hint="eastAsia" w:ascii="Times New Roman" w:hAnsi="Times New Roman" w:eastAsia="仿宋_GB2312" w:cs="Times New Roman"/>
          <w:color w:val="auto"/>
          <w:sz w:val="32"/>
          <w:szCs w:val="32"/>
          <w:lang w:val="en-US" w:eastAsia="zh-CN"/>
        </w:rPr>
        <w:t>Domain/POJO、DAO、Service、Controller</w:t>
      </w:r>
      <w:r>
        <w:rPr>
          <w:rFonts w:hint="eastAsia" w:ascii="仿宋_GB2312" w:hAnsi="仿宋" w:eastAsia="仿宋_GB2312" w:cs="Times New Roman"/>
          <w:color w:val="auto"/>
          <w:sz w:val="32"/>
          <w:szCs w:val="32"/>
          <w:lang w:val="en-US" w:eastAsia="zh-CN"/>
        </w:rPr>
        <w:t>分层架构模式，编码符合命名和注释规范。</w:t>
      </w:r>
    </w:p>
    <w:p w14:paraId="26279798">
      <w:pPr>
        <w:adjustRightInd w:val="0"/>
        <w:snapToGrid w:val="0"/>
        <w:spacing w:line="360" w:lineRule="auto"/>
        <w:ind w:firstLine="643" w:firstLineChars="200"/>
        <w:jc w:val="left"/>
        <w:rPr>
          <w:rFonts w:hint="default" w:ascii="仿宋_GB2312" w:hAnsi="仿宋" w:eastAsia="仿宋_GB2312" w:cs="Times New Roman"/>
          <w:b/>
          <w:bCs/>
          <w:color w:val="auto"/>
          <w:sz w:val="32"/>
          <w:szCs w:val="32"/>
          <w:lang w:val="en-US" w:eastAsia="zh-CN"/>
        </w:rPr>
      </w:pPr>
      <w:r>
        <w:rPr>
          <w:rFonts w:hint="eastAsia" w:ascii="仿宋_GB2312" w:hAnsi="仿宋" w:eastAsia="仿宋_GB2312" w:cs="Times New Roman"/>
          <w:b/>
          <w:bCs/>
          <w:color w:val="auto"/>
          <w:sz w:val="32"/>
          <w:szCs w:val="32"/>
          <w:lang w:val="en-US" w:eastAsia="zh-CN"/>
        </w:rPr>
        <w:t>模块二：系统部署测试</w:t>
      </w:r>
    </w:p>
    <w:p w14:paraId="57EF570B">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本模块重点考查参赛选手的系统部署、功能测试、</w:t>
      </w:r>
      <w:r>
        <w:rPr>
          <w:rFonts w:hint="eastAsia" w:ascii="Times New Roman" w:hAnsi="Times New Roman" w:eastAsia="仿宋_GB2312" w:cs="Times New Roman"/>
          <w:color w:val="auto"/>
          <w:sz w:val="32"/>
          <w:szCs w:val="32"/>
          <w:lang w:val="en-US" w:eastAsia="zh-CN"/>
        </w:rPr>
        <w:t>Bug</w:t>
      </w:r>
      <w:r>
        <w:rPr>
          <w:rFonts w:hint="eastAsia" w:ascii="仿宋_GB2312" w:hAnsi="仿宋" w:eastAsia="仿宋_GB2312" w:cs="Times New Roman"/>
          <w:color w:val="auto"/>
          <w:sz w:val="32"/>
          <w:szCs w:val="32"/>
          <w:lang w:val="en-US" w:eastAsia="zh-CN"/>
        </w:rPr>
        <w:t>排查修复及文档编写能力，具体包括：</w:t>
      </w:r>
    </w:p>
    <w:p w14:paraId="13EB1D03">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（1）系统部署。将给定项目发布到集成部署工具中，确保正常运行。</w:t>
      </w:r>
    </w:p>
    <w:p w14:paraId="3DC4B1AA">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（2）功能测试及</w:t>
      </w:r>
      <w:r>
        <w:rPr>
          <w:rFonts w:hint="eastAsia" w:ascii="Times New Roman" w:hAnsi="Times New Roman" w:eastAsia="仿宋_GB2312" w:cs="Times New Roman"/>
          <w:color w:val="auto"/>
          <w:sz w:val="32"/>
          <w:szCs w:val="32"/>
          <w:lang w:val="en-US" w:eastAsia="zh-CN"/>
        </w:rPr>
        <w:t>Bug</w:t>
      </w:r>
      <w:r>
        <w:rPr>
          <w:rFonts w:hint="eastAsia" w:ascii="仿宋_GB2312" w:hAnsi="仿宋" w:eastAsia="仿宋_GB2312" w:cs="Times New Roman"/>
          <w:color w:val="auto"/>
          <w:sz w:val="32"/>
          <w:szCs w:val="32"/>
          <w:lang w:val="en-US" w:eastAsia="zh-CN"/>
        </w:rPr>
        <w:t>修复。使用给定的前后端源代码，制定测试策略，设计测试用例，完成指定的功能测试；记录测试中出现的</w:t>
      </w:r>
      <w:r>
        <w:rPr>
          <w:rFonts w:hint="eastAsia" w:ascii="Times New Roman" w:hAnsi="Times New Roman" w:eastAsia="仿宋_GB2312" w:cs="Times New Roman"/>
          <w:color w:val="auto"/>
          <w:sz w:val="32"/>
          <w:szCs w:val="32"/>
          <w:lang w:val="en-US" w:eastAsia="zh-CN"/>
        </w:rPr>
        <w:t>Bug</w:t>
      </w:r>
      <w:r>
        <w:rPr>
          <w:rFonts w:hint="eastAsia" w:ascii="仿宋_GB2312" w:hAnsi="仿宋" w:eastAsia="仿宋_GB2312" w:cs="Times New Roman"/>
          <w:color w:val="auto"/>
          <w:sz w:val="32"/>
          <w:szCs w:val="32"/>
          <w:lang w:val="en-US" w:eastAsia="zh-CN"/>
        </w:rPr>
        <w:t>，对</w:t>
      </w:r>
      <w:r>
        <w:rPr>
          <w:rFonts w:hint="eastAsia" w:ascii="Times New Roman" w:hAnsi="Times New Roman" w:eastAsia="仿宋_GB2312" w:cs="Times New Roman"/>
          <w:color w:val="auto"/>
          <w:sz w:val="32"/>
          <w:szCs w:val="32"/>
          <w:lang w:val="en-US" w:eastAsia="zh-CN"/>
        </w:rPr>
        <w:t>Bug</w:t>
      </w:r>
      <w:r>
        <w:rPr>
          <w:rFonts w:hint="eastAsia" w:ascii="仿宋_GB2312" w:hAnsi="仿宋" w:eastAsia="仿宋_GB2312" w:cs="Times New Roman"/>
          <w:color w:val="auto"/>
          <w:sz w:val="32"/>
          <w:szCs w:val="32"/>
          <w:lang w:val="en-US" w:eastAsia="zh-CN"/>
        </w:rPr>
        <w:t>进行分析与修复；基于测试报告模板，撰写系统测试报告。</w:t>
      </w:r>
    </w:p>
    <w:p w14:paraId="3DE09BBA">
      <w:pPr>
        <w:adjustRightInd w:val="0"/>
        <w:snapToGrid w:val="0"/>
        <w:spacing w:line="360" w:lineRule="auto"/>
        <w:ind w:firstLine="640" w:firstLineChars="200"/>
        <w:jc w:val="left"/>
        <w:rPr>
          <w:rFonts w:hint="default" w:ascii="仿宋_GB2312" w:hAnsi="仿宋" w:eastAsia="仿宋_GB2312" w:cs="Times New Roman"/>
          <w:color w:val="auto"/>
          <w:sz w:val="32"/>
          <w:szCs w:val="32"/>
          <w:lang w:val="en-US" w:eastAsia="zh-CN"/>
        </w:rPr>
      </w:pPr>
      <w:r>
        <w:rPr>
          <w:rFonts w:hint="eastAsia" w:ascii="仿宋_GB2312" w:hAnsi="仿宋" w:eastAsia="仿宋_GB2312" w:cs="Times New Roman"/>
          <w:color w:val="auto"/>
          <w:sz w:val="32"/>
          <w:szCs w:val="32"/>
          <w:lang w:val="en-US" w:eastAsia="zh-CN"/>
        </w:rPr>
        <w:t>（3）</w:t>
      </w:r>
      <w:r>
        <w:rPr>
          <w:rFonts w:hint="eastAsia" w:ascii="Times New Roman" w:hAnsi="Times New Roman" w:eastAsia="仿宋_GB2312" w:cs="Times New Roman"/>
          <w:color w:val="auto"/>
          <w:sz w:val="32"/>
          <w:szCs w:val="32"/>
          <w:lang w:val="en-US" w:eastAsia="zh-CN"/>
        </w:rPr>
        <w:t>API</w:t>
      </w:r>
      <w:r>
        <w:rPr>
          <w:rFonts w:hint="eastAsia" w:ascii="仿宋_GB2312" w:hAnsi="仿宋" w:eastAsia="仿宋_GB2312" w:cs="Times New Roman"/>
          <w:color w:val="auto"/>
          <w:sz w:val="32"/>
          <w:szCs w:val="32"/>
          <w:lang w:val="en-US" w:eastAsia="zh-CN"/>
        </w:rPr>
        <w:t>接口测试。使用</w:t>
      </w:r>
      <w:r>
        <w:rPr>
          <w:rFonts w:hint="eastAsia" w:ascii="Times New Roman" w:hAnsi="Times New Roman" w:eastAsia="仿宋_GB2312" w:cs="Times New Roman"/>
          <w:color w:val="auto"/>
          <w:sz w:val="32"/>
          <w:szCs w:val="32"/>
          <w:lang w:val="en-US" w:eastAsia="zh-CN"/>
        </w:rPr>
        <w:t>JMeter</w:t>
      </w:r>
      <w:r>
        <w:rPr>
          <w:rFonts w:hint="eastAsia" w:ascii="仿宋_GB2312" w:hAnsi="仿宋" w:eastAsia="仿宋_GB2312" w:cs="Times New Roman"/>
          <w:color w:val="auto"/>
          <w:sz w:val="32"/>
          <w:szCs w:val="32"/>
          <w:lang w:val="en-US" w:eastAsia="zh-CN"/>
        </w:rPr>
        <w:t>工具对后端</w:t>
      </w:r>
      <w:r>
        <w:rPr>
          <w:rFonts w:hint="eastAsia" w:ascii="Times New Roman" w:hAnsi="Times New Roman" w:eastAsia="仿宋_GB2312" w:cs="Times New Roman"/>
          <w:color w:val="auto"/>
          <w:sz w:val="32"/>
          <w:szCs w:val="32"/>
          <w:lang w:val="en-US" w:eastAsia="zh-CN"/>
        </w:rPr>
        <w:t>RESTful API</w:t>
      </w:r>
      <w:r>
        <w:rPr>
          <w:rFonts w:hint="eastAsia" w:ascii="仿宋_GB2312" w:hAnsi="仿宋" w:eastAsia="仿宋_GB2312" w:cs="Times New Roman"/>
          <w:color w:val="auto"/>
          <w:sz w:val="32"/>
          <w:szCs w:val="32"/>
          <w:lang w:val="en-US" w:eastAsia="zh-CN"/>
        </w:rPr>
        <w:t>接口进行测试，输出</w:t>
      </w:r>
      <w:r>
        <w:rPr>
          <w:rFonts w:hint="eastAsia" w:ascii="Times New Roman" w:hAnsi="Times New Roman" w:eastAsia="仿宋_GB2312" w:cs="Times New Roman"/>
          <w:color w:val="auto"/>
          <w:sz w:val="32"/>
          <w:szCs w:val="32"/>
          <w:lang w:val="en-US" w:eastAsia="zh-CN"/>
        </w:rPr>
        <w:t>API</w:t>
      </w:r>
      <w:r>
        <w:rPr>
          <w:rFonts w:hint="eastAsia" w:ascii="仿宋_GB2312" w:hAnsi="仿宋" w:eastAsia="仿宋_GB2312" w:cs="Times New Roman"/>
          <w:color w:val="auto"/>
          <w:sz w:val="32"/>
          <w:szCs w:val="32"/>
          <w:lang w:val="en-US" w:eastAsia="zh-CN"/>
        </w:rPr>
        <w:t>接口测试报告。</w:t>
      </w:r>
    </w:p>
    <w:p w14:paraId="5FB79917">
      <w:pPr>
        <w:adjustRightInd w:val="0"/>
        <w:snapToGrid w:val="0"/>
        <w:spacing w:line="360" w:lineRule="auto"/>
        <w:ind w:firstLine="643" w:firstLineChars="200"/>
        <w:jc w:val="left"/>
        <w:outlineLvl w:val="1"/>
        <w:rPr>
          <w:rFonts w:hint="default" w:ascii="仿宋_GB2312" w:hAnsi="仿宋" w:eastAsia="仿宋_GB2312"/>
          <w:b/>
          <w:bCs/>
          <w:color w:val="auto"/>
          <w:sz w:val="32"/>
          <w:szCs w:val="32"/>
          <w:lang w:val="en-US" w:eastAsia="zh-CN"/>
        </w:rPr>
      </w:pPr>
      <w:r>
        <w:rPr>
          <w:rFonts w:hint="default" w:ascii="仿宋_GB2312" w:hAnsi="仿宋" w:eastAsia="仿宋_GB2312"/>
          <w:b/>
          <w:bCs/>
          <w:color w:val="auto"/>
          <w:sz w:val="32"/>
          <w:szCs w:val="32"/>
          <w:lang w:val="en-US" w:eastAsia="zh-CN"/>
        </w:rPr>
        <w:t>（三）模块时长及分值</w:t>
      </w:r>
    </w:p>
    <w:p w14:paraId="5CAE83AF">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表1 模块名称、时长及分值一览表</w:t>
      </w:r>
    </w:p>
    <w:tbl>
      <w:tblPr>
        <w:tblStyle w:val="1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5"/>
        <w:gridCol w:w="1736"/>
        <w:gridCol w:w="3299"/>
        <w:gridCol w:w="1349"/>
        <w:gridCol w:w="1127"/>
      </w:tblGrid>
      <w:tr w14:paraId="71B04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1609" w:type="pct"/>
            <w:gridSpan w:val="2"/>
            <w:noWrap w:val="0"/>
            <w:vAlign w:val="center"/>
          </w:tcPr>
          <w:p w14:paraId="7653569F">
            <w:pPr>
              <w:adjustRightInd w:val="0"/>
              <w:spacing w:line="360" w:lineRule="auto"/>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模块</w:t>
            </w:r>
          </w:p>
        </w:tc>
        <w:tc>
          <w:tcPr>
            <w:tcW w:w="1936" w:type="pct"/>
            <w:noWrap w:val="0"/>
            <w:vAlign w:val="center"/>
          </w:tcPr>
          <w:p w14:paraId="63B32568">
            <w:pPr>
              <w:adjustRightInd w:val="0"/>
              <w:spacing w:line="360" w:lineRule="auto"/>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主要内容</w:t>
            </w:r>
          </w:p>
        </w:tc>
        <w:tc>
          <w:tcPr>
            <w:tcW w:w="792" w:type="pct"/>
            <w:noWrap w:val="0"/>
            <w:vAlign w:val="center"/>
          </w:tcPr>
          <w:p w14:paraId="174F1F78">
            <w:pPr>
              <w:adjustRightInd w:val="0"/>
              <w:spacing w:line="360" w:lineRule="auto"/>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比赛时长</w:t>
            </w:r>
          </w:p>
        </w:tc>
        <w:tc>
          <w:tcPr>
            <w:tcW w:w="661" w:type="pct"/>
            <w:noWrap w:val="0"/>
            <w:vAlign w:val="center"/>
          </w:tcPr>
          <w:p w14:paraId="75C4EDDC">
            <w:pPr>
              <w:adjustRightInd w:val="0"/>
              <w:spacing w:line="360" w:lineRule="auto"/>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分值</w:t>
            </w:r>
          </w:p>
        </w:tc>
      </w:tr>
      <w:tr w14:paraId="77C50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90" w:type="pct"/>
            <w:noWrap w:val="0"/>
            <w:vAlign w:val="center"/>
          </w:tcPr>
          <w:p w14:paraId="5FA46A3D">
            <w:pPr>
              <w:adjustRightInd w:val="0"/>
              <w:snapToGrid w:val="0"/>
              <w:spacing w:line="360" w:lineRule="auto"/>
              <w:jc w:val="center"/>
              <w:rPr>
                <w:rFonts w:hint="eastAsia" w:ascii="Times New Roman" w:hAnsi="Times New Roman" w:eastAsia="仿宋_GB2312" w:cs="Times New Roman"/>
                <w:bCs/>
                <w:color w:val="auto"/>
                <w:sz w:val="24"/>
                <w:lang w:val="en-US" w:eastAsia="zh-CN"/>
              </w:rPr>
            </w:pPr>
            <w:r>
              <w:rPr>
                <w:rFonts w:hint="default" w:ascii="Times New Roman" w:hAnsi="Times New Roman" w:eastAsia="仿宋_GB2312" w:cs="Times New Roman"/>
                <w:bCs/>
                <w:color w:val="auto"/>
                <w:sz w:val="24"/>
              </w:rPr>
              <w:t>模块</w:t>
            </w:r>
            <w:r>
              <w:rPr>
                <w:rFonts w:hint="eastAsia" w:ascii="Times New Roman" w:hAnsi="Times New Roman" w:eastAsia="仿宋_GB2312" w:cs="Times New Roman"/>
                <w:bCs/>
                <w:color w:val="auto"/>
                <w:sz w:val="24"/>
                <w:lang w:val="en-US" w:eastAsia="zh-CN"/>
              </w:rPr>
              <w:t>一</w:t>
            </w:r>
          </w:p>
        </w:tc>
        <w:tc>
          <w:tcPr>
            <w:tcW w:w="1019" w:type="pct"/>
            <w:noWrap w:val="0"/>
            <w:vAlign w:val="center"/>
          </w:tcPr>
          <w:p w14:paraId="57607349">
            <w:pPr>
              <w:adjustRightInd w:val="0"/>
              <w:snapToGrid w:val="0"/>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lang w:val="en-US" w:eastAsia="zh-CN"/>
              </w:rPr>
              <w:t>软件</w:t>
            </w:r>
            <w:r>
              <w:rPr>
                <w:rFonts w:hint="default" w:ascii="Times New Roman" w:hAnsi="Times New Roman" w:eastAsia="仿宋_GB2312" w:cs="Times New Roman"/>
                <w:bCs/>
                <w:color w:val="auto"/>
                <w:sz w:val="24"/>
              </w:rPr>
              <w:t>系统开发</w:t>
            </w:r>
          </w:p>
        </w:tc>
        <w:tc>
          <w:tcPr>
            <w:tcW w:w="1936" w:type="pct"/>
            <w:noWrap w:val="0"/>
            <w:vAlign w:val="center"/>
          </w:tcPr>
          <w:p w14:paraId="4E39EEA1">
            <w:pPr>
              <w:adjustRightInd w:val="0"/>
              <w:snapToGrid w:val="0"/>
              <w:spacing w:line="360" w:lineRule="auto"/>
              <w:jc w:val="both"/>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rPr>
              <w:t>设计系统数据库，并基于指定开发框架，完成前端页面、后端</w:t>
            </w:r>
            <w:r>
              <w:rPr>
                <w:rFonts w:hint="default" w:ascii="Times New Roman" w:hAnsi="Times New Roman" w:eastAsia="仿宋_GB2312" w:cs="Times New Roman"/>
                <w:bCs/>
                <w:color w:val="auto"/>
                <w:sz w:val="24"/>
                <w:lang w:val="en-US" w:eastAsia="zh-CN"/>
              </w:rPr>
              <w:t>业务</w:t>
            </w:r>
            <w:r>
              <w:rPr>
                <w:rFonts w:hint="default" w:ascii="Times New Roman" w:hAnsi="Times New Roman" w:eastAsia="仿宋_GB2312" w:cs="Times New Roman"/>
                <w:bCs/>
                <w:color w:val="auto"/>
                <w:sz w:val="24"/>
              </w:rPr>
              <w:t>和交互功能的开发。</w:t>
            </w:r>
          </w:p>
        </w:tc>
        <w:tc>
          <w:tcPr>
            <w:tcW w:w="792" w:type="pct"/>
            <w:vMerge w:val="restart"/>
            <w:noWrap w:val="0"/>
            <w:vAlign w:val="center"/>
          </w:tcPr>
          <w:p w14:paraId="1EFCB739">
            <w:pPr>
              <w:adjustRightInd w:val="0"/>
              <w:snapToGrid w:val="0"/>
              <w:spacing w:line="360" w:lineRule="auto"/>
              <w:jc w:val="center"/>
              <w:rPr>
                <w:rFonts w:hint="default" w:ascii="Times New Roman" w:hAnsi="Times New Roman" w:eastAsia="仿宋_GB2312" w:cs="Times New Roman"/>
                <w:bCs/>
                <w:color w:val="auto"/>
                <w:sz w:val="24"/>
                <w:lang w:val="en-US" w:eastAsia="zh-CN"/>
              </w:rPr>
            </w:pPr>
            <w:r>
              <w:rPr>
                <w:rFonts w:hint="eastAsia" w:ascii="Times New Roman" w:hAnsi="Times New Roman" w:eastAsia="仿宋_GB2312" w:cs="Times New Roman"/>
                <w:bCs/>
                <w:color w:val="auto"/>
                <w:sz w:val="24"/>
                <w:lang w:val="en-US" w:eastAsia="zh-CN"/>
              </w:rPr>
              <w:t>240分钟</w:t>
            </w:r>
          </w:p>
        </w:tc>
        <w:tc>
          <w:tcPr>
            <w:tcW w:w="661" w:type="pct"/>
            <w:noWrap w:val="0"/>
            <w:vAlign w:val="center"/>
          </w:tcPr>
          <w:p w14:paraId="69AD7C0B">
            <w:pPr>
              <w:adjustRightInd w:val="0"/>
              <w:snapToGrid w:val="0"/>
              <w:spacing w:line="360" w:lineRule="auto"/>
              <w:jc w:val="center"/>
              <w:rPr>
                <w:rFonts w:hint="default" w:ascii="Times New Roman" w:hAnsi="Times New Roman" w:eastAsia="仿宋_GB2312" w:cs="Times New Roman"/>
                <w:bCs/>
                <w:color w:val="auto"/>
                <w:sz w:val="24"/>
              </w:rPr>
            </w:pPr>
            <w:r>
              <w:rPr>
                <w:rFonts w:hint="eastAsia" w:ascii="Times New Roman" w:hAnsi="Times New Roman" w:eastAsia="仿宋_GB2312" w:cs="Times New Roman"/>
                <w:bCs/>
                <w:color w:val="auto"/>
                <w:sz w:val="24"/>
                <w:lang w:val="en-US" w:eastAsia="zh-CN"/>
              </w:rPr>
              <w:t>70</w:t>
            </w:r>
            <w:r>
              <w:rPr>
                <w:rFonts w:hint="default" w:ascii="Times New Roman" w:hAnsi="Times New Roman" w:eastAsia="仿宋_GB2312" w:cs="Times New Roman"/>
                <w:bCs/>
                <w:color w:val="auto"/>
                <w:sz w:val="24"/>
              </w:rPr>
              <w:t>分</w:t>
            </w:r>
          </w:p>
        </w:tc>
      </w:tr>
      <w:tr w14:paraId="0269F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90" w:type="pct"/>
            <w:noWrap w:val="0"/>
            <w:vAlign w:val="center"/>
          </w:tcPr>
          <w:p w14:paraId="7526C1AE">
            <w:pPr>
              <w:adjustRightInd w:val="0"/>
              <w:snapToGrid w:val="0"/>
              <w:spacing w:line="360" w:lineRule="auto"/>
              <w:jc w:val="center"/>
              <w:rPr>
                <w:rFonts w:hint="eastAsia" w:ascii="Times New Roman" w:hAnsi="Times New Roman" w:eastAsia="仿宋_GB2312" w:cs="Times New Roman"/>
                <w:bCs/>
                <w:color w:val="auto"/>
                <w:sz w:val="24"/>
                <w:lang w:val="en-US" w:eastAsia="zh-CN"/>
              </w:rPr>
            </w:pPr>
            <w:r>
              <w:rPr>
                <w:rFonts w:hint="default" w:ascii="Times New Roman" w:hAnsi="Times New Roman" w:eastAsia="仿宋_GB2312" w:cs="Times New Roman"/>
                <w:bCs/>
                <w:color w:val="auto"/>
                <w:sz w:val="24"/>
              </w:rPr>
              <w:t>模块</w:t>
            </w:r>
            <w:r>
              <w:rPr>
                <w:rFonts w:hint="eastAsia" w:ascii="Times New Roman" w:hAnsi="Times New Roman" w:eastAsia="仿宋_GB2312" w:cs="Times New Roman"/>
                <w:bCs/>
                <w:color w:val="auto"/>
                <w:sz w:val="24"/>
                <w:lang w:val="en-US" w:eastAsia="zh-CN"/>
              </w:rPr>
              <w:t>二</w:t>
            </w:r>
          </w:p>
        </w:tc>
        <w:tc>
          <w:tcPr>
            <w:tcW w:w="1019" w:type="pct"/>
            <w:noWrap w:val="0"/>
            <w:vAlign w:val="center"/>
          </w:tcPr>
          <w:p w14:paraId="0DA7B8CD">
            <w:pPr>
              <w:adjustRightInd w:val="0"/>
              <w:snapToGrid w:val="0"/>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rPr>
              <w:t>系统部署测试</w:t>
            </w:r>
          </w:p>
        </w:tc>
        <w:tc>
          <w:tcPr>
            <w:tcW w:w="1936" w:type="pct"/>
            <w:noWrap w:val="0"/>
            <w:vAlign w:val="center"/>
          </w:tcPr>
          <w:p w14:paraId="31844532">
            <w:pPr>
              <w:adjustRightInd w:val="0"/>
              <w:snapToGrid w:val="0"/>
              <w:spacing w:line="360" w:lineRule="auto"/>
              <w:jc w:val="both"/>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lang w:val="en-US" w:eastAsia="zh-CN"/>
              </w:rPr>
              <w:t>对给定项目</w:t>
            </w:r>
            <w:r>
              <w:rPr>
                <w:rFonts w:hint="default" w:ascii="Times New Roman" w:hAnsi="Times New Roman" w:eastAsia="仿宋_GB2312" w:cs="Times New Roman"/>
                <w:bCs/>
                <w:color w:val="auto"/>
                <w:sz w:val="24"/>
              </w:rPr>
              <w:t>进行系统部署、功能测试和Bug修复，使用测试工具进行API接口测试，</w:t>
            </w:r>
            <w:r>
              <w:rPr>
                <w:rFonts w:hint="default" w:ascii="Times New Roman" w:hAnsi="Times New Roman" w:eastAsia="仿宋_GB2312" w:cs="Times New Roman"/>
                <w:bCs/>
                <w:color w:val="auto"/>
                <w:sz w:val="24"/>
                <w:lang w:val="en-US" w:eastAsia="zh-CN"/>
              </w:rPr>
              <w:t>完成</w:t>
            </w:r>
            <w:r>
              <w:rPr>
                <w:rFonts w:hint="default" w:ascii="Times New Roman" w:hAnsi="Times New Roman" w:eastAsia="仿宋_GB2312" w:cs="Times New Roman"/>
                <w:bCs/>
                <w:color w:val="auto"/>
                <w:sz w:val="24"/>
              </w:rPr>
              <w:t>系统测试</w:t>
            </w:r>
            <w:r>
              <w:rPr>
                <w:rFonts w:hint="default" w:ascii="Times New Roman" w:hAnsi="Times New Roman" w:eastAsia="仿宋_GB2312" w:cs="Times New Roman"/>
                <w:bCs/>
                <w:color w:val="auto"/>
                <w:sz w:val="24"/>
                <w:lang w:val="en-US" w:eastAsia="zh-CN"/>
              </w:rPr>
              <w:t>文档编制</w:t>
            </w:r>
            <w:r>
              <w:rPr>
                <w:rFonts w:hint="default" w:ascii="Times New Roman" w:hAnsi="Times New Roman" w:eastAsia="仿宋_GB2312" w:cs="Times New Roman"/>
                <w:bCs/>
                <w:color w:val="auto"/>
                <w:sz w:val="24"/>
              </w:rPr>
              <w:t>。</w:t>
            </w:r>
          </w:p>
        </w:tc>
        <w:tc>
          <w:tcPr>
            <w:tcW w:w="792" w:type="pct"/>
            <w:vMerge w:val="continue"/>
            <w:noWrap w:val="0"/>
            <w:vAlign w:val="center"/>
          </w:tcPr>
          <w:p w14:paraId="4E697787">
            <w:pPr>
              <w:adjustRightInd w:val="0"/>
              <w:snapToGrid w:val="0"/>
              <w:spacing w:line="360" w:lineRule="auto"/>
              <w:jc w:val="center"/>
              <w:rPr>
                <w:rFonts w:hint="default" w:ascii="Times New Roman" w:hAnsi="Times New Roman" w:eastAsia="仿宋_GB2312" w:cs="Times New Roman"/>
                <w:bCs/>
                <w:color w:val="auto"/>
                <w:sz w:val="24"/>
              </w:rPr>
            </w:pPr>
          </w:p>
        </w:tc>
        <w:tc>
          <w:tcPr>
            <w:tcW w:w="661" w:type="pct"/>
            <w:noWrap w:val="0"/>
            <w:vAlign w:val="center"/>
          </w:tcPr>
          <w:p w14:paraId="746D37FB">
            <w:pPr>
              <w:adjustRightInd w:val="0"/>
              <w:snapToGrid w:val="0"/>
              <w:spacing w:line="360" w:lineRule="auto"/>
              <w:jc w:val="center"/>
              <w:rPr>
                <w:rFonts w:hint="default" w:ascii="Times New Roman" w:hAnsi="Times New Roman" w:eastAsia="仿宋_GB2312" w:cs="Times New Roman"/>
                <w:bCs/>
                <w:color w:val="auto"/>
                <w:sz w:val="24"/>
              </w:rPr>
            </w:pPr>
            <w:r>
              <w:rPr>
                <w:rFonts w:hint="eastAsia" w:ascii="Times New Roman" w:hAnsi="Times New Roman" w:eastAsia="仿宋_GB2312" w:cs="Times New Roman"/>
                <w:bCs/>
                <w:color w:val="auto"/>
                <w:sz w:val="24"/>
                <w:lang w:val="en-US" w:eastAsia="zh-CN"/>
              </w:rPr>
              <w:t>3</w:t>
            </w:r>
            <w:r>
              <w:rPr>
                <w:rFonts w:hint="default" w:ascii="Times New Roman" w:hAnsi="Times New Roman" w:eastAsia="仿宋_GB2312" w:cs="Times New Roman"/>
                <w:bCs/>
                <w:color w:val="auto"/>
                <w:sz w:val="24"/>
              </w:rPr>
              <w:t>0分</w:t>
            </w:r>
          </w:p>
        </w:tc>
      </w:tr>
    </w:tbl>
    <w:p w14:paraId="5055217B">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四、</w:t>
      </w:r>
      <w:r>
        <w:rPr>
          <w:rFonts w:hint="eastAsia" w:ascii="仿宋_GB2312" w:hAnsi="仿宋" w:eastAsia="仿宋_GB2312"/>
          <w:b/>
          <w:bCs/>
          <w:color w:val="auto"/>
          <w:sz w:val="32"/>
          <w:szCs w:val="32"/>
        </w:rPr>
        <w:t>竞赛方式</w:t>
      </w:r>
    </w:p>
    <w:p w14:paraId="5700C9D5">
      <w:pPr>
        <w:numPr>
          <w:ilvl w:val="0"/>
          <w:numId w:val="3"/>
        </w:numPr>
        <w:adjustRightInd w:val="0"/>
        <w:snapToGrid w:val="0"/>
        <w:spacing w:line="360" w:lineRule="auto"/>
        <w:ind w:firstLine="420" w:firstLineChars="0"/>
        <w:jc w:val="left"/>
        <w:outlineLvl w:val="1"/>
        <w:rPr>
          <w:rFonts w:hint="default" w:ascii="仿宋_GB2312" w:hAnsi="仿宋" w:eastAsia="仿宋_GB2312"/>
          <w:b/>
          <w:bCs/>
          <w:color w:val="auto"/>
          <w:sz w:val="32"/>
          <w:szCs w:val="32"/>
          <w:lang w:val="en-US" w:eastAsia="zh-CN"/>
        </w:rPr>
      </w:pPr>
      <w:r>
        <w:rPr>
          <w:rFonts w:hint="default" w:ascii="仿宋_GB2312" w:hAnsi="仿宋" w:eastAsia="仿宋_GB2312"/>
          <w:b/>
          <w:bCs/>
          <w:color w:val="auto"/>
          <w:sz w:val="32"/>
          <w:szCs w:val="32"/>
          <w:lang w:val="en-US" w:eastAsia="zh-CN"/>
        </w:rPr>
        <w:t>竞赛形式</w:t>
      </w:r>
    </w:p>
    <w:p w14:paraId="57ACF823">
      <w:pPr>
        <w:adjustRightInd w:val="0"/>
        <w:snapToGrid w:val="0"/>
        <w:spacing w:line="360" w:lineRule="auto"/>
        <w:ind w:firstLine="640" w:firstLineChars="200"/>
        <w:jc w:val="left"/>
        <w:rPr>
          <w:rFonts w:hint="default" w:ascii="仿宋_GB2312" w:hAnsi="仿宋" w:eastAsia="仿宋_GB2312"/>
          <w:color w:val="auto"/>
          <w:sz w:val="32"/>
          <w:szCs w:val="32"/>
          <w:lang w:val="en-US" w:eastAsia="zh-CN"/>
        </w:rPr>
      </w:pPr>
      <w:r>
        <w:rPr>
          <w:rFonts w:hint="default" w:ascii="仿宋_GB2312" w:hAnsi="仿宋" w:eastAsia="仿宋_GB2312"/>
          <w:color w:val="auto"/>
          <w:sz w:val="32"/>
          <w:szCs w:val="32"/>
          <w:lang w:val="en-US" w:eastAsia="zh-CN"/>
        </w:rPr>
        <w:t>本赛项为线下比赛形式。所有参赛队在现场根据给定的项目模块，</w:t>
      </w:r>
      <w:r>
        <w:rPr>
          <w:rFonts w:hint="default" w:ascii="Times New Roman" w:hAnsi="Times New Roman" w:eastAsia="仿宋_GB2312" w:cs="Times New Roman"/>
          <w:color w:val="auto"/>
          <w:sz w:val="32"/>
          <w:szCs w:val="32"/>
          <w:lang w:val="en-US" w:eastAsia="zh-CN"/>
        </w:rPr>
        <w:t>1天</w:t>
      </w:r>
      <w:r>
        <w:rPr>
          <w:rFonts w:hint="eastAsia" w:ascii="Times New Roman" w:hAnsi="Times New Roman" w:eastAsia="仿宋_GB2312" w:cs="Times New Roman"/>
          <w:color w:val="auto"/>
          <w:sz w:val="32"/>
          <w:szCs w:val="32"/>
          <w:lang w:val="en-US" w:eastAsia="zh-CN"/>
        </w:rPr>
        <w:t>内</w:t>
      </w:r>
      <w:r>
        <w:rPr>
          <w:rFonts w:hint="default" w:ascii="仿宋_GB2312" w:hAnsi="仿宋" w:eastAsia="仿宋_GB2312"/>
          <w:color w:val="auto"/>
          <w:sz w:val="32"/>
          <w:szCs w:val="32"/>
          <w:lang w:val="en-US" w:eastAsia="zh-CN"/>
        </w:rPr>
        <w:t>进行，</w:t>
      </w:r>
      <w:r>
        <w:rPr>
          <w:rFonts w:hint="default" w:ascii="仿宋_GB2312" w:hAnsi="仿宋" w:eastAsia="仿宋_GB2312"/>
          <w:color w:val="auto"/>
          <w:sz w:val="32"/>
          <w:szCs w:val="32"/>
          <w:highlight w:val="none"/>
          <w:lang w:val="en-US" w:eastAsia="zh-CN"/>
        </w:rPr>
        <w:t>在总计</w:t>
      </w:r>
      <w:r>
        <w:rPr>
          <w:rFonts w:hint="eastAsia" w:ascii="Times New Roman" w:hAnsi="Times New Roman" w:eastAsia="仿宋_GB2312" w:cs="Times New Roman"/>
          <w:color w:val="auto"/>
          <w:sz w:val="32"/>
          <w:szCs w:val="32"/>
          <w:highlight w:val="none"/>
          <w:lang w:val="en-US" w:eastAsia="zh-CN"/>
        </w:rPr>
        <w:t>4小时</w:t>
      </w:r>
      <w:r>
        <w:rPr>
          <w:rFonts w:hint="default" w:ascii="仿宋_GB2312" w:hAnsi="仿宋" w:eastAsia="仿宋_GB2312"/>
          <w:color w:val="auto"/>
          <w:sz w:val="32"/>
          <w:szCs w:val="32"/>
          <w:highlight w:val="none"/>
          <w:lang w:val="en-US" w:eastAsia="zh-CN"/>
        </w:rPr>
        <w:t>内相互配合</w:t>
      </w:r>
      <w:r>
        <w:rPr>
          <w:rFonts w:hint="default" w:ascii="仿宋_GB2312" w:hAnsi="仿宋" w:eastAsia="仿宋_GB2312"/>
          <w:color w:val="auto"/>
          <w:sz w:val="32"/>
          <w:szCs w:val="32"/>
          <w:lang w:val="en-US" w:eastAsia="zh-CN"/>
        </w:rPr>
        <w:t>，采用小组合作的形式完成竞赛模块。</w:t>
      </w:r>
    </w:p>
    <w:p w14:paraId="45C85EF1">
      <w:pPr>
        <w:numPr>
          <w:ilvl w:val="0"/>
          <w:numId w:val="3"/>
        </w:numPr>
        <w:adjustRightInd w:val="0"/>
        <w:snapToGrid w:val="0"/>
        <w:spacing w:line="360" w:lineRule="auto"/>
        <w:ind w:firstLine="420" w:firstLineChars="0"/>
        <w:jc w:val="left"/>
        <w:outlineLvl w:val="1"/>
        <w:rPr>
          <w:rFonts w:hint="default" w:ascii="仿宋_GB2312" w:hAnsi="仿宋" w:eastAsia="仿宋_GB2312" w:cs="Times New Roman"/>
          <w:b/>
          <w:bCs/>
          <w:color w:val="auto"/>
          <w:sz w:val="32"/>
          <w:szCs w:val="32"/>
          <w:lang w:val="en-US" w:eastAsia="zh-CN"/>
        </w:rPr>
      </w:pPr>
      <w:r>
        <w:rPr>
          <w:rFonts w:hint="default" w:ascii="仿宋_GB2312" w:hAnsi="仿宋" w:eastAsia="仿宋_GB2312" w:cs="Times New Roman"/>
          <w:b/>
          <w:bCs/>
          <w:color w:val="auto"/>
          <w:sz w:val="32"/>
          <w:szCs w:val="32"/>
          <w:lang w:eastAsia="zh-CN"/>
        </w:rPr>
        <w:t>参赛资格和报名办法</w:t>
      </w:r>
    </w:p>
    <w:p w14:paraId="23BAC4DF">
      <w:pPr>
        <w:keepNext/>
        <w:keepLines w:val="0"/>
        <w:pageBreakBefore w:val="0"/>
        <w:widowControl w:val="0"/>
        <w:numPr>
          <w:ilvl w:val="0"/>
          <w:numId w:val="4"/>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参赛队及参赛选手资格。高职院校参赛选手须为高等学校全日制在籍高职高专类学生，参赛选手年龄不超过25周岁（即2002年5月1日及以后出生）</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kern w:val="2"/>
          <w:sz w:val="28"/>
          <w:szCs w:val="28"/>
          <w:lang w:val="en-US" w:eastAsia="zh-CN"/>
        </w:rPr>
        <w:t>五年制学生报名参赛的，四、五年级学生可参加本次大赛。在 2025 年世界职业院校技能大赛争夺赛中获一等奖的选手，不能再参加今年同一项目 （同一组别）的全省竞赛。</w:t>
      </w:r>
    </w:p>
    <w:p w14:paraId="6217BB2D">
      <w:pPr>
        <w:keepNext/>
        <w:keepLines w:val="0"/>
        <w:pageBreakBefore w:val="0"/>
        <w:widowControl w:val="0"/>
        <w:numPr>
          <w:ilvl w:val="0"/>
          <w:numId w:val="4"/>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竞赛以线下比赛形式进行，竞赛组队方式为团体组队竞赛方式。每支参赛队由3名选手组成，每校限报</w:t>
      </w:r>
      <w:r>
        <w:rPr>
          <w:rFonts w:hint="eastAsia" w:ascii="Times New Roman" w:hAnsi="Times New Roman" w:eastAsia="仿宋_GB2312" w:cs="Times New Roman"/>
          <w:color w:val="auto"/>
          <w:sz w:val="28"/>
          <w:szCs w:val="28"/>
          <w:lang w:val="en-US" w:eastAsia="zh-CN"/>
        </w:rPr>
        <w:t>3队，不得跨校组队，竞赛期间不允许指导教师进入赛场进行现场指导。</w:t>
      </w:r>
    </w:p>
    <w:p w14:paraId="2A765FF9">
      <w:pPr>
        <w:keepNext/>
        <w:keepLines w:val="0"/>
        <w:pageBreakBefore w:val="0"/>
        <w:widowControl w:val="0"/>
        <w:numPr>
          <w:ilvl w:val="0"/>
          <w:numId w:val="4"/>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报名时间：高职组：10 月 26 日—31 日。</w:t>
      </w:r>
    </w:p>
    <w:p w14:paraId="23AA5698">
      <w:pPr>
        <w:keepNext/>
        <w:keepLines w:val="0"/>
        <w:pageBreakBefore w:val="0"/>
        <w:widowControl w:val="0"/>
        <w:numPr>
          <w:ilvl w:val="0"/>
          <w:numId w:val="4"/>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报名方式</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sz w:val="28"/>
          <w:szCs w:val="28"/>
          <w:lang w:val="en-US" w:eastAsia="zh-CN"/>
        </w:rPr>
        <w:t>参赛校分别以学校用户名登录组委会办公室指定</w:t>
      </w:r>
      <w:r>
        <w:rPr>
          <w:rFonts w:hint="eastAsia" w:ascii="Times New Roman" w:hAnsi="Times New Roman" w:cs="Times New Roman"/>
          <w:color w:val="auto"/>
          <w:sz w:val="28"/>
          <w:szCs w:val="28"/>
          <w:lang w:val="en-US" w:eastAsia="zh-CN"/>
        </w:rPr>
        <w:t>报名</w:t>
      </w:r>
      <w:r>
        <w:rPr>
          <w:rFonts w:hint="eastAsia" w:ascii="Times New Roman" w:hAnsi="Times New Roman" w:eastAsia="仿宋_GB2312" w:cs="Times New Roman"/>
          <w:color w:val="auto"/>
          <w:sz w:val="28"/>
          <w:szCs w:val="28"/>
          <w:lang w:val="en-US" w:eastAsia="zh-CN"/>
        </w:rPr>
        <w:t>平台，实行网上报名。</w:t>
      </w:r>
    </w:p>
    <w:p w14:paraId="34496630">
      <w:pPr>
        <w:keepNext/>
        <w:keepLines w:val="0"/>
        <w:pageBreakBefore w:val="0"/>
        <w:widowControl w:val="0"/>
        <w:numPr>
          <w:ilvl w:val="0"/>
          <w:numId w:val="4"/>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比赛时间：2026年11月27日报到，11月28日比赛。时间如有变动以省教育厅通知为准。</w:t>
      </w:r>
    </w:p>
    <w:p w14:paraId="7781E3BA">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五、</w:t>
      </w:r>
      <w:r>
        <w:rPr>
          <w:rFonts w:hint="eastAsia" w:ascii="仿宋_GB2312" w:hAnsi="仿宋" w:eastAsia="仿宋_GB2312"/>
          <w:b/>
          <w:bCs/>
          <w:color w:val="auto"/>
          <w:sz w:val="32"/>
          <w:szCs w:val="32"/>
        </w:rPr>
        <w:t>时间安排</w:t>
      </w:r>
    </w:p>
    <w:p w14:paraId="0AEA2CC1">
      <w:pPr>
        <w:adjustRightInd w:val="0"/>
        <w:snapToGrid w:val="0"/>
        <w:spacing w:line="360" w:lineRule="auto"/>
        <w:ind w:firstLine="640" w:firstLineChars="200"/>
        <w:jc w:val="left"/>
        <w:rPr>
          <w:rFonts w:hint="default" w:ascii="仿宋_GB2312" w:hAnsi="仿宋" w:eastAsia="仿宋_GB2312"/>
          <w:color w:val="auto"/>
          <w:sz w:val="32"/>
          <w:szCs w:val="32"/>
          <w:lang w:val="en-US" w:eastAsia="zh-CN"/>
        </w:rPr>
      </w:pPr>
      <w:r>
        <w:rPr>
          <w:rFonts w:hint="eastAsia" w:ascii="仿宋_GB2312" w:hAnsi="仿宋" w:eastAsia="仿宋_GB2312"/>
          <w:color w:val="auto"/>
          <w:sz w:val="32"/>
          <w:szCs w:val="32"/>
          <w:lang w:val="en-US" w:eastAsia="zh-CN"/>
        </w:rPr>
        <w:t>如下表“竞赛时间一览表”作为参考，以实际安排为准。</w:t>
      </w:r>
    </w:p>
    <w:p w14:paraId="6F677BE2">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highlight w:val="none"/>
          <w:lang w:val="en-US" w:eastAsia="zh-CN"/>
        </w:rPr>
      </w:pPr>
      <w:r>
        <w:rPr>
          <w:rFonts w:hint="default" w:ascii="Times New Roman" w:hAnsi="Times New Roman" w:eastAsia="仿宋_GB2312" w:cs="Times New Roman"/>
          <w:b/>
          <w:bCs/>
          <w:color w:val="auto"/>
          <w:sz w:val="28"/>
          <w:szCs w:val="28"/>
          <w:highlight w:val="none"/>
          <w:lang w:val="en-US" w:eastAsia="zh-CN"/>
        </w:rPr>
        <w:t>表2 竞赛时间一览表</w:t>
      </w:r>
    </w:p>
    <w:tbl>
      <w:tblPr>
        <w:tblStyle w:val="14"/>
        <w:tblW w:w="8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60"/>
        <w:gridCol w:w="1567"/>
        <w:gridCol w:w="5898"/>
      </w:tblGrid>
      <w:tr w14:paraId="33519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B82E4">
            <w:pPr>
              <w:pStyle w:val="17"/>
              <w:snapToGrid w:val="0"/>
              <w:spacing w:line="240" w:lineRule="auto"/>
              <w:ind w:left="0" w:leftChars="0" w:right="0" w:rightChars="0" w:firstLine="0" w:firstLineChars="0"/>
              <w:jc w:val="center"/>
              <w:rPr>
                <w:rStyle w:val="18"/>
                <w:rFonts w:hint="default" w:ascii="Times New Roman" w:hAnsi="Times New Roman" w:eastAsia="仿宋_GB2312" w:cs="Times New Roman"/>
                <w:b/>
                <w:bCs/>
                <w:color w:val="auto"/>
                <w:sz w:val="24"/>
                <w:highlight w:val="none"/>
              </w:rPr>
            </w:pPr>
            <w:r>
              <w:rPr>
                <w:rStyle w:val="18"/>
                <w:rFonts w:hint="default" w:ascii="Times New Roman" w:hAnsi="Times New Roman" w:eastAsia="仿宋_GB2312" w:cs="Times New Roman"/>
                <w:b/>
                <w:bCs/>
                <w:color w:val="auto"/>
                <w:sz w:val="24"/>
                <w:highlight w:val="none"/>
              </w:rPr>
              <w:t>日期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DD41A">
            <w:pPr>
              <w:pStyle w:val="17"/>
              <w:snapToGrid w:val="0"/>
              <w:spacing w:line="240" w:lineRule="auto"/>
              <w:ind w:left="0" w:leftChars="0" w:right="0" w:rightChars="0" w:firstLine="0" w:firstLineChars="0"/>
              <w:jc w:val="center"/>
              <w:rPr>
                <w:rStyle w:val="18"/>
                <w:rFonts w:hint="default" w:ascii="Times New Roman" w:hAnsi="Times New Roman" w:eastAsia="仿宋_GB2312" w:cs="Times New Roman"/>
                <w:b/>
                <w:bCs/>
                <w:color w:val="auto"/>
                <w:sz w:val="24"/>
                <w:highlight w:val="none"/>
              </w:rPr>
            </w:pPr>
            <w:r>
              <w:rPr>
                <w:rStyle w:val="18"/>
                <w:rFonts w:hint="default" w:ascii="Times New Roman" w:hAnsi="Times New Roman" w:eastAsia="仿宋_GB2312" w:cs="Times New Roman"/>
                <w:b/>
                <w:bCs/>
                <w:color w:val="auto"/>
                <w:sz w:val="24"/>
                <w:highlight w:val="none"/>
              </w:rPr>
              <w:t>时间</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86109">
            <w:pPr>
              <w:pStyle w:val="17"/>
              <w:snapToGrid w:val="0"/>
              <w:spacing w:line="240" w:lineRule="auto"/>
              <w:ind w:left="0" w:leftChars="0" w:right="0" w:rightChars="0" w:firstLine="0" w:firstLineChars="0"/>
              <w:jc w:val="center"/>
              <w:rPr>
                <w:rStyle w:val="18"/>
                <w:rFonts w:hint="default" w:ascii="Times New Roman" w:hAnsi="Times New Roman" w:eastAsia="仿宋_GB2312" w:cs="Times New Roman"/>
                <w:b/>
                <w:bCs/>
                <w:color w:val="auto"/>
                <w:sz w:val="24"/>
                <w:highlight w:val="none"/>
              </w:rPr>
            </w:pPr>
            <w:r>
              <w:rPr>
                <w:rStyle w:val="18"/>
                <w:rFonts w:hint="default" w:ascii="Times New Roman" w:hAnsi="Times New Roman" w:eastAsia="仿宋_GB2312" w:cs="Times New Roman"/>
                <w:b/>
                <w:bCs/>
                <w:color w:val="auto"/>
                <w:sz w:val="24"/>
                <w:highlight w:val="none"/>
              </w:rPr>
              <w:t>事项</w:t>
            </w:r>
          </w:p>
        </w:tc>
      </w:tr>
      <w:tr w14:paraId="7F9AD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A313C">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bCs/>
                <w:color w:val="auto"/>
                <w:sz w:val="24"/>
                <w:highlight w:val="none"/>
              </w:rPr>
              <w:t>报到日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F1638">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15:</w:t>
            </w:r>
            <w:r>
              <w:rPr>
                <w:rStyle w:val="18"/>
                <w:rFonts w:hint="eastAsia"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0之前</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198757">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各参赛队报到</w:t>
            </w:r>
          </w:p>
        </w:tc>
      </w:tr>
      <w:tr w14:paraId="27300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630632">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2102B">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15:</w:t>
            </w:r>
            <w:r>
              <w:rPr>
                <w:rStyle w:val="18"/>
                <w:rFonts w:hint="default"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0—1</w:t>
            </w:r>
            <w:r>
              <w:rPr>
                <w:rStyle w:val="18"/>
                <w:rFonts w:hint="default" w:ascii="Times New Roman" w:hAnsi="Times New Roman" w:eastAsia="仿宋_GB2312" w:cs="Times New Roman"/>
                <w:color w:val="auto"/>
                <w:sz w:val="24"/>
                <w:highlight w:val="none"/>
                <w:lang w:val="en-US" w:eastAsia="zh-CN"/>
              </w:rPr>
              <w:t>6</w:t>
            </w:r>
            <w:r>
              <w:rPr>
                <w:rStyle w:val="18"/>
                <w:rFonts w:hint="default" w:ascii="Times New Roman" w:hAnsi="Times New Roman" w:eastAsia="仿宋_GB2312" w:cs="Times New Roman"/>
                <w:color w:val="auto"/>
                <w:sz w:val="24"/>
                <w:highlight w:val="none"/>
              </w:rPr>
              <w:t>:</w:t>
            </w:r>
            <w:r>
              <w:rPr>
                <w:rStyle w:val="18"/>
                <w:rFonts w:hint="default"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8C5E0">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lang w:val="en-US" w:eastAsia="zh-CN"/>
              </w:rPr>
              <w:t>领队会、裁判会</w:t>
            </w:r>
          </w:p>
        </w:tc>
      </w:tr>
      <w:tr w14:paraId="4573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44B71">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C2D76">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16:</w:t>
            </w:r>
            <w:r>
              <w:rPr>
                <w:rStyle w:val="18"/>
                <w:rFonts w:hint="default"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0—1</w:t>
            </w:r>
            <w:r>
              <w:rPr>
                <w:rStyle w:val="18"/>
                <w:rFonts w:hint="default" w:ascii="Times New Roman" w:hAnsi="Times New Roman" w:eastAsia="仿宋_GB2312" w:cs="Times New Roman"/>
                <w:color w:val="auto"/>
                <w:sz w:val="24"/>
                <w:highlight w:val="none"/>
                <w:lang w:val="en-US" w:eastAsia="zh-CN"/>
              </w:rPr>
              <w:t>7</w:t>
            </w:r>
            <w:r>
              <w:rPr>
                <w:rStyle w:val="18"/>
                <w:rFonts w:hint="default" w:ascii="Times New Roman" w:hAnsi="Times New Roman" w:eastAsia="仿宋_GB2312" w:cs="Times New Roman"/>
                <w:color w:val="auto"/>
                <w:sz w:val="24"/>
                <w:highlight w:val="none"/>
              </w:rPr>
              <w:t>:</w:t>
            </w:r>
            <w:r>
              <w:rPr>
                <w:rStyle w:val="18"/>
                <w:rFonts w:hint="default" w:ascii="Times New Roman" w:hAnsi="Times New Roman" w:eastAsia="仿宋_GB2312" w:cs="Times New Roman"/>
                <w:color w:val="auto"/>
                <w:sz w:val="24"/>
                <w:highlight w:val="none"/>
                <w:lang w:val="en-US" w:eastAsia="zh-CN"/>
              </w:rPr>
              <w:t>0</w:t>
            </w:r>
            <w:r>
              <w:rPr>
                <w:rStyle w:val="18"/>
                <w:rFonts w:hint="default" w:ascii="Times New Roman" w:hAnsi="Times New Roman" w:eastAsia="仿宋_GB2312" w:cs="Times New Roman"/>
                <w:color w:val="auto"/>
                <w:sz w:val="24"/>
                <w:highlight w:val="none"/>
              </w:rPr>
              <w:t>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4AFFE6">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参赛队熟悉比赛场地</w:t>
            </w:r>
          </w:p>
        </w:tc>
      </w:tr>
      <w:tr w14:paraId="69F64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C38D4">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7B138">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17:00—18:00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66D64">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裁判长赛前检查，封闭赛场</w:t>
            </w:r>
          </w:p>
        </w:tc>
      </w:tr>
      <w:tr w14:paraId="64C53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FE8D6">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bCs/>
                <w:color w:val="auto"/>
                <w:sz w:val="24"/>
                <w:highlight w:val="none"/>
              </w:rPr>
              <w:t>竞赛日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86CD7">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07:20—07:30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47D05">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赛场检录</w:t>
            </w:r>
          </w:p>
        </w:tc>
      </w:tr>
      <w:tr w14:paraId="70D2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7A405">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DC550">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07:30—07:55</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EF8D3">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一次加密：参赛队抽取参赛编号</w:t>
            </w:r>
          </w:p>
        </w:tc>
      </w:tr>
      <w:tr w14:paraId="18E48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BA663">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5BDDB">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07:55—08:20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4A86E">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二次加密：参赛队抽取赛位号</w:t>
            </w:r>
          </w:p>
        </w:tc>
      </w:tr>
      <w:tr w14:paraId="3775A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6EB5B">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2A1AE">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08:20—08:30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EA609">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参赛队进入比赛赛位，进行赛前设备、材料检查</w:t>
            </w:r>
          </w:p>
        </w:tc>
      </w:tr>
      <w:tr w14:paraId="6F1AB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73F19">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CD779">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08:30—1</w:t>
            </w:r>
            <w:r>
              <w:rPr>
                <w:rStyle w:val="18"/>
                <w:rFonts w:hint="eastAsia" w:ascii="Times New Roman" w:hAnsi="Times New Roman" w:eastAsia="仿宋_GB2312" w:cs="Times New Roman"/>
                <w:color w:val="auto"/>
                <w:sz w:val="24"/>
                <w:highlight w:val="none"/>
                <w:lang w:val="en-US" w:eastAsia="zh-CN"/>
              </w:rPr>
              <w:t>2</w:t>
            </w:r>
            <w:r>
              <w:rPr>
                <w:rStyle w:val="18"/>
                <w:rFonts w:hint="default" w:ascii="Times New Roman" w:hAnsi="Times New Roman" w:eastAsia="仿宋_GB2312" w:cs="Times New Roman"/>
                <w:color w:val="auto"/>
                <w:sz w:val="24"/>
                <w:highlight w:val="none"/>
              </w:rPr>
              <w:t>:</w:t>
            </w:r>
            <w:r>
              <w:rPr>
                <w:rStyle w:val="18"/>
                <w:rFonts w:hint="default"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7A4EC">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选手比赛</w:t>
            </w:r>
          </w:p>
        </w:tc>
      </w:tr>
      <w:tr w14:paraId="54EDC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1D008">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B2C044">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1</w:t>
            </w:r>
            <w:r>
              <w:rPr>
                <w:rStyle w:val="18"/>
                <w:rFonts w:hint="eastAsia" w:ascii="Times New Roman" w:hAnsi="Times New Roman" w:eastAsia="仿宋_GB2312" w:cs="Times New Roman"/>
                <w:color w:val="auto"/>
                <w:sz w:val="24"/>
                <w:highlight w:val="none"/>
                <w:lang w:val="en-US" w:eastAsia="zh-CN"/>
              </w:rPr>
              <w:t>2</w:t>
            </w:r>
            <w:r>
              <w:rPr>
                <w:rStyle w:val="18"/>
                <w:rFonts w:hint="default" w:ascii="Times New Roman" w:hAnsi="Times New Roman" w:eastAsia="仿宋_GB2312" w:cs="Times New Roman"/>
                <w:color w:val="auto"/>
                <w:sz w:val="24"/>
                <w:highlight w:val="none"/>
              </w:rPr>
              <w:t>:</w:t>
            </w:r>
            <w:r>
              <w:rPr>
                <w:rStyle w:val="18"/>
                <w:rFonts w:hint="default"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0—1</w:t>
            </w:r>
            <w:r>
              <w:rPr>
                <w:rStyle w:val="18"/>
                <w:rFonts w:hint="eastAsia" w:ascii="Times New Roman" w:hAnsi="Times New Roman" w:eastAsia="仿宋_GB2312" w:cs="Times New Roman"/>
                <w:color w:val="auto"/>
                <w:sz w:val="24"/>
                <w:highlight w:val="none"/>
                <w:lang w:val="en-US" w:eastAsia="zh-CN"/>
              </w:rPr>
              <w:t>4</w:t>
            </w:r>
            <w:r>
              <w:rPr>
                <w:rStyle w:val="18"/>
                <w:rFonts w:hint="default" w:ascii="Times New Roman" w:hAnsi="Times New Roman" w:eastAsia="仿宋_GB2312" w:cs="Times New Roman"/>
                <w:color w:val="auto"/>
                <w:sz w:val="24"/>
                <w:highlight w:val="none"/>
              </w:rPr>
              <w:t>:30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BF3FB">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lang w:val="en-US" w:eastAsia="zh-CN"/>
              </w:rPr>
            </w:pPr>
            <w:r>
              <w:rPr>
                <w:rStyle w:val="18"/>
                <w:rFonts w:hint="eastAsia" w:ascii="Times New Roman" w:hAnsi="Times New Roman" w:eastAsia="仿宋_GB2312" w:cs="Times New Roman"/>
                <w:color w:val="auto"/>
                <w:sz w:val="24"/>
                <w:highlight w:val="none"/>
                <w:lang w:val="en-US" w:eastAsia="zh-CN"/>
              </w:rPr>
              <w:t>申诉受理</w:t>
            </w:r>
          </w:p>
        </w:tc>
      </w:tr>
      <w:tr w14:paraId="1565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AE3A7">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A1BD6">
            <w:pPr>
              <w:snapToGrid w:val="0"/>
              <w:spacing w:line="240" w:lineRule="auto"/>
              <w:ind w:left="0" w:leftChars="0" w:right="0" w:rightChars="0" w:firstLine="0" w:firstLineChars="0"/>
              <w:jc w:val="center"/>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1</w:t>
            </w:r>
            <w:r>
              <w:rPr>
                <w:rStyle w:val="18"/>
                <w:rFonts w:hint="eastAsia" w:ascii="Times New Roman" w:hAnsi="Times New Roman" w:eastAsia="仿宋_GB2312" w:cs="Times New Roman"/>
                <w:color w:val="auto"/>
                <w:sz w:val="24"/>
                <w:highlight w:val="none"/>
                <w:lang w:val="en-US" w:eastAsia="zh-CN"/>
              </w:rPr>
              <w:t>4</w:t>
            </w:r>
            <w:r>
              <w:rPr>
                <w:rStyle w:val="18"/>
                <w:rFonts w:hint="default" w:ascii="Times New Roman" w:hAnsi="Times New Roman" w:eastAsia="仿宋_GB2312" w:cs="Times New Roman"/>
                <w:color w:val="auto"/>
                <w:sz w:val="24"/>
                <w:highlight w:val="none"/>
              </w:rPr>
              <w:t>:</w:t>
            </w:r>
            <w:r>
              <w:rPr>
                <w:rStyle w:val="18"/>
                <w:rFonts w:hint="default" w:ascii="Times New Roman" w:hAnsi="Times New Roman" w:eastAsia="仿宋_GB2312" w:cs="Times New Roman"/>
                <w:color w:val="auto"/>
                <w:sz w:val="24"/>
                <w:highlight w:val="none"/>
                <w:lang w:val="en-US" w:eastAsia="zh-CN"/>
              </w:rPr>
              <w:t>3</w:t>
            </w:r>
            <w:r>
              <w:rPr>
                <w:rStyle w:val="18"/>
                <w:rFonts w:hint="default" w:ascii="Times New Roman" w:hAnsi="Times New Roman" w:eastAsia="仿宋_GB2312" w:cs="Times New Roman"/>
                <w:color w:val="auto"/>
                <w:sz w:val="24"/>
                <w:highlight w:val="none"/>
              </w:rPr>
              <w:t>0—2</w:t>
            </w:r>
            <w:r>
              <w:rPr>
                <w:rStyle w:val="18"/>
                <w:rFonts w:hint="default" w:ascii="Times New Roman" w:hAnsi="Times New Roman" w:eastAsia="仿宋_GB2312" w:cs="Times New Roman"/>
                <w:color w:val="auto"/>
                <w:sz w:val="24"/>
                <w:highlight w:val="none"/>
                <w:lang w:val="en-US" w:eastAsia="zh-CN"/>
              </w:rPr>
              <w:t>2</w:t>
            </w:r>
            <w:r>
              <w:rPr>
                <w:rStyle w:val="18"/>
                <w:rFonts w:hint="default" w:ascii="Times New Roman" w:hAnsi="Times New Roman" w:eastAsia="仿宋_GB2312" w:cs="Times New Roman"/>
                <w:color w:val="auto"/>
                <w:sz w:val="24"/>
                <w:highlight w:val="none"/>
              </w:rPr>
              <w:t>:00</w:t>
            </w:r>
          </w:p>
        </w:tc>
        <w:tc>
          <w:tcPr>
            <w:tcW w:w="58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60F17">
            <w:pPr>
              <w:snapToGrid w:val="0"/>
              <w:spacing w:line="240" w:lineRule="auto"/>
              <w:ind w:left="0" w:leftChars="0" w:right="0" w:rightChars="0" w:firstLine="0" w:firstLineChars="0"/>
              <w:jc w:val="left"/>
              <w:rPr>
                <w:rStyle w:val="18"/>
                <w:rFonts w:hint="default" w:ascii="Times New Roman" w:hAnsi="Times New Roman" w:eastAsia="仿宋_GB2312" w:cs="Times New Roman"/>
                <w:color w:val="auto"/>
                <w:sz w:val="24"/>
                <w:highlight w:val="none"/>
              </w:rPr>
            </w:pPr>
            <w:r>
              <w:rPr>
                <w:rStyle w:val="18"/>
                <w:rFonts w:hint="default" w:ascii="Times New Roman" w:hAnsi="Times New Roman" w:eastAsia="仿宋_GB2312" w:cs="Times New Roman"/>
                <w:color w:val="auto"/>
                <w:sz w:val="24"/>
                <w:highlight w:val="none"/>
              </w:rPr>
              <w:t>成绩核定和解密</w:t>
            </w:r>
          </w:p>
        </w:tc>
      </w:tr>
    </w:tbl>
    <w:p w14:paraId="0E4713CB">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六、</w:t>
      </w:r>
      <w:r>
        <w:rPr>
          <w:rFonts w:hint="eastAsia" w:ascii="仿宋_GB2312" w:hAnsi="仿宋" w:eastAsia="仿宋_GB2312"/>
          <w:b/>
          <w:bCs/>
          <w:color w:val="auto"/>
          <w:sz w:val="32"/>
          <w:szCs w:val="32"/>
        </w:rPr>
        <w:t>竞赛规则</w:t>
      </w:r>
    </w:p>
    <w:p w14:paraId="33247529">
      <w:pPr>
        <w:pStyle w:val="12"/>
        <w:widowControl/>
        <w:pBdr>
          <w:top w:val="none" w:color="auto" w:sz="0" w:space="0"/>
          <w:left w:val="none" w:color="auto" w:sz="0" w:space="0"/>
          <w:bottom w:val="none" w:color="auto" w:sz="0" w:space="0"/>
          <w:right w:val="none" w:color="auto" w:sz="0" w:space="0"/>
        </w:pBdr>
        <w:spacing w:line="600" w:lineRule="atLeast"/>
        <w:ind w:firstLine="640"/>
        <w:textAlignment w:val="baseline"/>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1.参赛队及参赛选手资格。</w:t>
      </w:r>
      <w:r>
        <w:rPr>
          <w:rFonts w:hint="eastAsia" w:ascii="仿宋_GB2312" w:hAnsi="微软雅黑" w:eastAsia="仿宋_GB2312" w:cs="仿宋_GB2312"/>
          <w:i w:val="0"/>
          <w:iCs w:val="0"/>
          <w:caps w:val="0"/>
          <w:color w:val="auto"/>
          <w:spacing w:val="0"/>
          <w:sz w:val="32"/>
          <w:szCs w:val="32"/>
          <w:shd w:val="clear" w:fill="FFFFFF"/>
          <w:vertAlign w:val="baseline"/>
        </w:rPr>
        <w:t>高职院校参赛选手须为高等学校全日制在籍高职高专类学生；高职组参赛选手年龄不超过25周岁（即2002年5月1日及以后出生）。五年制高职学生报名参赛的，四、五年级学生</w:t>
      </w:r>
      <w:r>
        <w:rPr>
          <w:rFonts w:hint="eastAsia" w:ascii="仿宋_GB2312" w:hAnsi="微软雅黑" w:eastAsia="仿宋_GB2312" w:cs="仿宋_GB2312"/>
          <w:i w:val="0"/>
          <w:iCs w:val="0"/>
          <w:caps w:val="0"/>
          <w:color w:val="auto"/>
          <w:spacing w:val="0"/>
          <w:sz w:val="32"/>
          <w:szCs w:val="32"/>
          <w:shd w:val="clear" w:fill="FFFFFF"/>
          <w:vertAlign w:val="baseline"/>
          <w:lang w:val="en-US" w:eastAsia="zh-CN"/>
        </w:rPr>
        <w:t>可报名</w:t>
      </w:r>
      <w:r>
        <w:rPr>
          <w:rFonts w:hint="eastAsia" w:ascii="仿宋_GB2312" w:hAnsi="微软雅黑" w:eastAsia="仿宋_GB2312" w:cs="仿宋_GB2312"/>
          <w:i w:val="0"/>
          <w:iCs w:val="0"/>
          <w:caps w:val="0"/>
          <w:color w:val="auto"/>
          <w:spacing w:val="0"/>
          <w:sz w:val="32"/>
          <w:szCs w:val="32"/>
          <w:shd w:val="clear" w:fill="FFFFFF"/>
          <w:vertAlign w:val="baseline"/>
        </w:rPr>
        <w:t>参加高职组比赛。在2025年世界职业院校技能大赛争夺赛中获一等奖的选手，不能再参加今年同一项目（同一组别）的全省竞赛。</w:t>
      </w:r>
      <w:r>
        <w:rPr>
          <w:rFonts w:hint="default" w:ascii="Times New Roman" w:hAnsi="Times New Roman" w:eastAsia="仿宋_GB2312" w:cs="Times New Roman"/>
          <w:color w:val="auto"/>
          <w:sz w:val="32"/>
          <w:szCs w:val="32"/>
          <w:lang w:val="en-US" w:eastAsia="zh-CN"/>
        </w:rPr>
        <w:t>每支参赛队可配2名指导教师，指导教师须为本校专兼职教师。</w:t>
      </w:r>
    </w:p>
    <w:p w14:paraId="20E20A24">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2.比赛赛位通过抽签决定，比赛期间参赛选手原则上不得离开比赛场地。</w:t>
      </w:r>
    </w:p>
    <w:p w14:paraId="655B80FA">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3.比赛所需的硬件、软件和辅助工具统一提供，参赛队不得使用自带的任何具有存储和通信功能的设备，如硬盘、光盘、U盘、手机、随身听、智能手表、PDA等。</w:t>
      </w:r>
    </w:p>
    <w:p w14:paraId="7F6A6C41">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4.参赛选手在赛前10分钟领取比赛任务，并进入比赛赛位。比赛正式开始方可进行相关操作。</w:t>
      </w:r>
    </w:p>
    <w:p w14:paraId="05EB0257">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比赛过程中，参赛选手如有疑问，应举手示意，现场裁判应按要求及时予以答疑。如遇设备或软件等故障，参赛选手应举手示意，现场裁判、技术人员等应及时予以解决。确因计算机软件或硬件故障，致使操作无法继续，经赛场裁判长确认，予以启用备用设备。</w:t>
      </w:r>
    </w:p>
    <w:p w14:paraId="1AB66AA4">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6.比赛时间结束，选手应全体起立，结束操作。经工作人员查收清点所有文档后方可离开赛场，离开赛场时不得带走任何资料。</w:t>
      </w:r>
    </w:p>
    <w:p w14:paraId="038CC858">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7.赛项裁判应严格遵守赛项各项规章制度，确保比赛公平、公正、公开。</w:t>
      </w:r>
    </w:p>
    <w:p w14:paraId="7782D079">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8.比赛结束后，评分裁判方可入场进行成绩评判。最终竞赛成绩经复核无误、裁判长签字确认后，按要求上报</w:t>
      </w:r>
      <w:r>
        <w:rPr>
          <w:rFonts w:hint="eastAsia" w:ascii="Times New Roman" w:hAnsi="Times New Roman" w:eastAsia="仿宋_GB2312" w:cs="Times New Roman"/>
          <w:color w:val="auto"/>
          <w:sz w:val="32"/>
          <w:szCs w:val="32"/>
          <w:lang w:val="en-US" w:eastAsia="zh-CN"/>
        </w:rPr>
        <w:t>。</w:t>
      </w:r>
    </w:p>
    <w:p w14:paraId="0800F223">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9. 赛项中每个比赛环节裁判评分的原始材料和最终成绩等结果性材料，经裁判长签字后，装袋密封留档；由赛项承办院校封存，并委派专人妥善保管。</w:t>
      </w:r>
    </w:p>
    <w:p w14:paraId="2AE6430E">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七、</w:t>
      </w:r>
      <w:r>
        <w:rPr>
          <w:rFonts w:hint="eastAsia" w:ascii="仿宋_GB2312" w:hAnsi="仿宋" w:eastAsia="仿宋_GB2312"/>
          <w:b/>
          <w:bCs/>
          <w:color w:val="auto"/>
          <w:sz w:val="32"/>
          <w:szCs w:val="32"/>
        </w:rPr>
        <w:t>竞赛环境要求</w:t>
      </w:r>
    </w:p>
    <w:p w14:paraId="47CB0BD3">
      <w:pPr>
        <w:numPr>
          <w:ilvl w:val="0"/>
          <w:numId w:val="5"/>
        </w:numPr>
        <w:adjustRightInd w:val="0"/>
        <w:snapToGrid w:val="0"/>
        <w:spacing w:line="360" w:lineRule="auto"/>
        <w:ind w:firstLine="643" w:firstLineChars="200"/>
        <w:jc w:val="left"/>
        <w:outlineLvl w:val="1"/>
        <w:rPr>
          <w:rFonts w:hint="default" w:ascii="仿宋_GB2312" w:hAnsi="仿宋" w:eastAsia="仿宋_GB2312"/>
          <w:b/>
          <w:bCs/>
          <w:color w:val="auto"/>
          <w:sz w:val="32"/>
          <w:szCs w:val="32"/>
          <w:highlight w:val="none"/>
          <w:lang w:val="en-US" w:eastAsia="zh-CN"/>
        </w:rPr>
      </w:pPr>
      <w:r>
        <w:rPr>
          <w:rFonts w:hint="default" w:ascii="仿宋_GB2312" w:hAnsi="仿宋" w:eastAsia="仿宋_GB2312"/>
          <w:b/>
          <w:bCs/>
          <w:color w:val="auto"/>
          <w:sz w:val="32"/>
          <w:szCs w:val="32"/>
          <w:highlight w:val="none"/>
          <w:lang w:val="en-US" w:eastAsia="zh-CN"/>
        </w:rPr>
        <w:t>竞赛环境</w:t>
      </w:r>
    </w:p>
    <w:p w14:paraId="49FEAE79">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竞赛场地包括参赛选手竞赛区域、展示平台区、裁判区、技术支持区、检录区、服务区。</w:t>
      </w:r>
    </w:p>
    <w:p w14:paraId="7098D381">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参赛选手竞赛区。每个竞赛工位需标有醒目的工位编号，各工位间距大于1.5m，每个工位面积大于8㎡，每个工位保证独立用电单元（安装漏电保护开关），确保参赛队之间互不干扰。赛场要求竞赛过程全程无死角视频监控，监控录像保存3个月。环境标准要求保证赛场采光（大于500lux）、照明和通风良好，提供稳定的水、电，并提供应急的备用电源，提供足够的干粉灭火器材。</w:t>
      </w:r>
    </w:p>
    <w:p w14:paraId="26581164">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2.展示平台区。需要与比赛场地分开的隔离带，供参赛队领队、指导教师及工作人员休息，并开展其他相关活动。</w:t>
      </w:r>
    </w:p>
    <w:p w14:paraId="79C49399">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3.裁判区。供裁判休息及工作场地。配有饮水机、纸杯、文具用品若干。</w:t>
      </w:r>
    </w:p>
    <w:p w14:paraId="17ECE1F7">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4.技术支持区。技术支持人员的工作场地。</w:t>
      </w:r>
    </w:p>
    <w:p w14:paraId="1B812E7F">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5.检录区。参赛选手检录区域。</w:t>
      </w:r>
    </w:p>
    <w:p w14:paraId="521EAE46">
      <w:pPr>
        <w:adjustRightInd w:val="0"/>
        <w:snapToGrid w:val="0"/>
        <w:spacing w:line="360" w:lineRule="auto"/>
        <w:ind w:firstLine="640" w:firstLineChars="20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6.服务区。配备常用药品、消毒用品等急救用品，提供医疗等服务保障，并用隔离带隔离。</w:t>
      </w:r>
    </w:p>
    <w:p w14:paraId="53072499">
      <w:pPr>
        <w:spacing w:line="360" w:lineRule="auto"/>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drawing>
          <wp:inline distT="0" distB="0" distL="114300" distR="114300">
            <wp:extent cx="4455795" cy="2536825"/>
            <wp:effectExtent l="0" t="0" r="1905" b="317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5"/>
                    <a:stretch>
                      <a:fillRect/>
                    </a:stretch>
                  </pic:blipFill>
                  <pic:spPr>
                    <a:xfrm>
                      <a:off x="0" y="0"/>
                      <a:ext cx="4455795" cy="2536825"/>
                    </a:xfrm>
                    <a:prstGeom prst="rect">
                      <a:avLst/>
                    </a:prstGeom>
                    <a:noFill/>
                    <a:ln>
                      <a:noFill/>
                    </a:ln>
                  </pic:spPr>
                </pic:pic>
              </a:graphicData>
            </a:graphic>
          </wp:inline>
        </w:drawing>
      </w:r>
    </w:p>
    <w:p w14:paraId="0C8043C0">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竞赛场地网络布局图</w:t>
      </w:r>
    </w:p>
    <w:p w14:paraId="5BBD71C4">
      <w:pPr>
        <w:numPr>
          <w:ilvl w:val="0"/>
          <w:numId w:val="5"/>
        </w:numPr>
        <w:adjustRightInd w:val="0"/>
        <w:snapToGrid w:val="0"/>
        <w:spacing w:line="360" w:lineRule="auto"/>
        <w:ind w:firstLine="643" w:firstLineChars="200"/>
        <w:jc w:val="left"/>
        <w:outlineLvl w:val="1"/>
        <w:rPr>
          <w:rFonts w:hint="default" w:ascii="仿宋_GB2312" w:hAnsi="仿宋" w:eastAsia="仿宋_GB2312"/>
          <w:b/>
          <w:bCs/>
          <w:color w:val="auto"/>
          <w:sz w:val="32"/>
          <w:szCs w:val="32"/>
          <w:highlight w:val="none"/>
          <w:lang w:val="en-US" w:eastAsia="zh-CN"/>
        </w:rPr>
      </w:pPr>
      <w:r>
        <w:rPr>
          <w:rFonts w:hint="default" w:ascii="仿宋_GB2312" w:hAnsi="仿宋" w:eastAsia="仿宋_GB2312"/>
          <w:b/>
          <w:bCs/>
          <w:color w:val="auto"/>
          <w:sz w:val="32"/>
          <w:szCs w:val="32"/>
          <w:highlight w:val="none"/>
          <w:lang w:val="en-US" w:eastAsia="zh-CN"/>
        </w:rPr>
        <w:t>硬件环境与配置</w:t>
      </w:r>
    </w:p>
    <w:p w14:paraId="104A6412">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表</w:t>
      </w:r>
      <w:r>
        <w:rPr>
          <w:rFonts w:hint="eastAsia" w:ascii="Times New Roman" w:hAnsi="Times New Roman" w:eastAsia="仿宋_GB2312" w:cs="Times New Roman"/>
          <w:b/>
          <w:bCs/>
          <w:color w:val="auto"/>
          <w:sz w:val="28"/>
          <w:szCs w:val="28"/>
          <w:lang w:val="en-US" w:eastAsia="zh-CN"/>
        </w:rPr>
        <w:t>3</w:t>
      </w:r>
      <w:r>
        <w:rPr>
          <w:rFonts w:hint="default" w:ascii="Times New Roman" w:hAnsi="Times New Roman" w:eastAsia="仿宋_GB2312" w:cs="Times New Roman"/>
          <w:b/>
          <w:bCs/>
          <w:color w:val="auto"/>
          <w:sz w:val="28"/>
          <w:szCs w:val="28"/>
          <w:lang w:val="en-US" w:eastAsia="zh-CN"/>
        </w:rPr>
        <w:t xml:space="preserve"> 竞赛硬件环境及配置一览表</w:t>
      </w:r>
    </w:p>
    <w:tbl>
      <w:tblPr>
        <w:tblStyle w:val="14"/>
        <w:tblW w:w="5006"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6"/>
        <w:gridCol w:w="1338"/>
        <w:gridCol w:w="4701"/>
        <w:gridCol w:w="1461"/>
      </w:tblGrid>
      <w:tr w14:paraId="224C7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91" w:type="pct"/>
            <w:shd w:val="clear" w:color="auto" w:fill="FFFFFF"/>
            <w:noWrap w:val="0"/>
            <w:vAlign w:val="center"/>
          </w:tcPr>
          <w:p w14:paraId="64F26CF0">
            <w:pPr>
              <w:widowControl/>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序号</w:t>
            </w:r>
          </w:p>
        </w:tc>
        <w:tc>
          <w:tcPr>
            <w:tcW w:w="804" w:type="pct"/>
            <w:shd w:val="clear" w:color="auto" w:fill="FFFFFF"/>
            <w:noWrap w:val="0"/>
            <w:vAlign w:val="center"/>
          </w:tcPr>
          <w:p w14:paraId="2856F9E8">
            <w:pPr>
              <w:widowControl/>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设备名称</w:t>
            </w:r>
          </w:p>
        </w:tc>
        <w:tc>
          <w:tcPr>
            <w:tcW w:w="2826" w:type="pct"/>
            <w:shd w:val="clear" w:color="auto" w:fill="FFFFFF"/>
            <w:noWrap w:val="0"/>
            <w:vAlign w:val="center"/>
          </w:tcPr>
          <w:p w14:paraId="1EF01A53">
            <w:pPr>
              <w:widowControl/>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配置要求</w:t>
            </w:r>
          </w:p>
        </w:tc>
        <w:tc>
          <w:tcPr>
            <w:tcW w:w="878" w:type="pct"/>
            <w:shd w:val="clear" w:color="auto" w:fill="FFFFFF"/>
            <w:noWrap w:val="0"/>
            <w:vAlign w:val="center"/>
          </w:tcPr>
          <w:p w14:paraId="71A84AF4">
            <w:pPr>
              <w:widowControl/>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数量</w:t>
            </w:r>
          </w:p>
        </w:tc>
      </w:tr>
      <w:tr w14:paraId="12CB1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91" w:type="pct"/>
            <w:noWrap w:val="0"/>
            <w:vAlign w:val="center"/>
          </w:tcPr>
          <w:p w14:paraId="6C3205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c>
          <w:tcPr>
            <w:tcW w:w="804" w:type="pct"/>
            <w:noWrap w:val="0"/>
            <w:vAlign w:val="center"/>
          </w:tcPr>
          <w:p w14:paraId="38B6DD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计算机</w:t>
            </w:r>
          </w:p>
        </w:tc>
        <w:tc>
          <w:tcPr>
            <w:tcW w:w="2826" w:type="pct"/>
            <w:noWrap w:val="0"/>
            <w:vAlign w:val="center"/>
          </w:tcPr>
          <w:p w14:paraId="48B9A23F">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操作系统：Windows 10</w:t>
            </w:r>
            <w:r>
              <w:rPr>
                <w:rFonts w:hint="eastAsia" w:ascii="Times New Roman" w:hAnsi="Times New Roman" w:eastAsia="仿宋_GB2312" w:cs="Times New Roman"/>
                <w:color w:val="auto"/>
                <w:sz w:val="24"/>
                <w:lang w:val="en-US" w:eastAsia="zh-CN"/>
              </w:rPr>
              <w:t xml:space="preserve"> Pro</w:t>
            </w:r>
            <w:r>
              <w:rPr>
                <w:rFonts w:hint="default" w:ascii="Times New Roman" w:hAnsi="Times New Roman" w:eastAsia="仿宋_GB2312" w:cs="Times New Roman"/>
                <w:color w:val="auto"/>
                <w:sz w:val="24"/>
              </w:rPr>
              <w:t xml:space="preserve"> （64位）</w:t>
            </w:r>
          </w:p>
          <w:p w14:paraId="3694EA6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处理器：i5及以上处理器</w:t>
            </w:r>
          </w:p>
          <w:p w14:paraId="65E20657">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内存：16GB及以上</w:t>
            </w:r>
          </w:p>
          <w:p w14:paraId="3BE52C42">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硬盘：</w:t>
            </w:r>
            <w:r>
              <w:rPr>
                <w:rFonts w:hint="eastAsia" w:ascii="Times New Roman" w:hAnsi="Times New Roman" w:eastAsia="仿宋_GB2312" w:cs="Times New Roman"/>
                <w:color w:val="auto"/>
                <w:sz w:val="24"/>
                <w:lang w:val="en-US" w:eastAsia="zh-CN"/>
              </w:rPr>
              <w:t>512</w:t>
            </w:r>
            <w:r>
              <w:rPr>
                <w:rFonts w:hint="default" w:ascii="Times New Roman" w:hAnsi="Times New Roman" w:eastAsia="仿宋_GB2312" w:cs="Times New Roman"/>
                <w:color w:val="auto"/>
                <w:sz w:val="24"/>
              </w:rPr>
              <w:t>GB固态硬盘及以上</w:t>
            </w:r>
          </w:p>
          <w:p w14:paraId="2B4F8B9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显示器：23寸1920×1080分辨率及以上</w:t>
            </w:r>
          </w:p>
          <w:p w14:paraId="79869777">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cs="Times New Roman"/>
                <w:color w:val="auto"/>
                <w:sz w:val="24"/>
              </w:rPr>
            </w:pPr>
            <w:r>
              <w:rPr>
                <w:rFonts w:hint="default" w:ascii="Times New Roman" w:hAnsi="Times New Roman" w:eastAsia="仿宋_GB2312" w:cs="Times New Roman"/>
                <w:color w:val="auto"/>
                <w:sz w:val="24"/>
              </w:rPr>
              <w:t>有线网卡：1000Mbps以太网卡</w:t>
            </w:r>
          </w:p>
        </w:tc>
        <w:tc>
          <w:tcPr>
            <w:tcW w:w="878" w:type="pct"/>
            <w:noWrap w:val="0"/>
            <w:vAlign w:val="center"/>
          </w:tcPr>
          <w:p w14:paraId="086AEE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rPr>
              <w:t>4台/每</w:t>
            </w:r>
            <w:r>
              <w:rPr>
                <w:rFonts w:hint="default" w:ascii="Times New Roman" w:hAnsi="Times New Roman" w:eastAsia="仿宋_GB2312" w:cs="Times New Roman"/>
                <w:color w:val="auto"/>
                <w:sz w:val="24"/>
                <w:lang w:val="en-US" w:eastAsia="zh-CN"/>
              </w:rPr>
              <w:t>队</w:t>
            </w:r>
          </w:p>
          <w:p w14:paraId="0AAA31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（含3台</w:t>
            </w:r>
            <w:r>
              <w:rPr>
                <w:rFonts w:hint="default" w:ascii="Times New Roman" w:hAnsi="Times New Roman" w:eastAsia="仿宋_GB2312" w:cs="Times New Roman"/>
                <w:color w:val="auto"/>
                <w:sz w:val="24"/>
                <w:lang w:val="en-US" w:eastAsia="zh-CN"/>
              </w:rPr>
              <w:t>开发</w:t>
            </w:r>
            <w:r>
              <w:rPr>
                <w:rFonts w:hint="default" w:ascii="Times New Roman" w:hAnsi="Times New Roman" w:eastAsia="仿宋_GB2312" w:cs="Times New Roman"/>
                <w:color w:val="auto"/>
                <w:sz w:val="24"/>
              </w:rPr>
              <w:t>机、1台服务器）</w:t>
            </w:r>
          </w:p>
        </w:tc>
      </w:tr>
      <w:tr w14:paraId="08578C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91" w:type="pct"/>
            <w:noWrap w:val="0"/>
            <w:vAlign w:val="center"/>
          </w:tcPr>
          <w:p w14:paraId="3F2583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w:t>
            </w:r>
          </w:p>
        </w:tc>
        <w:tc>
          <w:tcPr>
            <w:tcW w:w="804" w:type="pct"/>
            <w:noWrap w:val="0"/>
            <w:vAlign w:val="center"/>
          </w:tcPr>
          <w:p w14:paraId="21AD55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路由器</w:t>
            </w:r>
          </w:p>
        </w:tc>
        <w:tc>
          <w:tcPr>
            <w:tcW w:w="2826" w:type="pct"/>
            <w:noWrap w:val="0"/>
            <w:vAlign w:val="center"/>
          </w:tcPr>
          <w:p w14:paraId="149CF03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千兆端口</w:t>
            </w:r>
          </w:p>
          <w:p w14:paraId="2EDDC72C">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Wan口数量：1个</w:t>
            </w:r>
          </w:p>
          <w:p w14:paraId="01924219">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LAN口数量：4个及以上</w:t>
            </w:r>
          </w:p>
        </w:tc>
        <w:tc>
          <w:tcPr>
            <w:tcW w:w="878" w:type="pct"/>
            <w:noWrap w:val="0"/>
            <w:vAlign w:val="center"/>
          </w:tcPr>
          <w:p w14:paraId="3247D9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1台/每</w:t>
            </w:r>
            <w:r>
              <w:rPr>
                <w:rFonts w:hint="default" w:ascii="Times New Roman" w:hAnsi="Times New Roman" w:eastAsia="仿宋_GB2312" w:cs="Times New Roman"/>
                <w:color w:val="auto"/>
                <w:sz w:val="24"/>
                <w:lang w:val="en-US" w:eastAsia="zh-CN"/>
              </w:rPr>
              <w:t>队</w:t>
            </w:r>
          </w:p>
        </w:tc>
      </w:tr>
      <w:tr w14:paraId="268CD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91" w:type="pct"/>
            <w:noWrap w:val="0"/>
            <w:vAlign w:val="center"/>
          </w:tcPr>
          <w:p w14:paraId="632248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w:t>
            </w:r>
          </w:p>
        </w:tc>
        <w:tc>
          <w:tcPr>
            <w:tcW w:w="804" w:type="pct"/>
            <w:noWrap w:val="0"/>
            <w:vAlign w:val="center"/>
          </w:tcPr>
          <w:p w14:paraId="46DD86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竞赛服务器</w:t>
            </w:r>
          </w:p>
        </w:tc>
        <w:tc>
          <w:tcPr>
            <w:tcW w:w="2826" w:type="pct"/>
            <w:noWrap w:val="0"/>
            <w:vAlign w:val="center"/>
          </w:tcPr>
          <w:p w14:paraId="7829E0E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r>
              <w:rPr>
                <w:rFonts w:hint="eastAsia" w:ascii="Times New Roman" w:hAnsi="Times New Roman" w:eastAsia="仿宋_GB2312" w:cs="Times New Roman"/>
                <w:color w:val="auto"/>
                <w:sz w:val="24"/>
                <w:lang w:val="en-US" w:eastAsia="zh-CN"/>
              </w:rPr>
              <w:t>6</w:t>
            </w:r>
            <w:r>
              <w:rPr>
                <w:rFonts w:hint="default" w:ascii="Times New Roman" w:hAnsi="Times New Roman" w:eastAsia="仿宋_GB2312" w:cs="Times New Roman"/>
                <w:color w:val="auto"/>
                <w:sz w:val="24"/>
              </w:rPr>
              <w:t>G及以上内存，512G及以上固态硬盘，显示器分辨率1920×1080及以上，千兆网络接口，USB接口</w:t>
            </w:r>
          </w:p>
          <w:p w14:paraId="4D8FB640">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Windows Server操作系统</w:t>
            </w:r>
          </w:p>
          <w:p w14:paraId="6916F5F7">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部署本地资源服务</w:t>
            </w:r>
          </w:p>
          <w:p w14:paraId="25374779">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支持虚拟化服务</w:t>
            </w:r>
          </w:p>
        </w:tc>
        <w:tc>
          <w:tcPr>
            <w:tcW w:w="878" w:type="pct"/>
            <w:noWrap w:val="0"/>
            <w:vAlign w:val="center"/>
          </w:tcPr>
          <w:p w14:paraId="7DAC7C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1台</w:t>
            </w:r>
          </w:p>
        </w:tc>
      </w:tr>
      <w:tr w14:paraId="27246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91" w:type="pct"/>
            <w:noWrap w:val="0"/>
            <w:vAlign w:val="center"/>
          </w:tcPr>
          <w:p w14:paraId="31CFF0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w:t>
            </w:r>
          </w:p>
        </w:tc>
        <w:tc>
          <w:tcPr>
            <w:tcW w:w="804" w:type="pct"/>
            <w:noWrap w:val="0"/>
            <w:vAlign w:val="center"/>
          </w:tcPr>
          <w:p w14:paraId="5F6785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交换机</w:t>
            </w:r>
          </w:p>
        </w:tc>
        <w:tc>
          <w:tcPr>
            <w:tcW w:w="2826" w:type="pct"/>
            <w:noWrap w:val="0"/>
            <w:vAlign w:val="center"/>
          </w:tcPr>
          <w:p w14:paraId="34A5FAD3">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端口：48口（千兆）</w:t>
            </w:r>
          </w:p>
          <w:p w14:paraId="4E9D6DE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网管类型：网管</w:t>
            </w:r>
          </w:p>
          <w:p w14:paraId="1319F3B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层级：三层企业级网络交换机</w:t>
            </w:r>
          </w:p>
          <w:p w14:paraId="1AA023E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特性：支持VLAN、WEB网管、端口隔离、ACL IP扩展等特性</w:t>
            </w:r>
          </w:p>
        </w:tc>
        <w:tc>
          <w:tcPr>
            <w:tcW w:w="878" w:type="pct"/>
            <w:noWrap w:val="0"/>
            <w:vAlign w:val="center"/>
          </w:tcPr>
          <w:p w14:paraId="3B00E0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依据参赛队伍数量而定</w:t>
            </w:r>
          </w:p>
        </w:tc>
      </w:tr>
    </w:tbl>
    <w:p w14:paraId="720C7E97">
      <w:pPr>
        <w:numPr>
          <w:ilvl w:val="0"/>
          <w:numId w:val="5"/>
        </w:numPr>
        <w:adjustRightInd w:val="0"/>
        <w:snapToGrid w:val="0"/>
        <w:spacing w:line="360" w:lineRule="auto"/>
        <w:ind w:firstLine="643" w:firstLineChars="200"/>
        <w:jc w:val="left"/>
        <w:outlineLvl w:val="1"/>
        <w:rPr>
          <w:rFonts w:hint="eastAsia" w:ascii="仿宋_GB2312" w:hAnsi="仿宋" w:eastAsia="仿宋_GB2312"/>
          <w:b/>
          <w:bCs/>
          <w:color w:val="auto"/>
          <w:sz w:val="32"/>
          <w:szCs w:val="32"/>
          <w:highlight w:val="none"/>
          <w:lang w:val="en-US" w:eastAsia="zh-CN"/>
        </w:rPr>
      </w:pPr>
      <w:r>
        <w:rPr>
          <w:rFonts w:hint="eastAsia" w:ascii="仿宋_GB2312" w:hAnsi="仿宋" w:eastAsia="仿宋_GB2312"/>
          <w:b/>
          <w:bCs/>
          <w:color w:val="auto"/>
          <w:sz w:val="32"/>
          <w:szCs w:val="32"/>
          <w:highlight w:val="none"/>
          <w:lang w:val="en-US" w:eastAsia="zh-CN"/>
        </w:rPr>
        <w:t>软件环境与版本</w:t>
      </w:r>
    </w:p>
    <w:p w14:paraId="4D30303D">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表</w:t>
      </w:r>
      <w:r>
        <w:rPr>
          <w:rFonts w:hint="eastAsia" w:ascii="Times New Roman" w:hAnsi="Times New Roman" w:eastAsia="仿宋_GB2312" w:cs="Times New Roman"/>
          <w:b/>
          <w:bCs/>
          <w:color w:val="auto"/>
          <w:sz w:val="28"/>
          <w:szCs w:val="28"/>
          <w:lang w:val="en-US" w:eastAsia="zh-CN"/>
        </w:rPr>
        <w:t>4</w:t>
      </w:r>
      <w:r>
        <w:rPr>
          <w:rFonts w:hint="default" w:ascii="Times New Roman" w:hAnsi="Times New Roman" w:eastAsia="仿宋_GB2312" w:cs="Times New Roman"/>
          <w:b/>
          <w:bCs/>
          <w:color w:val="auto"/>
          <w:sz w:val="28"/>
          <w:szCs w:val="28"/>
          <w:lang w:val="en-US" w:eastAsia="zh-CN"/>
        </w:rPr>
        <w:t xml:space="preserve"> 竞赛软件开发环境及版本一览表</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2234"/>
        <w:gridCol w:w="3092"/>
        <w:gridCol w:w="988"/>
        <w:gridCol w:w="858"/>
      </w:tblGrid>
      <w:tr w14:paraId="7079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89" w:type="pct"/>
            <w:shd w:val="clear" w:color="auto" w:fill="FFFFFF"/>
            <w:noWrap w:val="0"/>
            <w:vAlign w:val="center"/>
          </w:tcPr>
          <w:p w14:paraId="1BA6B58C">
            <w:pPr>
              <w:widowControl/>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类别</w:t>
            </w:r>
          </w:p>
        </w:tc>
        <w:tc>
          <w:tcPr>
            <w:tcW w:w="1311" w:type="pct"/>
            <w:shd w:val="clear" w:color="auto" w:fill="FFFFFF"/>
            <w:noWrap w:val="0"/>
            <w:vAlign w:val="center"/>
          </w:tcPr>
          <w:p w14:paraId="15F182F5">
            <w:pPr>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名称</w:t>
            </w:r>
          </w:p>
        </w:tc>
        <w:tc>
          <w:tcPr>
            <w:tcW w:w="1815" w:type="pct"/>
            <w:shd w:val="clear" w:color="auto" w:fill="FFFFFF"/>
            <w:noWrap w:val="0"/>
            <w:vAlign w:val="center"/>
          </w:tcPr>
          <w:p w14:paraId="7B6CC81E">
            <w:pPr>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版本</w:t>
            </w:r>
          </w:p>
        </w:tc>
        <w:tc>
          <w:tcPr>
            <w:tcW w:w="580" w:type="pct"/>
            <w:shd w:val="clear" w:color="auto" w:fill="FFFFFF"/>
            <w:noWrap w:val="0"/>
            <w:vAlign w:val="center"/>
          </w:tcPr>
          <w:p w14:paraId="4A4B2796">
            <w:pPr>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单位</w:t>
            </w:r>
          </w:p>
        </w:tc>
        <w:tc>
          <w:tcPr>
            <w:tcW w:w="503" w:type="pct"/>
            <w:shd w:val="clear" w:color="auto" w:fill="FFFFFF"/>
            <w:noWrap w:val="0"/>
            <w:vAlign w:val="center"/>
          </w:tcPr>
          <w:p w14:paraId="45649B04">
            <w:pPr>
              <w:spacing w:line="360" w:lineRule="auto"/>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数量</w:t>
            </w:r>
          </w:p>
        </w:tc>
      </w:tr>
      <w:tr w14:paraId="3A5C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noWrap w:val="0"/>
            <w:vAlign w:val="center"/>
          </w:tcPr>
          <w:p w14:paraId="433AE24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操作系统</w:t>
            </w:r>
          </w:p>
        </w:tc>
        <w:tc>
          <w:tcPr>
            <w:tcW w:w="1311" w:type="pct"/>
            <w:noWrap w:val="0"/>
            <w:vAlign w:val="center"/>
          </w:tcPr>
          <w:p w14:paraId="4290FE8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Windows10</w:t>
            </w:r>
          </w:p>
        </w:tc>
        <w:tc>
          <w:tcPr>
            <w:tcW w:w="1815" w:type="pct"/>
            <w:noWrap w:val="0"/>
            <w:vAlign w:val="center"/>
          </w:tcPr>
          <w:p w14:paraId="2CAC0A6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Windows 10</w:t>
            </w:r>
            <w:r>
              <w:rPr>
                <w:rFonts w:hint="eastAsia" w:ascii="Times New Roman" w:hAnsi="Times New Roman" w:eastAsia="仿宋_GB2312" w:cs="Times New Roman"/>
                <w:color w:val="auto"/>
                <w:sz w:val="24"/>
                <w:lang w:val="en-US" w:eastAsia="zh-CN"/>
              </w:rPr>
              <w:t xml:space="preserve"> Pro</w:t>
            </w:r>
            <w:r>
              <w:rPr>
                <w:rFonts w:hint="default" w:ascii="Times New Roman" w:hAnsi="Times New Roman" w:eastAsia="仿宋_GB2312" w:cs="Times New Roman"/>
                <w:color w:val="auto"/>
                <w:sz w:val="24"/>
              </w:rPr>
              <w:t xml:space="preserve"> （64位）</w:t>
            </w:r>
          </w:p>
        </w:tc>
        <w:tc>
          <w:tcPr>
            <w:tcW w:w="580" w:type="pct"/>
            <w:noWrap w:val="0"/>
            <w:vAlign w:val="center"/>
          </w:tcPr>
          <w:p w14:paraId="769E35B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34E78D2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4B7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restart"/>
            <w:noWrap w:val="0"/>
            <w:vAlign w:val="center"/>
          </w:tcPr>
          <w:p w14:paraId="68334CF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开发工具</w:t>
            </w:r>
          </w:p>
        </w:tc>
        <w:tc>
          <w:tcPr>
            <w:tcW w:w="1311" w:type="pct"/>
            <w:noWrap w:val="0"/>
            <w:vAlign w:val="center"/>
          </w:tcPr>
          <w:p w14:paraId="415F358F">
            <w:pPr>
              <w:pStyle w:val="5"/>
              <w:widowControl/>
              <w:pBdr>
                <w:top w:val="none" w:color="auto" w:sz="0" w:space="0"/>
                <w:left w:val="none" w:color="auto" w:sz="0" w:space="0"/>
                <w:bottom w:val="none" w:color="auto" w:sz="0" w:space="0"/>
                <w:right w:val="none" w:color="auto" w:sz="0" w:space="0"/>
              </w:pBdr>
              <w:spacing w:line="360" w:lineRule="auto"/>
              <w:jc w:val="center"/>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b w:val="0"/>
                <w:bCs w:val="0"/>
                <w:color w:val="auto"/>
                <w:kern w:val="2"/>
                <w:sz w:val="24"/>
                <w:szCs w:val="24"/>
                <w:lang w:val="en-US" w:eastAsia="zh-CN" w:bidi="ar-SA"/>
              </w:rPr>
              <w:t xml:space="preserve">IntelliJ IDEA </w:t>
            </w:r>
          </w:p>
        </w:tc>
        <w:tc>
          <w:tcPr>
            <w:tcW w:w="1815" w:type="pct"/>
            <w:noWrap w:val="0"/>
            <w:vAlign w:val="center"/>
          </w:tcPr>
          <w:p w14:paraId="29DCEF2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2023.1</w:t>
            </w:r>
          </w:p>
        </w:tc>
        <w:tc>
          <w:tcPr>
            <w:tcW w:w="580" w:type="pct"/>
            <w:noWrap w:val="0"/>
            <w:vAlign w:val="center"/>
          </w:tcPr>
          <w:p w14:paraId="1A8041D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095FE1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0B9B0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222708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46A1C68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Visual Studio Code</w:t>
            </w:r>
          </w:p>
        </w:tc>
        <w:tc>
          <w:tcPr>
            <w:tcW w:w="1815" w:type="pct"/>
            <w:noWrap w:val="0"/>
            <w:vAlign w:val="center"/>
          </w:tcPr>
          <w:p w14:paraId="4969368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1.77及以上</w:t>
            </w:r>
          </w:p>
        </w:tc>
        <w:tc>
          <w:tcPr>
            <w:tcW w:w="580" w:type="pct"/>
            <w:noWrap w:val="0"/>
            <w:vAlign w:val="center"/>
          </w:tcPr>
          <w:p w14:paraId="020C353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1B1C214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6739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14A964E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624CC59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HBuilder X</w:t>
            </w:r>
          </w:p>
        </w:tc>
        <w:tc>
          <w:tcPr>
            <w:tcW w:w="1815" w:type="pct"/>
            <w:noWrap w:val="0"/>
            <w:vAlign w:val="center"/>
          </w:tcPr>
          <w:p w14:paraId="1C10B82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3.1.22</w:t>
            </w:r>
          </w:p>
        </w:tc>
        <w:tc>
          <w:tcPr>
            <w:tcW w:w="580" w:type="pct"/>
            <w:noWrap w:val="0"/>
            <w:vAlign w:val="center"/>
          </w:tcPr>
          <w:p w14:paraId="2BE5A78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1C3BE80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2EF2C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restart"/>
            <w:noWrap w:val="0"/>
            <w:vAlign w:val="center"/>
          </w:tcPr>
          <w:p w14:paraId="6F588A6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前端开发</w:t>
            </w:r>
          </w:p>
        </w:tc>
        <w:tc>
          <w:tcPr>
            <w:tcW w:w="1311" w:type="pct"/>
            <w:noWrap w:val="0"/>
            <w:vAlign w:val="center"/>
          </w:tcPr>
          <w:p w14:paraId="6369269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Node.js</w:t>
            </w:r>
          </w:p>
        </w:tc>
        <w:tc>
          <w:tcPr>
            <w:tcW w:w="1815" w:type="pct"/>
            <w:noWrap w:val="0"/>
            <w:vAlign w:val="center"/>
          </w:tcPr>
          <w:p w14:paraId="51090BB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Version </w:t>
            </w:r>
            <w:r>
              <w:rPr>
                <w:rFonts w:hint="default" w:ascii="Times New Roman" w:hAnsi="Times New Roman" w:eastAsia="仿宋_GB2312" w:cs="Times New Roman"/>
                <w:color w:val="auto"/>
                <w:sz w:val="24"/>
                <w:lang w:val="en-US" w:eastAsia="zh-CN"/>
              </w:rPr>
              <w:t>18.2</w:t>
            </w:r>
            <w:r>
              <w:rPr>
                <w:rFonts w:hint="default" w:ascii="Times New Roman" w:hAnsi="Times New Roman" w:eastAsia="仿宋_GB2312" w:cs="Times New Roman"/>
                <w:color w:val="auto"/>
                <w:sz w:val="24"/>
              </w:rPr>
              <w:t>及以上</w:t>
            </w:r>
          </w:p>
        </w:tc>
        <w:tc>
          <w:tcPr>
            <w:tcW w:w="580" w:type="pct"/>
            <w:noWrap w:val="0"/>
            <w:vAlign w:val="center"/>
          </w:tcPr>
          <w:p w14:paraId="5FEB224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3F125F9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0BB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562074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40135C0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Vue</w:t>
            </w:r>
          </w:p>
        </w:tc>
        <w:tc>
          <w:tcPr>
            <w:tcW w:w="1815" w:type="pct"/>
            <w:noWrap w:val="0"/>
            <w:vAlign w:val="center"/>
          </w:tcPr>
          <w:p w14:paraId="2DB4884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Version </w:t>
            </w:r>
            <w:r>
              <w:rPr>
                <w:rFonts w:hint="default" w:ascii="Times New Roman" w:hAnsi="Times New Roman" w:eastAsia="仿宋_GB2312" w:cs="Times New Roman"/>
                <w:color w:val="auto"/>
                <w:sz w:val="24"/>
                <w:lang w:val="en-US" w:eastAsia="zh-CN"/>
              </w:rPr>
              <w:t>3</w:t>
            </w:r>
            <w:r>
              <w:rPr>
                <w:rFonts w:hint="default" w:ascii="Times New Roman" w:hAnsi="Times New Roman" w:eastAsia="仿宋_GB2312" w:cs="Times New Roman"/>
                <w:color w:val="auto"/>
                <w:sz w:val="24"/>
              </w:rPr>
              <w:t>及以上</w:t>
            </w:r>
          </w:p>
        </w:tc>
        <w:tc>
          <w:tcPr>
            <w:tcW w:w="580" w:type="pct"/>
            <w:noWrap w:val="0"/>
            <w:vAlign w:val="center"/>
          </w:tcPr>
          <w:p w14:paraId="10397BB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40A7F12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29554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90F468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1F9DBC4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Element-</w:t>
            </w:r>
            <w:r>
              <w:rPr>
                <w:rFonts w:hint="default" w:ascii="Times New Roman" w:hAnsi="Times New Roman" w:eastAsia="仿宋_GB2312" w:cs="Times New Roman"/>
                <w:color w:val="auto"/>
                <w:sz w:val="24"/>
                <w:lang w:val="en-US" w:eastAsia="zh-CN"/>
              </w:rPr>
              <w:t>Plus</w:t>
            </w:r>
          </w:p>
        </w:tc>
        <w:tc>
          <w:tcPr>
            <w:tcW w:w="1815" w:type="pct"/>
            <w:noWrap w:val="0"/>
            <w:vAlign w:val="center"/>
          </w:tcPr>
          <w:p w14:paraId="1CC031F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2.</w:t>
            </w:r>
            <w:r>
              <w:rPr>
                <w:rFonts w:hint="default"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及以上</w:t>
            </w:r>
          </w:p>
        </w:tc>
        <w:tc>
          <w:tcPr>
            <w:tcW w:w="580" w:type="pct"/>
            <w:noWrap w:val="0"/>
            <w:vAlign w:val="center"/>
          </w:tcPr>
          <w:p w14:paraId="279B860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888165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204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0D1977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301E4EB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Echarts</w:t>
            </w:r>
          </w:p>
        </w:tc>
        <w:tc>
          <w:tcPr>
            <w:tcW w:w="1815" w:type="pct"/>
            <w:noWrap w:val="0"/>
            <w:vAlign w:val="center"/>
          </w:tcPr>
          <w:p w14:paraId="0B6B22E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5.</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rPr>
              <w:t>.3及以上</w:t>
            </w:r>
          </w:p>
        </w:tc>
        <w:tc>
          <w:tcPr>
            <w:tcW w:w="580" w:type="pct"/>
            <w:noWrap w:val="0"/>
            <w:vAlign w:val="center"/>
          </w:tcPr>
          <w:p w14:paraId="7E0E05B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796F40B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5BDA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9" w:type="pct"/>
            <w:vMerge w:val="restart"/>
            <w:noWrap w:val="0"/>
            <w:vAlign w:val="center"/>
          </w:tcPr>
          <w:p w14:paraId="2668561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后端开发</w:t>
            </w:r>
          </w:p>
        </w:tc>
        <w:tc>
          <w:tcPr>
            <w:tcW w:w="1311" w:type="pct"/>
            <w:noWrap w:val="0"/>
            <w:vAlign w:val="center"/>
          </w:tcPr>
          <w:p w14:paraId="430D4C7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Spring</w:t>
            </w:r>
            <w:r>
              <w:rPr>
                <w:rFonts w:hint="default" w:ascii="Times New Roman" w:hAnsi="Times New Roman" w:eastAsia="仿宋_GB2312" w:cs="Times New Roman"/>
                <w:color w:val="auto"/>
                <w:sz w:val="24"/>
                <w:lang w:val="en-US" w:eastAsia="zh-CN"/>
              </w:rPr>
              <w:t>Boot</w:t>
            </w:r>
          </w:p>
        </w:tc>
        <w:tc>
          <w:tcPr>
            <w:tcW w:w="1815" w:type="pct"/>
            <w:noWrap w:val="0"/>
            <w:vAlign w:val="center"/>
          </w:tcPr>
          <w:p w14:paraId="0A16ADA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2.2.12及以上</w:t>
            </w:r>
          </w:p>
        </w:tc>
        <w:tc>
          <w:tcPr>
            <w:tcW w:w="580" w:type="pct"/>
            <w:noWrap w:val="0"/>
            <w:vAlign w:val="center"/>
          </w:tcPr>
          <w:p w14:paraId="6D56579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67706FE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40E7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89" w:type="pct"/>
            <w:vMerge w:val="continue"/>
            <w:noWrap w:val="0"/>
            <w:vAlign w:val="center"/>
          </w:tcPr>
          <w:p w14:paraId="2A08B40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2F1F001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Tomcat</w:t>
            </w:r>
          </w:p>
          <w:p w14:paraId="4E38CEC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（内嵌至Spring）</w:t>
            </w:r>
          </w:p>
        </w:tc>
        <w:tc>
          <w:tcPr>
            <w:tcW w:w="1815" w:type="pct"/>
            <w:noWrap w:val="0"/>
            <w:vAlign w:val="center"/>
          </w:tcPr>
          <w:p w14:paraId="56C6A37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9</w:t>
            </w:r>
          </w:p>
        </w:tc>
        <w:tc>
          <w:tcPr>
            <w:tcW w:w="580" w:type="pct"/>
            <w:noWrap w:val="0"/>
            <w:vAlign w:val="center"/>
          </w:tcPr>
          <w:p w14:paraId="0022060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AFD18C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1056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9" w:type="pct"/>
            <w:vMerge w:val="continue"/>
            <w:noWrap w:val="0"/>
            <w:vAlign w:val="center"/>
          </w:tcPr>
          <w:p w14:paraId="625616E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1535BE9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Mybatis</w:t>
            </w:r>
          </w:p>
        </w:tc>
        <w:tc>
          <w:tcPr>
            <w:tcW w:w="1815" w:type="pct"/>
            <w:noWrap w:val="0"/>
            <w:vAlign w:val="center"/>
          </w:tcPr>
          <w:p w14:paraId="71DD046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3及以上</w:t>
            </w:r>
          </w:p>
        </w:tc>
        <w:tc>
          <w:tcPr>
            <w:tcW w:w="580" w:type="pct"/>
            <w:noWrap w:val="0"/>
            <w:vAlign w:val="center"/>
          </w:tcPr>
          <w:p w14:paraId="52B8625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3A2FD67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1BBC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F9A786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046E0BA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Spring Security</w:t>
            </w:r>
          </w:p>
        </w:tc>
        <w:tc>
          <w:tcPr>
            <w:tcW w:w="1815" w:type="pct"/>
            <w:noWrap w:val="0"/>
            <w:vAlign w:val="center"/>
          </w:tcPr>
          <w:p w14:paraId="5B7D570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5.</w:t>
            </w:r>
            <w:r>
              <w:rPr>
                <w:rFonts w:hint="default" w:ascii="Times New Roman" w:hAnsi="Times New Roman" w:eastAsia="仿宋_GB2312" w:cs="Times New Roman"/>
                <w:color w:val="auto"/>
                <w:sz w:val="24"/>
                <w:lang w:val="en-US" w:eastAsia="zh-CN"/>
              </w:rPr>
              <w:t>2.X</w:t>
            </w:r>
            <w:r>
              <w:rPr>
                <w:rFonts w:hint="default" w:ascii="Times New Roman" w:hAnsi="Times New Roman" w:eastAsia="仿宋_GB2312" w:cs="Times New Roman"/>
                <w:color w:val="auto"/>
                <w:sz w:val="24"/>
              </w:rPr>
              <w:t>及以上</w:t>
            </w:r>
          </w:p>
        </w:tc>
        <w:tc>
          <w:tcPr>
            <w:tcW w:w="580" w:type="pct"/>
            <w:noWrap w:val="0"/>
            <w:vAlign w:val="center"/>
          </w:tcPr>
          <w:p w14:paraId="2571AE9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0E80BD3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3B18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4404130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34ECF64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JDK</w:t>
            </w:r>
          </w:p>
        </w:tc>
        <w:tc>
          <w:tcPr>
            <w:tcW w:w="1815" w:type="pct"/>
            <w:noWrap w:val="0"/>
            <w:vAlign w:val="center"/>
          </w:tcPr>
          <w:p w14:paraId="2036A4C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8及以上</w:t>
            </w:r>
          </w:p>
        </w:tc>
        <w:tc>
          <w:tcPr>
            <w:tcW w:w="580" w:type="pct"/>
            <w:noWrap w:val="0"/>
            <w:vAlign w:val="center"/>
          </w:tcPr>
          <w:p w14:paraId="69D55DF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3657434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960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88F768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6F49DE2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JJ</w:t>
            </w:r>
            <w:r>
              <w:rPr>
                <w:rFonts w:hint="default" w:ascii="Times New Roman" w:hAnsi="Times New Roman" w:eastAsia="仿宋_GB2312" w:cs="Times New Roman"/>
                <w:color w:val="auto"/>
                <w:sz w:val="24"/>
              </w:rPr>
              <w:t>wt</w:t>
            </w:r>
          </w:p>
        </w:tc>
        <w:tc>
          <w:tcPr>
            <w:tcW w:w="1815" w:type="pct"/>
            <w:noWrap w:val="0"/>
            <w:vAlign w:val="center"/>
          </w:tcPr>
          <w:p w14:paraId="3AAADAE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Version </w:t>
            </w:r>
            <w:r>
              <w:rPr>
                <w:rFonts w:hint="default" w:ascii="Times New Roman" w:hAnsi="Times New Roman" w:eastAsia="仿宋_GB2312" w:cs="Times New Roman"/>
                <w:color w:val="auto"/>
                <w:sz w:val="24"/>
                <w:lang w:val="en-US" w:eastAsia="zh-CN"/>
              </w:rPr>
              <w:t>0.9.1</w:t>
            </w:r>
            <w:r>
              <w:rPr>
                <w:rFonts w:hint="default" w:ascii="Times New Roman" w:hAnsi="Times New Roman" w:eastAsia="仿宋_GB2312" w:cs="Times New Roman"/>
                <w:color w:val="auto"/>
                <w:sz w:val="24"/>
              </w:rPr>
              <w:t>及以上</w:t>
            </w:r>
          </w:p>
        </w:tc>
        <w:tc>
          <w:tcPr>
            <w:tcW w:w="580" w:type="pct"/>
            <w:noWrap w:val="0"/>
            <w:vAlign w:val="center"/>
          </w:tcPr>
          <w:p w14:paraId="43F7141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0712ADC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06A1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restart"/>
            <w:noWrap w:val="0"/>
            <w:vAlign w:val="center"/>
          </w:tcPr>
          <w:p w14:paraId="7ABFD1B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数据库及管理工具</w:t>
            </w:r>
          </w:p>
        </w:tc>
        <w:tc>
          <w:tcPr>
            <w:tcW w:w="1311" w:type="pct"/>
            <w:noWrap w:val="0"/>
            <w:vAlign w:val="center"/>
          </w:tcPr>
          <w:p w14:paraId="44E790F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MySQL </w:t>
            </w:r>
          </w:p>
        </w:tc>
        <w:tc>
          <w:tcPr>
            <w:tcW w:w="1815" w:type="pct"/>
            <w:noWrap w:val="0"/>
            <w:vAlign w:val="center"/>
          </w:tcPr>
          <w:p w14:paraId="003A00F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8.0</w:t>
            </w:r>
          </w:p>
        </w:tc>
        <w:tc>
          <w:tcPr>
            <w:tcW w:w="580" w:type="pct"/>
            <w:noWrap w:val="0"/>
            <w:vAlign w:val="center"/>
          </w:tcPr>
          <w:p w14:paraId="1BAFFBE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06E3568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35A3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F5AE7D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5D969BF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Redis</w:t>
            </w:r>
          </w:p>
        </w:tc>
        <w:tc>
          <w:tcPr>
            <w:tcW w:w="1815" w:type="pct"/>
            <w:noWrap w:val="0"/>
            <w:vAlign w:val="center"/>
          </w:tcPr>
          <w:p w14:paraId="281328B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3.0及以上</w:t>
            </w:r>
          </w:p>
        </w:tc>
        <w:tc>
          <w:tcPr>
            <w:tcW w:w="580" w:type="pct"/>
            <w:noWrap w:val="0"/>
            <w:vAlign w:val="center"/>
          </w:tcPr>
          <w:p w14:paraId="6EFEDF2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3C2054A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5263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0A899EC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3ABF2A4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Navicat Premium</w:t>
            </w:r>
          </w:p>
        </w:tc>
        <w:tc>
          <w:tcPr>
            <w:tcW w:w="1815" w:type="pct"/>
            <w:noWrap w:val="0"/>
            <w:vAlign w:val="center"/>
          </w:tcPr>
          <w:p w14:paraId="41B366F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11.0及以上</w:t>
            </w:r>
          </w:p>
        </w:tc>
        <w:tc>
          <w:tcPr>
            <w:tcW w:w="580" w:type="pct"/>
            <w:noWrap w:val="0"/>
            <w:vAlign w:val="center"/>
          </w:tcPr>
          <w:p w14:paraId="05A45B1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20D69F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6F29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16C0F1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54746A0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MySQL Workbench</w:t>
            </w:r>
          </w:p>
        </w:tc>
        <w:tc>
          <w:tcPr>
            <w:tcW w:w="1815" w:type="pct"/>
            <w:noWrap w:val="0"/>
            <w:vAlign w:val="center"/>
          </w:tcPr>
          <w:p w14:paraId="159CBFD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8.0及以上</w:t>
            </w:r>
          </w:p>
        </w:tc>
        <w:tc>
          <w:tcPr>
            <w:tcW w:w="580" w:type="pct"/>
            <w:noWrap w:val="0"/>
            <w:vAlign w:val="center"/>
          </w:tcPr>
          <w:p w14:paraId="589FA4A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1EEE1EB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182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restart"/>
            <w:noWrap w:val="0"/>
            <w:vAlign w:val="center"/>
          </w:tcPr>
          <w:p w14:paraId="2B76976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浏览器</w:t>
            </w:r>
          </w:p>
        </w:tc>
        <w:tc>
          <w:tcPr>
            <w:tcW w:w="1311" w:type="pct"/>
            <w:noWrap w:val="0"/>
            <w:vAlign w:val="center"/>
          </w:tcPr>
          <w:p w14:paraId="289C5C8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Firefox</w:t>
            </w:r>
          </w:p>
        </w:tc>
        <w:tc>
          <w:tcPr>
            <w:tcW w:w="1815" w:type="pct"/>
            <w:noWrap w:val="0"/>
            <w:vAlign w:val="center"/>
          </w:tcPr>
          <w:p w14:paraId="41D32DD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112及以上</w:t>
            </w:r>
          </w:p>
        </w:tc>
        <w:tc>
          <w:tcPr>
            <w:tcW w:w="580" w:type="pct"/>
            <w:noWrap w:val="0"/>
            <w:vAlign w:val="center"/>
          </w:tcPr>
          <w:p w14:paraId="289BB9F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78B4DEA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298BF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9" w:type="pct"/>
            <w:vMerge w:val="continue"/>
            <w:noWrap w:val="0"/>
            <w:vAlign w:val="center"/>
          </w:tcPr>
          <w:p w14:paraId="7197C3D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746E1F2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Chrome</w:t>
            </w:r>
          </w:p>
        </w:tc>
        <w:tc>
          <w:tcPr>
            <w:tcW w:w="1815" w:type="pct"/>
            <w:noWrap w:val="0"/>
            <w:vAlign w:val="center"/>
          </w:tcPr>
          <w:p w14:paraId="589F778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11</w:t>
            </w:r>
            <w:r>
              <w:rPr>
                <w:rFonts w:hint="default" w:ascii="Times New Roman" w:hAnsi="Times New Roman" w:eastAsia="仿宋_GB2312" w:cs="Times New Roman"/>
                <w:color w:val="auto"/>
                <w:sz w:val="24"/>
                <w:lang w:val="en-US" w:eastAsia="zh-CN"/>
              </w:rPr>
              <w:t>3</w:t>
            </w:r>
            <w:r>
              <w:rPr>
                <w:rFonts w:hint="default" w:ascii="Times New Roman" w:hAnsi="Times New Roman" w:eastAsia="仿宋_GB2312" w:cs="Times New Roman"/>
                <w:color w:val="auto"/>
                <w:sz w:val="24"/>
              </w:rPr>
              <w:t>及以上</w:t>
            </w:r>
          </w:p>
        </w:tc>
        <w:tc>
          <w:tcPr>
            <w:tcW w:w="580" w:type="pct"/>
            <w:noWrap w:val="0"/>
            <w:vAlign w:val="center"/>
          </w:tcPr>
          <w:p w14:paraId="13FD1A7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4C6B848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6B236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restart"/>
            <w:noWrap w:val="0"/>
            <w:vAlign w:val="center"/>
          </w:tcPr>
          <w:p w14:paraId="4F073D2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其他辅助软件</w:t>
            </w:r>
          </w:p>
        </w:tc>
        <w:tc>
          <w:tcPr>
            <w:tcW w:w="1311" w:type="pct"/>
            <w:noWrap w:val="0"/>
            <w:vAlign w:val="top"/>
          </w:tcPr>
          <w:p w14:paraId="6B96F9B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WPS</w:t>
            </w:r>
          </w:p>
        </w:tc>
        <w:tc>
          <w:tcPr>
            <w:tcW w:w="1815" w:type="pct"/>
            <w:noWrap w:val="0"/>
            <w:vAlign w:val="top"/>
          </w:tcPr>
          <w:p w14:paraId="76A0ACF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11.1.0</w:t>
            </w:r>
          </w:p>
        </w:tc>
        <w:tc>
          <w:tcPr>
            <w:tcW w:w="580" w:type="pct"/>
            <w:noWrap w:val="0"/>
            <w:vAlign w:val="center"/>
          </w:tcPr>
          <w:p w14:paraId="7BF3BD9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78498D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62C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0A03389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top"/>
          </w:tcPr>
          <w:p w14:paraId="23D0FAE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GitStack</w:t>
            </w:r>
          </w:p>
        </w:tc>
        <w:tc>
          <w:tcPr>
            <w:tcW w:w="1815" w:type="pct"/>
            <w:noWrap w:val="0"/>
            <w:vAlign w:val="top"/>
          </w:tcPr>
          <w:p w14:paraId="34581D6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2.3.11</w:t>
            </w:r>
          </w:p>
        </w:tc>
        <w:tc>
          <w:tcPr>
            <w:tcW w:w="580" w:type="pct"/>
            <w:noWrap w:val="0"/>
            <w:vAlign w:val="center"/>
          </w:tcPr>
          <w:p w14:paraId="7758DFC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E8726B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3AAFB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54DEF85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2262E04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Postman</w:t>
            </w:r>
          </w:p>
        </w:tc>
        <w:tc>
          <w:tcPr>
            <w:tcW w:w="1815" w:type="pct"/>
            <w:noWrap w:val="0"/>
            <w:vAlign w:val="center"/>
          </w:tcPr>
          <w:p w14:paraId="046CB8F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10.5</w:t>
            </w:r>
          </w:p>
        </w:tc>
        <w:tc>
          <w:tcPr>
            <w:tcW w:w="580" w:type="pct"/>
            <w:noWrap w:val="0"/>
            <w:vAlign w:val="center"/>
          </w:tcPr>
          <w:p w14:paraId="1EABFA0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119952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70AB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064C4D1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4FCFFE9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Office Visio</w:t>
            </w:r>
          </w:p>
        </w:tc>
        <w:tc>
          <w:tcPr>
            <w:tcW w:w="1815" w:type="pct"/>
            <w:noWrap w:val="0"/>
            <w:vAlign w:val="center"/>
          </w:tcPr>
          <w:p w14:paraId="4ABD0DE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rPr>
              <w:t>Version 202</w:t>
            </w:r>
            <w:r>
              <w:rPr>
                <w:rFonts w:hint="default" w:ascii="Times New Roman" w:hAnsi="Times New Roman" w:eastAsia="仿宋_GB2312" w:cs="Times New Roman"/>
                <w:color w:val="auto"/>
                <w:sz w:val="24"/>
                <w:lang w:val="en-US" w:eastAsia="zh-CN"/>
              </w:rPr>
              <w:t>1</w:t>
            </w:r>
          </w:p>
        </w:tc>
        <w:tc>
          <w:tcPr>
            <w:tcW w:w="580" w:type="pct"/>
            <w:noWrap w:val="0"/>
            <w:vAlign w:val="center"/>
          </w:tcPr>
          <w:p w14:paraId="1C4C5B5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B6CB1E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6652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82B899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72E49E5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WinRAR</w:t>
            </w:r>
          </w:p>
        </w:tc>
        <w:tc>
          <w:tcPr>
            <w:tcW w:w="1815" w:type="pct"/>
            <w:noWrap w:val="0"/>
            <w:vAlign w:val="center"/>
          </w:tcPr>
          <w:p w14:paraId="28151C1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 xml:space="preserve">Version </w:t>
            </w:r>
            <w:r>
              <w:rPr>
                <w:rFonts w:hint="default" w:ascii="Times New Roman" w:hAnsi="Times New Roman" w:eastAsia="仿宋_GB2312" w:cs="Times New Roman"/>
                <w:color w:val="auto"/>
                <w:sz w:val="24"/>
                <w:lang w:val="en-US" w:eastAsia="zh-CN"/>
              </w:rPr>
              <w:t>6.0.2及以上</w:t>
            </w:r>
          </w:p>
        </w:tc>
        <w:tc>
          <w:tcPr>
            <w:tcW w:w="580" w:type="pct"/>
            <w:noWrap w:val="0"/>
            <w:vAlign w:val="center"/>
          </w:tcPr>
          <w:p w14:paraId="2B8C956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11047D0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55A6B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24A2797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409D4BC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phpstudy</w:t>
            </w:r>
          </w:p>
        </w:tc>
        <w:tc>
          <w:tcPr>
            <w:tcW w:w="1815" w:type="pct"/>
            <w:noWrap w:val="0"/>
            <w:vAlign w:val="center"/>
          </w:tcPr>
          <w:p w14:paraId="1DD93DE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8.0</w:t>
            </w:r>
          </w:p>
        </w:tc>
        <w:tc>
          <w:tcPr>
            <w:tcW w:w="580" w:type="pct"/>
            <w:noWrap w:val="0"/>
            <w:vAlign w:val="center"/>
          </w:tcPr>
          <w:p w14:paraId="135085D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5E3F883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2DEEB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48B75E0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7D1F89B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JMeter</w:t>
            </w:r>
          </w:p>
        </w:tc>
        <w:tc>
          <w:tcPr>
            <w:tcW w:w="1815" w:type="pct"/>
            <w:noWrap w:val="0"/>
            <w:vAlign w:val="center"/>
          </w:tcPr>
          <w:p w14:paraId="17E0755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5.5</w:t>
            </w:r>
          </w:p>
        </w:tc>
        <w:tc>
          <w:tcPr>
            <w:tcW w:w="580" w:type="pct"/>
            <w:noWrap w:val="0"/>
            <w:vAlign w:val="center"/>
          </w:tcPr>
          <w:p w14:paraId="006D31E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014EEBA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r w14:paraId="6779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vMerge w:val="continue"/>
            <w:noWrap w:val="0"/>
            <w:vAlign w:val="center"/>
          </w:tcPr>
          <w:p w14:paraId="4782701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p>
        </w:tc>
        <w:tc>
          <w:tcPr>
            <w:tcW w:w="1311" w:type="pct"/>
            <w:noWrap w:val="0"/>
            <w:vAlign w:val="center"/>
          </w:tcPr>
          <w:p w14:paraId="5C6F484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Nginx</w:t>
            </w:r>
          </w:p>
        </w:tc>
        <w:tc>
          <w:tcPr>
            <w:tcW w:w="1815" w:type="pct"/>
            <w:noWrap w:val="0"/>
            <w:vAlign w:val="center"/>
          </w:tcPr>
          <w:p w14:paraId="7259B92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Version 1.5.1及以上</w:t>
            </w:r>
          </w:p>
        </w:tc>
        <w:tc>
          <w:tcPr>
            <w:tcW w:w="580" w:type="pct"/>
            <w:noWrap w:val="0"/>
            <w:vAlign w:val="center"/>
          </w:tcPr>
          <w:p w14:paraId="775CF76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套</w:t>
            </w:r>
          </w:p>
        </w:tc>
        <w:tc>
          <w:tcPr>
            <w:tcW w:w="503" w:type="pct"/>
            <w:noWrap w:val="0"/>
            <w:vAlign w:val="center"/>
          </w:tcPr>
          <w:p w14:paraId="1093B2B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w:t>
            </w:r>
          </w:p>
        </w:tc>
      </w:tr>
    </w:tbl>
    <w:p w14:paraId="577F3E0F">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八、</w:t>
      </w:r>
      <w:r>
        <w:rPr>
          <w:rFonts w:hint="eastAsia" w:ascii="仿宋_GB2312" w:hAnsi="仿宋" w:eastAsia="仿宋_GB2312"/>
          <w:b/>
          <w:bCs/>
          <w:color w:val="auto"/>
          <w:sz w:val="32"/>
          <w:szCs w:val="32"/>
        </w:rPr>
        <w:t>评分方式及奖项设置</w:t>
      </w:r>
    </w:p>
    <w:p w14:paraId="11BC1117">
      <w:pPr>
        <w:numPr>
          <w:ilvl w:val="0"/>
          <w:numId w:val="0"/>
        </w:numPr>
        <w:adjustRightInd w:val="0"/>
        <w:snapToGrid w:val="0"/>
        <w:spacing w:line="360" w:lineRule="auto"/>
        <w:ind w:firstLine="643" w:firstLineChars="200"/>
        <w:jc w:val="left"/>
        <w:outlineLvl w:val="1"/>
        <w:rPr>
          <w:rFonts w:hint="default" w:ascii="仿宋_GB2312" w:hAnsi="仿宋" w:eastAsia="仿宋_GB2312"/>
          <w:b/>
          <w:bCs/>
          <w:color w:val="auto"/>
          <w:sz w:val="32"/>
          <w:szCs w:val="32"/>
          <w:highlight w:val="none"/>
          <w:lang w:val="en-US" w:eastAsia="zh-CN"/>
        </w:rPr>
      </w:pPr>
      <w:r>
        <w:rPr>
          <w:rFonts w:hint="eastAsia" w:ascii="仿宋_GB2312" w:hAnsi="仿宋" w:eastAsia="仿宋_GB2312" w:cs="Times New Roman"/>
          <w:b/>
          <w:bCs/>
          <w:color w:val="auto"/>
          <w:kern w:val="2"/>
          <w:sz w:val="32"/>
          <w:szCs w:val="32"/>
          <w:lang w:val="en-US" w:eastAsia="zh-CN" w:bidi="ar-SA"/>
        </w:rPr>
        <w:t>（一）</w:t>
      </w:r>
      <w:r>
        <w:rPr>
          <w:rFonts w:hint="default" w:ascii="仿宋_GB2312" w:hAnsi="仿宋" w:eastAsia="仿宋_GB2312"/>
          <w:b/>
          <w:bCs/>
          <w:color w:val="auto"/>
          <w:sz w:val="32"/>
          <w:szCs w:val="32"/>
          <w:highlight w:val="none"/>
          <w:lang w:val="en-US" w:eastAsia="zh-CN"/>
        </w:rPr>
        <w:t>评分原则</w:t>
      </w:r>
    </w:p>
    <w:p w14:paraId="5AEC98C2">
      <w:pPr>
        <w:adjustRightInd w:val="0"/>
        <w:snapToGrid w:val="0"/>
        <w:spacing w:line="360" w:lineRule="auto"/>
        <w:ind w:firstLine="643" w:firstLineChars="200"/>
        <w:jc w:val="left"/>
        <w:outlineLvl w:val="2"/>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1.结果评分原则</w:t>
      </w:r>
    </w:p>
    <w:p w14:paraId="206C9908">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32"/>
          <w:szCs w:val="32"/>
          <w:lang w:val="en-US" w:eastAsia="zh-CN"/>
        </w:rPr>
        <w:t>评分裁判对参赛选手提交的竞赛成果物，依据赛项评价标准进行评分。</w:t>
      </w:r>
    </w:p>
    <w:p w14:paraId="0FB67890">
      <w:pPr>
        <w:adjustRightInd w:val="0"/>
        <w:snapToGrid w:val="0"/>
        <w:spacing w:line="360" w:lineRule="auto"/>
        <w:ind w:firstLine="643" w:firstLineChars="200"/>
        <w:jc w:val="left"/>
        <w:outlineLvl w:val="2"/>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2.独立评分原则</w:t>
      </w:r>
    </w:p>
    <w:p w14:paraId="2D47E439">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根据裁判分工，负责相同模块评分工作的不同裁判采取随机抽签独立评分，确保成绩评定严谨、客观、准确。</w:t>
      </w:r>
    </w:p>
    <w:p w14:paraId="39A5457F">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（1）裁判进行随机抽签分组，杜绝主观意愿组队，各自完全独立评分，裁判员间互不干涉。</w:t>
      </w:r>
    </w:p>
    <w:p w14:paraId="4CB9E60E">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（2）裁判统一安排在一间工作室评分，比赛监督人员可随机监督。</w:t>
      </w:r>
    </w:p>
    <w:p w14:paraId="62B6A395">
      <w:pPr>
        <w:adjustRightInd w:val="0"/>
        <w:snapToGrid w:val="0"/>
        <w:spacing w:line="360" w:lineRule="auto"/>
        <w:ind w:firstLine="643" w:firstLineChars="200"/>
        <w:jc w:val="left"/>
        <w:outlineLvl w:val="2"/>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3.错误不传递原则</w:t>
      </w:r>
    </w:p>
    <w:p w14:paraId="694B36BB">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各环节分别计算得分，错误不传递，按规定比例计入总分。</w:t>
      </w:r>
    </w:p>
    <w:p w14:paraId="5F5A7C6D">
      <w:pPr>
        <w:adjustRightInd w:val="0"/>
        <w:snapToGrid w:val="0"/>
        <w:spacing w:line="360" w:lineRule="auto"/>
        <w:ind w:firstLine="643" w:firstLineChars="200"/>
        <w:jc w:val="left"/>
        <w:outlineLvl w:val="2"/>
        <w:rPr>
          <w:rFonts w:hint="default"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4</w:t>
      </w:r>
      <w:r>
        <w:rPr>
          <w:rFonts w:hint="default" w:ascii="Times New Roman" w:hAnsi="Times New Roman" w:eastAsia="仿宋_GB2312" w:cs="Times New Roman"/>
          <w:b/>
          <w:bCs/>
          <w:color w:val="auto"/>
          <w:sz w:val="32"/>
          <w:szCs w:val="32"/>
          <w:lang w:val="en-US" w:eastAsia="zh-CN"/>
        </w:rPr>
        <w:t>.抽查复核原则</w:t>
      </w:r>
    </w:p>
    <w:p w14:paraId="2912F998">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（1）为保障成绩评判的准确性，监督组对赛项总成绩排名前30%的所有参赛队伍（选手）的成绩进行复核；对其余成绩进行抽检复核，抽检覆盖率不得低于15%。</w:t>
      </w:r>
    </w:p>
    <w:p w14:paraId="41623FC6">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（2）监督组需将复检中发现的错误以书面方式及时告知裁判长，由裁判长更正成绩并签字确认。复核、抽检错误率超过5%的，则认定为非小概率事件，裁判组需对所有成绩进行复核。</w:t>
      </w:r>
    </w:p>
    <w:p w14:paraId="19F2D9FC">
      <w:pPr>
        <w:numPr>
          <w:ilvl w:val="0"/>
          <w:numId w:val="0"/>
        </w:numPr>
        <w:adjustRightInd w:val="0"/>
        <w:snapToGrid w:val="0"/>
        <w:spacing w:line="360" w:lineRule="auto"/>
        <w:ind w:firstLine="643" w:firstLineChars="200"/>
        <w:jc w:val="left"/>
        <w:outlineLvl w:val="1"/>
        <w:rPr>
          <w:rFonts w:hint="default" w:ascii="仿宋_GB2312" w:hAnsi="仿宋" w:eastAsia="仿宋_GB2312"/>
          <w:b/>
          <w:bCs/>
          <w:color w:val="auto"/>
          <w:sz w:val="32"/>
          <w:szCs w:val="32"/>
          <w:highlight w:val="none"/>
          <w:lang w:val="en-US" w:eastAsia="zh-CN"/>
        </w:rPr>
      </w:pPr>
      <w:r>
        <w:rPr>
          <w:rFonts w:hint="eastAsia" w:ascii="仿宋_GB2312" w:hAnsi="仿宋" w:eastAsia="仿宋_GB2312" w:cs="Times New Roman"/>
          <w:b/>
          <w:bCs/>
          <w:color w:val="auto"/>
          <w:kern w:val="2"/>
          <w:sz w:val="32"/>
          <w:szCs w:val="32"/>
          <w:lang w:val="en-US" w:eastAsia="zh-CN" w:bidi="ar-SA"/>
        </w:rPr>
        <w:t>（二）</w:t>
      </w:r>
      <w:r>
        <w:rPr>
          <w:rFonts w:hint="default" w:ascii="仿宋_GB2312" w:hAnsi="仿宋" w:eastAsia="仿宋_GB2312"/>
          <w:b/>
          <w:bCs/>
          <w:color w:val="auto"/>
          <w:sz w:val="32"/>
          <w:szCs w:val="32"/>
          <w:highlight w:val="none"/>
          <w:lang w:val="en-US" w:eastAsia="zh-CN"/>
        </w:rPr>
        <w:t>评分标准</w:t>
      </w:r>
    </w:p>
    <w:p w14:paraId="64131D0C">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本次竞赛评分采用裁判分工协作，按子模块开展评审，由3名裁判独立给出该子模块分值，取3名裁判分值的平均值作为该项子模块得分；若裁判间评分最大偏差大于30%，须在裁判长监督下重新评分。</w:t>
      </w:r>
    </w:p>
    <w:p w14:paraId="063E4E7A">
      <w:pPr>
        <w:numPr>
          <w:ilvl w:val="0"/>
          <w:numId w:val="0"/>
        </w:numPr>
        <w:adjustRightInd w:val="0"/>
        <w:snapToGrid w:val="0"/>
        <w:spacing w:line="360" w:lineRule="auto"/>
        <w:ind w:firstLine="643" w:firstLineChars="200"/>
        <w:jc w:val="left"/>
        <w:outlineLvl w:val="1"/>
        <w:rPr>
          <w:rFonts w:hint="default" w:ascii="仿宋_GB2312" w:hAnsi="仿宋" w:eastAsia="仿宋_GB2312"/>
          <w:b/>
          <w:bCs/>
          <w:color w:val="auto"/>
          <w:sz w:val="32"/>
          <w:szCs w:val="32"/>
          <w:highlight w:val="none"/>
          <w:lang w:val="en-US" w:eastAsia="zh-CN"/>
        </w:rPr>
      </w:pPr>
      <w:r>
        <w:rPr>
          <w:rFonts w:hint="eastAsia" w:ascii="仿宋_GB2312" w:hAnsi="仿宋" w:eastAsia="仿宋_GB2312" w:cs="Times New Roman"/>
          <w:b/>
          <w:bCs/>
          <w:color w:val="auto"/>
          <w:kern w:val="2"/>
          <w:sz w:val="32"/>
          <w:szCs w:val="32"/>
          <w:lang w:val="en-US" w:eastAsia="zh-CN" w:bidi="ar-SA"/>
        </w:rPr>
        <w:t>（三）</w:t>
      </w:r>
      <w:r>
        <w:rPr>
          <w:rFonts w:hint="default" w:ascii="仿宋_GB2312" w:hAnsi="仿宋" w:eastAsia="仿宋_GB2312"/>
          <w:b/>
          <w:bCs/>
          <w:color w:val="auto"/>
          <w:sz w:val="32"/>
          <w:szCs w:val="32"/>
          <w:highlight w:val="none"/>
          <w:lang w:val="en-US" w:eastAsia="zh-CN"/>
        </w:rPr>
        <w:t>评分方式</w:t>
      </w:r>
    </w:p>
    <w:p w14:paraId="17F52EEE">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1.竞赛满分为100分。</w:t>
      </w:r>
    </w:p>
    <w:p w14:paraId="588F363C">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2.选手比赛的评分成绩=模块一得分+模块二得分。</w:t>
      </w:r>
    </w:p>
    <w:p w14:paraId="6E358415">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3.本竞赛参与赛项成绩管理的组织机构包括裁判组、监督仲裁组。</w:t>
      </w:r>
    </w:p>
    <w:p w14:paraId="593AB17C">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4.竞赛对参赛队伍提交的成果物采取分步得分、累计总分的计分方式。各子模块分别计算得分，错误不传递，按规定比例计入团队总分。</w:t>
      </w:r>
    </w:p>
    <w:p w14:paraId="50A2F76A">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5.监督组在复检中发现错误，需以书面形式及时告知裁判长，由裁判长更正成绩并签字确认。如复核、抽检错误率超过5%，裁判组需对所有成绩进行复核。</w:t>
      </w:r>
    </w:p>
    <w:p w14:paraId="6C7739CD">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6.在竞赛过程中，参赛选手如有不服从裁判裁决、扰乱赛场秩序、舞弊等行为的，由裁判长按照规定扣减相应分数，情节严重的将取消比赛资格，比赛成绩计0分。</w:t>
      </w:r>
    </w:p>
    <w:p w14:paraId="2B0051E7">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7.赛项成绩解密审核无误后，经裁判长签字后，向全体参赛队进行公布。比赛成绩以最终公布结果为准。</w:t>
      </w:r>
    </w:p>
    <w:p w14:paraId="17A9FC6B">
      <w:pPr>
        <w:numPr>
          <w:ilvl w:val="0"/>
          <w:numId w:val="0"/>
        </w:numPr>
        <w:adjustRightInd w:val="0"/>
        <w:snapToGrid w:val="0"/>
        <w:spacing w:line="360" w:lineRule="auto"/>
        <w:ind w:firstLine="643" w:firstLineChars="200"/>
        <w:jc w:val="left"/>
        <w:outlineLvl w:val="1"/>
        <w:rPr>
          <w:rFonts w:hint="default" w:ascii="仿宋_GB2312" w:hAnsi="仿宋" w:eastAsia="仿宋_GB2312"/>
          <w:b/>
          <w:bCs/>
          <w:color w:val="auto"/>
          <w:sz w:val="32"/>
          <w:szCs w:val="32"/>
          <w:highlight w:val="none"/>
          <w:lang w:val="en-US" w:eastAsia="zh-CN"/>
        </w:rPr>
      </w:pPr>
      <w:r>
        <w:rPr>
          <w:rFonts w:hint="eastAsia" w:ascii="仿宋_GB2312" w:hAnsi="仿宋" w:eastAsia="仿宋_GB2312" w:cs="Times New Roman"/>
          <w:b/>
          <w:bCs/>
          <w:color w:val="auto"/>
          <w:kern w:val="2"/>
          <w:sz w:val="32"/>
          <w:szCs w:val="32"/>
          <w:lang w:val="en-US" w:eastAsia="zh-CN" w:bidi="ar-SA"/>
        </w:rPr>
        <w:t>（四）</w:t>
      </w:r>
      <w:r>
        <w:rPr>
          <w:rFonts w:hint="eastAsia" w:ascii="仿宋_GB2312" w:hAnsi="仿宋" w:eastAsia="仿宋_GB2312"/>
          <w:b/>
          <w:bCs/>
          <w:color w:val="auto"/>
          <w:sz w:val="32"/>
          <w:szCs w:val="32"/>
          <w:highlight w:val="none"/>
          <w:lang w:val="en-US" w:eastAsia="zh-CN"/>
        </w:rPr>
        <w:t>奖项设置</w:t>
      </w:r>
    </w:p>
    <w:p w14:paraId="30F933D2">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本赛项奖项设团体奖。设奖比例是</w:t>
      </w:r>
      <w:r>
        <w:rPr>
          <w:rFonts w:hint="eastAsia" w:ascii="仿宋_GB2312" w:hAnsi="微软雅黑" w:eastAsia="仿宋_GB2312" w:cs="仿宋_GB2312"/>
          <w:i w:val="0"/>
          <w:iCs w:val="0"/>
          <w:caps w:val="0"/>
          <w:color w:val="auto"/>
          <w:spacing w:val="0"/>
          <w:sz w:val="32"/>
          <w:szCs w:val="32"/>
          <w:shd w:val="clear" w:fill="FFFFFF"/>
          <w:vertAlign w:val="baseline"/>
        </w:rPr>
        <w:t>以实际参赛队总数的10%、20%、30%（小数点后四舍五入）分别设置一、二、三等奖</w:t>
      </w:r>
      <w:r>
        <w:rPr>
          <w:rFonts w:hint="default" w:ascii="Times New Roman" w:hAnsi="Times New Roman" w:eastAsia="仿宋_GB2312" w:cs="Times New Roman"/>
          <w:color w:val="auto"/>
          <w:sz w:val="32"/>
          <w:szCs w:val="32"/>
          <w:lang w:val="en-US" w:eastAsia="zh-CN"/>
        </w:rPr>
        <w:t xml:space="preserve">。 如出现参赛队总分相同情况，按照模块分值权重顺序的得分高低排序，即总成绩相同的情况下比较模块二的成绩，模块二成绩高的排名优先；如果模块二成绩也相同，则按模块一、的成绩进行排名，以此类推完成相同成绩的排序。如果所有模块分值相同，则查看文档撰写规范分值进行排序。 </w:t>
      </w:r>
    </w:p>
    <w:p w14:paraId="362B7828">
      <w:pPr>
        <w:numPr>
          <w:ilvl w:val="0"/>
          <w:numId w:val="0"/>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cs="Times New Roman"/>
          <w:b/>
          <w:bCs/>
          <w:color w:val="auto"/>
          <w:kern w:val="2"/>
          <w:sz w:val="32"/>
          <w:szCs w:val="32"/>
          <w:lang w:val="en-US" w:eastAsia="zh-CN" w:bidi="ar-SA"/>
        </w:rPr>
        <w:t>九、</w:t>
      </w:r>
      <w:r>
        <w:rPr>
          <w:rFonts w:hint="eastAsia" w:ascii="仿宋_GB2312" w:hAnsi="仿宋" w:eastAsia="仿宋_GB2312"/>
          <w:b/>
          <w:bCs/>
          <w:color w:val="auto"/>
          <w:sz w:val="32"/>
          <w:szCs w:val="32"/>
        </w:rPr>
        <w:t>申诉与仲裁</w:t>
      </w:r>
    </w:p>
    <w:p w14:paraId="43D3D43B">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1.各参赛队对不符合大赛和赛项规程规定的仪器、设备、工装、材料、物件、计算机软硬件、竞赛使用工具、用品，竞赛执裁、赛场管理、竞赛成绩，以及工作人员的不规范行为等，可向赛项仲裁组提出申诉。</w:t>
      </w:r>
    </w:p>
    <w:p w14:paraId="0BBB2317">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2.申诉主体为参赛队领队。</w:t>
      </w:r>
    </w:p>
    <w:p w14:paraId="4354569D">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3.申诉启动时，参赛队以该队参赛选手亲笔签字同意的书面报告的形式递交赛项仲裁组。报告应对申诉事件的现象、发生时间、涉及人员、申诉依据等进行充分、实事求是的叙述。非书面申诉不予受理。</w:t>
      </w:r>
    </w:p>
    <w:p w14:paraId="2FB9216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4.提出申诉应在赛项比赛结束后不超过2小时内提出。超过时效不予受理。</w:t>
      </w:r>
    </w:p>
    <w:p w14:paraId="3FDF8B3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5.赛项仲裁工作组在接到申诉报告后的2小时内组织复议，并及时将复议结果以书面形式告知申诉方。</w:t>
      </w:r>
    </w:p>
    <w:p w14:paraId="6AA71D66">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6.申诉方不得以任何理由拒绝接收仲裁结果；不得以任何理由采取过激行为扰乱赛场秩序；仲裁结果由申诉人签收，不能代收；如在约定时间和地点申诉人离开，视为自行放弃申诉。</w:t>
      </w:r>
    </w:p>
    <w:p w14:paraId="476EBC43">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7.申诉方可随时提出放弃申诉。</w:t>
      </w:r>
    </w:p>
    <w:p w14:paraId="0F98C3AC">
      <w:pPr>
        <w:numPr>
          <w:ilvl w:val="0"/>
          <w:numId w:val="0"/>
        </w:numPr>
        <w:adjustRightInd w:val="0"/>
        <w:snapToGrid w:val="0"/>
        <w:spacing w:line="360" w:lineRule="auto"/>
        <w:ind w:leftChars="-100"/>
        <w:jc w:val="left"/>
        <w:outlineLvl w:val="0"/>
        <w:rPr>
          <w:rFonts w:hint="eastAsia" w:ascii="仿宋_GB2312" w:hAnsi="仿宋" w:eastAsia="仿宋_GB2312"/>
          <w:b/>
          <w:bCs/>
          <w:color w:val="auto"/>
          <w:sz w:val="32"/>
          <w:szCs w:val="32"/>
        </w:rPr>
      </w:pPr>
      <w:r>
        <w:rPr>
          <w:rFonts w:hint="eastAsia" w:ascii="仿宋_GB2312" w:hAnsi="仿宋" w:eastAsia="仿宋_GB2312"/>
          <w:b/>
          <w:bCs/>
          <w:color w:val="auto"/>
          <w:sz w:val="32"/>
          <w:szCs w:val="32"/>
          <w:lang w:val="en-US" w:eastAsia="zh-CN"/>
        </w:rPr>
        <w:t>十、</w:t>
      </w:r>
      <w:r>
        <w:rPr>
          <w:rFonts w:hint="eastAsia" w:ascii="仿宋_GB2312" w:hAnsi="仿宋" w:eastAsia="仿宋_GB2312"/>
          <w:b/>
          <w:bCs/>
          <w:color w:val="auto"/>
          <w:sz w:val="32"/>
          <w:szCs w:val="32"/>
        </w:rPr>
        <w:t>技术规范</w:t>
      </w:r>
    </w:p>
    <w:p w14:paraId="1DEC670E">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本赛项的技术规范、专业知识和技术技能等包括：软件技术相关专业的教育教学要求、行业、职业技术标准，以及根据高职目录修订后的软件技术相关专业人才培养教学标准和规范，适时地修订本赛项遵循的技术规范。</w:t>
      </w:r>
    </w:p>
    <w:p w14:paraId="634AFD61">
      <w:pPr>
        <w:numPr>
          <w:ilvl w:val="0"/>
          <w:numId w:val="0"/>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bookmarkStart w:id="0" w:name="_Toc25780"/>
      <w:r>
        <w:rPr>
          <w:rFonts w:hint="eastAsia" w:ascii="Times New Roman" w:hAnsi="Times New Roman" w:eastAsia="仿宋_GB2312" w:cs="Times New Roman"/>
          <w:b/>
          <w:bCs/>
          <w:color w:val="auto"/>
          <w:kern w:val="2"/>
          <w:sz w:val="32"/>
          <w:szCs w:val="32"/>
          <w:lang w:val="en-US" w:eastAsia="zh-CN" w:bidi="ar-SA"/>
        </w:rPr>
        <w:t>（一）</w:t>
      </w:r>
      <w:r>
        <w:rPr>
          <w:rFonts w:hint="default" w:ascii="Times New Roman" w:hAnsi="Times New Roman" w:eastAsia="仿宋_GB2312" w:cs="Times New Roman"/>
          <w:b/>
          <w:bCs/>
          <w:color w:val="auto"/>
          <w:sz w:val="32"/>
          <w:szCs w:val="32"/>
          <w:highlight w:val="none"/>
          <w:lang w:val="en-US" w:eastAsia="zh-CN"/>
        </w:rPr>
        <w:t>教学标准</w:t>
      </w:r>
      <w:bookmarkEnd w:id="0"/>
    </w:p>
    <w:p w14:paraId="2EEC43A4">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表</w:t>
      </w:r>
      <w:r>
        <w:rPr>
          <w:rFonts w:hint="eastAsia" w:ascii="Times New Roman" w:hAnsi="Times New Roman" w:eastAsia="仿宋_GB2312" w:cs="Times New Roman"/>
          <w:b/>
          <w:bCs/>
          <w:color w:val="auto"/>
          <w:sz w:val="28"/>
          <w:szCs w:val="28"/>
          <w:lang w:val="en-US" w:eastAsia="zh-CN"/>
        </w:rPr>
        <w:t>5</w:t>
      </w:r>
      <w:r>
        <w:rPr>
          <w:rFonts w:hint="default" w:ascii="Times New Roman" w:hAnsi="Times New Roman" w:eastAsia="仿宋_GB2312" w:cs="Times New Roman"/>
          <w:b/>
          <w:bCs/>
          <w:color w:val="auto"/>
          <w:sz w:val="28"/>
          <w:szCs w:val="28"/>
          <w:lang w:val="en-US" w:eastAsia="zh-CN"/>
        </w:rPr>
        <w:t xml:space="preserve"> 教学标准一览表</w:t>
      </w:r>
    </w:p>
    <w:tbl>
      <w:tblPr>
        <w:tblStyle w:val="14"/>
        <w:tblW w:w="51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44"/>
        <w:gridCol w:w="6773"/>
      </w:tblGrid>
      <w:tr w14:paraId="76B0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42" w:type="pct"/>
            <w:noWrap/>
            <w:vAlign w:val="center"/>
          </w:tcPr>
          <w:p w14:paraId="34AE7DF6">
            <w:pPr>
              <w:spacing w:line="360" w:lineRule="auto"/>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序号</w:t>
            </w:r>
          </w:p>
        </w:tc>
        <w:tc>
          <w:tcPr>
            <w:tcW w:w="707" w:type="pct"/>
            <w:noWrap w:val="0"/>
            <w:vAlign w:val="center"/>
          </w:tcPr>
          <w:p w14:paraId="31C22D64">
            <w:pPr>
              <w:spacing w:line="360" w:lineRule="auto"/>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标准单位</w:t>
            </w:r>
          </w:p>
        </w:tc>
        <w:tc>
          <w:tcPr>
            <w:tcW w:w="3850" w:type="pct"/>
            <w:noWrap w:val="0"/>
            <w:vAlign w:val="center"/>
          </w:tcPr>
          <w:p w14:paraId="6E016E88">
            <w:pPr>
              <w:spacing w:line="360" w:lineRule="auto"/>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中文标准名称</w:t>
            </w:r>
          </w:p>
        </w:tc>
      </w:tr>
      <w:tr w14:paraId="517A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442" w:type="pct"/>
            <w:noWrap/>
            <w:vAlign w:val="center"/>
          </w:tcPr>
          <w:p w14:paraId="23AC31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w:t>
            </w:r>
          </w:p>
        </w:tc>
        <w:tc>
          <w:tcPr>
            <w:tcW w:w="707" w:type="pct"/>
            <w:noWrap/>
            <w:vAlign w:val="center"/>
          </w:tcPr>
          <w:p w14:paraId="030C6F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教育部</w:t>
            </w:r>
          </w:p>
        </w:tc>
        <w:tc>
          <w:tcPr>
            <w:tcW w:w="3850" w:type="pct"/>
            <w:noWrap/>
            <w:vAlign w:val="center"/>
          </w:tcPr>
          <w:p w14:paraId="70F533E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u w:val="none"/>
              </w:rPr>
              <w:t>高等职业教育专科专业简介</w:t>
            </w:r>
            <w:r>
              <w:rPr>
                <w:rFonts w:hint="default" w:ascii="Times New Roman" w:hAnsi="Times New Roman" w:eastAsia="仿宋_GB2312" w:cs="Times New Roman"/>
                <w:color w:val="auto"/>
                <w:sz w:val="24"/>
                <w:szCs w:val="24"/>
                <w:u w:val="none"/>
                <w:lang w:eastAsia="zh-CN"/>
              </w:rPr>
              <w:t>：</w:t>
            </w:r>
            <w:r>
              <w:rPr>
                <w:rFonts w:hint="default" w:ascii="Times New Roman" w:hAnsi="Times New Roman" w:eastAsia="仿宋_GB2312" w:cs="Times New Roman"/>
                <w:color w:val="auto"/>
                <w:sz w:val="24"/>
                <w:szCs w:val="24"/>
                <w:u w:val="none"/>
                <w:lang w:val="en-US" w:eastAsia="zh-CN"/>
              </w:rPr>
              <w:t>51电子与信息大类-5102</w:t>
            </w:r>
            <w:r>
              <w:rPr>
                <w:rFonts w:hint="default" w:ascii="Times New Roman" w:hAnsi="Times New Roman" w:eastAsia="仿宋_GB2312" w:cs="Times New Roman"/>
                <w:color w:val="auto"/>
                <w:sz w:val="24"/>
                <w:szCs w:val="24"/>
              </w:rPr>
              <w:t>计算机类</w:t>
            </w:r>
            <w:r>
              <w:rPr>
                <w:rFonts w:hint="default" w:ascii="Times New Roman" w:hAnsi="Times New Roman" w:eastAsia="仿宋_GB2312" w:cs="Times New Roman"/>
                <w:color w:val="auto"/>
                <w:sz w:val="24"/>
                <w:szCs w:val="24"/>
                <w:lang w:val="en-US" w:eastAsia="zh-CN"/>
              </w:rPr>
              <w:t>-</w:t>
            </w:r>
            <w:r>
              <w:rPr>
                <w:rFonts w:hint="default" w:ascii="Times New Roman" w:hAnsi="Times New Roman" w:eastAsia="仿宋_GB2312" w:cs="Times New Roman"/>
                <w:color w:val="auto"/>
                <w:sz w:val="24"/>
                <w:szCs w:val="24"/>
              </w:rPr>
              <w:t>510201计算机应用技术</w:t>
            </w:r>
          </w:p>
        </w:tc>
      </w:tr>
      <w:tr w14:paraId="09A3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442" w:type="pct"/>
            <w:noWrap/>
            <w:vAlign w:val="center"/>
          </w:tcPr>
          <w:p w14:paraId="7200CD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lang w:val="en-US" w:eastAsia="zh-CN"/>
              </w:rPr>
            </w:pPr>
            <w:bookmarkStart w:id="1" w:name="_Toc24039"/>
            <w:r>
              <w:rPr>
                <w:rFonts w:hint="default" w:ascii="Times New Roman" w:hAnsi="Times New Roman" w:eastAsia="仿宋_GB2312" w:cs="Times New Roman"/>
                <w:color w:val="auto"/>
                <w:sz w:val="24"/>
                <w:szCs w:val="24"/>
                <w:lang w:val="en-US" w:eastAsia="zh-CN"/>
              </w:rPr>
              <w:t>2</w:t>
            </w:r>
          </w:p>
        </w:tc>
        <w:tc>
          <w:tcPr>
            <w:tcW w:w="707" w:type="pct"/>
            <w:noWrap/>
            <w:vAlign w:val="center"/>
          </w:tcPr>
          <w:p w14:paraId="4A270C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教育部</w:t>
            </w:r>
          </w:p>
        </w:tc>
        <w:tc>
          <w:tcPr>
            <w:tcW w:w="3850" w:type="pct"/>
            <w:noWrap/>
            <w:vAlign w:val="center"/>
          </w:tcPr>
          <w:p w14:paraId="50134B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u w:val="none"/>
              </w:rPr>
              <w:t>高等职业教育专科专业简介</w:t>
            </w:r>
            <w:r>
              <w:rPr>
                <w:rFonts w:hint="default" w:ascii="Times New Roman" w:hAnsi="Times New Roman" w:eastAsia="仿宋_GB2312" w:cs="Times New Roman"/>
                <w:color w:val="auto"/>
                <w:sz w:val="24"/>
                <w:szCs w:val="24"/>
                <w:u w:val="none"/>
                <w:lang w:eastAsia="zh-CN"/>
              </w:rPr>
              <w:t>：</w:t>
            </w:r>
            <w:r>
              <w:rPr>
                <w:rFonts w:hint="default" w:ascii="Times New Roman" w:hAnsi="Times New Roman" w:eastAsia="仿宋_GB2312" w:cs="Times New Roman"/>
                <w:color w:val="auto"/>
                <w:sz w:val="24"/>
                <w:szCs w:val="24"/>
                <w:u w:val="none"/>
                <w:lang w:val="en-US" w:eastAsia="zh-CN"/>
              </w:rPr>
              <w:t>51电子与信息大类-5102</w:t>
            </w:r>
            <w:r>
              <w:rPr>
                <w:rFonts w:hint="default" w:ascii="Times New Roman" w:hAnsi="Times New Roman" w:eastAsia="仿宋_GB2312" w:cs="Times New Roman"/>
                <w:color w:val="auto"/>
                <w:sz w:val="24"/>
                <w:szCs w:val="24"/>
              </w:rPr>
              <w:t>计算机类</w:t>
            </w:r>
            <w:r>
              <w:rPr>
                <w:rFonts w:hint="default" w:ascii="Times New Roman" w:hAnsi="Times New Roman" w:eastAsia="仿宋_GB2312" w:cs="Times New Roman"/>
                <w:color w:val="auto"/>
                <w:sz w:val="24"/>
                <w:szCs w:val="24"/>
                <w:lang w:val="en-US" w:eastAsia="zh-CN"/>
              </w:rPr>
              <w:t>-</w:t>
            </w:r>
            <w:r>
              <w:rPr>
                <w:rFonts w:hint="default" w:ascii="Times New Roman" w:hAnsi="Times New Roman" w:eastAsia="仿宋_GB2312" w:cs="Times New Roman"/>
                <w:color w:val="auto"/>
                <w:sz w:val="24"/>
                <w:szCs w:val="24"/>
              </w:rPr>
              <w:t>510203软件技术</w:t>
            </w:r>
          </w:p>
        </w:tc>
      </w:tr>
    </w:tbl>
    <w:p w14:paraId="7048E024">
      <w:pPr>
        <w:numPr>
          <w:ilvl w:val="0"/>
          <w:numId w:val="0"/>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kern w:val="2"/>
          <w:sz w:val="32"/>
          <w:szCs w:val="32"/>
          <w:lang w:val="en-US" w:eastAsia="zh-CN" w:bidi="ar-SA"/>
        </w:rPr>
        <w:t>（二）</w:t>
      </w:r>
      <w:r>
        <w:rPr>
          <w:rFonts w:hint="default" w:ascii="Times New Roman" w:hAnsi="Times New Roman" w:eastAsia="仿宋_GB2312" w:cs="Times New Roman"/>
          <w:b/>
          <w:bCs/>
          <w:color w:val="auto"/>
          <w:sz w:val="32"/>
          <w:szCs w:val="32"/>
          <w:highlight w:val="none"/>
          <w:lang w:val="en-US" w:eastAsia="zh-CN"/>
        </w:rPr>
        <w:t>行业标准</w:t>
      </w:r>
      <w:bookmarkEnd w:id="1"/>
    </w:p>
    <w:p w14:paraId="45CEC317">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表</w:t>
      </w:r>
      <w:r>
        <w:rPr>
          <w:rFonts w:hint="eastAsia" w:ascii="Times New Roman" w:hAnsi="Times New Roman" w:eastAsia="仿宋_GB2312" w:cs="Times New Roman"/>
          <w:b/>
          <w:bCs/>
          <w:color w:val="auto"/>
          <w:sz w:val="28"/>
          <w:szCs w:val="28"/>
          <w:lang w:val="en-US" w:eastAsia="zh-CN"/>
        </w:rPr>
        <w:t>6</w:t>
      </w:r>
      <w:r>
        <w:rPr>
          <w:rFonts w:hint="default" w:ascii="Times New Roman" w:hAnsi="Times New Roman" w:eastAsia="仿宋_GB2312" w:cs="Times New Roman"/>
          <w:b/>
          <w:bCs/>
          <w:color w:val="auto"/>
          <w:sz w:val="28"/>
          <w:szCs w:val="28"/>
          <w:lang w:val="en-US" w:eastAsia="zh-CN"/>
        </w:rPr>
        <w:t xml:space="preserve"> 行业标准一览表</w:t>
      </w:r>
    </w:p>
    <w:tbl>
      <w:tblPr>
        <w:tblStyle w:val="14"/>
        <w:tblW w:w="8824" w:type="dxa"/>
        <w:jc w:val="center"/>
        <w:tblLayout w:type="fixed"/>
        <w:tblCellMar>
          <w:top w:w="0" w:type="dxa"/>
          <w:left w:w="0" w:type="dxa"/>
          <w:bottom w:w="0" w:type="dxa"/>
          <w:right w:w="0" w:type="dxa"/>
        </w:tblCellMar>
      </w:tblPr>
      <w:tblGrid>
        <w:gridCol w:w="780"/>
        <w:gridCol w:w="2253"/>
        <w:gridCol w:w="5791"/>
      </w:tblGrid>
      <w:tr w14:paraId="49A45FA5">
        <w:tblPrEx>
          <w:tblCellMar>
            <w:top w:w="0" w:type="dxa"/>
            <w:left w:w="0" w:type="dxa"/>
            <w:bottom w:w="0" w:type="dxa"/>
            <w:right w:w="0" w:type="dxa"/>
          </w:tblCellMar>
        </w:tblPrEx>
        <w:trPr>
          <w:trHeight w:val="324" w:hRule="atLeast"/>
          <w:tblHeader/>
          <w:jc w:val="center"/>
        </w:trPr>
        <w:tc>
          <w:tcPr>
            <w:tcW w:w="780" w:type="dxa"/>
            <w:tcBorders>
              <w:top w:val="single" w:color="auto" w:sz="4" w:space="0"/>
              <w:left w:val="single" w:color="auto" w:sz="4" w:space="0"/>
              <w:bottom w:val="single" w:color="auto" w:sz="4" w:space="0"/>
              <w:right w:val="single" w:color="auto" w:sz="4" w:space="0"/>
            </w:tcBorders>
            <w:noWrap/>
            <w:vAlign w:val="center"/>
          </w:tcPr>
          <w:p w14:paraId="7D2E15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序号</w:t>
            </w:r>
          </w:p>
        </w:tc>
        <w:tc>
          <w:tcPr>
            <w:tcW w:w="2253" w:type="dxa"/>
            <w:tcBorders>
              <w:top w:val="single" w:color="auto" w:sz="4" w:space="0"/>
              <w:left w:val="nil"/>
              <w:bottom w:val="single" w:color="auto" w:sz="4" w:space="0"/>
              <w:right w:val="single" w:color="auto" w:sz="4" w:space="0"/>
            </w:tcBorders>
            <w:noWrap w:val="0"/>
            <w:vAlign w:val="center"/>
          </w:tcPr>
          <w:p w14:paraId="28F14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标准号</w:t>
            </w:r>
          </w:p>
        </w:tc>
        <w:tc>
          <w:tcPr>
            <w:tcW w:w="5791" w:type="dxa"/>
            <w:tcBorders>
              <w:top w:val="single" w:color="auto" w:sz="4" w:space="0"/>
              <w:left w:val="nil"/>
              <w:bottom w:val="single" w:color="auto" w:sz="4" w:space="0"/>
              <w:right w:val="single" w:color="auto" w:sz="4" w:space="0"/>
            </w:tcBorders>
            <w:noWrap w:val="0"/>
            <w:vAlign w:val="center"/>
          </w:tcPr>
          <w:p w14:paraId="7EF0389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中文标准名称</w:t>
            </w:r>
          </w:p>
        </w:tc>
      </w:tr>
      <w:tr w14:paraId="0CA02D97">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2F5429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w:t>
            </w:r>
          </w:p>
        </w:tc>
        <w:tc>
          <w:tcPr>
            <w:tcW w:w="2253" w:type="dxa"/>
            <w:tcBorders>
              <w:top w:val="nil"/>
              <w:left w:val="nil"/>
              <w:bottom w:val="single" w:color="auto" w:sz="4" w:space="0"/>
              <w:right w:val="single" w:color="auto" w:sz="4" w:space="0"/>
            </w:tcBorders>
            <w:noWrap/>
            <w:vAlign w:val="center"/>
          </w:tcPr>
          <w:p w14:paraId="6B080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"http://www.csres.com/detail/264754.html"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DB21/T 2347.3-2014</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6C7F1F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信息技术行业职业技能 第3部分：软件开发</w:t>
            </w:r>
          </w:p>
        </w:tc>
      </w:tr>
      <w:tr w14:paraId="4F89CFFD">
        <w:tblPrEx>
          <w:tblCellMar>
            <w:top w:w="0" w:type="dxa"/>
            <w:left w:w="0" w:type="dxa"/>
            <w:bottom w:w="0" w:type="dxa"/>
            <w:right w:w="0" w:type="dxa"/>
          </w:tblCellMar>
        </w:tblPrEx>
        <w:trPr>
          <w:trHeight w:val="786" w:hRule="atLeast"/>
          <w:jc w:val="center"/>
        </w:trPr>
        <w:tc>
          <w:tcPr>
            <w:tcW w:w="780" w:type="dxa"/>
            <w:tcBorders>
              <w:top w:val="nil"/>
              <w:left w:val="single" w:color="auto" w:sz="4" w:space="0"/>
              <w:bottom w:val="single" w:color="auto" w:sz="4" w:space="0"/>
              <w:right w:val="single" w:color="auto" w:sz="4" w:space="0"/>
            </w:tcBorders>
            <w:noWrap/>
            <w:vAlign w:val="center"/>
          </w:tcPr>
          <w:p w14:paraId="483D39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w:t>
            </w:r>
          </w:p>
        </w:tc>
        <w:tc>
          <w:tcPr>
            <w:tcW w:w="2253" w:type="dxa"/>
            <w:tcBorders>
              <w:top w:val="nil"/>
              <w:left w:val="nil"/>
              <w:bottom w:val="single" w:color="auto" w:sz="4" w:space="0"/>
              <w:right w:val="single" w:color="auto" w:sz="4" w:space="0"/>
            </w:tcBorders>
            <w:noWrap/>
            <w:vAlign w:val="center"/>
          </w:tcPr>
          <w:p w14:paraId="4589CD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38557.1—2020</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2594B4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系统与软件工程 接口和数据交换 第1部分：企业资源计划系统与制造执行系统的接口规范</w:t>
            </w:r>
            <w:r>
              <w:rPr>
                <w:rFonts w:hint="default" w:ascii="Times New Roman" w:hAnsi="Times New Roman" w:eastAsia="仿宋_GB2312" w:cs="Times New Roman"/>
                <w:color w:val="auto"/>
                <w:sz w:val="24"/>
                <w:szCs w:val="24"/>
              </w:rPr>
              <w:fldChar w:fldCharType="end"/>
            </w:r>
          </w:p>
        </w:tc>
      </w:tr>
      <w:tr w14:paraId="3D9E6258">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5440DE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w:t>
            </w:r>
          </w:p>
        </w:tc>
        <w:tc>
          <w:tcPr>
            <w:tcW w:w="2253" w:type="dxa"/>
            <w:tcBorders>
              <w:top w:val="nil"/>
              <w:left w:val="nil"/>
              <w:bottom w:val="single" w:color="auto" w:sz="4" w:space="0"/>
              <w:right w:val="single" w:color="auto" w:sz="4" w:space="0"/>
            </w:tcBorders>
            <w:noWrap/>
            <w:vAlign w:val="center"/>
          </w:tcPr>
          <w:p w14:paraId="61B905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"http://www.csres.com/detail/102355.html"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SJ/T 10367-1993</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39E0C6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计算机过程控制软件开发规程</w:t>
            </w:r>
          </w:p>
        </w:tc>
      </w:tr>
      <w:tr w14:paraId="185F6956">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00E3AD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4</w:t>
            </w:r>
          </w:p>
        </w:tc>
        <w:tc>
          <w:tcPr>
            <w:tcW w:w="2253" w:type="dxa"/>
            <w:tcBorders>
              <w:top w:val="nil"/>
              <w:left w:val="nil"/>
              <w:bottom w:val="single" w:color="auto" w:sz="4" w:space="0"/>
              <w:right w:val="single" w:color="auto" w:sz="4" w:space="0"/>
            </w:tcBorders>
            <w:noWrap/>
            <w:vAlign w:val="center"/>
          </w:tcPr>
          <w:p w14:paraId="30693A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"http://www.csres.com/detail/315691.html"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36475-2018</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32753C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软件产品分类</w:t>
            </w:r>
          </w:p>
        </w:tc>
      </w:tr>
      <w:tr w14:paraId="2E1F7AC6">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4EEECA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5</w:t>
            </w:r>
          </w:p>
        </w:tc>
        <w:tc>
          <w:tcPr>
            <w:tcW w:w="2253" w:type="dxa"/>
            <w:tcBorders>
              <w:top w:val="nil"/>
              <w:left w:val="nil"/>
              <w:bottom w:val="single" w:color="auto" w:sz="4" w:space="0"/>
              <w:right w:val="single" w:color="auto" w:sz="4" w:space="0"/>
            </w:tcBorders>
            <w:noWrap/>
            <w:vAlign w:val="center"/>
          </w:tcPr>
          <w:p w14:paraId="7E6F17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"http://www.csres.com/detail/323663.html"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36964-2018</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0C9A73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软件工程 软件开发成本度量规范</w:t>
            </w:r>
          </w:p>
        </w:tc>
      </w:tr>
      <w:tr w14:paraId="1A962E29">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4C5582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6</w:t>
            </w:r>
          </w:p>
        </w:tc>
        <w:tc>
          <w:tcPr>
            <w:tcW w:w="2253" w:type="dxa"/>
            <w:tcBorders>
              <w:top w:val="nil"/>
              <w:left w:val="nil"/>
              <w:bottom w:val="single" w:color="auto" w:sz="4" w:space="0"/>
              <w:right w:val="single" w:color="auto" w:sz="4" w:space="0"/>
            </w:tcBorders>
            <w:noWrap/>
            <w:vAlign w:val="center"/>
          </w:tcPr>
          <w:p w14:paraId="656268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"http://www.csres.com/detail/332747.html"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37691-2019 </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38D346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"http://www.csres.com/detail/332747.html"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可编程逻辑器件软件安全性设计指南</w:t>
            </w:r>
            <w:r>
              <w:rPr>
                <w:rFonts w:hint="default" w:ascii="Times New Roman" w:hAnsi="Times New Roman" w:eastAsia="仿宋_GB2312" w:cs="Times New Roman"/>
                <w:color w:val="auto"/>
                <w:sz w:val="24"/>
                <w:szCs w:val="24"/>
              </w:rPr>
              <w:fldChar w:fldCharType="end"/>
            </w:r>
          </w:p>
        </w:tc>
      </w:tr>
      <w:tr w14:paraId="05915A56">
        <w:tblPrEx>
          <w:tblCellMar>
            <w:top w:w="0" w:type="dxa"/>
            <w:left w:w="0" w:type="dxa"/>
            <w:bottom w:w="0" w:type="dxa"/>
            <w:right w:w="0" w:type="dxa"/>
          </w:tblCellMar>
        </w:tblPrEx>
        <w:trPr>
          <w:trHeight w:val="90" w:hRule="atLeast"/>
          <w:jc w:val="center"/>
        </w:trPr>
        <w:tc>
          <w:tcPr>
            <w:tcW w:w="780" w:type="dxa"/>
            <w:tcBorders>
              <w:top w:val="nil"/>
              <w:left w:val="single" w:color="auto" w:sz="4" w:space="0"/>
              <w:bottom w:val="single" w:color="auto" w:sz="4" w:space="0"/>
              <w:right w:val="single" w:color="auto" w:sz="4" w:space="0"/>
            </w:tcBorders>
            <w:noWrap/>
            <w:vAlign w:val="center"/>
          </w:tcPr>
          <w:p w14:paraId="5B8241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7</w:t>
            </w:r>
          </w:p>
        </w:tc>
        <w:tc>
          <w:tcPr>
            <w:tcW w:w="2253" w:type="dxa"/>
            <w:tcBorders>
              <w:top w:val="nil"/>
              <w:left w:val="nil"/>
              <w:bottom w:val="single" w:color="auto" w:sz="4" w:space="0"/>
              <w:right w:val="single" w:color="auto" w:sz="4" w:space="0"/>
            </w:tcBorders>
            <w:noWrap/>
            <w:vAlign w:val="center"/>
          </w:tcPr>
          <w:p w14:paraId="58CDB4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"http://www.csres.com/detail/323751.html"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25000.2-2018</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7E6B61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"http://www.csres.com/detail/323751.html"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系统与软件工程 系统与软件质量要求和评价（SQuaRE） 第2部分</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计划与管理</w:t>
            </w:r>
            <w:r>
              <w:rPr>
                <w:rFonts w:hint="default" w:ascii="Times New Roman" w:hAnsi="Times New Roman" w:eastAsia="仿宋_GB2312" w:cs="Times New Roman"/>
                <w:color w:val="auto"/>
                <w:sz w:val="24"/>
                <w:szCs w:val="24"/>
              </w:rPr>
              <w:fldChar w:fldCharType="end"/>
            </w:r>
          </w:p>
        </w:tc>
      </w:tr>
      <w:tr w14:paraId="31EB06F4">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62D07B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8</w:t>
            </w:r>
          </w:p>
        </w:tc>
        <w:tc>
          <w:tcPr>
            <w:tcW w:w="2253" w:type="dxa"/>
            <w:tcBorders>
              <w:top w:val="nil"/>
              <w:left w:val="nil"/>
              <w:bottom w:val="single" w:color="auto" w:sz="4" w:space="0"/>
              <w:right w:val="single" w:color="auto" w:sz="4" w:space="0"/>
            </w:tcBorders>
            <w:noWrap/>
            <w:vAlign w:val="center"/>
          </w:tcPr>
          <w:p w14:paraId="4E33F5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GB/T 28174.1-2011</w:t>
            </w:r>
          </w:p>
        </w:tc>
        <w:tc>
          <w:tcPr>
            <w:tcW w:w="5791" w:type="dxa"/>
            <w:tcBorders>
              <w:top w:val="nil"/>
              <w:left w:val="nil"/>
              <w:bottom w:val="single" w:color="auto" w:sz="4" w:space="0"/>
              <w:right w:val="single" w:color="auto" w:sz="4" w:space="0"/>
            </w:tcBorders>
            <w:noWrap/>
            <w:vAlign w:val="center"/>
          </w:tcPr>
          <w:p w14:paraId="304C0E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统一建模语言(UML) 第1部分：基础结构</w:t>
            </w:r>
          </w:p>
        </w:tc>
      </w:tr>
      <w:tr w14:paraId="6BED009A">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51676E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w:t>
            </w:r>
          </w:p>
        </w:tc>
        <w:tc>
          <w:tcPr>
            <w:tcW w:w="2253" w:type="dxa"/>
            <w:tcBorders>
              <w:top w:val="nil"/>
              <w:left w:val="nil"/>
              <w:bottom w:val="single" w:color="auto" w:sz="4" w:space="0"/>
              <w:right w:val="single" w:color="auto" w:sz="4" w:space="0"/>
            </w:tcBorders>
            <w:noWrap/>
            <w:vAlign w:val="center"/>
          </w:tcPr>
          <w:p w14:paraId="1C74A2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"http://www.csres.com/detail/60663.html"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11457-2006</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3D009B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信息技术 软件工程术语</w:t>
            </w:r>
          </w:p>
        </w:tc>
      </w:tr>
      <w:tr w14:paraId="39C07567">
        <w:tblPrEx>
          <w:tblCellMar>
            <w:top w:w="0" w:type="dxa"/>
            <w:left w:w="0" w:type="dxa"/>
            <w:bottom w:w="0" w:type="dxa"/>
            <w:right w:w="0" w:type="dxa"/>
          </w:tblCellMar>
        </w:tblPrEx>
        <w:trPr>
          <w:trHeight w:val="417" w:hRule="atLeast"/>
          <w:jc w:val="center"/>
        </w:trPr>
        <w:tc>
          <w:tcPr>
            <w:tcW w:w="780" w:type="dxa"/>
            <w:tcBorders>
              <w:top w:val="single" w:color="auto" w:sz="4" w:space="0"/>
              <w:left w:val="single" w:color="auto" w:sz="4" w:space="0"/>
              <w:bottom w:val="single" w:color="auto" w:sz="4" w:space="0"/>
              <w:right w:val="single" w:color="auto" w:sz="4" w:space="0"/>
            </w:tcBorders>
            <w:noWrap/>
            <w:vAlign w:val="center"/>
          </w:tcPr>
          <w:p w14:paraId="64F96A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10</w:t>
            </w:r>
          </w:p>
        </w:tc>
        <w:tc>
          <w:tcPr>
            <w:tcW w:w="2253" w:type="dxa"/>
            <w:tcBorders>
              <w:top w:val="single" w:color="auto" w:sz="4" w:space="0"/>
              <w:left w:val="single" w:color="auto" w:sz="4" w:space="0"/>
              <w:bottom w:val="single" w:color="auto" w:sz="4" w:space="0"/>
              <w:right w:val="single" w:color="auto" w:sz="4" w:space="0"/>
            </w:tcBorders>
            <w:noWrap/>
            <w:vAlign w:val="center"/>
          </w:tcPr>
          <w:p w14:paraId="49C896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"http://www.csres.com/detail/279292.html"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32421-2015</w:t>
            </w:r>
            <w:r>
              <w:rPr>
                <w:rFonts w:hint="default" w:ascii="Times New Roman" w:hAnsi="Times New Roman" w:eastAsia="仿宋_GB2312" w:cs="Times New Roman"/>
                <w:color w:val="auto"/>
                <w:sz w:val="24"/>
                <w:szCs w:val="24"/>
              </w:rPr>
              <w:fldChar w:fldCharType="end"/>
            </w:r>
          </w:p>
        </w:tc>
        <w:tc>
          <w:tcPr>
            <w:tcW w:w="5791" w:type="dxa"/>
            <w:tcBorders>
              <w:top w:val="single" w:color="auto" w:sz="4" w:space="0"/>
              <w:left w:val="single" w:color="auto" w:sz="4" w:space="0"/>
              <w:bottom w:val="single" w:color="auto" w:sz="4" w:space="0"/>
              <w:right w:val="single" w:color="auto" w:sz="4" w:space="0"/>
            </w:tcBorders>
            <w:noWrap/>
            <w:vAlign w:val="center"/>
          </w:tcPr>
          <w:p w14:paraId="169C07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"http://www.csres.com/detail/279292.html"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软件工程 软件评审与审核</w:t>
            </w:r>
            <w:r>
              <w:rPr>
                <w:rFonts w:hint="default" w:ascii="Times New Roman" w:hAnsi="Times New Roman" w:eastAsia="仿宋_GB2312" w:cs="Times New Roman"/>
                <w:color w:val="auto"/>
                <w:sz w:val="24"/>
                <w:szCs w:val="24"/>
              </w:rPr>
              <w:fldChar w:fldCharType="end"/>
            </w:r>
          </w:p>
        </w:tc>
      </w:tr>
      <w:tr w14:paraId="1ADC60E4">
        <w:tblPrEx>
          <w:tblCellMar>
            <w:top w:w="0" w:type="dxa"/>
            <w:left w:w="0" w:type="dxa"/>
            <w:bottom w:w="0" w:type="dxa"/>
            <w:right w:w="0" w:type="dxa"/>
          </w:tblCellMar>
        </w:tblPrEx>
        <w:trPr>
          <w:trHeight w:val="435" w:hRule="atLeast"/>
          <w:jc w:val="center"/>
        </w:trPr>
        <w:tc>
          <w:tcPr>
            <w:tcW w:w="780" w:type="dxa"/>
            <w:tcBorders>
              <w:top w:val="single" w:color="auto" w:sz="4" w:space="0"/>
              <w:left w:val="single" w:color="auto" w:sz="4" w:space="0"/>
              <w:bottom w:val="single" w:color="auto" w:sz="4" w:space="0"/>
              <w:right w:val="single" w:color="auto" w:sz="4" w:space="0"/>
            </w:tcBorders>
            <w:noWrap/>
            <w:vAlign w:val="center"/>
          </w:tcPr>
          <w:p w14:paraId="49F401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11</w:t>
            </w:r>
          </w:p>
        </w:tc>
        <w:tc>
          <w:tcPr>
            <w:tcW w:w="2253" w:type="dxa"/>
            <w:tcBorders>
              <w:top w:val="single" w:color="auto" w:sz="4" w:space="0"/>
              <w:left w:val="single" w:color="auto" w:sz="4" w:space="0"/>
              <w:bottom w:val="single" w:color="auto" w:sz="4" w:space="0"/>
              <w:right w:val="single" w:color="auto" w:sz="4" w:space="0"/>
            </w:tcBorders>
            <w:noWrap/>
            <w:vAlign w:val="center"/>
          </w:tcPr>
          <w:p w14:paraId="69CBDF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GB/T 38634.1-2020</w:t>
            </w:r>
          </w:p>
        </w:tc>
        <w:tc>
          <w:tcPr>
            <w:tcW w:w="5791" w:type="dxa"/>
            <w:tcBorders>
              <w:top w:val="single" w:color="auto" w:sz="4" w:space="0"/>
              <w:left w:val="single" w:color="auto" w:sz="4" w:space="0"/>
              <w:bottom w:val="single" w:color="auto" w:sz="4" w:space="0"/>
              <w:right w:val="single" w:color="auto" w:sz="4" w:space="0"/>
            </w:tcBorders>
            <w:noWrap/>
            <w:vAlign w:val="center"/>
          </w:tcPr>
          <w:p w14:paraId="630679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系统与软件工程 软件测试 第1部分：概念和定义</w:t>
            </w:r>
          </w:p>
        </w:tc>
      </w:tr>
      <w:tr w14:paraId="26DE47B0">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1D6225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12</w:t>
            </w:r>
          </w:p>
        </w:tc>
        <w:tc>
          <w:tcPr>
            <w:tcW w:w="2253" w:type="dxa"/>
            <w:tcBorders>
              <w:top w:val="nil"/>
              <w:left w:val="nil"/>
              <w:bottom w:val="single" w:color="auto" w:sz="4" w:space="0"/>
              <w:right w:val="single" w:color="auto" w:sz="4" w:space="0"/>
            </w:tcBorders>
            <w:noWrap/>
            <w:vAlign w:val="center"/>
          </w:tcPr>
          <w:p w14:paraId="461BD9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"http://www.csres.com/detail/279294.html" \t "_blank"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32423-2015</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342481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系统与软件工程 验证与确认</w:t>
            </w:r>
          </w:p>
        </w:tc>
      </w:tr>
      <w:tr w14:paraId="368A02A9">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57133B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13</w:t>
            </w:r>
          </w:p>
        </w:tc>
        <w:tc>
          <w:tcPr>
            <w:tcW w:w="2253" w:type="dxa"/>
            <w:tcBorders>
              <w:top w:val="nil"/>
              <w:left w:val="nil"/>
              <w:bottom w:val="single" w:color="auto" w:sz="4" w:space="0"/>
              <w:right w:val="single" w:color="auto" w:sz="4" w:space="0"/>
            </w:tcBorders>
            <w:noWrap/>
            <w:vAlign w:val="center"/>
          </w:tcPr>
          <w:p w14:paraId="7B4079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32424—2015</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343F82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系统与软件工程 用户文档的设计者和开发者要求</w:t>
            </w:r>
            <w:r>
              <w:rPr>
                <w:rFonts w:hint="default" w:ascii="Times New Roman" w:hAnsi="Times New Roman" w:eastAsia="仿宋_GB2312" w:cs="Times New Roman"/>
                <w:color w:val="auto"/>
                <w:sz w:val="24"/>
                <w:szCs w:val="24"/>
              </w:rPr>
              <w:fldChar w:fldCharType="end"/>
            </w:r>
          </w:p>
        </w:tc>
      </w:tr>
      <w:tr w14:paraId="5B3D2D91">
        <w:tblPrEx>
          <w:tblCellMar>
            <w:top w:w="0" w:type="dxa"/>
            <w:left w:w="0" w:type="dxa"/>
            <w:bottom w:w="0" w:type="dxa"/>
            <w:right w:w="0" w:type="dxa"/>
          </w:tblCellMar>
        </w:tblPrEx>
        <w:trPr>
          <w:trHeight w:val="575" w:hRule="atLeast"/>
          <w:jc w:val="center"/>
        </w:trPr>
        <w:tc>
          <w:tcPr>
            <w:tcW w:w="780" w:type="dxa"/>
            <w:tcBorders>
              <w:top w:val="nil"/>
              <w:left w:val="single" w:color="auto" w:sz="4" w:space="0"/>
              <w:bottom w:val="single" w:color="auto" w:sz="4" w:space="0"/>
              <w:right w:val="single" w:color="auto" w:sz="4" w:space="0"/>
            </w:tcBorders>
            <w:noWrap/>
            <w:vAlign w:val="center"/>
          </w:tcPr>
          <w:p w14:paraId="201739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14</w:t>
            </w:r>
          </w:p>
        </w:tc>
        <w:tc>
          <w:tcPr>
            <w:tcW w:w="2253" w:type="dxa"/>
            <w:tcBorders>
              <w:top w:val="nil"/>
              <w:left w:val="nil"/>
              <w:bottom w:val="single" w:color="auto" w:sz="4" w:space="0"/>
              <w:right w:val="single" w:color="auto" w:sz="4" w:space="0"/>
            </w:tcBorders>
            <w:noWrap/>
            <w:vAlign w:val="center"/>
          </w:tcPr>
          <w:p w14:paraId="45F783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30999—2014</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611AFA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系统和软件工程 生存周期管理 过程描述指南</w:t>
            </w:r>
            <w:r>
              <w:rPr>
                <w:rFonts w:hint="default" w:ascii="Times New Roman" w:hAnsi="Times New Roman" w:eastAsia="仿宋_GB2312" w:cs="Times New Roman"/>
                <w:color w:val="auto"/>
                <w:sz w:val="24"/>
                <w:szCs w:val="24"/>
              </w:rPr>
              <w:fldChar w:fldCharType="end"/>
            </w:r>
          </w:p>
        </w:tc>
      </w:tr>
      <w:tr w14:paraId="43BB12D0">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00D188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15</w:t>
            </w:r>
          </w:p>
        </w:tc>
        <w:tc>
          <w:tcPr>
            <w:tcW w:w="2253" w:type="dxa"/>
            <w:tcBorders>
              <w:top w:val="nil"/>
              <w:left w:val="nil"/>
              <w:bottom w:val="single" w:color="auto" w:sz="4" w:space="0"/>
              <w:right w:val="single" w:color="auto" w:sz="4" w:space="0"/>
            </w:tcBorders>
            <w:noWrap/>
            <w:vAlign w:val="center"/>
          </w:tcPr>
          <w:p w14:paraId="27CE73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30971—2014</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78217A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软件工程 用于互联网的推荐实践 网站工程、网站管理和网站生存周期</w:t>
            </w:r>
            <w:r>
              <w:rPr>
                <w:rFonts w:hint="default" w:ascii="Times New Roman" w:hAnsi="Times New Roman" w:eastAsia="仿宋_GB2312" w:cs="Times New Roman"/>
                <w:color w:val="auto"/>
                <w:sz w:val="24"/>
                <w:szCs w:val="24"/>
              </w:rPr>
              <w:fldChar w:fldCharType="end"/>
            </w:r>
          </w:p>
        </w:tc>
      </w:tr>
      <w:tr w14:paraId="19695915">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4502AD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16</w:t>
            </w:r>
          </w:p>
        </w:tc>
        <w:tc>
          <w:tcPr>
            <w:tcW w:w="2253" w:type="dxa"/>
            <w:tcBorders>
              <w:top w:val="nil"/>
              <w:left w:val="nil"/>
              <w:bottom w:val="single" w:color="auto" w:sz="4" w:space="0"/>
              <w:right w:val="single" w:color="auto" w:sz="4" w:space="0"/>
            </w:tcBorders>
            <w:noWrap/>
            <w:vAlign w:val="center"/>
          </w:tcPr>
          <w:p w14:paraId="046C4E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26239—2010</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481BC1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软件工程</w:t>
            </w:r>
            <w:r>
              <w:rPr>
                <w:rFonts w:hint="default" w:ascii="Times New Roman" w:hAnsi="Times New Roman" w:eastAsia="仿宋_GB2312" w:cs="Times New Roman"/>
                <w:color w:val="auto"/>
                <w:sz w:val="24"/>
                <w:szCs w:val="24"/>
                <w:lang w:val="en-US" w:eastAsia="zh-CN"/>
              </w:rPr>
              <w:t xml:space="preserve"> </w:t>
            </w:r>
            <w:r>
              <w:rPr>
                <w:rFonts w:hint="default" w:ascii="Times New Roman" w:hAnsi="Times New Roman" w:eastAsia="仿宋_GB2312" w:cs="Times New Roman"/>
                <w:color w:val="auto"/>
                <w:sz w:val="24"/>
                <w:szCs w:val="24"/>
              </w:rPr>
              <w:t>开发方法元模型</w:t>
            </w:r>
            <w:r>
              <w:rPr>
                <w:rFonts w:hint="default" w:ascii="Times New Roman" w:hAnsi="Times New Roman" w:eastAsia="仿宋_GB2312" w:cs="Times New Roman"/>
                <w:color w:val="auto"/>
                <w:sz w:val="24"/>
                <w:szCs w:val="24"/>
              </w:rPr>
              <w:fldChar w:fldCharType="end"/>
            </w:r>
          </w:p>
        </w:tc>
      </w:tr>
      <w:tr w14:paraId="3E8694D2">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719F46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17</w:t>
            </w:r>
          </w:p>
        </w:tc>
        <w:tc>
          <w:tcPr>
            <w:tcW w:w="2253" w:type="dxa"/>
            <w:tcBorders>
              <w:top w:val="nil"/>
              <w:left w:val="nil"/>
              <w:bottom w:val="single" w:color="auto" w:sz="4" w:space="0"/>
              <w:right w:val="single" w:color="auto" w:sz="4" w:space="0"/>
            </w:tcBorders>
            <w:noWrap/>
            <w:vAlign w:val="center"/>
          </w:tcPr>
          <w:p w14:paraId="6FF8E2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GB/T 22032—2021</w:t>
            </w:r>
            <w:r>
              <w:rPr>
                <w:rFonts w:hint="default" w:ascii="Times New Roman" w:hAnsi="Times New Roman" w:eastAsia="仿宋_GB2312" w:cs="Times New Roman"/>
                <w:color w:val="auto"/>
                <w:sz w:val="24"/>
                <w:szCs w:val="24"/>
              </w:rPr>
              <w:fldChar w:fldCharType="end"/>
            </w:r>
          </w:p>
        </w:tc>
        <w:tc>
          <w:tcPr>
            <w:tcW w:w="5791" w:type="dxa"/>
            <w:tcBorders>
              <w:top w:val="nil"/>
              <w:left w:val="nil"/>
              <w:bottom w:val="single" w:color="auto" w:sz="4" w:space="0"/>
              <w:right w:val="single" w:color="auto" w:sz="4" w:space="0"/>
            </w:tcBorders>
            <w:noWrap/>
            <w:vAlign w:val="center"/>
          </w:tcPr>
          <w:p w14:paraId="62055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"https://openstd.samr.gov.cn/bzgk/gb/javascript:void(0)" \o "https://openstd.samr.gov.cn/bzgk/gb/javascript:void(0)"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系统与软件工程 系统生存周期过程</w:t>
            </w:r>
            <w:r>
              <w:rPr>
                <w:rFonts w:hint="default" w:ascii="Times New Roman" w:hAnsi="Times New Roman" w:eastAsia="仿宋_GB2312" w:cs="Times New Roman"/>
                <w:color w:val="auto"/>
                <w:sz w:val="24"/>
                <w:szCs w:val="24"/>
              </w:rPr>
              <w:fldChar w:fldCharType="end"/>
            </w:r>
          </w:p>
        </w:tc>
      </w:tr>
      <w:tr w14:paraId="015F9EDB">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4ADCAB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18</w:t>
            </w:r>
          </w:p>
        </w:tc>
        <w:tc>
          <w:tcPr>
            <w:tcW w:w="2253" w:type="dxa"/>
            <w:tcBorders>
              <w:top w:val="nil"/>
              <w:left w:val="nil"/>
              <w:bottom w:val="single" w:color="auto" w:sz="4" w:space="0"/>
              <w:right w:val="single" w:color="auto" w:sz="4" w:space="0"/>
            </w:tcBorders>
            <w:noWrap/>
            <w:vAlign w:val="center"/>
          </w:tcPr>
          <w:p w14:paraId="3F481A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T/CESA 1154—2021</w:t>
            </w:r>
          </w:p>
        </w:tc>
        <w:tc>
          <w:tcPr>
            <w:tcW w:w="5791" w:type="dxa"/>
            <w:tcBorders>
              <w:top w:val="nil"/>
              <w:left w:val="nil"/>
              <w:bottom w:val="single" w:color="auto" w:sz="4" w:space="0"/>
              <w:right w:val="single" w:color="auto" w:sz="4" w:space="0"/>
            </w:tcBorders>
            <w:noWrap/>
            <w:vAlign w:val="center"/>
          </w:tcPr>
          <w:p w14:paraId="6563A6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信息技术服务 从业人员能力评价指南 设计与开发服务</w:t>
            </w:r>
          </w:p>
        </w:tc>
      </w:tr>
      <w:tr w14:paraId="30392D6C">
        <w:tblPrEx>
          <w:tblCellMar>
            <w:top w:w="0" w:type="dxa"/>
            <w:left w:w="0" w:type="dxa"/>
            <w:bottom w:w="0" w:type="dxa"/>
            <w:right w:w="0" w:type="dxa"/>
          </w:tblCellMar>
        </w:tblPrEx>
        <w:trPr>
          <w:trHeight w:val="467" w:hRule="atLeast"/>
          <w:jc w:val="center"/>
        </w:trPr>
        <w:tc>
          <w:tcPr>
            <w:tcW w:w="780" w:type="dxa"/>
            <w:tcBorders>
              <w:top w:val="nil"/>
              <w:left w:val="single" w:color="auto" w:sz="4" w:space="0"/>
              <w:bottom w:val="single" w:color="auto" w:sz="4" w:space="0"/>
              <w:right w:val="single" w:color="auto" w:sz="4" w:space="0"/>
            </w:tcBorders>
            <w:noWrap/>
            <w:vAlign w:val="center"/>
          </w:tcPr>
          <w:p w14:paraId="269A4B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19</w:t>
            </w:r>
          </w:p>
        </w:tc>
        <w:tc>
          <w:tcPr>
            <w:tcW w:w="2253" w:type="dxa"/>
            <w:tcBorders>
              <w:top w:val="nil"/>
              <w:left w:val="nil"/>
              <w:bottom w:val="single" w:color="auto" w:sz="4" w:space="0"/>
              <w:right w:val="single" w:color="auto" w:sz="4" w:space="0"/>
            </w:tcBorders>
            <w:noWrap/>
            <w:vAlign w:val="center"/>
          </w:tcPr>
          <w:p w14:paraId="024505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T/CESA 1155—2021</w:t>
            </w:r>
          </w:p>
        </w:tc>
        <w:tc>
          <w:tcPr>
            <w:tcW w:w="5791" w:type="dxa"/>
            <w:tcBorders>
              <w:top w:val="nil"/>
              <w:left w:val="nil"/>
              <w:bottom w:val="single" w:color="auto" w:sz="4" w:space="0"/>
              <w:right w:val="single" w:color="auto" w:sz="4" w:space="0"/>
            </w:tcBorders>
            <w:noWrap/>
            <w:vAlign w:val="center"/>
          </w:tcPr>
          <w:p w14:paraId="6E727F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信息技术服务 从业人员能力评价指南 集成实施服务</w:t>
            </w:r>
          </w:p>
        </w:tc>
      </w:tr>
      <w:tr w14:paraId="63442A23">
        <w:tblPrEx>
          <w:tblCellMar>
            <w:top w:w="0" w:type="dxa"/>
            <w:left w:w="0" w:type="dxa"/>
            <w:bottom w:w="0" w:type="dxa"/>
            <w:right w:w="0" w:type="dxa"/>
          </w:tblCellMar>
        </w:tblPrEx>
        <w:trPr>
          <w:trHeight w:val="407" w:hRule="atLeast"/>
          <w:jc w:val="center"/>
        </w:trPr>
        <w:tc>
          <w:tcPr>
            <w:tcW w:w="780" w:type="dxa"/>
            <w:tcBorders>
              <w:top w:val="nil"/>
              <w:left w:val="single" w:color="auto" w:sz="4" w:space="0"/>
              <w:bottom w:val="single" w:color="auto" w:sz="4" w:space="0"/>
              <w:right w:val="single" w:color="auto" w:sz="4" w:space="0"/>
            </w:tcBorders>
            <w:noWrap/>
            <w:vAlign w:val="center"/>
          </w:tcPr>
          <w:p w14:paraId="4509C5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20</w:t>
            </w:r>
          </w:p>
        </w:tc>
        <w:tc>
          <w:tcPr>
            <w:tcW w:w="2253" w:type="dxa"/>
            <w:tcBorders>
              <w:top w:val="nil"/>
              <w:left w:val="nil"/>
              <w:bottom w:val="single" w:color="auto" w:sz="4" w:space="0"/>
              <w:right w:val="single" w:color="auto" w:sz="4" w:space="0"/>
            </w:tcBorders>
            <w:noWrap/>
            <w:vAlign w:val="center"/>
          </w:tcPr>
          <w:p w14:paraId="1201A0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T/CESA 1156—2021</w:t>
            </w:r>
          </w:p>
        </w:tc>
        <w:tc>
          <w:tcPr>
            <w:tcW w:w="5791" w:type="dxa"/>
            <w:tcBorders>
              <w:top w:val="nil"/>
              <w:left w:val="nil"/>
              <w:bottom w:val="single" w:color="auto" w:sz="4" w:space="0"/>
              <w:right w:val="single" w:color="auto" w:sz="4" w:space="0"/>
            </w:tcBorders>
            <w:noWrap/>
            <w:vAlign w:val="center"/>
          </w:tcPr>
          <w:p w14:paraId="48F383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信息技术服务 从业人员能力评价指南 运行维护服务</w:t>
            </w:r>
          </w:p>
        </w:tc>
      </w:tr>
    </w:tbl>
    <w:p w14:paraId="04318862">
      <w:pPr>
        <w:numPr>
          <w:ilvl w:val="0"/>
          <w:numId w:val="0"/>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kern w:val="2"/>
          <w:sz w:val="32"/>
          <w:szCs w:val="32"/>
          <w:lang w:val="en-US" w:eastAsia="zh-CN" w:bidi="ar-SA"/>
        </w:rPr>
        <w:t>（三）</w:t>
      </w:r>
      <w:r>
        <w:rPr>
          <w:rFonts w:hint="default" w:ascii="Times New Roman" w:hAnsi="Times New Roman" w:eastAsia="仿宋_GB2312" w:cs="Times New Roman"/>
          <w:b/>
          <w:bCs/>
          <w:color w:val="auto"/>
          <w:sz w:val="32"/>
          <w:szCs w:val="32"/>
          <w:highlight w:val="none"/>
          <w:lang w:val="en-US" w:eastAsia="zh-CN"/>
        </w:rPr>
        <w:t>专业知识与技术技能</w:t>
      </w:r>
    </w:p>
    <w:p w14:paraId="0C937D24">
      <w:pPr>
        <w:adjustRightInd w:val="0"/>
        <w:snapToGrid w:val="0"/>
        <w:spacing w:line="360" w:lineRule="auto"/>
        <w:ind w:firstLine="562" w:firstLineChars="200"/>
        <w:jc w:val="center"/>
        <w:rPr>
          <w:rFonts w:hint="default" w:ascii="Times New Roman" w:hAnsi="Times New Roman" w:eastAsia="仿宋_GB2312" w:cs="Times New Roman"/>
          <w:b/>
          <w:bCs/>
          <w:color w:val="auto"/>
          <w:sz w:val="28"/>
          <w:szCs w:val="28"/>
          <w:lang w:val="en-US" w:eastAsia="zh-CN"/>
        </w:rPr>
      </w:pPr>
      <w:r>
        <w:rPr>
          <w:rFonts w:hint="default" w:ascii="Times New Roman" w:hAnsi="Times New Roman" w:eastAsia="仿宋_GB2312" w:cs="Times New Roman"/>
          <w:b/>
          <w:bCs/>
          <w:color w:val="auto"/>
          <w:sz w:val="28"/>
          <w:szCs w:val="28"/>
          <w:lang w:val="en-US" w:eastAsia="zh-CN"/>
        </w:rPr>
        <w:t>表</w:t>
      </w:r>
      <w:r>
        <w:rPr>
          <w:rFonts w:hint="eastAsia" w:ascii="Times New Roman" w:hAnsi="Times New Roman" w:eastAsia="仿宋_GB2312" w:cs="Times New Roman"/>
          <w:b/>
          <w:bCs/>
          <w:color w:val="auto"/>
          <w:sz w:val="28"/>
          <w:szCs w:val="28"/>
          <w:lang w:val="en-US" w:eastAsia="zh-CN"/>
        </w:rPr>
        <w:t>7</w:t>
      </w:r>
      <w:r>
        <w:rPr>
          <w:rFonts w:hint="default" w:ascii="Times New Roman" w:hAnsi="Times New Roman" w:eastAsia="仿宋_GB2312" w:cs="Times New Roman"/>
          <w:b/>
          <w:bCs/>
          <w:color w:val="auto"/>
          <w:sz w:val="28"/>
          <w:szCs w:val="28"/>
          <w:lang w:val="en-US" w:eastAsia="zh-CN"/>
        </w:rPr>
        <w:t xml:space="preserve"> 专业知识与技术技能一览表</w:t>
      </w:r>
    </w:p>
    <w:tbl>
      <w:tblPr>
        <w:tblStyle w:val="14"/>
        <w:tblW w:w="8824" w:type="dxa"/>
        <w:jc w:val="center"/>
        <w:tblLayout w:type="fixed"/>
        <w:tblCellMar>
          <w:top w:w="0" w:type="dxa"/>
          <w:left w:w="108" w:type="dxa"/>
          <w:bottom w:w="0" w:type="dxa"/>
          <w:right w:w="108" w:type="dxa"/>
        </w:tblCellMar>
      </w:tblPr>
      <w:tblGrid>
        <w:gridCol w:w="735"/>
        <w:gridCol w:w="1360"/>
        <w:gridCol w:w="6729"/>
      </w:tblGrid>
      <w:tr w14:paraId="28CE0092">
        <w:tblPrEx>
          <w:tblCellMar>
            <w:top w:w="0" w:type="dxa"/>
            <w:left w:w="108" w:type="dxa"/>
            <w:bottom w:w="0" w:type="dxa"/>
            <w:right w:w="108" w:type="dxa"/>
          </w:tblCellMar>
        </w:tblPrEx>
        <w:trPr>
          <w:trHeight w:val="324"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017401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序号</w:t>
            </w:r>
          </w:p>
        </w:tc>
        <w:tc>
          <w:tcPr>
            <w:tcW w:w="1360" w:type="dxa"/>
            <w:tcBorders>
              <w:top w:val="single" w:color="auto" w:sz="4" w:space="0"/>
              <w:left w:val="nil"/>
              <w:bottom w:val="single" w:color="auto" w:sz="4" w:space="0"/>
              <w:right w:val="single" w:color="auto" w:sz="4" w:space="0"/>
            </w:tcBorders>
            <w:noWrap w:val="0"/>
            <w:vAlign w:val="center"/>
          </w:tcPr>
          <w:p w14:paraId="0A675E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分类</w:t>
            </w:r>
          </w:p>
        </w:tc>
        <w:tc>
          <w:tcPr>
            <w:tcW w:w="6729" w:type="dxa"/>
            <w:tcBorders>
              <w:top w:val="single" w:color="auto" w:sz="4" w:space="0"/>
              <w:left w:val="nil"/>
              <w:bottom w:val="single" w:color="auto" w:sz="4" w:space="0"/>
              <w:right w:val="single" w:color="auto" w:sz="4" w:space="0"/>
            </w:tcBorders>
            <w:noWrap w:val="0"/>
            <w:vAlign w:val="center"/>
          </w:tcPr>
          <w:p w14:paraId="68E3AB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具体要求</w:t>
            </w:r>
          </w:p>
        </w:tc>
      </w:tr>
      <w:tr w14:paraId="321F7E0F">
        <w:tblPrEx>
          <w:tblCellMar>
            <w:top w:w="0" w:type="dxa"/>
            <w:left w:w="108" w:type="dxa"/>
            <w:bottom w:w="0" w:type="dxa"/>
            <w:right w:w="108" w:type="dxa"/>
          </w:tblCellMar>
        </w:tblPrEx>
        <w:trPr>
          <w:trHeight w:val="40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4024F8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w:t>
            </w:r>
          </w:p>
        </w:tc>
        <w:tc>
          <w:tcPr>
            <w:tcW w:w="1360" w:type="dxa"/>
            <w:tcBorders>
              <w:top w:val="single" w:color="auto" w:sz="4" w:space="0"/>
              <w:left w:val="single" w:color="auto" w:sz="4" w:space="0"/>
              <w:bottom w:val="single" w:color="auto" w:sz="4" w:space="0"/>
              <w:right w:val="single" w:color="auto" w:sz="4" w:space="0"/>
            </w:tcBorders>
            <w:noWrap/>
            <w:vAlign w:val="center"/>
          </w:tcPr>
          <w:p w14:paraId="23061F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需求分析</w:t>
            </w:r>
          </w:p>
        </w:tc>
        <w:tc>
          <w:tcPr>
            <w:tcW w:w="6729" w:type="dxa"/>
            <w:tcBorders>
              <w:top w:val="single" w:color="auto" w:sz="4" w:space="0"/>
              <w:left w:val="single" w:color="auto" w:sz="4" w:space="0"/>
              <w:bottom w:val="single" w:color="auto" w:sz="4" w:space="0"/>
              <w:right w:val="single" w:color="auto" w:sz="4" w:space="0"/>
            </w:tcBorders>
            <w:noWrap/>
            <w:vAlign w:val="center"/>
          </w:tcPr>
          <w:p w14:paraId="1677085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掌握需求分析的方法和技巧，能够根据用户需求编写需求规格说明书，进行需求分析和设计。</w:t>
            </w:r>
          </w:p>
        </w:tc>
      </w:tr>
      <w:tr w14:paraId="2E8D267C">
        <w:tblPrEx>
          <w:tblCellMar>
            <w:top w:w="0" w:type="dxa"/>
            <w:left w:w="108" w:type="dxa"/>
            <w:bottom w:w="0" w:type="dxa"/>
            <w:right w:w="108" w:type="dxa"/>
          </w:tblCellMar>
        </w:tblPrEx>
        <w:trPr>
          <w:trHeight w:val="40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00028B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w:t>
            </w:r>
          </w:p>
        </w:tc>
        <w:tc>
          <w:tcPr>
            <w:tcW w:w="1360" w:type="dxa"/>
            <w:tcBorders>
              <w:top w:val="single" w:color="auto" w:sz="4" w:space="0"/>
              <w:left w:val="single" w:color="auto" w:sz="4" w:space="0"/>
              <w:bottom w:val="single" w:color="auto" w:sz="4" w:space="0"/>
              <w:right w:val="single" w:color="auto" w:sz="4" w:space="0"/>
            </w:tcBorders>
            <w:noWrap/>
            <w:vAlign w:val="center"/>
          </w:tcPr>
          <w:p w14:paraId="691994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软件设计</w:t>
            </w:r>
          </w:p>
        </w:tc>
        <w:tc>
          <w:tcPr>
            <w:tcW w:w="6729" w:type="dxa"/>
            <w:tcBorders>
              <w:top w:val="single" w:color="auto" w:sz="4" w:space="0"/>
              <w:left w:val="single" w:color="auto" w:sz="4" w:space="0"/>
              <w:bottom w:val="single" w:color="auto" w:sz="4" w:space="0"/>
              <w:right w:val="single" w:color="auto" w:sz="4" w:space="0"/>
            </w:tcBorders>
            <w:noWrap/>
            <w:vAlign w:val="center"/>
          </w:tcPr>
          <w:p w14:paraId="7E37C2E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了解软件设计的原则和方法，能够根据需求规格说明书进行软件设计，包括架构设计、模块设计、接口设计等。</w:t>
            </w:r>
          </w:p>
        </w:tc>
      </w:tr>
      <w:tr w14:paraId="03D860BF">
        <w:tblPrEx>
          <w:tblCellMar>
            <w:top w:w="0" w:type="dxa"/>
            <w:left w:w="108" w:type="dxa"/>
            <w:bottom w:w="0" w:type="dxa"/>
            <w:right w:w="108" w:type="dxa"/>
          </w:tblCellMar>
        </w:tblPrEx>
        <w:trPr>
          <w:trHeight w:val="786"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3E24A0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w:t>
            </w:r>
          </w:p>
        </w:tc>
        <w:tc>
          <w:tcPr>
            <w:tcW w:w="1360" w:type="dxa"/>
            <w:tcBorders>
              <w:top w:val="single" w:color="auto" w:sz="4" w:space="0"/>
              <w:left w:val="single" w:color="auto" w:sz="4" w:space="0"/>
              <w:bottom w:val="single" w:color="auto" w:sz="4" w:space="0"/>
              <w:right w:val="single" w:color="auto" w:sz="4" w:space="0"/>
            </w:tcBorders>
            <w:noWrap/>
            <w:vAlign w:val="center"/>
          </w:tcPr>
          <w:p w14:paraId="6765FC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编码实现</w:t>
            </w:r>
          </w:p>
        </w:tc>
        <w:tc>
          <w:tcPr>
            <w:tcW w:w="6729" w:type="dxa"/>
            <w:tcBorders>
              <w:top w:val="single" w:color="auto" w:sz="4" w:space="0"/>
              <w:left w:val="single" w:color="auto" w:sz="4" w:space="0"/>
              <w:bottom w:val="single" w:color="auto" w:sz="4" w:space="0"/>
              <w:right w:val="single" w:color="auto" w:sz="4" w:space="0"/>
            </w:tcBorders>
            <w:noWrap/>
            <w:vAlign w:val="center"/>
          </w:tcPr>
          <w:p w14:paraId="413B5B1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掌握编码实现的技术和规范，能够根据软件设计进行编码实现，包括代码编写、调试、测试等。</w:t>
            </w:r>
          </w:p>
        </w:tc>
      </w:tr>
      <w:tr w14:paraId="7770D7D0">
        <w:tblPrEx>
          <w:tblCellMar>
            <w:top w:w="0" w:type="dxa"/>
            <w:left w:w="108" w:type="dxa"/>
            <w:bottom w:w="0" w:type="dxa"/>
            <w:right w:w="108" w:type="dxa"/>
          </w:tblCellMar>
        </w:tblPrEx>
        <w:trPr>
          <w:trHeight w:val="40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5B6796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4</w:t>
            </w:r>
          </w:p>
        </w:tc>
        <w:tc>
          <w:tcPr>
            <w:tcW w:w="1360" w:type="dxa"/>
            <w:tcBorders>
              <w:top w:val="single" w:color="auto" w:sz="4" w:space="0"/>
              <w:left w:val="single" w:color="auto" w:sz="4" w:space="0"/>
              <w:bottom w:val="single" w:color="auto" w:sz="4" w:space="0"/>
              <w:right w:val="single" w:color="auto" w:sz="4" w:space="0"/>
            </w:tcBorders>
            <w:noWrap/>
            <w:vAlign w:val="center"/>
          </w:tcPr>
          <w:p w14:paraId="35CB13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软件测试</w:t>
            </w:r>
          </w:p>
        </w:tc>
        <w:tc>
          <w:tcPr>
            <w:tcW w:w="6729" w:type="dxa"/>
            <w:tcBorders>
              <w:top w:val="single" w:color="auto" w:sz="4" w:space="0"/>
              <w:left w:val="single" w:color="auto" w:sz="4" w:space="0"/>
              <w:bottom w:val="single" w:color="auto" w:sz="4" w:space="0"/>
              <w:right w:val="single" w:color="auto" w:sz="4" w:space="0"/>
            </w:tcBorders>
            <w:noWrap/>
            <w:vAlign w:val="center"/>
          </w:tcPr>
          <w:p w14:paraId="03796ED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了解软件测试的方法和技巧，能够进行软件测试，包括单元测试、集成测试、系统测试等，确保软件质量。</w:t>
            </w:r>
          </w:p>
        </w:tc>
      </w:tr>
      <w:tr w14:paraId="54497FE3">
        <w:tblPrEx>
          <w:tblCellMar>
            <w:top w:w="0" w:type="dxa"/>
            <w:left w:w="108" w:type="dxa"/>
            <w:bottom w:w="0" w:type="dxa"/>
            <w:right w:w="108" w:type="dxa"/>
          </w:tblCellMar>
        </w:tblPrEx>
        <w:trPr>
          <w:trHeight w:val="40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6C555D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5</w:t>
            </w:r>
          </w:p>
        </w:tc>
        <w:tc>
          <w:tcPr>
            <w:tcW w:w="1360" w:type="dxa"/>
            <w:tcBorders>
              <w:top w:val="single" w:color="auto" w:sz="4" w:space="0"/>
              <w:left w:val="single" w:color="auto" w:sz="4" w:space="0"/>
              <w:bottom w:val="single" w:color="auto" w:sz="4" w:space="0"/>
              <w:right w:val="single" w:color="auto" w:sz="4" w:space="0"/>
            </w:tcBorders>
            <w:noWrap/>
            <w:vAlign w:val="center"/>
          </w:tcPr>
          <w:p w14:paraId="09877B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软件维护</w:t>
            </w:r>
          </w:p>
        </w:tc>
        <w:tc>
          <w:tcPr>
            <w:tcW w:w="6729" w:type="dxa"/>
            <w:tcBorders>
              <w:top w:val="single" w:color="auto" w:sz="4" w:space="0"/>
              <w:left w:val="single" w:color="auto" w:sz="4" w:space="0"/>
              <w:bottom w:val="single" w:color="auto" w:sz="4" w:space="0"/>
              <w:right w:val="single" w:color="auto" w:sz="4" w:space="0"/>
            </w:tcBorders>
            <w:noWrap/>
            <w:vAlign w:val="center"/>
          </w:tcPr>
          <w:p w14:paraId="4EF96F5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了解软件维护的方法和技巧，能够对软件进行维护和升级，包括BUG修复、功能扩展等。</w:t>
            </w:r>
          </w:p>
        </w:tc>
      </w:tr>
      <w:tr w14:paraId="168948C3">
        <w:tblPrEx>
          <w:tblCellMar>
            <w:top w:w="0" w:type="dxa"/>
            <w:left w:w="108" w:type="dxa"/>
            <w:bottom w:w="0" w:type="dxa"/>
            <w:right w:w="108" w:type="dxa"/>
          </w:tblCellMar>
        </w:tblPrEx>
        <w:trPr>
          <w:trHeight w:val="40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579206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6</w:t>
            </w:r>
          </w:p>
        </w:tc>
        <w:tc>
          <w:tcPr>
            <w:tcW w:w="1360" w:type="dxa"/>
            <w:tcBorders>
              <w:top w:val="single" w:color="auto" w:sz="4" w:space="0"/>
              <w:left w:val="single" w:color="auto" w:sz="4" w:space="0"/>
              <w:bottom w:val="single" w:color="auto" w:sz="4" w:space="0"/>
              <w:right w:val="single" w:color="auto" w:sz="4" w:space="0"/>
            </w:tcBorders>
            <w:noWrap/>
            <w:vAlign w:val="center"/>
          </w:tcPr>
          <w:p w14:paraId="727E05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项目管理</w:t>
            </w:r>
          </w:p>
        </w:tc>
        <w:tc>
          <w:tcPr>
            <w:tcW w:w="6729" w:type="dxa"/>
            <w:tcBorders>
              <w:top w:val="single" w:color="auto" w:sz="4" w:space="0"/>
              <w:left w:val="single" w:color="auto" w:sz="4" w:space="0"/>
              <w:bottom w:val="single" w:color="auto" w:sz="4" w:space="0"/>
              <w:right w:val="single" w:color="auto" w:sz="4" w:space="0"/>
            </w:tcBorders>
            <w:noWrap/>
            <w:vAlign w:val="center"/>
          </w:tcPr>
          <w:p w14:paraId="0F4AB54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了解项目管理的方法和工具，能够进行项目计划制定、进度控制、风险管理等，确保项目按时按质完成。</w:t>
            </w:r>
          </w:p>
        </w:tc>
      </w:tr>
      <w:tr w14:paraId="4ED9F50D">
        <w:tblPrEx>
          <w:tblCellMar>
            <w:top w:w="0" w:type="dxa"/>
            <w:left w:w="108" w:type="dxa"/>
            <w:bottom w:w="0" w:type="dxa"/>
            <w:right w:w="108" w:type="dxa"/>
          </w:tblCellMar>
        </w:tblPrEx>
        <w:trPr>
          <w:trHeight w:val="407"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287C55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7</w:t>
            </w:r>
          </w:p>
        </w:tc>
        <w:tc>
          <w:tcPr>
            <w:tcW w:w="1360" w:type="dxa"/>
            <w:tcBorders>
              <w:top w:val="single" w:color="auto" w:sz="4" w:space="0"/>
              <w:left w:val="single" w:color="auto" w:sz="4" w:space="0"/>
              <w:bottom w:val="single" w:color="auto" w:sz="4" w:space="0"/>
              <w:right w:val="single" w:color="auto" w:sz="4" w:space="0"/>
            </w:tcBorders>
            <w:noWrap/>
            <w:vAlign w:val="center"/>
          </w:tcPr>
          <w:p w14:paraId="2899E4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团队协作</w:t>
            </w:r>
          </w:p>
        </w:tc>
        <w:tc>
          <w:tcPr>
            <w:tcW w:w="6729" w:type="dxa"/>
            <w:tcBorders>
              <w:top w:val="single" w:color="auto" w:sz="4" w:space="0"/>
              <w:left w:val="single" w:color="auto" w:sz="4" w:space="0"/>
              <w:bottom w:val="single" w:color="auto" w:sz="4" w:space="0"/>
              <w:right w:val="single" w:color="auto" w:sz="4" w:space="0"/>
            </w:tcBorders>
            <w:noWrap/>
            <w:vAlign w:val="center"/>
          </w:tcPr>
          <w:p w14:paraId="1A807E8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具备良好的团队协作能力，能够与团队成员进行有效的沟通和协作，共同完成软件开发任务。</w:t>
            </w:r>
          </w:p>
        </w:tc>
      </w:tr>
      <w:tr w14:paraId="3019CE1B">
        <w:tblPrEx>
          <w:tblCellMar>
            <w:top w:w="0" w:type="dxa"/>
            <w:left w:w="108" w:type="dxa"/>
            <w:bottom w:w="0" w:type="dxa"/>
            <w:right w:w="108" w:type="dxa"/>
          </w:tblCellMar>
        </w:tblPrEx>
        <w:trPr>
          <w:trHeight w:val="786"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14:paraId="4DB6A7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8</w:t>
            </w:r>
          </w:p>
        </w:tc>
        <w:tc>
          <w:tcPr>
            <w:tcW w:w="1360" w:type="dxa"/>
            <w:tcBorders>
              <w:top w:val="single" w:color="auto" w:sz="4" w:space="0"/>
              <w:left w:val="single" w:color="auto" w:sz="4" w:space="0"/>
              <w:bottom w:val="single" w:color="auto" w:sz="4" w:space="0"/>
              <w:right w:val="single" w:color="auto" w:sz="4" w:space="0"/>
            </w:tcBorders>
            <w:noWrap/>
            <w:vAlign w:val="center"/>
          </w:tcPr>
          <w:p w14:paraId="4060F1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学习能力</w:t>
            </w:r>
          </w:p>
        </w:tc>
        <w:tc>
          <w:tcPr>
            <w:tcW w:w="6729" w:type="dxa"/>
            <w:tcBorders>
              <w:top w:val="single" w:color="auto" w:sz="4" w:space="0"/>
              <w:left w:val="single" w:color="auto" w:sz="4" w:space="0"/>
              <w:bottom w:val="single" w:color="auto" w:sz="4" w:space="0"/>
              <w:right w:val="single" w:color="auto" w:sz="4" w:space="0"/>
            </w:tcBorders>
            <w:noWrap/>
            <w:vAlign w:val="center"/>
          </w:tcPr>
          <w:p w14:paraId="0F40103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具备快速学习新知识和技术的能力，能够不断学习和掌握新的技术和工具，提升自己的职业素养和竞争力。</w:t>
            </w:r>
          </w:p>
        </w:tc>
      </w:tr>
    </w:tbl>
    <w:p w14:paraId="6F246433">
      <w:pPr>
        <w:numPr>
          <w:ilvl w:val="0"/>
          <w:numId w:val="7"/>
        </w:numPr>
        <w:adjustRightInd w:val="0"/>
        <w:snapToGrid w:val="0"/>
        <w:spacing w:line="360" w:lineRule="auto"/>
        <w:ind w:left="321" w:leftChars="0" w:hanging="321" w:hangingChars="100"/>
        <w:jc w:val="left"/>
        <w:outlineLvl w:val="0"/>
        <w:rPr>
          <w:rFonts w:hint="eastAsia" w:ascii="仿宋_GB2312" w:hAnsi="仿宋" w:eastAsia="仿宋_GB2312"/>
          <w:b/>
          <w:bCs/>
          <w:color w:val="auto"/>
          <w:sz w:val="32"/>
          <w:szCs w:val="32"/>
        </w:rPr>
      </w:pPr>
      <w:r>
        <w:rPr>
          <w:rFonts w:hint="eastAsia" w:ascii="仿宋_GB2312" w:hAnsi="仿宋" w:eastAsia="仿宋_GB2312"/>
          <w:b/>
          <w:bCs/>
          <w:color w:val="auto"/>
          <w:sz w:val="32"/>
          <w:szCs w:val="32"/>
        </w:rPr>
        <w:t>赛项须知</w:t>
      </w:r>
    </w:p>
    <w:p w14:paraId="2414A7F1">
      <w:pPr>
        <w:numPr>
          <w:ilvl w:val="0"/>
          <w:numId w:val="8"/>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参赛队须知</w:t>
      </w:r>
    </w:p>
    <w:p w14:paraId="341EC057">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1.在赛事期间，参赛队成员不得私自接触裁判，凡发现有弄虚作假者，取消其参赛资格，成绩无效。</w:t>
      </w:r>
    </w:p>
    <w:p w14:paraId="7DF43254">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2.所有参赛人员须按照赛项规程要求完成赛项评价工作。</w:t>
      </w:r>
    </w:p>
    <w:p w14:paraId="44DABFE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3.参赛队认为存在不符合竞赛规定的设备、工具、软件，有失公正的评判、奖励，以及工作人员的违规行为等情况时，须在该赛项竞赛结束后2小时内，向赛项仲裁组提交书面申诉材料。各参赛队应服从和执行申诉的最终仲裁结果。</w:t>
      </w:r>
    </w:p>
    <w:p w14:paraId="3FC2F37D">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lang w:val="en-US" w:eastAsia="zh-CN"/>
        </w:rPr>
        <w:t>.各学校组织代表队时，须安排为参赛选手购买大赛期间的人身意外伤害保险。</w:t>
      </w:r>
    </w:p>
    <w:p w14:paraId="2B19825B">
      <w:pPr>
        <w:numPr>
          <w:ilvl w:val="0"/>
          <w:numId w:val="8"/>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指导教师须知</w:t>
      </w:r>
    </w:p>
    <w:p w14:paraId="4809EAFF">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1.各参赛代表队要发扬良好道德风尚，听从指挥，服从裁判，不弄虚作假。如发现弄虚作假者，取消参赛资格，名次无效。</w:t>
      </w:r>
    </w:p>
    <w:p w14:paraId="6303D437">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2.各代表队领队要坚决执行竞赛的各项规定，加强对参赛人员的管理，做好赛前准备工作，督促选手带好证件等竞赛相关材料。</w:t>
      </w:r>
    </w:p>
    <w:p w14:paraId="5D0AC536">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3.竞赛过程中，除参加当场次竞赛的选手、执行裁判员、现场工作人员和经批准的人员外，领队、指导教师及其他人员一律不得进入竞赛现场。</w:t>
      </w:r>
    </w:p>
    <w:p w14:paraId="7E7E9F7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4.参赛代表队若对竞赛过程有异议，在规定的时间内由领队向赛项仲裁工作组提出书面报告。</w:t>
      </w:r>
    </w:p>
    <w:p w14:paraId="40CE03F9">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5.对申诉的仲裁结果，领队要带头服从和执行，并做好选手工作。参赛选手不得因申诉或对处理意见不服而停止竞赛，否则以弃权处理。</w:t>
      </w:r>
    </w:p>
    <w:p w14:paraId="49172EEA">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6.指导老师应及时查看大赛专用网页有关赛项的通知和内容，认真研究和掌握本赛项竞赛的规程、技术规范和赛场要求，指导选手做好赛前的一切技术准备和竞赛准备。</w:t>
      </w:r>
    </w:p>
    <w:p w14:paraId="474CA0EF">
      <w:pPr>
        <w:numPr>
          <w:ilvl w:val="0"/>
          <w:numId w:val="8"/>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参赛选手须知</w:t>
      </w:r>
    </w:p>
    <w:p w14:paraId="0800F83F">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1.参赛选手应严格遵守赛场规章、操作规程和工艺准则，保证人身及设备安全，接受裁判员的监督和警示，文明竞赛。</w:t>
      </w:r>
    </w:p>
    <w:p w14:paraId="19A241FC">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2.参赛选手应按照规定时间抵达赛场，凭身份证、学生证，以及统一发放的参赛证，完成入场检录、抽签确定竞赛工位号，不得迟到早退。</w:t>
      </w:r>
    </w:p>
    <w:p w14:paraId="0F7B7428">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3.参赛选手进入赛场前，须将身份证、学生证、参赛证交由检录人员统一保管，不得带入场内。</w:t>
      </w:r>
    </w:p>
    <w:p w14:paraId="33132B8D">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4.参赛选手凭竞赛工位号进入赛场，不允许携带任何电子设备及其他资料、用品。</w:t>
      </w:r>
    </w:p>
    <w:p w14:paraId="6CF7BA01">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5.参赛选手应在规定的时间段进入赛场，认真核对竞赛工位号，在指定位置就座。</w:t>
      </w:r>
    </w:p>
    <w:p w14:paraId="31081FB6">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6.参赛选手入场后，迅速确认竞赛设备状况，填写相关确认文件，并由参赛队长确认签字（竞赛工位号）。</w:t>
      </w:r>
    </w:p>
    <w:p w14:paraId="0ABC17C2">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7.参赛选手在收到开赛信号前不得启动操作。在竞赛过程中，确因计算机软件或硬件故障，致使操作无法继续的，经裁判长确认，予以启用备用计算机。</w:t>
      </w:r>
    </w:p>
    <w:p w14:paraId="4DA1ABEE">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8.参赛选手应在竞赛规定时间内完成任务书内容，及时按要求保存工作记录，以防止因操作系统异常及其他设备异常造成的数据丢失。对于因各种原因造成的数据丢失，由参赛选手自行负责。</w:t>
      </w:r>
    </w:p>
    <w:p w14:paraId="2ADED0E5">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9.参赛队所提交的答卷按要求进行标识，不得出现地名、校名、姓名、参赛证编号等信息，否则取消竞赛成绩。</w:t>
      </w:r>
    </w:p>
    <w:p w14:paraId="7DF2613B">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10.竞赛过程中，因严重操作失误或安全事故不能进行比赛的（例如因操作原因发生短路导致赛场断电的、造成设备不能正常工作的），现场裁判员有权</w:t>
      </w:r>
      <w:r>
        <w:rPr>
          <w:rFonts w:hint="eastAsia" w:ascii="Times New Roman" w:hAnsi="Times New Roman" w:eastAsia="仿宋_GB2312" w:cs="Times New Roman"/>
          <w:color w:val="auto"/>
          <w:sz w:val="32"/>
          <w:szCs w:val="32"/>
          <w:lang w:val="en-US" w:eastAsia="zh-CN"/>
        </w:rPr>
        <w:t>终</w:t>
      </w:r>
      <w:r>
        <w:rPr>
          <w:rFonts w:hint="default" w:ascii="Times New Roman" w:hAnsi="Times New Roman" w:eastAsia="仿宋_GB2312" w:cs="Times New Roman"/>
          <w:color w:val="auto"/>
          <w:sz w:val="32"/>
          <w:szCs w:val="32"/>
          <w:lang w:val="en-US" w:eastAsia="zh-CN"/>
        </w:rPr>
        <w:t>止该队比赛。</w:t>
      </w:r>
    </w:p>
    <w:p w14:paraId="14B8A77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11.选手在每场竞赛中连续工作，食品、饮水等由赛场统一提供。每场期间，选手休息、饮食或如厕时间均计算在比赛时间内。</w:t>
      </w:r>
    </w:p>
    <w:p w14:paraId="4F48CBFF">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12.在比赛中如遇非人为因素造成的设备故障，经裁判确认后，可向裁判长申请补足排除故障的时间。</w:t>
      </w:r>
    </w:p>
    <w:p w14:paraId="3BC05EC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13.参赛选手不得因各种原因提前结束比赛。如确因不可抗因素需要离开赛场的，须向现场裁判员举手示意，经裁判员许可并完成记录后，方可离开。</w:t>
      </w:r>
    </w:p>
    <w:p w14:paraId="26FABD84">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14.各竞赛队按照大赛要求</w:t>
      </w:r>
      <w:r>
        <w:rPr>
          <w:rFonts w:hint="eastAsia" w:ascii="Times New Roman" w:hAnsi="Times New Roman" w:eastAsia="仿宋_GB2312" w:cs="Times New Roman"/>
          <w:color w:val="auto"/>
          <w:sz w:val="32"/>
          <w:szCs w:val="32"/>
          <w:lang w:val="en-US" w:eastAsia="zh-CN"/>
        </w:rPr>
        <w:t>和</w:t>
      </w:r>
      <w:r>
        <w:rPr>
          <w:rFonts w:hint="default" w:ascii="Times New Roman" w:hAnsi="Times New Roman" w:eastAsia="仿宋_GB2312" w:cs="Times New Roman"/>
          <w:color w:val="auto"/>
          <w:sz w:val="32"/>
          <w:szCs w:val="32"/>
          <w:lang w:val="en-US" w:eastAsia="zh-CN"/>
        </w:rPr>
        <w:t>赛题要求提交竞赛成果，禁止在竞赛成果上做任何与竞赛无关的记号。竞赛操作结束后，参赛队要确认成功提交竞赛要求的文件，裁判员在比赛结果的规定位置做标记，并与参赛队一起签字确认。</w:t>
      </w:r>
    </w:p>
    <w:p w14:paraId="1703FDCF">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15.竞赛时间结束，选手应全体起立，结束操作。经工作人员检查后可离开赛场，离开赛场时不得带走任何资料与设备。</w:t>
      </w:r>
    </w:p>
    <w:p w14:paraId="36C8FA0E">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16.在竞赛期间，未经执委会批准，参赛选手不得接受其他单位和个人进行的与竞赛内容相关的采访。参赛选手不得将竞赛的相关信息私自公布。</w:t>
      </w:r>
    </w:p>
    <w:p w14:paraId="1647D091">
      <w:pPr>
        <w:numPr>
          <w:ilvl w:val="0"/>
          <w:numId w:val="8"/>
        </w:numPr>
        <w:adjustRightInd w:val="0"/>
        <w:snapToGrid w:val="0"/>
        <w:spacing w:line="360" w:lineRule="auto"/>
        <w:ind w:firstLine="643" w:firstLineChars="200"/>
        <w:jc w:val="left"/>
        <w:outlineLvl w:val="1"/>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工作人员须知</w:t>
      </w:r>
    </w:p>
    <w:p w14:paraId="4298D7DF">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1.赛场工作人员由赛项执委会统一聘用并进行工作分工，进入竞赛现场须佩戴组委会统一提供的吊牌。</w:t>
      </w:r>
    </w:p>
    <w:p w14:paraId="1898BF5A">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2.赛场工作人员需服从赛项执委会的管理，严格执行赛项执委会制订的各项比赛规则，执行赛项执委会的工作安排，积极维护好赛场秩序，坚守岗位，为赛场提供有序的服务。</w:t>
      </w:r>
    </w:p>
    <w:p w14:paraId="0BC57107">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3.赛场工作人员进入现场，不得携带任何通讯工具或与竞赛无关的物品。</w:t>
      </w:r>
    </w:p>
    <w:p w14:paraId="4922F86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4.参赛队进入赛场，现场裁判及赛场工作人员应按规定审查参赛选手带入赛场的物品，如发现不允许带入赛场的物品，交由参赛队随行人员保管，赛场不提供保管服务。</w:t>
      </w:r>
    </w:p>
    <w:p w14:paraId="7A0E5210">
      <w:pPr>
        <w:keepNext w:val="0"/>
        <w:keepLines w:val="0"/>
        <w:pageBreakBefore w:val="0"/>
        <w:widowControl w:val="0"/>
        <w:kinsoku/>
        <w:wordWrap/>
        <w:overflowPunct/>
        <w:topLinePunct w:val="0"/>
        <w:autoSpaceDE/>
        <w:autoSpaceDN/>
        <w:bidi w:val="0"/>
        <w:adjustRightInd/>
        <w:snapToGrid w:val="0"/>
        <w:spacing w:line="360" w:lineRule="auto"/>
        <w:ind w:left="0"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5.赛场工作人员在竞赛过程中不回答选手提出的任何有关比赛技术问题，如遇争议问题，应及时报告裁判长。</w:t>
      </w:r>
    </w:p>
    <w:bookmarkEnd w:id="2"/>
    <w:sectPr>
      <w:footerReference r:id="rId3" w:type="default"/>
      <w:pgSz w:w="11906" w:h="16838"/>
      <w:pgMar w:top="1242" w:right="1803" w:bottom="1315" w:left="1803"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10D644A-3AA5-4648-88C0-356F88AEEE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AFE18817-B465-4A88-88B6-7A5060B16BDE}"/>
  </w:font>
  <w:font w:name="Cambria">
    <w:panose1 w:val="02040503050406030204"/>
    <w:charset w:val="00"/>
    <w:family w:val="roman"/>
    <w:pitch w:val="default"/>
    <w:sig w:usb0="E00006FF" w:usb1="420024FF" w:usb2="02000000" w:usb3="00000000" w:csb0="2000019F" w:csb1="00000000"/>
  </w:font>
  <w:font w:name="方正公文小标宋">
    <w:panose1 w:val="02000500000000000000"/>
    <w:charset w:val="86"/>
    <w:family w:val="auto"/>
    <w:pitch w:val="default"/>
    <w:sig w:usb0="A00002BF" w:usb1="38CF7CFA" w:usb2="00000016" w:usb3="00000000" w:csb0="00040001" w:csb1="00000000"/>
    <w:embedRegular r:id="rId3" w:fontKey="{09C8B83B-C707-447C-8445-50E72A15F95B}"/>
  </w:font>
  <w:font w:name="仿宋_GB2312">
    <w:panose1 w:val="02010609030101010101"/>
    <w:charset w:val="86"/>
    <w:family w:val="modern"/>
    <w:pitch w:val="default"/>
    <w:sig w:usb0="00000001" w:usb1="080E0000" w:usb2="00000000" w:usb3="00000000" w:csb0="00040000" w:csb1="00000000"/>
    <w:embedRegular r:id="rId4" w:fontKey="{F0B501FF-859D-477A-96D0-0ADADB9906B6}"/>
  </w:font>
  <w:font w:name="仿宋">
    <w:panose1 w:val="02010609060101010101"/>
    <w:charset w:val="86"/>
    <w:family w:val="modern"/>
    <w:pitch w:val="default"/>
    <w:sig w:usb0="800002BF" w:usb1="38CF7CFA" w:usb2="00000016" w:usb3="00000000" w:csb0="00040001" w:csb1="00000000"/>
    <w:embedRegular r:id="rId5" w:fontKey="{6695A17E-97A4-498E-9295-2C32503BFD6C}"/>
  </w:font>
  <w:font w:name="WPSEMBED1">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F2BFB">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32D17">
                          <w:pPr>
                            <w:pStyle w:val="1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7D32D17">
                    <w:pPr>
                      <w:pStyle w:val="10"/>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898BB"/>
    <w:multiLevelType w:val="singleLevel"/>
    <w:tmpl w:val="982898BB"/>
    <w:lvl w:ilvl="0" w:tentative="0">
      <w:start w:val="1"/>
      <w:numFmt w:val="chineseCounting"/>
      <w:suff w:val="nothing"/>
      <w:lvlText w:val="（%1）"/>
      <w:lvlJc w:val="left"/>
      <w:rPr>
        <w:rFonts w:hint="eastAsia"/>
      </w:rPr>
    </w:lvl>
  </w:abstractNum>
  <w:abstractNum w:abstractNumId="1">
    <w:nsid w:val="A2D0FBF6"/>
    <w:multiLevelType w:val="singleLevel"/>
    <w:tmpl w:val="A2D0FBF6"/>
    <w:lvl w:ilvl="0" w:tentative="0">
      <w:start w:val="11"/>
      <w:numFmt w:val="chineseCounting"/>
      <w:suff w:val="nothing"/>
      <w:lvlText w:val="%1、"/>
      <w:lvlJc w:val="left"/>
      <w:rPr>
        <w:rFonts w:hint="eastAsia"/>
      </w:rPr>
    </w:lvl>
  </w:abstractNum>
  <w:abstractNum w:abstractNumId="2">
    <w:nsid w:val="B3385B5F"/>
    <w:multiLevelType w:val="singleLevel"/>
    <w:tmpl w:val="B3385B5F"/>
    <w:lvl w:ilvl="0" w:tentative="0">
      <w:start w:val="1"/>
      <w:numFmt w:val="chineseCounting"/>
      <w:suff w:val="nothing"/>
      <w:lvlText w:val="（%1）"/>
      <w:lvlJc w:val="left"/>
      <w:rPr>
        <w:rFonts w:hint="eastAsia"/>
      </w:rPr>
    </w:lvl>
  </w:abstractNum>
  <w:abstractNum w:abstractNumId="3">
    <w:nsid w:val="00000002"/>
    <w:multiLevelType w:val="multilevel"/>
    <w:tmpl w:val="00000002"/>
    <w:lvl w:ilvl="0" w:tentative="0">
      <w:start w:val="4"/>
      <w:numFmt w:val="bullet"/>
      <w:pStyle w:val="2"/>
      <w:lvlText w:val="□"/>
      <w:lvlJc w:val="left"/>
      <w:pPr>
        <w:tabs>
          <w:tab w:val="left" w:pos="360"/>
        </w:tabs>
        <w:ind w:left="360" w:hanging="360"/>
      </w:pPr>
      <w:rPr>
        <w:rFonts w:hint="eastAsia" w:ascii="宋体" w:hAnsi="宋体" w:eastAsia="宋体" w:cs="Times New Roman"/>
        <w:b/>
        <w:sz w:val="4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245E8D23"/>
    <w:multiLevelType w:val="singleLevel"/>
    <w:tmpl w:val="245E8D23"/>
    <w:lvl w:ilvl="0" w:tentative="0">
      <w:start w:val="1"/>
      <w:numFmt w:val="chineseCounting"/>
      <w:suff w:val="nothing"/>
      <w:lvlText w:val="（%1）"/>
      <w:lvlJc w:val="left"/>
      <w:pPr>
        <w:ind w:left="0" w:firstLine="420"/>
      </w:pPr>
      <w:rPr>
        <w:rFonts w:hint="eastAsia"/>
      </w:rPr>
    </w:lvl>
  </w:abstractNum>
  <w:abstractNum w:abstractNumId="5">
    <w:nsid w:val="3277B45A"/>
    <w:multiLevelType w:val="singleLevel"/>
    <w:tmpl w:val="3277B45A"/>
    <w:lvl w:ilvl="0" w:tentative="0">
      <w:start w:val="1"/>
      <w:numFmt w:val="bullet"/>
      <w:suff w:val="space"/>
      <w:lvlText w:val=""/>
      <w:lvlJc w:val="left"/>
      <w:pPr>
        <w:ind w:left="420" w:hanging="420"/>
      </w:pPr>
      <w:rPr>
        <w:rFonts w:hint="default" w:ascii="Wingdings" w:hAnsi="Wingdings"/>
      </w:rPr>
    </w:lvl>
  </w:abstractNum>
  <w:abstractNum w:abstractNumId="6">
    <w:nsid w:val="3B0FBB2C"/>
    <w:multiLevelType w:val="singleLevel"/>
    <w:tmpl w:val="3B0FBB2C"/>
    <w:lvl w:ilvl="0" w:tentative="0">
      <w:start w:val="1"/>
      <w:numFmt w:val="decimal"/>
      <w:lvlText w:val="%1."/>
      <w:lvlJc w:val="left"/>
      <w:pPr>
        <w:ind w:left="425" w:hanging="425"/>
      </w:pPr>
      <w:rPr>
        <w:rFonts w:hint="default"/>
      </w:rPr>
    </w:lvl>
  </w:abstractNum>
  <w:abstractNum w:abstractNumId="7">
    <w:nsid w:val="6C4C7D71"/>
    <w:multiLevelType w:val="multilevel"/>
    <w:tmpl w:val="6C4C7D71"/>
    <w:lvl w:ilvl="0" w:tentative="0">
      <w:start w:val="1"/>
      <w:numFmt w:val="decimal"/>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3"/>
  </w:num>
  <w:num w:numId="2">
    <w:abstractNumId w:val="7"/>
  </w:num>
  <w:num w:numId="3">
    <w:abstractNumId w:val="4"/>
  </w:num>
  <w:num w:numId="4">
    <w:abstractNumId w:val="6"/>
  </w:num>
  <w:num w:numId="5">
    <w:abstractNumId w:val="2"/>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s>
  <w:rsids>
    <w:rsidRoot w:val="00000000"/>
    <w:rsid w:val="01C6078C"/>
    <w:rsid w:val="021371A0"/>
    <w:rsid w:val="025F4662"/>
    <w:rsid w:val="03BE0905"/>
    <w:rsid w:val="04207E21"/>
    <w:rsid w:val="04B52CB6"/>
    <w:rsid w:val="05A864FA"/>
    <w:rsid w:val="05B37037"/>
    <w:rsid w:val="05D37841"/>
    <w:rsid w:val="063858F6"/>
    <w:rsid w:val="080B2B96"/>
    <w:rsid w:val="093F4327"/>
    <w:rsid w:val="0B550CF8"/>
    <w:rsid w:val="0CE560AB"/>
    <w:rsid w:val="0DCF4D92"/>
    <w:rsid w:val="0E860591"/>
    <w:rsid w:val="0ED10695"/>
    <w:rsid w:val="0FA967B3"/>
    <w:rsid w:val="0FAC1A22"/>
    <w:rsid w:val="116972AB"/>
    <w:rsid w:val="117A26D1"/>
    <w:rsid w:val="12042B30"/>
    <w:rsid w:val="12B0174A"/>
    <w:rsid w:val="13307BA8"/>
    <w:rsid w:val="138C54D3"/>
    <w:rsid w:val="14072DAB"/>
    <w:rsid w:val="150D43F1"/>
    <w:rsid w:val="156141D6"/>
    <w:rsid w:val="15714980"/>
    <w:rsid w:val="15EA64E1"/>
    <w:rsid w:val="16353C00"/>
    <w:rsid w:val="167125C4"/>
    <w:rsid w:val="16F413C5"/>
    <w:rsid w:val="174A0EDA"/>
    <w:rsid w:val="174F0CF1"/>
    <w:rsid w:val="17A728DB"/>
    <w:rsid w:val="19B66E06"/>
    <w:rsid w:val="1B193AF0"/>
    <w:rsid w:val="1B8F0775"/>
    <w:rsid w:val="1D5A219E"/>
    <w:rsid w:val="1ECE2E43"/>
    <w:rsid w:val="1F817EB6"/>
    <w:rsid w:val="1FB91219"/>
    <w:rsid w:val="1FCB7383"/>
    <w:rsid w:val="20FA5BB7"/>
    <w:rsid w:val="21393534"/>
    <w:rsid w:val="214618B5"/>
    <w:rsid w:val="22235254"/>
    <w:rsid w:val="22A40E55"/>
    <w:rsid w:val="22E42C35"/>
    <w:rsid w:val="232B2612"/>
    <w:rsid w:val="24101808"/>
    <w:rsid w:val="24651B54"/>
    <w:rsid w:val="24F42ED8"/>
    <w:rsid w:val="25FA2770"/>
    <w:rsid w:val="272F6449"/>
    <w:rsid w:val="27773922"/>
    <w:rsid w:val="27D72397"/>
    <w:rsid w:val="27D8088F"/>
    <w:rsid w:val="28D9041B"/>
    <w:rsid w:val="29451F54"/>
    <w:rsid w:val="2A1775D5"/>
    <w:rsid w:val="2B1179C8"/>
    <w:rsid w:val="2B4801CD"/>
    <w:rsid w:val="2B5B780D"/>
    <w:rsid w:val="2B9F3B9D"/>
    <w:rsid w:val="2BDB6BA0"/>
    <w:rsid w:val="2C567FD4"/>
    <w:rsid w:val="2C8A74C0"/>
    <w:rsid w:val="2C9F7BCD"/>
    <w:rsid w:val="2E304F81"/>
    <w:rsid w:val="2ED0406E"/>
    <w:rsid w:val="2FEA5603"/>
    <w:rsid w:val="30BA4FD6"/>
    <w:rsid w:val="30C61BCC"/>
    <w:rsid w:val="318D46C1"/>
    <w:rsid w:val="324E3C27"/>
    <w:rsid w:val="33865643"/>
    <w:rsid w:val="33977850"/>
    <w:rsid w:val="33FB7DDF"/>
    <w:rsid w:val="36840015"/>
    <w:rsid w:val="37265173"/>
    <w:rsid w:val="3768578B"/>
    <w:rsid w:val="38C97A22"/>
    <w:rsid w:val="38CC1D4A"/>
    <w:rsid w:val="38D94467"/>
    <w:rsid w:val="3A58051B"/>
    <w:rsid w:val="3B1F2605"/>
    <w:rsid w:val="3BE23632"/>
    <w:rsid w:val="3C461E13"/>
    <w:rsid w:val="3C541977"/>
    <w:rsid w:val="3C7E15AD"/>
    <w:rsid w:val="3C805325"/>
    <w:rsid w:val="3CB7686D"/>
    <w:rsid w:val="3E3C527C"/>
    <w:rsid w:val="3E52684D"/>
    <w:rsid w:val="3ECA0ADA"/>
    <w:rsid w:val="40C50D3E"/>
    <w:rsid w:val="41210759"/>
    <w:rsid w:val="41F96199"/>
    <w:rsid w:val="42156510"/>
    <w:rsid w:val="42411408"/>
    <w:rsid w:val="43476B9D"/>
    <w:rsid w:val="43851473"/>
    <w:rsid w:val="43B81849"/>
    <w:rsid w:val="467557CF"/>
    <w:rsid w:val="46BA58D8"/>
    <w:rsid w:val="47906638"/>
    <w:rsid w:val="485A01FF"/>
    <w:rsid w:val="486E731D"/>
    <w:rsid w:val="48721E4E"/>
    <w:rsid w:val="48EC10A7"/>
    <w:rsid w:val="4A57306B"/>
    <w:rsid w:val="4A7B31CD"/>
    <w:rsid w:val="4B8045D0"/>
    <w:rsid w:val="4B83459C"/>
    <w:rsid w:val="4BC13264"/>
    <w:rsid w:val="4CF6594C"/>
    <w:rsid w:val="4E80158A"/>
    <w:rsid w:val="4F600C93"/>
    <w:rsid w:val="4F657182"/>
    <w:rsid w:val="4FAB0A50"/>
    <w:rsid w:val="50B30767"/>
    <w:rsid w:val="50D77F1D"/>
    <w:rsid w:val="51C25640"/>
    <w:rsid w:val="51F7178E"/>
    <w:rsid w:val="52877104"/>
    <w:rsid w:val="533D530B"/>
    <w:rsid w:val="53933738"/>
    <w:rsid w:val="53B549C9"/>
    <w:rsid w:val="560426CB"/>
    <w:rsid w:val="565D69C2"/>
    <w:rsid w:val="57572CCF"/>
    <w:rsid w:val="582F1556"/>
    <w:rsid w:val="5837110E"/>
    <w:rsid w:val="59101387"/>
    <w:rsid w:val="59DC00DF"/>
    <w:rsid w:val="5A0739ED"/>
    <w:rsid w:val="5C2C0572"/>
    <w:rsid w:val="5DDC7A8A"/>
    <w:rsid w:val="5E602469"/>
    <w:rsid w:val="5EB91EBC"/>
    <w:rsid w:val="5F28567D"/>
    <w:rsid w:val="5F48187B"/>
    <w:rsid w:val="60820DBC"/>
    <w:rsid w:val="609E371C"/>
    <w:rsid w:val="613D3F9D"/>
    <w:rsid w:val="629D0130"/>
    <w:rsid w:val="62DD39C2"/>
    <w:rsid w:val="62FF4946"/>
    <w:rsid w:val="63343EC4"/>
    <w:rsid w:val="637D1D0F"/>
    <w:rsid w:val="63DE27AE"/>
    <w:rsid w:val="647F7E2A"/>
    <w:rsid w:val="68555008"/>
    <w:rsid w:val="68863414"/>
    <w:rsid w:val="68921DB9"/>
    <w:rsid w:val="68A35D74"/>
    <w:rsid w:val="6942733B"/>
    <w:rsid w:val="69951B60"/>
    <w:rsid w:val="6A070584"/>
    <w:rsid w:val="6A2E5B11"/>
    <w:rsid w:val="6A4C3669"/>
    <w:rsid w:val="6A75038E"/>
    <w:rsid w:val="6B376C47"/>
    <w:rsid w:val="6B594E10"/>
    <w:rsid w:val="6BFD4E2B"/>
    <w:rsid w:val="6C0C2A32"/>
    <w:rsid w:val="6FC36CFC"/>
    <w:rsid w:val="702F488E"/>
    <w:rsid w:val="70C525FF"/>
    <w:rsid w:val="711C2B67"/>
    <w:rsid w:val="71347EB1"/>
    <w:rsid w:val="71DE0547"/>
    <w:rsid w:val="729606F7"/>
    <w:rsid w:val="73EB05CF"/>
    <w:rsid w:val="73F676A0"/>
    <w:rsid w:val="74EB4D2A"/>
    <w:rsid w:val="75864A32"/>
    <w:rsid w:val="76A01B45"/>
    <w:rsid w:val="78082484"/>
    <w:rsid w:val="780D7267"/>
    <w:rsid w:val="78395DAD"/>
    <w:rsid w:val="78412EB3"/>
    <w:rsid w:val="799C2A97"/>
    <w:rsid w:val="79CB6ED9"/>
    <w:rsid w:val="7A0B3779"/>
    <w:rsid w:val="7A7632E8"/>
    <w:rsid w:val="7B046B46"/>
    <w:rsid w:val="7C127041"/>
    <w:rsid w:val="7D1F30DA"/>
    <w:rsid w:val="7D5E0064"/>
    <w:rsid w:val="7E01736D"/>
    <w:rsid w:val="7F090A69"/>
    <w:rsid w:val="7F173325"/>
    <w:rsid w:val="7FE5681A"/>
    <w:rsid w:val="7FF26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spacing w:before="400" w:after="120"/>
      <w:ind w:left="432" w:hanging="432"/>
      <w:outlineLvl w:val="0"/>
    </w:pPr>
    <w:rPr>
      <w:rFonts w:ascii="微软雅黑" w:hAnsi="微软雅黑" w:eastAsia="微软雅黑" w:cs="微软雅黑"/>
      <w:b/>
      <w:color w:val="003764"/>
      <w:kern w:val="0"/>
      <w:sz w:val="40"/>
      <w:szCs w:val="32"/>
      <w:lang w:val="en-GB" w:eastAsia="en-US"/>
    </w:rPr>
  </w:style>
  <w:style w:type="paragraph" w:styleId="3">
    <w:name w:val="heading 2"/>
    <w:basedOn w:val="1"/>
    <w:next w:val="1"/>
    <w:unhideWhenUsed/>
    <w:qFormat/>
    <w:uiPriority w:val="9"/>
    <w:pPr>
      <w:keepNext/>
      <w:keepLines/>
      <w:numPr>
        <w:ilvl w:val="1"/>
        <w:numId w:val="2"/>
      </w:numPr>
      <w:spacing w:before="260" w:after="260" w:line="416" w:lineRule="auto"/>
      <w:outlineLvl w:val="1"/>
    </w:pPr>
    <w:rPr>
      <w:rFonts w:ascii="Cambria" w:hAnsi="Cambria" w:eastAsia="宋体" w:cs="Times New Roman"/>
      <w:b/>
      <w:bCs/>
      <w:sz w:val="32"/>
      <w:szCs w:val="32"/>
    </w:rPr>
  </w:style>
  <w:style w:type="paragraph" w:styleId="4">
    <w:name w:val="heading 3"/>
    <w:basedOn w:val="1"/>
    <w:next w:val="1"/>
    <w:unhideWhenUsed/>
    <w:qFormat/>
    <w:uiPriority w:val="9"/>
    <w:pPr>
      <w:keepNext/>
      <w:keepLines/>
      <w:numPr>
        <w:ilvl w:val="2"/>
        <w:numId w:val="2"/>
      </w:numPr>
      <w:spacing w:before="260" w:after="260" w:line="416" w:lineRule="auto"/>
      <w:outlineLvl w:val="2"/>
    </w:pPr>
    <w:rPr>
      <w:rFonts w:ascii="Calibri" w:hAnsi="Calibri" w:eastAsia="宋体" w:cs="Times New Roman"/>
      <w:b/>
      <w:bCs/>
      <w:sz w:val="32"/>
      <w:szCs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6">
    <w:name w:val="Normal Indent"/>
    <w:qFormat/>
    <w:uiPriority w:val="99"/>
    <w:pPr>
      <w:widowControl w:val="0"/>
      <w:ind w:firstLine="420" w:firstLineChars="200"/>
      <w:jc w:val="both"/>
    </w:pPr>
    <w:rPr>
      <w:rFonts w:ascii="Times New Roman" w:hAnsi="Times New Roman" w:eastAsia="宋体" w:cs="Times New Roman"/>
      <w:kern w:val="0"/>
      <w:sz w:val="20"/>
      <w:szCs w:val="24"/>
      <w:lang w:val="en-US" w:eastAsia="zh-CN" w:bidi="ar-SA"/>
    </w:rPr>
  </w:style>
  <w:style w:type="paragraph" w:styleId="7">
    <w:name w:val="index 5"/>
    <w:basedOn w:val="1"/>
    <w:next w:val="1"/>
    <w:qFormat/>
    <w:uiPriority w:val="2"/>
    <w:pPr>
      <w:widowControl w:val="0"/>
      <w:ind w:left="1680"/>
      <w:jc w:val="both"/>
    </w:pPr>
    <w:rPr>
      <w:rFonts w:ascii="Calibri" w:hAnsi="Calibri" w:eastAsia="宋体" w:cs="Times New Roman"/>
      <w:kern w:val="2"/>
      <w:sz w:val="21"/>
      <w:szCs w:val="24"/>
      <w:lang w:val="en-US" w:eastAsia="zh-CN" w:bidi="ar-SA"/>
    </w:rPr>
  </w:style>
  <w:style w:type="paragraph" w:styleId="8">
    <w:name w:val="index 6"/>
    <w:basedOn w:val="1"/>
    <w:next w:val="1"/>
    <w:qFormat/>
    <w:uiPriority w:val="0"/>
    <w:pPr>
      <w:widowControl w:val="0"/>
      <w:ind w:firstLine="840"/>
      <w:jc w:val="both"/>
    </w:pPr>
    <w:rPr>
      <w:rFonts w:ascii="Calibri" w:hAnsi="Calibri" w:eastAsia="宋体" w:cs="Arial"/>
      <w:kern w:val="2"/>
      <w:sz w:val="21"/>
      <w:szCs w:val="24"/>
      <w:lang w:val="en-US" w:eastAsia="zh-CN" w:bidi="ar-SA"/>
    </w:rPr>
  </w:style>
  <w:style w:type="paragraph" w:styleId="9">
    <w:name w:val="Body Text"/>
    <w:basedOn w:val="1"/>
    <w:next w:val="10"/>
    <w:unhideWhenUsed/>
    <w:qFormat/>
    <w:uiPriority w:val="99"/>
    <w:pPr>
      <w:widowControl w:val="0"/>
      <w:spacing w:after="120"/>
      <w:jc w:val="both"/>
    </w:pPr>
    <w:rPr>
      <w:rFonts w:ascii="Calibri" w:hAnsi="Calibri" w:eastAsia="宋体" w:cs="Times New Roman"/>
      <w:kern w:val="2"/>
      <w:sz w:val="21"/>
      <w:szCs w:val="24"/>
      <w:lang w:val="en-US" w:eastAsia="zh-CN" w:bidi="ar-SA"/>
    </w:rPr>
  </w:style>
  <w:style w:type="paragraph" w:styleId="10">
    <w:name w:val="footer"/>
    <w:basedOn w:val="1"/>
    <w:next w:val="7"/>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paragraph" w:styleId="11">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9"/>
    <w:next w:val="8"/>
    <w:unhideWhenUsed/>
    <w:qFormat/>
    <w:uiPriority w:val="0"/>
    <w:pPr>
      <w:widowControl w:val="0"/>
      <w:spacing w:after="120"/>
      <w:ind w:firstLine="420" w:firstLineChars="100"/>
      <w:jc w:val="both"/>
    </w:pPr>
    <w:rPr>
      <w:rFonts w:ascii="Calibri" w:hAnsi="Calibri" w:eastAsia="宋体" w:cs="Times New Roman"/>
      <w:kern w:val="2"/>
      <w:sz w:val="21"/>
      <w:szCs w:val="24"/>
      <w:lang w:val="en-US" w:eastAsia="zh-CN" w:bidi="ar-SA"/>
    </w:rPr>
  </w:style>
  <w:style w:type="table" w:styleId="15">
    <w:name w:val="Table Gri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AnnotationText"/>
    <w:basedOn w:val="1"/>
    <w:autoRedefine/>
    <w:qFormat/>
    <w:uiPriority w:val="0"/>
    <w:pPr>
      <w:jc w:val="left"/>
    </w:pPr>
  </w:style>
  <w:style w:type="character" w:customStyle="1" w:styleId="18">
    <w:name w:val="NormalCharacter"/>
    <w:autoRedefine/>
    <w:qFormat/>
    <w:uiPriority w:val="0"/>
  </w:style>
  <w:style w:type="paragraph" w:styleId="19">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3534</Words>
  <Characters>3909</Characters>
  <Lines>0</Lines>
  <Paragraphs>0</Paragraphs>
  <TotalTime>0</TotalTime>
  <ScaleCrop>false</ScaleCrop>
  <LinksUpToDate>false</LinksUpToDate>
  <CharactersWithSpaces>3934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2024-09-13T05:37:00Z</dcterms:created>
  <dc:creator>admin</dc:creator>
  <cp:lastModifiedBy>hncst1117</cp:lastModifiedBy>
  <dcterms:modified xsi:type="dcterms:W3CDTF">2026-10-22T06:38:56Z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2E2B46FAFA2E4D9CB442151A4DCCB456_13</vt:lpwstr>
  </property>
  <property fmtid="{D5CDD505-2E9C-101B-9397-08002B2CF9AE}" pid="4" name="KSOTemplateDocerSaveRecord">
    <vt:lpwstr>eyJoZGlkIjoiMDcwNzJlODk4Mjk1ZjFiOTJhNWNkOWViMGVkYWI4NzUiLCJ1c2VySWQiOiI1MTk2NjM3MDcifQ==</vt:lpwstr>
  </property>
</Properties>
</file>