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E2F4E">
      <w:pPr>
        <w:keepNext w:val="0"/>
        <w:keepLines w:val="0"/>
        <w:pageBreakBefore w:val="0"/>
        <w:wordWrap/>
        <w:topLinePunct w:val="0"/>
        <w:bidi w:val="0"/>
        <w:spacing w:line="590" w:lineRule="exact"/>
        <w:jc w:val="center"/>
        <w:outlineLvl w:val="0"/>
        <w:rPr>
          <w:rFonts w:hint="eastAsia" w:ascii="方正小标宋简体" w:hAnsi="方正小标宋简体" w:eastAsia="方正小标宋简体" w:cs="方正小标宋简体"/>
          <w:spacing w:val="0"/>
          <w:sz w:val="44"/>
          <w:szCs w:val="44"/>
          <w:lang w:val="en-US" w:eastAsia="zh-CN"/>
        </w:rPr>
      </w:pPr>
      <w:r>
        <w:rPr>
          <w:rFonts w:hint="eastAsia" w:ascii="方正小标宋简体" w:hAnsi="方正小标宋简体" w:eastAsia="方正小标宋简体" w:cs="方正小标宋简体"/>
          <w:spacing w:val="0"/>
          <w:sz w:val="44"/>
          <w:szCs w:val="44"/>
          <w:lang w:val="en-US" w:eastAsia="zh-CN"/>
        </w:rPr>
        <w:t>2026年海南省高等职业院校技能大赛</w:t>
      </w:r>
    </w:p>
    <w:p w14:paraId="52290FCC">
      <w:pPr>
        <w:keepNext w:val="0"/>
        <w:keepLines w:val="0"/>
        <w:pageBreakBefore w:val="0"/>
        <w:wordWrap/>
        <w:topLinePunct w:val="0"/>
        <w:bidi w:val="0"/>
        <w:spacing w:line="590" w:lineRule="exact"/>
        <w:jc w:val="center"/>
        <w:outlineLvl w:val="9"/>
        <w:rPr>
          <w:rFonts w:hint="eastAsia" w:ascii="方正小标宋_GBK" w:hAnsi="方正小标宋_GBK" w:eastAsia="方正小标宋_GBK" w:cs="方正小标宋_GBK"/>
          <w:b w:val="0"/>
          <w:bCs w:val="0"/>
          <w:color w:val="auto"/>
          <w:spacing w:val="0"/>
          <w:sz w:val="44"/>
          <w:szCs w:val="44"/>
        </w:rPr>
      </w:pPr>
      <w:r>
        <w:rPr>
          <w:rFonts w:hint="eastAsia" w:ascii="方正小标宋简体" w:hAnsi="方正小标宋简体" w:eastAsia="方正小标宋简体" w:cs="方正小标宋简体"/>
          <w:spacing w:val="0"/>
          <w:sz w:val="44"/>
          <w:szCs w:val="44"/>
          <w:lang w:val="en-US" w:eastAsia="zh-CN"/>
        </w:rPr>
        <w:t>医药生产与经营赛道—药学技能赛项规程</w:t>
      </w:r>
    </w:p>
    <w:p w14:paraId="1AA62CBD">
      <w:pPr>
        <w:keepNext w:val="0"/>
        <w:keepLines w:val="0"/>
        <w:pageBreakBefore w:val="0"/>
        <w:widowControl/>
        <w:wordWrap/>
        <w:topLinePunct w:val="0"/>
        <w:bidi w:val="0"/>
        <w:spacing w:line="590" w:lineRule="exact"/>
        <w:rPr>
          <w:color w:val="auto"/>
        </w:rPr>
      </w:pPr>
    </w:p>
    <w:p w14:paraId="203F0619">
      <w:pPr>
        <w:keepNext w:val="0"/>
        <w:keepLines w:val="0"/>
        <w:pageBreakBefore w:val="0"/>
        <w:numPr>
          <w:ilvl w:val="0"/>
          <w:numId w:val="1"/>
        </w:numPr>
        <w:wordWrap/>
        <w:overflowPunct/>
        <w:topLinePunct w:val="0"/>
        <w:bidi w:val="0"/>
        <w:adjustRightInd w:val="0"/>
        <w:snapToGrid w:val="0"/>
        <w:spacing w:beforeAutospacing="0" w:afterAutospacing="0" w:line="540" w:lineRule="exact"/>
        <w:ind w:left="0" w:leftChars="0" w:right="0" w:firstLine="528" w:firstLineChars="200"/>
        <w:jc w:val="left"/>
        <w:outlineLvl w:val="0"/>
        <w:rPr>
          <w:rFonts w:hint="default" w:ascii="黑体" w:hAnsi="黑体" w:eastAsia="黑体" w:cs="黑体"/>
          <w:b w:val="0"/>
          <w:bCs w:val="0"/>
          <w:color w:val="auto"/>
          <w:spacing w:val="-8"/>
          <w:kern w:val="2"/>
          <w:sz w:val="28"/>
          <w:szCs w:val="28"/>
          <w:lang w:val="en-US" w:eastAsia="zh-CN" w:bidi="ar-SA"/>
        </w:rPr>
      </w:pPr>
      <w:r>
        <w:rPr>
          <w:rFonts w:hint="eastAsia" w:ascii="黑体" w:hAnsi="黑体" w:eastAsia="黑体" w:cs="黑体"/>
          <w:b w:val="0"/>
          <w:bCs w:val="0"/>
          <w:color w:val="auto"/>
          <w:spacing w:val="-8"/>
          <w:kern w:val="2"/>
          <w:sz w:val="28"/>
          <w:szCs w:val="28"/>
          <w:lang w:val="en-US" w:eastAsia="zh-CN" w:bidi="ar-SA"/>
        </w:rPr>
        <w:t>赛项信息</w:t>
      </w:r>
    </w:p>
    <w:p w14:paraId="09803151">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40" w:lineRule="exact"/>
        <w:ind w:left="0" w:leftChars="0" w:right="0" w:rightChars="0" w:firstLine="528" w:firstLineChars="200"/>
        <w:jc w:val="left"/>
        <w:textAlignment w:val="auto"/>
        <w:outlineLvl w:val="9"/>
        <w:rPr>
          <w:rFonts w:hint="default" w:ascii="方正仿宋_GB2312" w:hAnsi="方正仿宋_GB2312" w:eastAsia="方正仿宋_GB2312" w:cs="方正仿宋_GB2312"/>
          <w:b w:val="0"/>
          <w:bCs w:val="0"/>
          <w:color w:val="auto"/>
          <w:spacing w:val="-8"/>
          <w:kern w:val="2"/>
          <w:sz w:val="28"/>
          <w:szCs w:val="28"/>
          <w:lang w:val="en-US" w:eastAsia="zh-CN" w:bidi="ar-SA"/>
        </w:rPr>
      </w:pPr>
      <w:r>
        <w:rPr>
          <w:rFonts w:hint="eastAsia" w:ascii="方正仿宋_GB2312" w:hAnsi="方正仿宋_GB2312" w:eastAsia="方正仿宋_GB2312" w:cs="方正仿宋_GB2312"/>
          <w:b w:val="0"/>
          <w:bCs w:val="0"/>
          <w:color w:val="auto"/>
          <w:spacing w:val="-8"/>
          <w:kern w:val="2"/>
          <w:sz w:val="28"/>
          <w:szCs w:val="28"/>
          <w:lang w:val="en-US" w:eastAsia="zh-CN" w:bidi="ar-SA"/>
        </w:rPr>
        <w:t>赛道名称：医药生产与经营赛道</w:t>
      </w:r>
    </w:p>
    <w:p w14:paraId="38F92BC4">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40" w:lineRule="exact"/>
        <w:ind w:left="0" w:leftChars="0" w:right="0" w:rightChars="0" w:firstLine="528" w:firstLineChars="200"/>
        <w:jc w:val="left"/>
        <w:textAlignment w:val="auto"/>
        <w:outlineLvl w:val="9"/>
        <w:rPr>
          <w:rFonts w:hint="default" w:ascii="方正仿宋_GB2312" w:hAnsi="方正仿宋_GB2312" w:eastAsia="方正仿宋_GB2312" w:cs="方正仿宋_GB2312"/>
          <w:b w:val="0"/>
          <w:bCs w:val="0"/>
          <w:color w:val="auto"/>
          <w:spacing w:val="-8"/>
          <w:kern w:val="2"/>
          <w:sz w:val="28"/>
          <w:szCs w:val="28"/>
          <w:lang w:val="en-US" w:eastAsia="zh-CN" w:bidi="ar-SA"/>
        </w:rPr>
      </w:pPr>
      <w:r>
        <w:rPr>
          <w:rFonts w:hint="eastAsia" w:ascii="方正仿宋_GB2312" w:hAnsi="方正仿宋_GB2312" w:eastAsia="方正仿宋_GB2312" w:cs="方正仿宋_GB2312"/>
          <w:b w:val="0"/>
          <w:bCs w:val="0"/>
          <w:color w:val="auto"/>
          <w:spacing w:val="-8"/>
          <w:kern w:val="2"/>
          <w:sz w:val="28"/>
          <w:szCs w:val="28"/>
          <w:lang w:val="en-US" w:eastAsia="zh-CN" w:bidi="ar-SA"/>
        </w:rPr>
        <w:t>赛项组别：高等职业教育</w:t>
      </w:r>
    </w:p>
    <w:p w14:paraId="19F2A70C">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40" w:lineRule="exact"/>
        <w:ind w:left="0" w:leftChars="0" w:right="0" w:rightChars="0" w:firstLine="528" w:firstLineChars="200"/>
        <w:jc w:val="left"/>
        <w:textAlignment w:val="auto"/>
        <w:outlineLvl w:val="9"/>
        <w:rPr>
          <w:rFonts w:hint="default" w:ascii="方正仿宋_GB2312" w:hAnsi="方正仿宋_GB2312" w:eastAsia="方正仿宋_GB2312" w:cs="方正仿宋_GB2312"/>
          <w:b w:val="0"/>
          <w:bCs w:val="0"/>
          <w:color w:val="auto"/>
          <w:spacing w:val="-8"/>
          <w:kern w:val="2"/>
          <w:sz w:val="28"/>
          <w:szCs w:val="28"/>
          <w:lang w:val="en-US" w:eastAsia="zh-CN" w:bidi="ar-SA"/>
        </w:rPr>
      </w:pPr>
      <w:r>
        <w:rPr>
          <w:rFonts w:hint="eastAsia" w:ascii="方正仿宋_GB2312" w:hAnsi="方正仿宋_GB2312" w:eastAsia="方正仿宋_GB2312" w:cs="方正仿宋_GB2312"/>
          <w:b w:val="0"/>
          <w:bCs w:val="0"/>
          <w:color w:val="auto"/>
          <w:spacing w:val="-8"/>
          <w:kern w:val="2"/>
          <w:sz w:val="28"/>
          <w:szCs w:val="28"/>
          <w:lang w:val="en-US" w:eastAsia="zh-CN" w:bidi="ar-SA"/>
        </w:rPr>
        <w:t>竞赛形式：个人赛</w:t>
      </w:r>
    </w:p>
    <w:p w14:paraId="42CFFB31">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40" w:lineRule="exact"/>
        <w:ind w:left="0" w:leftChars="0" w:right="0" w:rightChars="0" w:firstLine="528" w:firstLineChars="200"/>
        <w:jc w:val="left"/>
        <w:textAlignment w:val="auto"/>
        <w:outlineLvl w:val="9"/>
        <w:rPr>
          <w:rFonts w:hint="default" w:ascii="方正仿宋_GB2312" w:hAnsi="方正仿宋_GB2312" w:eastAsia="方正仿宋_GB2312" w:cs="方正仿宋_GB2312"/>
          <w:b w:val="0"/>
          <w:bCs w:val="0"/>
          <w:color w:val="auto"/>
          <w:spacing w:val="-8"/>
          <w:kern w:val="2"/>
          <w:sz w:val="28"/>
          <w:szCs w:val="28"/>
          <w:lang w:val="en-US" w:eastAsia="zh-CN" w:bidi="ar-SA"/>
        </w:rPr>
      </w:pPr>
      <w:r>
        <w:rPr>
          <w:rFonts w:hint="eastAsia" w:ascii="方正仿宋_GB2312" w:hAnsi="方正仿宋_GB2312" w:eastAsia="方正仿宋_GB2312" w:cs="方正仿宋_GB2312"/>
          <w:b w:val="0"/>
          <w:bCs w:val="0"/>
          <w:color w:val="auto"/>
          <w:spacing w:val="-8"/>
          <w:kern w:val="2"/>
          <w:sz w:val="28"/>
          <w:szCs w:val="28"/>
          <w:lang w:val="en-US" w:eastAsia="zh-CN" w:bidi="ar-SA"/>
        </w:rPr>
        <w:t>对应职业标准：医药商品购销员（4-01-99-01）</w:t>
      </w:r>
    </w:p>
    <w:p w14:paraId="05CE7B83">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40" w:lineRule="exact"/>
        <w:ind w:left="0" w:leftChars="0" w:right="0" w:rightChars="0" w:firstLine="528" w:firstLineChars="200"/>
        <w:jc w:val="left"/>
        <w:textAlignment w:val="auto"/>
        <w:outlineLvl w:val="9"/>
        <w:rPr>
          <w:rFonts w:hint="default" w:ascii="方正仿宋_GB2312" w:hAnsi="方正仿宋_GB2312" w:eastAsia="方正仿宋_GB2312" w:cs="方正仿宋_GB2312"/>
          <w:b w:val="0"/>
          <w:bCs w:val="0"/>
          <w:color w:val="auto"/>
          <w:spacing w:val="-8"/>
          <w:kern w:val="2"/>
          <w:sz w:val="28"/>
          <w:szCs w:val="28"/>
          <w:lang w:val="en-US" w:eastAsia="zh-CN" w:bidi="ar-SA"/>
        </w:rPr>
      </w:pPr>
      <w:r>
        <w:rPr>
          <w:rFonts w:hint="eastAsia" w:ascii="方正仿宋_GB2312" w:hAnsi="方正仿宋_GB2312" w:eastAsia="方正仿宋_GB2312" w:cs="方正仿宋_GB2312"/>
          <w:b w:val="0"/>
          <w:bCs w:val="0"/>
          <w:color w:val="auto"/>
          <w:spacing w:val="-8"/>
          <w:kern w:val="2"/>
          <w:sz w:val="28"/>
          <w:szCs w:val="28"/>
          <w:lang w:val="en-US" w:eastAsia="zh-CN" w:bidi="ar-SA"/>
        </w:rPr>
        <w:t>赛项归属产业：医药制造业；批发与零售业（医药商品流通）、医药批发与零售业、现代物流业、健康服务与促进业</w:t>
      </w:r>
    </w:p>
    <w:p w14:paraId="0B89476F">
      <w:pPr>
        <w:keepNext w:val="0"/>
        <w:keepLines w:val="0"/>
        <w:pageBreakBefore w:val="0"/>
        <w:numPr>
          <w:ilvl w:val="0"/>
          <w:numId w:val="1"/>
        </w:numPr>
        <w:wordWrap/>
        <w:overflowPunct/>
        <w:topLinePunct w:val="0"/>
        <w:bidi w:val="0"/>
        <w:adjustRightInd w:val="0"/>
        <w:snapToGrid w:val="0"/>
        <w:spacing w:beforeAutospacing="0" w:afterAutospacing="0" w:line="540" w:lineRule="exact"/>
        <w:ind w:left="0" w:leftChars="0" w:right="0" w:firstLine="528" w:firstLineChars="200"/>
        <w:jc w:val="left"/>
        <w:outlineLvl w:val="0"/>
        <w:rPr>
          <w:rFonts w:hint="default" w:ascii="黑体" w:hAnsi="黑体" w:eastAsia="黑体" w:cs="黑体"/>
          <w:b w:val="0"/>
          <w:bCs w:val="0"/>
          <w:color w:val="auto"/>
          <w:spacing w:val="-8"/>
          <w:kern w:val="2"/>
          <w:sz w:val="28"/>
          <w:szCs w:val="28"/>
          <w:lang w:val="en-US" w:eastAsia="zh-CN" w:bidi="ar-SA"/>
        </w:rPr>
      </w:pPr>
      <w:r>
        <w:rPr>
          <w:rFonts w:hint="eastAsia" w:ascii="黑体" w:hAnsi="黑体" w:eastAsia="黑体" w:cs="黑体"/>
          <w:b w:val="0"/>
          <w:bCs w:val="0"/>
          <w:color w:val="auto"/>
          <w:spacing w:val="-8"/>
          <w:kern w:val="2"/>
          <w:sz w:val="28"/>
          <w:szCs w:val="28"/>
          <w:lang w:val="en-US" w:eastAsia="zh-CN" w:bidi="ar-SA"/>
        </w:rPr>
        <w:t>竞赛目的</w:t>
      </w:r>
    </w:p>
    <w:p w14:paraId="3450E6FD">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firstLine="560" w:firstLineChars="200"/>
        <w:jc w:val="left"/>
        <w:textAlignment w:val="auto"/>
        <w:rPr>
          <w:rFonts w:hint="eastAsia" w:ascii="方正仿宋_GB2312" w:hAnsi="方正仿宋_GB2312" w:eastAsia="方正仿宋_GB2312" w:cs="方正仿宋_GB2312"/>
          <w:color w:val="auto"/>
          <w:kern w:val="2"/>
          <w:sz w:val="28"/>
          <w:szCs w:val="28"/>
          <w:lang w:val="en-US" w:eastAsia="zh-CN" w:bidi="ar-SA"/>
        </w:rPr>
      </w:pPr>
      <w:r>
        <w:rPr>
          <w:rFonts w:hint="eastAsia" w:ascii="方正仿宋_GB2312" w:hAnsi="方正仿宋_GB2312" w:eastAsia="方正仿宋_GB2312" w:cs="方正仿宋_GB2312"/>
          <w:color w:val="auto"/>
          <w:kern w:val="2"/>
          <w:sz w:val="28"/>
          <w:szCs w:val="28"/>
          <w:lang w:val="en-US" w:eastAsia="zh-CN" w:bidi="ar-SA"/>
        </w:rPr>
        <w:t>以习近平新时代中国特色社会主义思想为指导，深入贯彻落实全国职业教育大会精神，以提升高职药学类专业学生技术技能水平、培育工匠精神为宗旨。赛项依据《医药商品购销员国家职业标准》高级工（三级）要求编制，适当增加医药行业新知识、新技术、新规范等内容</w:t>
      </w:r>
      <w:r>
        <w:rPr>
          <w:rFonts w:hint="eastAsia" w:ascii="方正仿宋_GB2312" w:hAnsi="方正仿宋_GB2312" w:eastAsia="方正仿宋_GB2312" w:cs="方正仿宋_GB2312"/>
          <w:color w:val="auto"/>
          <w:kern w:val="2"/>
          <w:sz w:val="28"/>
          <w:szCs w:val="28"/>
          <w:lang w:val="en-US" w:eastAsia="zh-CN" w:bidi="ar-SA"/>
        </w:rPr>
        <w:fldChar w:fldCharType="begin"/>
      </w:r>
      <w:r>
        <w:rPr>
          <w:rFonts w:hint="eastAsia" w:ascii="方正仿宋_GB2312" w:hAnsi="方正仿宋_GB2312" w:eastAsia="方正仿宋_GB2312" w:cs="方正仿宋_GB2312"/>
          <w:color w:val="auto"/>
          <w:kern w:val="2"/>
          <w:sz w:val="28"/>
          <w:szCs w:val="28"/>
          <w:lang w:val="en-US" w:eastAsia="zh-CN" w:bidi="ar-SA"/>
        </w:rPr>
        <w:instrText xml:space="preserve"> HYPERLINK "https://hrss.hangzhou.gov.cn/art/2025/7/31/art_1229125920_4384635.html" \t "https://_blank" </w:instrText>
      </w:r>
      <w:r>
        <w:rPr>
          <w:rFonts w:hint="eastAsia" w:ascii="方正仿宋_GB2312" w:hAnsi="方正仿宋_GB2312" w:eastAsia="方正仿宋_GB2312" w:cs="方正仿宋_GB2312"/>
          <w:color w:val="auto"/>
          <w:kern w:val="2"/>
          <w:sz w:val="28"/>
          <w:szCs w:val="28"/>
          <w:lang w:val="en-US" w:eastAsia="zh-CN" w:bidi="ar-SA"/>
        </w:rPr>
        <w:fldChar w:fldCharType="separate"/>
      </w:r>
      <w:r>
        <w:rPr>
          <w:rFonts w:hint="eastAsia" w:ascii="方正仿宋_GB2312" w:hAnsi="方正仿宋_GB2312" w:eastAsia="方正仿宋_GB2312" w:cs="方正仿宋_GB2312"/>
          <w:color w:val="auto"/>
          <w:kern w:val="2"/>
          <w:sz w:val="28"/>
          <w:szCs w:val="28"/>
          <w:lang w:val="en-US" w:eastAsia="zh-CN" w:bidi="ar-SA"/>
        </w:rPr>
        <w:fldChar w:fldCharType="end"/>
      </w:r>
      <w:r>
        <w:rPr>
          <w:rFonts w:hint="eastAsia" w:ascii="方正仿宋_GB2312" w:hAnsi="方正仿宋_GB2312" w:eastAsia="方正仿宋_GB2312" w:cs="方正仿宋_GB2312"/>
          <w:color w:val="auto"/>
          <w:kern w:val="2"/>
          <w:sz w:val="28"/>
          <w:szCs w:val="28"/>
          <w:lang w:val="en-US" w:eastAsia="zh-CN" w:bidi="ar-SA"/>
        </w:rPr>
        <w:t>。</w:t>
      </w:r>
    </w:p>
    <w:p w14:paraId="0EB53316">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firstLine="560" w:firstLineChars="200"/>
        <w:jc w:val="left"/>
        <w:textAlignment w:val="auto"/>
        <w:rPr>
          <w:rFonts w:hint="eastAsia" w:ascii="方正仿宋_GB2312" w:hAnsi="方正仿宋_GB2312" w:eastAsia="方正仿宋_GB2312" w:cs="方正仿宋_GB2312"/>
          <w:color w:val="auto"/>
          <w:kern w:val="2"/>
          <w:sz w:val="28"/>
          <w:szCs w:val="28"/>
          <w:lang w:val="en-US" w:eastAsia="zh-CN" w:bidi="ar-SA"/>
        </w:rPr>
      </w:pPr>
      <w:r>
        <w:rPr>
          <w:rFonts w:hint="eastAsia" w:ascii="方正仿宋_GB2312" w:hAnsi="方正仿宋_GB2312" w:eastAsia="方正仿宋_GB2312" w:cs="方正仿宋_GB2312"/>
          <w:color w:val="auto"/>
          <w:kern w:val="2"/>
          <w:sz w:val="28"/>
          <w:szCs w:val="28"/>
          <w:lang w:val="en-US" w:eastAsia="zh-CN" w:bidi="ar-SA"/>
        </w:rPr>
        <w:t>通过举办本赛项，检验高职药学类专业教学与医药流通行业岗位需求的对接程度，重点考查选手在药品介绍、药品营销、药品保管养护、经济核算等岗位核心技能方面的综合应用能力。推动“以赛促学、以赛促教、以赛促改”，促进产教融合与“课岗证赛”融通，为海南自由贸易港医药健康产业培养高素质技术技能人才。</w:t>
      </w:r>
      <w:r>
        <w:rPr>
          <w:rFonts w:hint="eastAsia" w:ascii="方正仿宋_GB2312" w:hAnsi="方正仿宋_GB2312" w:eastAsia="方正仿宋_GB2312" w:cs="方正仿宋_GB2312"/>
          <w:color w:val="auto"/>
          <w:kern w:val="2"/>
          <w:sz w:val="28"/>
          <w:szCs w:val="28"/>
          <w:lang w:val="en-US" w:eastAsia="zh-CN" w:bidi="ar-SA"/>
        </w:rPr>
        <w:fldChar w:fldCharType="begin"/>
      </w:r>
      <w:r>
        <w:rPr>
          <w:rFonts w:hint="eastAsia" w:ascii="方正仿宋_GB2312" w:hAnsi="方正仿宋_GB2312" w:eastAsia="方正仿宋_GB2312" w:cs="方正仿宋_GB2312"/>
          <w:color w:val="auto"/>
          <w:kern w:val="2"/>
          <w:sz w:val="28"/>
          <w:szCs w:val="28"/>
          <w:lang w:val="en-US" w:eastAsia="zh-CN" w:bidi="ar-SA"/>
        </w:rPr>
        <w:instrText xml:space="preserve"> HYPERLINK "https://edu.hainan.gov.cn/edu/0400/202607/70e7c42612f0422ea40a31de590d26c7.shtml" \l "4#3" \t "https://_blank" </w:instrText>
      </w:r>
      <w:r>
        <w:rPr>
          <w:rFonts w:hint="eastAsia" w:ascii="方正仿宋_GB2312" w:hAnsi="方正仿宋_GB2312" w:eastAsia="方正仿宋_GB2312" w:cs="方正仿宋_GB2312"/>
          <w:color w:val="auto"/>
          <w:kern w:val="2"/>
          <w:sz w:val="28"/>
          <w:szCs w:val="28"/>
          <w:lang w:val="en-US" w:eastAsia="zh-CN" w:bidi="ar-SA"/>
        </w:rPr>
        <w:fldChar w:fldCharType="separate"/>
      </w:r>
      <w:r>
        <w:rPr>
          <w:rFonts w:hint="eastAsia" w:ascii="方正仿宋_GB2312" w:hAnsi="方正仿宋_GB2312" w:eastAsia="方正仿宋_GB2312" w:cs="方正仿宋_GB2312"/>
          <w:color w:val="auto"/>
          <w:kern w:val="2"/>
          <w:sz w:val="28"/>
          <w:szCs w:val="28"/>
          <w:lang w:val="en-US" w:eastAsia="zh-CN" w:bidi="ar-SA"/>
        </w:rPr>
        <w:fldChar w:fldCharType="end"/>
      </w:r>
    </w:p>
    <w:p w14:paraId="5701401B">
      <w:pPr>
        <w:keepNext w:val="0"/>
        <w:keepLines w:val="0"/>
        <w:pageBreakBefore w:val="0"/>
        <w:numPr>
          <w:ilvl w:val="0"/>
          <w:numId w:val="1"/>
        </w:numPr>
        <w:wordWrap/>
        <w:overflowPunct/>
        <w:topLinePunct w:val="0"/>
        <w:bidi w:val="0"/>
        <w:adjustRightInd w:val="0"/>
        <w:snapToGrid w:val="0"/>
        <w:spacing w:beforeAutospacing="0" w:afterAutospacing="0" w:line="540" w:lineRule="exact"/>
        <w:ind w:left="0" w:leftChars="0" w:right="0" w:firstLine="528" w:firstLineChars="200"/>
        <w:jc w:val="left"/>
        <w:outlineLvl w:val="0"/>
        <w:rPr>
          <w:rFonts w:hint="default" w:ascii="黑体" w:hAnsi="黑体" w:eastAsia="黑体" w:cs="黑体"/>
          <w:b w:val="0"/>
          <w:bCs w:val="0"/>
          <w:color w:val="auto"/>
          <w:spacing w:val="-8"/>
          <w:kern w:val="2"/>
          <w:sz w:val="28"/>
          <w:szCs w:val="28"/>
          <w:lang w:val="en-US" w:eastAsia="zh-CN" w:bidi="ar-SA"/>
        </w:rPr>
      </w:pPr>
      <w:r>
        <w:rPr>
          <w:rFonts w:hint="eastAsia" w:ascii="黑体" w:hAnsi="黑体" w:eastAsia="黑体" w:cs="黑体"/>
          <w:b w:val="0"/>
          <w:bCs w:val="0"/>
          <w:color w:val="auto"/>
          <w:spacing w:val="-8"/>
          <w:kern w:val="2"/>
          <w:sz w:val="28"/>
          <w:szCs w:val="28"/>
          <w:lang w:val="en-US" w:eastAsia="zh-CN" w:bidi="ar-SA"/>
        </w:rPr>
        <w:t>竞赛内容</w:t>
      </w:r>
    </w:p>
    <w:p w14:paraId="317EF414">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firstLine="560" w:firstLineChars="200"/>
        <w:jc w:val="left"/>
        <w:textAlignment w:val="auto"/>
        <w:rPr>
          <w:rFonts w:hint="eastAsia" w:ascii="方正仿宋_GB2312" w:hAnsi="方正仿宋_GB2312" w:eastAsia="方正仿宋_GB2312" w:cs="方正仿宋_GB2312"/>
          <w:color w:val="auto"/>
          <w:kern w:val="2"/>
          <w:sz w:val="28"/>
          <w:szCs w:val="28"/>
          <w:lang w:val="en-US" w:eastAsia="zh-CN" w:bidi="ar-SA"/>
        </w:rPr>
      </w:pPr>
      <w:r>
        <w:rPr>
          <w:rFonts w:hint="eastAsia" w:ascii="方正仿宋_GB2312" w:hAnsi="方正仿宋_GB2312" w:eastAsia="方正仿宋_GB2312" w:cs="方正仿宋_GB2312"/>
          <w:color w:val="auto"/>
          <w:kern w:val="2"/>
          <w:sz w:val="28"/>
          <w:szCs w:val="28"/>
          <w:lang w:val="en-US" w:eastAsia="zh-CN" w:bidi="ar-SA"/>
        </w:rPr>
        <w:t>技术理论竞赛采用百分制闭卷方式上机考试，题型为单项选择题、判断题、多项选择题，成绩按20％计入选手总成绩；技能操作竞赛采用现场实操、情景模拟等方式，现场技能操作选手随机抽题签或工位，按照要求在规定时间内完成竞赛项目，裁判员现场实时评分，各项目总分为100分，成绩按80％计入选手总成绩。技术理论竞赛部分考试时间40分钟，技能操作竞赛部分分为笔试与实操，考试时间120分钟。</w:t>
      </w:r>
    </w:p>
    <w:p w14:paraId="6E46FE68">
      <w:pPr>
        <w:pStyle w:val="2"/>
        <w:keepNext w:val="0"/>
        <w:keepLines w:val="0"/>
        <w:pageBreakBefore w:val="0"/>
        <w:widowControl w:val="0"/>
        <w:numPr>
          <w:ilvl w:val="0"/>
          <w:numId w:val="2"/>
        </w:numPr>
        <w:kinsoku w:val="0"/>
        <w:wordWrap/>
        <w:overflowPunct/>
        <w:topLinePunct w:val="0"/>
        <w:autoSpaceDE w:val="0"/>
        <w:autoSpaceDN w:val="0"/>
        <w:bidi w:val="0"/>
        <w:adjustRightInd w:val="0"/>
        <w:snapToGrid w:val="0"/>
        <w:spacing w:beforeAutospacing="0" w:after="0" w:afterAutospacing="0" w:line="540" w:lineRule="exact"/>
        <w:ind w:left="0" w:leftChars="0" w:firstLine="562" w:firstLineChars="200"/>
        <w:jc w:val="left"/>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 xml:space="preserve">技术理论 </w:t>
      </w:r>
    </w:p>
    <w:p w14:paraId="71207121">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firstLine="560" w:firstLineChars="200"/>
        <w:jc w:val="left"/>
        <w:textAlignment w:val="auto"/>
        <w:rPr>
          <w:rFonts w:hint="eastAsia" w:ascii="方正仿宋_GB2312" w:hAnsi="方正仿宋_GB2312" w:eastAsia="方正仿宋_GB2312" w:cs="方正仿宋_GB2312"/>
          <w:color w:val="auto"/>
          <w:kern w:val="2"/>
          <w:sz w:val="28"/>
          <w:szCs w:val="28"/>
          <w:lang w:val="en-US" w:eastAsia="zh-CN" w:bidi="ar-SA"/>
        </w:rPr>
      </w:pPr>
      <w:r>
        <w:rPr>
          <w:rFonts w:hint="eastAsia" w:ascii="方正仿宋_GB2312" w:hAnsi="方正仿宋_GB2312" w:eastAsia="方正仿宋_GB2312" w:cs="方正仿宋_GB2312"/>
          <w:color w:val="auto"/>
          <w:kern w:val="2"/>
          <w:sz w:val="28"/>
          <w:szCs w:val="28"/>
          <w:lang w:val="en-US" w:eastAsia="zh-CN" w:bidi="ar-SA"/>
        </w:rPr>
        <w:t xml:space="preserve">药品购销员技术理论竞赛共计90题，包括单项选择题60题、判断20题，每题1分；多项选择题10题，每题2分，共计100分。 </w:t>
      </w:r>
    </w:p>
    <w:p w14:paraId="3E019B63">
      <w:pPr>
        <w:pStyle w:val="2"/>
        <w:keepNext w:val="0"/>
        <w:keepLines w:val="0"/>
        <w:pageBreakBefore w:val="0"/>
        <w:widowControl w:val="0"/>
        <w:numPr>
          <w:ilvl w:val="0"/>
          <w:numId w:val="3"/>
        </w:numPr>
        <w:kinsoku w:val="0"/>
        <w:wordWrap/>
        <w:overflowPunct/>
        <w:topLinePunct w:val="0"/>
        <w:autoSpaceDE w:val="0"/>
        <w:autoSpaceDN w:val="0"/>
        <w:bidi w:val="0"/>
        <w:adjustRightInd w:val="0"/>
        <w:snapToGrid w:val="0"/>
        <w:spacing w:beforeAutospacing="0" w:after="0" w:afterAutospacing="0" w:line="540" w:lineRule="exact"/>
        <w:ind w:left="0" w:leftChars="0" w:firstLine="562" w:firstLineChars="200"/>
        <w:jc w:val="left"/>
        <w:textAlignment w:val="baseline"/>
        <w:outlineLvl w:val="2"/>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 xml:space="preserve">职业道德和安全知识 </w:t>
      </w:r>
    </w:p>
    <w:p w14:paraId="14D49E6E">
      <w:pPr>
        <w:pStyle w:val="6"/>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540" w:lineRule="exact"/>
        <w:ind w:left="0" w:leftChars="0" w:right="0" w:firstLine="560" w:firstLineChars="200"/>
        <w:jc w:val="left"/>
        <w:textAlignment w:val="auto"/>
        <w:rPr>
          <w:rFonts w:hint="eastAsia" w:ascii="方正仿宋_GB2312" w:hAnsi="方正仿宋_GB2312" w:eastAsia="方正仿宋_GB2312" w:cs="方正仿宋_GB2312"/>
          <w:color w:val="auto"/>
          <w:kern w:val="2"/>
          <w:sz w:val="28"/>
          <w:szCs w:val="28"/>
          <w:lang w:val="en-US" w:eastAsia="zh-CN" w:bidi="ar-SA"/>
        </w:rPr>
      </w:pPr>
      <w:r>
        <w:rPr>
          <w:rFonts w:hint="eastAsia" w:ascii="方正仿宋_GB2312" w:hAnsi="方正仿宋_GB2312" w:eastAsia="方正仿宋_GB2312" w:cs="方正仿宋_GB2312"/>
          <w:color w:val="auto"/>
          <w:kern w:val="2"/>
          <w:sz w:val="28"/>
          <w:szCs w:val="28"/>
          <w:lang w:val="en-US" w:eastAsia="zh-CN" w:bidi="ar-SA"/>
        </w:rPr>
        <w:t xml:space="preserve">职业道德 </w:t>
      </w:r>
    </w:p>
    <w:p w14:paraId="746B21ED">
      <w:pPr>
        <w:pStyle w:val="6"/>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540" w:lineRule="exact"/>
        <w:ind w:left="0" w:leftChars="0" w:right="0" w:firstLine="560" w:firstLineChars="200"/>
        <w:jc w:val="left"/>
        <w:textAlignment w:val="auto"/>
        <w:rPr>
          <w:rFonts w:hint="eastAsia" w:ascii="方正仿宋_GB2312" w:hAnsi="方正仿宋_GB2312" w:eastAsia="方正仿宋_GB2312" w:cs="方正仿宋_GB2312"/>
          <w:color w:val="auto"/>
          <w:kern w:val="2"/>
          <w:sz w:val="28"/>
          <w:szCs w:val="28"/>
          <w:lang w:val="en-US" w:eastAsia="zh-CN" w:bidi="ar-SA"/>
        </w:rPr>
      </w:pPr>
      <w:r>
        <w:rPr>
          <w:rFonts w:hint="eastAsia" w:ascii="方正仿宋_GB2312" w:hAnsi="方正仿宋_GB2312" w:eastAsia="方正仿宋_GB2312" w:cs="方正仿宋_GB2312"/>
          <w:color w:val="auto"/>
          <w:kern w:val="2"/>
          <w:sz w:val="28"/>
          <w:szCs w:val="28"/>
          <w:lang w:val="en-US" w:eastAsia="zh-CN" w:bidi="ar-SA"/>
        </w:rPr>
        <w:t>安全知识</w:t>
      </w:r>
    </w:p>
    <w:p w14:paraId="2F534688">
      <w:pPr>
        <w:pStyle w:val="2"/>
        <w:keepNext w:val="0"/>
        <w:keepLines w:val="0"/>
        <w:pageBreakBefore w:val="0"/>
        <w:widowControl w:val="0"/>
        <w:numPr>
          <w:ilvl w:val="0"/>
          <w:numId w:val="3"/>
        </w:numPr>
        <w:kinsoku w:val="0"/>
        <w:wordWrap/>
        <w:overflowPunct/>
        <w:topLinePunct w:val="0"/>
        <w:autoSpaceDE w:val="0"/>
        <w:autoSpaceDN w:val="0"/>
        <w:bidi w:val="0"/>
        <w:adjustRightInd w:val="0"/>
        <w:snapToGrid w:val="0"/>
        <w:spacing w:beforeAutospacing="0" w:after="0" w:afterAutospacing="0" w:line="540" w:lineRule="exact"/>
        <w:ind w:left="0" w:leftChars="0" w:firstLine="562" w:firstLineChars="200"/>
        <w:jc w:val="left"/>
        <w:textAlignment w:val="baseline"/>
        <w:outlineLvl w:val="2"/>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 xml:space="preserve">法律法规基础知识 </w:t>
      </w:r>
    </w:p>
    <w:p w14:paraId="402C962D">
      <w:pPr>
        <w:keepNext w:val="0"/>
        <w:keepLines w:val="0"/>
        <w:pageBreakBefore w:val="0"/>
        <w:wordWrap/>
        <w:overflowPunct/>
        <w:topLinePunct w:val="0"/>
        <w:bidi w:val="0"/>
        <w:adjustRightInd w:val="0"/>
        <w:snapToGrid w:val="0"/>
        <w:spacing w:beforeAutospacing="0" w:afterAutospacing="0" w:line="540" w:lineRule="exact"/>
        <w:ind w:left="0" w:leftChars="0"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w:t>
      </w:r>
      <w:r>
        <w:rPr>
          <w:rFonts w:hint="eastAsia" w:ascii="方正仿宋_GB2312" w:hAnsi="方正仿宋_GB2312" w:eastAsia="方正仿宋_GB2312" w:cs="方正仿宋_GB2312"/>
          <w:color w:val="auto"/>
          <w:kern w:val="2"/>
          <w:sz w:val="28"/>
          <w:szCs w:val="28"/>
          <w:lang w:val="en-US" w:eastAsia="zh-CN" w:bidi="ar-SA"/>
        </w:rPr>
        <w:t>中华人民共和国药品管理法》《药品经营质量管理规范》《处方药与非处方药分类管理办法（试行）》《处方管理办法》《药品不良反应报告和监测管理办法》《麻醉药品和精神药品管理条例》《医疗用毒性药品管理办法》《药品、医疗器械、保健食品、特殊医学用途配方食品广告审查管理暂行办法》《药品说明书和标签管理规定》《药品召回管理办法》</w:t>
      </w:r>
      <w:r>
        <w:rPr>
          <w:rFonts w:hint="eastAsia" w:ascii="宋体" w:hAnsi="宋体" w:eastAsia="宋体" w:cs="宋体"/>
          <w:color w:val="auto"/>
          <w:sz w:val="28"/>
          <w:szCs w:val="28"/>
          <w:lang w:val="en-US" w:eastAsia="zh-CN"/>
        </w:rPr>
        <w:t xml:space="preserve"> </w:t>
      </w:r>
      <w:r>
        <w:rPr>
          <w:rFonts w:hint="eastAsia" w:ascii="宋体" w:hAnsi="宋体" w:cs="宋体"/>
          <w:color w:val="auto"/>
          <w:sz w:val="28"/>
          <w:szCs w:val="28"/>
          <w:lang w:val="en-US" w:eastAsia="zh-CN"/>
        </w:rPr>
        <w:t>。</w:t>
      </w:r>
    </w:p>
    <w:p w14:paraId="16A1FC5F">
      <w:pPr>
        <w:pStyle w:val="2"/>
        <w:keepNext w:val="0"/>
        <w:keepLines w:val="0"/>
        <w:pageBreakBefore w:val="0"/>
        <w:widowControl w:val="0"/>
        <w:numPr>
          <w:ilvl w:val="0"/>
          <w:numId w:val="3"/>
        </w:numPr>
        <w:kinsoku w:val="0"/>
        <w:wordWrap/>
        <w:overflowPunct/>
        <w:topLinePunct w:val="0"/>
        <w:autoSpaceDE w:val="0"/>
        <w:autoSpaceDN w:val="0"/>
        <w:bidi w:val="0"/>
        <w:adjustRightInd w:val="0"/>
        <w:snapToGrid w:val="0"/>
        <w:spacing w:beforeAutospacing="0" w:after="0" w:afterAutospacing="0" w:line="540" w:lineRule="exact"/>
        <w:ind w:left="0" w:leftChars="0" w:firstLine="562" w:firstLineChars="200"/>
        <w:jc w:val="left"/>
        <w:textAlignment w:val="baseline"/>
        <w:outlineLvl w:val="2"/>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 xml:space="preserve">专业基础知识 </w:t>
      </w:r>
    </w:p>
    <w:p w14:paraId="3C004510">
      <w:pPr>
        <w:keepNext w:val="0"/>
        <w:keepLines w:val="0"/>
        <w:pageBreakBefore w:val="0"/>
        <w:numPr>
          <w:ilvl w:val="0"/>
          <w:numId w:val="0"/>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（1）医学基础知识 </w:t>
      </w:r>
    </w:p>
    <w:p w14:paraId="42A46FAF">
      <w:pPr>
        <w:keepNext w:val="0"/>
        <w:keepLines w:val="0"/>
        <w:pageBreakBefore w:val="0"/>
        <w:numPr>
          <w:ilvl w:val="0"/>
          <w:numId w:val="5"/>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人体构成 </w:t>
      </w:r>
    </w:p>
    <w:p w14:paraId="77DC05B6">
      <w:pPr>
        <w:keepNext w:val="0"/>
        <w:keepLines w:val="0"/>
        <w:pageBreakBefore w:val="0"/>
        <w:numPr>
          <w:ilvl w:val="0"/>
          <w:numId w:val="5"/>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lang w:val="en-US" w:eastAsia="zh-CN"/>
        </w:rPr>
        <w:t xml:space="preserve">医学微生物学 </w:t>
      </w:r>
    </w:p>
    <w:p w14:paraId="0078334E">
      <w:pPr>
        <w:keepNext w:val="0"/>
        <w:keepLines w:val="0"/>
        <w:pageBreakBefore w:val="0"/>
        <w:numPr>
          <w:ilvl w:val="0"/>
          <w:numId w:val="5"/>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免疫学基础 </w:t>
      </w:r>
    </w:p>
    <w:p w14:paraId="39D59EAB">
      <w:pPr>
        <w:keepNext w:val="0"/>
        <w:keepLines w:val="0"/>
        <w:pageBreakBefore w:val="0"/>
        <w:numPr>
          <w:ilvl w:val="0"/>
          <w:numId w:val="5"/>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常见检验指标解读 </w:t>
      </w:r>
    </w:p>
    <w:p w14:paraId="37DC3D2B">
      <w:pPr>
        <w:keepNext w:val="0"/>
        <w:keepLines w:val="0"/>
        <w:pageBreakBefore w:val="0"/>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（2）药物基础知识 </w:t>
      </w:r>
    </w:p>
    <w:p w14:paraId="5E77A2A9">
      <w:pPr>
        <w:keepNext w:val="0"/>
        <w:keepLines w:val="0"/>
        <w:pageBreakBefore w:val="0"/>
        <w:numPr>
          <w:ilvl w:val="0"/>
          <w:numId w:val="6"/>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药物的分类方法 </w:t>
      </w:r>
    </w:p>
    <w:p w14:paraId="168A93D2">
      <w:pPr>
        <w:keepNext w:val="0"/>
        <w:keepLines w:val="0"/>
        <w:pageBreakBefore w:val="0"/>
        <w:numPr>
          <w:ilvl w:val="0"/>
          <w:numId w:val="6"/>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药物的剂型及特点 </w:t>
      </w:r>
    </w:p>
    <w:p w14:paraId="0AE45458">
      <w:pPr>
        <w:keepNext w:val="0"/>
        <w:keepLines w:val="0"/>
        <w:pageBreakBefore w:val="0"/>
        <w:numPr>
          <w:ilvl w:val="0"/>
          <w:numId w:val="6"/>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药品的质量要求及包装 </w:t>
      </w:r>
    </w:p>
    <w:p w14:paraId="6EFF09CC">
      <w:pPr>
        <w:keepNext w:val="0"/>
        <w:keepLines w:val="0"/>
        <w:pageBreakBefore w:val="0"/>
        <w:numPr>
          <w:ilvl w:val="0"/>
          <w:numId w:val="6"/>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药物的基本作用 </w:t>
      </w:r>
    </w:p>
    <w:p w14:paraId="12C9FA9F">
      <w:pPr>
        <w:keepNext w:val="0"/>
        <w:keepLines w:val="0"/>
        <w:pageBreakBefore w:val="0"/>
        <w:numPr>
          <w:ilvl w:val="0"/>
          <w:numId w:val="6"/>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药物的体内过程 </w:t>
      </w:r>
    </w:p>
    <w:p w14:paraId="3002D82B">
      <w:pPr>
        <w:keepNext w:val="0"/>
        <w:keepLines w:val="0"/>
        <w:pageBreakBefore w:val="0"/>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（3）常用药物介绍 </w:t>
      </w:r>
    </w:p>
    <w:p w14:paraId="3A646B6F">
      <w:pPr>
        <w:keepNext w:val="0"/>
        <w:keepLines w:val="0"/>
        <w:pageBreakBefore w:val="0"/>
        <w:numPr>
          <w:ilvl w:val="0"/>
          <w:numId w:val="7"/>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药物的分类及其常用药物、药物的作用机制 </w:t>
      </w:r>
    </w:p>
    <w:p w14:paraId="0C3C358D">
      <w:pPr>
        <w:keepNext w:val="0"/>
        <w:keepLines w:val="0"/>
        <w:pageBreakBefore w:val="0"/>
        <w:numPr>
          <w:ilvl w:val="0"/>
          <w:numId w:val="7"/>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常用药物的适应症、使用方法、不良反应、禁忌症、注意事项、相互作用 </w:t>
      </w:r>
    </w:p>
    <w:p w14:paraId="4EA1DFC5">
      <w:pPr>
        <w:keepNext w:val="0"/>
        <w:keepLines w:val="0"/>
        <w:pageBreakBefore w:val="0"/>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（4）保健食品与医疗器械 </w:t>
      </w:r>
    </w:p>
    <w:p w14:paraId="127D3DE0">
      <w:pPr>
        <w:keepNext w:val="0"/>
        <w:keepLines w:val="0"/>
        <w:pageBreakBefore w:val="0"/>
        <w:numPr>
          <w:ilvl w:val="0"/>
          <w:numId w:val="8"/>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保健食品功能、保健食品命名和标识、批准文号 </w:t>
      </w:r>
    </w:p>
    <w:p w14:paraId="0EF01AD9">
      <w:pPr>
        <w:keepNext w:val="0"/>
        <w:keepLines w:val="0"/>
        <w:pageBreakBefore w:val="0"/>
        <w:numPr>
          <w:ilvl w:val="0"/>
          <w:numId w:val="8"/>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医疗器械注册分类及管理、体外诊断试剂及常见品种 </w:t>
      </w:r>
    </w:p>
    <w:p w14:paraId="4DAFAA6C">
      <w:pPr>
        <w:keepNext w:val="0"/>
        <w:keepLines w:val="0"/>
        <w:pageBreakBefore w:val="0"/>
        <w:numPr>
          <w:ilvl w:val="0"/>
          <w:numId w:val="0"/>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（5）常见病药物治疗 </w:t>
      </w:r>
    </w:p>
    <w:p w14:paraId="302BB1C7">
      <w:pPr>
        <w:keepNext w:val="0"/>
        <w:keepLines w:val="0"/>
        <w:pageBreakBefore w:val="0"/>
        <w:numPr>
          <w:ilvl w:val="0"/>
          <w:numId w:val="9"/>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常见疾病的病因、临床症状、诊断标准 </w:t>
      </w:r>
    </w:p>
    <w:p w14:paraId="720622A8">
      <w:pPr>
        <w:keepNext w:val="0"/>
        <w:keepLines w:val="0"/>
        <w:pageBreakBefore w:val="0"/>
        <w:numPr>
          <w:ilvl w:val="0"/>
          <w:numId w:val="9"/>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常见疾病的治疗药物、用药监护、健康指导 </w:t>
      </w:r>
    </w:p>
    <w:p w14:paraId="28B07F6D">
      <w:pPr>
        <w:keepNext w:val="0"/>
        <w:keepLines w:val="0"/>
        <w:pageBreakBefore w:val="0"/>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（6）药品营销知识 </w:t>
      </w:r>
    </w:p>
    <w:p w14:paraId="7CE224CC">
      <w:pPr>
        <w:keepNext w:val="0"/>
        <w:keepLines w:val="0"/>
        <w:pageBreakBefore w:val="0"/>
        <w:numPr>
          <w:ilvl w:val="0"/>
          <w:numId w:val="10"/>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医药市场调查的内容和方法、目标市场选择的策略以及市场定位的策略、医药营销组合策略 </w:t>
      </w:r>
    </w:p>
    <w:p w14:paraId="520EFD75">
      <w:pPr>
        <w:keepNext w:val="0"/>
        <w:keepLines w:val="0"/>
        <w:pageBreakBefore w:val="0"/>
        <w:numPr>
          <w:ilvl w:val="0"/>
          <w:numId w:val="10"/>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药品采购原则、采购类型、影响采购因素、采购合同、采购记录和发票要求 </w:t>
      </w:r>
    </w:p>
    <w:p w14:paraId="4C01CB16">
      <w:pPr>
        <w:keepNext w:val="0"/>
        <w:keepLines w:val="0"/>
        <w:pageBreakBefore w:val="0"/>
        <w:numPr>
          <w:ilvl w:val="0"/>
          <w:numId w:val="10"/>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药品经营企业经济核算的意义、内容、指标 </w:t>
      </w:r>
    </w:p>
    <w:p w14:paraId="288FAF8E">
      <w:pPr>
        <w:keepNext w:val="0"/>
        <w:keepLines w:val="0"/>
        <w:pageBreakBefore w:val="0"/>
        <w:numPr>
          <w:ilvl w:val="0"/>
          <w:numId w:val="10"/>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药品销售票据的管理、商品品类管理、购货单位审核内容、售后质量查询、药品不良反应报告 </w:t>
      </w:r>
    </w:p>
    <w:p w14:paraId="647E8AF1">
      <w:pPr>
        <w:keepNext w:val="0"/>
        <w:keepLines w:val="0"/>
        <w:pageBreakBefore w:val="0"/>
        <w:numPr>
          <w:ilvl w:val="0"/>
          <w:numId w:val="10"/>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药店布局原则、药品陈列设施设备、药品陈列原则 </w:t>
      </w:r>
    </w:p>
    <w:p w14:paraId="0BCFDF43">
      <w:pPr>
        <w:keepNext w:val="0"/>
        <w:keepLines w:val="0"/>
        <w:pageBreakBefore w:val="0"/>
        <w:numPr>
          <w:ilvl w:val="0"/>
          <w:numId w:val="10"/>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药品储存管理要求、库存盘点方法、药品效期管理、药品养护工作内容与措施、影响药品质量的因素 </w:t>
      </w:r>
    </w:p>
    <w:p w14:paraId="126804B9">
      <w:pPr>
        <w:keepNext w:val="0"/>
        <w:keepLines w:val="0"/>
        <w:pageBreakBefore w:val="0"/>
        <w:numPr>
          <w:ilvl w:val="0"/>
          <w:numId w:val="10"/>
        </w:numPr>
        <w:wordWrap/>
        <w:overflowPunct/>
        <w:topLinePunct w:val="0"/>
        <w:bidi w:val="0"/>
        <w:adjustRightInd w:val="0"/>
        <w:snapToGrid w:val="0"/>
        <w:spacing w:beforeAutospacing="0" w:afterAutospacing="0" w:line="540" w:lineRule="exact"/>
        <w:ind w:left="0" w:leftChars="0" w:firstLine="560" w:firstLineChars="200"/>
        <w:jc w:val="lef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用药咨询与指导、顾客服务 </w:t>
      </w:r>
    </w:p>
    <w:p w14:paraId="40DEA108">
      <w:pPr>
        <w:pStyle w:val="2"/>
        <w:keepNext w:val="0"/>
        <w:keepLines w:val="0"/>
        <w:pageBreakBefore w:val="0"/>
        <w:widowControl w:val="0"/>
        <w:numPr>
          <w:ilvl w:val="0"/>
          <w:numId w:val="2"/>
        </w:numPr>
        <w:kinsoku w:val="0"/>
        <w:wordWrap/>
        <w:overflowPunct/>
        <w:topLinePunct w:val="0"/>
        <w:autoSpaceDE w:val="0"/>
        <w:autoSpaceDN w:val="0"/>
        <w:bidi w:val="0"/>
        <w:adjustRightInd w:val="0"/>
        <w:snapToGrid w:val="0"/>
        <w:spacing w:beforeAutospacing="0" w:after="0" w:afterAutospacing="0" w:line="540" w:lineRule="exact"/>
        <w:ind w:left="0" w:leftChars="0" w:firstLine="562" w:firstLineChars="200"/>
        <w:jc w:val="left"/>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 xml:space="preserve">技能操作 </w:t>
      </w:r>
    </w:p>
    <w:p w14:paraId="621CBA00">
      <w:pPr>
        <w:pStyle w:val="2"/>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after="0" w:afterAutospacing="0" w:line="540" w:lineRule="exact"/>
        <w:ind w:left="0" w:leftChars="0" w:firstLine="560" w:firstLineChars="200"/>
        <w:jc w:val="left"/>
        <w:textAlignment w:val="baseline"/>
        <w:outlineLvl w:val="9"/>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技能操作考核共设四个模块，分别为药品介绍、药品营销、药品保管与养护、经济核算。各模块考核要点如下：</w:t>
      </w:r>
    </w:p>
    <w:p w14:paraId="7EFE6C73">
      <w:pPr>
        <w:pStyle w:val="2"/>
        <w:keepNext w:val="0"/>
        <w:keepLines w:val="0"/>
        <w:pageBreakBefore w:val="0"/>
        <w:widowControl w:val="0"/>
        <w:numPr>
          <w:ilvl w:val="0"/>
          <w:numId w:val="11"/>
        </w:numPr>
        <w:kinsoku w:val="0"/>
        <w:wordWrap/>
        <w:overflowPunct/>
        <w:topLinePunct w:val="0"/>
        <w:autoSpaceDE w:val="0"/>
        <w:autoSpaceDN w:val="0"/>
        <w:bidi w:val="0"/>
        <w:adjustRightInd w:val="0"/>
        <w:snapToGrid w:val="0"/>
        <w:spacing w:beforeAutospacing="0" w:after="0" w:afterAutospacing="0" w:line="540" w:lineRule="exact"/>
        <w:ind w:left="0" w:leftChars="0" w:firstLine="562" w:firstLineChars="200"/>
        <w:jc w:val="left"/>
        <w:textAlignment w:val="baseline"/>
        <w:outlineLvl w:val="2"/>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药品介绍</w:t>
      </w:r>
    </w:p>
    <w:p w14:paraId="628FA74E">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40" w:lineRule="exact"/>
        <w:ind w:left="0" w:leftChars="0" w:firstLine="560" w:firstLineChars="200"/>
        <w:jc w:val="left"/>
        <w:textAlignment w:val="auto"/>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药品基本信息、药理与适应证、同类药比较、合理用药指导。</w:t>
      </w:r>
    </w:p>
    <w:p w14:paraId="6BAE3BBB">
      <w:pPr>
        <w:pStyle w:val="2"/>
        <w:keepNext w:val="0"/>
        <w:keepLines w:val="0"/>
        <w:pageBreakBefore w:val="0"/>
        <w:widowControl w:val="0"/>
        <w:numPr>
          <w:ilvl w:val="0"/>
          <w:numId w:val="11"/>
        </w:numPr>
        <w:kinsoku w:val="0"/>
        <w:wordWrap/>
        <w:overflowPunct/>
        <w:topLinePunct w:val="0"/>
        <w:autoSpaceDE w:val="0"/>
        <w:autoSpaceDN w:val="0"/>
        <w:bidi w:val="0"/>
        <w:adjustRightInd w:val="0"/>
        <w:snapToGrid w:val="0"/>
        <w:spacing w:beforeAutospacing="0" w:after="0" w:afterAutospacing="0" w:line="540" w:lineRule="exact"/>
        <w:ind w:left="0" w:leftChars="0" w:firstLine="562" w:firstLineChars="200"/>
        <w:jc w:val="left"/>
        <w:textAlignment w:val="baseline"/>
        <w:outlineLvl w:val="2"/>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药品营销</w:t>
      </w:r>
    </w:p>
    <w:p w14:paraId="4E22969E">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40" w:lineRule="exact"/>
        <w:ind w:left="0" w:leftChars="0" w:firstLine="560" w:firstLineChars="200"/>
        <w:jc w:val="left"/>
        <w:textAlignment w:val="auto"/>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市场调研与新品种开发、销售促进、商务谈判。</w:t>
      </w:r>
    </w:p>
    <w:p w14:paraId="02805D39">
      <w:pPr>
        <w:pStyle w:val="2"/>
        <w:keepNext w:val="0"/>
        <w:keepLines w:val="0"/>
        <w:pageBreakBefore w:val="0"/>
        <w:widowControl w:val="0"/>
        <w:numPr>
          <w:ilvl w:val="0"/>
          <w:numId w:val="11"/>
        </w:numPr>
        <w:kinsoku w:val="0"/>
        <w:wordWrap/>
        <w:overflowPunct/>
        <w:topLinePunct w:val="0"/>
        <w:autoSpaceDE w:val="0"/>
        <w:autoSpaceDN w:val="0"/>
        <w:bidi w:val="0"/>
        <w:adjustRightInd w:val="0"/>
        <w:snapToGrid w:val="0"/>
        <w:spacing w:beforeAutospacing="0" w:after="0" w:afterAutospacing="0" w:line="540" w:lineRule="exact"/>
        <w:ind w:left="0" w:leftChars="0" w:firstLine="562" w:firstLineChars="200"/>
        <w:jc w:val="left"/>
        <w:textAlignment w:val="baseline"/>
        <w:outlineLvl w:val="2"/>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药品保管与养护</w:t>
      </w:r>
    </w:p>
    <w:p w14:paraId="78D56F1D">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40" w:lineRule="exact"/>
        <w:ind w:left="0" w:leftChars="0" w:firstLine="560" w:firstLineChars="200"/>
        <w:jc w:val="left"/>
        <w:textAlignment w:val="auto"/>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特殊管理药品保管、重点养护品种识别、养护操作与记录。</w:t>
      </w:r>
    </w:p>
    <w:p w14:paraId="6340C3FE">
      <w:pPr>
        <w:pStyle w:val="2"/>
        <w:keepNext w:val="0"/>
        <w:keepLines w:val="0"/>
        <w:pageBreakBefore w:val="0"/>
        <w:widowControl w:val="0"/>
        <w:numPr>
          <w:ilvl w:val="0"/>
          <w:numId w:val="11"/>
        </w:numPr>
        <w:kinsoku w:val="0"/>
        <w:wordWrap/>
        <w:overflowPunct/>
        <w:topLinePunct w:val="0"/>
        <w:autoSpaceDE w:val="0"/>
        <w:autoSpaceDN w:val="0"/>
        <w:bidi w:val="0"/>
        <w:adjustRightInd w:val="0"/>
        <w:snapToGrid w:val="0"/>
        <w:spacing w:beforeAutospacing="0" w:after="0" w:afterAutospacing="0" w:line="540" w:lineRule="exact"/>
        <w:ind w:left="0" w:leftChars="0" w:firstLine="562" w:firstLineChars="200"/>
        <w:jc w:val="left"/>
        <w:textAlignment w:val="baseline"/>
        <w:outlineLvl w:val="2"/>
        <w:rPr>
          <w:rFonts w:hint="eastAsia" w:ascii="方正仿宋_GB2312" w:hAnsi="方正仿宋_GB2312" w:eastAsia="方正仿宋_GB2312" w:cs="方正仿宋_GB2312"/>
          <w:b/>
          <w:bCs/>
          <w:color w:val="auto"/>
          <w:sz w:val="28"/>
          <w:szCs w:val="28"/>
          <w:lang w:val="en-US" w:eastAsia="zh-CN"/>
        </w:rPr>
      </w:pPr>
      <w:r>
        <w:rPr>
          <w:rFonts w:hint="eastAsia" w:ascii="方正仿宋_GB2312" w:hAnsi="方正仿宋_GB2312" w:eastAsia="方正仿宋_GB2312" w:cs="方正仿宋_GB2312"/>
          <w:b/>
          <w:bCs/>
          <w:color w:val="auto"/>
          <w:sz w:val="28"/>
          <w:szCs w:val="28"/>
          <w:lang w:val="en-US" w:eastAsia="zh-CN"/>
        </w:rPr>
        <w:t>经济核算</w:t>
      </w:r>
    </w:p>
    <w:p w14:paraId="56286D90">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40" w:lineRule="exact"/>
        <w:ind w:left="0" w:leftChars="0" w:firstLine="560" w:firstLineChars="200"/>
        <w:jc w:val="left"/>
        <w:textAlignment w:val="auto"/>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安全库存设置、库存结构分析、保本分析、保利分析。</w:t>
      </w:r>
    </w:p>
    <w:p w14:paraId="5009579D">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40" w:lineRule="exact"/>
        <w:ind w:left="0" w:leftChars="0" w:firstLine="560" w:firstLineChars="200"/>
        <w:jc w:val="left"/>
        <w:textAlignment w:val="auto"/>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技能操作涵盖的竞赛项目、比赛时限及成绩比例见表1。</w:t>
      </w:r>
    </w:p>
    <w:p w14:paraId="7F895674">
      <w:pPr>
        <w:spacing w:before="146" w:line="218" w:lineRule="auto"/>
        <w:jc w:val="center"/>
        <w:rPr>
          <w:rFonts w:hint="eastAsia" w:ascii="仿宋" w:hAnsi="仿宋" w:eastAsia="仿宋" w:cs="仿宋"/>
          <w:b/>
          <w:bCs/>
          <w:spacing w:val="-5"/>
          <w:sz w:val="28"/>
          <w:szCs w:val="28"/>
          <w:lang w:val="en-US" w:eastAsia="zh-CN"/>
        </w:rPr>
      </w:pPr>
      <w:r>
        <w:rPr>
          <w:rFonts w:hint="eastAsia" w:ascii="仿宋" w:hAnsi="仿宋" w:eastAsia="仿宋" w:cs="仿宋"/>
          <w:b/>
          <w:bCs/>
          <w:spacing w:val="-5"/>
          <w:sz w:val="28"/>
          <w:szCs w:val="28"/>
          <w:lang w:val="en-US" w:eastAsia="zh-CN"/>
        </w:rPr>
        <w:t>表1 技能操作竞赛项目、时长及成绩比例</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4"/>
        <w:gridCol w:w="1600"/>
        <w:gridCol w:w="1843"/>
        <w:gridCol w:w="1232"/>
        <w:gridCol w:w="1480"/>
        <w:gridCol w:w="1457"/>
      </w:tblGrid>
      <w:tr w14:paraId="7C887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957" w:type="dxa"/>
            <w:shd w:val="clear" w:color="auto" w:fill="D9D9D9"/>
            <w:noWrap w:val="0"/>
            <w:vAlign w:val="center"/>
          </w:tcPr>
          <w:p w14:paraId="6B4EE38F">
            <w:pPr>
              <w:spacing w:before="40" w:after="40" w:line="240" w:lineRule="auto"/>
              <w:ind w:firstLine="0"/>
              <w:jc w:val="center"/>
            </w:pPr>
            <w:r>
              <w:rPr>
                <w:rFonts w:ascii="宋体" w:hAnsi="宋体" w:eastAsia="宋体"/>
                <w:b/>
                <w:color w:val="000000"/>
                <w:sz w:val="18"/>
              </w:rPr>
              <w:t>序号</w:t>
            </w:r>
          </w:p>
        </w:tc>
        <w:tc>
          <w:tcPr>
            <w:tcW w:w="1707" w:type="dxa"/>
            <w:shd w:val="clear" w:color="auto" w:fill="D9D9D9"/>
            <w:noWrap w:val="0"/>
            <w:vAlign w:val="center"/>
          </w:tcPr>
          <w:p w14:paraId="49ACE91C">
            <w:pPr>
              <w:spacing w:before="40" w:after="40" w:line="240" w:lineRule="auto"/>
              <w:ind w:firstLine="0"/>
              <w:jc w:val="center"/>
            </w:pPr>
            <w:r>
              <w:rPr>
                <w:rFonts w:ascii="宋体" w:hAnsi="宋体" w:eastAsia="宋体"/>
                <w:b/>
                <w:color w:val="000000"/>
                <w:sz w:val="18"/>
              </w:rPr>
              <w:t>考核板块</w:t>
            </w:r>
          </w:p>
        </w:tc>
        <w:tc>
          <w:tcPr>
            <w:tcW w:w="1975" w:type="dxa"/>
            <w:shd w:val="clear" w:color="auto" w:fill="D9D9D9"/>
            <w:noWrap w:val="0"/>
            <w:vAlign w:val="center"/>
          </w:tcPr>
          <w:p w14:paraId="61041D88">
            <w:pPr>
              <w:spacing w:before="40" w:after="40" w:line="240" w:lineRule="auto"/>
              <w:ind w:firstLine="0"/>
              <w:jc w:val="center"/>
            </w:pPr>
            <w:r>
              <w:rPr>
                <w:rFonts w:ascii="宋体" w:hAnsi="宋体" w:eastAsia="宋体"/>
                <w:b/>
                <w:color w:val="000000"/>
                <w:sz w:val="18"/>
              </w:rPr>
              <w:t>考核内容</w:t>
            </w:r>
          </w:p>
        </w:tc>
        <w:tc>
          <w:tcPr>
            <w:tcW w:w="1281" w:type="dxa"/>
            <w:shd w:val="clear" w:color="auto" w:fill="D9D9D9"/>
            <w:noWrap w:val="0"/>
            <w:vAlign w:val="center"/>
          </w:tcPr>
          <w:p w14:paraId="2A664BBF">
            <w:pPr>
              <w:spacing w:before="40" w:after="40" w:line="240" w:lineRule="auto"/>
              <w:ind w:firstLine="0"/>
              <w:jc w:val="center"/>
            </w:pPr>
            <w:r>
              <w:rPr>
                <w:rFonts w:ascii="宋体" w:hAnsi="宋体" w:eastAsia="宋体"/>
                <w:b/>
                <w:color w:val="000000"/>
                <w:sz w:val="18"/>
              </w:rPr>
              <w:t>分值（分）</w:t>
            </w:r>
          </w:p>
        </w:tc>
        <w:tc>
          <w:tcPr>
            <w:tcW w:w="1574" w:type="dxa"/>
            <w:shd w:val="clear" w:color="auto" w:fill="D9D9D9"/>
            <w:noWrap w:val="0"/>
            <w:vAlign w:val="center"/>
          </w:tcPr>
          <w:p w14:paraId="66E98B06">
            <w:pPr>
              <w:spacing w:before="40" w:after="40" w:line="240" w:lineRule="auto"/>
              <w:ind w:firstLine="0"/>
              <w:jc w:val="center"/>
              <w:rPr>
                <w:rFonts w:ascii="宋体" w:hAnsi="宋体" w:eastAsia="宋体"/>
                <w:b/>
                <w:color w:val="000000"/>
                <w:sz w:val="18"/>
              </w:rPr>
            </w:pPr>
            <w:r>
              <w:rPr>
                <w:rFonts w:ascii="宋体" w:hAnsi="宋体" w:eastAsia="宋体"/>
                <w:b/>
                <w:color w:val="000000"/>
                <w:sz w:val="18"/>
              </w:rPr>
              <w:t>考核时间</w:t>
            </w:r>
          </w:p>
          <w:p w14:paraId="2257496B">
            <w:pPr>
              <w:spacing w:before="40" w:after="40" w:line="240" w:lineRule="auto"/>
              <w:ind w:firstLine="0"/>
              <w:jc w:val="center"/>
              <w:rPr>
                <w:rFonts w:hint="eastAsia" w:eastAsia="宋体"/>
                <w:lang w:eastAsia="zh-CN"/>
              </w:rPr>
            </w:pPr>
            <w:r>
              <w:rPr>
                <w:rFonts w:hint="eastAsia" w:ascii="宋体" w:hAnsi="宋体" w:eastAsia="宋体"/>
                <w:b/>
                <w:color w:val="000000"/>
                <w:sz w:val="18"/>
                <w:lang w:eastAsia="zh-CN"/>
              </w:rPr>
              <w:t>（</w:t>
            </w:r>
            <w:r>
              <w:rPr>
                <w:rFonts w:hint="eastAsia" w:ascii="宋体" w:hAnsi="宋体" w:eastAsia="宋体"/>
                <w:b/>
                <w:color w:val="000000"/>
                <w:sz w:val="18"/>
                <w:lang w:val="en-US" w:eastAsia="zh-CN"/>
              </w:rPr>
              <w:t>分钟</w:t>
            </w:r>
            <w:r>
              <w:rPr>
                <w:rFonts w:hint="eastAsia" w:ascii="宋体" w:hAnsi="宋体" w:eastAsia="宋体"/>
                <w:b/>
                <w:color w:val="000000"/>
                <w:sz w:val="18"/>
                <w:lang w:eastAsia="zh-CN"/>
              </w:rPr>
              <w:t>）</w:t>
            </w:r>
          </w:p>
        </w:tc>
        <w:tc>
          <w:tcPr>
            <w:tcW w:w="1567" w:type="dxa"/>
            <w:shd w:val="clear" w:color="auto" w:fill="D9D9D9"/>
            <w:noWrap w:val="0"/>
            <w:vAlign w:val="center"/>
          </w:tcPr>
          <w:p w14:paraId="3A7D9625">
            <w:pPr>
              <w:spacing w:before="40" w:after="40" w:line="240" w:lineRule="auto"/>
              <w:ind w:firstLine="0"/>
              <w:jc w:val="center"/>
              <w:rPr>
                <w:rFonts w:hint="default" w:ascii="宋体" w:hAnsi="宋体" w:eastAsia="宋体"/>
                <w:b/>
                <w:color w:val="000000"/>
                <w:sz w:val="18"/>
                <w:lang w:val="en-US" w:eastAsia="zh-CN"/>
              </w:rPr>
            </w:pPr>
            <w:r>
              <w:rPr>
                <w:rFonts w:hint="eastAsia" w:ascii="宋体" w:hAnsi="宋体" w:eastAsia="宋体"/>
                <w:b/>
                <w:color w:val="000000"/>
                <w:sz w:val="18"/>
                <w:lang w:val="en-US" w:eastAsia="zh-CN"/>
              </w:rPr>
              <w:t>考核方式</w:t>
            </w:r>
          </w:p>
        </w:tc>
      </w:tr>
      <w:tr w14:paraId="76A39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jc w:val="center"/>
        </w:trPr>
        <w:tc>
          <w:tcPr>
            <w:tcW w:w="957" w:type="dxa"/>
            <w:noWrap w:val="0"/>
            <w:vAlign w:val="center"/>
          </w:tcPr>
          <w:p w14:paraId="4FAEFA19">
            <w:pPr>
              <w:spacing w:before="40" w:after="40" w:line="240" w:lineRule="auto"/>
              <w:ind w:firstLine="0"/>
              <w:jc w:val="center"/>
            </w:pPr>
            <w:r>
              <w:rPr>
                <w:rFonts w:ascii="宋体" w:hAnsi="宋体" w:eastAsia="宋体"/>
                <w:b w:val="0"/>
                <w:color w:val="000000"/>
                <w:sz w:val="18"/>
              </w:rPr>
              <w:t>1</w:t>
            </w:r>
          </w:p>
        </w:tc>
        <w:tc>
          <w:tcPr>
            <w:tcW w:w="1707" w:type="dxa"/>
            <w:noWrap w:val="0"/>
            <w:vAlign w:val="center"/>
          </w:tcPr>
          <w:p w14:paraId="2F19E2E6">
            <w:pPr>
              <w:spacing w:before="40" w:after="40" w:line="240" w:lineRule="auto"/>
              <w:ind w:firstLine="0"/>
              <w:jc w:val="left"/>
            </w:pPr>
            <w:r>
              <w:rPr>
                <w:rFonts w:ascii="宋体" w:hAnsi="宋体" w:eastAsia="宋体"/>
                <w:b w:val="0"/>
                <w:color w:val="000000"/>
                <w:sz w:val="18"/>
              </w:rPr>
              <w:t>一、药品介绍</w:t>
            </w:r>
          </w:p>
        </w:tc>
        <w:tc>
          <w:tcPr>
            <w:tcW w:w="1975" w:type="dxa"/>
            <w:noWrap w:val="0"/>
            <w:vAlign w:val="center"/>
          </w:tcPr>
          <w:p w14:paraId="4B0AB56E">
            <w:pPr>
              <w:spacing w:before="40" w:after="40" w:line="240" w:lineRule="auto"/>
              <w:ind w:firstLine="0"/>
              <w:jc w:val="left"/>
            </w:pPr>
            <w:r>
              <w:rPr>
                <w:rFonts w:ascii="宋体" w:hAnsi="宋体" w:eastAsia="宋体"/>
                <w:b w:val="0"/>
                <w:color w:val="000000"/>
                <w:sz w:val="18"/>
              </w:rPr>
              <w:t>推荐、介绍药品</w:t>
            </w:r>
          </w:p>
        </w:tc>
        <w:tc>
          <w:tcPr>
            <w:tcW w:w="1281" w:type="dxa"/>
            <w:noWrap w:val="0"/>
            <w:vAlign w:val="center"/>
          </w:tcPr>
          <w:p w14:paraId="20912D86">
            <w:pPr>
              <w:spacing w:before="40" w:after="40" w:line="240" w:lineRule="auto"/>
              <w:ind w:firstLine="0"/>
              <w:jc w:val="center"/>
              <w:rPr>
                <w:rFonts w:hint="default" w:eastAsia="宋体"/>
                <w:lang w:val="en-US" w:eastAsia="zh-CN"/>
              </w:rPr>
            </w:pPr>
            <w:r>
              <w:rPr>
                <w:rFonts w:hint="eastAsia" w:ascii="宋体" w:hAnsi="宋体" w:eastAsia="宋体"/>
                <w:b w:val="0"/>
                <w:color w:val="000000"/>
                <w:sz w:val="18"/>
                <w:lang w:val="en-US" w:eastAsia="zh-CN"/>
              </w:rPr>
              <w:t>40</w:t>
            </w:r>
          </w:p>
        </w:tc>
        <w:tc>
          <w:tcPr>
            <w:tcW w:w="1574" w:type="dxa"/>
            <w:noWrap w:val="0"/>
            <w:vAlign w:val="center"/>
          </w:tcPr>
          <w:p w14:paraId="11A4198B">
            <w:pPr>
              <w:spacing w:before="40" w:after="40" w:line="240" w:lineRule="auto"/>
              <w:ind w:firstLine="0"/>
              <w:jc w:val="center"/>
              <w:rPr>
                <w:rFonts w:hint="eastAsia" w:ascii="宋体" w:hAnsi="宋体" w:eastAsia="宋体"/>
                <w:b w:val="0"/>
                <w:color w:val="000000"/>
                <w:sz w:val="18"/>
                <w:lang w:val="en-US" w:eastAsia="zh-CN"/>
              </w:rPr>
            </w:pPr>
            <w:r>
              <w:rPr>
                <w:rFonts w:hint="eastAsia" w:ascii="宋体" w:hAnsi="宋体" w:eastAsia="宋体"/>
                <w:b w:val="0"/>
                <w:color w:val="000000"/>
                <w:sz w:val="18"/>
                <w:lang w:val="en-US" w:eastAsia="zh-CN"/>
              </w:rPr>
              <w:t>18</w:t>
            </w:r>
          </w:p>
        </w:tc>
        <w:tc>
          <w:tcPr>
            <w:tcW w:w="1567" w:type="dxa"/>
            <w:noWrap w:val="0"/>
            <w:vAlign w:val="center"/>
          </w:tcPr>
          <w:p w14:paraId="5F7300B9">
            <w:pPr>
              <w:spacing w:before="40" w:after="40" w:line="240" w:lineRule="auto"/>
              <w:ind w:firstLine="0"/>
              <w:jc w:val="center"/>
              <w:rPr>
                <w:rFonts w:hint="eastAsia" w:ascii="宋体" w:hAnsi="宋体" w:eastAsia="宋体"/>
                <w:b w:val="0"/>
                <w:color w:val="000000"/>
                <w:sz w:val="18"/>
                <w:lang w:val="en-US" w:eastAsia="zh-CN"/>
              </w:rPr>
            </w:pPr>
            <w:r>
              <w:rPr>
                <w:rFonts w:hint="eastAsia" w:ascii="宋体" w:hAnsi="宋体" w:eastAsia="宋体"/>
                <w:b w:val="0"/>
                <w:color w:val="000000"/>
                <w:sz w:val="18"/>
                <w:lang w:val="en-US" w:eastAsia="zh-CN"/>
              </w:rPr>
              <w:t>口述＋笔试</w:t>
            </w:r>
          </w:p>
        </w:tc>
      </w:tr>
      <w:tr w14:paraId="43534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957" w:type="dxa"/>
            <w:vMerge w:val="restart"/>
            <w:noWrap w:val="0"/>
            <w:vAlign w:val="center"/>
          </w:tcPr>
          <w:p w14:paraId="5CF6C223">
            <w:pPr>
              <w:spacing w:before="40" w:after="40" w:line="240" w:lineRule="auto"/>
              <w:ind w:firstLine="0"/>
              <w:jc w:val="center"/>
            </w:pPr>
            <w:r>
              <w:rPr>
                <w:rFonts w:ascii="宋体" w:hAnsi="宋体" w:eastAsia="宋体"/>
                <w:b w:val="0"/>
                <w:color w:val="000000"/>
                <w:sz w:val="18"/>
              </w:rPr>
              <w:t>2</w:t>
            </w:r>
          </w:p>
        </w:tc>
        <w:tc>
          <w:tcPr>
            <w:tcW w:w="1707" w:type="dxa"/>
            <w:vMerge w:val="restart"/>
            <w:noWrap w:val="0"/>
            <w:vAlign w:val="center"/>
          </w:tcPr>
          <w:p w14:paraId="571E8C9C">
            <w:pPr>
              <w:spacing w:before="40" w:after="40" w:line="240" w:lineRule="auto"/>
              <w:ind w:firstLine="0"/>
              <w:jc w:val="left"/>
            </w:pPr>
            <w:r>
              <w:rPr>
                <w:rFonts w:ascii="宋体" w:hAnsi="宋体" w:eastAsia="宋体"/>
                <w:b w:val="0"/>
                <w:color w:val="000000"/>
                <w:sz w:val="18"/>
              </w:rPr>
              <w:t>二、药品营销</w:t>
            </w:r>
          </w:p>
        </w:tc>
        <w:tc>
          <w:tcPr>
            <w:tcW w:w="1975" w:type="dxa"/>
            <w:noWrap w:val="0"/>
            <w:vAlign w:val="center"/>
          </w:tcPr>
          <w:p w14:paraId="6C4D600B">
            <w:pPr>
              <w:spacing w:before="40" w:after="40" w:line="240" w:lineRule="auto"/>
              <w:ind w:firstLine="0"/>
              <w:jc w:val="left"/>
            </w:pPr>
            <w:r>
              <w:rPr>
                <w:rFonts w:ascii="宋体" w:hAnsi="宋体" w:eastAsia="宋体"/>
                <w:b w:val="0"/>
                <w:color w:val="000000"/>
                <w:sz w:val="18"/>
              </w:rPr>
              <w:t>销售促进</w:t>
            </w:r>
          </w:p>
        </w:tc>
        <w:tc>
          <w:tcPr>
            <w:tcW w:w="1281" w:type="dxa"/>
            <w:noWrap w:val="0"/>
            <w:vAlign w:val="center"/>
          </w:tcPr>
          <w:p w14:paraId="079B053D">
            <w:pPr>
              <w:spacing w:before="40" w:after="40" w:line="240" w:lineRule="auto"/>
              <w:ind w:firstLine="0"/>
              <w:jc w:val="center"/>
              <w:rPr>
                <w:rFonts w:hint="default" w:eastAsia="宋体"/>
                <w:lang w:val="en-US" w:eastAsia="zh-CN"/>
              </w:rPr>
            </w:pPr>
            <w:r>
              <w:rPr>
                <w:rFonts w:hint="eastAsia" w:ascii="宋体" w:hAnsi="宋体" w:eastAsia="宋体"/>
                <w:b w:val="0"/>
                <w:color w:val="000000"/>
                <w:sz w:val="18"/>
                <w:lang w:val="en-US" w:eastAsia="zh-CN"/>
              </w:rPr>
              <w:t>10</w:t>
            </w:r>
          </w:p>
        </w:tc>
        <w:tc>
          <w:tcPr>
            <w:tcW w:w="1574" w:type="dxa"/>
            <w:noWrap w:val="0"/>
            <w:vAlign w:val="center"/>
          </w:tcPr>
          <w:p w14:paraId="568108CA">
            <w:pPr>
              <w:spacing w:before="40" w:after="40" w:line="240" w:lineRule="auto"/>
              <w:ind w:firstLine="0"/>
              <w:jc w:val="center"/>
              <w:rPr>
                <w:rFonts w:hint="eastAsia" w:ascii="宋体" w:hAnsi="宋体" w:eastAsia="宋体"/>
                <w:b w:val="0"/>
                <w:color w:val="000000"/>
                <w:sz w:val="18"/>
                <w:lang w:val="en-US" w:eastAsia="zh-CN"/>
              </w:rPr>
            </w:pPr>
            <w:r>
              <w:rPr>
                <w:rFonts w:hint="eastAsia" w:ascii="宋体" w:hAnsi="宋体" w:eastAsia="宋体"/>
                <w:b w:val="0"/>
                <w:color w:val="000000"/>
                <w:sz w:val="18"/>
                <w:lang w:val="en-US" w:eastAsia="zh-CN"/>
              </w:rPr>
              <w:t>12</w:t>
            </w:r>
          </w:p>
        </w:tc>
        <w:tc>
          <w:tcPr>
            <w:tcW w:w="1567" w:type="dxa"/>
            <w:noWrap w:val="0"/>
            <w:vAlign w:val="center"/>
          </w:tcPr>
          <w:p w14:paraId="758075A3">
            <w:pPr>
              <w:spacing w:before="40" w:after="40" w:line="240" w:lineRule="auto"/>
              <w:ind w:firstLine="0"/>
              <w:jc w:val="center"/>
              <w:rPr>
                <w:rFonts w:hint="eastAsia" w:ascii="宋体" w:hAnsi="宋体" w:eastAsia="宋体"/>
                <w:b w:val="0"/>
                <w:color w:val="000000"/>
                <w:sz w:val="18"/>
                <w:lang w:val="en-US" w:eastAsia="zh-CN"/>
              </w:rPr>
            </w:pPr>
            <w:r>
              <w:rPr>
                <w:rFonts w:hint="eastAsia" w:ascii="宋体" w:hAnsi="宋体" w:eastAsia="宋体"/>
                <w:b w:val="0"/>
                <w:color w:val="000000"/>
                <w:sz w:val="18"/>
                <w:lang w:val="en-US" w:eastAsia="zh-CN"/>
              </w:rPr>
              <w:t>口述</w:t>
            </w:r>
          </w:p>
        </w:tc>
      </w:tr>
      <w:tr w14:paraId="364D9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7" w:type="dxa"/>
            <w:vMerge w:val="continue"/>
            <w:noWrap w:val="0"/>
            <w:vAlign w:val="center"/>
          </w:tcPr>
          <w:p w14:paraId="16FD1F5D">
            <w:pPr>
              <w:spacing w:before="40" w:after="40" w:line="240" w:lineRule="auto"/>
              <w:ind w:firstLine="0"/>
              <w:jc w:val="center"/>
            </w:pPr>
          </w:p>
        </w:tc>
        <w:tc>
          <w:tcPr>
            <w:tcW w:w="1707" w:type="dxa"/>
            <w:vMerge w:val="continue"/>
            <w:noWrap w:val="0"/>
            <w:vAlign w:val="center"/>
          </w:tcPr>
          <w:p w14:paraId="7AA3FB42">
            <w:pPr>
              <w:spacing w:before="40" w:after="40" w:line="240" w:lineRule="auto"/>
              <w:ind w:firstLine="0"/>
              <w:jc w:val="left"/>
            </w:pPr>
          </w:p>
        </w:tc>
        <w:tc>
          <w:tcPr>
            <w:tcW w:w="1975" w:type="dxa"/>
            <w:noWrap w:val="0"/>
            <w:vAlign w:val="center"/>
          </w:tcPr>
          <w:p w14:paraId="0F45BA93">
            <w:pPr>
              <w:spacing w:before="40" w:after="40" w:line="240" w:lineRule="auto"/>
              <w:ind w:firstLine="0"/>
              <w:jc w:val="left"/>
            </w:pPr>
            <w:r>
              <w:rPr>
                <w:rFonts w:ascii="宋体" w:hAnsi="宋体" w:eastAsia="宋体"/>
                <w:b w:val="0"/>
                <w:color w:val="000000"/>
                <w:sz w:val="18"/>
              </w:rPr>
              <w:t>市场调研与新品种开发</w:t>
            </w:r>
          </w:p>
        </w:tc>
        <w:tc>
          <w:tcPr>
            <w:tcW w:w="1281" w:type="dxa"/>
            <w:noWrap w:val="0"/>
            <w:vAlign w:val="center"/>
          </w:tcPr>
          <w:p w14:paraId="71DBF7CE">
            <w:pPr>
              <w:spacing w:before="40" w:after="40" w:line="240" w:lineRule="auto"/>
              <w:ind w:firstLine="0"/>
              <w:jc w:val="center"/>
              <w:rPr>
                <w:rFonts w:hint="default" w:eastAsia="宋体"/>
                <w:lang w:val="en-US" w:eastAsia="zh-CN"/>
              </w:rPr>
            </w:pPr>
            <w:r>
              <w:rPr>
                <w:rFonts w:hint="eastAsia" w:ascii="宋体" w:hAnsi="宋体" w:eastAsia="宋体"/>
                <w:b w:val="0"/>
                <w:color w:val="000000"/>
                <w:sz w:val="18"/>
                <w:lang w:val="en-US" w:eastAsia="zh-CN"/>
              </w:rPr>
              <w:t>15</w:t>
            </w:r>
          </w:p>
        </w:tc>
        <w:tc>
          <w:tcPr>
            <w:tcW w:w="1574" w:type="dxa"/>
            <w:vMerge w:val="restart"/>
            <w:noWrap w:val="0"/>
            <w:vAlign w:val="center"/>
          </w:tcPr>
          <w:p w14:paraId="46908627">
            <w:pPr>
              <w:spacing w:before="40" w:after="40" w:line="240" w:lineRule="auto"/>
              <w:ind w:firstLine="0"/>
              <w:jc w:val="center"/>
              <w:rPr>
                <w:rFonts w:hint="default" w:ascii="宋体" w:hAnsi="宋体" w:eastAsia="宋体"/>
                <w:b w:val="0"/>
                <w:color w:val="000000"/>
                <w:sz w:val="18"/>
                <w:lang w:val="en-US" w:eastAsia="zh-CN"/>
              </w:rPr>
            </w:pPr>
            <w:r>
              <w:rPr>
                <w:rFonts w:hint="eastAsia" w:ascii="宋体" w:hAnsi="宋体" w:eastAsia="宋体"/>
                <w:b w:val="0"/>
                <w:color w:val="000000"/>
                <w:sz w:val="18"/>
                <w:lang w:val="en-US" w:eastAsia="zh-CN"/>
              </w:rPr>
              <w:t>90</w:t>
            </w:r>
          </w:p>
        </w:tc>
        <w:tc>
          <w:tcPr>
            <w:tcW w:w="1567" w:type="dxa"/>
            <w:noWrap w:val="0"/>
            <w:vAlign w:val="center"/>
          </w:tcPr>
          <w:p w14:paraId="71571066">
            <w:pPr>
              <w:spacing w:before="40" w:after="40" w:line="240" w:lineRule="auto"/>
              <w:ind w:firstLine="0"/>
              <w:jc w:val="center"/>
              <w:rPr>
                <w:rFonts w:hint="eastAsia" w:ascii="宋体" w:hAnsi="宋体" w:eastAsia="宋体"/>
                <w:b w:val="0"/>
                <w:color w:val="000000"/>
                <w:sz w:val="18"/>
                <w:lang w:val="en-US" w:eastAsia="zh-CN"/>
              </w:rPr>
            </w:pPr>
            <w:r>
              <w:rPr>
                <w:rFonts w:hint="eastAsia" w:ascii="宋体" w:hAnsi="宋体" w:eastAsia="宋体"/>
                <w:b w:val="0"/>
                <w:color w:val="000000"/>
                <w:sz w:val="18"/>
                <w:lang w:val="en-US" w:eastAsia="zh-CN"/>
              </w:rPr>
              <w:t>笔试</w:t>
            </w:r>
          </w:p>
        </w:tc>
      </w:tr>
      <w:tr w14:paraId="58C47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957" w:type="dxa"/>
            <w:vMerge w:val="continue"/>
            <w:noWrap w:val="0"/>
            <w:vAlign w:val="center"/>
          </w:tcPr>
          <w:p w14:paraId="16EFF28D">
            <w:pPr>
              <w:spacing w:before="40" w:after="40" w:line="240" w:lineRule="auto"/>
              <w:ind w:firstLine="0"/>
              <w:jc w:val="center"/>
            </w:pPr>
          </w:p>
        </w:tc>
        <w:tc>
          <w:tcPr>
            <w:tcW w:w="1707" w:type="dxa"/>
            <w:vMerge w:val="continue"/>
            <w:noWrap w:val="0"/>
            <w:vAlign w:val="center"/>
          </w:tcPr>
          <w:p w14:paraId="4945BDB8">
            <w:pPr>
              <w:spacing w:before="40" w:after="40" w:line="240" w:lineRule="auto"/>
              <w:ind w:firstLine="0"/>
              <w:jc w:val="left"/>
            </w:pPr>
          </w:p>
        </w:tc>
        <w:tc>
          <w:tcPr>
            <w:tcW w:w="1975" w:type="dxa"/>
            <w:noWrap w:val="0"/>
            <w:vAlign w:val="center"/>
          </w:tcPr>
          <w:p w14:paraId="290439CD">
            <w:pPr>
              <w:spacing w:before="40" w:after="40" w:line="240" w:lineRule="auto"/>
              <w:ind w:firstLine="0"/>
              <w:jc w:val="left"/>
            </w:pPr>
            <w:r>
              <w:rPr>
                <w:rFonts w:ascii="宋体" w:hAnsi="宋体" w:eastAsia="宋体"/>
                <w:b w:val="0"/>
                <w:color w:val="000000"/>
                <w:sz w:val="18"/>
              </w:rPr>
              <w:t>商务谈判</w:t>
            </w:r>
          </w:p>
        </w:tc>
        <w:tc>
          <w:tcPr>
            <w:tcW w:w="1281" w:type="dxa"/>
            <w:noWrap w:val="0"/>
            <w:vAlign w:val="center"/>
          </w:tcPr>
          <w:p w14:paraId="136BE342">
            <w:pPr>
              <w:spacing w:before="40" w:after="40" w:line="240" w:lineRule="auto"/>
              <w:ind w:firstLine="0"/>
              <w:jc w:val="center"/>
              <w:rPr>
                <w:rFonts w:hint="default" w:eastAsia="宋体"/>
                <w:lang w:val="en-US" w:eastAsia="zh-CN"/>
              </w:rPr>
            </w:pPr>
            <w:r>
              <w:rPr>
                <w:rFonts w:hint="eastAsia" w:ascii="宋体" w:hAnsi="宋体" w:eastAsia="宋体"/>
                <w:b w:val="0"/>
                <w:color w:val="000000"/>
                <w:sz w:val="18"/>
                <w:lang w:val="en-US" w:eastAsia="zh-CN"/>
              </w:rPr>
              <w:t>10</w:t>
            </w:r>
          </w:p>
        </w:tc>
        <w:tc>
          <w:tcPr>
            <w:tcW w:w="1574" w:type="dxa"/>
            <w:vMerge w:val="continue"/>
            <w:noWrap w:val="0"/>
            <w:vAlign w:val="center"/>
          </w:tcPr>
          <w:p w14:paraId="0F7ACBF8">
            <w:pPr>
              <w:spacing w:before="40" w:after="40" w:line="240" w:lineRule="auto"/>
              <w:ind w:firstLine="0"/>
              <w:jc w:val="center"/>
              <w:rPr>
                <w:rFonts w:hint="default" w:ascii="宋体" w:hAnsi="宋体" w:eastAsia="宋体"/>
                <w:b w:val="0"/>
                <w:color w:val="000000"/>
                <w:sz w:val="18"/>
                <w:lang w:val="en-US" w:eastAsia="zh-CN"/>
              </w:rPr>
            </w:pPr>
          </w:p>
        </w:tc>
        <w:tc>
          <w:tcPr>
            <w:tcW w:w="1567" w:type="dxa"/>
            <w:noWrap w:val="0"/>
            <w:vAlign w:val="center"/>
          </w:tcPr>
          <w:p w14:paraId="46478EA0">
            <w:pPr>
              <w:spacing w:before="40" w:after="40" w:line="240" w:lineRule="auto"/>
              <w:ind w:firstLine="0"/>
              <w:jc w:val="center"/>
              <w:rPr>
                <w:rFonts w:hint="default" w:ascii="宋体" w:hAnsi="宋体" w:eastAsia="宋体"/>
                <w:b w:val="0"/>
                <w:color w:val="000000"/>
                <w:sz w:val="18"/>
                <w:lang w:val="en-US" w:eastAsia="zh-CN"/>
              </w:rPr>
            </w:pPr>
            <w:r>
              <w:rPr>
                <w:rFonts w:hint="eastAsia" w:ascii="宋体" w:hAnsi="宋体" w:eastAsia="宋体"/>
                <w:b w:val="0"/>
                <w:color w:val="000000"/>
                <w:sz w:val="18"/>
                <w:lang w:val="en-US" w:eastAsia="zh-CN"/>
              </w:rPr>
              <w:t>笔试</w:t>
            </w:r>
          </w:p>
        </w:tc>
      </w:tr>
      <w:tr w14:paraId="79689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jc w:val="center"/>
        </w:trPr>
        <w:tc>
          <w:tcPr>
            <w:tcW w:w="957" w:type="dxa"/>
            <w:vMerge w:val="restart"/>
            <w:noWrap w:val="0"/>
            <w:vAlign w:val="center"/>
          </w:tcPr>
          <w:p w14:paraId="59FDBBE3">
            <w:pPr>
              <w:spacing w:before="40" w:after="40" w:line="240" w:lineRule="auto"/>
              <w:ind w:firstLine="0"/>
              <w:jc w:val="center"/>
            </w:pPr>
            <w:r>
              <w:rPr>
                <w:rFonts w:ascii="宋体" w:hAnsi="宋体" w:eastAsia="宋体"/>
                <w:b w:val="0"/>
                <w:color w:val="000000"/>
                <w:sz w:val="18"/>
              </w:rPr>
              <w:t>3</w:t>
            </w:r>
          </w:p>
        </w:tc>
        <w:tc>
          <w:tcPr>
            <w:tcW w:w="1707" w:type="dxa"/>
            <w:vMerge w:val="restart"/>
            <w:noWrap w:val="0"/>
            <w:vAlign w:val="center"/>
          </w:tcPr>
          <w:p w14:paraId="68F23717">
            <w:pPr>
              <w:spacing w:before="40" w:after="40" w:line="240" w:lineRule="auto"/>
              <w:ind w:firstLine="0"/>
              <w:jc w:val="left"/>
            </w:pPr>
            <w:r>
              <w:rPr>
                <w:rFonts w:ascii="宋体" w:hAnsi="宋体" w:eastAsia="宋体"/>
                <w:b w:val="0"/>
                <w:color w:val="000000"/>
                <w:sz w:val="18"/>
              </w:rPr>
              <w:t>三、药品保管养护</w:t>
            </w:r>
          </w:p>
        </w:tc>
        <w:tc>
          <w:tcPr>
            <w:tcW w:w="1975" w:type="dxa"/>
            <w:noWrap w:val="0"/>
            <w:vAlign w:val="center"/>
          </w:tcPr>
          <w:p w14:paraId="53837C79">
            <w:pPr>
              <w:spacing w:before="40" w:after="40" w:line="240" w:lineRule="auto"/>
              <w:ind w:firstLine="0"/>
              <w:jc w:val="left"/>
            </w:pPr>
            <w:r>
              <w:rPr>
                <w:rFonts w:ascii="宋体" w:hAnsi="宋体" w:eastAsia="宋体"/>
                <w:b w:val="0"/>
                <w:color w:val="000000"/>
                <w:sz w:val="18"/>
              </w:rPr>
              <w:t>药品的特殊保管</w:t>
            </w:r>
          </w:p>
        </w:tc>
        <w:tc>
          <w:tcPr>
            <w:tcW w:w="1281" w:type="dxa"/>
            <w:noWrap w:val="0"/>
            <w:vAlign w:val="center"/>
          </w:tcPr>
          <w:p w14:paraId="7EB0DA45">
            <w:pPr>
              <w:spacing w:before="40" w:after="40" w:line="240" w:lineRule="auto"/>
              <w:ind w:firstLine="0"/>
              <w:jc w:val="center"/>
              <w:rPr>
                <w:rFonts w:hint="eastAsia" w:eastAsia="宋体"/>
                <w:lang w:eastAsia="zh-CN"/>
              </w:rPr>
            </w:pPr>
            <w:r>
              <w:rPr>
                <w:rFonts w:hint="eastAsia" w:ascii="宋体" w:hAnsi="宋体" w:eastAsia="宋体"/>
                <w:b w:val="0"/>
                <w:color w:val="000000"/>
                <w:sz w:val="18"/>
                <w:lang w:val="en-US" w:eastAsia="zh-CN"/>
              </w:rPr>
              <w:t>5</w:t>
            </w:r>
          </w:p>
        </w:tc>
        <w:tc>
          <w:tcPr>
            <w:tcW w:w="1574" w:type="dxa"/>
            <w:vMerge w:val="continue"/>
            <w:noWrap w:val="0"/>
            <w:vAlign w:val="center"/>
          </w:tcPr>
          <w:p w14:paraId="5750F10B">
            <w:pPr>
              <w:spacing w:before="40" w:after="40" w:line="240" w:lineRule="auto"/>
              <w:ind w:firstLine="0"/>
              <w:jc w:val="center"/>
              <w:rPr>
                <w:rFonts w:hint="eastAsia" w:ascii="宋体" w:hAnsi="宋体" w:eastAsia="宋体"/>
                <w:b w:val="0"/>
                <w:color w:val="000000"/>
                <w:sz w:val="18"/>
                <w:lang w:val="en-US" w:eastAsia="zh-CN"/>
              </w:rPr>
            </w:pPr>
          </w:p>
        </w:tc>
        <w:tc>
          <w:tcPr>
            <w:tcW w:w="1567" w:type="dxa"/>
            <w:noWrap w:val="0"/>
            <w:vAlign w:val="center"/>
          </w:tcPr>
          <w:p w14:paraId="58E3647B">
            <w:pPr>
              <w:spacing w:before="40" w:after="40" w:line="240" w:lineRule="auto"/>
              <w:ind w:firstLine="0"/>
              <w:jc w:val="center"/>
              <w:rPr>
                <w:rFonts w:hint="eastAsia" w:ascii="宋体" w:hAnsi="宋体" w:eastAsia="宋体"/>
                <w:b w:val="0"/>
                <w:color w:val="000000"/>
                <w:sz w:val="18"/>
                <w:lang w:val="en-US" w:eastAsia="zh-CN"/>
              </w:rPr>
            </w:pPr>
            <w:r>
              <w:rPr>
                <w:rFonts w:hint="eastAsia" w:ascii="宋体" w:hAnsi="宋体" w:eastAsia="宋体"/>
                <w:b w:val="0"/>
                <w:color w:val="000000"/>
                <w:sz w:val="18"/>
                <w:lang w:val="en-US" w:eastAsia="zh-CN"/>
              </w:rPr>
              <w:t>笔试</w:t>
            </w:r>
          </w:p>
        </w:tc>
      </w:tr>
      <w:tr w14:paraId="7EB1C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jc w:val="center"/>
        </w:trPr>
        <w:tc>
          <w:tcPr>
            <w:tcW w:w="957" w:type="dxa"/>
            <w:vMerge w:val="continue"/>
            <w:noWrap w:val="0"/>
            <w:vAlign w:val="center"/>
          </w:tcPr>
          <w:p w14:paraId="6F52E5B4">
            <w:pPr>
              <w:spacing w:before="40" w:after="40" w:line="240" w:lineRule="auto"/>
              <w:ind w:firstLine="0"/>
              <w:jc w:val="center"/>
            </w:pPr>
          </w:p>
        </w:tc>
        <w:tc>
          <w:tcPr>
            <w:tcW w:w="1707" w:type="dxa"/>
            <w:vMerge w:val="continue"/>
            <w:noWrap w:val="0"/>
            <w:vAlign w:val="center"/>
          </w:tcPr>
          <w:p w14:paraId="7BDA2639">
            <w:pPr>
              <w:spacing w:before="40" w:after="40" w:line="240" w:lineRule="auto"/>
              <w:ind w:firstLine="0"/>
              <w:jc w:val="left"/>
            </w:pPr>
          </w:p>
        </w:tc>
        <w:tc>
          <w:tcPr>
            <w:tcW w:w="1975" w:type="dxa"/>
            <w:noWrap w:val="0"/>
            <w:vAlign w:val="center"/>
          </w:tcPr>
          <w:p w14:paraId="62CDA747">
            <w:pPr>
              <w:spacing w:before="40" w:after="40" w:line="240" w:lineRule="auto"/>
              <w:ind w:firstLine="0"/>
              <w:jc w:val="left"/>
            </w:pPr>
            <w:r>
              <w:rPr>
                <w:rFonts w:ascii="宋体" w:hAnsi="宋体" w:eastAsia="宋体"/>
                <w:b w:val="0"/>
                <w:color w:val="000000"/>
                <w:sz w:val="18"/>
              </w:rPr>
              <w:t>药品的重点养护</w:t>
            </w:r>
          </w:p>
        </w:tc>
        <w:tc>
          <w:tcPr>
            <w:tcW w:w="1281" w:type="dxa"/>
            <w:noWrap w:val="0"/>
            <w:vAlign w:val="center"/>
          </w:tcPr>
          <w:p w14:paraId="57EB67EC">
            <w:pPr>
              <w:spacing w:before="40" w:after="40" w:line="240" w:lineRule="auto"/>
              <w:ind w:firstLine="0"/>
              <w:jc w:val="center"/>
              <w:rPr>
                <w:rFonts w:hint="eastAsia" w:eastAsia="宋体"/>
                <w:lang w:eastAsia="zh-CN"/>
              </w:rPr>
            </w:pPr>
            <w:r>
              <w:rPr>
                <w:rFonts w:hint="eastAsia" w:ascii="宋体" w:hAnsi="宋体" w:eastAsia="宋体"/>
                <w:b w:val="0"/>
                <w:color w:val="000000"/>
                <w:sz w:val="18"/>
                <w:lang w:val="en-US" w:eastAsia="zh-CN"/>
              </w:rPr>
              <w:t>5</w:t>
            </w:r>
          </w:p>
        </w:tc>
        <w:tc>
          <w:tcPr>
            <w:tcW w:w="1574" w:type="dxa"/>
            <w:vMerge w:val="continue"/>
            <w:noWrap w:val="0"/>
            <w:vAlign w:val="center"/>
          </w:tcPr>
          <w:p w14:paraId="5D3DEC49">
            <w:pPr>
              <w:spacing w:before="40" w:after="40" w:line="240" w:lineRule="auto"/>
              <w:ind w:firstLine="0"/>
              <w:jc w:val="center"/>
              <w:rPr>
                <w:rFonts w:hint="default" w:ascii="宋体" w:hAnsi="宋体" w:eastAsia="宋体"/>
                <w:b w:val="0"/>
                <w:color w:val="000000"/>
                <w:sz w:val="18"/>
                <w:lang w:val="en-US" w:eastAsia="zh-CN"/>
              </w:rPr>
            </w:pPr>
          </w:p>
        </w:tc>
        <w:tc>
          <w:tcPr>
            <w:tcW w:w="1567" w:type="dxa"/>
            <w:noWrap w:val="0"/>
            <w:vAlign w:val="center"/>
          </w:tcPr>
          <w:p w14:paraId="2363E837">
            <w:pPr>
              <w:spacing w:before="40" w:after="40" w:line="240" w:lineRule="auto"/>
              <w:ind w:firstLine="0"/>
              <w:jc w:val="center"/>
              <w:rPr>
                <w:rFonts w:hint="eastAsia" w:ascii="宋体" w:hAnsi="宋体" w:eastAsia="宋体"/>
                <w:b w:val="0"/>
                <w:color w:val="000000"/>
                <w:sz w:val="18"/>
                <w:lang w:val="en-US" w:eastAsia="zh-CN"/>
              </w:rPr>
            </w:pPr>
            <w:r>
              <w:rPr>
                <w:rFonts w:hint="eastAsia" w:ascii="宋体" w:hAnsi="宋体" w:eastAsia="宋体"/>
                <w:b w:val="0"/>
                <w:color w:val="000000"/>
                <w:sz w:val="18"/>
                <w:lang w:val="en-US" w:eastAsia="zh-CN"/>
              </w:rPr>
              <w:t>笔试</w:t>
            </w:r>
          </w:p>
        </w:tc>
      </w:tr>
      <w:tr w14:paraId="3B2B4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957" w:type="dxa"/>
            <w:vMerge w:val="restart"/>
            <w:noWrap w:val="0"/>
            <w:vAlign w:val="center"/>
          </w:tcPr>
          <w:p w14:paraId="113298FD">
            <w:pPr>
              <w:spacing w:before="40" w:after="40" w:line="240" w:lineRule="auto"/>
              <w:ind w:firstLine="0"/>
              <w:jc w:val="center"/>
            </w:pPr>
            <w:r>
              <w:rPr>
                <w:rFonts w:ascii="宋体" w:hAnsi="宋体" w:eastAsia="宋体"/>
                <w:b w:val="0"/>
                <w:color w:val="000000"/>
                <w:sz w:val="18"/>
              </w:rPr>
              <w:t>4</w:t>
            </w:r>
          </w:p>
        </w:tc>
        <w:tc>
          <w:tcPr>
            <w:tcW w:w="1707" w:type="dxa"/>
            <w:vMerge w:val="restart"/>
            <w:noWrap w:val="0"/>
            <w:vAlign w:val="center"/>
          </w:tcPr>
          <w:p w14:paraId="6E17B4EE">
            <w:pPr>
              <w:spacing w:before="40" w:after="40" w:line="240" w:lineRule="auto"/>
              <w:ind w:firstLine="0"/>
              <w:jc w:val="left"/>
            </w:pPr>
            <w:r>
              <w:rPr>
                <w:rFonts w:ascii="宋体" w:hAnsi="宋体" w:eastAsia="宋体"/>
                <w:b w:val="0"/>
                <w:color w:val="000000"/>
                <w:sz w:val="18"/>
              </w:rPr>
              <w:t>四、经济核算</w:t>
            </w:r>
          </w:p>
        </w:tc>
        <w:tc>
          <w:tcPr>
            <w:tcW w:w="1975" w:type="dxa"/>
            <w:noWrap w:val="0"/>
            <w:vAlign w:val="center"/>
          </w:tcPr>
          <w:p w14:paraId="1B1DB207">
            <w:pPr>
              <w:spacing w:before="40" w:after="40" w:line="240" w:lineRule="auto"/>
              <w:ind w:firstLine="0"/>
              <w:jc w:val="left"/>
            </w:pPr>
            <w:r>
              <w:rPr>
                <w:rFonts w:ascii="宋体" w:hAnsi="宋体" w:eastAsia="宋体"/>
                <w:b w:val="0"/>
                <w:color w:val="000000"/>
                <w:sz w:val="18"/>
              </w:rPr>
              <w:t>库存分析</w:t>
            </w:r>
          </w:p>
        </w:tc>
        <w:tc>
          <w:tcPr>
            <w:tcW w:w="1281" w:type="dxa"/>
            <w:noWrap w:val="0"/>
            <w:vAlign w:val="center"/>
          </w:tcPr>
          <w:p w14:paraId="0D14A196">
            <w:pPr>
              <w:spacing w:before="40" w:after="40" w:line="240" w:lineRule="auto"/>
              <w:ind w:firstLine="0"/>
              <w:jc w:val="center"/>
              <w:rPr>
                <w:rFonts w:hint="default" w:eastAsia="宋体"/>
                <w:lang w:val="en-US" w:eastAsia="zh-CN"/>
              </w:rPr>
            </w:pPr>
            <w:r>
              <w:rPr>
                <w:rFonts w:hint="eastAsia" w:ascii="宋体" w:hAnsi="宋体" w:eastAsia="宋体"/>
                <w:b w:val="0"/>
                <w:color w:val="000000"/>
                <w:sz w:val="18"/>
                <w:lang w:val="en-US" w:eastAsia="zh-CN"/>
              </w:rPr>
              <w:t>10</w:t>
            </w:r>
          </w:p>
        </w:tc>
        <w:tc>
          <w:tcPr>
            <w:tcW w:w="1574" w:type="dxa"/>
            <w:vMerge w:val="continue"/>
            <w:noWrap w:val="0"/>
            <w:vAlign w:val="center"/>
          </w:tcPr>
          <w:p w14:paraId="69F19E29">
            <w:pPr>
              <w:spacing w:before="40" w:after="40" w:line="240" w:lineRule="auto"/>
              <w:ind w:firstLine="0"/>
              <w:jc w:val="center"/>
              <w:rPr>
                <w:rFonts w:hint="eastAsia" w:ascii="宋体" w:hAnsi="宋体" w:eastAsia="宋体"/>
                <w:b w:val="0"/>
                <w:color w:val="000000"/>
                <w:sz w:val="18"/>
                <w:lang w:val="en-US" w:eastAsia="zh-CN"/>
              </w:rPr>
            </w:pPr>
          </w:p>
        </w:tc>
        <w:tc>
          <w:tcPr>
            <w:tcW w:w="1567" w:type="dxa"/>
            <w:noWrap w:val="0"/>
            <w:vAlign w:val="center"/>
          </w:tcPr>
          <w:p w14:paraId="2085B7BC">
            <w:pPr>
              <w:spacing w:before="40" w:after="40" w:line="240" w:lineRule="auto"/>
              <w:ind w:firstLine="0"/>
              <w:jc w:val="center"/>
              <w:rPr>
                <w:rFonts w:hint="eastAsia" w:ascii="宋体" w:hAnsi="宋体" w:eastAsia="宋体"/>
                <w:b w:val="0"/>
                <w:color w:val="000000"/>
                <w:sz w:val="18"/>
                <w:lang w:val="en-US" w:eastAsia="zh-CN"/>
              </w:rPr>
            </w:pPr>
            <w:r>
              <w:rPr>
                <w:rFonts w:hint="eastAsia" w:ascii="宋体" w:hAnsi="宋体" w:eastAsia="宋体"/>
                <w:b w:val="0"/>
                <w:color w:val="000000"/>
                <w:sz w:val="18"/>
                <w:lang w:val="en-US" w:eastAsia="zh-CN"/>
              </w:rPr>
              <w:t>笔试</w:t>
            </w:r>
          </w:p>
        </w:tc>
      </w:tr>
      <w:tr w14:paraId="7E70A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957" w:type="dxa"/>
            <w:vMerge w:val="continue"/>
            <w:noWrap w:val="0"/>
            <w:vAlign w:val="center"/>
          </w:tcPr>
          <w:p w14:paraId="42AEC22B">
            <w:pPr>
              <w:spacing w:before="40" w:after="40" w:line="240" w:lineRule="auto"/>
              <w:ind w:firstLine="0"/>
              <w:jc w:val="center"/>
            </w:pPr>
          </w:p>
        </w:tc>
        <w:tc>
          <w:tcPr>
            <w:tcW w:w="1707" w:type="dxa"/>
            <w:vMerge w:val="continue"/>
            <w:noWrap w:val="0"/>
            <w:vAlign w:val="center"/>
          </w:tcPr>
          <w:p w14:paraId="3D048391">
            <w:pPr>
              <w:spacing w:before="40" w:after="40" w:line="240" w:lineRule="auto"/>
              <w:ind w:firstLine="0"/>
              <w:jc w:val="left"/>
            </w:pPr>
          </w:p>
        </w:tc>
        <w:tc>
          <w:tcPr>
            <w:tcW w:w="1975" w:type="dxa"/>
            <w:noWrap w:val="0"/>
            <w:vAlign w:val="center"/>
          </w:tcPr>
          <w:p w14:paraId="79705ADD">
            <w:pPr>
              <w:spacing w:before="40" w:after="40" w:line="240" w:lineRule="auto"/>
              <w:ind w:firstLine="0"/>
              <w:jc w:val="left"/>
            </w:pPr>
            <w:r>
              <w:rPr>
                <w:rFonts w:ascii="宋体" w:hAnsi="宋体" w:eastAsia="宋体"/>
                <w:b w:val="0"/>
                <w:color w:val="000000"/>
                <w:sz w:val="18"/>
              </w:rPr>
              <w:t>保本、保利分析</w:t>
            </w:r>
          </w:p>
        </w:tc>
        <w:tc>
          <w:tcPr>
            <w:tcW w:w="1281" w:type="dxa"/>
            <w:noWrap w:val="0"/>
            <w:vAlign w:val="center"/>
          </w:tcPr>
          <w:p w14:paraId="450D4D3E">
            <w:pPr>
              <w:spacing w:before="40" w:after="40" w:line="240" w:lineRule="auto"/>
              <w:ind w:firstLine="0"/>
              <w:jc w:val="center"/>
            </w:pPr>
            <w:r>
              <w:rPr>
                <w:rFonts w:ascii="宋体" w:hAnsi="宋体" w:eastAsia="宋体"/>
                <w:b w:val="0"/>
                <w:color w:val="000000"/>
                <w:sz w:val="18"/>
              </w:rPr>
              <w:t>5</w:t>
            </w:r>
          </w:p>
        </w:tc>
        <w:tc>
          <w:tcPr>
            <w:tcW w:w="1574" w:type="dxa"/>
            <w:vMerge w:val="continue"/>
            <w:noWrap w:val="0"/>
            <w:vAlign w:val="center"/>
          </w:tcPr>
          <w:p w14:paraId="0BB3A337">
            <w:pPr>
              <w:spacing w:before="40" w:after="40" w:line="240" w:lineRule="auto"/>
              <w:ind w:firstLine="0"/>
              <w:jc w:val="center"/>
              <w:rPr>
                <w:rFonts w:hint="default" w:ascii="宋体" w:hAnsi="宋体" w:eastAsia="宋体"/>
                <w:b w:val="0"/>
                <w:color w:val="000000"/>
                <w:sz w:val="18"/>
                <w:lang w:val="en-US" w:eastAsia="zh-CN"/>
              </w:rPr>
            </w:pPr>
          </w:p>
        </w:tc>
        <w:tc>
          <w:tcPr>
            <w:tcW w:w="1567" w:type="dxa"/>
            <w:noWrap w:val="0"/>
            <w:vAlign w:val="center"/>
          </w:tcPr>
          <w:p w14:paraId="657CBD38">
            <w:pPr>
              <w:spacing w:before="40" w:after="40" w:line="240" w:lineRule="auto"/>
              <w:ind w:firstLine="0"/>
              <w:jc w:val="center"/>
              <w:rPr>
                <w:rFonts w:hint="eastAsia" w:ascii="宋体" w:hAnsi="宋体" w:eastAsia="宋体"/>
                <w:b w:val="0"/>
                <w:color w:val="000000"/>
                <w:sz w:val="18"/>
                <w:lang w:val="en-US" w:eastAsia="zh-CN"/>
              </w:rPr>
            </w:pPr>
            <w:r>
              <w:rPr>
                <w:rFonts w:hint="eastAsia" w:ascii="宋体" w:hAnsi="宋体" w:eastAsia="宋体"/>
                <w:b w:val="0"/>
                <w:color w:val="000000"/>
                <w:sz w:val="18"/>
                <w:lang w:val="en-US" w:eastAsia="zh-CN"/>
              </w:rPr>
              <w:t>笔试</w:t>
            </w:r>
          </w:p>
        </w:tc>
      </w:tr>
      <w:tr w14:paraId="52673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jc w:val="center"/>
        </w:trPr>
        <w:tc>
          <w:tcPr>
            <w:tcW w:w="4639" w:type="dxa"/>
            <w:gridSpan w:val="3"/>
            <w:noWrap w:val="0"/>
            <w:vAlign w:val="center"/>
          </w:tcPr>
          <w:p w14:paraId="35B28B7A">
            <w:pPr>
              <w:spacing w:before="40" w:after="40" w:line="240" w:lineRule="auto"/>
              <w:ind w:firstLine="0"/>
              <w:jc w:val="center"/>
            </w:pPr>
            <w:r>
              <w:rPr>
                <w:rFonts w:ascii="宋体" w:hAnsi="宋体" w:eastAsia="宋体"/>
                <w:b w:val="0"/>
                <w:color w:val="000000"/>
                <w:sz w:val="18"/>
              </w:rPr>
              <w:t>合计</w:t>
            </w:r>
          </w:p>
        </w:tc>
        <w:tc>
          <w:tcPr>
            <w:tcW w:w="1281" w:type="dxa"/>
            <w:noWrap w:val="0"/>
            <w:vAlign w:val="center"/>
          </w:tcPr>
          <w:p w14:paraId="1E6990CD">
            <w:pPr>
              <w:spacing w:before="40" w:after="40" w:line="240" w:lineRule="auto"/>
              <w:ind w:firstLine="0"/>
              <w:jc w:val="center"/>
              <w:rPr>
                <w:rFonts w:hint="eastAsia" w:eastAsia="宋体"/>
                <w:lang w:val="en-US" w:eastAsia="zh-CN"/>
              </w:rPr>
            </w:pPr>
            <w:r>
              <w:rPr>
                <w:rFonts w:ascii="宋体" w:hAnsi="宋体" w:eastAsia="宋体"/>
                <w:b w:val="0"/>
                <w:color w:val="000000"/>
                <w:sz w:val="18"/>
              </w:rPr>
              <w:t>10</w:t>
            </w:r>
            <w:r>
              <w:rPr>
                <w:rFonts w:hint="eastAsia" w:ascii="宋体" w:hAnsi="宋体" w:eastAsia="宋体"/>
                <w:b w:val="0"/>
                <w:color w:val="000000"/>
                <w:sz w:val="18"/>
                <w:lang w:val="en-US" w:eastAsia="zh-CN"/>
              </w:rPr>
              <w:t>0</w:t>
            </w:r>
          </w:p>
        </w:tc>
        <w:tc>
          <w:tcPr>
            <w:tcW w:w="1574" w:type="dxa"/>
            <w:noWrap w:val="0"/>
            <w:vAlign w:val="center"/>
          </w:tcPr>
          <w:p w14:paraId="0D930534">
            <w:pPr>
              <w:spacing w:before="40" w:after="40" w:line="240" w:lineRule="auto"/>
              <w:ind w:firstLine="0"/>
              <w:jc w:val="center"/>
              <w:rPr>
                <w:rFonts w:hint="eastAsia" w:ascii="宋体" w:hAnsi="宋体" w:eastAsia="宋体"/>
                <w:b w:val="0"/>
                <w:color w:val="000000"/>
                <w:sz w:val="18"/>
                <w:lang w:val="en-US" w:eastAsia="zh-CN"/>
              </w:rPr>
            </w:pPr>
            <w:r>
              <w:rPr>
                <w:rFonts w:hint="eastAsia" w:ascii="宋体" w:hAnsi="宋体" w:eastAsia="宋体"/>
                <w:b w:val="0"/>
                <w:color w:val="000000"/>
                <w:sz w:val="18"/>
                <w:lang w:val="en-US" w:eastAsia="zh-CN"/>
              </w:rPr>
              <w:t>120</w:t>
            </w:r>
          </w:p>
        </w:tc>
        <w:tc>
          <w:tcPr>
            <w:tcW w:w="1567" w:type="dxa"/>
            <w:noWrap w:val="0"/>
            <w:vAlign w:val="center"/>
          </w:tcPr>
          <w:p w14:paraId="0DE90AEE">
            <w:pPr>
              <w:spacing w:before="40" w:after="40" w:line="240" w:lineRule="auto"/>
              <w:ind w:firstLine="0"/>
              <w:jc w:val="center"/>
              <w:rPr>
                <w:rFonts w:hint="eastAsia" w:ascii="宋体" w:hAnsi="宋体" w:eastAsia="宋体"/>
                <w:b w:val="0"/>
                <w:color w:val="000000"/>
                <w:sz w:val="18"/>
                <w:lang w:val="en-US" w:eastAsia="zh-CN"/>
              </w:rPr>
            </w:pPr>
          </w:p>
        </w:tc>
      </w:tr>
    </w:tbl>
    <w:p w14:paraId="34D7C61B">
      <w:pPr>
        <w:keepNext w:val="0"/>
        <w:keepLines w:val="0"/>
        <w:pageBreakBefore w:val="0"/>
        <w:widowControl w:val="0"/>
        <w:numPr>
          <w:ilvl w:val="0"/>
          <w:numId w:val="0"/>
        </w:numPr>
        <w:kinsoku/>
        <w:wordWrap/>
        <w:overflowPunct/>
        <w:topLinePunct w:val="0"/>
        <w:autoSpaceDE/>
        <w:autoSpaceDN/>
        <w:bidi w:val="0"/>
        <w:adjustRightInd w:val="0"/>
        <w:snapToGrid w:val="0"/>
        <w:spacing w:line="540" w:lineRule="exact"/>
        <w:ind w:firstLine="480" w:firstLineChars="200"/>
        <w:jc w:val="left"/>
        <w:textAlignment w:val="auto"/>
        <w:rPr>
          <w:rFonts w:hint="eastAsia"/>
          <w:lang w:val="en-US"/>
        </w:rPr>
      </w:pPr>
      <w:r>
        <w:rPr>
          <w:rFonts w:hint="eastAsia" w:ascii="楷体" w:hAnsi="楷体" w:eastAsia="楷体" w:cs="楷体"/>
          <w:bCs w:val="0"/>
          <w:color w:val="auto"/>
          <w:kern w:val="2"/>
          <w:sz w:val="24"/>
          <w:szCs w:val="24"/>
          <w:lang w:val="en-US" w:eastAsia="zh-CN" w:bidi="ar-SA"/>
        </w:rPr>
        <w:t>说明：技能操作竞赛部分分为笔试与实操，考试时间120分钟，考核总时长120分钟（含各题准备时间），其中技能操作竞赛部分笔试90分钟，技能操作竞赛实操部分30分钟。各大题分值与时限以题面为准。</w:t>
      </w:r>
    </w:p>
    <w:p w14:paraId="43305A42">
      <w:pPr>
        <w:keepNext w:val="0"/>
        <w:keepLines w:val="0"/>
        <w:pageBreakBefore w:val="0"/>
        <w:numPr>
          <w:ilvl w:val="0"/>
          <w:numId w:val="1"/>
        </w:numPr>
        <w:wordWrap/>
        <w:overflowPunct/>
        <w:topLinePunct w:val="0"/>
        <w:bidi w:val="0"/>
        <w:adjustRightInd w:val="0"/>
        <w:snapToGrid w:val="0"/>
        <w:spacing w:line="540" w:lineRule="exact"/>
        <w:ind w:left="0" w:right="0" w:firstLine="528" w:firstLineChars="200"/>
        <w:outlineLvl w:val="0"/>
        <w:rPr>
          <w:rFonts w:hint="eastAsia" w:ascii="黑体" w:hAnsi="黑体" w:eastAsia="黑体" w:cs="黑体"/>
          <w:b w:val="0"/>
          <w:bCs w:val="0"/>
          <w:color w:val="auto"/>
          <w:spacing w:val="-8"/>
          <w:kern w:val="2"/>
          <w:sz w:val="28"/>
          <w:szCs w:val="28"/>
          <w:lang w:val="en-US" w:eastAsia="zh-CN" w:bidi="ar-SA"/>
        </w:rPr>
      </w:pPr>
      <w:r>
        <w:rPr>
          <w:rFonts w:hint="eastAsia" w:ascii="黑体" w:hAnsi="黑体" w:eastAsia="黑体" w:cs="黑体"/>
          <w:b w:val="0"/>
          <w:bCs w:val="0"/>
          <w:color w:val="auto"/>
          <w:spacing w:val="-8"/>
          <w:kern w:val="2"/>
          <w:sz w:val="28"/>
          <w:szCs w:val="28"/>
          <w:lang w:val="en-US" w:eastAsia="zh-CN" w:bidi="ar-SA"/>
        </w:rPr>
        <w:t xml:space="preserve">竞赛方式 </w:t>
      </w:r>
    </w:p>
    <w:p w14:paraId="1C90F395">
      <w:pPr>
        <w:pStyle w:val="2"/>
        <w:keepNext w:val="0"/>
        <w:keepLines w:val="0"/>
        <w:pageBreakBefore w:val="0"/>
        <w:widowControl w:val="0"/>
        <w:numPr>
          <w:ilvl w:val="0"/>
          <w:numId w:val="12"/>
        </w:numPr>
        <w:kinsoku w:val="0"/>
        <w:wordWrap/>
        <w:overflowPunct/>
        <w:topLinePunct w:val="0"/>
        <w:autoSpaceDE w:val="0"/>
        <w:autoSpaceDN w:val="0"/>
        <w:bidi w:val="0"/>
        <w:adjustRightInd w:val="0"/>
        <w:snapToGrid w:val="0"/>
        <w:spacing w:before="0" w:beforeAutospacing="0" w:after="0" w:line="540" w:lineRule="exact"/>
        <w:ind w:left="0" w:leftChars="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竞赛形式</w:t>
      </w:r>
    </w:p>
    <w:p w14:paraId="6CA24877">
      <w:pPr>
        <w:pStyle w:val="13"/>
        <w:keepNext w:val="0"/>
        <w:keepLines w:val="0"/>
        <w:pageBreakBefore w:val="0"/>
        <w:wordWrap/>
        <w:overflowPunct/>
        <w:topLinePunct w:val="0"/>
        <w:bidi w:val="0"/>
        <w:spacing w:line="540" w:lineRule="exact"/>
        <w:ind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线下比赛</w:t>
      </w:r>
    </w:p>
    <w:p w14:paraId="271989B1">
      <w:pPr>
        <w:pStyle w:val="2"/>
        <w:keepNext w:val="0"/>
        <w:keepLines w:val="0"/>
        <w:pageBreakBefore w:val="0"/>
        <w:widowControl w:val="0"/>
        <w:numPr>
          <w:ilvl w:val="0"/>
          <w:numId w:val="12"/>
        </w:numPr>
        <w:kinsoku w:val="0"/>
        <w:wordWrap/>
        <w:overflowPunct/>
        <w:topLinePunct w:val="0"/>
        <w:autoSpaceDE w:val="0"/>
        <w:autoSpaceDN w:val="0"/>
        <w:bidi w:val="0"/>
        <w:adjustRightInd w:val="0"/>
        <w:snapToGrid w:val="0"/>
        <w:spacing w:before="0" w:beforeAutospacing="0" w:after="0" w:line="540" w:lineRule="exact"/>
        <w:ind w:left="0" w:leftChars="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组队方式</w:t>
      </w:r>
    </w:p>
    <w:p w14:paraId="731B9FF1">
      <w:pPr>
        <w:pStyle w:val="13"/>
        <w:keepNext w:val="0"/>
        <w:keepLines w:val="0"/>
        <w:pageBreakBefore w:val="0"/>
        <w:wordWrap/>
        <w:overflowPunct/>
        <w:topLinePunct w:val="0"/>
        <w:bidi w:val="0"/>
        <w:spacing w:line="540" w:lineRule="exact"/>
        <w:ind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参赛对象须为海海南省高等职业院校全日制在籍学生，资格以报名时所具有的在校学籍为准。参赛对象所学专业须与参赛赛道对接的行业、面向岗位及技术领域相关。参赛选手年龄不超过25周岁(即2002年5月1日及以后出生)，五年制高职四、五年级学生可参加高职组比赛。在2025年世界职业院校技能大赛争夺赛中获一等奖的选手，不能再参加今年同一项目(同一组别)的全省竞赛。</w:t>
      </w:r>
    </w:p>
    <w:p w14:paraId="22D6AAA7">
      <w:pPr>
        <w:pStyle w:val="2"/>
        <w:keepNext w:val="0"/>
        <w:keepLines w:val="0"/>
        <w:pageBreakBefore w:val="0"/>
        <w:widowControl w:val="0"/>
        <w:numPr>
          <w:ilvl w:val="0"/>
          <w:numId w:val="12"/>
        </w:numPr>
        <w:kinsoku w:val="0"/>
        <w:wordWrap/>
        <w:overflowPunct/>
        <w:topLinePunct w:val="0"/>
        <w:autoSpaceDE w:val="0"/>
        <w:autoSpaceDN w:val="0"/>
        <w:bidi w:val="0"/>
        <w:adjustRightInd w:val="0"/>
        <w:snapToGrid w:val="0"/>
        <w:spacing w:before="0" w:beforeAutospacing="0" w:after="0" w:line="540" w:lineRule="exact"/>
        <w:ind w:left="0" w:leftChars="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组队要求</w:t>
      </w:r>
    </w:p>
    <w:p w14:paraId="6FB29851">
      <w:pPr>
        <w:pStyle w:val="13"/>
        <w:keepNext w:val="0"/>
        <w:keepLines w:val="0"/>
        <w:pageBreakBefore w:val="0"/>
        <w:wordWrap/>
        <w:overflowPunct/>
        <w:topLinePunct w:val="0"/>
        <w:bidi w:val="0"/>
        <w:spacing w:line="540" w:lineRule="exact"/>
        <w:ind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1.竞赛以个人赛方式线下进行。</w:t>
      </w:r>
      <w:bookmarkStart w:id="0" w:name="_GoBack"/>
      <w:bookmarkEnd w:id="0"/>
    </w:p>
    <w:p w14:paraId="45916A6A">
      <w:pPr>
        <w:pStyle w:val="13"/>
        <w:keepNext w:val="0"/>
        <w:keepLines w:val="0"/>
        <w:pageBreakBefore w:val="0"/>
        <w:wordWrap/>
        <w:overflowPunct/>
        <w:topLinePunct w:val="0"/>
        <w:bidi w:val="0"/>
        <w:spacing w:line="540" w:lineRule="exact"/>
        <w:ind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2.各开设竞赛项目相应专业的参赛学校，均应组织校内选拔赛，不得跨校组队，在选拔赛的基础上组队参加市赛。每校限报4人，每名参赛选手限配 1 名指导教师，指导教师须为本校专任教师，且真实参与项目指导工作，负责参赛选手的报名、训练指导以及比赛期间的日常管理。各参赛学校设领队1名，负责参赛事务的组织和协调。</w:t>
      </w:r>
    </w:p>
    <w:p w14:paraId="7266DEE3">
      <w:pPr>
        <w:pStyle w:val="2"/>
        <w:keepNext w:val="0"/>
        <w:keepLines w:val="0"/>
        <w:pageBreakBefore w:val="0"/>
        <w:widowControl w:val="0"/>
        <w:numPr>
          <w:ilvl w:val="0"/>
          <w:numId w:val="12"/>
        </w:numPr>
        <w:kinsoku w:val="0"/>
        <w:wordWrap/>
        <w:overflowPunct/>
        <w:topLinePunct w:val="0"/>
        <w:autoSpaceDE w:val="0"/>
        <w:autoSpaceDN w:val="0"/>
        <w:bidi w:val="0"/>
        <w:adjustRightInd w:val="0"/>
        <w:snapToGrid w:val="0"/>
        <w:spacing w:before="0" w:beforeAutospacing="0" w:after="0" w:line="540" w:lineRule="exact"/>
        <w:ind w:left="0" w:leftChars="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报名要求</w:t>
      </w:r>
    </w:p>
    <w:p w14:paraId="3D9C23F3">
      <w:pPr>
        <w:pStyle w:val="13"/>
        <w:keepNext w:val="0"/>
        <w:keepLines w:val="0"/>
        <w:pageBreakBefore w:val="0"/>
        <w:numPr>
          <w:ilvl w:val="0"/>
          <w:numId w:val="13"/>
        </w:numPr>
        <w:wordWrap/>
        <w:overflowPunct/>
        <w:topLinePunct w:val="0"/>
        <w:bidi w:val="0"/>
        <w:spacing w:line="540" w:lineRule="exact"/>
        <w:ind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大赛实行网上报名，参赛高职院校分别以学校用户名登录全国高职院校技能大赛报名网站</w:t>
      </w:r>
      <w:r>
        <w:rPr>
          <w:rFonts w:hint="default" w:ascii="Times New Roman" w:hAnsi="Times New Roman" w:eastAsia="方正仿宋_GB2312" w:cs="Times New Roman"/>
          <w:bCs w:val="0"/>
          <w:color w:val="auto"/>
          <w:kern w:val="2"/>
          <w:sz w:val="28"/>
          <w:szCs w:val="28"/>
          <w:lang w:val="en-US" w:eastAsia="zh-CN" w:bidi="ar-SA"/>
        </w:rPr>
        <w:t>(http://comp.turbosnail.cc)</w:t>
      </w:r>
      <w:r>
        <w:rPr>
          <w:rFonts w:hint="eastAsia" w:ascii="方正仿宋_GB2312" w:hAnsi="方正仿宋_GB2312" w:eastAsia="方正仿宋_GB2312" w:cs="方正仿宋_GB2312"/>
          <w:bCs w:val="0"/>
          <w:color w:val="auto"/>
          <w:kern w:val="2"/>
          <w:sz w:val="28"/>
          <w:szCs w:val="28"/>
          <w:lang w:val="en-US" w:eastAsia="zh-CN" w:bidi="ar-SA"/>
        </w:rPr>
        <w:t>进行报名，填写参赛选手报名表。审核通过的参赛选手自行打印彩色参赛证参赛。</w:t>
      </w:r>
    </w:p>
    <w:p w14:paraId="0052D0D9">
      <w:pPr>
        <w:pStyle w:val="13"/>
        <w:keepNext w:val="0"/>
        <w:keepLines w:val="0"/>
        <w:pageBreakBefore w:val="0"/>
        <w:wordWrap/>
        <w:overflowPunct/>
        <w:topLinePunct w:val="0"/>
        <w:bidi w:val="0"/>
        <w:spacing w:line="540" w:lineRule="exact"/>
        <w:ind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2.参赛人员变更：参赛选手和指导教师报名获得确认后不得随意更换。如比赛前参赛选手和指导教师因故无法参赛，须由参赛代表队于赛项开赛10个工作日之前出具书面说明，经市教育主管部门核实后，予以更换。补充人员需满足本赛项参赛选手资格并接受审核；如发现未经报备，实际参赛选手与报名信息不符的情况，不得入场。</w:t>
      </w:r>
    </w:p>
    <w:p w14:paraId="66BD1B1D">
      <w:pPr>
        <w:pStyle w:val="13"/>
        <w:keepNext w:val="0"/>
        <w:keepLines w:val="0"/>
        <w:pageBreakBefore w:val="0"/>
        <w:wordWrap/>
        <w:overflowPunct/>
        <w:topLinePunct w:val="0"/>
        <w:bidi w:val="0"/>
        <w:spacing w:line="540" w:lineRule="exact"/>
        <w:ind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3.所有参赛队伍必须自行购买参赛期间人身意外伤害保险。</w:t>
      </w:r>
    </w:p>
    <w:p w14:paraId="30149E3F">
      <w:pPr>
        <w:pStyle w:val="13"/>
        <w:keepNext w:val="0"/>
        <w:keepLines w:val="0"/>
        <w:pageBreakBefore w:val="0"/>
        <w:wordWrap/>
        <w:overflowPunct/>
        <w:topLinePunct w:val="0"/>
        <w:bidi w:val="0"/>
        <w:spacing w:line="540" w:lineRule="exact"/>
        <w:ind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4.资格审查：大</w:t>
      </w:r>
      <w:r>
        <w:rPr>
          <w:rFonts w:hint="eastAsia" w:ascii="方正仿宋_GB2312" w:hAnsi="方正仿宋_GB2312" w:eastAsia="方正仿宋_GB2312" w:cs="方正仿宋_GB2312"/>
          <w:color w:val="auto"/>
          <w:spacing w:val="-2"/>
          <w:sz w:val="28"/>
          <w:szCs w:val="28"/>
          <w:lang w:val="en-US" w:eastAsia="zh-CN"/>
        </w:rPr>
        <w:t>赛组委</w:t>
      </w:r>
      <w:r>
        <w:rPr>
          <w:rFonts w:hint="eastAsia" w:ascii="方正仿宋_GB2312" w:hAnsi="方正仿宋_GB2312" w:eastAsia="方正仿宋_GB2312" w:cs="方正仿宋_GB2312"/>
          <w:bCs w:val="0"/>
          <w:color w:val="auto"/>
          <w:kern w:val="2"/>
          <w:sz w:val="28"/>
          <w:szCs w:val="28"/>
          <w:lang w:val="en-US" w:eastAsia="zh-CN" w:bidi="ar-SA"/>
        </w:rPr>
        <w:t>会负责参赛学生的资格审查工作，并保存相关证明材料的复印件，以备查阅。</w:t>
      </w:r>
    </w:p>
    <w:p w14:paraId="179BA4F5">
      <w:pPr>
        <w:keepNext w:val="0"/>
        <w:keepLines w:val="0"/>
        <w:pageBreakBefore w:val="0"/>
        <w:numPr>
          <w:ilvl w:val="0"/>
          <w:numId w:val="1"/>
        </w:numPr>
        <w:wordWrap/>
        <w:overflowPunct/>
        <w:topLinePunct w:val="0"/>
        <w:bidi w:val="0"/>
        <w:adjustRightInd w:val="0"/>
        <w:snapToGrid w:val="0"/>
        <w:spacing w:line="540" w:lineRule="exact"/>
        <w:ind w:left="0" w:right="0" w:firstLine="528" w:firstLineChars="200"/>
        <w:outlineLvl w:val="0"/>
        <w:rPr>
          <w:rFonts w:hint="eastAsia" w:ascii="黑体" w:hAnsi="黑体" w:eastAsia="黑体" w:cs="黑体"/>
          <w:b w:val="0"/>
          <w:bCs w:val="0"/>
          <w:color w:val="auto"/>
          <w:spacing w:val="-8"/>
          <w:kern w:val="2"/>
          <w:sz w:val="28"/>
          <w:szCs w:val="28"/>
          <w:lang w:val="en-US" w:eastAsia="zh-CN" w:bidi="ar-SA"/>
        </w:rPr>
      </w:pPr>
      <w:r>
        <w:rPr>
          <w:rFonts w:hint="eastAsia" w:ascii="黑体" w:hAnsi="黑体" w:eastAsia="黑体" w:cs="黑体"/>
          <w:b w:val="0"/>
          <w:bCs w:val="0"/>
          <w:color w:val="auto"/>
          <w:spacing w:val="-8"/>
          <w:kern w:val="2"/>
          <w:sz w:val="28"/>
          <w:szCs w:val="28"/>
          <w:lang w:val="en-US" w:eastAsia="zh-CN" w:bidi="ar-SA"/>
        </w:rPr>
        <w:t>竞赛安排</w:t>
      </w:r>
    </w:p>
    <w:p w14:paraId="5B1F97EF">
      <w:pPr>
        <w:pStyle w:val="2"/>
        <w:keepNext w:val="0"/>
        <w:keepLines w:val="0"/>
        <w:pageBreakBefore w:val="0"/>
        <w:widowControl w:val="0"/>
        <w:numPr>
          <w:ilvl w:val="0"/>
          <w:numId w:val="14"/>
        </w:numPr>
        <w:kinsoku w:val="0"/>
        <w:wordWrap/>
        <w:overflowPunct/>
        <w:topLinePunct w:val="0"/>
        <w:autoSpaceDE w:val="0"/>
        <w:autoSpaceDN w:val="0"/>
        <w:bidi w:val="0"/>
        <w:adjustRightInd w:val="0"/>
        <w:snapToGrid w:val="0"/>
        <w:spacing w:before="0" w:beforeAutospacing="0" w:after="0" w:line="540" w:lineRule="exact"/>
        <w:ind w:left="0" w:leftChars="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竞赛时间</w:t>
      </w:r>
    </w:p>
    <w:p w14:paraId="1A448D82">
      <w:pPr>
        <w:keepNext w:val="0"/>
        <w:keepLines w:val="0"/>
        <w:pageBreakBefore w:val="0"/>
        <w:widowControl/>
        <w:kinsoku w:val="0"/>
        <w:wordWrap/>
        <w:overflowPunct/>
        <w:topLinePunct w:val="0"/>
        <w:autoSpaceDE w:val="0"/>
        <w:autoSpaceDN w:val="0"/>
        <w:bidi w:val="0"/>
        <w:adjustRightInd w:val="0"/>
        <w:snapToGrid w:val="0"/>
        <w:spacing w:line="540" w:lineRule="exact"/>
        <w:ind w:firstLine="552" w:firstLineChars="200"/>
        <w:textAlignment w:val="baseline"/>
        <w:rPr>
          <w:rFonts w:hint="eastAsia"/>
        </w:rPr>
      </w:pPr>
      <w:r>
        <w:rPr>
          <w:rFonts w:hint="eastAsia" w:ascii="方正仿宋_GB2312" w:hAnsi="方正仿宋_GB2312" w:eastAsia="方正仿宋_GB2312" w:cs="方正仿宋_GB2312"/>
          <w:color w:val="auto"/>
          <w:spacing w:val="-2"/>
          <w:sz w:val="28"/>
          <w:szCs w:val="28"/>
          <w:lang w:val="en-US" w:eastAsia="zh-CN"/>
        </w:rPr>
        <w:t>本次竞赛时间以大赛组委会办公室通知时间为准。参照《2026海南省职业院校职业技能大赛学生竞赛方案》（琼教职成〔2026〕42 号），本赛项于 2026 年11月23-29日在海南科技职业大学举行。</w:t>
      </w:r>
    </w:p>
    <w:p w14:paraId="4C029E6B">
      <w:pPr>
        <w:pStyle w:val="2"/>
        <w:keepNext w:val="0"/>
        <w:keepLines w:val="0"/>
        <w:pageBreakBefore w:val="0"/>
        <w:widowControl w:val="0"/>
        <w:numPr>
          <w:ilvl w:val="0"/>
          <w:numId w:val="14"/>
        </w:numPr>
        <w:kinsoku w:val="0"/>
        <w:wordWrap/>
        <w:overflowPunct/>
        <w:topLinePunct w:val="0"/>
        <w:autoSpaceDE w:val="0"/>
        <w:autoSpaceDN w:val="0"/>
        <w:bidi w:val="0"/>
        <w:adjustRightInd w:val="0"/>
        <w:snapToGrid w:val="0"/>
        <w:spacing w:before="0" w:beforeAutospacing="0" w:after="0" w:line="540" w:lineRule="exact"/>
        <w:ind w:left="0" w:leftChars="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竞赛日程</w:t>
      </w:r>
    </w:p>
    <w:p w14:paraId="065FEA0F">
      <w:pPr>
        <w:pStyle w:val="13"/>
        <w:keepNext w:val="0"/>
        <w:keepLines w:val="0"/>
        <w:pageBreakBefore w:val="0"/>
        <w:numPr>
          <w:ilvl w:val="0"/>
          <w:numId w:val="15"/>
        </w:numPr>
        <w:wordWrap/>
        <w:overflowPunct/>
        <w:topLinePunct w:val="0"/>
        <w:bidi w:val="0"/>
        <w:spacing w:line="540" w:lineRule="exact"/>
        <w:ind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裁判员原则上提前1天报道，便于赛项执委会组织执裁培训、熟悉比赛评分细则，具体安排另行通知。</w:t>
      </w:r>
    </w:p>
    <w:p w14:paraId="14A8FE28">
      <w:pPr>
        <w:pStyle w:val="13"/>
        <w:keepNext w:val="0"/>
        <w:keepLines w:val="0"/>
        <w:pageBreakBefore w:val="0"/>
        <w:numPr>
          <w:ilvl w:val="0"/>
          <w:numId w:val="15"/>
        </w:numPr>
        <w:wordWrap/>
        <w:overflowPunct/>
        <w:topLinePunct w:val="0"/>
        <w:bidi w:val="0"/>
        <w:spacing w:line="540" w:lineRule="exact"/>
        <w:ind w:firstLine="560" w:firstLineChars="200"/>
        <w:rPr>
          <w:rFonts w:hint="default"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参赛队报到时间1天，比赛、裁判阅卷、成绩公布、开闭赛式共1天。具体时间安排见表2。</w:t>
      </w:r>
    </w:p>
    <w:p w14:paraId="45F4FBD0">
      <w:pPr>
        <w:spacing w:before="146" w:line="218" w:lineRule="auto"/>
        <w:ind w:left="2908"/>
        <w:rPr>
          <w:rFonts w:hint="eastAsia" w:ascii="仿宋" w:hAnsi="仿宋" w:eastAsia="仿宋" w:cs="仿宋"/>
          <w:b/>
          <w:bCs/>
          <w:spacing w:val="-5"/>
          <w:sz w:val="28"/>
          <w:szCs w:val="28"/>
          <w:lang w:val="en-US" w:eastAsia="zh-CN"/>
        </w:rPr>
      </w:pPr>
      <w:r>
        <w:rPr>
          <w:rFonts w:hint="eastAsia" w:ascii="仿宋" w:hAnsi="仿宋" w:eastAsia="仿宋" w:cs="仿宋"/>
          <w:b/>
          <w:bCs/>
          <w:spacing w:val="-5"/>
          <w:sz w:val="28"/>
          <w:szCs w:val="28"/>
          <w:lang w:val="zh-CN" w:eastAsia="zh-CN"/>
        </w:rPr>
        <w:t>表</w:t>
      </w:r>
      <w:r>
        <w:rPr>
          <w:rFonts w:hint="eastAsia" w:ascii="仿宋" w:hAnsi="仿宋" w:eastAsia="仿宋" w:cs="仿宋"/>
          <w:b/>
          <w:bCs/>
          <w:spacing w:val="-5"/>
          <w:sz w:val="28"/>
          <w:szCs w:val="28"/>
          <w:lang w:val="en-US" w:eastAsia="zh-CN"/>
        </w:rPr>
        <w:t>2</w:t>
      </w:r>
      <w:r>
        <w:rPr>
          <w:rFonts w:hint="eastAsia" w:ascii="仿宋" w:hAnsi="仿宋" w:eastAsia="仿宋" w:cs="仿宋"/>
          <w:b/>
          <w:bCs/>
          <w:spacing w:val="-5"/>
          <w:sz w:val="28"/>
          <w:szCs w:val="28"/>
          <w:lang w:val="zh-CN" w:eastAsia="zh-CN"/>
        </w:rPr>
        <w:t xml:space="preserve"> </w:t>
      </w:r>
      <w:r>
        <w:rPr>
          <w:rFonts w:hint="eastAsia" w:ascii="仿宋" w:hAnsi="仿宋" w:eastAsia="仿宋" w:cs="仿宋"/>
          <w:b/>
          <w:bCs/>
          <w:spacing w:val="-5"/>
          <w:sz w:val="28"/>
          <w:szCs w:val="28"/>
          <w:lang w:val="en-US" w:eastAsia="zh-CN"/>
        </w:rPr>
        <w:t>竞赛日程安排计划表</w:t>
      </w:r>
    </w:p>
    <w:tbl>
      <w:tblPr>
        <w:tblStyle w:val="8"/>
        <w:tblW w:w="5035" w:type="pct"/>
        <w:tblInd w:w="13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
      <w:tblGrid>
        <w:gridCol w:w="1190"/>
        <w:gridCol w:w="1650"/>
        <w:gridCol w:w="5760"/>
      </w:tblGrid>
      <w:tr w14:paraId="6E42D4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0" w:hRule="atLeast"/>
          <w:tblHeader/>
        </w:trPr>
        <w:tc>
          <w:tcPr>
            <w:tcW w:w="691" w:type="pct"/>
            <w:noWrap w:val="0"/>
            <w:tcMar>
              <w:top w:w="120" w:type="dxa"/>
              <w:left w:w="120" w:type="dxa"/>
              <w:bottom w:w="120" w:type="dxa"/>
              <w:right w:w="120" w:type="dxa"/>
            </w:tcMar>
            <w:vAlign w:val="center"/>
          </w:tcPr>
          <w:p w14:paraId="68413CE7">
            <w:pPr>
              <w:jc w:val="cente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日期</w:t>
            </w:r>
          </w:p>
        </w:tc>
        <w:tc>
          <w:tcPr>
            <w:tcW w:w="959" w:type="pct"/>
            <w:noWrap w:val="0"/>
            <w:tcMar>
              <w:top w:w="120" w:type="dxa"/>
              <w:left w:w="120" w:type="dxa"/>
              <w:bottom w:w="120" w:type="dxa"/>
              <w:right w:w="120" w:type="dxa"/>
            </w:tcMar>
            <w:vAlign w:val="center"/>
          </w:tcPr>
          <w:p w14:paraId="6B434E85">
            <w:pPr>
              <w:jc w:val="cente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时间</w:t>
            </w:r>
          </w:p>
        </w:tc>
        <w:tc>
          <w:tcPr>
            <w:tcW w:w="3349" w:type="pct"/>
            <w:noWrap w:val="0"/>
            <w:tcMar>
              <w:top w:w="120" w:type="dxa"/>
              <w:left w:w="120" w:type="dxa"/>
              <w:bottom w:w="120" w:type="dxa"/>
              <w:right w:w="120" w:type="dxa"/>
            </w:tcMar>
            <w:vAlign w:val="center"/>
          </w:tcPr>
          <w:p w14:paraId="2AC7F8C1">
            <w:pPr>
              <w:jc w:val="center"/>
              <w:rPr>
                <w:rFonts w:hint="eastAsia" w:ascii="方正仿宋_GB2312" w:hAnsi="方正仿宋_GB2312" w:eastAsia="方正仿宋_GB2312" w:cs="方正仿宋_GB2312"/>
                <w:b/>
                <w:bCs/>
                <w:sz w:val="24"/>
                <w:szCs w:val="24"/>
                <w:lang w:eastAsia="zh-CN"/>
              </w:rPr>
            </w:pPr>
            <w:r>
              <w:rPr>
                <w:rFonts w:hint="eastAsia" w:ascii="方正仿宋_GB2312" w:hAnsi="方正仿宋_GB2312" w:eastAsia="方正仿宋_GB2312" w:cs="方正仿宋_GB2312"/>
                <w:b/>
                <w:bCs/>
                <w:sz w:val="24"/>
                <w:szCs w:val="24"/>
                <w:lang w:val="en-US" w:eastAsia="zh-CN"/>
              </w:rPr>
              <w:t>工作内容</w:t>
            </w:r>
          </w:p>
        </w:tc>
      </w:tr>
      <w:tr w14:paraId="68F17E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0" w:hRule="atLeast"/>
        </w:trPr>
        <w:tc>
          <w:tcPr>
            <w:tcW w:w="691" w:type="pct"/>
            <w:noWrap w:val="0"/>
            <w:tcMar>
              <w:top w:w="120" w:type="dxa"/>
              <w:left w:w="120" w:type="dxa"/>
              <w:bottom w:w="120" w:type="dxa"/>
              <w:right w:w="120" w:type="dxa"/>
            </w:tcMar>
            <w:vAlign w:val="center"/>
          </w:tcPr>
          <w:p w14:paraId="456338C6">
            <w:pPr>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第一天</w:t>
            </w:r>
          </w:p>
        </w:tc>
        <w:tc>
          <w:tcPr>
            <w:tcW w:w="959" w:type="pct"/>
            <w:noWrap w:val="0"/>
            <w:tcMar>
              <w:top w:w="120" w:type="dxa"/>
              <w:left w:w="120" w:type="dxa"/>
              <w:bottom w:w="120" w:type="dxa"/>
              <w:right w:w="120" w:type="dxa"/>
            </w:tcMar>
            <w:vAlign w:val="center"/>
          </w:tcPr>
          <w:p w14:paraId="6C70F25E">
            <w:pPr>
              <w:jc w:val="center"/>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12</w:t>
            </w:r>
            <w:r>
              <w:rPr>
                <w:rFonts w:hint="eastAsia" w:ascii="方正仿宋_GB2312" w:hAnsi="方正仿宋_GB2312" w:eastAsia="方正仿宋_GB2312" w:cs="方正仿宋_GB2312"/>
                <w:sz w:val="24"/>
                <w:szCs w:val="24"/>
              </w:rPr>
              <w:t>:00</w:t>
            </w:r>
            <w:r>
              <w:rPr>
                <w:rFonts w:hint="eastAsia" w:ascii="方正仿宋_GB2312" w:hAnsi="方正仿宋_GB2312" w:eastAsia="方正仿宋_GB2312" w:cs="方正仿宋_GB2312"/>
                <w:sz w:val="24"/>
                <w:szCs w:val="24"/>
                <w:lang w:val="en-US" w:eastAsia="zh-CN"/>
              </w:rPr>
              <w:t>-17:00</w:t>
            </w:r>
          </w:p>
        </w:tc>
        <w:tc>
          <w:tcPr>
            <w:tcW w:w="3349" w:type="pct"/>
            <w:noWrap w:val="0"/>
            <w:tcMar>
              <w:top w:w="120" w:type="dxa"/>
              <w:left w:w="120" w:type="dxa"/>
              <w:bottom w:w="120" w:type="dxa"/>
              <w:right w:w="120" w:type="dxa"/>
            </w:tcMar>
            <w:vAlign w:val="center"/>
          </w:tcPr>
          <w:p w14:paraId="0850DF61">
            <w:pPr>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参赛队报道，发放参赛证、领队会议，选手熟悉比赛赛场</w:t>
            </w:r>
          </w:p>
        </w:tc>
      </w:tr>
      <w:tr w14:paraId="77922B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0" w:hRule="atLeast"/>
        </w:trPr>
        <w:tc>
          <w:tcPr>
            <w:tcW w:w="691" w:type="pct"/>
            <w:noWrap w:val="0"/>
            <w:tcMar>
              <w:top w:w="120" w:type="dxa"/>
              <w:left w:w="120" w:type="dxa"/>
              <w:bottom w:w="120" w:type="dxa"/>
              <w:right w:w="120" w:type="dxa"/>
            </w:tcMar>
            <w:vAlign w:val="center"/>
          </w:tcPr>
          <w:p w14:paraId="424BD5BD">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第二天</w:t>
            </w:r>
          </w:p>
        </w:tc>
        <w:tc>
          <w:tcPr>
            <w:tcW w:w="959" w:type="pct"/>
            <w:noWrap w:val="0"/>
            <w:tcMar>
              <w:top w:w="120" w:type="dxa"/>
              <w:left w:w="120" w:type="dxa"/>
              <w:bottom w:w="120" w:type="dxa"/>
              <w:right w:w="120" w:type="dxa"/>
            </w:tcMar>
            <w:vAlign w:val="center"/>
          </w:tcPr>
          <w:p w14:paraId="0695754B">
            <w:pPr>
              <w:jc w:val="center"/>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7:00-17:00</w:t>
            </w:r>
          </w:p>
        </w:tc>
        <w:tc>
          <w:tcPr>
            <w:tcW w:w="3349" w:type="pct"/>
            <w:noWrap w:val="0"/>
            <w:tcMar>
              <w:top w:w="120" w:type="dxa"/>
              <w:left w:w="120" w:type="dxa"/>
              <w:bottom w:w="120" w:type="dxa"/>
              <w:right w:w="120" w:type="dxa"/>
            </w:tcMar>
            <w:vAlign w:val="center"/>
          </w:tcPr>
          <w:p w14:paraId="31816E2B">
            <w:pPr>
              <w:tabs>
                <w:tab w:val="left" w:pos="1196"/>
              </w:tabs>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比赛考核，裁判员阅卷、成绩录入、成绩公布、闭赛式</w:t>
            </w:r>
          </w:p>
        </w:tc>
      </w:tr>
    </w:tbl>
    <w:p w14:paraId="7ACF089D">
      <w:pPr>
        <w:pStyle w:val="2"/>
        <w:keepNext w:val="0"/>
        <w:keepLines w:val="0"/>
        <w:pageBreakBefore w:val="0"/>
        <w:widowControl w:val="0"/>
        <w:numPr>
          <w:ilvl w:val="0"/>
          <w:numId w:val="14"/>
        </w:numPr>
        <w:kinsoku w:val="0"/>
        <w:wordWrap/>
        <w:overflowPunct/>
        <w:topLinePunct w:val="0"/>
        <w:autoSpaceDE w:val="0"/>
        <w:autoSpaceDN w:val="0"/>
        <w:bidi w:val="0"/>
        <w:adjustRightInd w:val="0"/>
        <w:snapToGrid w:val="0"/>
        <w:spacing w:before="0"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检录与抽签</w:t>
      </w:r>
    </w:p>
    <w:p w14:paraId="6C1EFE7D">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检录：检录抽签组，在监督员监督下核对选手三证，金属探测仪排查通讯电子产品。严禁选手携带手机、智能手表等通讯设备进入竞赛区域。</w:t>
      </w:r>
    </w:p>
    <w:p w14:paraId="2AC5435A">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抽签：在监督员全程监督下，参赛队员各自抽取各场次中的比赛顺序号，形成加密编号；选手身份证件集中封存保管，比赛结束凭签字取回。</w:t>
      </w:r>
    </w:p>
    <w:p w14:paraId="5E8A44C0">
      <w:pPr>
        <w:keepNext w:val="0"/>
        <w:keepLines w:val="0"/>
        <w:pageBreakBefore w:val="0"/>
        <w:numPr>
          <w:ilvl w:val="0"/>
          <w:numId w:val="1"/>
        </w:numPr>
        <w:wordWrap/>
        <w:overflowPunct/>
        <w:topLinePunct w:val="0"/>
        <w:bidi w:val="0"/>
        <w:adjustRightInd w:val="0"/>
        <w:snapToGrid w:val="0"/>
        <w:spacing w:line="540" w:lineRule="exact"/>
        <w:ind w:left="0" w:right="0" w:firstLine="528" w:firstLineChars="200"/>
        <w:outlineLvl w:val="0"/>
        <w:rPr>
          <w:rFonts w:hint="eastAsia" w:ascii="黑体" w:hAnsi="黑体" w:eastAsia="黑体" w:cs="黑体"/>
          <w:b w:val="0"/>
          <w:bCs w:val="0"/>
          <w:color w:val="auto"/>
          <w:spacing w:val="-8"/>
          <w:kern w:val="2"/>
          <w:sz w:val="28"/>
          <w:szCs w:val="28"/>
          <w:lang w:val="zh-CN" w:eastAsia="zh-CN" w:bidi="ar-SA"/>
        </w:rPr>
      </w:pPr>
      <w:r>
        <w:rPr>
          <w:rFonts w:hint="eastAsia" w:ascii="黑体" w:hAnsi="黑体" w:eastAsia="黑体" w:cs="黑体"/>
          <w:b w:val="0"/>
          <w:bCs w:val="0"/>
          <w:color w:val="auto"/>
          <w:spacing w:val="-8"/>
          <w:kern w:val="2"/>
          <w:sz w:val="28"/>
          <w:szCs w:val="28"/>
          <w:lang w:val="en-US" w:eastAsia="zh-CN" w:bidi="ar-SA"/>
        </w:rPr>
        <w:t>竞赛规则</w:t>
      </w:r>
    </w:p>
    <w:p w14:paraId="50147595">
      <w:pPr>
        <w:pStyle w:val="2"/>
        <w:keepNext w:val="0"/>
        <w:keepLines w:val="0"/>
        <w:pageBreakBefore w:val="0"/>
        <w:widowControl w:val="0"/>
        <w:numPr>
          <w:ilvl w:val="0"/>
          <w:numId w:val="16"/>
        </w:numPr>
        <w:kinsoku w:val="0"/>
        <w:wordWrap/>
        <w:overflowPunct/>
        <w:topLinePunct w:val="0"/>
        <w:autoSpaceDE w:val="0"/>
        <w:autoSpaceDN w:val="0"/>
        <w:bidi w:val="0"/>
        <w:adjustRightInd w:val="0"/>
        <w:snapToGrid w:val="0"/>
        <w:spacing w:before="0"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选手报名</w:t>
      </w:r>
    </w:p>
    <w:p w14:paraId="1703F373">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1.以省内高职院校为单位推荐参赛队，由于承办场地只可容纳24 名选手独立进行比赛，承办校可根据报名情况临时调整各院校报名选手数量，以确保比赛顺利进行。参赛队伍数量以正式比赛报名通知为准，每名选手限报 1 名指导教师。</w:t>
      </w:r>
    </w:p>
    <w:p w14:paraId="30158E63">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2.参赛选手报名获得确认后不得随意更换，如参赛选手因故无法参赛，须由参赛院校于规定时间内出具书面说明，经大</w:t>
      </w:r>
      <w:r>
        <w:rPr>
          <w:rFonts w:hint="eastAsia" w:ascii="方正仿宋_GB2312" w:hAnsi="方正仿宋_GB2312" w:eastAsia="方正仿宋_GB2312" w:cs="方正仿宋_GB2312"/>
          <w:color w:val="auto"/>
          <w:spacing w:val="-2"/>
          <w:sz w:val="28"/>
          <w:szCs w:val="28"/>
          <w:lang w:val="en-US" w:eastAsia="zh-CN"/>
        </w:rPr>
        <w:t>赛组委</w:t>
      </w:r>
      <w:r>
        <w:rPr>
          <w:rFonts w:hint="eastAsia" w:ascii="方正仿宋_GB2312" w:hAnsi="方正仿宋_GB2312" w:eastAsia="方正仿宋_GB2312" w:cs="方正仿宋_GB2312"/>
          <w:bCs w:val="0"/>
          <w:color w:val="auto"/>
          <w:kern w:val="2"/>
          <w:sz w:val="28"/>
          <w:szCs w:val="28"/>
          <w:lang w:val="en-US" w:eastAsia="zh-CN" w:bidi="ar-SA"/>
        </w:rPr>
        <w:t>会办公室核实后予以更换。</w:t>
      </w:r>
    </w:p>
    <w:p w14:paraId="6E5FAE90">
      <w:pPr>
        <w:pStyle w:val="2"/>
        <w:keepNext w:val="0"/>
        <w:keepLines w:val="0"/>
        <w:pageBreakBefore w:val="0"/>
        <w:widowControl w:val="0"/>
        <w:numPr>
          <w:ilvl w:val="0"/>
          <w:numId w:val="16"/>
        </w:numPr>
        <w:kinsoku w:val="0"/>
        <w:wordWrap/>
        <w:overflowPunct/>
        <w:topLinePunct w:val="0"/>
        <w:autoSpaceDE w:val="0"/>
        <w:autoSpaceDN w:val="0"/>
        <w:bidi w:val="0"/>
        <w:adjustRightInd w:val="0"/>
        <w:snapToGrid w:val="0"/>
        <w:spacing w:before="0"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熟悉场地</w:t>
      </w:r>
    </w:p>
    <w:p w14:paraId="4469F7B9">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1.赛项执委会安排各参赛队统一有序地熟悉场地，熟悉场地时限定在指定区域，不得进入比赛区。</w:t>
      </w:r>
    </w:p>
    <w:p w14:paraId="1CAAB2EF">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2.严禁与现场工作人员进行交流，不发表没有根据及有损大赛整体形象的言论。</w:t>
      </w:r>
    </w:p>
    <w:p w14:paraId="4811B7A4">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3.严格遵守大赛各种制度，严禁拥挤、喧哗，以免发生意外事故。</w:t>
      </w:r>
    </w:p>
    <w:p w14:paraId="2D9AD6B8">
      <w:pPr>
        <w:pStyle w:val="2"/>
        <w:keepNext w:val="0"/>
        <w:keepLines w:val="0"/>
        <w:pageBreakBefore w:val="0"/>
        <w:widowControl w:val="0"/>
        <w:numPr>
          <w:ilvl w:val="0"/>
          <w:numId w:val="16"/>
        </w:numPr>
        <w:kinsoku w:val="0"/>
        <w:wordWrap/>
        <w:overflowPunct/>
        <w:topLinePunct w:val="0"/>
        <w:autoSpaceDE w:val="0"/>
        <w:autoSpaceDN w:val="0"/>
        <w:bidi w:val="0"/>
        <w:adjustRightInd w:val="0"/>
        <w:snapToGrid w:val="0"/>
        <w:spacing w:before="0"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竞赛入场</w:t>
      </w:r>
    </w:p>
    <w:p w14:paraId="55831D43">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1.检录时，参赛选手提供身份证信息（姓名、年龄、相貌特征）应与参赛证一致；除赛项规程规定自带物品外，参赛选手不允许携带其他任何物品。</w:t>
      </w:r>
    </w:p>
    <w:p w14:paraId="7789189B">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2.在比赛开始 30 分钟后不得入场，迟到选手必须在赛场记录表中说明到场时间、迟到原因并签署赛位号确认。</w:t>
      </w:r>
    </w:p>
    <w:p w14:paraId="518086D8">
      <w:pPr>
        <w:pStyle w:val="2"/>
        <w:keepNext w:val="0"/>
        <w:keepLines w:val="0"/>
        <w:pageBreakBefore w:val="0"/>
        <w:widowControl w:val="0"/>
        <w:numPr>
          <w:ilvl w:val="0"/>
          <w:numId w:val="16"/>
        </w:numPr>
        <w:kinsoku w:val="0"/>
        <w:wordWrap/>
        <w:overflowPunct/>
        <w:topLinePunct w:val="0"/>
        <w:autoSpaceDE w:val="0"/>
        <w:autoSpaceDN w:val="0"/>
        <w:bidi w:val="0"/>
        <w:adjustRightInd w:val="0"/>
        <w:snapToGrid w:val="0"/>
        <w:spacing w:before="0"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赛场规则</w:t>
      </w:r>
    </w:p>
    <w:p w14:paraId="0E16F742">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1.选手进入赛场后，必须听从现场裁判的统一指挥，不得以任何方式公开参赛队及个人信息。</w:t>
      </w:r>
    </w:p>
    <w:p w14:paraId="5C87703A">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2.竞赛过程中，除裁判长和现场裁判外任何人员不得主动接近选手及其工作区域，选手有问题只能向现场裁判和裁判长反映。</w:t>
      </w:r>
    </w:p>
    <w:p w14:paraId="179F7526">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3.比赛过程中选手不得随意离开赛位，如发现设备故障等问题，选手应立即向现场裁判反映。</w:t>
      </w:r>
    </w:p>
    <w:p w14:paraId="3863CB85">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4.比赛过程中严重违反赛场纪律者， 由裁判长、监督仲裁长研究决定并报赛项执委会同意后，取消其该场比赛资格。</w:t>
      </w:r>
    </w:p>
    <w:p w14:paraId="400B3A79">
      <w:pPr>
        <w:pStyle w:val="2"/>
        <w:keepNext w:val="0"/>
        <w:keepLines w:val="0"/>
        <w:pageBreakBefore w:val="0"/>
        <w:widowControl w:val="0"/>
        <w:numPr>
          <w:ilvl w:val="0"/>
          <w:numId w:val="16"/>
        </w:numPr>
        <w:kinsoku w:val="0"/>
        <w:wordWrap/>
        <w:overflowPunct/>
        <w:topLinePunct w:val="0"/>
        <w:autoSpaceDE w:val="0"/>
        <w:autoSpaceDN w:val="0"/>
        <w:bidi w:val="0"/>
        <w:adjustRightInd w:val="0"/>
        <w:snapToGrid w:val="0"/>
        <w:spacing w:before="0"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离场规则</w:t>
      </w:r>
    </w:p>
    <w:p w14:paraId="38A63C21">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1.裁判长宣布终止比赛时，选手应立即停止工作（补时选手可以继</w:t>
      </w:r>
    </w:p>
    <w:p w14:paraId="7A19186D">
      <w:pPr>
        <w:pStyle w:val="13"/>
        <w:keepNext w:val="0"/>
        <w:keepLines w:val="0"/>
        <w:pageBreakBefore w:val="0"/>
        <w:wordWrap/>
        <w:overflowPunct/>
        <w:topLinePunct w:val="0"/>
        <w:bidi w:val="0"/>
        <w:spacing w:line="540" w:lineRule="exact"/>
        <w:ind w:left="0" w:leftChars="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续操作直至补时结束），并将所有竞赛资料放在工作台上。</w:t>
      </w:r>
    </w:p>
    <w:p w14:paraId="3C3D3556">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2.裁判检查完所有竞赛资料后，选手方可离开竞赛现场，不得带出任何竞赛实验室提供的设备、试剂及竞赛资料。</w:t>
      </w:r>
    </w:p>
    <w:p w14:paraId="77689616">
      <w:pPr>
        <w:pStyle w:val="2"/>
        <w:keepNext w:val="0"/>
        <w:keepLines w:val="0"/>
        <w:pageBreakBefore w:val="0"/>
        <w:widowControl w:val="0"/>
        <w:numPr>
          <w:ilvl w:val="0"/>
          <w:numId w:val="16"/>
        </w:numPr>
        <w:kinsoku w:val="0"/>
        <w:wordWrap/>
        <w:overflowPunct/>
        <w:topLinePunct w:val="0"/>
        <w:autoSpaceDE w:val="0"/>
        <w:autoSpaceDN w:val="0"/>
        <w:bidi w:val="0"/>
        <w:adjustRightInd w:val="0"/>
        <w:snapToGrid w:val="0"/>
        <w:spacing w:before="0"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成绩管理</w:t>
      </w:r>
    </w:p>
    <w:p w14:paraId="6D8B55B7">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1.成绩评定实行 “裁判长负责制” ，设裁判长 1 名，全面负责赛项的裁判分工、裁判评分审核、处理比赛中出现的争议问题等工作。现场裁判负责按规定做好赛场记录、评定过程得分，阅卷裁判负责对数值型结果和工作报告撰写质量进行评阅打分。</w:t>
      </w:r>
    </w:p>
    <w:p w14:paraId="4CCC8940">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2.监督仲裁组对成绩评定工作进行全程监督，对竞赛成绩抽检复核，对参赛队领队提出的申诉组织复议，及时反馈复议结果。</w:t>
      </w:r>
    </w:p>
    <w:p w14:paraId="70336016">
      <w:pPr>
        <w:pStyle w:val="13"/>
        <w:keepNext w:val="0"/>
        <w:keepLines w:val="0"/>
        <w:pageBreakBefore w:val="0"/>
        <w:wordWrap/>
        <w:overflowPunct/>
        <w:topLinePunct w:val="0"/>
        <w:bidi w:val="0"/>
        <w:spacing w:line="540" w:lineRule="exact"/>
        <w:ind w:left="0" w:right="0" w:firstLine="560" w:firstLineChars="200"/>
        <w:rPr>
          <w:rFonts w:hint="eastAsia" w:ascii="黑体" w:hAnsi="黑体" w:eastAsia="黑体" w:cs="黑体"/>
          <w:b w:val="0"/>
          <w:bCs w:val="0"/>
          <w:color w:val="auto"/>
          <w:spacing w:val="-8"/>
          <w:kern w:val="2"/>
          <w:sz w:val="28"/>
          <w:szCs w:val="28"/>
          <w:lang w:val="zh-CN" w:eastAsia="zh-CN" w:bidi="ar-SA"/>
        </w:rPr>
      </w:pPr>
      <w:r>
        <w:rPr>
          <w:rFonts w:hint="eastAsia" w:ascii="方正仿宋_GB2312" w:hAnsi="方正仿宋_GB2312" w:eastAsia="方正仿宋_GB2312" w:cs="方正仿宋_GB2312"/>
          <w:bCs w:val="0"/>
          <w:color w:val="auto"/>
          <w:kern w:val="2"/>
          <w:sz w:val="28"/>
          <w:szCs w:val="28"/>
          <w:lang w:val="en-US" w:eastAsia="zh-CN" w:bidi="ar-SA"/>
        </w:rPr>
        <w:t>3.裁判长复核评分结果无误后，进行逐级解密，最后由赛项执委会按规定进行竞赛成绩的公示、公布。</w:t>
      </w:r>
    </w:p>
    <w:p w14:paraId="11B56040">
      <w:pPr>
        <w:keepNext w:val="0"/>
        <w:keepLines w:val="0"/>
        <w:pageBreakBefore w:val="0"/>
        <w:numPr>
          <w:ilvl w:val="0"/>
          <w:numId w:val="1"/>
        </w:numPr>
        <w:wordWrap/>
        <w:overflowPunct/>
        <w:topLinePunct w:val="0"/>
        <w:bidi w:val="0"/>
        <w:adjustRightInd w:val="0"/>
        <w:snapToGrid w:val="0"/>
        <w:spacing w:line="540" w:lineRule="exact"/>
        <w:ind w:left="0" w:right="0" w:firstLine="528" w:firstLineChars="200"/>
        <w:outlineLvl w:val="0"/>
        <w:rPr>
          <w:rFonts w:hint="eastAsia" w:ascii="黑体" w:hAnsi="黑体" w:eastAsia="黑体" w:cs="黑体"/>
          <w:b w:val="0"/>
          <w:bCs w:val="0"/>
          <w:color w:val="auto"/>
          <w:spacing w:val="-8"/>
          <w:kern w:val="2"/>
          <w:sz w:val="28"/>
          <w:szCs w:val="28"/>
          <w:lang w:val="en-US" w:eastAsia="zh-CN" w:bidi="ar-SA"/>
        </w:rPr>
      </w:pPr>
      <w:r>
        <w:rPr>
          <w:rFonts w:hint="eastAsia" w:ascii="黑体" w:hAnsi="黑体" w:eastAsia="黑体" w:cs="黑体"/>
          <w:b w:val="0"/>
          <w:bCs w:val="0"/>
          <w:color w:val="auto"/>
          <w:spacing w:val="-8"/>
          <w:kern w:val="2"/>
          <w:sz w:val="28"/>
          <w:szCs w:val="28"/>
          <w:lang w:val="en-US" w:eastAsia="zh-CN" w:bidi="ar-SA"/>
        </w:rPr>
        <w:t>技术环境</w:t>
      </w:r>
    </w:p>
    <w:p w14:paraId="25F0887C">
      <w:pPr>
        <w:keepNext w:val="0"/>
        <w:keepLines w:val="0"/>
        <w:pageBreakBefore w:val="0"/>
        <w:widowControl/>
        <w:kinsoku w:val="0"/>
        <w:wordWrap/>
        <w:overflowPunct/>
        <w:topLinePunct w:val="0"/>
        <w:autoSpaceDE w:val="0"/>
        <w:autoSpaceDN w:val="0"/>
        <w:bidi w:val="0"/>
        <w:adjustRightInd w:val="0"/>
        <w:snapToGrid w:val="0"/>
        <w:spacing w:line="540" w:lineRule="exact"/>
        <w:ind w:left="0" w:right="0" w:firstLine="552" w:firstLineChars="200"/>
        <w:textAlignment w:val="baseline"/>
        <w:rPr>
          <w:rFonts w:hint="eastAsia" w:ascii="方正仿宋_GB2312" w:hAnsi="方正仿宋_GB2312" w:eastAsia="方正仿宋_GB2312" w:cs="方正仿宋_GB2312"/>
          <w:color w:val="auto"/>
          <w:spacing w:val="-2"/>
          <w:sz w:val="28"/>
          <w:szCs w:val="28"/>
          <w:lang w:val="en-US" w:eastAsia="zh-CN"/>
        </w:rPr>
      </w:pPr>
      <w:r>
        <w:rPr>
          <w:rFonts w:hint="eastAsia" w:ascii="方正仿宋_GB2312" w:hAnsi="方正仿宋_GB2312" w:eastAsia="方正仿宋_GB2312" w:cs="方正仿宋_GB2312"/>
          <w:color w:val="auto"/>
          <w:spacing w:val="-2"/>
          <w:sz w:val="28"/>
          <w:szCs w:val="28"/>
          <w:lang w:val="en-US" w:eastAsia="zh-CN"/>
        </w:rPr>
        <w:t xml:space="preserve">赛场周边设有卫生间、医疗等公共服务区和紧急疏散通道，并在赛场周围设置隔离带。 </w:t>
      </w:r>
    </w:p>
    <w:p w14:paraId="18B506B0">
      <w:pPr>
        <w:keepNext w:val="0"/>
        <w:keepLines w:val="0"/>
        <w:pageBreakBefore w:val="0"/>
        <w:widowControl/>
        <w:kinsoku w:val="0"/>
        <w:wordWrap/>
        <w:overflowPunct/>
        <w:topLinePunct w:val="0"/>
        <w:autoSpaceDE w:val="0"/>
        <w:autoSpaceDN w:val="0"/>
        <w:bidi w:val="0"/>
        <w:adjustRightInd w:val="0"/>
        <w:snapToGrid w:val="0"/>
        <w:spacing w:line="540" w:lineRule="exact"/>
        <w:ind w:left="0" w:right="0" w:firstLine="552" w:firstLineChars="200"/>
        <w:textAlignment w:val="baseline"/>
        <w:rPr>
          <w:rFonts w:hint="eastAsia" w:ascii="方正仿宋_GB2312" w:hAnsi="方正仿宋_GB2312" w:eastAsia="方正仿宋_GB2312" w:cs="方正仿宋_GB2312"/>
          <w:color w:val="auto"/>
          <w:spacing w:val="-2"/>
          <w:sz w:val="28"/>
          <w:szCs w:val="28"/>
          <w:lang w:val="en-US" w:eastAsia="zh-CN"/>
        </w:rPr>
      </w:pPr>
      <w:r>
        <w:rPr>
          <w:rFonts w:hint="eastAsia" w:ascii="方正仿宋_GB2312" w:hAnsi="方正仿宋_GB2312" w:eastAsia="方正仿宋_GB2312" w:cs="方正仿宋_GB2312"/>
          <w:color w:val="auto"/>
          <w:spacing w:val="-2"/>
          <w:sz w:val="28"/>
          <w:szCs w:val="28"/>
          <w:lang w:val="en-US" w:eastAsia="zh-CN"/>
        </w:rPr>
        <w:t>设立赛场开放区和安全通道，用于大赛观摩和采访，保证大赛安全有序进行。</w:t>
      </w:r>
    </w:p>
    <w:p w14:paraId="71691963">
      <w:pPr>
        <w:keepNext w:val="0"/>
        <w:keepLines w:val="0"/>
        <w:pageBreakBefore w:val="0"/>
        <w:widowControl/>
        <w:kinsoku w:val="0"/>
        <w:wordWrap/>
        <w:overflowPunct/>
        <w:topLinePunct w:val="0"/>
        <w:autoSpaceDE w:val="0"/>
        <w:autoSpaceDN w:val="0"/>
        <w:bidi w:val="0"/>
        <w:adjustRightInd w:val="0"/>
        <w:snapToGrid w:val="0"/>
        <w:spacing w:line="540" w:lineRule="exact"/>
        <w:ind w:left="0" w:right="0" w:firstLine="552" w:firstLineChars="200"/>
        <w:textAlignment w:val="baseline"/>
        <w:rPr>
          <w:rFonts w:hint="eastAsia" w:ascii="方正仿宋_GB2312" w:hAnsi="方正仿宋_GB2312" w:eastAsia="方正仿宋_GB2312" w:cs="方正仿宋_GB2312"/>
          <w:color w:val="auto"/>
          <w:spacing w:val="-2"/>
          <w:sz w:val="28"/>
          <w:szCs w:val="28"/>
          <w:lang w:val="en-US" w:eastAsia="zh-CN"/>
        </w:rPr>
      </w:pPr>
      <w:r>
        <w:rPr>
          <w:rFonts w:hint="eastAsia" w:ascii="方正仿宋_GB2312" w:hAnsi="方正仿宋_GB2312" w:eastAsia="方正仿宋_GB2312" w:cs="方正仿宋_GB2312"/>
          <w:color w:val="auto"/>
          <w:spacing w:val="-2"/>
          <w:sz w:val="28"/>
          <w:szCs w:val="28"/>
          <w:lang w:val="en-US" w:eastAsia="zh-CN"/>
        </w:rPr>
        <w:t>赛场面积300m</w:t>
      </w:r>
      <w:r>
        <w:rPr>
          <w:rFonts w:hint="eastAsia" w:ascii="方正仿宋_GB2312" w:hAnsi="方正仿宋_GB2312" w:eastAsia="方正仿宋_GB2312" w:cs="方正仿宋_GB2312"/>
          <w:color w:val="auto"/>
          <w:spacing w:val="-2"/>
          <w:sz w:val="28"/>
          <w:szCs w:val="28"/>
          <w:vertAlign w:val="superscript"/>
          <w:lang w:val="en-US" w:eastAsia="zh-CN"/>
        </w:rPr>
        <w:t>2</w:t>
      </w:r>
      <w:r>
        <w:rPr>
          <w:rFonts w:hint="eastAsia" w:ascii="方正仿宋_GB2312" w:hAnsi="方正仿宋_GB2312" w:eastAsia="方正仿宋_GB2312" w:cs="方正仿宋_GB2312"/>
          <w:color w:val="auto"/>
          <w:spacing w:val="-2"/>
          <w:sz w:val="28"/>
          <w:szCs w:val="28"/>
          <w:lang w:val="en-US" w:eastAsia="zh-CN"/>
        </w:rPr>
        <w:t xml:space="preserve">以上，有备考室、竞赛室，竞赛室有背景、裁判席等，采光良好。 </w:t>
      </w:r>
    </w:p>
    <w:p w14:paraId="2D045960">
      <w:pPr>
        <w:keepNext w:val="0"/>
        <w:keepLines w:val="0"/>
        <w:pageBreakBefore w:val="0"/>
        <w:widowControl/>
        <w:kinsoku w:val="0"/>
        <w:wordWrap/>
        <w:overflowPunct/>
        <w:topLinePunct w:val="0"/>
        <w:autoSpaceDE w:val="0"/>
        <w:autoSpaceDN w:val="0"/>
        <w:bidi w:val="0"/>
        <w:adjustRightInd w:val="0"/>
        <w:snapToGrid w:val="0"/>
        <w:spacing w:line="540" w:lineRule="exact"/>
        <w:ind w:left="0" w:right="0" w:firstLine="552" w:firstLineChars="200"/>
        <w:textAlignment w:val="baseline"/>
        <w:rPr>
          <w:rFonts w:hint="eastAsia" w:ascii="方正仿宋_GB2312" w:hAnsi="方正仿宋_GB2312" w:eastAsia="方正仿宋_GB2312" w:cs="方正仿宋_GB2312"/>
          <w:color w:val="auto"/>
          <w:spacing w:val="-2"/>
          <w:sz w:val="28"/>
          <w:szCs w:val="28"/>
          <w:lang w:val="zh-CN" w:eastAsia="zh-CN"/>
        </w:rPr>
      </w:pPr>
      <w:r>
        <w:rPr>
          <w:rFonts w:hint="eastAsia" w:ascii="方正仿宋_GB2312" w:hAnsi="方正仿宋_GB2312" w:eastAsia="方正仿宋_GB2312" w:cs="方正仿宋_GB2312"/>
          <w:color w:val="auto"/>
          <w:spacing w:val="-2"/>
          <w:sz w:val="28"/>
          <w:szCs w:val="28"/>
          <w:lang w:val="en-US" w:eastAsia="zh-CN"/>
        </w:rPr>
        <w:t xml:space="preserve">比赛所需物品： </w:t>
      </w:r>
    </w:p>
    <w:p w14:paraId="0A6EE790">
      <w:pPr>
        <w:keepNext w:val="0"/>
        <w:keepLines w:val="0"/>
        <w:pageBreakBefore w:val="0"/>
        <w:widowControl/>
        <w:kinsoku w:val="0"/>
        <w:wordWrap/>
        <w:overflowPunct/>
        <w:topLinePunct w:val="0"/>
        <w:autoSpaceDE w:val="0"/>
        <w:autoSpaceDN w:val="0"/>
        <w:bidi w:val="0"/>
        <w:adjustRightInd w:val="0"/>
        <w:snapToGrid w:val="0"/>
        <w:spacing w:line="540" w:lineRule="exact"/>
        <w:ind w:left="0" w:right="0" w:firstLine="552" w:firstLineChars="200"/>
        <w:textAlignment w:val="baseline"/>
        <w:rPr>
          <w:rFonts w:hint="eastAsia" w:ascii="宋体" w:hAnsi="宋体" w:eastAsia="宋体" w:cs="宋体"/>
        </w:rPr>
      </w:pPr>
      <w:r>
        <w:rPr>
          <w:rFonts w:hint="eastAsia" w:ascii="方正仿宋_GB2312" w:hAnsi="方正仿宋_GB2312" w:eastAsia="方正仿宋_GB2312" w:cs="方正仿宋_GB2312"/>
          <w:color w:val="auto"/>
          <w:spacing w:val="-2"/>
          <w:sz w:val="28"/>
          <w:szCs w:val="28"/>
          <w:lang w:val="en-US" w:eastAsia="zh-CN"/>
        </w:rPr>
        <w:t>药品、模拟药品、模拟药品包装、计时器、电脑等。</w:t>
      </w:r>
    </w:p>
    <w:p w14:paraId="2E731531">
      <w:pPr>
        <w:keepNext w:val="0"/>
        <w:keepLines w:val="0"/>
        <w:pageBreakBefore w:val="0"/>
        <w:numPr>
          <w:ilvl w:val="0"/>
          <w:numId w:val="1"/>
        </w:numPr>
        <w:wordWrap/>
        <w:overflowPunct/>
        <w:topLinePunct w:val="0"/>
        <w:bidi w:val="0"/>
        <w:adjustRightInd w:val="0"/>
        <w:snapToGrid w:val="0"/>
        <w:spacing w:line="540" w:lineRule="exact"/>
        <w:ind w:left="0" w:right="0" w:firstLine="528" w:firstLineChars="200"/>
        <w:outlineLvl w:val="0"/>
        <w:rPr>
          <w:rFonts w:hint="eastAsia" w:ascii="黑体" w:hAnsi="黑体" w:eastAsia="黑体" w:cs="黑体"/>
          <w:b w:val="0"/>
          <w:bCs w:val="0"/>
          <w:color w:val="auto"/>
          <w:spacing w:val="-8"/>
          <w:kern w:val="2"/>
          <w:sz w:val="28"/>
          <w:szCs w:val="28"/>
          <w:lang w:val="zh-CN" w:eastAsia="zh-CN" w:bidi="ar-SA"/>
        </w:rPr>
      </w:pPr>
      <w:r>
        <w:rPr>
          <w:rFonts w:hint="eastAsia" w:ascii="黑体" w:hAnsi="黑体" w:eastAsia="黑体" w:cs="黑体"/>
          <w:b w:val="0"/>
          <w:bCs w:val="0"/>
          <w:color w:val="auto"/>
          <w:spacing w:val="-8"/>
          <w:kern w:val="2"/>
          <w:sz w:val="28"/>
          <w:szCs w:val="28"/>
          <w:lang w:val="zh-CN" w:eastAsia="zh-CN" w:bidi="ar-SA"/>
        </w:rPr>
        <w:t>竞赛样题</w:t>
      </w:r>
    </w:p>
    <w:p w14:paraId="2632E0BD">
      <w:pPr>
        <w:pStyle w:val="2"/>
        <w:keepNext w:val="0"/>
        <w:keepLines w:val="0"/>
        <w:pageBreakBefore w:val="0"/>
        <w:widowControl w:val="0"/>
        <w:numPr>
          <w:ilvl w:val="0"/>
          <w:numId w:val="17"/>
        </w:numPr>
        <w:kinsoku w:val="0"/>
        <w:wordWrap/>
        <w:overflowPunct/>
        <w:topLinePunct w:val="0"/>
        <w:autoSpaceDE w:val="0"/>
        <w:autoSpaceDN w:val="0"/>
        <w:bidi w:val="0"/>
        <w:adjustRightInd w:val="0"/>
        <w:snapToGrid w:val="0"/>
        <w:spacing w:before="0"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zh-CN" w:eastAsia="zh-CN"/>
        </w:rPr>
      </w:pPr>
      <w:r>
        <w:rPr>
          <w:rFonts w:hint="eastAsia" w:ascii="楷体_GB2312" w:hAnsi="楷体_GB2312" w:eastAsia="楷体_GB2312" w:cs="楷体_GB2312"/>
          <w:b/>
          <w:bCs/>
          <w:color w:val="auto"/>
          <w:sz w:val="28"/>
          <w:szCs w:val="28"/>
          <w:lang w:val="zh-CN" w:eastAsia="zh-CN"/>
        </w:rPr>
        <w:t>赛卷设计原则</w:t>
      </w:r>
    </w:p>
    <w:p w14:paraId="280D2AD7">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zh-CN" w:eastAsia="zh-CN" w:bidi="ar-SA"/>
        </w:rPr>
      </w:pPr>
      <w:r>
        <w:rPr>
          <w:rFonts w:hint="eastAsia" w:ascii="方正仿宋_GB2312" w:hAnsi="方正仿宋_GB2312" w:eastAsia="方正仿宋_GB2312" w:cs="方正仿宋_GB2312"/>
          <w:bCs w:val="0"/>
          <w:color w:val="auto"/>
          <w:kern w:val="2"/>
          <w:sz w:val="28"/>
          <w:szCs w:val="28"/>
          <w:lang w:val="zh-CN" w:eastAsia="zh-CN" w:bidi="ar-SA"/>
        </w:rPr>
        <w:t>1.每一份赛卷都必须涵盖</w:t>
      </w:r>
      <w:r>
        <w:rPr>
          <w:rFonts w:hint="eastAsia" w:ascii="方正仿宋_GB2312" w:hAnsi="方正仿宋_GB2312" w:eastAsia="方正仿宋_GB2312" w:cs="方正仿宋_GB2312"/>
          <w:bCs w:val="0"/>
          <w:color w:val="auto"/>
          <w:kern w:val="2"/>
          <w:sz w:val="28"/>
          <w:szCs w:val="28"/>
          <w:lang w:val="en-US" w:eastAsia="zh-CN" w:bidi="ar-SA"/>
        </w:rPr>
        <w:t>药品介绍、药品营销、药品保管与养护、经济核算</w:t>
      </w:r>
      <w:r>
        <w:rPr>
          <w:rFonts w:hint="eastAsia" w:ascii="方正仿宋_GB2312" w:hAnsi="方正仿宋_GB2312" w:eastAsia="方正仿宋_GB2312" w:cs="方正仿宋_GB2312"/>
          <w:bCs w:val="0"/>
          <w:color w:val="auto"/>
          <w:kern w:val="2"/>
          <w:sz w:val="28"/>
          <w:szCs w:val="28"/>
          <w:lang w:val="zh-CN" w:eastAsia="zh-CN" w:bidi="ar-SA"/>
        </w:rPr>
        <w:t>等方面的系统且完整的工作过程。</w:t>
      </w:r>
    </w:p>
    <w:p w14:paraId="0BFE37B5">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zh-CN" w:eastAsia="zh-CN" w:bidi="ar-SA"/>
        </w:rPr>
      </w:pPr>
      <w:r>
        <w:rPr>
          <w:rFonts w:hint="eastAsia" w:ascii="方正仿宋_GB2312" w:hAnsi="方正仿宋_GB2312" w:eastAsia="方正仿宋_GB2312" w:cs="方正仿宋_GB2312"/>
          <w:bCs w:val="0"/>
          <w:color w:val="auto"/>
          <w:kern w:val="2"/>
          <w:sz w:val="28"/>
          <w:szCs w:val="28"/>
          <w:lang w:val="zh-CN" w:eastAsia="zh-CN" w:bidi="ar-SA"/>
        </w:rPr>
        <w:t>2.每个竞赛模块均有明确的考核目标和规定的解决方案。</w:t>
      </w:r>
    </w:p>
    <w:p w14:paraId="249D7E70">
      <w:pPr>
        <w:pStyle w:val="2"/>
        <w:keepNext w:val="0"/>
        <w:keepLines w:val="0"/>
        <w:pageBreakBefore w:val="0"/>
        <w:widowControl w:val="0"/>
        <w:numPr>
          <w:ilvl w:val="0"/>
          <w:numId w:val="17"/>
        </w:numPr>
        <w:kinsoku w:val="0"/>
        <w:wordWrap/>
        <w:overflowPunct/>
        <w:topLinePunct w:val="0"/>
        <w:autoSpaceDE w:val="0"/>
        <w:autoSpaceDN w:val="0"/>
        <w:bidi w:val="0"/>
        <w:adjustRightInd w:val="0"/>
        <w:snapToGrid w:val="0"/>
        <w:spacing w:before="0"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zh-CN" w:eastAsia="zh-CN"/>
        </w:rPr>
      </w:pPr>
      <w:r>
        <w:rPr>
          <w:rFonts w:hint="eastAsia" w:ascii="楷体_GB2312" w:hAnsi="楷体_GB2312" w:eastAsia="楷体_GB2312" w:cs="楷体_GB2312"/>
          <w:b/>
          <w:bCs/>
          <w:color w:val="auto"/>
          <w:sz w:val="28"/>
          <w:szCs w:val="28"/>
          <w:lang w:val="zh-CN" w:eastAsia="zh-CN"/>
        </w:rPr>
        <w:t>赛题的建立</w:t>
      </w:r>
    </w:p>
    <w:p w14:paraId="58ED80DC">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zh-CN" w:eastAsia="zh-CN" w:bidi="ar-SA"/>
        </w:rPr>
      </w:pPr>
      <w:r>
        <w:rPr>
          <w:rFonts w:hint="eastAsia" w:ascii="方正仿宋_GB2312" w:hAnsi="方正仿宋_GB2312" w:eastAsia="方正仿宋_GB2312" w:cs="方正仿宋_GB2312"/>
          <w:bCs w:val="0"/>
          <w:color w:val="auto"/>
          <w:kern w:val="2"/>
          <w:sz w:val="28"/>
          <w:szCs w:val="28"/>
          <w:lang w:val="zh-CN" w:eastAsia="zh-CN" w:bidi="ar-SA"/>
        </w:rPr>
        <w:t>专家工作组负责本赛项赛题的编制工作。专家组将以教育行政部门发布的职业院校相关专业标准和国家/行业组织颁布的技术标准为依据，结合</w:t>
      </w:r>
      <w:r>
        <w:rPr>
          <w:rFonts w:hint="eastAsia" w:ascii="方正仿宋_GB2312" w:hAnsi="方正仿宋_GB2312" w:eastAsia="方正仿宋_GB2312" w:cs="方正仿宋_GB2312"/>
          <w:bCs w:val="0"/>
          <w:color w:val="auto"/>
          <w:kern w:val="2"/>
          <w:sz w:val="28"/>
          <w:szCs w:val="28"/>
          <w:lang w:val="en-US" w:eastAsia="zh-CN" w:bidi="ar-SA"/>
        </w:rPr>
        <w:t>药品购销员</w:t>
      </w:r>
      <w:r>
        <w:rPr>
          <w:rFonts w:hint="eastAsia" w:ascii="方正仿宋_GB2312" w:hAnsi="方正仿宋_GB2312" w:eastAsia="方正仿宋_GB2312" w:cs="方正仿宋_GB2312"/>
          <w:bCs w:val="0"/>
          <w:color w:val="auto"/>
          <w:kern w:val="2"/>
          <w:sz w:val="28"/>
          <w:szCs w:val="28"/>
          <w:lang w:val="zh-CN" w:eastAsia="zh-CN" w:bidi="ar-SA"/>
        </w:rPr>
        <w:t>技术技能人才培养标准和职业岗位需要，融合全国职业院校技能大赛要求，设计技能操作赛题。竞赛样题至少于正式比赛前 15 天公布。</w:t>
      </w:r>
    </w:p>
    <w:p w14:paraId="6467F0CE">
      <w:pPr>
        <w:keepNext w:val="0"/>
        <w:keepLines w:val="0"/>
        <w:pageBreakBefore w:val="0"/>
        <w:numPr>
          <w:ilvl w:val="0"/>
          <w:numId w:val="1"/>
        </w:numPr>
        <w:wordWrap/>
        <w:overflowPunct/>
        <w:topLinePunct w:val="0"/>
        <w:bidi w:val="0"/>
        <w:adjustRightInd w:val="0"/>
        <w:snapToGrid w:val="0"/>
        <w:spacing w:line="540" w:lineRule="exact"/>
        <w:ind w:left="0" w:right="0" w:firstLine="528" w:firstLineChars="200"/>
        <w:outlineLvl w:val="0"/>
        <w:rPr>
          <w:rFonts w:hint="eastAsia" w:ascii="黑体" w:hAnsi="黑体" w:eastAsia="黑体" w:cs="黑体"/>
          <w:b w:val="0"/>
          <w:bCs w:val="0"/>
          <w:color w:val="auto"/>
          <w:spacing w:val="-8"/>
          <w:kern w:val="2"/>
          <w:sz w:val="28"/>
          <w:szCs w:val="28"/>
          <w:lang w:val="zh-CN" w:eastAsia="zh-CN" w:bidi="ar-SA"/>
        </w:rPr>
      </w:pPr>
      <w:r>
        <w:rPr>
          <w:rFonts w:hint="eastAsia" w:ascii="黑体" w:hAnsi="黑体" w:eastAsia="黑体" w:cs="黑体"/>
          <w:b w:val="0"/>
          <w:bCs w:val="0"/>
          <w:color w:val="auto"/>
          <w:spacing w:val="-8"/>
          <w:kern w:val="2"/>
          <w:sz w:val="28"/>
          <w:szCs w:val="28"/>
          <w:lang w:val="en-US" w:eastAsia="zh-CN" w:bidi="ar-SA"/>
        </w:rPr>
        <w:t>成绩评定</w:t>
      </w:r>
    </w:p>
    <w:p w14:paraId="2E0734BA">
      <w:pPr>
        <w:pStyle w:val="2"/>
        <w:keepNext w:val="0"/>
        <w:keepLines w:val="0"/>
        <w:pageBreakBefore w:val="0"/>
        <w:widowControl w:val="0"/>
        <w:numPr>
          <w:ilvl w:val="0"/>
          <w:numId w:val="18"/>
        </w:numPr>
        <w:kinsoku w:val="0"/>
        <w:wordWrap/>
        <w:overflowPunct/>
        <w:topLinePunct w:val="0"/>
        <w:autoSpaceDE w:val="0"/>
        <w:autoSpaceDN w:val="0"/>
        <w:bidi w:val="0"/>
        <w:adjustRightInd w:val="0"/>
        <w:snapToGrid w:val="0"/>
        <w:spacing w:before="0"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评分原则</w:t>
      </w:r>
    </w:p>
    <w:p w14:paraId="4E64297C">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zh-CN" w:eastAsia="zh-CN" w:bidi="ar-SA"/>
        </w:rPr>
      </w:pPr>
      <w:r>
        <w:rPr>
          <w:rFonts w:hint="eastAsia" w:ascii="方正仿宋_GB2312" w:hAnsi="方正仿宋_GB2312" w:eastAsia="方正仿宋_GB2312" w:cs="方正仿宋_GB2312"/>
          <w:bCs w:val="0"/>
          <w:color w:val="auto"/>
          <w:kern w:val="2"/>
          <w:sz w:val="28"/>
          <w:szCs w:val="28"/>
          <w:lang w:val="zh-CN" w:eastAsia="zh-CN" w:bidi="ar-SA"/>
        </w:rPr>
        <w:t>竞赛评分本着“公平、公正、公开、科学、规范”的原则，严格按照评分标准。最终得分按百分制计。</w:t>
      </w:r>
    </w:p>
    <w:p w14:paraId="46CF3FDF">
      <w:pPr>
        <w:pStyle w:val="2"/>
        <w:keepNext w:val="0"/>
        <w:keepLines w:val="0"/>
        <w:pageBreakBefore w:val="0"/>
        <w:widowControl w:val="0"/>
        <w:numPr>
          <w:ilvl w:val="0"/>
          <w:numId w:val="18"/>
        </w:numPr>
        <w:kinsoku w:val="0"/>
        <w:wordWrap/>
        <w:overflowPunct/>
        <w:topLinePunct w:val="0"/>
        <w:autoSpaceDE w:val="0"/>
        <w:autoSpaceDN w:val="0"/>
        <w:bidi w:val="0"/>
        <w:adjustRightInd w:val="0"/>
        <w:snapToGrid w:val="0"/>
        <w:spacing w:before="0"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评分标准</w:t>
      </w:r>
    </w:p>
    <w:p w14:paraId="41279365">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zh-CN" w:eastAsia="zh-CN" w:bidi="ar-SA"/>
        </w:rPr>
      </w:pPr>
      <w:r>
        <w:rPr>
          <w:rFonts w:hint="eastAsia" w:ascii="方正仿宋_GB2312" w:hAnsi="方正仿宋_GB2312" w:eastAsia="方正仿宋_GB2312" w:cs="方正仿宋_GB2312"/>
          <w:bCs w:val="0"/>
          <w:color w:val="auto"/>
          <w:kern w:val="2"/>
          <w:sz w:val="28"/>
          <w:szCs w:val="28"/>
          <w:lang w:val="zh-CN" w:eastAsia="zh-CN" w:bidi="ar-SA"/>
        </w:rPr>
        <w:t>1.理论知识竞赛</w:t>
      </w:r>
    </w:p>
    <w:p w14:paraId="7F7B9C00">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zh-CN" w:eastAsia="zh-CN" w:bidi="ar-SA"/>
        </w:rPr>
      </w:pPr>
      <w:r>
        <w:rPr>
          <w:rFonts w:hint="eastAsia" w:ascii="方正仿宋_GB2312" w:hAnsi="方正仿宋_GB2312" w:eastAsia="方正仿宋_GB2312" w:cs="方正仿宋_GB2312"/>
          <w:bCs w:val="0"/>
          <w:color w:val="auto"/>
          <w:kern w:val="2"/>
          <w:sz w:val="28"/>
          <w:szCs w:val="28"/>
          <w:lang w:val="zh-CN" w:eastAsia="zh-CN" w:bidi="ar-SA"/>
        </w:rPr>
        <w:t>理论考试为客观题，由计算机自动阅卷评分，专业技术人员在监督仲裁员的监督下进行复核并登记成绩。</w:t>
      </w:r>
    </w:p>
    <w:p w14:paraId="5E258B99">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zh-CN" w:eastAsia="zh-CN" w:bidi="ar-SA"/>
        </w:rPr>
      </w:pPr>
      <w:r>
        <w:rPr>
          <w:rFonts w:hint="eastAsia" w:ascii="方正仿宋_GB2312" w:hAnsi="方正仿宋_GB2312" w:eastAsia="方正仿宋_GB2312" w:cs="方正仿宋_GB2312"/>
          <w:bCs w:val="0"/>
          <w:color w:val="auto"/>
          <w:kern w:val="2"/>
          <w:sz w:val="28"/>
          <w:szCs w:val="28"/>
          <w:lang w:val="zh-CN" w:eastAsia="zh-CN" w:bidi="ar-SA"/>
        </w:rPr>
        <w:t>2.技能操作竞赛</w:t>
      </w:r>
    </w:p>
    <w:p w14:paraId="46F59E06">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zh-CN" w:eastAsia="zh-CN" w:bidi="ar-SA"/>
        </w:rPr>
        <w:t>（</w:t>
      </w:r>
      <w:r>
        <w:rPr>
          <w:rFonts w:hint="eastAsia" w:ascii="方正仿宋_GB2312" w:hAnsi="方正仿宋_GB2312" w:eastAsia="方正仿宋_GB2312" w:cs="方正仿宋_GB2312"/>
          <w:bCs w:val="0"/>
          <w:color w:val="auto"/>
          <w:kern w:val="2"/>
          <w:sz w:val="28"/>
          <w:szCs w:val="28"/>
          <w:lang w:val="en-US" w:eastAsia="zh-CN" w:bidi="ar-SA"/>
        </w:rPr>
        <w:t>1</w:t>
      </w:r>
      <w:r>
        <w:rPr>
          <w:rFonts w:hint="eastAsia" w:ascii="方正仿宋_GB2312" w:hAnsi="方正仿宋_GB2312" w:eastAsia="方正仿宋_GB2312" w:cs="方正仿宋_GB2312"/>
          <w:bCs w:val="0"/>
          <w:color w:val="auto"/>
          <w:kern w:val="2"/>
          <w:sz w:val="28"/>
          <w:szCs w:val="28"/>
          <w:lang w:val="zh-CN" w:eastAsia="zh-CN" w:bidi="ar-SA"/>
        </w:rPr>
        <w:t>）“</w:t>
      </w:r>
      <w:r>
        <w:rPr>
          <w:rFonts w:hint="eastAsia" w:ascii="方正仿宋_GB2312" w:hAnsi="方正仿宋_GB2312" w:eastAsia="方正仿宋_GB2312" w:cs="方正仿宋_GB2312"/>
          <w:bCs w:val="0"/>
          <w:color w:val="auto"/>
          <w:kern w:val="2"/>
          <w:sz w:val="28"/>
          <w:szCs w:val="28"/>
          <w:lang w:val="en-US" w:eastAsia="zh-CN" w:bidi="ar-SA"/>
        </w:rPr>
        <w:t>经济核算</w:t>
      </w:r>
      <w:r>
        <w:rPr>
          <w:rFonts w:hint="eastAsia" w:ascii="方正仿宋_GB2312" w:hAnsi="方正仿宋_GB2312" w:eastAsia="方正仿宋_GB2312" w:cs="方正仿宋_GB2312"/>
          <w:bCs w:val="0"/>
          <w:color w:val="auto"/>
          <w:kern w:val="2"/>
          <w:sz w:val="28"/>
          <w:szCs w:val="28"/>
          <w:lang w:val="zh-CN" w:eastAsia="zh-CN" w:bidi="ar-SA"/>
        </w:rPr>
        <w:t>项目”</w:t>
      </w:r>
      <w:r>
        <w:rPr>
          <w:rFonts w:hint="eastAsia" w:ascii="方正仿宋_GB2312" w:hAnsi="方正仿宋_GB2312" w:eastAsia="方正仿宋_GB2312" w:cs="方正仿宋_GB2312"/>
          <w:bCs w:val="0"/>
          <w:color w:val="auto"/>
          <w:kern w:val="2"/>
          <w:sz w:val="28"/>
          <w:szCs w:val="28"/>
          <w:lang w:val="en-US" w:eastAsia="zh-CN" w:bidi="ar-SA"/>
        </w:rPr>
        <w:t>“药品保管与养护”</w:t>
      </w:r>
      <w:r>
        <w:rPr>
          <w:rFonts w:hint="eastAsia" w:ascii="方正仿宋_GB2312" w:hAnsi="方正仿宋_GB2312" w:eastAsia="方正仿宋_GB2312" w:cs="方正仿宋_GB2312"/>
          <w:bCs w:val="0"/>
          <w:color w:val="auto"/>
          <w:kern w:val="2"/>
          <w:sz w:val="28"/>
          <w:szCs w:val="28"/>
          <w:lang w:val="zh-CN" w:eastAsia="zh-CN" w:bidi="ar-SA"/>
        </w:rPr>
        <w:t>采用笔答方式完成。</w:t>
      </w:r>
    </w:p>
    <w:p w14:paraId="61BE5CD3">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（2）“药品介绍”“药品营销”两</w:t>
      </w:r>
      <w:r>
        <w:rPr>
          <w:rFonts w:hint="eastAsia" w:ascii="方正仿宋_GB2312" w:hAnsi="方正仿宋_GB2312" w:eastAsia="方正仿宋_GB2312" w:cs="方正仿宋_GB2312"/>
          <w:bCs w:val="0"/>
          <w:color w:val="auto"/>
          <w:kern w:val="2"/>
          <w:sz w:val="28"/>
          <w:szCs w:val="28"/>
          <w:lang w:val="zh-CN" w:eastAsia="zh-CN" w:bidi="ar-SA"/>
        </w:rPr>
        <w:t>个项目</w:t>
      </w:r>
      <w:r>
        <w:rPr>
          <w:rFonts w:hint="eastAsia" w:ascii="方正仿宋_GB2312" w:hAnsi="方正仿宋_GB2312" w:eastAsia="方正仿宋_GB2312" w:cs="方正仿宋_GB2312"/>
          <w:bCs w:val="0"/>
          <w:color w:val="auto"/>
          <w:kern w:val="2"/>
          <w:sz w:val="28"/>
          <w:szCs w:val="28"/>
          <w:lang w:val="en-US" w:eastAsia="zh-CN" w:bidi="ar-SA"/>
        </w:rPr>
        <w:t>的</w:t>
      </w:r>
      <w:r>
        <w:rPr>
          <w:rFonts w:hint="eastAsia" w:ascii="方正仿宋_GB2312" w:hAnsi="方正仿宋_GB2312" w:eastAsia="方正仿宋_GB2312" w:cs="方正仿宋_GB2312"/>
          <w:bCs w:val="0"/>
          <w:color w:val="auto"/>
          <w:kern w:val="2"/>
          <w:sz w:val="28"/>
          <w:szCs w:val="28"/>
          <w:lang w:val="zh-CN" w:eastAsia="zh-CN" w:bidi="ar-SA"/>
        </w:rPr>
        <w:t>比赛按组进行。每组4名选手抽签确定竞赛顺序，分别在规定时间内完成答题。</w:t>
      </w:r>
    </w:p>
    <w:p w14:paraId="39C81EC2">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zh-CN" w:eastAsia="zh-CN" w:bidi="ar-SA"/>
        </w:rPr>
      </w:pPr>
      <w:r>
        <w:rPr>
          <w:rFonts w:hint="eastAsia" w:ascii="方正仿宋_GB2312" w:hAnsi="方正仿宋_GB2312" w:eastAsia="方正仿宋_GB2312" w:cs="方正仿宋_GB2312"/>
          <w:bCs w:val="0"/>
          <w:color w:val="auto"/>
          <w:kern w:val="2"/>
          <w:sz w:val="28"/>
          <w:szCs w:val="28"/>
          <w:lang w:val="en-US" w:eastAsia="zh-CN" w:bidi="ar-SA"/>
        </w:rPr>
        <w:t>（3）具体评分标准以题目为准：各项目评分细则由裁判组依据《医药商品购销员国家职业标准》及GSP相关规范制定，每道考题对应一份《题目评分细则表》，裁判现场按表打分。</w:t>
      </w:r>
    </w:p>
    <w:p w14:paraId="2E3BBB18">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zh-CN" w:eastAsia="zh-CN" w:bidi="ar-SA"/>
        </w:rPr>
      </w:pPr>
      <w:r>
        <w:rPr>
          <w:rFonts w:hint="eastAsia" w:ascii="方正仿宋_GB2312" w:hAnsi="方正仿宋_GB2312" w:eastAsia="方正仿宋_GB2312" w:cs="方正仿宋_GB2312"/>
          <w:bCs w:val="0"/>
          <w:color w:val="auto"/>
          <w:kern w:val="2"/>
          <w:sz w:val="28"/>
          <w:szCs w:val="28"/>
          <w:lang w:val="zh-CN" w:eastAsia="zh-CN" w:bidi="ar-SA"/>
        </w:rPr>
        <w:t>（</w:t>
      </w:r>
      <w:r>
        <w:rPr>
          <w:rFonts w:hint="eastAsia" w:ascii="方正仿宋_GB2312" w:hAnsi="方正仿宋_GB2312" w:eastAsia="方正仿宋_GB2312" w:cs="方正仿宋_GB2312"/>
          <w:bCs w:val="0"/>
          <w:color w:val="auto"/>
          <w:kern w:val="2"/>
          <w:sz w:val="28"/>
          <w:szCs w:val="28"/>
          <w:lang w:val="en-US" w:eastAsia="zh-CN" w:bidi="ar-SA"/>
        </w:rPr>
        <w:t>4</w:t>
      </w:r>
      <w:r>
        <w:rPr>
          <w:rFonts w:hint="eastAsia" w:ascii="方正仿宋_GB2312" w:hAnsi="方正仿宋_GB2312" w:eastAsia="方正仿宋_GB2312" w:cs="方正仿宋_GB2312"/>
          <w:bCs w:val="0"/>
          <w:color w:val="auto"/>
          <w:kern w:val="2"/>
          <w:sz w:val="28"/>
          <w:szCs w:val="28"/>
          <w:lang w:val="zh-CN" w:eastAsia="zh-CN" w:bidi="ar-SA"/>
        </w:rPr>
        <w:t>）裁判执裁要求</w:t>
      </w:r>
    </w:p>
    <w:p w14:paraId="4643254F">
      <w:pPr>
        <w:keepNext w:val="0"/>
        <w:keepLines w:val="0"/>
        <w:pageBreakBefore w:val="0"/>
        <w:wordWrap/>
        <w:overflowPunct/>
        <w:topLinePunct w:val="0"/>
        <w:bidi w:val="0"/>
        <w:spacing w:line="540" w:lineRule="exact"/>
        <w:ind w:left="0" w:right="0" w:firstLine="556" w:firstLineChars="200"/>
        <w:rPr>
          <w:rFonts w:ascii="仿宋" w:hAnsi="仿宋" w:eastAsia="仿宋" w:cs="仿宋"/>
          <w:b/>
          <w:bCs/>
          <w:spacing w:val="-5"/>
          <w:sz w:val="28"/>
          <w:szCs w:val="28"/>
        </w:rPr>
      </w:pPr>
      <w:r>
        <w:rPr>
          <w:rFonts w:hint="default" w:ascii="Times New Roman" w:hAnsi="Times New Roman" w:eastAsia="方正仿宋_GB2312" w:cs="Times New Roman"/>
          <w:spacing w:val="-1"/>
          <w:sz w:val="28"/>
          <w:szCs w:val="28"/>
        </w:rPr>
        <w:t>按</w:t>
      </w:r>
      <w:r>
        <w:rPr>
          <w:rFonts w:hint="eastAsia" w:ascii="Times New Roman" w:hAnsi="Times New Roman" w:eastAsia="方正仿宋_GB2312" w:cs="Times New Roman"/>
          <w:spacing w:val="-1"/>
          <w:sz w:val="28"/>
          <w:szCs w:val="28"/>
          <w:lang w:val="en-US" w:eastAsia="zh-CN"/>
        </w:rPr>
        <w:t>24</w:t>
      </w:r>
      <w:r>
        <w:rPr>
          <w:rFonts w:hint="default" w:ascii="Times New Roman" w:hAnsi="Times New Roman" w:eastAsia="方正仿宋_GB2312" w:cs="Times New Roman"/>
          <w:spacing w:val="-1"/>
          <w:sz w:val="28"/>
          <w:szCs w:val="28"/>
        </w:rPr>
        <w:t>支参赛队进行测算，本赛项所需现场裁判</w:t>
      </w:r>
      <w:r>
        <w:rPr>
          <w:rFonts w:hint="eastAsia" w:ascii="Times New Roman" w:hAnsi="Times New Roman" w:eastAsia="方正仿宋_GB2312" w:cs="Times New Roman"/>
          <w:spacing w:val="-59"/>
          <w:sz w:val="28"/>
          <w:szCs w:val="28"/>
          <w:lang w:val="en-US" w:eastAsia="zh-CN"/>
        </w:rPr>
        <w:t xml:space="preserve">6     </w:t>
      </w:r>
      <w:r>
        <w:rPr>
          <w:rFonts w:hint="default" w:ascii="Times New Roman" w:hAnsi="Times New Roman" w:eastAsia="方正仿宋_GB2312" w:cs="Times New Roman"/>
          <w:spacing w:val="-59"/>
          <w:sz w:val="28"/>
          <w:szCs w:val="28"/>
          <w:lang w:val="en-US" w:eastAsia="zh-CN"/>
        </w:rPr>
        <w:t>~</w:t>
      </w:r>
      <w:r>
        <w:rPr>
          <w:rFonts w:hint="eastAsia" w:ascii="Times New Roman" w:hAnsi="Times New Roman" w:eastAsia="方正仿宋_GB2312" w:cs="Times New Roman"/>
          <w:spacing w:val="-59"/>
          <w:sz w:val="28"/>
          <w:szCs w:val="28"/>
          <w:lang w:val="en-US" w:eastAsia="zh-CN"/>
        </w:rPr>
        <w:t xml:space="preserve">    8</w:t>
      </w:r>
      <w:r>
        <w:rPr>
          <w:rFonts w:hint="default" w:ascii="Times New Roman" w:hAnsi="Times New Roman" w:eastAsia="方正仿宋_GB2312" w:cs="Times New Roman"/>
          <w:spacing w:val="-1"/>
          <w:sz w:val="28"/>
          <w:szCs w:val="28"/>
        </w:rPr>
        <w:t xml:space="preserve"> 名，由赛组委选</w:t>
      </w:r>
      <w:r>
        <w:rPr>
          <w:rFonts w:hint="default" w:ascii="Times New Roman" w:hAnsi="Times New Roman" w:eastAsia="方正仿宋_GB2312" w:cs="Times New Roman"/>
          <w:spacing w:val="-10"/>
          <w:sz w:val="28"/>
          <w:szCs w:val="28"/>
        </w:rPr>
        <w:t>派。</w:t>
      </w:r>
    </w:p>
    <w:p w14:paraId="52A4A94A">
      <w:pPr>
        <w:keepNext w:val="0"/>
        <w:keepLines w:val="0"/>
        <w:pageBreakBefore w:val="0"/>
        <w:widowControl w:val="0"/>
        <w:kinsoku/>
        <w:wordWrap/>
        <w:overflowPunct/>
        <w:topLinePunct w:val="0"/>
        <w:autoSpaceDE/>
        <w:autoSpaceDN/>
        <w:bidi w:val="0"/>
        <w:adjustRightInd/>
        <w:snapToGrid/>
        <w:spacing w:line="219" w:lineRule="auto"/>
        <w:ind w:left="0"/>
        <w:jc w:val="center"/>
        <w:textAlignment w:val="auto"/>
        <w:rPr>
          <w:rFonts w:ascii="仿宋" w:hAnsi="仿宋" w:eastAsia="仿宋" w:cs="仿宋"/>
          <w:sz w:val="28"/>
          <w:szCs w:val="28"/>
        </w:rPr>
      </w:pPr>
      <w:r>
        <w:rPr>
          <w:rFonts w:ascii="仿宋" w:hAnsi="仿宋" w:eastAsia="仿宋" w:cs="仿宋"/>
          <w:b/>
          <w:bCs/>
          <w:spacing w:val="-5"/>
          <w:sz w:val="28"/>
          <w:szCs w:val="28"/>
        </w:rPr>
        <w:t>表</w:t>
      </w:r>
      <w:r>
        <w:rPr>
          <w:rFonts w:ascii="仿宋" w:hAnsi="仿宋" w:eastAsia="仿宋" w:cs="仿宋"/>
          <w:spacing w:val="-38"/>
          <w:sz w:val="28"/>
          <w:szCs w:val="28"/>
        </w:rPr>
        <w:t xml:space="preserve"> </w:t>
      </w:r>
      <w:r>
        <w:rPr>
          <w:rFonts w:hint="eastAsia" w:ascii="仿宋" w:hAnsi="仿宋" w:eastAsia="仿宋" w:cs="仿宋"/>
          <w:b/>
          <w:bCs/>
          <w:spacing w:val="-5"/>
          <w:sz w:val="28"/>
          <w:szCs w:val="28"/>
          <w:lang w:val="en-US" w:eastAsia="zh-CN"/>
        </w:rPr>
        <w:t xml:space="preserve">3 </w:t>
      </w:r>
      <w:r>
        <w:rPr>
          <w:rFonts w:ascii="仿宋" w:hAnsi="仿宋" w:eastAsia="仿宋" w:cs="仿宋"/>
          <w:b/>
          <w:bCs/>
          <w:spacing w:val="-5"/>
          <w:sz w:val="28"/>
          <w:szCs w:val="28"/>
        </w:rPr>
        <w:t>裁判执裁资质要求</w:t>
      </w:r>
    </w:p>
    <w:p w14:paraId="6013DDB2">
      <w:pPr>
        <w:spacing w:line="181" w:lineRule="exact"/>
      </w:pPr>
    </w:p>
    <w:tbl>
      <w:tblPr>
        <w:tblStyle w:val="17"/>
        <w:tblW w:w="8508" w:type="dxa"/>
        <w:tblInd w:w="1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6"/>
        <w:gridCol w:w="1444"/>
        <w:gridCol w:w="2190"/>
        <w:gridCol w:w="1755"/>
        <w:gridCol w:w="1530"/>
        <w:gridCol w:w="783"/>
      </w:tblGrid>
      <w:tr w14:paraId="34A2A5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06" w:type="dxa"/>
            <w:noWrap w:val="0"/>
            <w:vAlign w:val="top"/>
          </w:tcPr>
          <w:p w14:paraId="09B25CC0">
            <w:pPr>
              <w:spacing w:before="78" w:line="240" w:lineRule="auto"/>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pacing w:val="-8"/>
                <w:sz w:val="24"/>
                <w:szCs w:val="24"/>
              </w:rPr>
              <w:t>职务</w:t>
            </w:r>
          </w:p>
        </w:tc>
        <w:tc>
          <w:tcPr>
            <w:tcW w:w="1444" w:type="dxa"/>
            <w:noWrap w:val="0"/>
            <w:vAlign w:val="top"/>
          </w:tcPr>
          <w:p w14:paraId="35513408">
            <w:pPr>
              <w:spacing w:before="78" w:line="240" w:lineRule="auto"/>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pacing w:val="-6"/>
                <w:sz w:val="24"/>
                <w:szCs w:val="24"/>
              </w:rPr>
              <w:t>专业技术方向</w:t>
            </w:r>
          </w:p>
        </w:tc>
        <w:tc>
          <w:tcPr>
            <w:tcW w:w="2190" w:type="dxa"/>
            <w:noWrap w:val="0"/>
            <w:vAlign w:val="top"/>
          </w:tcPr>
          <w:p w14:paraId="073657C7">
            <w:pPr>
              <w:keepNext w:val="0"/>
              <w:keepLines w:val="0"/>
              <w:pageBreakBefore w:val="0"/>
              <w:wordWrap/>
              <w:overflowPunct/>
              <w:topLinePunct w:val="0"/>
              <w:bidi w:val="0"/>
              <w:spacing w:line="400" w:lineRule="exact"/>
              <w:ind w:left="0" w:right="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pacing w:val="-5"/>
                <w:sz w:val="24"/>
                <w:szCs w:val="24"/>
              </w:rPr>
              <w:t>知识能力要求</w:t>
            </w:r>
          </w:p>
        </w:tc>
        <w:tc>
          <w:tcPr>
            <w:tcW w:w="1755" w:type="dxa"/>
            <w:noWrap w:val="0"/>
            <w:vAlign w:val="top"/>
          </w:tcPr>
          <w:p w14:paraId="387F9B4F">
            <w:pPr>
              <w:keepNext w:val="0"/>
              <w:keepLines w:val="0"/>
              <w:pageBreakBefore w:val="0"/>
              <w:wordWrap/>
              <w:overflowPunct/>
              <w:topLinePunct w:val="0"/>
              <w:bidi w:val="0"/>
              <w:spacing w:line="400" w:lineRule="exact"/>
              <w:ind w:left="0" w:right="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b/>
                <w:bCs/>
                <w:spacing w:val="-6"/>
                <w:sz w:val="24"/>
                <w:szCs w:val="24"/>
                <w:shd w:val="clear" w:color="FFFFFF" w:fill="D9D9D9"/>
              </w:rPr>
              <w:t>执裁、教学、</w:t>
            </w:r>
            <w:r>
              <w:rPr>
                <w:rFonts w:hint="eastAsia" w:ascii="方正仿宋_GB2312" w:hAnsi="方正仿宋_GB2312" w:eastAsia="方正仿宋_GB2312" w:cs="方正仿宋_GB2312"/>
                <w:b/>
                <w:bCs/>
                <w:spacing w:val="-6"/>
                <w:sz w:val="24"/>
                <w:szCs w:val="24"/>
                <w:shd w:val="clear" w:color="FFFFFF" w:fill="D9D9D9"/>
                <w:lang w:val="en-US" w:eastAsia="zh-CN"/>
              </w:rPr>
              <w:t>工作经历</w:t>
            </w:r>
          </w:p>
        </w:tc>
        <w:tc>
          <w:tcPr>
            <w:tcW w:w="1530" w:type="dxa"/>
            <w:noWrap w:val="0"/>
            <w:vAlign w:val="top"/>
          </w:tcPr>
          <w:p w14:paraId="429CE145">
            <w:pPr>
              <w:spacing w:before="78" w:line="240" w:lineRule="auto"/>
              <w:ind w:right="191"/>
              <w:jc w:val="center"/>
              <w:rPr>
                <w:rFonts w:hint="default" w:ascii="方正仿宋_GB2312" w:hAnsi="方正仿宋_GB2312" w:eastAsia="方正仿宋_GB2312" w:cs="方正仿宋_GB2312"/>
                <w:b/>
                <w:bCs/>
                <w:spacing w:val="-10"/>
                <w:sz w:val="24"/>
                <w:szCs w:val="24"/>
                <w:lang w:val="en-US" w:eastAsia="zh-CN"/>
              </w:rPr>
            </w:pPr>
            <w:r>
              <w:rPr>
                <w:rFonts w:hint="eastAsia" w:ascii="方正仿宋_GB2312" w:hAnsi="方正仿宋_GB2312" w:eastAsia="方正仿宋_GB2312" w:cs="方正仿宋_GB2312"/>
                <w:b/>
                <w:bCs/>
                <w:spacing w:val="-10"/>
                <w:sz w:val="24"/>
                <w:szCs w:val="24"/>
                <w:lang w:val="en-US" w:eastAsia="zh-CN"/>
              </w:rPr>
              <w:t>专业技术职称</w:t>
            </w:r>
          </w:p>
        </w:tc>
        <w:tc>
          <w:tcPr>
            <w:tcW w:w="783" w:type="dxa"/>
            <w:noWrap w:val="0"/>
            <w:vAlign w:val="top"/>
          </w:tcPr>
          <w:p w14:paraId="13E9B2A2">
            <w:pPr>
              <w:spacing w:before="78" w:line="240" w:lineRule="auto"/>
              <w:ind w:right="191"/>
              <w:jc w:val="center"/>
              <w:rPr>
                <w:rFonts w:hint="eastAsia" w:ascii="方正仿宋_GB2312" w:hAnsi="方正仿宋_GB2312" w:eastAsia="方正仿宋_GB2312" w:cs="方正仿宋_GB2312"/>
                <w:b/>
                <w:bCs/>
                <w:spacing w:val="-10"/>
                <w:sz w:val="24"/>
                <w:szCs w:val="24"/>
              </w:rPr>
            </w:pPr>
            <w:r>
              <w:rPr>
                <w:rFonts w:hint="eastAsia" w:ascii="方正仿宋_GB2312" w:hAnsi="方正仿宋_GB2312" w:eastAsia="方正仿宋_GB2312" w:cs="方正仿宋_GB2312"/>
                <w:b/>
                <w:bCs/>
                <w:spacing w:val="-10"/>
                <w:sz w:val="24"/>
                <w:szCs w:val="24"/>
              </w:rPr>
              <w:t>人数</w:t>
            </w:r>
          </w:p>
        </w:tc>
      </w:tr>
      <w:tr w14:paraId="45FA44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3" w:hRule="atLeast"/>
        </w:trPr>
        <w:tc>
          <w:tcPr>
            <w:tcW w:w="806" w:type="dxa"/>
            <w:noWrap w:val="0"/>
            <w:vAlign w:val="center"/>
          </w:tcPr>
          <w:p w14:paraId="06CF5A27">
            <w:pPr>
              <w:pStyle w:val="16"/>
              <w:keepNext w:val="0"/>
              <w:keepLines w:val="0"/>
              <w:pageBreakBefore w:val="0"/>
              <w:wordWrap/>
              <w:overflowPunct/>
              <w:topLinePunct w:val="0"/>
              <w:bidi w:val="0"/>
              <w:spacing w:line="227" w:lineRule="auto"/>
              <w:ind w:left="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4"/>
                <w:sz w:val="24"/>
                <w:szCs w:val="24"/>
              </w:rPr>
              <w:t>裁判</w:t>
            </w:r>
            <w:r>
              <w:rPr>
                <w:rFonts w:hint="eastAsia" w:ascii="方正仿宋_GB2312" w:hAnsi="方正仿宋_GB2312" w:eastAsia="方正仿宋_GB2312" w:cs="方正仿宋_GB2312"/>
                <w:sz w:val="24"/>
                <w:szCs w:val="24"/>
              </w:rPr>
              <w:t>长</w:t>
            </w:r>
          </w:p>
        </w:tc>
        <w:tc>
          <w:tcPr>
            <w:tcW w:w="1444" w:type="dxa"/>
            <w:noWrap w:val="0"/>
            <w:vAlign w:val="top"/>
          </w:tcPr>
          <w:p w14:paraId="7104238E">
            <w:pPr>
              <w:keepNext w:val="0"/>
              <w:keepLines w:val="0"/>
              <w:pageBreakBefore w:val="0"/>
              <w:wordWrap/>
              <w:overflowPunct/>
              <w:topLinePunct w:val="0"/>
              <w:bidi w:val="0"/>
              <w:spacing w:line="457" w:lineRule="auto"/>
              <w:ind w:left="0"/>
              <w:jc w:val="center"/>
              <w:rPr>
                <w:rFonts w:hint="eastAsia" w:ascii="方正仿宋_GB2312" w:hAnsi="方正仿宋_GB2312" w:eastAsia="方正仿宋_GB2312" w:cs="方正仿宋_GB2312"/>
                <w:sz w:val="24"/>
                <w:szCs w:val="24"/>
              </w:rPr>
            </w:pPr>
          </w:p>
          <w:p w14:paraId="6B2E68E6">
            <w:pPr>
              <w:pStyle w:val="16"/>
              <w:keepNext w:val="0"/>
              <w:keepLines w:val="0"/>
              <w:pageBreakBefore w:val="0"/>
              <w:wordWrap/>
              <w:overflowPunct/>
              <w:topLinePunct w:val="0"/>
              <w:bidi w:val="0"/>
              <w:spacing w:line="225" w:lineRule="auto"/>
              <w:ind w:left="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
                <w:sz w:val="24"/>
                <w:szCs w:val="24"/>
                <w:lang w:val="en-US" w:eastAsia="zh-CN"/>
              </w:rPr>
              <w:t>药学及</w:t>
            </w:r>
            <w:r>
              <w:rPr>
                <w:rFonts w:hint="eastAsia" w:ascii="方正仿宋_GB2312" w:hAnsi="方正仿宋_GB2312" w:eastAsia="方正仿宋_GB2312" w:cs="方正仿宋_GB2312"/>
                <w:spacing w:val="8"/>
                <w:sz w:val="24"/>
                <w:szCs w:val="24"/>
              </w:rPr>
              <w:t>其相关</w:t>
            </w:r>
            <w:r>
              <w:rPr>
                <w:rFonts w:hint="eastAsia" w:ascii="方正仿宋_GB2312" w:hAnsi="方正仿宋_GB2312" w:eastAsia="方正仿宋_GB2312" w:cs="方正仿宋_GB2312"/>
                <w:spacing w:val="1"/>
                <w:sz w:val="24"/>
                <w:szCs w:val="24"/>
              </w:rPr>
              <w:t>专业</w:t>
            </w:r>
          </w:p>
        </w:tc>
        <w:tc>
          <w:tcPr>
            <w:tcW w:w="2190" w:type="dxa"/>
            <w:noWrap w:val="0"/>
            <w:vAlign w:val="top"/>
          </w:tcPr>
          <w:p w14:paraId="29E89CF4">
            <w:pPr>
              <w:pStyle w:val="16"/>
              <w:keepNext w:val="0"/>
              <w:keepLines w:val="0"/>
              <w:pageBreakBefore w:val="0"/>
              <w:wordWrap/>
              <w:overflowPunct/>
              <w:topLinePunct w:val="0"/>
              <w:bidi w:val="0"/>
              <w:spacing w:line="400" w:lineRule="exact"/>
              <w:ind w:left="0" w:right="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熟悉药品管理法规与购销储存实务，具备扎实理论基础和实操评判能力</w:t>
            </w:r>
          </w:p>
        </w:tc>
        <w:tc>
          <w:tcPr>
            <w:tcW w:w="1755" w:type="dxa"/>
            <w:noWrap w:val="0"/>
            <w:vAlign w:val="top"/>
          </w:tcPr>
          <w:p w14:paraId="09FB4645">
            <w:pPr>
              <w:pStyle w:val="16"/>
              <w:keepNext w:val="0"/>
              <w:keepLines w:val="0"/>
              <w:pageBreakBefore w:val="0"/>
              <w:wordWrap/>
              <w:overflowPunct/>
              <w:topLinePunct w:val="0"/>
              <w:bidi w:val="0"/>
              <w:spacing w:line="400" w:lineRule="exact"/>
              <w:ind w:left="0" w:right="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具有担任省级以上大型技能竞赛总裁判长经历</w:t>
            </w:r>
          </w:p>
        </w:tc>
        <w:tc>
          <w:tcPr>
            <w:tcW w:w="1530" w:type="dxa"/>
            <w:noWrap w:val="0"/>
            <w:vAlign w:val="top"/>
          </w:tcPr>
          <w:p w14:paraId="4DE831CE">
            <w:pPr>
              <w:pStyle w:val="16"/>
              <w:keepNext w:val="0"/>
              <w:keepLines w:val="0"/>
              <w:pageBreakBefore w:val="0"/>
              <w:wordWrap/>
              <w:overflowPunct/>
              <w:topLinePunct w:val="0"/>
              <w:bidi w:val="0"/>
              <w:spacing w:line="224" w:lineRule="auto"/>
              <w:ind w:left="0"/>
              <w:jc w:val="center"/>
              <w:rPr>
                <w:rFonts w:hint="eastAsia" w:ascii="方正仿宋_GB2312" w:hAnsi="方正仿宋_GB2312" w:eastAsia="方正仿宋_GB2312" w:cs="方正仿宋_GB2312"/>
                <w:spacing w:val="5"/>
                <w:sz w:val="24"/>
                <w:szCs w:val="24"/>
              </w:rPr>
            </w:pPr>
          </w:p>
          <w:p w14:paraId="77315EA5">
            <w:pPr>
              <w:pStyle w:val="16"/>
              <w:keepNext w:val="0"/>
              <w:keepLines w:val="0"/>
              <w:pageBreakBefore w:val="0"/>
              <w:wordWrap/>
              <w:overflowPunct/>
              <w:topLinePunct w:val="0"/>
              <w:bidi w:val="0"/>
              <w:spacing w:line="224" w:lineRule="auto"/>
              <w:ind w:left="0"/>
              <w:jc w:val="both"/>
              <w:rPr>
                <w:rFonts w:hint="eastAsia" w:ascii="方正仿宋_GB2312" w:hAnsi="方正仿宋_GB2312" w:eastAsia="方正仿宋_GB2312" w:cs="方正仿宋_GB2312"/>
                <w:spacing w:val="5"/>
                <w:sz w:val="24"/>
                <w:szCs w:val="24"/>
              </w:rPr>
            </w:pPr>
          </w:p>
          <w:p w14:paraId="2F3F4294">
            <w:pPr>
              <w:pStyle w:val="16"/>
              <w:keepNext w:val="0"/>
              <w:keepLines w:val="0"/>
              <w:pageBreakBefore w:val="0"/>
              <w:wordWrap/>
              <w:overflowPunct/>
              <w:topLinePunct w:val="0"/>
              <w:bidi w:val="0"/>
              <w:spacing w:line="224" w:lineRule="auto"/>
              <w:ind w:left="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5"/>
                <w:sz w:val="24"/>
                <w:szCs w:val="24"/>
              </w:rPr>
              <w:t>高级职称</w:t>
            </w:r>
          </w:p>
        </w:tc>
        <w:tc>
          <w:tcPr>
            <w:tcW w:w="783" w:type="dxa"/>
            <w:noWrap w:val="0"/>
            <w:vAlign w:val="center"/>
          </w:tcPr>
          <w:p w14:paraId="712A3050">
            <w:pPr>
              <w:pStyle w:val="16"/>
              <w:keepNext w:val="0"/>
              <w:keepLines w:val="0"/>
              <w:pageBreakBefore w:val="0"/>
              <w:wordWrap/>
              <w:overflowPunct/>
              <w:topLinePunct w:val="0"/>
              <w:bidi w:val="0"/>
              <w:spacing w:line="265" w:lineRule="exact"/>
              <w:ind w:left="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
                <w:position w:val="1"/>
                <w:sz w:val="24"/>
                <w:szCs w:val="24"/>
                <w:lang w:val="en-US" w:eastAsia="zh-CN"/>
              </w:rPr>
              <w:t>1</w:t>
            </w:r>
          </w:p>
        </w:tc>
      </w:tr>
      <w:tr w14:paraId="112B90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06" w:type="dxa"/>
            <w:noWrap w:val="0"/>
            <w:vAlign w:val="center"/>
          </w:tcPr>
          <w:p w14:paraId="0691B3A4">
            <w:pPr>
              <w:pStyle w:val="16"/>
              <w:keepNext w:val="0"/>
              <w:keepLines w:val="0"/>
              <w:pageBreakBefore w:val="0"/>
              <w:wordWrap/>
              <w:overflowPunct/>
              <w:topLinePunct w:val="0"/>
              <w:bidi w:val="0"/>
              <w:spacing w:line="227" w:lineRule="auto"/>
              <w:ind w:left="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4"/>
                <w:sz w:val="24"/>
                <w:szCs w:val="24"/>
              </w:rPr>
              <w:t>裁判</w:t>
            </w:r>
            <w:r>
              <w:rPr>
                <w:rFonts w:hint="eastAsia" w:ascii="方正仿宋_GB2312" w:hAnsi="方正仿宋_GB2312" w:eastAsia="方正仿宋_GB2312" w:cs="方正仿宋_GB2312"/>
                <w:sz w:val="24"/>
                <w:szCs w:val="24"/>
              </w:rPr>
              <w:t>员</w:t>
            </w:r>
          </w:p>
        </w:tc>
        <w:tc>
          <w:tcPr>
            <w:tcW w:w="1444" w:type="dxa"/>
            <w:noWrap w:val="0"/>
            <w:vAlign w:val="top"/>
          </w:tcPr>
          <w:p w14:paraId="6309F4C0">
            <w:pPr>
              <w:pStyle w:val="16"/>
              <w:keepNext w:val="0"/>
              <w:keepLines w:val="0"/>
              <w:pageBreakBefore w:val="0"/>
              <w:wordWrap/>
              <w:overflowPunct/>
              <w:topLinePunct w:val="0"/>
              <w:bidi w:val="0"/>
              <w:spacing w:line="225" w:lineRule="auto"/>
              <w:ind w:left="0"/>
              <w:jc w:val="center"/>
              <w:rPr>
                <w:rFonts w:hint="eastAsia" w:ascii="方正仿宋_GB2312" w:hAnsi="方正仿宋_GB2312" w:eastAsia="方正仿宋_GB2312" w:cs="方正仿宋_GB2312"/>
                <w:spacing w:val="6"/>
                <w:sz w:val="24"/>
                <w:szCs w:val="24"/>
                <w:lang w:val="en-US" w:eastAsia="zh-CN"/>
              </w:rPr>
            </w:pPr>
          </w:p>
          <w:p w14:paraId="1CE39F6F">
            <w:pPr>
              <w:pStyle w:val="16"/>
              <w:keepNext w:val="0"/>
              <w:keepLines w:val="0"/>
              <w:pageBreakBefore w:val="0"/>
              <w:wordWrap/>
              <w:overflowPunct/>
              <w:topLinePunct w:val="0"/>
              <w:bidi w:val="0"/>
              <w:spacing w:line="225" w:lineRule="auto"/>
              <w:ind w:left="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
                <w:sz w:val="24"/>
                <w:szCs w:val="24"/>
                <w:lang w:val="en-US" w:eastAsia="zh-CN"/>
              </w:rPr>
              <w:t>药学</w:t>
            </w:r>
            <w:r>
              <w:rPr>
                <w:rFonts w:hint="eastAsia" w:ascii="方正仿宋_GB2312" w:hAnsi="方正仿宋_GB2312" w:eastAsia="方正仿宋_GB2312" w:cs="方正仿宋_GB2312"/>
                <w:spacing w:val="8"/>
                <w:sz w:val="24"/>
                <w:szCs w:val="24"/>
              </w:rPr>
              <w:t>其相关</w:t>
            </w:r>
            <w:r>
              <w:rPr>
                <w:rFonts w:hint="eastAsia" w:ascii="方正仿宋_GB2312" w:hAnsi="方正仿宋_GB2312" w:eastAsia="方正仿宋_GB2312" w:cs="方正仿宋_GB2312"/>
                <w:spacing w:val="1"/>
                <w:sz w:val="24"/>
                <w:szCs w:val="24"/>
              </w:rPr>
              <w:t>专业</w:t>
            </w:r>
          </w:p>
        </w:tc>
        <w:tc>
          <w:tcPr>
            <w:tcW w:w="2190" w:type="dxa"/>
            <w:noWrap w:val="0"/>
            <w:vAlign w:val="top"/>
          </w:tcPr>
          <w:p w14:paraId="02716464">
            <w:pPr>
              <w:pStyle w:val="16"/>
              <w:keepNext w:val="0"/>
              <w:keepLines w:val="0"/>
              <w:pageBreakBefore w:val="0"/>
              <w:wordWrap/>
              <w:overflowPunct/>
              <w:topLinePunct w:val="0"/>
              <w:bidi w:val="0"/>
              <w:spacing w:line="400" w:lineRule="exact"/>
              <w:ind w:left="0" w:right="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熟悉药品管理法规与购销储存实务，具备扎实理论基础和实操评判能力</w:t>
            </w:r>
          </w:p>
        </w:tc>
        <w:tc>
          <w:tcPr>
            <w:tcW w:w="1755" w:type="dxa"/>
            <w:noWrap w:val="0"/>
            <w:vAlign w:val="top"/>
          </w:tcPr>
          <w:p w14:paraId="45EBC348">
            <w:pPr>
              <w:pStyle w:val="16"/>
              <w:keepNext w:val="0"/>
              <w:keepLines w:val="0"/>
              <w:pageBreakBefore w:val="0"/>
              <w:wordWrap/>
              <w:overflowPunct/>
              <w:topLinePunct w:val="0"/>
              <w:bidi w:val="0"/>
              <w:spacing w:line="400" w:lineRule="exact"/>
              <w:ind w:left="0" w:right="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具 有 2 次 以 上 的相近赛项省赛执裁经历</w:t>
            </w:r>
          </w:p>
        </w:tc>
        <w:tc>
          <w:tcPr>
            <w:tcW w:w="1530" w:type="dxa"/>
            <w:noWrap w:val="0"/>
            <w:vAlign w:val="top"/>
          </w:tcPr>
          <w:p w14:paraId="6DE32EBA">
            <w:pPr>
              <w:pStyle w:val="16"/>
              <w:keepNext w:val="0"/>
              <w:keepLines w:val="0"/>
              <w:pageBreakBefore w:val="0"/>
              <w:wordWrap/>
              <w:overflowPunct/>
              <w:topLinePunct w:val="0"/>
              <w:bidi w:val="0"/>
              <w:spacing w:line="224" w:lineRule="auto"/>
              <w:ind w:left="0"/>
              <w:jc w:val="center"/>
              <w:rPr>
                <w:rFonts w:hint="eastAsia" w:ascii="方正仿宋_GB2312" w:hAnsi="方正仿宋_GB2312" w:eastAsia="方正仿宋_GB2312" w:cs="方正仿宋_GB2312"/>
                <w:spacing w:val="5"/>
                <w:sz w:val="24"/>
                <w:szCs w:val="24"/>
              </w:rPr>
            </w:pPr>
          </w:p>
          <w:p w14:paraId="4850607C">
            <w:pPr>
              <w:pStyle w:val="16"/>
              <w:keepNext w:val="0"/>
              <w:keepLines w:val="0"/>
              <w:pageBreakBefore w:val="0"/>
              <w:wordWrap/>
              <w:overflowPunct/>
              <w:topLinePunct w:val="0"/>
              <w:bidi w:val="0"/>
              <w:spacing w:line="224" w:lineRule="auto"/>
              <w:ind w:left="0"/>
              <w:jc w:val="center"/>
              <w:rPr>
                <w:rFonts w:hint="eastAsia" w:ascii="方正仿宋_GB2312" w:hAnsi="方正仿宋_GB2312" w:eastAsia="方正仿宋_GB2312" w:cs="方正仿宋_GB2312"/>
                <w:spacing w:val="5"/>
                <w:sz w:val="24"/>
                <w:szCs w:val="24"/>
              </w:rPr>
            </w:pPr>
            <w:r>
              <w:rPr>
                <w:rFonts w:hint="eastAsia" w:ascii="方正仿宋_GB2312" w:hAnsi="方正仿宋_GB2312" w:eastAsia="方正仿宋_GB2312" w:cs="方正仿宋_GB2312"/>
                <w:spacing w:val="5"/>
                <w:sz w:val="24"/>
                <w:szCs w:val="24"/>
              </w:rPr>
              <w:t>中级职称及</w:t>
            </w:r>
          </w:p>
          <w:p w14:paraId="73E85803">
            <w:pPr>
              <w:pStyle w:val="16"/>
              <w:keepNext w:val="0"/>
              <w:keepLines w:val="0"/>
              <w:pageBreakBefore w:val="0"/>
              <w:wordWrap/>
              <w:overflowPunct/>
              <w:topLinePunct w:val="0"/>
              <w:bidi w:val="0"/>
              <w:spacing w:line="224" w:lineRule="auto"/>
              <w:ind w:left="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5"/>
                <w:sz w:val="24"/>
                <w:szCs w:val="24"/>
              </w:rPr>
              <w:t>以上</w:t>
            </w:r>
          </w:p>
        </w:tc>
        <w:tc>
          <w:tcPr>
            <w:tcW w:w="783" w:type="dxa"/>
            <w:noWrap w:val="0"/>
            <w:vAlign w:val="center"/>
          </w:tcPr>
          <w:p w14:paraId="26F50123">
            <w:pPr>
              <w:pStyle w:val="16"/>
              <w:keepNext w:val="0"/>
              <w:keepLines w:val="0"/>
              <w:pageBreakBefore w:val="0"/>
              <w:wordWrap/>
              <w:overflowPunct/>
              <w:topLinePunct w:val="0"/>
              <w:bidi w:val="0"/>
              <w:spacing w:line="265" w:lineRule="exact"/>
              <w:ind w:left="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pacing w:val="-1"/>
                <w:position w:val="1"/>
                <w:sz w:val="24"/>
                <w:szCs w:val="24"/>
                <w:lang w:val="en-US" w:eastAsia="zh-CN"/>
              </w:rPr>
              <w:t>6</w:t>
            </w:r>
            <w:r>
              <w:rPr>
                <w:rFonts w:hint="eastAsia" w:ascii="方正仿宋_GB2312" w:hAnsi="方正仿宋_GB2312" w:eastAsia="方正仿宋_GB2312" w:cs="方正仿宋_GB2312"/>
                <w:spacing w:val="-1"/>
                <w:position w:val="1"/>
                <w:sz w:val="24"/>
                <w:szCs w:val="24"/>
              </w:rPr>
              <w:t>-</w:t>
            </w:r>
            <w:r>
              <w:rPr>
                <w:rFonts w:hint="eastAsia" w:ascii="方正仿宋_GB2312" w:hAnsi="方正仿宋_GB2312" w:eastAsia="方正仿宋_GB2312" w:cs="方正仿宋_GB2312"/>
                <w:spacing w:val="-1"/>
                <w:position w:val="1"/>
                <w:sz w:val="24"/>
                <w:szCs w:val="24"/>
                <w:lang w:val="en-US" w:eastAsia="zh-CN"/>
              </w:rPr>
              <w:t>8</w:t>
            </w:r>
          </w:p>
        </w:tc>
      </w:tr>
    </w:tbl>
    <w:p w14:paraId="03FF7116">
      <w:pPr>
        <w:pStyle w:val="2"/>
        <w:keepNext w:val="0"/>
        <w:keepLines w:val="0"/>
        <w:pageBreakBefore w:val="0"/>
        <w:widowControl w:val="0"/>
        <w:numPr>
          <w:ilvl w:val="0"/>
          <w:numId w:val="18"/>
        </w:numPr>
        <w:kinsoku w:val="0"/>
        <w:wordWrap/>
        <w:overflowPunct/>
        <w:topLinePunct w:val="0"/>
        <w:autoSpaceDE w:val="0"/>
        <w:autoSpaceDN w:val="0"/>
        <w:bidi w:val="0"/>
        <w:adjustRightInd w:val="0"/>
        <w:snapToGrid w:val="0"/>
        <w:spacing w:before="0" w:beforeAutospacing="0" w:after="0" w:line="590" w:lineRule="exact"/>
        <w:ind w:left="0" w:leftChars="0" w:firstLine="420" w:firstLineChars="0"/>
        <w:jc w:val="both"/>
        <w:textAlignment w:val="baseline"/>
        <w:outlineLvl w:val="1"/>
        <w:rPr>
          <w:rFonts w:hint="eastAsia" w:ascii="楷体_GB2312" w:hAnsi="楷体_GB2312" w:eastAsia="楷体_GB2312" w:cs="楷体_GB2312"/>
          <w:b/>
          <w:bCs/>
          <w:color w:val="auto"/>
          <w:sz w:val="28"/>
          <w:szCs w:val="28"/>
          <w:lang w:val="zh-CN" w:eastAsia="zh-CN"/>
        </w:rPr>
      </w:pPr>
      <w:r>
        <w:rPr>
          <w:rFonts w:hint="eastAsia" w:ascii="楷体_GB2312" w:hAnsi="楷体_GB2312" w:eastAsia="楷体_GB2312" w:cs="楷体_GB2312"/>
          <w:b/>
          <w:bCs/>
          <w:color w:val="auto"/>
          <w:sz w:val="28"/>
          <w:szCs w:val="28"/>
          <w:lang w:val="zh-CN" w:eastAsia="zh-CN"/>
        </w:rPr>
        <w:t>成绩产生</w:t>
      </w:r>
    </w:p>
    <w:p w14:paraId="0E0A2EEF">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zh-CN" w:eastAsia="zh-CN" w:bidi="ar-SA"/>
        </w:rPr>
      </w:pPr>
      <w:r>
        <w:rPr>
          <w:rFonts w:hint="eastAsia" w:ascii="方正仿宋_GB2312" w:hAnsi="方正仿宋_GB2312" w:eastAsia="方正仿宋_GB2312" w:cs="方正仿宋_GB2312"/>
          <w:bCs w:val="0"/>
          <w:color w:val="auto"/>
          <w:kern w:val="2"/>
          <w:sz w:val="28"/>
          <w:szCs w:val="28"/>
          <w:lang w:val="zh-CN" w:eastAsia="zh-CN" w:bidi="ar-SA"/>
        </w:rPr>
        <w:t>1.在有监控的阅卷场所， 由加密裁判汇总选手各模块项目评分，并计算出参赛选手的总成绩，复核无误后，经裁判长签字确认后提交</w:t>
      </w:r>
      <w:r>
        <w:rPr>
          <w:rFonts w:hint="eastAsia" w:ascii="方正仿宋_GB2312" w:hAnsi="方正仿宋_GB2312" w:eastAsia="方正仿宋_GB2312" w:cs="方正仿宋_GB2312"/>
          <w:color w:val="auto"/>
          <w:spacing w:val="-2"/>
          <w:sz w:val="28"/>
          <w:szCs w:val="28"/>
          <w:lang w:val="en-US" w:eastAsia="zh-CN"/>
        </w:rPr>
        <w:t>赛组委</w:t>
      </w:r>
      <w:r>
        <w:rPr>
          <w:rFonts w:hint="eastAsia" w:ascii="方正仿宋_GB2312" w:hAnsi="方正仿宋_GB2312" w:eastAsia="方正仿宋_GB2312" w:cs="方正仿宋_GB2312"/>
          <w:bCs w:val="0"/>
          <w:color w:val="auto"/>
          <w:kern w:val="2"/>
          <w:sz w:val="28"/>
          <w:szCs w:val="28"/>
          <w:lang w:val="zh-CN" w:eastAsia="zh-CN" w:bidi="ar-SA"/>
        </w:rPr>
        <w:t>。</w:t>
      </w:r>
    </w:p>
    <w:p w14:paraId="2DF546E4">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zh-CN" w:eastAsia="zh-CN" w:bidi="ar-SA"/>
        </w:rPr>
      </w:pPr>
      <w:r>
        <w:rPr>
          <w:rFonts w:hint="eastAsia" w:ascii="方正仿宋_GB2312" w:hAnsi="方正仿宋_GB2312" w:eastAsia="方正仿宋_GB2312" w:cs="方正仿宋_GB2312"/>
          <w:bCs w:val="0"/>
          <w:color w:val="auto"/>
          <w:kern w:val="2"/>
          <w:sz w:val="28"/>
          <w:szCs w:val="28"/>
          <w:lang w:val="zh-CN" w:eastAsia="zh-CN" w:bidi="ar-SA"/>
        </w:rPr>
        <w:t>2.</w:t>
      </w:r>
      <w:r>
        <w:rPr>
          <w:rFonts w:hint="eastAsia" w:ascii="方正仿宋_GB2312" w:hAnsi="方正仿宋_GB2312" w:eastAsia="方正仿宋_GB2312" w:cs="方正仿宋_GB2312"/>
          <w:color w:val="auto"/>
          <w:spacing w:val="-2"/>
          <w:sz w:val="28"/>
          <w:szCs w:val="28"/>
          <w:lang w:val="en-US" w:eastAsia="zh-CN"/>
        </w:rPr>
        <w:t>赛组委</w:t>
      </w:r>
      <w:r>
        <w:rPr>
          <w:rFonts w:hint="eastAsia" w:ascii="方正仿宋_GB2312" w:hAnsi="方正仿宋_GB2312" w:eastAsia="方正仿宋_GB2312" w:cs="方正仿宋_GB2312"/>
          <w:bCs w:val="0"/>
          <w:color w:val="auto"/>
          <w:kern w:val="2"/>
          <w:sz w:val="28"/>
          <w:szCs w:val="28"/>
          <w:lang w:val="zh-CN" w:eastAsia="zh-CN" w:bidi="ar-SA"/>
        </w:rPr>
        <w:t>对总成绩排名前 30%的参赛选手成绩进行再次复核；对其余选手成绩进行抽检复核，抽检覆盖率不得低于 15%。如发现成绩错误以书面方式及时告知裁判长，由裁判长更正成绩并签字确认。复核、抽检错误率超过 5%的，则对所有选手成绩进行复核。</w:t>
      </w:r>
    </w:p>
    <w:p w14:paraId="6CA694BA">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zh-CN" w:eastAsia="zh-CN" w:bidi="ar-SA"/>
        </w:rPr>
      </w:pPr>
      <w:r>
        <w:rPr>
          <w:rFonts w:hint="eastAsia" w:ascii="方正仿宋_GB2312" w:hAnsi="方正仿宋_GB2312" w:eastAsia="方正仿宋_GB2312" w:cs="方正仿宋_GB2312"/>
          <w:bCs w:val="0"/>
          <w:color w:val="auto"/>
          <w:kern w:val="2"/>
          <w:sz w:val="28"/>
          <w:szCs w:val="28"/>
          <w:lang w:val="zh-CN" w:eastAsia="zh-CN" w:bidi="ar-SA"/>
        </w:rPr>
        <w:t>3.赛项最终得分按百分制计分，选手总成绩精确至小数点后两位。若选手总成绩相同时，则比较选手完成两个模块的总时长，以总时长较短者名次在前。</w:t>
      </w:r>
    </w:p>
    <w:p w14:paraId="409A85F1">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zh-CN" w:eastAsia="zh-CN" w:bidi="ar-SA"/>
        </w:rPr>
      </w:pPr>
      <w:r>
        <w:rPr>
          <w:rFonts w:hint="eastAsia" w:ascii="方正仿宋_GB2312" w:hAnsi="方正仿宋_GB2312" w:eastAsia="方正仿宋_GB2312" w:cs="方正仿宋_GB2312"/>
          <w:bCs w:val="0"/>
          <w:color w:val="auto"/>
          <w:kern w:val="2"/>
          <w:sz w:val="28"/>
          <w:szCs w:val="28"/>
          <w:lang w:val="zh-CN" w:eastAsia="zh-CN" w:bidi="ar-SA"/>
        </w:rPr>
        <w:t>裁判须在评分表上签字，评分结果一经提交不得随意更改。</w:t>
      </w:r>
    </w:p>
    <w:p w14:paraId="5C175624">
      <w:pPr>
        <w:keepNext w:val="0"/>
        <w:keepLines w:val="0"/>
        <w:pageBreakBefore w:val="0"/>
        <w:numPr>
          <w:ilvl w:val="0"/>
          <w:numId w:val="1"/>
        </w:numPr>
        <w:wordWrap/>
        <w:overflowPunct/>
        <w:topLinePunct w:val="0"/>
        <w:bidi w:val="0"/>
        <w:adjustRightInd w:val="0"/>
        <w:snapToGrid w:val="0"/>
        <w:spacing w:line="540" w:lineRule="exact"/>
        <w:ind w:left="0" w:right="0" w:firstLine="528" w:firstLineChars="200"/>
        <w:outlineLvl w:val="0"/>
        <w:rPr>
          <w:rFonts w:hint="default" w:ascii="黑体" w:hAnsi="黑体" w:eastAsia="黑体" w:cs="黑体"/>
          <w:b w:val="0"/>
          <w:bCs w:val="0"/>
          <w:color w:val="auto"/>
          <w:spacing w:val="-8"/>
          <w:kern w:val="2"/>
          <w:sz w:val="28"/>
          <w:szCs w:val="28"/>
          <w:lang w:val="en-US" w:eastAsia="zh-CN" w:bidi="ar-SA"/>
        </w:rPr>
      </w:pPr>
      <w:r>
        <w:rPr>
          <w:rFonts w:hint="eastAsia" w:ascii="黑体" w:hAnsi="黑体" w:eastAsia="黑体" w:cs="黑体"/>
          <w:b w:val="0"/>
          <w:bCs w:val="0"/>
          <w:color w:val="auto"/>
          <w:spacing w:val="-8"/>
          <w:kern w:val="2"/>
          <w:sz w:val="28"/>
          <w:szCs w:val="28"/>
          <w:lang w:val="en-US" w:eastAsia="zh-CN" w:bidi="ar-SA"/>
        </w:rPr>
        <w:t>奖项设置</w:t>
      </w:r>
    </w:p>
    <w:p w14:paraId="46E9E41B">
      <w:pPr>
        <w:pStyle w:val="2"/>
        <w:keepNext w:val="0"/>
        <w:keepLines w:val="0"/>
        <w:pageBreakBefore w:val="0"/>
        <w:widowControl w:val="0"/>
        <w:numPr>
          <w:ilvl w:val="0"/>
          <w:numId w:val="19"/>
        </w:numPr>
        <w:kinsoku w:val="0"/>
        <w:wordWrap/>
        <w:overflowPunct/>
        <w:topLinePunct w:val="0"/>
        <w:autoSpaceDE w:val="0"/>
        <w:autoSpaceDN w:val="0"/>
        <w:bidi w:val="0"/>
        <w:adjustRightInd w:val="0"/>
        <w:snapToGrid w:val="0"/>
        <w:spacing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参赛学生</w:t>
      </w:r>
    </w:p>
    <w:p w14:paraId="63021282">
      <w:pPr>
        <w:keepNext w:val="0"/>
        <w:keepLines w:val="0"/>
        <w:pageBreakBefore w:val="0"/>
        <w:widowControl/>
        <w:kinsoku w:val="0"/>
        <w:wordWrap/>
        <w:overflowPunct/>
        <w:topLinePunct w:val="0"/>
        <w:autoSpaceDE w:val="0"/>
        <w:autoSpaceDN w:val="0"/>
        <w:bidi w:val="0"/>
        <w:adjustRightInd w:val="0"/>
        <w:snapToGrid w:val="0"/>
        <w:spacing w:line="540" w:lineRule="exact"/>
        <w:ind w:left="0" w:right="0" w:firstLine="552" w:firstLineChars="200"/>
        <w:textAlignment w:val="baseline"/>
        <w:rPr>
          <w:rFonts w:hint="default"/>
          <w:lang w:val="en-US" w:eastAsia="zh-CN"/>
        </w:rPr>
      </w:pPr>
      <w:r>
        <w:rPr>
          <w:rFonts w:hint="eastAsia" w:ascii="方正仿宋_GB2312" w:hAnsi="方正仿宋_GB2312" w:eastAsia="方正仿宋_GB2312" w:cs="方正仿宋_GB2312"/>
          <w:color w:val="auto"/>
          <w:spacing w:val="-2"/>
          <w:sz w:val="28"/>
          <w:szCs w:val="28"/>
          <w:lang w:val="en-US" w:eastAsia="zh-CN"/>
        </w:rPr>
        <w:t>各赛道设参赛选手个人</w:t>
      </w:r>
      <w:r>
        <w:rPr>
          <w:rFonts w:hint="eastAsia" w:ascii="方正仿宋_GB2312" w:hAnsi="方正仿宋_GB2312" w:eastAsia="方正仿宋_GB2312" w:cs="方正仿宋_GB2312"/>
          <w:color w:val="auto"/>
          <w:spacing w:val="-2"/>
          <w:sz w:val="28"/>
          <w:szCs w:val="28"/>
          <w:lang w:val="zh-CN" w:eastAsia="zh-CN"/>
        </w:rPr>
        <w:t>一、二、三等奖。以赛道实际人数（个人赛）为基数，一、二、三等奖获奖比例分别为 10%、20%、30%（小数点后四舍五入）。</w:t>
      </w:r>
      <w:r>
        <w:rPr>
          <w:rFonts w:hint="eastAsia" w:ascii="方正仿宋_GB2312" w:hAnsi="方正仿宋_GB2312" w:eastAsia="方正仿宋_GB2312" w:cs="方正仿宋_GB2312"/>
          <w:color w:val="auto"/>
          <w:spacing w:val="-2"/>
          <w:sz w:val="28"/>
          <w:szCs w:val="28"/>
          <w:lang w:val="en-US" w:eastAsia="zh-CN"/>
        </w:rPr>
        <w:t>同时依据《海南省职业技能竞赛管理办法》相关要求，对照相应职业工种技能标准开展的竞赛项目设立金、银、铜牌和优胜奖，其中，对排名第1，2，3名且成绩合格的选手对应颁发金、银、铜牌，对前3名以外但排名在该赛项决赛总人数1/2以上且成绩合格的选手颁发优胜奖。</w:t>
      </w:r>
    </w:p>
    <w:p w14:paraId="61284704">
      <w:pPr>
        <w:pStyle w:val="2"/>
        <w:keepNext w:val="0"/>
        <w:keepLines w:val="0"/>
        <w:pageBreakBefore w:val="0"/>
        <w:widowControl w:val="0"/>
        <w:numPr>
          <w:ilvl w:val="0"/>
          <w:numId w:val="19"/>
        </w:numPr>
        <w:kinsoku w:val="0"/>
        <w:wordWrap/>
        <w:overflowPunct/>
        <w:topLinePunct w:val="0"/>
        <w:autoSpaceDE w:val="0"/>
        <w:autoSpaceDN w:val="0"/>
        <w:bidi w:val="0"/>
        <w:adjustRightInd w:val="0"/>
        <w:snapToGrid w:val="0"/>
        <w:spacing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指导老师</w:t>
      </w:r>
    </w:p>
    <w:p w14:paraId="10AE04C4">
      <w:pPr>
        <w:keepNext w:val="0"/>
        <w:keepLines w:val="0"/>
        <w:pageBreakBefore w:val="0"/>
        <w:widowControl/>
        <w:kinsoku w:val="0"/>
        <w:wordWrap/>
        <w:overflowPunct/>
        <w:topLinePunct w:val="0"/>
        <w:autoSpaceDE w:val="0"/>
        <w:autoSpaceDN w:val="0"/>
        <w:bidi w:val="0"/>
        <w:adjustRightInd w:val="0"/>
        <w:snapToGrid w:val="0"/>
        <w:spacing w:line="540" w:lineRule="exact"/>
        <w:ind w:left="0" w:right="0" w:firstLine="552" w:firstLineChars="200"/>
        <w:textAlignment w:val="baseline"/>
        <w:rPr>
          <w:rFonts w:hint="eastAsia" w:ascii="方正仿宋_GB2312" w:hAnsi="方正仿宋_GB2312" w:eastAsia="方正仿宋_GB2312" w:cs="方正仿宋_GB2312"/>
          <w:color w:val="auto"/>
          <w:spacing w:val="-2"/>
          <w:sz w:val="28"/>
          <w:szCs w:val="28"/>
          <w:lang w:val="en-US" w:eastAsia="zh-CN"/>
        </w:rPr>
      </w:pPr>
      <w:r>
        <w:rPr>
          <w:rFonts w:hint="eastAsia" w:ascii="方正仿宋_GB2312" w:hAnsi="方正仿宋_GB2312" w:eastAsia="方正仿宋_GB2312" w:cs="方正仿宋_GB2312"/>
          <w:color w:val="auto"/>
          <w:spacing w:val="-2"/>
          <w:sz w:val="28"/>
          <w:szCs w:val="28"/>
          <w:lang w:val="en-US" w:eastAsia="zh-CN"/>
        </w:rPr>
        <w:t>对获奖选手的指导老师颁发荣誉证书。</w:t>
      </w:r>
    </w:p>
    <w:p w14:paraId="71B93894">
      <w:pPr>
        <w:pStyle w:val="2"/>
        <w:keepNext w:val="0"/>
        <w:keepLines w:val="0"/>
        <w:pageBreakBefore w:val="0"/>
        <w:widowControl w:val="0"/>
        <w:numPr>
          <w:ilvl w:val="0"/>
          <w:numId w:val="19"/>
        </w:numPr>
        <w:kinsoku w:val="0"/>
        <w:wordWrap/>
        <w:overflowPunct/>
        <w:topLinePunct w:val="0"/>
        <w:autoSpaceDE w:val="0"/>
        <w:autoSpaceDN w:val="0"/>
        <w:bidi w:val="0"/>
        <w:adjustRightInd w:val="0"/>
        <w:snapToGrid w:val="0"/>
        <w:spacing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技能证书</w:t>
      </w:r>
    </w:p>
    <w:p w14:paraId="66B2F5C6">
      <w:pPr>
        <w:keepNext w:val="0"/>
        <w:keepLines w:val="0"/>
        <w:pageBreakBefore w:val="0"/>
        <w:widowControl/>
        <w:kinsoku w:val="0"/>
        <w:wordWrap/>
        <w:overflowPunct/>
        <w:topLinePunct w:val="0"/>
        <w:autoSpaceDE w:val="0"/>
        <w:autoSpaceDN w:val="0"/>
        <w:bidi w:val="0"/>
        <w:adjustRightInd w:val="0"/>
        <w:snapToGrid w:val="0"/>
        <w:spacing w:line="540" w:lineRule="exact"/>
        <w:ind w:left="0" w:right="0" w:firstLine="552" w:firstLineChars="200"/>
        <w:textAlignment w:val="baseline"/>
        <w:rPr>
          <w:rFonts w:hint="default" w:ascii="方正仿宋_GB2312" w:hAnsi="方正仿宋_GB2312" w:eastAsia="方正仿宋_GB2312" w:cs="方正仿宋_GB2312"/>
          <w:color w:val="auto"/>
          <w:spacing w:val="-2"/>
          <w:sz w:val="28"/>
          <w:szCs w:val="28"/>
          <w:lang w:val="en-US" w:eastAsia="zh-CN"/>
        </w:rPr>
      </w:pPr>
      <w:r>
        <w:rPr>
          <w:rFonts w:hint="eastAsia" w:ascii="方正仿宋_GB2312" w:hAnsi="方正仿宋_GB2312" w:eastAsia="方正仿宋_GB2312" w:cs="方正仿宋_GB2312"/>
          <w:color w:val="auto"/>
          <w:spacing w:val="-2"/>
          <w:sz w:val="28"/>
          <w:szCs w:val="28"/>
          <w:lang w:val="en-US" w:eastAsia="zh-CN"/>
        </w:rPr>
        <w:t>颁发职业技能等级证书、对优胜奖以上获奖选手颁发竞赛项目对应职业（工种）得三级职业技能等级证书，已获得三级职业技能登记证书的不再晋升。以上获奖选手职业技能等级证书按照国家和我省有关规定发放。</w:t>
      </w:r>
    </w:p>
    <w:p w14:paraId="4C66CFF4">
      <w:pPr>
        <w:keepNext w:val="0"/>
        <w:keepLines w:val="0"/>
        <w:pageBreakBefore w:val="0"/>
        <w:numPr>
          <w:ilvl w:val="0"/>
          <w:numId w:val="1"/>
        </w:numPr>
        <w:wordWrap/>
        <w:overflowPunct/>
        <w:topLinePunct w:val="0"/>
        <w:bidi w:val="0"/>
        <w:adjustRightInd w:val="0"/>
        <w:snapToGrid w:val="0"/>
        <w:spacing w:line="540" w:lineRule="exact"/>
        <w:ind w:left="0" w:right="0" w:firstLine="528" w:firstLineChars="200"/>
        <w:outlineLvl w:val="0"/>
        <w:rPr>
          <w:rFonts w:hint="eastAsia" w:ascii="黑体" w:hAnsi="黑体" w:eastAsia="黑体" w:cs="黑体"/>
          <w:b w:val="0"/>
          <w:bCs w:val="0"/>
          <w:color w:val="auto"/>
          <w:spacing w:val="-8"/>
          <w:kern w:val="2"/>
          <w:sz w:val="28"/>
          <w:szCs w:val="28"/>
          <w:lang w:val="en-US" w:eastAsia="zh-CN" w:bidi="ar-SA"/>
        </w:rPr>
      </w:pPr>
      <w:r>
        <w:rPr>
          <w:rFonts w:hint="eastAsia" w:ascii="黑体" w:hAnsi="黑体" w:eastAsia="黑体" w:cs="黑体"/>
          <w:b w:val="0"/>
          <w:bCs w:val="0"/>
          <w:color w:val="auto"/>
          <w:spacing w:val="-8"/>
          <w:kern w:val="2"/>
          <w:sz w:val="28"/>
          <w:szCs w:val="28"/>
          <w:lang w:val="en-US" w:eastAsia="zh-CN" w:bidi="ar-SA"/>
        </w:rPr>
        <w:t>赛项安全</w:t>
      </w:r>
    </w:p>
    <w:p w14:paraId="197FA8EA">
      <w:pPr>
        <w:pStyle w:val="2"/>
        <w:keepNext w:val="0"/>
        <w:keepLines w:val="0"/>
        <w:pageBreakBefore w:val="0"/>
        <w:widowControl w:val="0"/>
        <w:numPr>
          <w:ilvl w:val="0"/>
          <w:numId w:val="20"/>
        </w:numPr>
        <w:kinsoku w:val="0"/>
        <w:wordWrap/>
        <w:overflowPunct/>
        <w:topLinePunct w:val="0"/>
        <w:autoSpaceDE w:val="0"/>
        <w:autoSpaceDN w:val="0"/>
        <w:bidi w:val="0"/>
        <w:adjustRightInd w:val="0"/>
        <w:snapToGrid w:val="0"/>
        <w:spacing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zh-CN" w:eastAsia="zh-CN"/>
        </w:rPr>
      </w:pPr>
      <w:r>
        <w:rPr>
          <w:rFonts w:hint="eastAsia" w:ascii="楷体_GB2312" w:hAnsi="楷体_GB2312" w:eastAsia="楷体_GB2312" w:cs="楷体_GB2312"/>
          <w:b/>
          <w:bCs/>
          <w:color w:val="auto"/>
          <w:sz w:val="28"/>
          <w:szCs w:val="28"/>
          <w:lang w:val="zh-CN" w:eastAsia="zh-CN"/>
        </w:rPr>
        <w:t>比赛环境安全</w:t>
      </w:r>
    </w:p>
    <w:p w14:paraId="6A6D98F1">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1.竞赛基地执委会须在赛前对比赛现场、交通保障进行考察，并对安全工作提出明确要求。</w:t>
      </w:r>
    </w:p>
    <w:p w14:paraId="1668BA90">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2.赛场周围要设立警戒线，防止无关人员进入，发生意外事件。比赛现场应参照相关职业岗位的要求做好在场人员必要的劳动保护。</w:t>
      </w:r>
    </w:p>
    <w:p w14:paraId="2EE08370">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3.大赛期间，须在赛场设置医疗医护工作站。在管理的关键岗位，增加力量，建立安全管理日志。</w:t>
      </w:r>
    </w:p>
    <w:p w14:paraId="50760716">
      <w:pPr>
        <w:pStyle w:val="2"/>
        <w:keepNext w:val="0"/>
        <w:keepLines w:val="0"/>
        <w:pageBreakBefore w:val="0"/>
        <w:widowControl w:val="0"/>
        <w:numPr>
          <w:ilvl w:val="0"/>
          <w:numId w:val="20"/>
        </w:numPr>
        <w:kinsoku w:val="0"/>
        <w:wordWrap/>
        <w:overflowPunct/>
        <w:topLinePunct w:val="0"/>
        <w:autoSpaceDE w:val="0"/>
        <w:autoSpaceDN w:val="0"/>
        <w:bidi w:val="0"/>
        <w:adjustRightInd w:val="0"/>
        <w:snapToGrid w:val="0"/>
        <w:spacing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zh-CN" w:eastAsia="zh-CN"/>
        </w:rPr>
      </w:pPr>
      <w:r>
        <w:rPr>
          <w:rFonts w:hint="eastAsia" w:ascii="楷体_GB2312" w:hAnsi="楷体_GB2312" w:eastAsia="楷体_GB2312" w:cs="楷体_GB2312"/>
          <w:b/>
          <w:bCs/>
          <w:color w:val="auto"/>
          <w:sz w:val="28"/>
          <w:szCs w:val="28"/>
          <w:lang w:val="zh-CN" w:eastAsia="zh-CN"/>
        </w:rPr>
        <w:t>参赛队职责</w:t>
      </w:r>
    </w:p>
    <w:p w14:paraId="461926A3">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1.各参赛单位须制定相关安全管理制度，落实安全责任制，参赛队领队为第一责任人，与竞赛基地共同确保参赛期间参赛人员的人身及财产安全。</w:t>
      </w:r>
    </w:p>
    <w:p w14:paraId="76BD1B78">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2.各参赛队须为参赛选手购买比赛期间的人身意外伤害保险。</w:t>
      </w:r>
    </w:p>
    <w:p w14:paraId="2E113434">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3.各参赛单位须加强对参赛人员的安全管理及教育，并与赛场安全管理对接。</w:t>
      </w:r>
    </w:p>
    <w:p w14:paraId="16A08379">
      <w:pPr>
        <w:keepNext w:val="0"/>
        <w:keepLines w:val="0"/>
        <w:pageBreakBefore w:val="0"/>
        <w:numPr>
          <w:ilvl w:val="0"/>
          <w:numId w:val="1"/>
        </w:numPr>
        <w:wordWrap/>
        <w:overflowPunct/>
        <w:topLinePunct w:val="0"/>
        <w:bidi w:val="0"/>
        <w:adjustRightInd w:val="0"/>
        <w:snapToGrid w:val="0"/>
        <w:spacing w:line="540" w:lineRule="exact"/>
        <w:ind w:left="0" w:right="0" w:firstLine="528" w:firstLineChars="200"/>
        <w:outlineLvl w:val="0"/>
        <w:rPr>
          <w:rFonts w:hint="eastAsia" w:ascii="黑体" w:hAnsi="黑体" w:eastAsia="黑体" w:cs="黑体"/>
          <w:b w:val="0"/>
          <w:bCs w:val="0"/>
          <w:color w:val="auto"/>
          <w:spacing w:val="-8"/>
          <w:kern w:val="2"/>
          <w:sz w:val="28"/>
          <w:szCs w:val="28"/>
          <w:lang w:val="zh-CN" w:eastAsia="zh-CN" w:bidi="ar-SA"/>
        </w:rPr>
      </w:pPr>
      <w:r>
        <w:rPr>
          <w:rFonts w:hint="eastAsia" w:ascii="黑体" w:hAnsi="黑体" w:eastAsia="黑体" w:cs="黑体"/>
          <w:b w:val="0"/>
          <w:bCs w:val="0"/>
          <w:color w:val="auto"/>
          <w:spacing w:val="-8"/>
          <w:kern w:val="2"/>
          <w:sz w:val="28"/>
          <w:szCs w:val="28"/>
          <w:lang w:val="en-US" w:eastAsia="zh-CN" w:bidi="ar-SA"/>
        </w:rPr>
        <w:t>赛</w:t>
      </w:r>
      <w:r>
        <w:rPr>
          <w:rFonts w:hint="eastAsia" w:ascii="黑体" w:hAnsi="黑体" w:eastAsia="黑体" w:cs="黑体"/>
          <w:b w:val="0"/>
          <w:bCs w:val="0"/>
          <w:color w:val="auto"/>
          <w:spacing w:val="-8"/>
          <w:kern w:val="2"/>
          <w:sz w:val="28"/>
          <w:szCs w:val="28"/>
          <w:lang w:val="zh-CN" w:eastAsia="zh-CN" w:bidi="ar-SA"/>
        </w:rPr>
        <w:t>场预案</w:t>
      </w:r>
    </w:p>
    <w:p w14:paraId="5607ACC7">
      <w:pPr>
        <w:pStyle w:val="2"/>
        <w:keepNext w:val="0"/>
        <w:keepLines w:val="0"/>
        <w:pageBreakBefore w:val="0"/>
        <w:widowControl w:val="0"/>
        <w:numPr>
          <w:ilvl w:val="0"/>
          <w:numId w:val="21"/>
        </w:numPr>
        <w:kinsoku w:val="0"/>
        <w:wordWrap/>
        <w:overflowPunct/>
        <w:topLinePunct w:val="0"/>
        <w:autoSpaceDE w:val="0"/>
        <w:autoSpaceDN w:val="0"/>
        <w:bidi w:val="0"/>
        <w:adjustRightInd w:val="0"/>
        <w:snapToGrid w:val="0"/>
        <w:spacing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非正常停电</w:t>
      </w:r>
    </w:p>
    <w:p w14:paraId="04B77F68">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处置原则：确保人员安全，保障药品质量，维护竞赛公平。</w:t>
      </w:r>
    </w:p>
    <w:p w14:paraId="52E0E003">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裁判员：立即提示选手保持镇静，不得擅自离开考位，不得触碰药品。</w:t>
      </w:r>
    </w:p>
    <w:p w14:paraId="2F95470C">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裁判长：视情况决定是否启动备用电源。若停电时长在 5分钟以内，恢复后经裁判组合议，可继续比赛，已操作部分有效；若超过 5分钟，由裁判长宣布暂停，顺延比赛时间或启用备用考场。</w:t>
      </w:r>
    </w:p>
    <w:p w14:paraId="4FBB9DD2">
      <w:pPr>
        <w:pStyle w:val="2"/>
        <w:keepNext w:val="0"/>
        <w:keepLines w:val="0"/>
        <w:pageBreakBefore w:val="0"/>
        <w:widowControl w:val="0"/>
        <w:numPr>
          <w:ilvl w:val="0"/>
          <w:numId w:val="21"/>
        </w:numPr>
        <w:kinsoku w:val="0"/>
        <w:wordWrap/>
        <w:overflowPunct/>
        <w:topLinePunct w:val="0"/>
        <w:autoSpaceDE w:val="0"/>
        <w:autoSpaceDN w:val="0"/>
        <w:bidi w:val="0"/>
        <w:adjustRightInd w:val="0"/>
        <w:snapToGrid w:val="0"/>
        <w:spacing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暴雨洪灾、火灾等事故</w:t>
      </w:r>
    </w:p>
    <w:p w14:paraId="36B197AA">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处置原则：生命第一，疏散优先，保全药品。</w:t>
      </w:r>
    </w:p>
    <w:p w14:paraId="14B160D1">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暴雨洪灾：若赛场进水或存在漏电风险，裁判长立即宣布终止比赛，按指定路线疏散选手至安全区域。恢复后由裁判组评估场地与药品是否可用，决定重赛或顺延。</w:t>
      </w:r>
    </w:p>
    <w:p w14:paraId="17933C59">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火灾：发现火情立即报警，裁判员组织选手按消防通道疏散，严禁乘坐电梯。疏散时优先保障人员安全，不得贪恋财物或药品。</w:t>
      </w:r>
    </w:p>
    <w:p w14:paraId="7A806A97">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药品安全：灾后由裁判组检查考核用药是否受潮、污染、破损，不合格药品统一销毁并更换。</w:t>
      </w:r>
    </w:p>
    <w:p w14:paraId="51A5E90F">
      <w:pPr>
        <w:pStyle w:val="2"/>
        <w:keepNext w:val="0"/>
        <w:keepLines w:val="0"/>
        <w:pageBreakBefore w:val="0"/>
        <w:widowControl w:val="0"/>
        <w:numPr>
          <w:ilvl w:val="0"/>
          <w:numId w:val="21"/>
        </w:numPr>
        <w:kinsoku w:val="0"/>
        <w:wordWrap/>
        <w:overflowPunct/>
        <w:topLinePunct w:val="0"/>
        <w:autoSpaceDE w:val="0"/>
        <w:autoSpaceDN w:val="0"/>
        <w:bidi w:val="0"/>
        <w:adjustRightInd w:val="0"/>
        <w:snapToGrid w:val="0"/>
        <w:spacing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其他突发情况</w:t>
      </w:r>
    </w:p>
    <w:p w14:paraId="0CE52C68">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选手突发身体不适：裁判员立即联系现场医护人员，视情况决定是否暂停该选手比赛，经裁判长同意后可安排补赛。</w:t>
      </w:r>
    </w:p>
    <w:p w14:paraId="1D19AD1F">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设备故障（如计算机、扫码枪等）：若因设备故障导致选手无法继续，经裁判长确认后，可顺延时间或更换设备，不影响已操作部分的评分。</w:t>
      </w:r>
    </w:p>
    <w:p w14:paraId="093AB406">
      <w:pPr>
        <w:keepNext w:val="0"/>
        <w:keepLines w:val="0"/>
        <w:pageBreakBefore w:val="0"/>
        <w:numPr>
          <w:ilvl w:val="0"/>
          <w:numId w:val="1"/>
        </w:numPr>
        <w:wordWrap/>
        <w:overflowPunct/>
        <w:topLinePunct w:val="0"/>
        <w:bidi w:val="0"/>
        <w:adjustRightInd w:val="0"/>
        <w:snapToGrid w:val="0"/>
        <w:spacing w:line="540" w:lineRule="exact"/>
        <w:ind w:left="0" w:right="0" w:firstLine="528" w:firstLineChars="200"/>
        <w:outlineLvl w:val="0"/>
        <w:rPr>
          <w:rFonts w:hint="eastAsia" w:ascii="黑体" w:hAnsi="黑体" w:eastAsia="黑体" w:cs="黑体"/>
          <w:b w:val="0"/>
          <w:bCs w:val="0"/>
          <w:color w:val="auto"/>
          <w:spacing w:val="-8"/>
          <w:kern w:val="2"/>
          <w:sz w:val="28"/>
          <w:szCs w:val="28"/>
          <w:lang w:val="en-US" w:eastAsia="zh-CN" w:bidi="ar-SA"/>
        </w:rPr>
      </w:pPr>
      <w:r>
        <w:rPr>
          <w:rFonts w:hint="eastAsia" w:ascii="黑体" w:hAnsi="黑体" w:eastAsia="黑体" w:cs="黑体"/>
          <w:b w:val="0"/>
          <w:bCs w:val="0"/>
          <w:color w:val="auto"/>
          <w:spacing w:val="-8"/>
          <w:kern w:val="2"/>
          <w:sz w:val="28"/>
          <w:szCs w:val="28"/>
          <w:lang w:val="en-US" w:eastAsia="zh-CN" w:bidi="ar-SA"/>
        </w:rPr>
        <w:t>竞赛须知</w:t>
      </w:r>
    </w:p>
    <w:p w14:paraId="348EA5EB">
      <w:pPr>
        <w:pStyle w:val="2"/>
        <w:keepNext w:val="0"/>
        <w:keepLines w:val="0"/>
        <w:pageBreakBefore w:val="0"/>
        <w:widowControl w:val="0"/>
        <w:numPr>
          <w:ilvl w:val="0"/>
          <w:numId w:val="22"/>
        </w:numPr>
        <w:kinsoku w:val="0"/>
        <w:wordWrap/>
        <w:overflowPunct/>
        <w:topLinePunct w:val="0"/>
        <w:autoSpaceDE w:val="0"/>
        <w:autoSpaceDN w:val="0"/>
        <w:bidi w:val="0"/>
        <w:adjustRightInd w:val="0"/>
        <w:snapToGrid w:val="0"/>
        <w:spacing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参赛队须知</w:t>
      </w:r>
    </w:p>
    <w:p w14:paraId="36366225">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1.所有参赛选手、指导教师、领队往返的交通费、食宿费及保险费等参赛院校自理。</w:t>
      </w:r>
    </w:p>
    <w:p w14:paraId="09538564">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2.各校参赛队由领队、指导教师和参赛选手组成，由各校指定领队带队，否则不予接洽。</w:t>
      </w:r>
    </w:p>
    <w:p w14:paraId="585476E2">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3.领队负责组织本校参赛队参加各项赛事活动。领队应积极做好本校参赛队的服务工作，协调参赛队与赛项组织机构及承办院校的对接工作。领队须按时参加赛前领队会议，不得无故缺席。</w:t>
      </w:r>
    </w:p>
    <w:p w14:paraId="6E781CC0">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4.领队负责申诉工作。参赛队认为存在不符合竞赛规定的设备、工具、软件，有失公正的评判、奖励，以及工作人员的违规行为等情况时，须由领队在该赛项竞赛结束选手成绩公布1小时内，向赛项监督仲裁组提交书面申诉材料。</w:t>
      </w:r>
    </w:p>
    <w:p w14:paraId="5852CE93">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5.领队应积极做好本校参赛队文明参赛的教育与培训，引导和教育本校参赛指导教师和学生正确对待参赛工作，积极配合赛项组织机构的工作。明确要求指导教师和参赛选手按制度规定的程序处理比赛过程中出现的争议问题，不得利用比赛相关的微信群、QQ 群发布虚假信息和不当言论。</w:t>
      </w:r>
    </w:p>
    <w:p w14:paraId="5B930308">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6.由于赛项特点，本赛项不设置观摩环节。</w:t>
      </w:r>
    </w:p>
    <w:p w14:paraId="76D577D0">
      <w:pPr>
        <w:pStyle w:val="2"/>
        <w:keepNext w:val="0"/>
        <w:keepLines w:val="0"/>
        <w:pageBreakBefore w:val="0"/>
        <w:widowControl w:val="0"/>
        <w:numPr>
          <w:ilvl w:val="0"/>
          <w:numId w:val="22"/>
        </w:numPr>
        <w:kinsoku w:val="0"/>
        <w:wordWrap/>
        <w:overflowPunct/>
        <w:topLinePunct w:val="0"/>
        <w:autoSpaceDE w:val="0"/>
        <w:autoSpaceDN w:val="0"/>
        <w:bidi w:val="0"/>
        <w:adjustRightInd w:val="0"/>
        <w:snapToGrid w:val="0"/>
        <w:spacing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指导教师须知</w:t>
      </w:r>
    </w:p>
    <w:p w14:paraId="712CAF00">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1.指导教师必须是参赛选手所在学校的专兼职教师，每名选手限1名指导教师。指导教师一经确定原则上不得随意变更。</w:t>
      </w:r>
    </w:p>
    <w:p w14:paraId="50053E4F">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2.指导教师应及时查看大赛专用网页有关赛项的通知和内容，认真研究和掌握本赛项竞赛的规程、技术规范和赛场要求，根据专业教学计划和赛项规程合理制定训练方案，认真指导选手训练，培养选手的综合职业能力和良好的职业素养，克服功利化思想，避免为赛而学、以赛代学。比赛期间对参赛选手进行日常管理等。</w:t>
      </w:r>
    </w:p>
    <w:p w14:paraId="58FC0DC3">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3.指导教师应该根据赛项规程要求做好参赛选手保险办理工作，并积极做好选手的安全教育。</w:t>
      </w:r>
    </w:p>
    <w:p w14:paraId="4D562986">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4.指导教师务必带好有效身份证件，在活动过程中佩戴指导教师证参加竞赛相关活动。</w:t>
      </w:r>
    </w:p>
    <w:p w14:paraId="3256ED14">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5.竞赛过程中，除参加当场次竞赛的选手、执行裁判员、现场工作人员和经批准的人员外，领队、指导教师及其他人员一律不得进入竞赛现场。</w:t>
      </w:r>
    </w:p>
    <w:p w14:paraId="63751F71">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6.在比赛期间要严格遵守比赛规则，不得私自接触裁判人员。</w:t>
      </w:r>
    </w:p>
    <w:p w14:paraId="35C04F30">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7.指导教师应自觉遵守大赛各项制度，尊重专家、裁判、监督仲裁及赛项承办单位工作人员。要引导和教育参赛选手对于认为有影响个人比赛成绩的裁判行为或设备故障，按照赛项指南规定和大赛制度 进行申诉，不得在网络、微信群等各种媒体发表、传播有待核实的信息和过激言论。对比赛过程中的争议问题，要按大赛制度规定程序处理，不得采取过激行为。</w:t>
      </w:r>
    </w:p>
    <w:p w14:paraId="50381EEA">
      <w:pPr>
        <w:pStyle w:val="2"/>
        <w:keepNext w:val="0"/>
        <w:keepLines w:val="0"/>
        <w:pageBreakBefore w:val="0"/>
        <w:widowControl w:val="0"/>
        <w:numPr>
          <w:ilvl w:val="0"/>
          <w:numId w:val="22"/>
        </w:numPr>
        <w:kinsoku w:val="0"/>
        <w:wordWrap/>
        <w:overflowPunct/>
        <w:topLinePunct w:val="0"/>
        <w:autoSpaceDE w:val="0"/>
        <w:autoSpaceDN w:val="0"/>
        <w:bidi w:val="0"/>
        <w:adjustRightInd w:val="0"/>
        <w:snapToGrid w:val="0"/>
        <w:spacing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参赛选手须知</w:t>
      </w:r>
    </w:p>
    <w:p w14:paraId="3BCC4DB2">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1.由赛项执委会按照竞赛流程召开赛前会议，由领队抽取抽签顺 序号，赛日参赛选手统一公开抽签确定组号及顺序号。各参赛选手比赛前30分钟到赛项指定地点接受检录。各参赛选手由工作人员引导进入候赛室，接到比赛的通知后进入赛室，按顺序完成竞赛规定的赛项任务。</w:t>
      </w:r>
    </w:p>
    <w:p w14:paraId="2AB6BEDB">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2.参赛选手应该文明参赛，严格遵守操作流程和规则，并自觉接受裁判的监督和警示。若因突发故障原因导致竞赛中断，应提请裁判确认其原因，并视具体情况做出裁决。如参赛选手因对裁判不服从而停止比赛，则以弃权处理。</w:t>
      </w:r>
    </w:p>
    <w:p w14:paraId="1BB6688C">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3.参赛队须严格按照规定时间进入候赛区和比赛场地，不允许携带任何竞赛规程禁止使用的电子产品及通讯工具，以及其它与竞赛有关的资料和书籍，不得以任何方式泄露参赛院校、选手姓名等涉及竞赛场上应该保密的信息。</w:t>
      </w:r>
    </w:p>
    <w:p w14:paraId="34FF84DF">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4.参赛队对于认为有影响个人比赛成绩的裁判行为或设备故障等，应向指导老师反映，由领队按大赛制度规定进行申诉。参赛选手不得利用比赛相关的微信群、QQ群发布虚假信息和不当言论。</w:t>
      </w:r>
    </w:p>
    <w:p w14:paraId="5984024C">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5.参赛队在进行项目演示及竞赛过程中。不得在参赛服饰、自带仪器设备上作任何标识。</w:t>
      </w:r>
    </w:p>
    <w:p w14:paraId="070E19AA">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6.参赛队进入赛场须携带身份证、学生证、选手证，不得携带其它任何物品，违规者取消本次比赛成绩。</w:t>
      </w:r>
    </w:p>
    <w:p w14:paraId="4FD13494">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7.参赛队竞赛开始、终止时间由工作人员记录在案；比赛时间到，选手停止实操，按照要求离开竞赛区域。参赛队提前结束竞赛并示意后，不得再进行任何操作。</w:t>
      </w:r>
    </w:p>
    <w:p w14:paraId="64970002">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8.在比赛期间，选手不得将赛场使用的赛题资料和比赛材料、用具等带出赛场。</w:t>
      </w:r>
    </w:p>
    <w:p w14:paraId="7CF305B5">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9.赛场各类工作人员都统一佩戴由赛项执委会印制的相应证件，有问题可以询问工作人员。</w:t>
      </w:r>
    </w:p>
    <w:p w14:paraId="2E6FE306">
      <w:pPr>
        <w:pStyle w:val="2"/>
        <w:keepNext w:val="0"/>
        <w:keepLines w:val="0"/>
        <w:pageBreakBefore w:val="0"/>
        <w:widowControl w:val="0"/>
        <w:numPr>
          <w:ilvl w:val="0"/>
          <w:numId w:val="22"/>
        </w:numPr>
        <w:kinsoku w:val="0"/>
        <w:wordWrap/>
        <w:overflowPunct/>
        <w:topLinePunct w:val="0"/>
        <w:autoSpaceDE w:val="0"/>
        <w:autoSpaceDN w:val="0"/>
        <w:bidi w:val="0"/>
        <w:adjustRightInd w:val="0"/>
        <w:snapToGrid w:val="0"/>
        <w:spacing w:beforeAutospacing="0" w:after="0" w:line="540" w:lineRule="exact"/>
        <w:ind w:left="0" w:leftChars="0" w:right="0" w:firstLine="562" w:firstLineChars="200"/>
        <w:jc w:val="both"/>
        <w:textAlignment w:val="baseline"/>
        <w:outlineLvl w:val="1"/>
        <w:rPr>
          <w:rFonts w:hint="eastAsia" w:ascii="楷体_GB2312" w:hAnsi="楷体_GB2312" w:eastAsia="楷体_GB2312" w:cs="楷体_GB2312"/>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工作人员须知</w:t>
      </w:r>
    </w:p>
    <w:p w14:paraId="2AA4D161">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1.树立服务观念，一切为选手着想，以高度负责的精神、严肃认真的态度和严谨细致的作风，在赛项执委会的领导下，按照各自职责分工和要求认真做好岗位工作。</w:t>
      </w:r>
    </w:p>
    <w:p w14:paraId="590A60E5">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2.赛场各类工作人员必须统一佩戴由赛项执委会印制的相应证件，着装整齐，按执委会规定时间到达指定地点，凭工作证、进入工作岗位。</w:t>
      </w:r>
    </w:p>
    <w:p w14:paraId="5BBAE004">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3.工作人员若在竞赛过程中有舞弊行为，立即撤销其工作资格，并严肃处理。</w:t>
      </w:r>
    </w:p>
    <w:p w14:paraId="33CE3A0D">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4.除赛项执委会成员、专家组成员、现场裁判、赛场配备的工作人员外，其他人员未经赛项执委会允许不得进入赛场。</w:t>
      </w:r>
    </w:p>
    <w:p w14:paraId="2A8A632E">
      <w:pPr>
        <w:keepNext w:val="0"/>
        <w:keepLines w:val="0"/>
        <w:pageBreakBefore w:val="0"/>
        <w:numPr>
          <w:ilvl w:val="0"/>
          <w:numId w:val="1"/>
        </w:numPr>
        <w:wordWrap/>
        <w:overflowPunct/>
        <w:topLinePunct w:val="0"/>
        <w:bidi w:val="0"/>
        <w:adjustRightInd w:val="0"/>
        <w:snapToGrid w:val="0"/>
        <w:spacing w:line="540" w:lineRule="exact"/>
        <w:ind w:left="0" w:right="0" w:firstLine="528" w:firstLineChars="200"/>
        <w:outlineLvl w:val="0"/>
        <w:rPr>
          <w:rFonts w:hint="eastAsia" w:ascii="黑体" w:hAnsi="黑体" w:eastAsia="黑体" w:cs="黑体"/>
          <w:b w:val="0"/>
          <w:bCs w:val="0"/>
          <w:color w:val="auto"/>
          <w:spacing w:val="-8"/>
          <w:kern w:val="2"/>
          <w:sz w:val="28"/>
          <w:szCs w:val="28"/>
          <w:lang w:val="en-US" w:eastAsia="zh-CN" w:bidi="ar-SA"/>
        </w:rPr>
      </w:pPr>
      <w:r>
        <w:rPr>
          <w:rFonts w:hint="eastAsia" w:ascii="黑体" w:hAnsi="黑体" w:eastAsia="黑体" w:cs="黑体"/>
          <w:b w:val="0"/>
          <w:bCs w:val="0"/>
          <w:color w:val="auto"/>
          <w:spacing w:val="-8"/>
          <w:kern w:val="2"/>
          <w:sz w:val="28"/>
          <w:szCs w:val="28"/>
          <w:lang w:val="en-US" w:eastAsia="zh-CN" w:bidi="ar-SA"/>
        </w:rPr>
        <w:t>申诉与仲裁</w:t>
      </w:r>
    </w:p>
    <w:p w14:paraId="3F6221D3">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1.本赛项在比赛过程中若出现有失公正或有关人员违规等现象，参赛队领队可在该模块项目比赛结束后，2 小时之内向赛组委提出书面申诉。</w:t>
      </w:r>
    </w:p>
    <w:p w14:paraId="02FBE0D9">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2.书面申诉应对申诉事件的现象、发生时间、涉及人员、 申诉依据等进行充分、实事求是地叙述，并由领队亲笔签名。非书面申诉不予受理。</w:t>
      </w:r>
    </w:p>
    <w:p w14:paraId="7D0B51D5">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3.竞赛过程中，大赛赋予选手与裁判合理沟通和交流权利。如果对裁判处理的结果不满意，应举手示意请示相应裁判组长或裁判长，否则视为放弃个人权利，与此相关的申诉不成立。</w:t>
      </w:r>
    </w:p>
    <w:p w14:paraId="16E51CDA">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4.赛组委在接到申诉后的2 小时内组织复议，并及时反馈复议结果。</w:t>
      </w:r>
    </w:p>
    <w:p w14:paraId="470A2D6E">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5.申诉方对复议结果仍有异议，可由参赛队领队向赛组委提出申诉。赛组委的仲裁结果为最终结果。</w:t>
      </w:r>
    </w:p>
    <w:p w14:paraId="4D8A4305">
      <w:pPr>
        <w:pStyle w:val="13"/>
        <w:keepNext w:val="0"/>
        <w:keepLines w:val="0"/>
        <w:pageBreakBefore w:val="0"/>
        <w:wordWrap/>
        <w:overflowPunct/>
        <w:topLinePunct w:val="0"/>
        <w:bidi w:val="0"/>
        <w:spacing w:line="540" w:lineRule="exact"/>
        <w:ind w:left="0" w:right="0" w:firstLine="560" w:firstLineChars="200"/>
        <w:rPr>
          <w:rFonts w:hint="default" w:ascii="方正仿宋_GB2312" w:hAnsi="方正仿宋_GB2312" w:eastAsia="方正仿宋_GB2312" w:cs="方正仿宋_GB2312"/>
          <w:bCs w:val="0"/>
          <w:color w:val="auto"/>
          <w:kern w:val="2"/>
          <w:sz w:val="28"/>
          <w:szCs w:val="28"/>
          <w:lang w:val="en-US" w:eastAsia="zh-CN" w:bidi="ar-SA"/>
        </w:rPr>
      </w:pPr>
      <w:r>
        <w:rPr>
          <w:rFonts w:hint="eastAsia" w:ascii="方正仿宋_GB2312" w:hAnsi="方正仿宋_GB2312" w:eastAsia="方正仿宋_GB2312" w:cs="方正仿宋_GB2312"/>
          <w:bCs w:val="0"/>
          <w:color w:val="auto"/>
          <w:kern w:val="2"/>
          <w:sz w:val="28"/>
          <w:szCs w:val="28"/>
          <w:lang w:val="en-US" w:eastAsia="zh-CN" w:bidi="ar-SA"/>
        </w:rPr>
        <w:t>6.本规程中未详尽事宜，由裁判长负责解释并作出决定。</w:t>
      </w:r>
    </w:p>
    <w:p w14:paraId="17AA1FCD">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p>
    <w:p w14:paraId="0C941011">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p>
    <w:p w14:paraId="69507E91">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p>
    <w:p w14:paraId="29A488A2">
      <w:pPr>
        <w:pStyle w:val="13"/>
        <w:keepNext w:val="0"/>
        <w:keepLines w:val="0"/>
        <w:pageBreakBefore w:val="0"/>
        <w:wordWrap/>
        <w:overflowPunct/>
        <w:topLinePunct w:val="0"/>
        <w:bidi w:val="0"/>
        <w:spacing w:line="540" w:lineRule="exact"/>
        <w:ind w:left="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p>
    <w:p w14:paraId="62FE08AB">
      <w:pPr>
        <w:pStyle w:val="13"/>
        <w:keepNext w:val="0"/>
        <w:keepLines w:val="0"/>
        <w:pageBreakBefore w:val="0"/>
        <w:wordWrap/>
        <w:overflowPunct/>
        <w:topLinePunct w:val="0"/>
        <w:bidi w:val="0"/>
        <w:spacing w:line="540" w:lineRule="exact"/>
        <w:ind w:left="0" w:leftChars="0" w:right="0" w:firstLine="560" w:firstLineChars="200"/>
        <w:rPr>
          <w:rFonts w:hint="eastAsia" w:ascii="方正仿宋_GB2312" w:hAnsi="方正仿宋_GB2312" w:eastAsia="方正仿宋_GB2312" w:cs="方正仿宋_GB2312"/>
          <w:bCs w:val="0"/>
          <w:color w:val="auto"/>
          <w:kern w:val="2"/>
          <w:sz w:val="28"/>
          <w:szCs w:val="28"/>
          <w:lang w:val="en-US" w:eastAsia="zh-CN" w:bidi="ar-SA"/>
        </w:rPr>
      </w:pPr>
    </w:p>
    <w:sectPr>
      <w:footerReference r:id="rId3" w:type="default"/>
      <w:pgSz w:w="11906" w:h="16838"/>
      <w:pgMar w:top="1440" w:right="1803" w:bottom="1440" w:left="1803" w:header="851" w:footer="992" w:gutter="0"/>
      <w:pgNumType w:fmt="decimal"/>
      <w:cols w:space="72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C5EB6C2-A84E-4AC8-96C8-EB7AF66F9E3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embedRegular r:id="rId2" w:fontKey="{18C2DEFB-D9CD-464A-A80E-5E0BB9BA447A}"/>
  </w:font>
  <w:font w:name="方正小标宋_GBK">
    <w:panose1 w:val="02000000000000000000"/>
    <w:charset w:val="86"/>
    <w:family w:val="auto"/>
    <w:pitch w:val="default"/>
    <w:sig w:usb0="A00002BF" w:usb1="38CF7CFA" w:usb2="00082016" w:usb3="00000000" w:csb0="00040001" w:csb1="00000000"/>
    <w:embedRegular r:id="rId3" w:fontKey="{76A4EBD1-AE74-4D46-8536-27C53FACA410}"/>
  </w:font>
  <w:font w:name="方正仿宋_GB2312">
    <w:panose1 w:val="02000000000000000000"/>
    <w:charset w:val="86"/>
    <w:family w:val="auto"/>
    <w:pitch w:val="default"/>
    <w:sig w:usb0="A00002BF" w:usb1="184F6CFA" w:usb2="00000012" w:usb3="00000000" w:csb0="00040001" w:csb1="00000000"/>
    <w:embedRegular r:id="rId4" w:fontKey="{D0E8494E-927A-48DF-8C31-5BAE7314949B}"/>
  </w:font>
  <w:font w:name="楷体_GB2312">
    <w:panose1 w:val="02010609030101010101"/>
    <w:charset w:val="86"/>
    <w:family w:val="auto"/>
    <w:pitch w:val="default"/>
    <w:sig w:usb0="00000001" w:usb1="080E0000" w:usb2="00000000" w:usb3="00000000" w:csb0="00040000" w:csb1="00000000"/>
    <w:embedRegular r:id="rId5" w:fontKey="{2B264EE7-D33C-41F2-AD3C-C8BEEEF1CA80}"/>
  </w:font>
  <w:font w:name="仿宋">
    <w:panose1 w:val="02010609060101010101"/>
    <w:charset w:val="86"/>
    <w:family w:val="modern"/>
    <w:pitch w:val="default"/>
    <w:sig w:usb0="800002BF" w:usb1="38CF7CFA" w:usb2="00000016" w:usb3="00000000" w:csb0="00040001" w:csb1="00000000"/>
    <w:embedRegular r:id="rId6" w:fontKey="{7AD52799-86F9-460F-9305-2650E6BABC0D}"/>
  </w:font>
  <w:font w:name="楷体">
    <w:panose1 w:val="02010609060101010101"/>
    <w:charset w:val="86"/>
    <w:family w:val="auto"/>
    <w:pitch w:val="default"/>
    <w:sig w:usb0="800002BF" w:usb1="38CF7CFA" w:usb2="00000016" w:usb3="00000000" w:csb0="00040001" w:csb1="00000000"/>
    <w:embedRegular r:id="rId7" w:fontKey="{ED4AFCC0-E328-4633-ACE7-B80C31256342}"/>
  </w:font>
  <w:font w:name="WPSEMBED2">
    <w:panose1 w:val="02000000000000000000"/>
    <w:charset w:val="86"/>
    <w:family w:val="auto"/>
    <w:pitch w:val="default"/>
    <w:sig w:usb0="A00002BF" w:usb1="184F6CFA" w:usb2="00000012" w:usb3="00000000" w:csb0="00040001" w:csb1="0000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FDB03">
    <w:pPr>
      <w:pStyle w:val="2"/>
      <w:spacing w:before="1" w:line="231" w:lineRule="auto"/>
      <w:rPr>
        <w:sz w:val="24"/>
        <w:szCs w:val="24"/>
      </w:rPr>
    </w:pPr>
    <w:r>
      <w:rPr>
        <w:sz w:val="24"/>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69EA3F">
                          <w:pPr>
                            <w:pStyle w:val="4"/>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t xml:space="preserve">— </w:t>
                          </w:r>
                          <w:r>
                            <w:rPr>
                              <w:rFonts w:hint="eastAsia" w:ascii="方正仿宋_GB2312" w:hAnsi="方正仿宋_GB2312" w:eastAsia="方正仿宋_GB2312" w:cs="方正仿宋_GB2312"/>
                              <w:sz w:val="28"/>
                            </w:rPr>
                            <w:fldChar w:fldCharType="begin"/>
                          </w:r>
                          <w:r>
                            <w:rPr>
                              <w:rFonts w:hint="eastAsia" w:ascii="方正仿宋_GB2312" w:hAnsi="方正仿宋_GB2312" w:eastAsia="方正仿宋_GB2312" w:cs="方正仿宋_GB2312"/>
                              <w:sz w:val="28"/>
                            </w:rPr>
                            <w:instrText xml:space="preserve"> PAGE  \* MERGEFORMAT </w:instrText>
                          </w:r>
                          <w:r>
                            <w:rPr>
                              <w:rFonts w:hint="eastAsia" w:ascii="方正仿宋_GB2312" w:hAnsi="方正仿宋_GB2312" w:eastAsia="方正仿宋_GB2312" w:cs="方正仿宋_GB2312"/>
                              <w:sz w:val="28"/>
                            </w:rPr>
                            <w:fldChar w:fldCharType="separate"/>
                          </w:r>
                          <w:r>
                            <w:rPr>
                              <w:rFonts w:hint="eastAsia" w:ascii="方正仿宋_GB2312" w:hAnsi="方正仿宋_GB2312" w:eastAsia="方正仿宋_GB2312" w:cs="方正仿宋_GB2312"/>
                              <w:sz w:val="28"/>
                            </w:rPr>
                            <w:t>- 1 -</w:t>
                          </w:r>
                          <w:r>
                            <w:rPr>
                              <w:rFonts w:hint="eastAsia" w:ascii="方正仿宋_GB2312" w:hAnsi="方正仿宋_GB2312" w:eastAsia="方正仿宋_GB2312" w:cs="方正仿宋_GB2312"/>
                              <w:sz w:val="28"/>
                            </w:rPr>
                            <w:fldChar w:fldCharType="end"/>
                          </w:r>
                          <w:r>
                            <w:rPr>
                              <w:rFonts w:hint="eastAsia" w:ascii="方正仿宋_GB2312" w:hAnsi="方正仿宋_GB2312" w:eastAsia="方正仿宋_GB2312" w:cs="方正仿宋_GB2312"/>
                              <w:sz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869EA3F">
                    <w:pPr>
                      <w:pStyle w:val="4"/>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t xml:space="preserve">— </w:t>
                    </w:r>
                    <w:r>
                      <w:rPr>
                        <w:rFonts w:hint="eastAsia" w:ascii="方正仿宋_GB2312" w:hAnsi="方正仿宋_GB2312" w:eastAsia="方正仿宋_GB2312" w:cs="方正仿宋_GB2312"/>
                        <w:sz w:val="28"/>
                      </w:rPr>
                      <w:fldChar w:fldCharType="begin"/>
                    </w:r>
                    <w:r>
                      <w:rPr>
                        <w:rFonts w:hint="eastAsia" w:ascii="方正仿宋_GB2312" w:hAnsi="方正仿宋_GB2312" w:eastAsia="方正仿宋_GB2312" w:cs="方正仿宋_GB2312"/>
                        <w:sz w:val="28"/>
                      </w:rPr>
                      <w:instrText xml:space="preserve"> PAGE  \* MERGEFORMAT </w:instrText>
                    </w:r>
                    <w:r>
                      <w:rPr>
                        <w:rFonts w:hint="eastAsia" w:ascii="方正仿宋_GB2312" w:hAnsi="方正仿宋_GB2312" w:eastAsia="方正仿宋_GB2312" w:cs="方正仿宋_GB2312"/>
                        <w:sz w:val="28"/>
                      </w:rPr>
                      <w:fldChar w:fldCharType="separate"/>
                    </w:r>
                    <w:r>
                      <w:rPr>
                        <w:rFonts w:hint="eastAsia" w:ascii="方正仿宋_GB2312" w:hAnsi="方正仿宋_GB2312" w:eastAsia="方正仿宋_GB2312" w:cs="方正仿宋_GB2312"/>
                        <w:sz w:val="28"/>
                      </w:rPr>
                      <w:t>- 1 -</w:t>
                    </w:r>
                    <w:r>
                      <w:rPr>
                        <w:rFonts w:hint="eastAsia" w:ascii="方正仿宋_GB2312" w:hAnsi="方正仿宋_GB2312" w:eastAsia="方正仿宋_GB2312" w:cs="方正仿宋_GB2312"/>
                        <w:sz w:val="28"/>
                      </w:rPr>
                      <w:fldChar w:fldCharType="end"/>
                    </w:r>
                    <w:r>
                      <w:rPr>
                        <w:rFonts w:hint="eastAsia" w:ascii="方正仿宋_GB2312" w:hAnsi="方正仿宋_GB2312" w:eastAsia="方正仿宋_GB2312" w:cs="方正仿宋_GB2312"/>
                        <w:sz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B06B11"/>
    <w:multiLevelType w:val="singleLevel"/>
    <w:tmpl w:val="82B06B11"/>
    <w:lvl w:ilvl="0" w:tentative="0">
      <w:start w:val="1"/>
      <w:numFmt w:val="decimalEnclosedCircleChinese"/>
      <w:suff w:val="nothing"/>
      <w:lvlText w:val="%1　"/>
      <w:lvlJc w:val="left"/>
      <w:pPr>
        <w:ind w:left="0" w:firstLine="400"/>
      </w:pPr>
      <w:rPr>
        <w:rFonts w:hint="eastAsia"/>
      </w:rPr>
    </w:lvl>
  </w:abstractNum>
  <w:abstractNum w:abstractNumId="1">
    <w:nsid w:val="9CA791FB"/>
    <w:multiLevelType w:val="singleLevel"/>
    <w:tmpl w:val="9CA791FB"/>
    <w:lvl w:ilvl="0" w:tentative="0">
      <w:start w:val="1"/>
      <w:numFmt w:val="decimalEnclosedCircleChinese"/>
      <w:suff w:val="nothing"/>
      <w:lvlText w:val="%1　"/>
      <w:lvlJc w:val="left"/>
      <w:pPr>
        <w:ind w:left="0" w:firstLine="400"/>
      </w:pPr>
      <w:rPr>
        <w:rFonts w:hint="eastAsia"/>
      </w:rPr>
    </w:lvl>
  </w:abstractNum>
  <w:abstractNum w:abstractNumId="2">
    <w:nsid w:val="BE27953D"/>
    <w:multiLevelType w:val="singleLevel"/>
    <w:tmpl w:val="BE27953D"/>
    <w:lvl w:ilvl="0" w:tentative="0">
      <w:start w:val="1"/>
      <w:numFmt w:val="chineseCounting"/>
      <w:suff w:val="nothing"/>
      <w:lvlText w:val="（%1）"/>
      <w:lvlJc w:val="left"/>
      <w:pPr>
        <w:ind w:left="0" w:firstLine="420"/>
      </w:pPr>
      <w:rPr>
        <w:rFonts w:hint="eastAsia"/>
      </w:rPr>
    </w:lvl>
  </w:abstractNum>
  <w:abstractNum w:abstractNumId="3">
    <w:nsid w:val="CA42F18C"/>
    <w:multiLevelType w:val="singleLevel"/>
    <w:tmpl w:val="CA42F18C"/>
    <w:lvl w:ilvl="0" w:tentative="0">
      <w:start w:val="1"/>
      <w:numFmt w:val="chineseCounting"/>
      <w:suff w:val="nothing"/>
      <w:lvlText w:val="（%1）"/>
      <w:lvlJc w:val="left"/>
      <w:pPr>
        <w:ind w:left="0" w:firstLine="420"/>
      </w:pPr>
      <w:rPr>
        <w:rFonts w:hint="eastAsia"/>
      </w:rPr>
    </w:lvl>
  </w:abstractNum>
  <w:abstractNum w:abstractNumId="4">
    <w:nsid w:val="DA5992F5"/>
    <w:multiLevelType w:val="singleLevel"/>
    <w:tmpl w:val="DA5992F5"/>
    <w:lvl w:ilvl="0" w:tentative="0">
      <w:start w:val="1"/>
      <w:numFmt w:val="chineseCounting"/>
      <w:suff w:val="nothing"/>
      <w:lvlText w:val="（%1）"/>
      <w:lvlJc w:val="left"/>
      <w:pPr>
        <w:ind w:left="0" w:firstLine="420"/>
      </w:pPr>
      <w:rPr>
        <w:rFonts w:hint="eastAsia"/>
      </w:rPr>
    </w:lvl>
  </w:abstractNum>
  <w:abstractNum w:abstractNumId="5">
    <w:nsid w:val="DFEDD5F1"/>
    <w:multiLevelType w:val="singleLevel"/>
    <w:tmpl w:val="DFEDD5F1"/>
    <w:lvl w:ilvl="0" w:tentative="0">
      <w:start w:val="1"/>
      <w:numFmt w:val="chineseCounting"/>
      <w:suff w:val="nothing"/>
      <w:lvlText w:val="%1、"/>
      <w:lvlJc w:val="left"/>
      <w:rPr>
        <w:rFonts w:hint="eastAsia"/>
      </w:rPr>
    </w:lvl>
  </w:abstractNum>
  <w:abstractNum w:abstractNumId="6">
    <w:nsid w:val="ED4811A6"/>
    <w:multiLevelType w:val="singleLevel"/>
    <w:tmpl w:val="ED4811A6"/>
    <w:lvl w:ilvl="0" w:tentative="0">
      <w:start w:val="1"/>
      <w:numFmt w:val="decimal"/>
      <w:lvlText w:val="%1."/>
      <w:lvlJc w:val="left"/>
      <w:pPr>
        <w:tabs>
          <w:tab w:val="left" w:pos="420"/>
        </w:tabs>
        <w:ind w:left="845" w:hanging="425"/>
      </w:pPr>
      <w:rPr>
        <w:rFonts w:hint="default"/>
      </w:rPr>
    </w:lvl>
  </w:abstractNum>
  <w:abstractNum w:abstractNumId="7">
    <w:nsid w:val="EE0DB206"/>
    <w:multiLevelType w:val="singleLevel"/>
    <w:tmpl w:val="EE0DB206"/>
    <w:lvl w:ilvl="0" w:tentative="0">
      <w:start w:val="1"/>
      <w:numFmt w:val="decimal"/>
      <w:lvlText w:val="%1."/>
      <w:lvlJc w:val="left"/>
      <w:pPr>
        <w:tabs>
          <w:tab w:val="left" w:pos="312"/>
        </w:tabs>
      </w:pPr>
    </w:lvl>
  </w:abstractNum>
  <w:abstractNum w:abstractNumId="8">
    <w:nsid w:val="EF9D8709"/>
    <w:multiLevelType w:val="singleLevel"/>
    <w:tmpl w:val="EF9D8709"/>
    <w:lvl w:ilvl="0" w:tentative="0">
      <w:start w:val="1"/>
      <w:numFmt w:val="decimalEnclosedCircleChinese"/>
      <w:suff w:val="nothing"/>
      <w:lvlText w:val="%1　"/>
      <w:lvlJc w:val="left"/>
      <w:pPr>
        <w:ind w:left="0" w:firstLine="400"/>
      </w:pPr>
      <w:rPr>
        <w:rFonts w:hint="eastAsia"/>
      </w:rPr>
    </w:lvl>
  </w:abstractNum>
  <w:abstractNum w:abstractNumId="9">
    <w:nsid w:val="F732014B"/>
    <w:multiLevelType w:val="singleLevel"/>
    <w:tmpl w:val="F732014B"/>
    <w:lvl w:ilvl="0" w:tentative="0">
      <w:start w:val="1"/>
      <w:numFmt w:val="chineseCounting"/>
      <w:suff w:val="nothing"/>
      <w:lvlText w:val="（%1）"/>
      <w:lvlJc w:val="left"/>
      <w:pPr>
        <w:ind w:left="0" w:firstLine="420"/>
      </w:pPr>
      <w:rPr>
        <w:rFonts w:hint="eastAsia"/>
      </w:rPr>
    </w:lvl>
  </w:abstractNum>
  <w:abstractNum w:abstractNumId="10">
    <w:nsid w:val="F73A7EEA"/>
    <w:multiLevelType w:val="singleLevel"/>
    <w:tmpl w:val="F73A7EEA"/>
    <w:lvl w:ilvl="0" w:tentative="0">
      <w:start w:val="1"/>
      <w:numFmt w:val="chineseCounting"/>
      <w:suff w:val="nothing"/>
      <w:lvlText w:val="（%1）"/>
      <w:lvlJc w:val="left"/>
      <w:pPr>
        <w:ind w:left="0" w:firstLine="420"/>
      </w:pPr>
      <w:rPr>
        <w:rFonts w:hint="eastAsia"/>
      </w:rPr>
    </w:lvl>
  </w:abstractNum>
  <w:abstractNum w:abstractNumId="11">
    <w:nsid w:val="00948445"/>
    <w:multiLevelType w:val="singleLevel"/>
    <w:tmpl w:val="00948445"/>
    <w:lvl w:ilvl="0" w:tentative="0">
      <w:start w:val="1"/>
      <w:numFmt w:val="chineseCounting"/>
      <w:suff w:val="nothing"/>
      <w:lvlText w:val="（%1）"/>
      <w:lvlJc w:val="left"/>
      <w:pPr>
        <w:ind w:left="0" w:firstLine="420"/>
      </w:pPr>
      <w:rPr>
        <w:rFonts w:hint="eastAsia"/>
      </w:rPr>
    </w:lvl>
  </w:abstractNum>
  <w:abstractNum w:abstractNumId="12">
    <w:nsid w:val="2433501E"/>
    <w:multiLevelType w:val="singleLevel"/>
    <w:tmpl w:val="2433501E"/>
    <w:lvl w:ilvl="0" w:tentative="0">
      <w:start w:val="1"/>
      <w:numFmt w:val="decimalEnclosedCircleChinese"/>
      <w:suff w:val="nothing"/>
      <w:lvlText w:val="%1　"/>
      <w:lvlJc w:val="left"/>
      <w:pPr>
        <w:ind w:left="0" w:firstLine="400"/>
      </w:pPr>
      <w:rPr>
        <w:rFonts w:hint="eastAsia"/>
      </w:rPr>
    </w:lvl>
  </w:abstractNum>
  <w:abstractNum w:abstractNumId="13">
    <w:nsid w:val="24739EBD"/>
    <w:multiLevelType w:val="singleLevel"/>
    <w:tmpl w:val="24739EBD"/>
    <w:lvl w:ilvl="0" w:tentative="0">
      <w:start w:val="1"/>
      <w:numFmt w:val="chineseCounting"/>
      <w:suff w:val="nothing"/>
      <w:lvlText w:val="（%1）"/>
      <w:lvlJc w:val="left"/>
      <w:pPr>
        <w:ind w:left="0" w:firstLine="420"/>
      </w:pPr>
      <w:rPr>
        <w:rFonts w:hint="eastAsia"/>
      </w:rPr>
    </w:lvl>
  </w:abstractNum>
  <w:abstractNum w:abstractNumId="14">
    <w:nsid w:val="44169487"/>
    <w:multiLevelType w:val="singleLevel"/>
    <w:tmpl w:val="44169487"/>
    <w:lvl w:ilvl="0" w:tentative="0">
      <w:start w:val="1"/>
      <w:numFmt w:val="decimal"/>
      <w:suff w:val="nothing"/>
      <w:lvlText w:val="（%1）"/>
      <w:lvlJc w:val="left"/>
    </w:lvl>
  </w:abstractNum>
  <w:abstractNum w:abstractNumId="15">
    <w:nsid w:val="463EAE63"/>
    <w:multiLevelType w:val="singleLevel"/>
    <w:tmpl w:val="463EAE63"/>
    <w:lvl w:ilvl="0" w:tentative="0">
      <w:start w:val="1"/>
      <w:numFmt w:val="chineseCounting"/>
      <w:suff w:val="nothing"/>
      <w:lvlText w:val="（%1）"/>
      <w:lvlJc w:val="left"/>
      <w:pPr>
        <w:ind w:left="0" w:firstLine="420"/>
      </w:pPr>
      <w:rPr>
        <w:rFonts w:hint="eastAsia"/>
      </w:rPr>
    </w:lvl>
  </w:abstractNum>
  <w:abstractNum w:abstractNumId="16">
    <w:nsid w:val="4B2C2D62"/>
    <w:multiLevelType w:val="singleLevel"/>
    <w:tmpl w:val="4B2C2D62"/>
    <w:lvl w:ilvl="0" w:tentative="0">
      <w:start w:val="1"/>
      <w:numFmt w:val="chineseCounting"/>
      <w:suff w:val="nothing"/>
      <w:lvlText w:val="（%1）"/>
      <w:lvlJc w:val="left"/>
      <w:pPr>
        <w:ind w:left="0" w:firstLine="420"/>
      </w:pPr>
      <w:rPr>
        <w:rFonts w:hint="eastAsia"/>
      </w:rPr>
    </w:lvl>
  </w:abstractNum>
  <w:abstractNum w:abstractNumId="17">
    <w:nsid w:val="4EE26AC4"/>
    <w:multiLevelType w:val="singleLevel"/>
    <w:tmpl w:val="4EE26AC4"/>
    <w:lvl w:ilvl="0" w:tentative="0">
      <w:start w:val="1"/>
      <w:numFmt w:val="decimal"/>
      <w:lvlText w:val="%1."/>
      <w:lvlJc w:val="left"/>
      <w:pPr>
        <w:tabs>
          <w:tab w:val="left" w:pos="312"/>
        </w:tabs>
      </w:pPr>
    </w:lvl>
  </w:abstractNum>
  <w:abstractNum w:abstractNumId="18">
    <w:nsid w:val="53772790"/>
    <w:multiLevelType w:val="singleLevel"/>
    <w:tmpl w:val="53772790"/>
    <w:lvl w:ilvl="0" w:tentative="0">
      <w:start w:val="1"/>
      <w:numFmt w:val="decimalEnclosedCircleChinese"/>
      <w:suff w:val="nothing"/>
      <w:lvlText w:val="%1　"/>
      <w:lvlJc w:val="left"/>
      <w:pPr>
        <w:ind w:left="0" w:firstLine="400"/>
      </w:pPr>
      <w:rPr>
        <w:rFonts w:hint="eastAsia"/>
      </w:rPr>
    </w:lvl>
  </w:abstractNum>
  <w:abstractNum w:abstractNumId="19">
    <w:nsid w:val="56BED5C1"/>
    <w:multiLevelType w:val="singleLevel"/>
    <w:tmpl w:val="56BED5C1"/>
    <w:lvl w:ilvl="0" w:tentative="0">
      <w:start w:val="1"/>
      <w:numFmt w:val="decimalEnclosedCircleChinese"/>
      <w:suff w:val="nothing"/>
      <w:lvlText w:val="%1　"/>
      <w:lvlJc w:val="left"/>
      <w:pPr>
        <w:ind w:left="0" w:firstLine="400"/>
      </w:pPr>
      <w:rPr>
        <w:rFonts w:hint="eastAsia"/>
      </w:rPr>
    </w:lvl>
  </w:abstractNum>
  <w:abstractNum w:abstractNumId="20">
    <w:nsid w:val="5FECAA6E"/>
    <w:multiLevelType w:val="singleLevel"/>
    <w:tmpl w:val="5FECAA6E"/>
    <w:lvl w:ilvl="0" w:tentative="0">
      <w:start w:val="1"/>
      <w:numFmt w:val="chineseCounting"/>
      <w:suff w:val="nothing"/>
      <w:lvlText w:val="（%1）"/>
      <w:lvlJc w:val="left"/>
      <w:pPr>
        <w:ind w:left="0" w:firstLine="420"/>
      </w:pPr>
      <w:rPr>
        <w:rFonts w:hint="eastAsia"/>
      </w:rPr>
    </w:lvl>
  </w:abstractNum>
  <w:abstractNum w:abstractNumId="21">
    <w:nsid w:val="7B403FFB"/>
    <w:multiLevelType w:val="singleLevel"/>
    <w:tmpl w:val="7B403FFB"/>
    <w:lvl w:ilvl="0" w:tentative="0">
      <w:start w:val="1"/>
      <w:numFmt w:val="decimal"/>
      <w:lvlText w:val="%1."/>
      <w:lvlJc w:val="left"/>
      <w:pPr>
        <w:tabs>
          <w:tab w:val="left" w:pos="420"/>
        </w:tabs>
        <w:ind w:left="845" w:hanging="425"/>
      </w:pPr>
      <w:rPr>
        <w:rFonts w:hint="default"/>
      </w:rPr>
    </w:lvl>
  </w:abstractNum>
  <w:num w:numId="1">
    <w:abstractNumId w:val="5"/>
  </w:num>
  <w:num w:numId="2">
    <w:abstractNumId w:val="20"/>
  </w:num>
  <w:num w:numId="3">
    <w:abstractNumId w:val="21"/>
  </w:num>
  <w:num w:numId="4">
    <w:abstractNumId w:val="14"/>
  </w:num>
  <w:num w:numId="5">
    <w:abstractNumId w:val="19"/>
  </w:num>
  <w:num w:numId="6">
    <w:abstractNumId w:val="1"/>
  </w:num>
  <w:num w:numId="7">
    <w:abstractNumId w:val="8"/>
  </w:num>
  <w:num w:numId="8">
    <w:abstractNumId w:val="18"/>
  </w:num>
  <w:num w:numId="9">
    <w:abstractNumId w:val="12"/>
  </w:num>
  <w:num w:numId="10">
    <w:abstractNumId w:val="0"/>
  </w:num>
  <w:num w:numId="11">
    <w:abstractNumId w:val="6"/>
  </w:num>
  <w:num w:numId="12">
    <w:abstractNumId w:val="13"/>
  </w:num>
  <w:num w:numId="13">
    <w:abstractNumId w:val="7"/>
  </w:num>
  <w:num w:numId="14">
    <w:abstractNumId w:val="11"/>
  </w:num>
  <w:num w:numId="15">
    <w:abstractNumId w:val="17"/>
  </w:num>
  <w:num w:numId="16">
    <w:abstractNumId w:val="2"/>
  </w:num>
  <w:num w:numId="17">
    <w:abstractNumId w:val="16"/>
  </w:num>
  <w:num w:numId="18">
    <w:abstractNumId w:val="10"/>
  </w:num>
  <w:num w:numId="19">
    <w:abstractNumId w:val="9"/>
  </w:num>
  <w:num w:numId="20">
    <w:abstractNumId w:val="4"/>
  </w:num>
  <w:num w:numId="21">
    <w:abstractNumId w:val="3"/>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hyphenationZone w:val="36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DB81D6E"/>
    <w:rsid w:val="00F11BFB"/>
    <w:rsid w:val="0EB5517F"/>
    <w:rsid w:val="118F1D03"/>
    <w:rsid w:val="151872A2"/>
    <w:rsid w:val="15266ED1"/>
    <w:rsid w:val="160A49F7"/>
    <w:rsid w:val="1AF62348"/>
    <w:rsid w:val="1C10483A"/>
    <w:rsid w:val="1C657908"/>
    <w:rsid w:val="21157358"/>
    <w:rsid w:val="22270803"/>
    <w:rsid w:val="232D10CA"/>
    <w:rsid w:val="242B7FB5"/>
    <w:rsid w:val="2C294174"/>
    <w:rsid w:val="2D91368D"/>
    <w:rsid w:val="2DCD1BB4"/>
    <w:rsid w:val="2F847676"/>
    <w:rsid w:val="3E251252"/>
    <w:rsid w:val="414012FC"/>
    <w:rsid w:val="462A704F"/>
    <w:rsid w:val="480F3BCC"/>
    <w:rsid w:val="54ED7990"/>
    <w:rsid w:val="576C5DA1"/>
    <w:rsid w:val="57715B3F"/>
    <w:rsid w:val="58E5611E"/>
    <w:rsid w:val="5A200BAB"/>
    <w:rsid w:val="5A381C1E"/>
    <w:rsid w:val="5E2A018B"/>
    <w:rsid w:val="5E883C24"/>
    <w:rsid w:val="5E922CA2"/>
    <w:rsid w:val="68AE3738"/>
    <w:rsid w:val="68D947B7"/>
    <w:rsid w:val="6ADF25FD"/>
    <w:rsid w:val="6B414066"/>
    <w:rsid w:val="77290CCF"/>
    <w:rsid w:val="774B27F0"/>
    <w:rsid w:val="7DCA0414"/>
    <w:rsid w:val="EDB81D6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rFonts w:ascii="Calibri" w:hAnsi="Calibri" w:eastAsia="宋体" w:cs="Times New Roman"/>
      <w:szCs w:val="24"/>
    </w:rPr>
  </w:style>
  <w:style w:type="paragraph" w:styleId="3">
    <w:name w:val="Body Text Indent"/>
    <w:basedOn w:val="1"/>
    <w:unhideWhenUsed/>
    <w:qFormat/>
    <w:uiPriority w:val="99"/>
    <w:pPr>
      <w:spacing w:after="120"/>
      <w:ind w:left="420" w:left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rPr>
      <w:sz w:val="24"/>
    </w:rPr>
  </w:style>
  <w:style w:type="paragraph" w:styleId="7">
    <w:name w:val="Body Text First Indent 2"/>
    <w:basedOn w:val="3"/>
    <w:qFormat/>
    <w:uiPriority w:val="0"/>
    <w:pPr>
      <w:ind w:firstLine="420" w:firstLineChars="200"/>
    </w:pPr>
    <w:rPr>
      <w:rFonts w:ascii="Calibri" w:hAnsi="Calibri" w:eastAsia="宋体" w:cs="Times New Roman"/>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
    <w:name w:val="Grid Table 4 Accent 5"/>
    <w:basedOn w:val="8"/>
    <w:qFormat/>
    <w:uiPriority w:val="49"/>
    <w:tblPr>
      <w:tblBorders>
        <w:top w:val="single" w:color="92CDDC" w:sz="4" w:space="0"/>
        <w:left w:val="single" w:color="92CDDC" w:sz="4" w:space="0"/>
        <w:bottom w:val="single" w:color="92CDDC" w:sz="4" w:space="0"/>
        <w:right w:val="single" w:color="92CDDC" w:sz="4" w:space="0"/>
        <w:insideH w:val="single" w:color="92CDDC" w:sz="4" w:space="0"/>
        <w:insideV w:val="single" w:color="92CDDC" w:sz="4" w:space="0"/>
      </w:tblBorders>
    </w:tblPr>
    <w:tblStylePr w:type="firstRow">
      <w:rPr>
        <w:b/>
        <w:bCs/>
        <w:color w:val="FFFFFF"/>
      </w:rPr>
      <w:tcPr>
        <w:tcBorders>
          <w:top w:val="single" w:color="4BACC6" w:sz="4" w:space="0"/>
          <w:left w:val="single" w:color="4BACC6" w:sz="4" w:space="0"/>
          <w:bottom w:val="single" w:color="4BACC6" w:sz="4" w:space="0"/>
          <w:right w:val="single" w:color="4BACC6" w:sz="4" w:space="0"/>
          <w:insideH w:val="nil"/>
          <w:insideV w:val="nil"/>
          <w:tl2br w:val="nil"/>
          <w:tr2bl w:val="nil"/>
        </w:tcBorders>
        <w:shd w:val="clear" w:color="auto" w:fill="4BACC6"/>
      </w:tcPr>
    </w:tblStylePr>
    <w:tblStylePr w:type="lastRow">
      <w:rPr>
        <w:b/>
        <w:bCs/>
      </w:rPr>
      <w:tcPr>
        <w:tcBorders>
          <w:top w:val="double" w:color="4BACC6"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DAEEF3"/>
      </w:tcPr>
    </w:tblStylePr>
    <w:tblStylePr w:type="band1Horz">
      <w:tcPr>
        <w:shd w:val="clear" w:color="auto" w:fill="DAEEF3"/>
      </w:tcPr>
    </w:tblStylePr>
  </w:style>
  <w:style w:type="paragraph" w:styleId="12">
    <w:name w:val="List Paragraph"/>
    <w:basedOn w:val="1"/>
    <w:qFormat/>
    <w:uiPriority w:val="99"/>
    <w:pPr>
      <w:ind w:firstLine="420" w:firstLineChars="200"/>
    </w:pPr>
  </w:style>
  <w:style w:type="paragraph" w:customStyle="1" w:styleId="13">
    <w:name w:val="竞赛正文"/>
    <w:basedOn w:val="1"/>
    <w:qFormat/>
    <w:uiPriority w:val="0"/>
    <w:pPr>
      <w:spacing w:line="360" w:lineRule="auto"/>
      <w:ind w:firstLine="560" w:firstLineChars="200"/>
      <w:jc w:val="left"/>
    </w:pPr>
    <w:rPr>
      <w:rFonts w:ascii="宋体" w:hAnsi="宋体" w:cs="宋体"/>
      <w:bCs/>
      <w:color w:val="000000"/>
      <w:sz w:val="28"/>
      <w:szCs w:val="28"/>
    </w:rPr>
  </w:style>
  <w:style w:type="paragraph" w:customStyle="1" w:styleId="14">
    <w:name w:val="竞赛标2"/>
    <w:basedOn w:val="1"/>
    <w:qFormat/>
    <w:uiPriority w:val="0"/>
    <w:pPr>
      <w:spacing w:line="360" w:lineRule="auto"/>
      <w:ind w:firstLine="200" w:firstLineChars="200"/>
      <w:jc w:val="left"/>
      <w:outlineLvl w:val="1"/>
    </w:pPr>
    <w:rPr>
      <w:rFonts w:ascii="宋体" w:hAnsi="宋体" w:cs="宋体"/>
      <w:b/>
      <w:color w:val="000000"/>
      <w:sz w:val="28"/>
      <w:szCs w:val="28"/>
    </w:rPr>
  </w:style>
  <w:style w:type="paragraph" w:customStyle="1" w:styleId="15">
    <w:name w:val="竞赛标1"/>
    <w:basedOn w:val="1"/>
    <w:qFormat/>
    <w:uiPriority w:val="0"/>
    <w:pPr>
      <w:spacing w:line="360" w:lineRule="auto"/>
      <w:jc w:val="left"/>
      <w:outlineLvl w:val="1"/>
    </w:pPr>
    <w:rPr>
      <w:rFonts w:ascii="黑体" w:hAnsi="黑体" w:eastAsia="黑体" w:cs="黑体"/>
      <w:b/>
      <w:kern w:val="0"/>
      <w:sz w:val="32"/>
      <w:szCs w:val="32"/>
    </w:rPr>
  </w:style>
  <w:style w:type="paragraph" w:customStyle="1" w:styleId="16">
    <w:name w:val="Table Text"/>
    <w:basedOn w:val="1"/>
    <w:semiHidden/>
    <w:qFormat/>
    <w:uiPriority w:val="0"/>
    <w:pPr>
      <w:widowControl/>
      <w:kinsoku w:val="0"/>
      <w:autoSpaceDE w:val="0"/>
      <w:autoSpaceDN w:val="0"/>
      <w:adjustRightInd w:val="0"/>
      <w:snapToGrid w:val="0"/>
      <w:jc w:val="left"/>
      <w:textAlignment w:val="baseline"/>
    </w:pPr>
    <w:rPr>
      <w:rFonts w:ascii="Arial" w:hAnsi="Arial" w:eastAsia="Arial" w:cs="Arial"/>
      <w:snapToGrid w:val="0"/>
      <w:color w:val="000000"/>
      <w:kern w:val="0"/>
      <w:lang w:eastAsia="en-US"/>
    </w:rPr>
  </w:style>
  <w:style w:type="table" w:customStyle="1" w:styleId="17">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2171</Words>
  <Characters>2249</Characters>
  <Lines>0</Lines>
  <Paragraphs>0</Paragraphs>
  <TotalTime>63</TotalTime>
  <ScaleCrop>false</ScaleCrop>
  <LinksUpToDate>false</LinksUpToDate>
  <CharactersWithSpaces>2289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2024-10-17T15:48:00Z</dcterms:created>
  <dc:creator>kylin</dc:creator>
  <cp:lastModifiedBy>卟呤卟呤</cp:lastModifiedBy>
  <dcterms:modified xsi:type="dcterms:W3CDTF">2026-10-22T01:21:38Z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220270EEC58746D599CE65869E50EC44_13</vt:lpwstr>
  </property>
  <property fmtid="{D5CDD505-2E9C-101B-9397-08002B2CF9AE}" pid="4" name="KSOTemplateDocerSaveRecord">
    <vt:lpwstr>eyJoZGlkIjoiNmRhNjRjMWFkY2NhZGVkNmU2OTk3MDA2MjUyZGE3ZjAiLCJ1c2VySWQiOiIzNzI0NDY0MDEifQ==</vt:lpwstr>
  </property>
</Properties>
</file>