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8A7D8A">
      <w:pPr>
        <w:widowControl w:val="0"/>
        <w:kinsoku/>
        <w:autoSpaceDE/>
        <w:autoSpaceDN/>
        <w:spacing w:line="560" w:lineRule="atLeast"/>
        <w:jc w:val="both"/>
        <w:textAlignment w:val="auto"/>
        <w:rPr>
          <w:rFonts w:ascii="Calibri" w:hAnsi="Calibri" w:eastAsia="宋体" w:cs="Times New Roman"/>
          <w:snapToGrid/>
          <w:kern w:val="2"/>
          <w:szCs w:val="22"/>
          <w:lang w:eastAsia="zh-CN"/>
        </w:rPr>
      </w:pPr>
    </w:p>
    <w:p w14:paraId="45FEFDEF">
      <w:pPr>
        <w:widowControl w:val="0"/>
        <w:kinsoku/>
        <w:autoSpaceDE/>
        <w:autoSpaceDN/>
        <w:spacing w:line="560" w:lineRule="atLeast"/>
        <w:jc w:val="both"/>
        <w:textAlignment w:val="auto"/>
        <w:rPr>
          <w:rFonts w:ascii="Calibri" w:hAnsi="Calibri" w:eastAsia="宋体" w:cs="Times New Roman"/>
          <w:snapToGrid/>
          <w:kern w:val="2"/>
          <w:szCs w:val="22"/>
          <w:lang w:eastAsia="zh-CN"/>
        </w:rPr>
      </w:pPr>
    </w:p>
    <w:p w14:paraId="3F1C7E51">
      <w:pPr>
        <w:widowControl w:val="0"/>
        <w:kinsoku/>
        <w:autoSpaceDE/>
        <w:autoSpaceDN/>
        <w:spacing w:line="560" w:lineRule="atLeast"/>
        <w:jc w:val="both"/>
        <w:textAlignment w:val="auto"/>
        <w:rPr>
          <w:rFonts w:ascii="Calibri" w:hAnsi="Calibri" w:eastAsia="宋体" w:cs="Times New Roman"/>
          <w:snapToGrid/>
          <w:kern w:val="2"/>
          <w:szCs w:val="22"/>
          <w:lang w:eastAsia="zh-CN"/>
        </w:rPr>
      </w:pPr>
    </w:p>
    <w:p w14:paraId="3E801782">
      <w:pPr>
        <w:widowControl w:val="0"/>
        <w:kinsoku/>
        <w:autoSpaceDE/>
        <w:autoSpaceDN/>
        <w:spacing w:line="560" w:lineRule="atLeast"/>
        <w:jc w:val="both"/>
        <w:textAlignment w:val="auto"/>
        <w:rPr>
          <w:rFonts w:hint="eastAsia" w:ascii="Calibri" w:hAnsi="Calibri" w:eastAsia="宋体" w:cs="Times New Roman"/>
          <w:snapToGrid/>
          <w:kern w:val="2"/>
          <w:szCs w:val="22"/>
          <w:lang w:eastAsia="zh-CN"/>
        </w:rPr>
      </w:pPr>
    </w:p>
    <w:p w14:paraId="62609BC1">
      <w:pPr>
        <w:widowControl w:val="0"/>
        <w:kinsoku/>
        <w:autoSpaceDE/>
        <w:autoSpaceDN/>
        <w:spacing w:line="560" w:lineRule="atLeast"/>
        <w:jc w:val="both"/>
        <w:textAlignment w:val="auto"/>
        <w:rPr>
          <w:rFonts w:ascii="Calibri" w:hAnsi="Calibri" w:eastAsia="宋体" w:cs="Times New Roman"/>
          <w:snapToGrid/>
          <w:kern w:val="2"/>
          <w:szCs w:val="22"/>
          <w:lang w:eastAsia="zh-CN"/>
        </w:rPr>
      </w:pPr>
    </w:p>
    <w:p w14:paraId="2F442477">
      <w:pPr>
        <w:spacing w:line="560" w:lineRule="atLeast"/>
        <w:jc w:val="center"/>
        <w:outlineLvl w:val="0"/>
        <w:rPr>
          <w:rFonts w:hint="eastAsia" w:ascii="方正小标宋简体" w:hAnsi="宋体" w:eastAsia="方正小标宋简体" w:cs="宋体"/>
          <w:spacing w:val="-5"/>
          <w:sz w:val="52"/>
          <w:szCs w:val="52"/>
          <w:lang w:eastAsia="zh-CN"/>
        </w:rPr>
      </w:pPr>
      <w:bookmarkStart w:id="0" w:name="_Toc243408228"/>
      <w:r>
        <w:rPr>
          <w:rFonts w:hint="eastAsia" w:ascii="方正小标宋简体" w:hAnsi="宋体" w:eastAsia="方正小标宋简体" w:cs="宋体"/>
          <w:spacing w:val="-5"/>
          <w:sz w:val="52"/>
          <w:szCs w:val="52"/>
          <w:lang w:eastAsia="zh-CN"/>
        </w:rPr>
        <w:t>2026年海南省高等职业院校技能大赛</w:t>
      </w:r>
      <w:bookmarkEnd w:id="0"/>
    </w:p>
    <w:p w14:paraId="6437AB8A">
      <w:pPr>
        <w:pStyle w:val="10"/>
        <w:ind w:firstLine="210"/>
        <w:rPr>
          <w:rFonts w:hint="eastAsia" w:ascii="方正小标宋简体" w:eastAsia="方正小标宋简体"/>
          <w:lang w:eastAsia="zh-CN"/>
        </w:rPr>
      </w:pPr>
    </w:p>
    <w:p w14:paraId="46BCC3D2">
      <w:pPr>
        <w:spacing w:line="560" w:lineRule="atLeast"/>
        <w:jc w:val="center"/>
        <w:outlineLvl w:val="0"/>
        <w:rPr>
          <w:rFonts w:hint="eastAsia" w:ascii="方正小标宋简体" w:hAnsi="宋体" w:eastAsia="方正小标宋简体" w:cs="宋体"/>
          <w:spacing w:val="-5"/>
          <w:sz w:val="52"/>
          <w:szCs w:val="52"/>
          <w:lang w:eastAsia="zh-CN"/>
        </w:rPr>
      </w:pPr>
      <w:bookmarkStart w:id="1" w:name="_Toc243408229"/>
      <w:r>
        <w:rPr>
          <w:rFonts w:hint="eastAsia" w:ascii="方正小标宋简体" w:hAnsi="宋体" w:eastAsia="方正小标宋简体" w:cs="宋体"/>
          <w:spacing w:val="-5"/>
          <w:sz w:val="52"/>
          <w:szCs w:val="52"/>
          <w:lang w:eastAsia="zh-CN"/>
        </w:rPr>
        <w:t>康复治疗技术赛项规程</w:t>
      </w:r>
      <w:bookmarkEnd w:id="1"/>
    </w:p>
    <w:p w14:paraId="52B11E56">
      <w:pPr>
        <w:widowControl w:val="0"/>
        <w:kinsoku/>
        <w:autoSpaceDE/>
        <w:autoSpaceDN/>
        <w:spacing w:line="560" w:lineRule="atLeast"/>
        <w:jc w:val="center"/>
        <w:textAlignment w:val="auto"/>
        <w:rPr>
          <w:rFonts w:ascii="方正小标宋简体" w:hAnsi="方正小标宋简体" w:eastAsia="方正小标宋简体" w:cs="方正小标宋简体"/>
          <w:snapToGrid/>
          <w:kern w:val="2"/>
          <w:sz w:val="52"/>
          <w:szCs w:val="52"/>
          <w:lang w:eastAsia="zh-CN"/>
        </w:rPr>
      </w:pPr>
    </w:p>
    <w:p w14:paraId="730AB41E">
      <w:pPr>
        <w:widowControl w:val="0"/>
        <w:kinsoku/>
        <w:autoSpaceDE/>
        <w:autoSpaceDN/>
        <w:spacing w:line="560" w:lineRule="atLeast"/>
        <w:jc w:val="center"/>
        <w:textAlignment w:val="auto"/>
        <w:rPr>
          <w:rFonts w:ascii="Calibri" w:hAnsi="Calibri" w:eastAsia="宋体" w:cs="Times New Roman"/>
          <w:snapToGrid/>
          <w:kern w:val="2"/>
          <w:szCs w:val="22"/>
          <w:lang w:eastAsia="zh-CN"/>
        </w:rPr>
      </w:pPr>
    </w:p>
    <w:p w14:paraId="7CACE45F">
      <w:pPr>
        <w:widowControl w:val="0"/>
        <w:kinsoku/>
        <w:autoSpaceDE/>
        <w:autoSpaceDN/>
        <w:spacing w:line="560" w:lineRule="atLeast"/>
        <w:jc w:val="center"/>
        <w:textAlignment w:val="auto"/>
        <w:rPr>
          <w:rFonts w:ascii="Calibri" w:hAnsi="Calibri" w:eastAsia="宋体" w:cs="Times New Roman"/>
          <w:snapToGrid/>
          <w:kern w:val="2"/>
          <w:sz w:val="48"/>
          <w:szCs w:val="48"/>
          <w:lang w:eastAsia="zh-CN"/>
        </w:rPr>
      </w:pPr>
    </w:p>
    <w:p w14:paraId="0FC20BEC">
      <w:pPr>
        <w:widowControl w:val="0"/>
        <w:kinsoku/>
        <w:autoSpaceDE/>
        <w:autoSpaceDN/>
        <w:spacing w:line="560" w:lineRule="atLeast"/>
        <w:jc w:val="center"/>
        <w:textAlignment w:val="auto"/>
        <w:rPr>
          <w:rFonts w:ascii="Calibri" w:hAnsi="Calibri" w:eastAsia="宋体" w:cs="Times New Roman"/>
          <w:snapToGrid/>
          <w:kern w:val="2"/>
          <w:sz w:val="48"/>
          <w:szCs w:val="48"/>
          <w:lang w:eastAsia="zh-CN"/>
        </w:rPr>
      </w:pPr>
    </w:p>
    <w:p w14:paraId="22501682">
      <w:pPr>
        <w:widowControl w:val="0"/>
        <w:kinsoku/>
        <w:autoSpaceDE/>
        <w:autoSpaceDN/>
        <w:spacing w:line="720" w:lineRule="auto"/>
        <w:ind w:left="1260" w:leftChars="600"/>
        <w:jc w:val="both"/>
        <w:textAlignment w:val="auto"/>
        <w:rPr>
          <w:rFonts w:ascii="黑体" w:hAnsi="黑体" w:eastAsia="黑体" w:cs="黑体"/>
          <w:snapToGrid/>
          <w:kern w:val="2"/>
          <w:sz w:val="32"/>
          <w:szCs w:val="32"/>
          <w:u w:val="single"/>
          <w:lang w:eastAsia="zh-CN"/>
        </w:rPr>
      </w:pPr>
      <w:r>
        <w:rPr>
          <w:rFonts w:hint="eastAsia" w:ascii="黑体" w:hAnsi="黑体" w:eastAsia="黑体" w:cs="黑体"/>
          <w:snapToGrid/>
          <w:kern w:val="2"/>
          <w:sz w:val="32"/>
          <w:szCs w:val="32"/>
          <w:lang w:eastAsia="zh-CN"/>
        </w:rPr>
        <w:t>赛项名称：</w:t>
      </w:r>
      <w:r>
        <w:rPr>
          <w:rFonts w:hint="eastAsia" w:ascii="黑体" w:hAnsi="黑体" w:eastAsia="黑体" w:cs="黑体"/>
          <w:snapToGrid/>
          <w:kern w:val="2"/>
          <w:sz w:val="32"/>
          <w:szCs w:val="32"/>
          <w:u w:val="single"/>
          <w:lang w:eastAsia="zh-CN"/>
        </w:rPr>
        <w:t xml:space="preserve">       康复治疗技术         </w:t>
      </w:r>
    </w:p>
    <w:p w14:paraId="757C2E6C">
      <w:pPr>
        <w:widowControl w:val="0"/>
        <w:kinsoku/>
        <w:autoSpaceDE/>
        <w:autoSpaceDN/>
        <w:spacing w:line="720" w:lineRule="auto"/>
        <w:ind w:left="1260" w:leftChars="600"/>
        <w:jc w:val="both"/>
        <w:textAlignment w:val="auto"/>
        <w:rPr>
          <w:rFonts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英文名称：</w:t>
      </w:r>
      <w:r>
        <w:rPr>
          <w:rFonts w:hint="eastAsia" w:ascii="黑体" w:hAnsi="黑体" w:eastAsia="黑体" w:cs="黑体"/>
          <w:snapToGrid/>
          <w:kern w:val="2"/>
          <w:sz w:val="32"/>
          <w:szCs w:val="32"/>
          <w:u w:val="single"/>
          <w:lang w:eastAsia="zh-CN"/>
        </w:rPr>
        <w:t xml:space="preserve"> </w:t>
      </w:r>
      <w:r>
        <w:rPr>
          <w:rFonts w:ascii="Arial Narrow" w:hAnsi="Arial Narrow" w:eastAsia="黑体" w:cs="黑体"/>
          <w:snapToGrid/>
          <w:kern w:val="2"/>
          <w:sz w:val="32"/>
          <w:szCs w:val="32"/>
          <w:u w:val="single"/>
          <w:lang w:eastAsia="zh-CN"/>
        </w:rPr>
        <w:t>Rehabilitation treatment technology</w:t>
      </w:r>
      <w:r>
        <w:rPr>
          <w:rFonts w:hint="eastAsia" w:ascii="黑体" w:hAnsi="黑体" w:eastAsia="黑体" w:cs="黑体"/>
          <w:snapToGrid/>
          <w:kern w:val="2"/>
          <w:sz w:val="32"/>
          <w:szCs w:val="32"/>
          <w:u w:val="single"/>
          <w:lang w:eastAsia="zh-CN"/>
        </w:rPr>
        <w:t xml:space="preserve">  </w:t>
      </w:r>
    </w:p>
    <w:p w14:paraId="380DE417">
      <w:pPr>
        <w:widowControl w:val="0"/>
        <w:kinsoku/>
        <w:autoSpaceDE/>
        <w:autoSpaceDN/>
        <w:spacing w:line="720" w:lineRule="auto"/>
        <w:ind w:left="1260" w:leftChars="600"/>
        <w:jc w:val="both"/>
        <w:textAlignment w:val="auto"/>
        <w:rPr>
          <w:rFonts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赛项组别：</w:t>
      </w:r>
      <w:r>
        <w:rPr>
          <w:rFonts w:hint="eastAsia" w:ascii="黑体" w:hAnsi="黑体" w:eastAsia="黑体" w:cs="黑体"/>
          <w:snapToGrid/>
          <w:kern w:val="2"/>
          <w:sz w:val="32"/>
          <w:szCs w:val="32"/>
          <w:u w:val="single"/>
          <w:lang w:eastAsia="zh-CN"/>
        </w:rPr>
        <w:t xml:space="preserve">       </w:t>
      </w:r>
      <w:r>
        <w:rPr>
          <w:rFonts w:ascii="黑体" w:hAnsi="黑体" w:eastAsia="黑体" w:cs="黑体"/>
          <w:snapToGrid/>
          <w:kern w:val="2"/>
          <w:sz w:val="32"/>
          <w:szCs w:val="32"/>
          <w:u w:val="single"/>
          <w:lang w:eastAsia="zh-CN"/>
        </w:rPr>
        <w:t xml:space="preserve">  </w:t>
      </w:r>
      <w:r>
        <w:rPr>
          <w:rFonts w:hint="eastAsia" w:ascii="黑体" w:hAnsi="黑体" w:eastAsia="黑体" w:cs="黑体"/>
          <w:snapToGrid/>
          <w:kern w:val="2"/>
          <w:sz w:val="32"/>
          <w:szCs w:val="32"/>
          <w:u w:val="single"/>
          <w:lang w:eastAsia="zh-CN"/>
        </w:rPr>
        <w:t xml:space="preserve"> 高职组            </w:t>
      </w:r>
    </w:p>
    <w:p w14:paraId="07F40DC4">
      <w:pPr>
        <w:widowControl w:val="0"/>
        <w:kinsoku/>
        <w:autoSpaceDE/>
        <w:autoSpaceDN/>
        <w:spacing w:line="720" w:lineRule="auto"/>
        <w:ind w:left="1260" w:leftChars="600"/>
        <w:jc w:val="both"/>
        <w:textAlignment w:val="auto"/>
        <w:rPr>
          <w:rFonts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赛项编号：</w:t>
      </w:r>
      <w:r>
        <w:rPr>
          <w:rFonts w:hint="eastAsia" w:ascii="黑体" w:hAnsi="黑体" w:eastAsia="黑体" w:cs="黑体"/>
          <w:snapToGrid/>
          <w:kern w:val="2"/>
          <w:sz w:val="32"/>
          <w:szCs w:val="32"/>
          <w:u w:val="single"/>
          <w:lang w:eastAsia="zh-CN"/>
        </w:rPr>
        <w:t xml:space="preserve">          </w:t>
      </w:r>
      <w:r>
        <w:rPr>
          <w:rFonts w:ascii="黑体" w:hAnsi="黑体" w:eastAsia="黑体" w:cs="黑体"/>
          <w:snapToGrid/>
          <w:kern w:val="2"/>
          <w:sz w:val="32"/>
          <w:szCs w:val="32"/>
          <w:u w:val="single"/>
          <w:lang w:eastAsia="zh-CN"/>
        </w:rPr>
        <w:t>GZ024</w:t>
      </w:r>
      <w:r>
        <w:rPr>
          <w:rFonts w:hint="eastAsia" w:ascii="黑体" w:hAnsi="黑体" w:eastAsia="黑体" w:cs="黑体"/>
          <w:snapToGrid/>
          <w:kern w:val="2"/>
          <w:sz w:val="32"/>
          <w:szCs w:val="32"/>
          <w:u w:val="single"/>
          <w:lang w:eastAsia="zh-CN"/>
        </w:rPr>
        <w:t xml:space="preserve">             </w:t>
      </w:r>
    </w:p>
    <w:p w14:paraId="74586E0C">
      <w:pPr>
        <w:widowControl w:val="0"/>
        <w:kinsoku/>
        <w:autoSpaceDE/>
        <w:autoSpaceDN/>
        <w:adjustRightInd/>
        <w:spacing w:line="560" w:lineRule="exact"/>
        <w:jc w:val="center"/>
        <w:textAlignment w:val="auto"/>
        <w:rPr>
          <w:rFonts w:ascii="方正小标宋_GBK" w:hAnsi="方正小标宋_GBK" w:eastAsia="方正小标宋_GBK" w:cs="方正小标宋_GBK"/>
          <w:bCs/>
          <w:sz w:val="44"/>
          <w:szCs w:val="44"/>
          <w:lang w:eastAsia="zh-CN"/>
        </w:rPr>
      </w:pPr>
    </w:p>
    <w:p w14:paraId="5715988F">
      <w:pPr>
        <w:kinsoku/>
        <w:autoSpaceDE/>
        <w:autoSpaceDN/>
        <w:adjustRightInd/>
        <w:snapToGrid/>
        <w:textAlignment w:val="auto"/>
        <w:rPr>
          <w:rFonts w:ascii="方正小标宋_GBK" w:hAnsi="方正小标宋_GBK" w:eastAsia="方正小标宋_GBK" w:cs="方正小标宋_GBK"/>
          <w:bCs/>
          <w:sz w:val="44"/>
          <w:szCs w:val="44"/>
          <w:lang w:eastAsia="zh-CN"/>
        </w:rPr>
      </w:pPr>
    </w:p>
    <w:sdt>
      <w:sdtPr>
        <w:rPr>
          <w:lang w:val="zh-CN"/>
        </w:rPr>
        <w:id w:val="-750886565"/>
        <w:docPartObj>
          <w:docPartGallery w:val="Table of Contents"/>
          <w:docPartUnique/>
        </w:docPartObj>
      </w:sdtPr>
      <w:sdtEndPr>
        <w:rPr>
          <w:rFonts w:ascii="Arial" w:hAnsi="Arial" w:eastAsia="Arial" w:cs="Arial"/>
          <w:b/>
          <w:bCs/>
          <w:snapToGrid w:val="0"/>
          <w:color w:val="000000"/>
          <w:sz w:val="21"/>
          <w:szCs w:val="21"/>
          <w:lang w:val="zh-CN" w:eastAsia="en-US"/>
        </w:rPr>
      </w:sdtEndPr>
      <w:sdtContent>
        <w:p w14:paraId="32B65B49">
          <w:pPr>
            <w:pStyle w:val="20"/>
            <w:jc w:val="center"/>
          </w:pPr>
          <w:r>
            <w:rPr>
              <w:rFonts w:ascii="黑体" w:hAnsi="黑体" w:eastAsia="黑体"/>
              <w:b/>
              <w:bCs/>
              <w:color w:val="auto"/>
              <w:lang w:val="zh-CN"/>
            </w:rPr>
            <w:t>目</w:t>
          </w:r>
          <w:r>
            <w:rPr>
              <w:rFonts w:hint="eastAsia" w:ascii="黑体" w:hAnsi="黑体" w:eastAsia="黑体"/>
              <w:b/>
              <w:bCs/>
              <w:color w:val="auto"/>
            </w:rPr>
            <w:t xml:space="preserve"> </w:t>
          </w:r>
          <w:r>
            <w:rPr>
              <w:rFonts w:ascii="黑体" w:hAnsi="黑体" w:eastAsia="黑体"/>
              <w:b/>
              <w:bCs/>
              <w:color w:val="auto"/>
              <w:lang w:val="zh-CN"/>
            </w:rPr>
            <w:t>录</w:t>
          </w:r>
          <w:r>
            <w:fldChar w:fldCharType="begin"/>
          </w:r>
          <w:r>
            <w:instrText xml:space="preserve"> TOC \o "1-3" \h \z \u </w:instrText>
          </w:r>
          <w:r>
            <w:fldChar w:fldCharType="separate"/>
          </w:r>
        </w:p>
        <w:p w14:paraId="18D8DA69">
          <w:pPr>
            <w:pStyle w:val="8"/>
            <w:tabs>
              <w:tab w:val="right" w:leader="dot" w:pos="8296"/>
            </w:tabs>
            <w:spacing w:line="440" w:lineRule="exact"/>
            <w:rPr>
              <w:sz w:val="28"/>
              <w:szCs w:val="28"/>
            </w:rPr>
          </w:pPr>
          <w:r>
            <w:fldChar w:fldCharType="begin"/>
          </w:r>
          <w:r>
            <w:instrText xml:space="preserve"> HYPERLINK \l "_Toc243408230" </w:instrText>
          </w:r>
          <w:r>
            <w:fldChar w:fldCharType="separate"/>
          </w:r>
          <w:r>
            <w:rPr>
              <w:rStyle w:val="15"/>
              <w:rFonts w:ascii="黑体" w:hAnsi="黑体" w:eastAsia="黑体" w:cs="宋体"/>
              <w:sz w:val="28"/>
              <w:szCs w:val="28"/>
              <w:lang w:eastAsia="zh-CN"/>
            </w:rPr>
            <w:t>一、赛项名称</w:t>
          </w:r>
          <w:r>
            <w:rPr>
              <w:sz w:val="28"/>
              <w:szCs w:val="28"/>
            </w:rPr>
            <w:tab/>
          </w:r>
          <w:r>
            <w:rPr>
              <w:rFonts w:hint="eastAsia" w:eastAsia="宋体"/>
              <w:sz w:val="28"/>
              <w:szCs w:val="28"/>
              <w:lang w:val="en-US" w:eastAsia="zh-CN"/>
            </w:rPr>
            <w:t>1</w:t>
          </w:r>
          <w:r>
            <w:rPr>
              <w:sz w:val="28"/>
              <w:szCs w:val="28"/>
            </w:rPr>
            <w:fldChar w:fldCharType="end"/>
          </w:r>
        </w:p>
        <w:p w14:paraId="523FAE48">
          <w:pPr>
            <w:pStyle w:val="8"/>
            <w:tabs>
              <w:tab w:val="right" w:leader="dot" w:pos="8296"/>
            </w:tabs>
            <w:spacing w:line="440" w:lineRule="exact"/>
            <w:rPr>
              <w:sz w:val="28"/>
              <w:szCs w:val="28"/>
            </w:rPr>
          </w:pPr>
          <w:r>
            <w:fldChar w:fldCharType="begin"/>
          </w:r>
          <w:r>
            <w:instrText xml:space="preserve"> HYPERLINK \l "_Toc243408231" </w:instrText>
          </w:r>
          <w:r>
            <w:fldChar w:fldCharType="separate"/>
          </w:r>
          <w:r>
            <w:rPr>
              <w:rStyle w:val="15"/>
              <w:rFonts w:ascii="黑体" w:hAnsi="黑体" w:eastAsia="黑体" w:cs="宋体"/>
              <w:sz w:val="28"/>
              <w:szCs w:val="28"/>
              <w:lang w:eastAsia="zh-CN"/>
            </w:rPr>
            <w:t>二、竞赛目标</w:t>
          </w:r>
          <w:r>
            <w:rPr>
              <w:sz w:val="28"/>
              <w:szCs w:val="28"/>
            </w:rPr>
            <w:tab/>
          </w:r>
          <w:r>
            <w:rPr>
              <w:rFonts w:hint="eastAsia" w:eastAsia="宋体"/>
              <w:sz w:val="28"/>
              <w:szCs w:val="28"/>
              <w:lang w:val="en-US" w:eastAsia="zh-CN"/>
            </w:rPr>
            <w:t>1</w:t>
          </w:r>
          <w:r>
            <w:rPr>
              <w:sz w:val="28"/>
              <w:szCs w:val="28"/>
            </w:rPr>
            <w:fldChar w:fldCharType="end"/>
          </w:r>
        </w:p>
        <w:p w14:paraId="700DEC93">
          <w:pPr>
            <w:pStyle w:val="8"/>
            <w:tabs>
              <w:tab w:val="right" w:leader="dot" w:pos="8296"/>
            </w:tabs>
            <w:spacing w:line="440" w:lineRule="exact"/>
            <w:rPr>
              <w:sz w:val="28"/>
              <w:szCs w:val="28"/>
            </w:rPr>
          </w:pPr>
          <w:r>
            <w:fldChar w:fldCharType="begin"/>
          </w:r>
          <w:r>
            <w:instrText xml:space="preserve"> HYPERLINK \l "_Toc243408232" </w:instrText>
          </w:r>
          <w:r>
            <w:fldChar w:fldCharType="separate"/>
          </w:r>
          <w:r>
            <w:rPr>
              <w:rStyle w:val="15"/>
              <w:rFonts w:ascii="黑体" w:hAnsi="黑体" w:eastAsia="黑体" w:cs="宋体"/>
              <w:sz w:val="28"/>
              <w:szCs w:val="28"/>
              <w:lang w:eastAsia="zh-CN"/>
            </w:rPr>
            <w:t>三、竞赛内容</w:t>
          </w:r>
          <w:r>
            <w:rPr>
              <w:sz w:val="28"/>
              <w:szCs w:val="28"/>
            </w:rPr>
            <w:tab/>
          </w:r>
          <w:r>
            <w:rPr>
              <w:rFonts w:hint="eastAsia" w:eastAsia="宋体"/>
              <w:sz w:val="28"/>
              <w:szCs w:val="28"/>
              <w:lang w:val="en-US" w:eastAsia="zh-CN"/>
            </w:rPr>
            <w:t>1</w:t>
          </w:r>
          <w:r>
            <w:rPr>
              <w:sz w:val="28"/>
              <w:szCs w:val="28"/>
            </w:rPr>
            <w:fldChar w:fldCharType="end"/>
          </w:r>
        </w:p>
        <w:p w14:paraId="6139BD3C">
          <w:pPr>
            <w:pStyle w:val="9"/>
            <w:tabs>
              <w:tab w:val="right" w:leader="dot" w:pos="8296"/>
            </w:tabs>
            <w:spacing w:line="440" w:lineRule="exact"/>
            <w:rPr>
              <w:sz w:val="28"/>
              <w:szCs w:val="28"/>
            </w:rPr>
          </w:pPr>
          <w:r>
            <w:fldChar w:fldCharType="begin"/>
          </w:r>
          <w:r>
            <w:instrText xml:space="preserve"> HYPERLINK \l "_Toc243408233" </w:instrText>
          </w:r>
          <w:r>
            <w:fldChar w:fldCharType="separate"/>
          </w:r>
          <w:r>
            <w:rPr>
              <w:rStyle w:val="15"/>
              <w:rFonts w:ascii="楷体_GB2312" w:eastAsia="楷体_GB2312"/>
              <w:sz w:val="28"/>
              <w:szCs w:val="28"/>
              <w:lang w:eastAsia="zh-CN"/>
            </w:rPr>
            <w:t>（一）理论知识竞赛</w:t>
          </w:r>
          <w:r>
            <w:rPr>
              <w:sz w:val="28"/>
              <w:szCs w:val="28"/>
            </w:rPr>
            <w:tab/>
          </w:r>
          <w:r>
            <w:rPr>
              <w:rFonts w:hint="eastAsia" w:eastAsia="宋体"/>
              <w:sz w:val="28"/>
              <w:szCs w:val="28"/>
              <w:lang w:val="en-US" w:eastAsia="zh-CN"/>
            </w:rPr>
            <w:t>2</w:t>
          </w:r>
          <w:r>
            <w:rPr>
              <w:sz w:val="28"/>
              <w:szCs w:val="28"/>
            </w:rPr>
            <w:fldChar w:fldCharType="end"/>
          </w:r>
        </w:p>
        <w:p w14:paraId="7F1D8E1F">
          <w:pPr>
            <w:pStyle w:val="9"/>
            <w:tabs>
              <w:tab w:val="right" w:leader="dot" w:pos="8296"/>
            </w:tabs>
            <w:spacing w:line="440" w:lineRule="exact"/>
            <w:rPr>
              <w:sz w:val="28"/>
              <w:szCs w:val="28"/>
            </w:rPr>
          </w:pPr>
          <w:r>
            <w:fldChar w:fldCharType="begin"/>
          </w:r>
          <w:r>
            <w:instrText xml:space="preserve"> HYPERLINK \l "_Toc243408234" </w:instrText>
          </w:r>
          <w:r>
            <w:fldChar w:fldCharType="separate"/>
          </w:r>
          <w:r>
            <w:rPr>
              <w:rStyle w:val="15"/>
              <w:rFonts w:ascii="楷体_GB2312" w:eastAsia="楷体_GB2312"/>
              <w:sz w:val="28"/>
              <w:szCs w:val="28"/>
              <w:lang w:eastAsia="zh-CN"/>
            </w:rPr>
            <w:t>（二）技能操作竞赛</w:t>
          </w:r>
          <w:r>
            <w:rPr>
              <w:sz w:val="28"/>
              <w:szCs w:val="28"/>
            </w:rPr>
            <w:tab/>
          </w:r>
          <w:r>
            <w:rPr>
              <w:rFonts w:hint="eastAsia" w:eastAsia="宋体"/>
              <w:sz w:val="28"/>
              <w:szCs w:val="28"/>
              <w:lang w:val="en-US" w:eastAsia="zh-CN"/>
            </w:rPr>
            <w:t>2</w:t>
          </w:r>
          <w:r>
            <w:rPr>
              <w:sz w:val="28"/>
              <w:szCs w:val="28"/>
            </w:rPr>
            <w:fldChar w:fldCharType="end"/>
          </w:r>
        </w:p>
        <w:p w14:paraId="2BE2279C">
          <w:pPr>
            <w:pStyle w:val="8"/>
            <w:tabs>
              <w:tab w:val="right" w:leader="dot" w:pos="8296"/>
            </w:tabs>
            <w:spacing w:line="440" w:lineRule="exact"/>
            <w:rPr>
              <w:sz w:val="28"/>
              <w:szCs w:val="28"/>
            </w:rPr>
          </w:pPr>
          <w:r>
            <w:fldChar w:fldCharType="begin"/>
          </w:r>
          <w:r>
            <w:instrText xml:space="preserve"> HYPERLINK \l "_Toc243408235" </w:instrText>
          </w:r>
          <w:r>
            <w:fldChar w:fldCharType="separate"/>
          </w:r>
          <w:r>
            <w:rPr>
              <w:rStyle w:val="15"/>
              <w:rFonts w:ascii="黑体" w:hAnsi="黑体" w:eastAsia="黑体" w:cs="宋体"/>
              <w:sz w:val="28"/>
              <w:szCs w:val="28"/>
              <w:lang w:eastAsia="zh-CN"/>
            </w:rPr>
            <w:t>四、竞赛方式</w:t>
          </w:r>
          <w:r>
            <w:rPr>
              <w:sz w:val="28"/>
              <w:szCs w:val="28"/>
            </w:rPr>
            <w:tab/>
          </w:r>
          <w:r>
            <w:rPr>
              <w:rFonts w:hint="eastAsia" w:eastAsia="宋体"/>
              <w:sz w:val="28"/>
              <w:szCs w:val="28"/>
              <w:lang w:val="en-US" w:eastAsia="zh-CN"/>
            </w:rPr>
            <w:t>6</w:t>
          </w:r>
          <w:r>
            <w:rPr>
              <w:sz w:val="28"/>
              <w:szCs w:val="28"/>
            </w:rPr>
            <w:fldChar w:fldCharType="end"/>
          </w:r>
        </w:p>
        <w:p w14:paraId="1E165853">
          <w:pPr>
            <w:pStyle w:val="9"/>
            <w:tabs>
              <w:tab w:val="right" w:leader="dot" w:pos="8296"/>
            </w:tabs>
            <w:spacing w:line="440" w:lineRule="exact"/>
            <w:rPr>
              <w:sz w:val="28"/>
              <w:szCs w:val="28"/>
            </w:rPr>
          </w:pPr>
          <w:r>
            <w:fldChar w:fldCharType="begin"/>
          </w:r>
          <w:r>
            <w:instrText xml:space="preserve"> HYPERLINK \l "_Toc243408236" </w:instrText>
          </w:r>
          <w:r>
            <w:fldChar w:fldCharType="separate"/>
          </w:r>
          <w:r>
            <w:rPr>
              <w:rStyle w:val="15"/>
              <w:rFonts w:ascii="楷体_GB2312" w:eastAsia="楷体_GB2312"/>
              <w:sz w:val="28"/>
              <w:szCs w:val="28"/>
              <w:lang w:eastAsia="zh-CN"/>
            </w:rPr>
            <w:t>（一）参赛对象</w:t>
          </w:r>
          <w:r>
            <w:rPr>
              <w:sz w:val="28"/>
              <w:szCs w:val="28"/>
            </w:rPr>
            <w:tab/>
          </w:r>
          <w:r>
            <w:rPr>
              <w:rFonts w:hint="eastAsia" w:eastAsia="宋体"/>
              <w:sz w:val="28"/>
              <w:szCs w:val="28"/>
              <w:lang w:val="en-US" w:eastAsia="zh-CN"/>
            </w:rPr>
            <w:t>6</w:t>
          </w:r>
          <w:r>
            <w:rPr>
              <w:sz w:val="28"/>
              <w:szCs w:val="28"/>
            </w:rPr>
            <w:fldChar w:fldCharType="end"/>
          </w:r>
        </w:p>
        <w:p w14:paraId="5A473B06">
          <w:pPr>
            <w:pStyle w:val="9"/>
            <w:tabs>
              <w:tab w:val="right" w:leader="dot" w:pos="8296"/>
            </w:tabs>
            <w:spacing w:line="440" w:lineRule="exact"/>
            <w:rPr>
              <w:sz w:val="28"/>
              <w:szCs w:val="28"/>
            </w:rPr>
          </w:pPr>
          <w:r>
            <w:fldChar w:fldCharType="begin"/>
          </w:r>
          <w:r>
            <w:instrText xml:space="preserve"> HYPERLINK \l "_Toc243408237" </w:instrText>
          </w:r>
          <w:r>
            <w:fldChar w:fldCharType="separate"/>
          </w:r>
          <w:r>
            <w:rPr>
              <w:rStyle w:val="15"/>
              <w:rFonts w:ascii="楷体_GB2312" w:eastAsia="楷体_GB2312"/>
              <w:sz w:val="28"/>
              <w:szCs w:val="28"/>
              <w:lang w:eastAsia="zh-CN"/>
            </w:rPr>
            <w:t>（二）竞赛形式</w:t>
          </w:r>
          <w:r>
            <w:rPr>
              <w:sz w:val="28"/>
              <w:szCs w:val="28"/>
            </w:rPr>
            <w:tab/>
          </w:r>
          <w:r>
            <w:rPr>
              <w:rFonts w:hint="eastAsia" w:eastAsia="宋体"/>
              <w:sz w:val="28"/>
              <w:szCs w:val="28"/>
              <w:lang w:val="en-US" w:eastAsia="zh-CN"/>
            </w:rPr>
            <w:t>6</w:t>
          </w:r>
          <w:r>
            <w:rPr>
              <w:sz w:val="28"/>
              <w:szCs w:val="28"/>
            </w:rPr>
            <w:fldChar w:fldCharType="end"/>
          </w:r>
        </w:p>
        <w:p w14:paraId="79B02AF8">
          <w:pPr>
            <w:pStyle w:val="9"/>
            <w:tabs>
              <w:tab w:val="right" w:leader="dot" w:pos="8296"/>
            </w:tabs>
            <w:spacing w:line="440" w:lineRule="exact"/>
            <w:rPr>
              <w:sz w:val="28"/>
              <w:szCs w:val="28"/>
            </w:rPr>
          </w:pPr>
          <w:r>
            <w:fldChar w:fldCharType="begin"/>
          </w:r>
          <w:r>
            <w:instrText xml:space="preserve"> HYPERLINK \l "_Toc243408238" </w:instrText>
          </w:r>
          <w:r>
            <w:fldChar w:fldCharType="separate"/>
          </w:r>
          <w:r>
            <w:rPr>
              <w:rStyle w:val="15"/>
              <w:rFonts w:ascii="楷体_GB2312" w:eastAsia="楷体_GB2312"/>
              <w:sz w:val="28"/>
              <w:szCs w:val="28"/>
              <w:lang w:eastAsia="zh-CN"/>
            </w:rPr>
            <w:t>（三）组队方式</w:t>
          </w:r>
          <w:r>
            <w:rPr>
              <w:sz w:val="28"/>
              <w:szCs w:val="28"/>
            </w:rPr>
            <w:tab/>
          </w:r>
          <w:r>
            <w:rPr>
              <w:rFonts w:hint="eastAsia" w:eastAsia="宋体"/>
              <w:sz w:val="28"/>
              <w:szCs w:val="28"/>
              <w:lang w:val="en-US" w:eastAsia="zh-CN"/>
            </w:rPr>
            <w:t>6</w:t>
          </w:r>
          <w:r>
            <w:rPr>
              <w:sz w:val="28"/>
              <w:szCs w:val="28"/>
            </w:rPr>
            <w:fldChar w:fldCharType="end"/>
          </w:r>
        </w:p>
        <w:p w14:paraId="766D6B78">
          <w:pPr>
            <w:pStyle w:val="8"/>
            <w:tabs>
              <w:tab w:val="right" w:leader="dot" w:pos="8296"/>
            </w:tabs>
            <w:spacing w:line="440" w:lineRule="exact"/>
            <w:rPr>
              <w:sz w:val="28"/>
              <w:szCs w:val="28"/>
            </w:rPr>
          </w:pPr>
          <w:r>
            <w:fldChar w:fldCharType="begin"/>
          </w:r>
          <w:r>
            <w:instrText xml:space="preserve"> HYPERLINK \l "_Toc243408239" </w:instrText>
          </w:r>
          <w:r>
            <w:fldChar w:fldCharType="separate"/>
          </w:r>
          <w:r>
            <w:rPr>
              <w:rStyle w:val="15"/>
              <w:rFonts w:ascii="黑体" w:hAnsi="黑体" w:eastAsia="黑体" w:cs="宋体"/>
              <w:sz w:val="28"/>
              <w:szCs w:val="28"/>
              <w:lang w:eastAsia="zh-CN"/>
            </w:rPr>
            <w:t>五、竞赛流程</w:t>
          </w:r>
          <w:r>
            <w:rPr>
              <w:sz w:val="28"/>
              <w:szCs w:val="28"/>
            </w:rPr>
            <w:tab/>
          </w:r>
          <w:r>
            <w:rPr>
              <w:rFonts w:hint="eastAsia" w:eastAsia="宋体"/>
              <w:sz w:val="28"/>
              <w:szCs w:val="28"/>
              <w:lang w:val="en-US" w:eastAsia="zh-CN"/>
            </w:rPr>
            <w:t>7</w:t>
          </w:r>
          <w:r>
            <w:rPr>
              <w:sz w:val="28"/>
              <w:szCs w:val="28"/>
            </w:rPr>
            <w:fldChar w:fldCharType="end"/>
          </w:r>
        </w:p>
        <w:p w14:paraId="5EC0D2B4">
          <w:pPr>
            <w:pStyle w:val="9"/>
            <w:tabs>
              <w:tab w:val="right" w:leader="dot" w:pos="8296"/>
            </w:tabs>
            <w:spacing w:line="440" w:lineRule="exact"/>
            <w:rPr>
              <w:sz w:val="28"/>
              <w:szCs w:val="28"/>
            </w:rPr>
          </w:pPr>
          <w:r>
            <w:fldChar w:fldCharType="begin"/>
          </w:r>
          <w:r>
            <w:instrText xml:space="preserve"> HYPERLINK \l "_Toc243408240" </w:instrText>
          </w:r>
          <w:r>
            <w:fldChar w:fldCharType="separate"/>
          </w:r>
          <w:r>
            <w:rPr>
              <w:rStyle w:val="15"/>
              <w:rFonts w:ascii="楷体_GB2312" w:eastAsia="楷体_GB2312"/>
              <w:sz w:val="28"/>
              <w:szCs w:val="28"/>
              <w:lang w:eastAsia="zh-CN"/>
            </w:rPr>
            <w:t>（一）竞赛日程</w:t>
          </w:r>
          <w:r>
            <w:rPr>
              <w:sz w:val="28"/>
              <w:szCs w:val="28"/>
            </w:rPr>
            <w:tab/>
          </w:r>
          <w:r>
            <w:rPr>
              <w:rFonts w:hint="eastAsia" w:eastAsia="宋体"/>
              <w:sz w:val="28"/>
              <w:szCs w:val="28"/>
              <w:lang w:val="en-US" w:eastAsia="zh-CN"/>
            </w:rPr>
            <w:t>7</w:t>
          </w:r>
          <w:r>
            <w:rPr>
              <w:sz w:val="28"/>
              <w:szCs w:val="28"/>
            </w:rPr>
            <w:fldChar w:fldCharType="end"/>
          </w:r>
        </w:p>
        <w:p w14:paraId="266023D3">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"_Toc243408241" </w:instrText>
          </w:r>
          <w:r>
            <w:fldChar w:fldCharType="separate"/>
          </w:r>
          <w:r>
            <w:rPr>
              <w:rStyle w:val="15"/>
              <w:rFonts w:ascii="楷体_GB2312" w:eastAsia="楷体_GB2312"/>
              <w:sz w:val="28"/>
              <w:szCs w:val="28"/>
              <w:lang w:eastAsia="zh-CN"/>
            </w:rPr>
            <w:t>（二）抽签流程</w:t>
          </w:r>
          <w:r>
            <w:rPr>
              <w:sz w:val="28"/>
              <w:szCs w:val="28"/>
            </w:rPr>
            <w:tab/>
          </w:r>
          <w:r>
            <w:rPr>
              <w:rFonts w:hint="eastAsia" w:eastAsia="宋体"/>
              <w:sz w:val="28"/>
              <w:szCs w:val="28"/>
              <w:lang w:val="en-US" w:eastAsia="zh-CN"/>
            </w:rPr>
            <w:t>8</w:t>
          </w:r>
          <w:r>
            <w:rPr>
              <w:sz w:val="28"/>
              <w:szCs w:val="28"/>
            </w:rPr>
            <w:fldChar w:fldCharType="end"/>
          </w:r>
        </w:p>
        <w:p w14:paraId="514B26B9">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"_Toc243408242" </w:instrText>
          </w:r>
          <w:r>
            <w:fldChar w:fldCharType="separate"/>
          </w:r>
          <w:r>
            <w:rPr>
              <w:rStyle w:val="15"/>
              <w:rFonts w:ascii="楷体_GB2312" w:eastAsia="楷体_GB2312"/>
              <w:sz w:val="28"/>
              <w:szCs w:val="28"/>
              <w:lang w:eastAsia="zh-CN"/>
            </w:rPr>
            <w:t>（三）竞赛流程</w:t>
          </w:r>
          <w:r>
            <w:rPr>
              <w:sz w:val="28"/>
              <w:szCs w:val="28"/>
            </w:rPr>
            <w:tab/>
          </w:r>
          <w:r>
            <w:rPr>
              <w:sz w:val="28"/>
              <w:szCs w:val="28"/>
            </w:rPr>
            <w:fldChar w:fldCharType="end"/>
          </w:r>
          <w:r>
            <w:rPr>
              <w:rFonts w:hint="eastAsia" w:eastAsia="宋体"/>
              <w:sz w:val="28"/>
              <w:szCs w:val="28"/>
              <w:lang w:val="en-US" w:eastAsia="zh-CN"/>
            </w:rPr>
            <w:t>8</w:t>
          </w:r>
        </w:p>
        <w:p w14:paraId="4B197593">
          <w:pPr>
            <w:pStyle w:val="8"/>
            <w:tabs>
              <w:tab w:val="right" w:leader="dot" w:pos="8296"/>
            </w:tabs>
            <w:spacing w:line="440" w:lineRule="exact"/>
            <w:rPr>
              <w:rFonts w:hint="eastAsia" w:eastAsia="宋体"/>
              <w:sz w:val="28"/>
              <w:szCs w:val="28"/>
              <w:lang w:val="en-US" w:eastAsia="zh-CN"/>
            </w:rPr>
          </w:pPr>
          <w:r>
            <w:fldChar w:fldCharType="begin"/>
          </w:r>
          <w:r>
            <w:instrText xml:space="preserve"> HYPERLINK \l "_Toc243408243" </w:instrText>
          </w:r>
          <w:r>
            <w:fldChar w:fldCharType="separate"/>
          </w:r>
          <w:r>
            <w:rPr>
              <w:rStyle w:val="15"/>
              <w:rFonts w:ascii="黑体" w:hAnsi="黑体" w:eastAsia="黑体" w:cs="宋体"/>
              <w:sz w:val="28"/>
              <w:szCs w:val="28"/>
              <w:lang w:eastAsia="zh-CN"/>
            </w:rPr>
            <w:t>六、竞赛规则</w:t>
          </w:r>
          <w:r>
            <w:rPr>
              <w:sz w:val="28"/>
              <w:szCs w:val="28"/>
            </w:rPr>
            <w:tab/>
          </w:r>
          <w:r>
            <w:rPr>
              <w:rFonts w:hint="eastAsia" w:eastAsia="宋体"/>
              <w:sz w:val="28"/>
              <w:szCs w:val="28"/>
              <w:lang w:val="en-US" w:eastAsia="zh-CN"/>
            </w:rPr>
            <w:t>9</w:t>
          </w:r>
          <w:r>
            <w:rPr>
              <w:sz w:val="28"/>
              <w:szCs w:val="28"/>
            </w:rPr>
            <w:fldChar w:fldCharType="end"/>
          </w:r>
        </w:p>
        <w:p w14:paraId="2AC07799">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"_Toc243408244" </w:instrText>
          </w:r>
          <w:r>
            <w:fldChar w:fldCharType="separate"/>
          </w:r>
          <w:r>
            <w:rPr>
              <w:rStyle w:val="15"/>
              <w:rFonts w:ascii="楷体_GB2312" w:eastAsia="楷体_GB2312"/>
              <w:sz w:val="28"/>
              <w:szCs w:val="28"/>
              <w:lang w:eastAsia="zh-CN"/>
            </w:rPr>
            <w:t>（一）参赛选手报名</w:t>
          </w:r>
          <w:r>
            <w:rPr>
              <w:sz w:val="28"/>
              <w:szCs w:val="28"/>
            </w:rPr>
            <w:tab/>
          </w:r>
          <w:r>
            <w:rPr>
              <w:rFonts w:hint="eastAsia" w:eastAsia="宋体"/>
              <w:sz w:val="28"/>
              <w:szCs w:val="28"/>
              <w:lang w:val="en-US" w:eastAsia="zh-CN"/>
            </w:rPr>
            <w:t>9</w:t>
          </w:r>
          <w:r>
            <w:rPr>
              <w:sz w:val="28"/>
              <w:szCs w:val="28"/>
            </w:rPr>
            <w:fldChar w:fldCharType="end"/>
          </w:r>
        </w:p>
        <w:p w14:paraId="34B8F157">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"_Toc243408245" </w:instrText>
          </w:r>
          <w:r>
            <w:fldChar w:fldCharType="separate"/>
          </w:r>
          <w:r>
            <w:rPr>
              <w:rStyle w:val="15"/>
              <w:rFonts w:ascii="楷体_GB2312" w:eastAsia="楷体_GB2312"/>
              <w:sz w:val="28"/>
              <w:szCs w:val="28"/>
              <w:lang w:eastAsia="zh-CN"/>
            </w:rPr>
            <w:t>（二）召开赛前说明会</w:t>
          </w:r>
          <w:r>
            <w:rPr>
              <w:sz w:val="28"/>
              <w:szCs w:val="28"/>
            </w:rPr>
            <w:tab/>
          </w:r>
          <w:r>
            <w:rPr>
              <w:rFonts w:hint="eastAsia" w:eastAsia="宋体"/>
              <w:sz w:val="28"/>
              <w:szCs w:val="28"/>
              <w:lang w:val="en-US" w:eastAsia="zh-CN"/>
            </w:rPr>
            <w:t>9</w:t>
          </w:r>
          <w:r>
            <w:rPr>
              <w:sz w:val="28"/>
              <w:szCs w:val="28"/>
            </w:rPr>
            <w:fldChar w:fldCharType="end"/>
          </w:r>
        </w:p>
        <w:p w14:paraId="360F5865">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"_Toc243408246" </w:instrText>
          </w:r>
          <w:r>
            <w:fldChar w:fldCharType="separate"/>
          </w:r>
          <w:r>
            <w:rPr>
              <w:rStyle w:val="15"/>
              <w:rFonts w:ascii="楷体_GB2312" w:eastAsia="楷体_GB2312"/>
              <w:sz w:val="28"/>
              <w:szCs w:val="28"/>
              <w:lang w:eastAsia="zh-CN"/>
            </w:rPr>
            <w:t>（三）正式比赛赛场规则</w:t>
          </w:r>
          <w:r>
            <w:rPr>
              <w:sz w:val="28"/>
              <w:szCs w:val="28"/>
            </w:rPr>
            <w:tab/>
          </w:r>
          <w:r>
            <w:rPr>
              <w:rFonts w:hint="eastAsia" w:eastAsia="宋体"/>
              <w:sz w:val="28"/>
              <w:szCs w:val="28"/>
              <w:lang w:val="en-US" w:eastAsia="zh-CN"/>
            </w:rPr>
            <w:t>9</w:t>
          </w:r>
          <w:r>
            <w:rPr>
              <w:sz w:val="28"/>
              <w:szCs w:val="28"/>
            </w:rPr>
            <w:fldChar w:fldCharType="end"/>
          </w:r>
        </w:p>
        <w:p w14:paraId="05BEE09A">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"_Toc243408247" </w:instrText>
          </w:r>
          <w:r>
            <w:fldChar w:fldCharType="separate"/>
          </w:r>
          <w:r>
            <w:rPr>
              <w:rStyle w:val="15"/>
              <w:rFonts w:ascii="楷体_GB2312" w:eastAsia="楷体_GB2312"/>
              <w:sz w:val="28"/>
              <w:szCs w:val="28"/>
              <w:lang w:eastAsia="zh-CN"/>
            </w:rPr>
            <w:t>（四）成绩评定与结果公布</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1</w:t>
          </w:r>
        </w:p>
        <w:p w14:paraId="06BB397C">
          <w:pPr>
            <w:pStyle w:val="8"/>
            <w:tabs>
              <w:tab w:val="right" w:leader="dot" w:pos="8296"/>
            </w:tabs>
            <w:spacing w:line="440" w:lineRule="exact"/>
            <w:rPr>
              <w:rFonts w:hint="eastAsia" w:eastAsia="宋体"/>
              <w:sz w:val="28"/>
              <w:szCs w:val="28"/>
              <w:lang w:val="en-US" w:eastAsia="zh-CN"/>
            </w:rPr>
          </w:pPr>
          <w:r>
            <w:fldChar w:fldCharType="begin"/>
          </w:r>
          <w:r>
            <w:instrText xml:space="preserve"> HYPERLINK \l "_Toc243408248" </w:instrText>
          </w:r>
          <w:r>
            <w:fldChar w:fldCharType="separate"/>
          </w:r>
          <w:r>
            <w:rPr>
              <w:rStyle w:val="15"/>
              <w:rFonts w:ascii="黑体" w:hAnsi="黑体" w:eastAsia="黑体" w:cs="宋体"/>
              <w:sz w:val="28"/>
              <w:szCs w:val="28"/>
              <w:lang w:eastAsia="zh-CN"/>
            </w:rPr>
            <w:t>七、技术规范</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1</w:t>
          </w:r>
        </w:p>
        <w:p w14:paraId="5798ECBD">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"_Toc243408249" </w:instrText>
          </w:r>
          <w:r>
            <w:fldChar w:fldCharType="separate"/>
          </w:r>
          <w:r>
            <w:rPr>
              <w:rStyle w:val="15"/>
              <w:rFonts w:ascii="楷体_GB2312" w:eastAsia="楷体_GB2312"/>
              <w:sz w:val="28"/>
              <w:szCs w:val="28"/>
              <w:lang w:eastAsia="zh-CN"/>
            </w:rPr>
            <w:t>（一）专业教学标准要求</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1</w:t>
          </w:r>
        </w:p>
        <w:p w14:paraId="20BEEC53">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"_Toc243408250" </w:instrText>
          </w:r>
          <w:r>
            <w:fldChar w:fldCharType="separate"/>
          </w:r>
          <w:r>
            <w:rPr>
              <w:rStyle w:val="15"/>
              <w:rFonts w:ascii="楷体_GB2312" w:eastAsia="楷体_GB2312"/>
              <w:sz w:val="28"/>
              <w:szCs w:val="28"/>
              <w:lang w:eastAsia="zh-CN"/>
            </w:rPr>
            <w:t>（二）行业、职业技术标准</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1</w:t>
          </w:r>
        </w:p>
        <w:p w14:paraId="577CE193">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"_Toc243408251" </w:instrText>
          </w:r>
          <w:r>
            <w:fldChar w:fldCharType="separate"/>
          </w:r>
          <w:r>
            <w:rPr>
              <w:rStyle w:val="15"/>
              <w:rFonts w:ascii="楷体_GB2312" w:eastAsia="楷体_GB2312"/>
              <w:sz w:val="28"/>
              <w:szCs w:val="28"/>
              <w:lang w:eastAsia="zh-CN"/>
            </w:rPr>
            <w:t>（三）设备技术标准</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2</w:t>
          </w:r>
        </w:p>
        <w:p w14:paraId="6CE6B1CC">
          <w:pPr>
            <w:pStyle w:val="8"/>
            <w:tabs>
              <w:tab w:val="right" w:leader="dot" w:pos="8296"/>
            </w:tabs>
            <w:spacing w:line="440" w:lineRule="exact"/>
            <w:rPr>
              <w:rFonts w:hint="eastAsia" w:eastAsia="宋体"/>
              <w:sz w:val="28"/>
              <w:szCs w:val="28"/>
              <w:lang w:val="en-US" w:eastAsia="zh-CN"/>
            </w:rPr>
          </w:pPr>
          <w:r>
            <w:fldChar w:fldCharType="begin"/>
          </w:r>
          <w:r>
            <w:instrText xml:space="preserve"> HYPERLINK \l "_Toc243408252" </w:instrText>
          </w:r>
          <w:r>
            <w:fldChar w:fldCharType="separate"/>
          </w:r>
          <w:r>
            <w:rPr>
              <w:rStyle w:val="15"/>
              <w:rFonts w:ascii="黑体" w:hAnsi="黑体" w:eastAsia="黑体" w:cs="宋体"/>
              <w:sz w:val="28"/>
              <w:szCs w:val="28"/>
              <w:lang w:eastAsia="zh-CN"/>
            </w:rPr>
            <w:t>八、技术环境</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2</w:t>
          </w:r>
        </w:p>
        <w:p w14:paraId="693FC070">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"_Toc243408253" </w:instrText>
          </w:r>
          <w:r>
            <w:fldChar w:fldCharType="separate"/>
          </w:r>
          <w:r>
            <w:rPr>
              <w:rStyle w:val="15"/>
              <w:rFonts w:ascii="楷体_GB2312" w:eastAsia="楷体_GB2312"/>
              <w:sz w:val="28"/>
              <w:szCs w:val="28"/>
              <w:lang w:eastAsia="zh-CN"/>
            </w:rPr>
            <w:t>（一）竞赛环境</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2</w:t>
          </w:r>
        </w:p>
        <w:p w14:paraId="4DC68717">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"_Toc243408254" </w:instrText>
          </w:r>
          <w:r>
            <w:fldChar w:fldCharType="separate"/>
          </w:r>
          <w:r>
            <w:rPr>
              <w:rStyle w:val="15"/>
              <w:rFonts w:ascii="楷体_GB2312" w:eastAsia="楷体_GB2312"/>
              <w:sz w:val="28"/>
              <w:szCs w:val="28"/>
              <w:lang w:eastAsia="zh-CN"/>
            </w:rPr>
            <w:t>（二）技术平台</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2</w:t>
          </w:r>
        </w:p>
        <w:p w14:paraId="5439679A">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"_Toc243408255" </w:instrText>
          </w:r>
          <w:r>
            <w:fldChar w:fldCharType="separate"/>
          </w:r>
          <w:r>
            <w:rPr>
              <w:rStyle w:val="15"/>
              <w:rFonts w:ascii="楷体_GB2312" w:eastAsia="楷体_GB2312"/>
              <w:sz w:val="28"/>
              <w:szCs w:val="28"/>
              <w:lang w:eastAsia="zh-CN"/>
            </w:rPr>
            <w:t>（三）比赛器材和物品</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3</w:t>
          </w:r>
        </w:p>
        <w:p w14:paraId="39486E84">
          <w:pPr>
            <w:pStyle w:val="8"/>
            <w:tabs>
              <w:tab w:val="right" w:leader="dot" w:pos="8296"/>
            </w:tabs>
            <w:spacing w:line="440" w:lineRule="exact"/>
            <w:rPr>
              <w:rFonts w:hint="eastAsia" w:eastAsia="宋体"/>
              <w:sz w:val="28"/>
              <w:szCs w:val="28"/>
              <w:lang w:val="en-US" w:eastAsia="zh-CN"/>
            </w:rPr>
          </w:pPr>
          <w:r>
            <w:fldChar w:fldCharType="begin"/>
          </w:r>
          <w:r>
            <w:instrText xml:space="preserve"> HYPERLINK \l "_Toc243408256" </w:instrText>
          </w:r>
          <w:r>
            <w:fldChar w:fldCharType="separate"/>
          </w:r>
          <w:r>
            <w:rPr>
              <w:rStyle w:val="15"/>
              <w:rFonts w:ascii="黑体" w:hAnsi="黑体" w:eastAsia="黑体" w:cs="宋体"/>
              <w:sz w:val="28"/>
              <w:szCs w:val="28"/>
              <w:lang w:eastAsia="zh-CN"/>
            </w:rPr>
            <w:t>九、竞赛样题</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4</w:t>
          </w:r>
        </w:p>
        <w:p w14:paraId="2AC48330">
          <w:pPr>
            <w:pStyle w:val="8"/>
            <w:tabs>
              <w:tab w:val="right" w:leader="dot" w:pos="8296"/>
            </w:tabs>
            <w:spacing w:line="440" w:lineRule="exact"/>
            <w:rPr>
              <w:rFonts w:hint="eastAsia" w:eastAsia="宋体"/>
              <w:sz w:val="28"/>
              <w:szCs w:val="28"/>
              <w:lang w:val="en-US" w:eastAsia="zh-CN"/>
            </w:rPr>
          </w:pPr>
          <w:r>
            <w:fldChar w:fldCharType="begin"/>
          </w:r>
          <w:r>
            <w:instrText xml:space="preserve"> HYPERLINK \l "_Toc243408257" </w:instrText>
          </w:r>
          <w:r>
            <w:fldChar w:fldCharType="separate"/>
          </w:r>
          <w:r>
            <w:rPr>
              <w:rStyle w:val="15"/>
              <w:rFonts w:ascii="黑体" w:hAnsi="黑体" w:eastAsia="黑体" w:cs="宋体"/>
              <w:sz w:val="28"/>
              <w:szCs w:val="28"/>
              <w:lang w:eastAsia="zh-CN"/>
            </w:rPr>
            <w:t>十、成绩评定</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6</w:t>
          </w:r>
        </w:p>
        <w:p w14:paraId="4FE99BFB">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"_Toc243408258" </w:instrText>
          </w:r>
          <w:r>
            <w:fldChar w:fldCharType="separate"/>
          </w:r>
          <w:r>
            <w:rPr>
              <w:rStyle w:val="15"/>
              <w:rFonts w:ascii="楷体_GB2312" w:eastAsia="楷体_GB2312"/>
              <w:sz w:val="28"/>
              <w:szCs w:val="28"/>
              <w:lang w:eastAsia="zh-CN"/>
            </w:rPr>
            <w:t>（一）评分标准制定原则</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6</w:t>
          </w:r>
        </w:p>
        <w:p w14:paraId="5011DA54">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"_Toc243408259" </w:instrText>
          </w:r>
          <w:r>
            <w:fldChar w:fldCharType="separate"/>
          </w:r>
          <w:r>
            <w:rPr>
              <w:rStyle w:val="15"/>
              <w:rFonts w:ascii="楷体_GB2312" w:eastAsia="楷体_GB2312"/>
              <w:sz w:val="28"/>
              <w:szCs w:val="28"/>
              <w:lang w:eastAsia="zh-CN"/>
            </w:rPr>
            <w:t>（二）评分方法</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6</w:t>
          </w:r>
        </w:p>
        <w:p w14:paraId="57F1A2CE">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"_Toc243408260" </w:instrText>
          </w:r>
          <w:r>
            <w:fldChar w:fldCharType="separate"/>
          </w:r>
          <w:r>
            <w:rPr>
              <w:rStyle w:val="15"/>
              <w:rFonts w:ascii="楷体_GB2312" w:eastAsia="楷体_GB2312"/>
              <w:sz w:val="28"/>
              <w:szCs w:val="28"/>
              <w:lang w:eastAsia="zh-CN"/>
            </w:rPr>
            <w:t>（三）评分标准及评分细则</w:t>
          </w:r>
          <w:r>
            <w:rPr>
              <w:sz w:val="28"/>
              <w:szCs w:val="28"/>
            </w:rPr>
            <w:tab/>
          </w:r>
          <w:r>
            <w:rPr>
              <w:rFonts w:hint="eastAsia" w:eastAsia="宋体"/>
              <w:sz w:val="28"/>
              <w:szCs w:val="28"/>
              <w:lang w:val="en-US" w:eastAsia="zh-CN"/>
            </w:rPr>
            <w:t>1</w:t>
          </w:r>
          <w:r>
            <w:rPr>
              <w:sz w:val="28"/>
              <w:szCs w:val="28"/>
            </w:rPr>
            <w:fldChar w:fldCharType="end"/>
          </w:r>
          <w:r>
            <w:rPr>
              <w:rFonts w:hint="eastAsia" w:eastAsia="宋体"/>
              <w:sz w:val="28"/>
              <w:szCs w:val="28"/>
              <w:lang w:val="en-US" w:eastAsia="zh-CN"/>
            </w:rPr>
            <w:t>7</w:t>
          </w:r>
        </w:p>
        <w:p w14:paraId="6BFF8DF4">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"_Toc243408261" </w:instrText>
          </w:r>
          <w:r>
            <w:fldChar w:fldCharType="separate"/>
          </w:r>
          <w:r>
            <w:rPr>
              <w:rStyle w:val="15"/>
              <w:rFonts w:ascii="楷体_GB2312" w:eastAsia="楷体_GB2312"/>
              <w:sz w:val="28"/>
              <w:szCs w:val="28"/>
              <w:lang w:eastAsia="zh-CN"/>
            </w:rPr>
            <w:t>（四）奖项设置</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4</w:t>
          </w:r>
        </w:p>
        <w:p w14:paraId="45F5B0AB">
          <w:pPr>
            <w:pStyle w:val="8"/>
            <w:tabs>
              <w:tab w:val="right" w:leader="dot" w:pos="8296"/>
            </w:tabs>
            <w:spacing w:line="440" w:lineRule="exact"/>
            <w:rPr>
              <w:rFonts w:hint="eastAsia" w:eastAsia="宋体"/>
              <w:sz w:val="28"/>
              <w:szCs w:val="28"/>
              <w:lang w:val="en-US" w:eastAsia="zh-CN"/>
            </w:rPr>
          </w:pPr>
          <w:r>
            <w:fldChar w:fldCharType="begin"/>
          </w:r>
          <w:r>
            <w:instrText xml:space="preserve"> HYPERLINK \l "_Toc243408262" </w:instrText>
          </w:r>
          <w:r>
            <w:fldChar w:fldCharType="separate"/>
          </w:r>
          <w:r>
            <w:rPr>
              <w:rStyle w:val="15"/>
              <w:rFonts w:ascii="黑体" w:hAnsi="黑体" w:eastAsia="黑体" w:cs="宋体"/>
              <w:sz w:val="28"/>
              <w:szCs w:val="28"/>
              <w:lang w:eastAsia="zh-CN"/>
            </w:rPr>
            <w:t>十一、赛项预案</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5</w:t>
          </w:r>
        </w:p>
        <w:p w14:paraId="7D8760AA">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"_Toc243408263" </w:instrText>
          </w:r>
          <w:r>
            <w:fldChar w:fldCharType="separate"/>
          </w:r>
          <w:r>
            <w:rPr>
              <w:rStyle w:val="15"/>
              <w:rFonts w:ascii="楷体_GB2312" w:eastAsia="楷体_GB2312"/>
              <w:sz w:val="28"/>
              <w:szCs w:val="28"/>
              <w:lang w:eastAsia="zh-CN"/>
            </w:rPr>
            <w:t>（一）火灾安全事故紧急处理预案</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5</w:t>
          </w:r>
        </w:p>
        <w:p w14:paraId="4D946413">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"_Toc243408264" </w:instrText>
          </w:r>
          <w:r>
            <w:fldChar w:fldCharType="separate"/>
          </w:r>
          <w:r>
            <w:rPr>
              <w:rStyle w:val="15"/>
              <w:rFonts w:ascii="楷体_GB2312" w:eastAsia="楷体_GB2312"/>
              <w:sz w:val="28"/>
              <w:szCs w:val="28"/>
              <w:lang w:eastAsia="zh-CN"/>
            </w:rPr>
            <w:t>（二）电力供应事故紧急处理预案</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5</w:t>
          </w:r>
        </w:p>
        <w:p w14:paraId="50D012BB">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"_Toc243408265" </w:instrText>
          </w:r>
          <w:r>
            <w:fldChar w:fldCharType="separate"/>
          </w:r>
          <w:r>
            <w:rPr>
              <w:rStyle w:val="15"/>
              <w:rFonts w:ascii="楷体_GB2312" w:eastAsia="楷体_GB2312"/>
              <w:sz w:val="28"/>
              <w:szCs w:val="28"/>
              <w:lang w:eastAsia="zh-CN"/>
            </w:rPr>
            <w:t>（三）赛场人员突发伤病紧急处理预案</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5</w:t>
          </w:r>
        </w:p>
        <w:p w14:paraId="596B6400">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"_Toc243408266" </w:instrText>
          </w:r>
          <w:r>
            <w:fldChar w:fldCharType="separate"/>
          </w:r>
          <w:r>
            <w:rPr>
              <w:rStyle w:val="15"/>
              <w:rFonts w:ascii="楷体_GB2312" w:eastAsia="楷体_GB2312"/>
              <w:sz w:val="28"/>
              <w:szCs w:val="28"/>
              <w:lang w:eastAsia="zh-CN"/>
            </w:rPr>
            <w:t>（四）设备事故紧急处理预案</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5</w:t>
          </w:r>
        </w:p>
        <w:p w14:paraId="07E84C90">
          <w:pPr>
            <w:pStyle w:val="8"/>
            <w:tabs>
              <w:tab w:val="right" w:leader="dot" w:pos="8296"/>
            </w:tabs>
            <w:spacing w:line="440" w:lineRule="exact"/>
            <w:rPr>
              <w:rFonts w:hint="eastAsia" w:eastAsia="宋体"/>
              <w:sz w:val="28"/>
              <w:szCs w:val="28"/>
              <w:lang w:val="en-US" w:eastAsia="zh-CN"/>
            </w:rPr>
          </w:pPr>
          <w:r>
            <w:fldChar w:fldCharType="begin"/>
          </w:r>
          <w:r>
            <w:instrText xml:space="preserve"> HYPERLINK \l "_Toc243408267" </w:instrText>
          </w:r>
          <w:r>
            <w:fldChar w:fldCharType="separate"/>
          </w:r>
          <w:r>
            <w:rPr>
              <w:rStyle w:val="15"/>
              <w:rFonts w:ascii="黑体" w:hAnsi="黑体" w:eastAsia="黑体" w:cs="宋体"/>
              <w:sz w:val="28"/>
              <w:szCs w:val="28"/>
              <w:lang w:eastAsia="zh-CN"/>
            </w:rPr>
            <w:t>十二、赛项安全</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6</w:t>
          </w:r>
        </w:p>
        <w:p w14:paraId="75CDEDC0">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"_Toc243408268" </w:instrText>
          </w:r>
          <w:r>
            <w:fldChar w:fldCharType="separate"/>
          </w:r>
          <w:r>
            <w:rPr>
              <w:rStyle w:val="15"/>
              <w:rFonts w:ascii="楷体_GB2312" w:eastAsia="楷体_GB2312"/>
              <w:sz w:val="28"/>
              <w:szCs w:val="28"/>
              <w:lang w:eastAsia="zh-CN"/>
            </w:rPr>
            <w:t>（一）赛项安全管理</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6</w:t>
          </w:r>
        </w:p>
        <w:p w14:paraId="7826DCDA">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"_Toc243408269" </w:instrText>
          </w:r>
          <w:r>
            <w:fldChar w:fldCharType="separate"/>
          </w:r>
          <w:r>
            <w:rPr>
              <w:rStyle w:val="15"/>
              <w:rFonts w:ascii="楷体_GB2312" w:eastAsia="楷体_GB2312"/>
              <w:sz w:val="28"/>
              <w:szCs w:val="28"/>
              <w:lang w:eastAsia="zh-CN"/>
            </w:rPr>
            <w:t>（二）比赛环境安全管理</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6</w:t>
          </w:r>
        </w:p>
        <w:p w14:paraId="05F38C03">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"_Toc243408270" </w:instrText>
          </w:r>
          <w:r>
            <w:fldChar w:fldCharType="separate"/>
          </w:r>
          <w:r>
            <w:rPr>
              <w:rStyle w:val="15"/>
              <w:rFonts w:ascii="楷体_GB2312" w:eastAsia="楷体_GB2312"/>
              <w:sz w:val="28"/>
              <w:szCs w:val="28"/>
              <w:lang w:eastAsia="zh-CN"/>
            </w:rPr>
            <w:t>（三）医疗服务保障</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7</w:t>
          </w:r>
        </w:p>
        <w:p w14:paraId="6B4F0975">
          <w:pPr>
            <w:pStyle w:val="8"/>
            <w:tabs>
              <w:tab w:val="right" w:leader="dot" w:pos="8296"/>
            </w:tabs>
            <w:spacing w:line="440" w:lineRule="exact"/>
            <w:rPr>
              <w:rFonts w:hint="eastAsia" w:eastAsia="宋体"/>
              <w:sz w:val="28"/>
              <w:szCs w:val="28"/>
              <w:lang w:val="en-US" w:eastAsia="zh-CN"/>
            </w:rPr>
          </w:pPr>
          <w:r>
            <w:fldChar w:fldCharType="begin"/>
          </w:r>
          <w:r>
            <w:instrText xml:space="preserve"> HYPERLINK \l "_Toc243408271" </w:instrText>
          </w:r>
          <w:r>
            <w:fldChar w:fldCharType="separate"/>
          </w:r>
          <w:r>
            <w:rPr>
              <w:rStyle w:val="15"/>
              <w:rFonts w:ascii="黑体" w:hAnsi="黑体" w:eastAsia="黑体" w:cs="宋体"/>
              <w:sz w:val="28"/>
              <w:szCs w:val="28"/>
              <w:lang w:eastAsia="zh-CN"/>
            </w:rPr>
            <w:t>十三、竞赛须知</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7</w:t>
          </w:r>
        </w:p>
        <w:p w14:paraId="522ABA73">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"_Toc243408272" </w:instrText>
          </w:r>
          <w:r>
            <w:fldChar w:fldCharType="separate"/>
          </w:r>
          <w:r>
            <w:rPr>
              <w:rStyle w:val="15"/>
              <w:rFonts w:ascii="楷体_GB2312" w:eastAsia="楷体_GB2312"/>
              <w:sz w:val="28"/>
              <w:szCs w:val="28"/>
              <w:lang w:eastAsia="zh-CN"/>
            </w:rPr>
            <w:t>（一）参赛队须知</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7</w:t>
          </w:r>
        </w:p>
        <w:p w14:paraId="4C3FABD0">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"_Toc243408273" </w:instrText>
          </w:r>
          <w:r>
            <w:fldChar w:fldCharType="separate"/>
          </w:r>
          <w:r>
            <w:rPr>
              <w:rStyle w:val="15"/>
              <w:rFonts w:ascii="楷体_GB2312" w:eastAsia="楷体_GB2312"/>
              <w:sz w:val="28"/>
              <w:szCs w:val="28"/>
              <w:lang w:eastAsia="zh-CN"/>
            </w:rPr>
            <w:t>（二）参赛选手须知</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8</w:t>
          </w:r>
        </w:p>
        <w:p w14:paraId="41AF22D4">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"_Toc243408274" </w:instrText>
          </w:r>
          <w:r>
            <w:fldChar w:fldCharType="separate"/>
          </w:r>
          <w:r>
            <w:rPr>
              <w:rStyle w:val="15"/>
              <w:rFonts w:ascii="楷体_GB2312" w:eastAsia="楷体_GB2312"/>
              <w:sz w:val="28"/>
              <w:szCs w:val="28"/>
              <w:lang w:eastAsia="zh-CN"/>
            </w:rPr>
            <w:t>（三）指导教师须知</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9</w:t>
          </w:r>
        </w:p>
        <w:p w14:paraId="76D7F7CD">
          <w:pPr>
            <w:pStyle w:val="9"/>
            <w:tabs>
              <w:tab w:val="right" w:leader="dot" w:pos="8296"/>
            </w:tabs>
            <w:spacing w:line="440" w:lineRule="exact"/>
            <w:rPr>
              <w:rFonts w:hint="eastAsia" w:eastAsia="宋体"/>
              <w:sz w:val="28"/>
              <w:szCs w:val="28"/>
              <w:lang w:val="en-US" w:eastAsia="zh-CN"/>
            </w:rPr>
          </w:pPr>
          <w:r>
            <w:fldChar w:fldCharType="begin"/>
          </w:r>
          <w:r>
            <w:instrText xml:space="preserve"> HYPERLINK \l "_Toc243408275" </w:instrText>
          </w:r>
          <w:r>
            <w:fldChar w:fldCharType="separate"/>
          </w:r>
          <w:r>
            <w:rPr>
              <w:rStyle w:val="15"/>
              <w:rFonts w:ascii="楷体_GB2312" w:eastAsia="楷体_GB2312"/>
              <w:sz w:val="28"/>
              <w:szCs w:val="28"/>
              <w:lang w:eastAsia="zh-CN"/>
            </w:rPr>
            <w:t>（四）工作人员须知</w:t>
          </w:r>
          <w:r>
            <w:rPr>
              <w:sz w:val="28"/>
              <w:szCs w:val="28"/>
            </w:rPr>
            <w:tab/>
          </w:r>
          <w:r>
            <w:rPr>
              <w:rFonts w:hint="eastAsia" w:eastAsia="宋体"/>
              <w:sz w:val="28"/>
              <w:szCs w:val="28"/>
              <w:lang w:val="en-US" w:eastAsia="zh-CN"/>
            </w:rPr>
            <w:t>2</w:t>
          </w:r>
          <w:r>
            <w:rPr>
              <w:sz w:val="28"/>
              <w:szCs w:val="28"/>
            </w:rPr>
            <w:fldChar w:fldCharType="end"/>
          </w:r>
          <w:r>
            <w:rPr>
              <w:rFonts w:hint="eastAsia" w:eastAsia="宋体"/>
              <w:sz w:val="28"/>
              <w:szCs w:val="28"/>
              <w:lang w:val="en-US" w:eastAsia="zh-CN"/>
            </w:rPr>
            <w:t>9</w:t>
          </w:r>
        </w:p>
        <w:p w14:paraId="564A7D0A">
          <w:pPr>
            <w:pStyle w:val="8"/>
            <w:tabs>
              <w:tab w:val="right" w:leader="dot" w:pos="8296"/>
            </w:tabs>
            <w:spacing w:line="440" w:lineRule="exact"/>
            <w:rPr>
              <w:rFonts w:hint="eastAsia" w:eastAsia="宋体"/>
              <w:sz w:val="28"/>
              <w:szCs w:val="28"/>
              <w:lang w:val="en-US" w:eastAsia="zh-CN"/>
            </w:rPr>
          </w:pPr>
          <w:r>
            <w:fldChar w:fldCharType="begin"/>
          </w:r>
          <w:r>
            <w:instrText xml:space="preserve"> HYPERLINK \l "_Toc243408276" </w:instrText>
          </w:r>
          <w:r>
            <w:fldChar w:fldCharType="separate"/>
          </w:r>
          <w:r>
            <w:rPr>
              <w:rStyle w:val="15"/>
              <w:rFonts w:ascii="黑体" w:hAnsi="黑体" w:eastAsia="黑体" w:cs="宋体"/>
              <w:sz w:val="28"/>
              <w:szCs w:val="28"/>
              <w:lang w:eastAsia="zh-CN"/>
            </w:rPr>
            <w:t>十四、申诉与仲裁</w:t>
          </w:r>
          <w:r>
            <w:rPr>
              <w:sz w:val="28"/>
              <w:szCs w:val="28"/>
            </w:rPr>
            <w:tab/>
          </w:r>
          <w:r>
            <w:rPr>
              <w:rFonts w:hint="eastAsia" w:eastAsia="宋体"/>
              <w:sz w:val="28"/>
              <w:szCs w:val="28"/>
              <w:lang w:val="en-US" w:eastAsia="zh-CN"/>
            </w:rPr>
            <w:t>3</w:t>
          </w:r>
          <w:r>
            <w:rPr>
              <w:sz w:val="28"/>
              <w:szCs w:val="28"/>
            </w:rPr>
            <w:fldChar w:fldCharType="end"/>
          </w:r>
          <w:r>
            <w:rPr>
              <w:rFonts w:hint="eastAsia" w:eastAsia="宋体"/>
              <w:sz w:val="28"/>
              <w:szCs w:val="28"/>
              <w:lang w:val="en-US" w:eastAsia="zh-CN"/>
            </w:rPr>
            <w:t>0</w:t>
          </w:r>
        </w:p>
        <w:p w14:paraId="02ABD55C">
          <w:pPr>
            <w:pStyle w:val="8"/>
            <w:tabs>
              <w:tab w:val="right" w:leader="dot" w:pos="8296"/>
            </w:tabs>
            <w:spacing w:line="440" w:lineRule="exact"/>
            <w:rPr>
              <w:rFonts w:hint="eastAsia" w:eastAsia="宋体"/>
              <w:sz w:val="28"/>
              <w:szCs w:val="28"/>
              <w:lang w:val="en-US" w:eastAsia="zh-CN"/>
            </w:rPr>
          </w:pPr>
          <w:r>
            <w:fldChar w:fldCharType="begin"/>
          </w:r>
          <w:r>
            <w:instrText xml:space="preserve"> HYPERLINK \l "_Toc243408277" </w:instrText>
          </w:r>
          <w:r>
            <w:fldChar w:fldCharType="separate"/>
          </w:r>
          <w:r>
            <w:rPr>
              <w:rStyle w:val="15"/>
              <w:rFonts w:ascii="黑体" w:hAnsi="黑体" w:eastAsia="黑体" w:cs="宋体"/>
              <w:sz w:val="28"/>
              <w:szCs w:val="28"/>
              <w:lang w:eastAsia="zh-CN"/>
            </w:rPr>
            <w:t>十五、竞赛观摩</w:t>
          </w:r>
          <w:r>
            <w:rPr>
              <w:sz w:val="28"/>
              <w:szCs w:val="28"/>
            </w:rPr>
            <w:tab/>
          </w:r>
          <w:r>
            <w:rPr>
              <w:rFonts w:hint="eastAsia" w:eastAsia="宋体"/>
              <w:sz w:val="28"/>
              <w:szCs w:val="28"/>
              <w:lang w:val="en-US" w:eastAsia="zh-CN"/>
            </w:rPr>
            <w:t>3</w:t>
          </w:r>
          <w:r>
            <w:rPr>
              <w:sz w:val="28"/>
              <w:szCs w:val="28"/>
            </w:rPr>
            <w:fldChar w:fldCharType="end"/>
          </w:r>
          <w:r>
            <w:rPr>
              <w:rFonts w:hint="eastAsia" w:eastAsia="宋体"/>
              <w:sz w:val="28"/>
              <w:szCs w:val="28"/>
              <w:lang w:val="en-US" w:eastAsia="zh-CN"/>
            </w:rPr>
            <w:t>1</w:t>
          </w:r>
        </w:p>
        <w:p w14:paraId="2A738E85">
          <w:r>
            <w:rPr>
              <w:b/>
              <w:bCs/>
              <w:lang w:val="zh-CN"/>
            </w:rPr>
            <w:fldChar w:fldCharType="end"/>
          </w:r>
        </w:p>
      </w:sdtContent>
    </w:sdt>
    <w:p w14:paraId="23DE99A8">
      <w:pPr>
        <w:kinsoku/>
        <w:autoSpaceDE/>
        <w:autoSpaceDN/>
        <w:adjustRightInd/>
        <w:snapToGrid/>
        <w:textAlignment w:val="auto"/>
        <w:rPr>
          <w:rFonts w:hint="eastAsia" w:ascii="方正小标宋_GBK" w:hAnsi="方正小标宋_GBK" w:eastAsia="方正小标宋_GBK" w:cs="方正小标宋_GBK"/>
          <w:bCs/>
          <w:sz w:val="44"/>
          <w:szCs w:val="44"/>
          <w:lang w:eastAsia="zh-CN"/>
        </w:rPr>
      </w:pPr>
    </w:p>
    <w:p w14:paraId="4043717B">
      <w:pPr>
        <w:widowControl w:val="0"/>
        <w:kinsoku/>
        <w:autoSpaceDE/>
        <w:autoSpaceDN/>
        <w:adjustRightInd/>
        <w:spacing w:line="560" w:lineRule="exact"/>
        <w:jc w:val="both"/>
        <w:textAlignment w:val="auto"/>
        <w:rPr>
          <w:rFonts w:hint="eastAsia" w:ascii="方正小标宋_GBK" w:hAnsi="方正小标宋_GBK" w:eastAsia="方正小标宋_GBK" w:cs="方正小标宋_GBK"/>
          <w:bCs/>
          <w:sz w:val="44"/>
          <w:szCs w:val="44"/>
          <w:lang w:eastAsia="zh-CN"/>
        </w:rPr>
      </w:pPr>
    </w:p>
    <w:p w14:paraId="63B6B7B7">
      <w:pPr>
        <w:widowControl w:val="0"/>
        <w:kinsoku/>
        <w:autoSpaceDE/>
        <w:autoSpaceDN/>
        <w:adjustRightInd/>
        <w:spacing w:line="560" w:lineRule="exact"/>
        <w:jc w:val="center"/>
        <w:textAlignment w:val="auto"/>
        <w:rPr>
          <w:rFonts w:hint="eastAsia" w:ascii="方正小标宋_GBK" w:hAnsi="方正小标宋_GBK" w:eastAsia="方正小标宋_GBK" w:cs="方正小标宋_GBK"/>
          <w:bCs/>
          <w:sz w:val="44"/>
          <w:szCs w:val="44"/>
          <w:lang w:eastAsia="zh-CN"/>
        </w:rPr>
        <w:sectPr>
          <w:headerReference r:id="rId3" w:type="even"/>
          <w:footerReference r:id="rId4" w:type="even"/>
          <w:pgSz w:w="11906" w:h="16838"/>
          <w:pgMar w:top="2098" w:right="1474" w:bottom="1984" w:left="1587" w:header="851" w:footer="992" w:gutter="0"/>
          <w:pgNumType w:fmt="numberInDash" w:start="1"/>
          <w:cols w:space="425" w:num="1"/>
          <w:titlePg/>
          <w:docGrid w:type="lines" w:linePitch="312" w:charSpace="0"/>
        </w:sectPr>
      </w:pPr>
      <w:bookmarkStart w:id="50" w:name="_GoBack"/>
      <w:bookmarkEnd w:id="50"/>
    </w:p>
    <w:p w14:paraId="669130B8">
      <w:pPr>
        <w:widowControl w:val="0"/>
        <w:kinsoku/>
        <w:autoSpaceDE/>
        <w:autoSpaceDN/>
        <w:adjustRightInd/>
        <w:spacing w:line="560" w:lineRule="exact"/>
        <w:jc w:val="center"/>
        <w:textAlignment w:val="auto"/>
        <w:rPr>
          <w:rFonts w:ascii="方正小标宋_GBK" w:hAnsi="方正小标宋_GBK" w:eastAsia="方正小标宋_GBK" w:cs="方正小标宋_GBK"/>
          <w:bCs/>
          <w:sz w:val="44"/>
          <w:szCs w:val="44"/>
          <w:lang w:eastAsia="zh-CN"/>
        </w:rPr>
      </w:pPr>
      <w:r>
        <w:rPr>
          <w:rFonts w:hint="eastAsia" w:ascii="方正小标宋_GBK" w:hAnsi="方正小标宋_GBK" w:eastAsia="方正小标宋_GBK" w:cs="方正小标宋_GBK"/>
          <w:bCs/>
          <w:sz w:val="44"/>
          <w:szCs w:val="44"/>
          <w:lang w:eastAsia="zh-CN"/>
        </w:rPr>
        <w:t>2026年海南省职业院校技能大赛（高职组）</w:t>
      </w:r>
    </w:p>
    <w:p w14:paraId="6B06E825">
      <w:pPr>
        <w:widowControl w:val="0"/>
        <w:kinsoku/>
        <w:autoSpaceDE/>
        <w:autoSpaceDN/>
        <w:adjustRightInd/>
        <w:spacing w:line="560" w:lineRule="exact"/>
        <w:jc w:val="center"/>
        <w:textAlignment w:val="auto"/>
        <w:rPr>
          <w:rFonts w:ascii="方正小标宋_GBK" w:hAnsi="方正小标宋_GBK" w:eastAsia="方正小标宋_GBK" w:cs="方正小标宋_GBK"/>
          <w:bCs/>
          <w:sz w:val="32"/>
          <w:szCs w:val="32"/>
          <w:lang w:eastAsia="zh-CN"/>
        </w:rPr>
      </w:pPr>
      <w:r>
        <w:rPr>
          <w:rFonts w:hint="eastAsia" w:ascii="方正小标宋_GBK" w:hAnsi="方正小标宋_GBK" w:eastAsia="方正小标宋_GBK" w:cs="方正小标宋_GBK"/>
          <w:bCs/>
          <w:sz w:val="44"/>
          <w:szCs w:val="44"/>
          <w:lang w:eastAsia="zh-CN"/>
        </w:rPr>
        <w:t>康复治疗技术赛项规程</w:t>
      </w:r>
    </w:p>
    <w:p w14:paraId="0304C377">
      <w:pPr>
        <w:spacing w:line="560" w:lineRule="exact"/>
        <w:jc w:val="center"/>
        <w:rPr>
          <w:rFonts w:ascii="黑体" w:hAnsi="黑体" w:eastAsia="黑体" w:cs="黑体"/>
          <w:b/>
          <w:color w:val="auto"/>
          <w:sz w:val="32"/>
          <w:szCs w:val="32"/>
          <w:lang w:eastAsia="zh-CN"/>
        </w:rPr>
      </w:pPr>
    </w:p>
    <w:p w14:paraId="68CB4E9F">
      <w:pPr>
        <w:pStyle w:val="2"/>
        <w:spacing w:before="0" w:after="0" w:line="360" w:lineRule="auto"/>
        <w:ind w:firstLine="640" w:firstLineChars="200"/>
        <w:rPr>
          <w:rFonts w:ascii="黑体" w:hAnsi="黑体" w:eastAsia="黑体"/>
          <w:b w:val="0"/>
          <w:bCs w:val="0"/>
          <w:sz w:val="32"/>
          <w:szCs w:val="32"/>
          <w:lang w:eastAsia="zh-CN"/>
        </w:rPr>
      </w:pPr>
      <w:bookmarkStart w:id="2" w:name="_Toc243408230"/>
      <w:r>
        <w:rPr>
          <w:rFonts w:hint="eastAsia" w:ascii="黑体" w:hAnsi="黑体" w:eastAsia="黑体" w:cs="宋体"/>
          <w:b w:val="0"/>
          <w:bCs w:val="0"/>
          <w:sz w:val="32"/>
          <w:szCs w:val="32"/>
          <w:lang w:eastAsia="zh-CN"/>
        </w:rPr>
        <w:t>一、赛项名称</w:t>
      </w:r>
      <w:bookmarkEnd w:id="2"/>
    </w:p>
    <w:p w14:paraId="5A9411EA">
      <w:pPr>
        <w:widowControl w:val="0"/>
        <w:tabs>
          <w:tab w:val="left" w:pos="567"/>
        </w:tabs>
        <w:kinsoku/>
        <w:autoSpaceDE/>
        <w:autoSpaceDN/>
        <w:adjustRightInd/>
        <w:spacing w:line="360" w:lineRule="auto"/>
        <w:ind w:firstLine="627" w:firstLineChars="196"/>
        <w:textAlignment w:val="auto"/>
        <w:rPr>
          <w:rFonts w:ascii="Times New Roman" w:hAnsi="Times New Roman" w:eastAsia="仿宋_GB2312" w:cs="Times New Roman"/>
          <w:color w:val="auto"/>
          <w:kern w:val="2"/>
          <w:sz w:val="32"/>
          <w:szCs w:val="32"/>
          <w:lang w:eastAsia="zh-CN"/>
        </w:rPr>
      </w:pPr>
      <w:r>
        <w:rPr>
          <w:rFonts w:hint="eastAsia" w:ascii="Times New Roman" w:hAnsi="Times New Roman" w:eastAsia="仿宋_GB2312" w:cs="Times New Roman"/>
          <w:color w:val="auto"/>
          <w:kern w:val="2"/>
          <w:sz w:val="32"/>
          <w:szCs w:val="32"/>
          <w:lang w:eastAsia="zh-CN"/>
        </w:rPr>
        <w:t>赛项名称：</w:t>
      </w:r>
      <w:r>
        <w:rPr>
          <w:rFonts w:hint="eastAsia" w:ascii="仿宋" w:hAnsi="仿宋" w:eastAsia="仿宋" w:cs="仿宋"/>
          <w:bCs/>
          <w:snapToGrid/>
          <w:color w:val="auto"/>
          <w:kern w:val="2"/>
          <w:sz w:val="32"/>
          <w:szCs w:val="32"/>
          <w:lang w:eastAsia="zh-CN"/>
        </w:rPr>
        <w:t>康复治疗技术</w:t>
      </w:r>
    </w:p>
    <w:p w14:paraId="7D801AEA">
      <w:pPr>
        <w:spacing w:line="360" w:lineRule="auto"/>
        <w:ind w:firstLine="640" w:firstLineChars="200"/>
        <w:rPr>
          <w:rFonts w:ascii="仿宋" w:hAnsi="仿宋" w:eastAsia="仿宋" w:cs="仿宋"/>
          <w:bCs/>
          <w:snapToGrid/>
          <w:color w:val="auto"/>
          <w:kern w:val="2"/>
          <w:sz w:val="32"/>
          <w:szCs w:val="32"/>
          <w:lang w:eastAsia="zh-CN"/>
        </w:rPr>
      </w:pPr>
      <w:r>
        <w:rPr>
          <w:rFonts w:hint="eastAsia" w:ascii="Times New Roman" w:hAnsi="Times New Roman" w:eastAsia="仿宋_GB2312" w:cs="Times New Roman"/>
          <w:color w:val="auto"/>
          <w:kern w:val="2"/>
          <w:sz w:val="32"/>
          <w:szCs w:val="32"/>
          <w:lang w:eastAsia="zh-CN"/>
        </w:rPr>
        <w:t>英文名称：</w:t>
      </w:r>
      <w:r>
        <w:rPr>
          <w:rFonts w:hint="eastAsia" w:ascii="仿宋" w:hAnsi="仿宋" w:eastAsia="仿宋" w:cs="仿宋"/>
          <w:bCs/>
          <w:snapToGrid/>
          <w:color w:val="auto"/>
          <w:kern w:val="2"/>
          <w:sz w:val="32"/>
          <w:szCs w:val="32"/>
          <w:lang w:eastAsia="zh-CN"/>
        </w:rPr>
        <w:t>Rehabilitation treatment technology</w:t>
      </w:r>
    </w:p>
    <w:p w14:paraId="36958C34">
      <w:pPr>
        <w:widowControl w:val="0"/>
        <w:tabs>
          <w:tab w:val="left" w:pos="567"/>
        </w:tabs>
        <w:kinsoku/>
        <w:autoSpaceDE/>
        <w:autoSpaceDN/>
        <w:adjustRightInd/>
        <w:spacing w:line="360" w:lineRule="auto"/>
        <w:ind w:firstLine="627" w:firstLineChars="196"/>
        <w:textAlignment w:val="auto"/>
        <w:rPr>
          <w:rFonts w:ascii="Times New Roman" w:hAnsi="Times New Roman" w:eastAsia="仿宋_GB2312" w:cs="Times New Roman"/>
          <w:color w:val="auto"/>
          <w:kern w:val="2"/>
          <w:sz w:val="32"/>
          <w:szCs w:val="32"/>
          <w:lang w:eastAsia="zh-CN"/>
        </w:rPr>
      </w:pPr>
      <w:r>
        <w:rPr>
          <w:rFonts w:hint="eastAsia" w:ascii="Times New Roman" w:hAnsi="Times New Roman" w:eastAsia="仿宋_GB2312" w:cs="Times New Roman"/>
          <w:color w:val="auto"/>
          <w:kern w:val="2"/>
          <w:sz w:val="32"/>
          <w:szCs w:val="32"/>
          <w:lang w:eastAsia="zh-CN"/>
        </w:rPr>
        <w:t>赛项组别：</w:t>
      </w:r>
      <w:r>
        <w:rPr>
          <w:rFonts w:ascii="Times New Roman" w:hAnsi="Times New Roman" w:eastAsia="仿宋_GB2312" w:cs="Times New Roman"/>
          <w:color w:val="auto"/>
          <w:kern w:val="2"/>
          <w:sz w:val="32"/>
          <w:szCs w:val="32"/>
          <w:lang w:eastAsia="zh-CN"/>
        </w:rPr>
        <w:t>高等职业教育</w:t>
      </w:r>
    </w:p>
    <w:p w14:paraId="223070D9">
      <w:pPr>
        <w:widowControl w:val="0"/>
        <w:tabs>
          <w:tab w:val="left" w:pos="567"/>
        </w:tabs>
        <w:kinsoku/>
        <w:autoSpaceDE/>
        <w:autoSpaceDN/>
        <w:adjustRightInd/>
        <w:spacing w:line="360" w:lineRule="auto"/>
        <w:ind w:firstLine="627" w:firstLineChars="196"/>
        <w:textAlignment w:val="auto"/>
        <w:rPr>
          <w:rFonts w:ascii="Times New Roman" w:hAnsi="Times New Roman" w:eastAsia="仿宋_GB2312" w:cs="Times New Roman"/>
          <w:color w:val="auto"/>
          <w:kern w:val="2"/>
          <w:sz w:val="32"/>
          <w:szCs w:val="32"/>
          <w:lang w:eastAsia="zh-CN"/>
        </w:rPr>
      </w:pPr>
      <w:r>
        <w:rPr>
          <w:rFonts w:hint="eastAsia" w:ascii="Times New Roman" w:hAnsi="Times New Roman" w:eastAsia="仿宋_GB2312" w:cs="Times New Roman"/>
          <w:color w:val="auto"/>
          <w:kern w:val="2"/>
          <w:sz w:val="32"/>
          <w:szCs w:val="32"/>
          <w:lang w:eastAsia="zh-CN"/>
        </w:rPr>
        <w:t>赛项归属产业：</w:t>
      </w:r>
      <w:r>
        <w:rPr>
          <w:rFonts w:hint="eastAsia" w:ascii="仿宋_GB2312" w:eastAsia="仿宋_GB2312" w:cs="Calibri"/>
          <w:color w:val="auto"/>
          <w:sz w:val="32"/>
          <w:szCs w:val="32"/>
          <w:lang w:eastAsia="zh-CN"/>
        </w:rPr>
        <w:t>医疗服务业</w:t>
      </w:r>
    </w:p>
    <w:p w14:paraId="3765F306">
      <w:pPr>
        <w:pStyle w:val="2"/>
        <w:spacing w:before="0" w:after="0" w:line="360" w:lineRule="auto"/>
        <w:ind w:firstLine="640" w:firstLineChars="200"/>
        <w:rPr>
          <w:rFonts w:ascii="黑体" w:hAnsi="黑体" w:eastAsia="黑体" w:cs="宋体"/>
          <w:b w:val="0"/>
          <w:bCs w:val="0"/>
          <w:sz w:val="32"/>
          <w:szCs w:val="32"/>
          <w:lang w:eastAsia="zh-CN"/>
        </w:rPr>
      </w:pPr>
      <w:bookmarkStart w:id="3" w:name="_Toc243408231"/>
      <w:r>
        <w:rPr>
          <w:rFonts w:hint="eastAsia" w:ascii="黑体" w:hAnsi="黑体" w:eastAsia="黑体" w:cs="宋体"/>
          <w:b w:val="0"/>
          <w:bCs w:val="0"/>
          <w:sz w:val="32"/>
          <w:szCs w:val="32"/>
          <w:lang w:eastAsia="zh-CN"/>
        </w:rPr>
        <w:t>二、竞赛目标</w:t>
      </w:r>
      <w:bookmarkEnd w:id="3"/>
    </w:p>
    <w:p w14:paraId="5D28FDE0">
      <w:pPr>
        <w:widowControl w:val="0"/>
        <w:tabs>
          <w:tab w:val="left" w:pos="567"/>
        </w:tabs>
        <w:kinsoku/>
        <w:autoSpaceDE/>
        <w:autoSpaceDN/>
        <w:adjustRightInd/>
        <w:spacing w:line="360" w:lineRule="auto"/>
        <w:ind w:firstLine="640" w:firstLineChars="200"/>
        <w:jc w:val="both"/>
        <w:textAlignment w:val="auto"/>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为贯彻落实《海南省教育厅 海南省人力资源和社会保障厅关于印发2026年海南省高等职业院校技能大赛方案的通知》（琼教职成〔2026〕42 号）要求，秉承“以赛促训、以赛促学、以赛促教”办赛宗旨，以技能大赛为抓手，通过真实案例导向和综合能力考核，检</w:t>
      </w:r>
      <w:r>
        <w:rPr>
          <w:rFonts w:hint="eastAsia" w:ascii="仿宋_GB2312" w:hAnsi="宋体" w:eastAsia="仿宋_GB2312" w:cs="宋体"/>
          <w:color w:val="auto"/>
          <w:sz w:val="32"/>
          <w:szCs w:val="32"/>
          <w:lang w:eastAsia="zh-CN"/>
        </w:rPr>
        <w:t>验</w:t>
      </w:r>
      <w:r>
        <w:rPr>
          <w:rFonts w:hint="eastAsia" w:ascii="仿宋_GB2312" w:hAnsi="___WRD_EMBED_SUB_48" w:eastAsia="仿宋_GB2312" w:cs="___WRD_EMBED_SUB_48"/>
          <w:color w:val="auto"/>
          <w:sz w:val="32"/>
          <w:szCs w:val="32"/>
          <w:lang w:eastAsia="zh-CN"/>
        </w:rPr>
        <w:t>学生的职业素养、临床思维、操作技能、沟通技</w:t>
      </w:r>
      <w:r>
        <w:rPr>
          <w:rFonts w:hint="eastAsia" w:ascii="仿宋_GB2312" w:hAnsi="宋体" w:eastAsia="仿宋_GB2312" w:cs="宋体"/>
          <w:color w:val="auto"/>
          <w:sz w:val="32"/>
          <w:szCs w:val="32"/>
          <w:lang w:eastAsia="zh-CN"/>
        </w:rPr>
        <w:t>巧</w:t>
      </w:r>
      <w:r>
        <w:rPr>
          <w:rFonts w:hint="eastAsia" w:ascii="仿宋_GB2312" w:hAnsi="___WRD_EMBED_SUB_48" w:eastAsia="仿宋_GB2312" w:cs="___WRD_EMBED_SUB_48"/>
          <w:color w:val="auto"/>
          <w:sz w:val="32"/>
          <w:szCs w:val="32"/>
          <w:lang w:eastAsia="zh-CN"/>
        </w:rPr>
        <w:t>、安全意识等专业综合能力，强化实践教学，引</w:t>
      </w:r>
      <w:r>
        <w:rPr>
          <w:rFonts w:hint="eastAsia" w:ascii="仿宋_GB2312" w:hAnsi="宋体" w:eastAsia="仿宋_GB2312" w:cs="宋体"/>
          <w:color w:val="auto"/>
          <w:sz w:val="32"/>
          <w:szCs w:val="32"/>
          <w:lang w:eastAsia="zh-CN"/>
        </w:rPr>
        <w:t>领</w:t>
      </w:r>
      <w:r>
        <w:rPr>
          <w:rFonts w:hint="eastAsia" w:ascii="仿宋_GB2312" w:hAnsi="___WRD_EMBED_SUB_48" w:eastAsia="仿宋_GB2312" w:cs="___WRD_EMBED_SUB_48"/>
          <w:color w:val="auto"/>
          <w:sz w:val="32"/>
          <w:szCs w:val="32"/>
          <w:lang w:eastAsia="zh-CN"/>
        </w:rPr>
        <w:t>职业院校康复治疗类专业建设、人才培养模式的</w:t>
      </w:r>
      <w:r>
        <w:rPr>
          <w:rFonts w:hint="eastAsia" w:ascii="仿宋_GB2312" w:hAnsi="宋体" w:eastAsia="仿宋_GB2312" w:cs="宋体"/>
          <w:color w:val="auto"/>
          <w:sz w:val="32"/>
          <w:szCs w:val="32"/>
          <w:lang w:eastAsia="zh-CN"/>
        </w:rPr>
        <w:t>改革</w:t>
      </w:r>
      <w:r>
        <w:rPr>
          <w:rFonts w:hint="eastAsia" w:ascii="仿宋_GB2312" w:hAnsi="___WRD_EMBED_SUB_48" w:eastAsia="仿宋_GB2312" w:cs="___WRD_EMBED_SUB_48"/>
          <w:color w:val="auto"/>
          <w:sz w:val="32"/>
          <w:szCs w:val="32"/>
          <w:lang w:eastAsia="zh-CN"/>
        </w:rPr>
        <w:t>与</w:t>
      </w:r>
      <w:r>
        <w:rPr>
          <w:rFonts w:hint="eastAsia" w:ascii="仿宋_GB2312" w:hAnsi="宋体" w:eastAsia="仿宋_GB2312" w:cs="宋体"/>
          <w:color w:val="auto"/>
          <w:sz w:val="32"/>
          <w:szCs w:val="32"/>
          <w:lang w:eastAsia="zh-CN"/>
        </w:rPr>
        <w:t>创新</w:t>
      </w:r>
      <w:r>
        <w:rPr>
          <w:rFonts w:hint="eastAsia" w:ascii="仿宋_GB2312" w:hAnsi="___WRD_EMBED_SUB_48" w:eastAsia="仿宋_GB2312" w:cs="___WRD_EMBED_SUB_48"/>
          <w:color w:val="auto"/>
          <w:sz w:val="32"/>
          <w:szCs w:val="32"/>
          <w:lang w:eastAsia="zh-CN"/>
        </w:rPr>
        <w:t>，</w:t>
      </w:r>
      <w:r>
        <w:rPr>
          <w:rFonts w:hint="eastAsia" w:ascii="仿宋_GB2312" w:hAnsi="方正仿宋_GB2312" w:eastAsia="仿宋_GB2312" w:cs="方正仿宋_GB2312"/>
          <w:color w:val="auto"/>
          <w:sz w:val="32"/>
          <w:szCs w:val="32"/>
          <w:lang w:eastAsia="zh-CN"/>
        </w:rPr>
        <w:t>不断加强专业教师队伍建设，进一步提高技能型人才的培养质量，助推海南自由贸易港建设。</w:t>
      </w:r>
    </w:p>
    <w:p w14:paraId="08A06C45">
      <w:pPr>
        <w:pStyle w:val="2"/>
        <w:spacing w:before="0" w:after="0" w:line="360" w:lineRule="auto"/>
        <w:ind w:firstLine="640" w:firstLineChars="200"/>
        <w:rPr>
          <w:rFonts w:ascii="黑体" w:hAnsi="黑体" w:eastAsia="黑体" w:cs="宋体"/>
          <w:b w:val="0"/>
          <w:bCs w:val="0"/>
          <w:sz w:val="32"/>
          <w:szCs w:val="32"/>
          <w:lang w:eastAsia="zh-CN"/>
        </w:rPr>
      </w:pPr>
      <w:bookmarkStart w:id="4" w:name="_Toc243408232"/>
      <w:r>
        <w:rPr>
          <w:rFonts w:hint="eastAsia" w:ascii="黑体" w:hAnsi="黑体" w:eastAsia="黑体" w:cs="宋体"/>
          <w:b w:val="0"/>
          <w:bCs w:val="0"/>
          <w:sz w:val="32"/>
          <w:szCs w:val="32"/>
          <w:lang w:eastAsia="zh-CN"/>
        </w:rPr>
        <w:t>三、竞赛内容</w:t>
      </w:r>
      <w:bookmarkEnd w:id="4"/>
    </w:p>
    <w:p w14:paraId="0D664A24">
      <w:pPr>
        <w:pStyle w:val="4"/>
        <w:spacing w:line="360" w:lineRule="auto"/>
        <w:ind w:firstLine="640" w:firstLineChars="200"/>
        <w:jc w:val="both"/>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本赛项以现代职业教育理念为指引，以真实康复场景或工作情境为基础，以常见神经疾病和肌骨疾病等标准化病人为对象，设置理论考试、问诊、评定、治疗等竞赛内容，全面考查参赛选手理论知识、临床思维和决策能力、综合分析判断能力及常用康复治疗操作执行能力，树立安全意识，培养医患沟通及人文关怀能力。</w:t>
      </w:r>
    </w:p>
    <w:p w14:paraId="28370DF6">
      <w:pPr>
        <w:pStyle w:val="4"/>
        <w:spacing w:line="360" w:lineRule="auto"/>
        <w:ind w:firstLine="640" w:firstLineChars="200"/>
        <w:jc w:val="both"/>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本赛项内容包括理论知识竞赛和技能操作竞赛两部分。</w:t>
      </w:r>
    </w:p>
    <w:p w14:paraId="631F69C3">
      <w:pPr>
        <w:pStyle w:val="3"/>
        <w:spacing w:before="0" w:after="0" w:line="360" w:lineRule="auto"/>
        <w:ind w:firstLine="643" w:firstLineChars="200"/>
        <w:rPr>
          <w:rFonts w:ascii="楷体_GB2312" w:eastAsia="楷体_GB2312"/>
          <w:lang w:eastAsia="zh-CN"/>
        </w:rPr>
      </w:pPr>
      <w:bookmarkStart w:id="5" w:name="_Toc243408233"/>
      <w:r>
        <w:rPr>
          <w:rFonts w:hint="eastAsia" w:ascii="楷体_GB2312" w:eastAsia="楷体_GB2312"/>
          <w:lang w:eastAsia="zh-CN"/>
        </w:rPr>
        <w:t>（一）理论知识竞赛</w:t>
      </w:r>
      <w:bookmarkEnd w:id="5"/>
    </w:p>
    <w:p w14:paraId="47293E0C">
      <w:pPr>
        <w:pStyle w:val="4"/>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理论知识竞赛占团体总成绩的15%。</w:t>
      </w:r>
    </w:p>
    <w:p w14:paraId="143E34E5">
      <w:pPr>
        <w:pStyle w:val="4"/>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理论知识竞赛形式采</w:t>
      </w:r>
      <w:r>
        <w:rPr>
          <w:rFonts w:hint="eastAsia" w:ascii="仿宋_GB2312" w:eastAsia="仿宋_GB2312" w:cs="Calibri"/>
          <w:color w:val="000000" w:themeColor="text1"/>
          <w:sz w:val="32"/>
          <w:szCs w:val="32"/>
          <w:lang w:eastAsia="zh-CN"/>
          <w14:textFill>
            <w14:solidFill>
              <w14:schemeClr w14:val="tx1"/>
            </w14:solidFill>
          </w14:textFill>
        </w:rPr>
        <w:t>取计算机考试</w:t>
      </w:r>
      <w:r>
        <w:rPr>
          <w:rFonts w:hint="eastAsia" w:ascii="仿宋_GB2312" w:eastAsia="仿宋_GB2312" w:cs="Calibri"/>
          <w:color w:val="auto"/>
          <w:sz w:val="32"/>
          <w:szCs w:val="32"/>
          <w:lang w:eastAsia="zh-CN"/>
        </w:rPr>
        <w:t>，考试内容参照《全国卫生专业技术资格考试康复医学治疗技术（士、师、中级）考试大纲》，题型为单项选择题，题量50题/套（2分/题），共100分，考试时长为40分钟。考核参赛选手的专业知识应用能力、临床思维能力、分析问题和解决问题的能力。</w:t>
      </w:r>
    </w:p>
    <w:p w14:paraId="317FE333">
      <w:pPr>
        <w:pStyle w:val="3"/>
        <w:spacing w:before="0" w:after="0" w:line="360" w:lineRule="auto"/>
        <w:ind w:firstLine="643" w:firstLineChars="200"/>
        <w:rPr>
          <w:rFonts w:ascii="楷体_GB2312" w:eastAsia="楷体_GB2312"/>
          <w:lang w:eastAsia="zh-CN"/>
        </w:rPr>
      </w:pPr>
      <w:bookmarkStart w:id="6" w:name="_Toc243408234"/>
      <w:r>
        <w:rPr>
          <w:rFonts w:hint="eastAsia" w:ascii="楷体_GB2312" w:eastAsia="楷体_GB2312"/>
          <w:lang w:eastAsia="zh-CN"/>
        </w:rPr>
        <w:t>（二）技能操作竞赛</w:t>
      </w:r>
      <w:bookmarkEnd w:id="6"/>
    </w:p>
    <w:p w14:paraId="123BE33D">
      <w:pPr>
        <w:pStyle w:val="4"/>
        <w:spacing w:line="360" w:lineRule="auto"/>
        <w:ind w:firstLine="640" w:firstLineChars="200"/>
        <w:jc w:val="both"/>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技能操作占团体总成绩的85%。</w:t>
      </w:r>
    </w:p>
    <w:p w14:paraId="340DE4B1">
      <w:pPr>
        <w:pStyle w:val="4"/>
        <w:kinsoku/>
        <w:spacing w:line="360" w:lineRule="auto"/>
        <w:ind w:firstLine="640" w:firstLineChars="200"/>
        <w:jc w:val="both"/>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技能操作竞赛以真实案例为导向，基于康复治疗工作过程，按照临床康复治疗工作的逻辑关系，科学设置竞赛内容。技能操作标准参照原卫生部颁发的《常用康复治疗技术操作规范（2012版）》要求，时长20分钟（含现场问答）。主要考核学生职业素养和沟通能力、康复评估准确与规范、康复治疗技术应用和操作规范。考核环节包括操作前准备、操作过程、操作后处理等。竞赛内容:常见神经系统疾病、肌肉骨骼系统疾病，包括脑卒中、脊髓损伤、颈椎病、腰椎间盘突出症、肩周炎等康复评定与治疗操作技能。</w:t>
      </w:r>
    </w:p>
    <w:p w14:paraId="1C54182D">
      <w:pPr>
        <w:pStyle w:val="4"/>
        <w:kinsoku/>
        <w:spacing w:line="360" w:lineRule="auto"/>
        <w:ind w:firstLine="643" w:firstLineChars="200"/>
        <w:jc w:val="both"/>
        <w:rPr>
          <w:rFonts w:ascii="楷体_GB2312" w:hAnsi="方正仿宋_GB2312" w:eastAsia="楷体_GB2312" w:cs="方正仿宋_GB2312"/>
          <w:b/>
          <w:bCs/>
          <w:color w:val="auto"/>
          <w:sz w:val="32"/>
          <w:szCs w:val="32"/>
          <w:lang w:eastAsia="zh-CN"/>
        </w:rPr>
      </w:pPr>
      <w:r>
        <w:rPr>
          <w:rFonts w:hint="eastAsia" w:ascii="楷体_GB2312" w:hAnsi="方正仿宋_GB2312" w:eastAsia="楷体_GB2312" w:cs="方正仿宋_GB2312"/>
          <w:b/>
          <w:bCs/>
          <w:color w:val="auto"/>
          <w:sz w:val="32"/>
          <w:szCs w:val="32"/>
          <w:lang w:eastAsia="zh-CN"/>
        </w:rPr>
        <w:t>竞赛程序：</w:t>
      </w:r>
    </w:p>
    <w:p w14:paraId="0B860A25">
      <w:pPr>
        <w:pStyle w:val="4"/>
        <w:kinsoku/>
        <w:spacing w:line="360" w:lineRule="auto"/>
        <w:ind w:firstLine="640" w:firstLineChars="200"/>
        <w:jc w:val="both"/>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①备赛（时间20分钟）：参赛队由候考室进入备赛室，随机抽取一份临床案例；3名参赛选手通过随机抽签进行分工，1名选手负责询问病史和主观性评估，1名选手负责康复评定操作，1名选手负责康复治疗技术操作；</w:t>
      </w:r>
    </w:p>
    <w:p w14:paraId="12F49078">
      <w:pPr>
        <w:pStyle w:val="4"/>
        <w:kinsoku/>
        <w:spacing w:line="360" w:lineRule="auto"/>
        <w:ind w:firstLine="640" w:firstLineChars="200"/>
        <w:jc w:val="both"/>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②竞赛（时间20分钟）：参赛队由备赛室进入赛场，按照临床康复治疗工作过程，3名选手依据分工分别进行问诊、评定、治疗3个技能竞赛模块的操作及回答提问，各模块时长分配由团队选手自行决定，不限定答问选手。</w:t>
      </w:r>
    </w:p>
    <w:p w14:paraId="1E89481F">
      <w:pPr>
        <w:pStyle w:val="4"/>
        <w:kinsoku/>
        <w:spacing w:line="360" w:lineRule="auto"/>
        <w:ind w:firstLine="640" w:firstLineChars="200"/>
        <w:jc w:val="both"/>
        <w:rPr>
          <w:rFonts w:ascii="仿宋_GB2312" w:hAnsi="方正仿宋_GB2312" w:eastAsia="仿宋_GB2312" w:cs="方正仿宋_GB2312"/>
          <w:strike/>
          <w:color w:val="FF0000"/>
          <w:sz w:val="32"/>
          <w:szCs w:val="32"/>
          <w:lang w:eastAsia="zh-CN"/>
        </w:rPr>
      </w:pPr>
      <w:r>
        <w:rPr>
          <w:rFonts w:hint="eastAsia" w:ascii="仿宋_GB2312" w:hAnsi="方正仿宋_GB2312" w:eastAsia="仿宋_GB2312" w:cs="方正仿宋_GB2312"/>
          <w:color w:val="auto"/>
          <w:sz w:val="32"/>
          <w:szCs w:val="32"/>
          <w:lang w:eastAsia="zh-CN"/>
        </w:rPr>
        <w:t>总分100分（问诊20%，评定35%，治疗35%，回答问题10%）。</w:t>
      </w:r>
    </w:p>
    <w:tbl>
      <w:tblPr>
        <w:tblStyle w:val="13"/>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572"/>
        <w:gridCol w:w="481"/>
        <w:gridCol w:w="5150"/>
        <w:gridCol w:w="825"/>
        <w:gridCol w:w="928"/>
        <w:gridCol w:w="830"/>
      </w:tblGrid>
      <w:tr w14:paraId="21C1D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vAlign w:val="center"/>
          </w:tcPr>
          <w:p w14:paraId="13A08024">
            <w:pPr>
              <w:pStyle w:val="4"/>
              <w:widowControl w:val="0"/>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模块</w:t>
            </w:r>
          </w:p>
        </w:tc>
        <w:tc>
          <w:tcPr>
            <w:tcW w:w="1053" w:type="dxa"/>
            <w:gridSpan w:val="2"/>
            <w:vAlign w:val="center"/>
          </w:tcPr>
          <w:p w14:paraId="0F60A55F">
            <w:pPr>
              <w:pStyle w:val="4"/>
              <w:widowControl w:val="0"/>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类别</w:t>
            </w:r>
          </w:p>
        </w:tc>
        <w:tc>
          <w:tcPr>
            <w:tcW w:w="5150" w:type="dxa"/>
            <w:vAlign w:val="center"/>
          </w:tcPr>
          <w:p w14:paraId="09B4DB26">
            <w:pPr>
              <w:pStyle w:val="4"/>
              <w:widowControl w:val="0"/>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主要内容</w:t>
            </w:r>
          </w:p>
        </w:tc>
        <w:tc>
          <w:tcPr>
            <w:tcW w:w="825" w:type="dxa"/>
            <w:vAlign w:val="center"/>
          </w:tcPr>
          <w:p w14:paraId="7A47E5AB">
            <w:pPr>
              <w:pStyle w:val="4"/>
              <w:widowControl w:val="0"/>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比赛时长</w:t>
            </w:r>
          </w:p>
        </w:tc>
        <w:tc>
          <w:tcPr>
            <w:tcW w:w="1758" w:type="dxa"/>
            <w:gridSpan w:val="2"/>
            <w:vAlign w:val="center"/>
          </w:tcPr>
          <w:p w14:paraId="3342B90C">
            <w:pPr>
              <w:pStyle w:val="4"/>
              <w:widowControl w:val="0"/>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分值</w:t>
            </w:r>
          </w:p>
        </w:tc>
      </w:tr>
      <w:tr w14:paraId="74E41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767" w:type="dxa"/>
            <w:vAlign w:val="center"/>
          </w:tcPr>
          <w:p w14:paraId="24A70957">
            <w:pPr>
              <w:pStyle w:val="4"/>
              <w:widowControl w:val="0"/>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模块一</w:t>
            </w:r>
          </w:p>
        </w:tc>
        <w:tc>
          <w:tcPr>
            <w:tcW w:w="1053" w:type="dxa"/>
            <w:gridSpan w:val="2"/>
            <w:vAlign w:val="center"/>
          </w:tcPr>
          <w:p w14:paraId="371E126B">
            <w:pPr>
              <w:pStyle w:val="4"/>
              <w:widowControl w:val="0"/>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理论</w:t>
            </w:r>
          </w:p>
          <w:p w14:paraId="17B5551C">
            <w:pPr>
              <w:pStyle w:val="4"/>
              <w:widowControl w:val="0"/>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考试</w:t>
            </w:r>
          </w:p>
        </w:tc>
        <w:tc>
          <w:tcPr>
            <w:tcW w:w="5150" w:type="dxa"/>
            <w:vAlign w:val="center"/>
          </w:tcPr>
          <w:p w14:paraId="228EDC87">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出题范围为康复医学治疗技术资格考试内容，其中基础知识15%，相关专业知识15%，专业知识40%，专业实践能力30%</w:t>
            </w:r>
          </w:p>
        </w:tc>
        <w:tc>
          <w:tcPr>
            <w:tcW w:w="825" w:type="dxa"/>
            <w:vAlign w:val="center"/>
          </w:tcPr>
          <w:p w14:paraId="5DAEFA36">
            <w:pPr>
              <w:pStyle w:val="4"/>
              <w:widowControl w:val="0"/>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40</w:t>
            </w:r>
          </w:p>
          <w:p w14:paraId="1CC1DB49">
            <w:pPr>
              <w:pStyle w:val="4"/>
              <w:widowControl w:val="0"/>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分钟</w:t>
            </w:r>
          </w:p>
        </w:tc>
        <w:tc>
          <w:tcPr>
            <w:tcW w:w="1758" w:type="dxa"/>
            <w:gridSpan w:val="2"/>
            <w:vAlign w:val="center"/>
          </w:tcPr>
          <w:p w14:paraId="5406480D">
            <w:pPr>
              <w:pStyle w:val="4"/>
              <w:widowControl w:val="0"/>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100分</w:t>
            </w:r>
          </w:p>
          <w:p w14:paraId="1006EDF9">
            <w:pPr>
              <w:pStyle w:val="4"/>
              <w:widowControl w:val="0"/>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（占总成绩15%）</w:t>
            </w:r>
          </w:p>
        </w:tc>
      </w:tr>
      <w:tr w14:paraId="6B94A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vMerge w:val="restart"/>
            <w:vAlign w:val="center"/>
          </w:tcPr>
          <w:p w14:paraId="2A9D4B67">
            <w:pPr>
              <w:pStyle w:val="4"/>
              <w:widowControl w:val="0"/>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模块二</w:t>
            </w:r>
          </w:p>
        </w:tc>
        <w:tc>
          <w:tcPr>
            <w:tcW w:w="572" w:type="dxa"/>
            <w:vMerge w:val="restart"/>
            <w:vAlign w:val="center"/>
          </w:tcPr>
          <w:p w14:paraId="7A47F3ED">
            <w:pPr>
              <w:pStyle w:val="4"/>
              <w:widowControl w:val="0"/>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技能操作</w:t>
            </w:r>
          </w:p>
        </w:tc>
        <w:tc>
          <w:tcPr>
            <w:tcW w:w="481" w:type="dxa"/>
            <w:vAlign w:val="center"/>
          </w:tcPr>
          <w:p w14:paraId="2D0E7C7C">
            <w:pPr>
              <w:pStyle w:val="4"/>
              <w:widowControl w:val="0"/>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问诊</w:t>
            </w:r>
          </w:p>
        </w:tc>
        <w:tc>
          <w:tcPr>
            <w:tcW w:w="5150" w:type="dxa"/>
            <w:vAlign w:val="center"/>
          </w:tcPr>
          <w:p w14:paraId="1FCA5FEA">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b/>
                <w:bCs/>
                <w:color w:val="auto"/>
                <w:sz w:val="28"/>
                <w:szCs w:val="28"/>
                <w:lang w:eastAsia="zh-CN"/>
              </w:rPr>
              <w:t>任务：</w:t>
            </w:r>
            <w:r>
              <w:rPr>
                <w:rFonts w:hint="eastAsia" w:ascii="仿宋_GB2312" w:hAnsi="方正仿宋_GB2312" w:eastAsia="仿宋_GB2312" w:cs="方正仿宋_GB2312"/>
                <w:color w:val="auto"/>
                <w:sz w:val="28"/>
                <w:szCs w:val="28"/>
                <w:lang w:eastAsia="zh-CN"/>
              </w:rPr>
              <w:t>查阅病历、询问病史、与患者交流，了解病情。</w:t>
            </w:r>
          </w:p>
          <w:p w14:paraId="31CE56B2">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技能操作要求：</w:t>
            </w:r>
          </w:p>
          <w:p w14:paraId="53E0B777">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1.仪表大方，举止端庄，修饰着装整洁。</w:t>
            </w:r>
          </w:p>
          <w:p w14:paraId="6EEB3109">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2.了解患者病情病史、功能障碍情况、情绪、合作程度、有无治疗禁忌证等。</w:t>
            </w:r>
          </w:p>
          <w:p w14:paraId="4FC51A2F">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3.问诊全面准确，重点突出。</w:t>
            </w:r>
          </w:p>
          <w:p w14:paraId="578A56EA">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4.与患者沟通语言规范，态度和蔼，关心患者。</w:t>
            </w:r>
          </w:p>
        </w:tc>
        <w:tc>
          <w:tcPr>
            <w:tcW w:w="825" w:type="dxa"/>
            <w:vMerge w:val="restart"/>
            <w:vAlign w:val="center"/>
          </w:tcPr>
          <w:p w14:paraId="713520AD">
            <w:pPr>
              <w:pStyle w:val="4"/>
              <w:widowControl w:val="0"/>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20</w:t>
            </w:r>
          </w:p>
          <w:p w14:paraId="1E338C9A">
            <w:pPr>
              <w:pStyle w:val="4"/>
              <w:widowControl w:val="0"/>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分钟</w:t>
            </w:r>
          </w:p>
        </w:tc>
        <w:tc>
          <w:tcPr>
            <w:tcW w:w="928" w:type="dxa"/>
            <w:vAlign w:val="center"/>
          </w:tcPr>
          <w:p w14:paraId="3AA5BE3F">
            <w:pPr>
              <w:pStyle w:val="4"/>
              <w:widowControl w:val="0"/>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100分（占技能操作20%）</w:t>
            </w:r>
          </w:p>
        </w:tc>
        <w:tc>
          <w:tcPr>
            <w:tcW w:w="830" w:type="dxa"/>
            <w:vMerge w:val="restart"/>
            <w:vAlign w:val="center"/>
          </w:tcPr>
          <w:p w14:paraId="0380499D">
            <w:pPr>
              <w:pStyle w:val="4"/>
              <w:widowControl w:val="0"/>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100分（占总成绩85%）</w:t>
            </w:r>
          </w:p>
        </w:tc>
      </w:tr>
      <w:tr w14:paraId="3736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4" w:hRule="atLeast"/>
          <w:jc w:val="center"/>
        </w:trPr>
        <w:tc>
          <w:tcPr>
            <w:tcW w:w="767" w:type="dxa"/>
            <w:vMerge w:val="continue"/>
            <w:vAlign w:val="center"/>
          </w:tcPr>
          <w:p w14:paraId="41D1F54D">
            <w:pPr>
              <w:pStyle w:val="4"/>
              <w:widowControl w:val="0"/>
              <w:jc w:val="center"/>
              <w:rPr>
                <w:rFonts w:ascii="仿宋_GB2312" w:hAnsi="方正仿宋_GB2312" w:eastAsia="仿宋_GB2312" w:cs="方正仿宋_GB2312"/>
                <w:color w:val="auto"/>
                <w:sz w:val="28"/>
                <w:szCs w:val="28"/>
                <w:lang w:eastAsia="zh-CN"/>
              </w:rPr>
            </w:pPr>
          </w:p>
        </w:tc>
        <w:tc>
          <w:tcPr>
            <w:tcW w:w="572" w:type="dxa"/>
            <w:vMerge w:val="continue"/>
            <w:vAlign w:val="center"/>
          </w:tcPr>
          <w:p w14:paraId="2EBC5C1F">
            <w:pPr>
              <w:pStyle w:val="4"/>
              <w:widowControl w:val="0"/>
              <w:jc w:val="center"/>
              <w:rPr>
                <w:rFonts w:ascii="仿宋_GB2312" w:hAnsi="方正仿宋_GB2312" w:eastAsia="仿宋_GB2312" w:cs="方正仿宋_GB2312"/>
                <w:color w:val="auto"/>
                <w:sz w:val="28"/>
                <w:szCs w:val="28"/>
                <w:lang w:eastAsia="zh-CN"/>
              </w:rPr>
            </w:pPr>
          </w:p>
        </w:tc>
        <w:tc>
          <w:tcPr>
            <w:tcW w:w="481" w:type="dxa"/>
            <w:vAlign w:val="center"/>
          </w:tcPr>
          <w:p w14:paraId="0B26E03D">
            <w:pPr>
              <w:pStyle w:val="4"/>
              <w:widowControl w:val="0"/>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评定</w:t>
            </w:r>
          </w:p>
        </w:tc>
        <w:tc>
          <w:tcPr>
            <w:tcW w:w="5150" w:type="dxa"/>
            <w:vAlign w:val="center"/>
          </w:tcPr>
          <w:p w14:paraId="6D7548DE">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b/>
                <w:bCs/>
                <w:color w:val="auto"/>
                <w:sz w:val="28"/>
                <w:szCs w:val="28"/>
                <w:lang w:eastAsia="zh-CN"/>
              </w:rPr>
              <w:t>任务一：</w:t>
            </w:r>
            <w:r>
              <w:rPr>
                <w:rFonts w:hint="eastAsia" w:ascii="仿宋_GB2312" w:hAnsi="方正仿宋_GB2312" w:eastAsia="仿宋_GB2312" w:cs="方正仿宋_GB2312"/>
                <w:color w:val="auto"/>
                <w:sz w:val="28"/>
                <w:szCs w:val="28"/>
                <w:lang w:eastAsia="zh-CN"/>
              </w:rPr>
              <w:t>评估前准备（仪表、沟通、物品准备）</w:t>
            </w:r>
          </w:p>
          <w:p w14:paraId="47795C24">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技能操作要求：</w:t>
            </w:r>
          </w:p>
          <w:p w14:paraId="15D0B5B6">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1.仪表：仪表大方，举止端庄，修饰着装整洁。</w:t>
            </w:r>
          </w:p>
          <w:p w14:paraId="02D7B86D">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2.沟通：向患者讲明康复评定的意义，将要采取的评估方法和注意事项等。</w:t>
            </w:r>
          </w:p>
          <w:p w14:paraId="28CACEA5">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3.物品准备：正确选择、摆放评定工具或量表。</w:t>
            </w:r>
          </w:p>
          <w:p w14:paraId="07664765">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b/>
                <w:bCs/>
                <w:color w:val="auto"/>
                <w:sz w:val="28"/>
                <w:szCs w:val="28"/>
                <w:lang w:eastAsia="zh-CN"/>
              </w:rPr>
              <w:t>任务二：</w:t>
            </w:r>
            <w:r>
              <w:rPr>
                <w:rFonts w:hint="eastAsia" w:ascii="仿宋_GB2312" w:hAnsi="方正仿宋_GB2312" w:eastAsia="仿宋_GB2312" w:cs="方正仿宋_GB2312"/>
                <w:color w:val="auto"/>
                <w:sz w:val="28"/>
                <w:szCs w:val="28"/>
                <w:lang w:eastAsia="zh-CN"/>
              </w:rPr>
              <w:t>规范进行评估操作（患者体位、治疗师体位、操作方法、反应观察）</w:t>
            </w:r>
          </w:p>
          <w:p w14:paraId="79CDA1B0">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技能操作要求</w:t>
            </w:r>
          </w:p>
          <w:p w14:paraId="60C0DF63">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1.患者体位：正确、安全、舒适、便于配合操作。</w:t>
            </w:r>
          </w:p>
          <w:p w14:paraId="6246BBF1">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2.治疗师体位：舒适、安全、省力、便于操作。</w:t>
            </w:r>
          </w:p>
          <w:p w14:paraId="4EA50ABB">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3.操作方法：动作标准、规范、娴熟、准确、稳重、有序。</w:t>
            </w:r>
          </w:p>
          <w:p w14:paraId="2C997D47">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4.口令交流：明确、简介、规范、高效。</w:t>
            </w:r>
          </w:p>
          <w:p w14:paraId="1767E25D">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5.反应观察：随时观察、询问操作反应，及时调整或停止操作。</w:t>
            </w:r>
          </w:p>
          <w:p w14:paraId="0763CDE6">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b/>
                <w:bCs/>
                <w:color w:val="auto"/>
                <w:sz w:val="28"/>
                <w:szCs w:val="28"/>
                <w:lang w:eastAsia="zh-CN"/>
              </w:rPr>
              <w:t>任务三：</w:t>
            </w:r>
            <w:r>
              <w:rPr>
                <w:rFonts w:hint="eastAsia" w:ascii="仿宋_GB2312" w:hAnsi="方正仿宋_GB2312" w:eastAsia="仿宋_GB2312" w:cs="方正仿宋_GB2312"/>
                <w:color w:val="auto"/>
                <w:sz w:val="28"/>
                <w:szCs w:val="28"/>
                <w:lang w:eastAsia="zh-CN"/>
              </w:rPr>
              <w:t>评估后准备做出评定结论。</w:t>
            </w:r>
          </w:p>
          <w:p w14:paraId="1ADEA84E">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技能操作要求</w:t>
            </w:r>
          </w:p>
          <w:p w14:paraId="6AEB7134">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1.能根据检查评估的情况对患者作出正确的功能评定结论。</w:t>
            </w:r>
          </w:p>
          <w:p w14:paraId="6562D2EC">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2.评定结束后整理用物。</w:t>
            </w:r>
          </w:p>
        </w:tc>
        <w:tc>
          <w:tcPr>
            <w:tcW w:w="825" w:type="dxa"/>
            <w:vMerge w:val="continue"/>
          </w:tcPr>
          <w:p w14:paraId="1B428B77">
            <w:pPr>
              <w:pStyle w:val="4"/>
              <w:widowControl w:val="0"/>
              <w:jc w:val="center"/>
              <w:rPr>
                <w:rFonts w:ascii="仿宋_GB2312" w:hAnsi="方正仿宋_GB2312" w:eastAsia="仿宋_GB2312" w:cs="方正仿宋_GB2312"/>
                <w:color w:val="auto"/>
                <w:sz w:val="28"/>
                <w:szCs w:val="28"/>
                <w:lang w:eastAsia="zh-CN"/>
              </w:rPr>
            </w:pPr>
          </w:p>
        </w:tc>
        <w:tc>
          <w:tcPr>
            <w:tcW w:w="928" w:type="dxa"/>
            <w:vAlign w:val="center"/>
          </w:tcPr>
          <w:p w14:paraId="62ED2500">
            <w:pPr>
              <w:pStyle w:val="4"/>
              <w:widowControl w:val="0"/>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100分（占技能操作35%）</w:t>
            </w:r>
          </w:p>
        </w:tc>
        <w:tc>
          <w:tcPr>
            <w:tcW w:w="830" w:type="dxa"/>
            <w:vMerge w:val="continue"/>
          </w:tcPr>
          <w:p w14:paraId="3EB169DC">
            <w:pPr>
              <w:pStyle w:val="4"/>
              <w:widowControl w:val="0"/>
              <w:jc w:val="both"/>
              <w:rPr>
                <w:rFonts w:ascii="仿宋_GB2312" w:hAnsi="方正仿宋_GB2312" w:eastAsia="仿宋_GB2312" w:cs="方正仿宋_GB2312"/>
                <w:color w:val="auto"/>
                <w:sz w:val="28"/>
                <w:szCs w:val="28"/>
                <w:lang w:eastAsia="zh-CN"/>
              </w:rPr>
            </w:pPr>
          </w:p>
        </w:tc>
      </w:tr>
      <w:tr w14:paraId="0846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6" w:hRule="atLeast"/>
          <w:jc w:val="center"/>
        </w:trPr>
        <w:tc>
          <w:tcPr>
            <w:tcW w:w="767" w:type="dxa"/>
            <w:vMerge w:val="continue"/>
          </w:tcPr>
          <w:p w14:paraId="5291496B">
            <w:pPr>
              <w:pStyle w:val="4"/>
              <w:widowControl w:val="0"/>
              <w:jc w:val="center"/>
              <w:rPr>
                <w:rFonts w:ascii="仿宋_GB2312" w:hAnsi="方正仿宋_GB2312" w:eastAsia="仿宋_GB2312" w:cs="方正仿宋_GB2312"/>
                <w:color w:val="auto"/>
                <w:sz w:val="28"/>
                <w:szCs w:val="28"/>
                <w:lang w:eastAsia="zh-CN"/>
              </w:rPr>
            </w:pPr>
          </w:p>
        </w:tc>
        <w:tc>
          <w:tcPr>
            <w:tcW w:w="572" w:type="dxa"/>
            <w:vMerge w:val="continue"/>
          </w:tcPr>
          <w:p w14:paraId="2ABA5DBF">
            <w:pPr>
              <w:pStyle w:val="4"/>
              <w:widowControl w:val="0"/>
              <w:jc w:val="center"/>
              <w:rPr>
                <w:rFonts w:ascii="仿宋_GB2312" w:hAnsi="方正仿宋_GB2312" w:eastAsia="仿宋_GB2312" w:cs="方正仿宋_GB2312"/>
                <w:color w:val="auto"/>
                <w:sz w:val="28"/>
                <w:szCs w:val="28"/>
                <w:lang w:eastAsia="zh-CN"/>
              </w:rPr>
            </w:pPr>
          </w:p>
        </w:tc>
        <w:tc>
          <w:tcPr>
            <w:tcW w:w="481" w:type="dxa"/>
            <w:vAlign w:val="center"/>
          </w:tcPr>
          <w:p w14:paraId="4AAB33FD">
            <w:pPr>
              <w:pStyle w:val="4"/>
              <w:widowControl w:val="0"/>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治疗</w:t>
            </w:r>
          </w:p>
        </w:tc>
        <w:tc>
          <w:tcPr>
            <w:tcW w:w="5150" w:type="dxa"/>
            <w:vAlign w:val="center"/>
          </w:tcPr>
          <w:p w14:paraId="24F65551">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b/>
                <w:bCs/>
                <w:color w:val="auto"/>
                <w:sz w:val="28"/>
                <w:szCs w:val="28"/>
                <w:lang w:eastAsia="zh-CN"/>
              </w:rPr>
              <w:t>任务一：</w:t>
            </w:r>
            <w:r>
              <w:rPr>
                <w:rFonts w:hint="eastAsia" w:ascii="仿宋_GB2312" w:hAnsi="方正仿宋_GB2312" w:eastAsia="仿宋_GB2312" w:cs="方正仿宋_GB2312"/>
                <w:color w:val="auto"/>
                <w:sz w:val="28"/>
                <w:szCs w:val="28"/>
                <w:lang w:eastAsia="zh-CN"/>
              </w:rPr>
              <w:t>治疗操作前准备（仪表、沟通、物品准备）</w:t>
            </w:r>
          </w:p>
          <w:p w14:paraId="1933C731">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技能操作要求</w:t>
            </w:r>
          </w:p>
          <w:p w14:paraId="726D5034">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1.仪表:仪表大方，举止端庄，修饰着装整洁；</w:t>
            </w:r>
          </w:p>
          <w:p w14:paraId="66AADDF0">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2.沟通:向患者讲明康复治疗的意义、将要采取的康复治疗措施和作用、注意事项等；</w:t>
            </w:r>
          </w:p>
          <w:p w14:paraId="4411348D">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3.物品准备:正确选择、摆放治疗设备和工具。</w:t>
            </w:r>
          </w:p>
          <w:p w14:paraId="6319E26E">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b/>
                <w:bCs/>
                <w:color w:val="auto"/>
                <w:sz w:val="28"/>
                <w:szCs w:val="28"/>
                <w:lang w:eastAsia="zh-CN"/>
              </w:rPr>
              <w:t>任务二：</w:t>
            </w:r>
            <w:r>
              <w:rPr>
                <w:rFonts w:hint="eastAsia" w:ascii="仿宋_GB2312" w:hAnsi="方正仿宋_GB2312" w:eastAsia="仿宋_GB2312" w:cs="方正仿宋_GB2312"/>
                <w:color w:val="auto"/>
                <w:sz w:val="28"/>
                <w:szCs w:val="28"/>
                <w:lang w:eastAsia="zh-CN"/>
              </w:rPr>
              <w:t>规范进行治疗操作（患者体位、治疗师体位、操作方法、口令交流、反应观察）</w:t>
            </w:r>
          </w:p>
          <w:p w14:paraId="731094A9">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技能操作要求</w:t>
            </w:r>
          </w:p>
          <w:p w14:paraId="5E241D84">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1.患者体位:正确、安全、舒适、便于配合操作;</w:t>
            </w:r>
          </w:p>
          <w:p w14:paraId="2A8D3030">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2.治疗师体位:舒适、安全、省力、便于操作;</w:t>
            </w:r>
          </w:p>
          <w:p w14:paraId="057E761C">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3.操作方法:操作手法正确、规范、有效，角度、力度适宜，过程熟练;</w:t>
            </w:r>
          </w:p>
          <w:p w14:paraId="5F85CD63">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4.口令交流:明确、简洁、规范、高效;</w:t>
            </w:r>
          </w:p>
          <w:p w14:paraId="2B25382A">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5.反应观察:随时观察、询问操作反应，及时调整或停止操作。</w:t>
            </w:r>
          </w:p>
          <w:p w14:paraId="4DE87DFF">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b/>
                <w:bCs/>
                <w:color w:val="auto"/>
                <w:sz w:val="28"/>
                <w:szCs w:val="28"/>
                <w:lang w:eastAsia="zh-CN"/>
              </w:rPr>
              <w:t>任务三：</w:t>
            </w:r>
            <w:r>
              <w:rPr>
                <w:rFonts w:hint="eastAsia" w:ascii="仿宋_GB2312" w:hAnsi="方正仿宋_GB2312" w:eastAsia="仿宋_GB2312" w:cs="方正仿宋_GB2312"/>
                <w:color w:val="auto"/>
                <w:sz w:val="28"/>
                <w:szCs w:val="28"/>
                <w:lang w:eastAsia="zh-CN"/>
              </w:rPr>
              <w:t>治疗操作后进行治疗评价，健康宣教，整理用物。</w:t>
            </w:r>
          </w:p>
          <w:p w14:paraId="6B367833">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技能操作要求:</w:t>
            </w:r>
          </w:p>
          <w:p w14:paraId="23AE3131">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1.治疗评价:评价患者感受、治疗反应及治疗目标达到的程度;</w:t>
            </w:r>
          </w:p>
          <w:p w14:paraId="6CA1F798">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2.健康宣教:根据训练内容，布置课后训练项目或叮嘱注意事项:</w:t>
            </w:r>
          </w:p>
          <w:p w14:paraId="1CA47769">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3.整理用物:整理床单位，整理设备和物品。</w:t>
            </w:r>
          </w:p>
        </w:tc>
        <w:tc>
          <w:tcPr>
            <w:tcW w:w="825" w:type="dxa"/>
            <w:vMerge w:val="continue"/>
          </w:tcPr>
          <w:p w14:paraId="6C85ADEA">
            <w:pPr>
              <w:pStyle w:val="4"/>
              <w:widowControl w:val="0"/>
              <w:jc w:val="center"/>
              <w:rPr>
                <w:rFonts w:ascii="仿宋_GB2312" w:hAnsi="方正仿宋_GB2312" w:eastAsia="仿宋_GB2312" w:cs="方正仿宋_GB2312"/>
                <w:color w:val="auto"/>
                <w:sz w:val="28"/>
                <w:szCs w:val="28"/>
                <w:lang w:eastAsia="zh-CN"/>
              </w:rPr>
            </w:pPr>
          </w:p>
        </w:tc>
        <w:tc>
          <w:tcPr>
            <w:tcW w:w="928" w:type="dxa"/>
            <w:vAlign w:val="center"/>
          </w:tcPr>
          <w:p w14:paraId="5F6DE1BE">
            <w:pPr>
              <w:pStyle w:val="4"/>
              <w:widowControl w:val="0"/>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100分（占技能操作35%）</w:t>
            </w:r>
          </w:p>
        </w:tc>
        <w:tc>
          <w:tcPr>
            <w:tcW w:w="830" w:type="dxa"/>
            <w:vMerge w:val="continue"/>
          </w:tcPr>
          <w:p w14:paraId="157A1A0E">
            <w:pPr>
              <w:pStyle w:val="4"/>
              <w:widowControl w:val="0"/>
              <w:jc w:val="both"/>
              <w:rPr>
                <w:rFonts w:ascii="仿宋_GB2312" w:hAnsi="方正仿宋_GB2312" w:eastAsia="仿宋_GB2312" w:cs="方正仿宋_GB2312"/>
                <w:color w:val="auto"/>
                <w:sz w:val="28"/>
                <w:szCs w:val="28"/>
                <w:lang w:eastAsia="zh-CN"/>
              </w:rPr>
            </w:pPr>
          </w:p>
        </w:tc>
      </w:tr>
      <w:tr w14:paraId="00BF8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vMerge w:val="continue"/>
          </w:tcPr>
          <w:p w14:paraId="0CAC6B87">
            <w:pPr>
              <w:pStyle w:val="4"/>
              <w:widowControl w:val="0"/>
              <w:jc w:val="center"/>
              <w:rPr>
                <w:rFonts w:ascii="仿宋_GB2312" w:hAnsi="方正仿宋_GB2312" w:eastAsia="仿宋_GB2312" w:cs="方正仿宋_GB2312"/>
                <w:color w:val="auto"/>
                <w:sz w:val="28"/>
                <w:szCs w:val="28"/>
                <w:lang w:eastAsia="zh-CN"/>
              </w:rPr>
            </w:pPr>
          </w:p>
        </w:tc>
        <w:tc>
          <w:tcPr>
            <w:tcW w:w="572" w:type="dxa"/>
            <w:vMerge w:val="continue"/>
          </w:tcPr>
          <w:p w14:paraId="4DA5CE7E">
            <w:pPr>
              <w:pStyle w:val="4"/>
              <w:widowControl w:val="0"/>
              <w:jc w:val="center"/>
              <w:rPr>
                <w:rFonts w:ascii="仿宋_GB2312" w:hAnsi="方正仿宋_GB2312" w:eastAsia="仿宋_GB2312" w:cs="方正仿宋_GB2312"/>
                <w:color w:val="auto"/>
                <w:sz w:val="28"/>
                <w:szCs w:val="28"/>
                <w:lang w:eastAsia="zh-CN"/>
              </w:rPr>
            </w:pPr>
          </w:p>
        </w:tc>
        <w:tc>
          <w:tcPr>
            <w:tcW w:w="481" w:type="dxa"/>
            <w:vAlign w:val="center"/>
          </w:tcPr>
          <w:p w14:paraId="6CEF974E">
            <w:pPr>
              <w:pStyle w:val="4"/>
              <w:widowControl w:val="0"/>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答问</w:t>
            </w:r>
          </w:p>
        </w:tc>
        <w:tc>
          <w:tcPr>
            <w:tcW w:w="5150" w:type="dxa"/>
            <w:vAlign w:val="center"/>
          </w:tcPr>
          <w:p w14:paraId="3E8C7BE1">
            <w:pPr>
              <w:pStyle w:val="4"/>
              <w:keepNext w:val="0"/>
              <w:keepLines w:val="0"/>
              <w:pageBreakBefore w:val="0"/>
              <w:widowControl w:val="0"/>
              <w:kinsoku w:val="0"/>
              <w:wordWrap/>
              <w:overflowPunct/>
              <w:topLinePunct/>
              <w:autoSpaceDE w:val="0"/>
              <w:autoSpaceDN w:val="0"/>
              <w:bidi w:val="0"/>
              <w:adjustRightInd w:val="0"/>
              <w:snapToGrid w:val="0"/>
              <w:jc w:val="both"/>
              <w:textAlignment w:val="baseline"/>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b/>
                <w:bCs/>
                <w:color w:val="auto"/>
                <w:sz w:val="28"/>
                <w:szCs w:val="28"/>
                <w:lang w:eastAsia="zh-CN"/>
              </w:rPr>
              <w:t>回答问题：</w:t>
            </w:r>
            <w:r>
              <w:rPr>
                <w:rFonts w:hint="eastAsia" w:ascii="仿宋_GB2312" w:hAnsi="方正仿宋_GB2312" w:eastAsia="仿宋_GB2312" w:cs="方正仿宋_GB2312"/>
                <w:color w:val="auto"/>
                <w:sz w:val="28"/>
                <w:szCs w:val="28"/>
                <w:lang w:eastAsia="zh-CN"/>
              </w:rPr>
              <w:t>言语表达流利，思路清晰，回答全面、专业知识技术应用正确熟练。</w:t>
            </w:r>
          </w:p>
        </w:tc>
        <w:tc>
          <w:tcPr>
            <w:tcW w:w="825" w:type="dxa"/>
          </w:tcPr>
          <w:p w14:paraId="2E7939FC">
            <w:pPr>
              <w:pStyle w:val="4"/>
              <w:widowControl w:val="0"/>
              <w:jc w:val="center"/>
              <w:rPr>
                <w:rFonts w:ascii="仿宋_GB2312" w:hAnsi="方正仿宋_GB2312" w:eastAsia="仿宋_GB2312" w:cs="方正仿宋_GB2312"/>
                <w:color w:val="auto"/>
                <w:sz w:val="28"/>
                <w:szCs w:val="28"/>
                <w:lang w:eastAsia="zh-CN"/>
              </w:rPr>
            </w:pPr>
          </w:p>
        </w:tc>
        <w:tc>
          <w:tcPr>
            <w:tcW w:w="928" w:type="dxa"/>
          </w:tcPr>
          <w:p w14:paraId="7BB24AD1">
            <w:pPr>
              <w:pStyle w:val="4"/>
              <w:widowControl w:val="0"/>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100分（占技能操作10%）</w:t>
            </w:r>
          </w:p>
        </w:tc>
        <w:tc>
          <w:tcPr>
            <w:tcW w:w="830" w:type="dxa"/>
            <w:vMerge w:val="continue"/>
          </w:tcPr>
          <w:p w14:paraId="01ED1EB4">
            <w:pPr>
              <w:pStyle w:val="4"/>
              <w:widowControl w:val="0"/>
              <w:jc w:val="both"/>
              <w:rPr>
                <w:rFonts w:ascii="仿宋_GB2312" w:hAnsi="方正仿宋_GB2312" w:eastAsia="仿宋_GB2312" w:cs="方正仿宋_GB2312"/>
                <w:color w:val="auto"/>
                <w:sz w:val="28"/>
                <w:szCs w:val="28"/>
                <w:lang w:eastAsia="zh-CN"/>
              </w:rPr>
            </w:pPr>
          </w:p>
        </w:tc>
      </w:tr>
    </w:tbl>
    <w:p w14:paraId="4F866AED">
      <w:pPr>
        <w:pStyle w:val="4"/>
        <w:spacing w:line="360" w:lineRule="auto"/>
        <w:jc w:val="both"/>
        <w:rPr>
          <w:rFonts w:ascii="黑体" w:hAnsi="黑体" w:eastAsia="黑体" w:cs="黑体"/>
          <w:snapToGrid/>
          <w:kern w:val="2"/>
          <w:sz w:val="32"/>
          <w:szCs w:val="32"/>
          <w:lang w:eastAsia="zh-CN"/>
        </w:rPr>
      </w:pPr>
    </w:p>
    <w:p w14:paraId="72C0EF23">
      <w:pPr>
        <w:pStyle w:val="2"/>
        <w:spacing w:before="0" w:after="0" w:line="360" w:lineRule="auto"/>
        <w:ind w:firstLine="640" w:firstLineChars="200"/>
        <w:rPr>
          <w:rFonts w:ascii="黑体" w:hAnsi="黑体" w:eastAsia="黑体" w:cs="宋体"/>
          <w:b w:val="0"/>
          <w:bCs w:val="0"/>
          <w:sz w:val="32"/>
          <w:szCs w:val="32"/>
          <w:lang w:eastAsia="zh-CN"/>
        </w:rPr>
      </w:pPr>
      <w:bookmarkStart w:id="7" w:name="_Toc243408235"/>
      <w:r>
        <w:rPr>
          <w:rFonts w:hint="eastAsia" w:ascii="黑体" w:hAnsi="黑体" w:eastAsia="黑体" w:cs="宋体"/>
          <w:b w:val="0"/>
          <w:bCs w:val="0"/>
          <w:sz w:val="32"/>
          <w:szCs w:val="32"/>
          <w:lang w:eastAsia="zh-CN"/>
        </w:rPr>
        <w:t>四、竞赛方式</w:t>
      </w:r>
      <w:bookmarkEnd w:id="7"/>
    </w:p>
    <w:p w14:paraId="6EA31822">
      <w:pPr>
        <w:pStyle w:val="3"/>
        <w:spacing w:before="0" w:after="0" w:line="360" w:lineRule="auto"/>
        <w:ind w:firstLine="643" w:firstLineChars="200"/>
        <w:rPr>
          <w:rFonts w:ascii="楷体_GB2312" w:eastAsia="楷体_GB2312"/>
          <w:lang w:eastAsia="zh-CN"/>
        </w:rPr>
      </w:pPr>
      <w:bookmarkStart w:id="8" w:name="_Toc243408236"/>
      <w:r>
        <w:rPr>
          <w:rFonts w:hint="eastAsia" w:ascii="楷体_GB2312" w:eastAsia="楷体_GB2312"/>
          <w:lang w:eastAsia="zh-CN"/>
        </w:rPr>
        <w:t>（一）参赛对象</w:t>
      </w:r>
      <w:bookmarkEnd w:id="8"/>
    </w:p>
    <w:p w14:paraId="76676AF9">
      <w:pPr>
        <w:pStyle w:val="4"/>
        <w:spacing w:line="360" w:lineRule="auto"/>
        <w:ind w:firstLine="640" w:firstLineChars="200"/>
        <w:jc w:val="both"/>
        <w:rPr>
          <w:rFonts w:ascii="仿宋_GB2312" w:hAnsi="方正仿宋_GB2312" w:eastAsia="仿宋_GB2312" w:cs="方正仿宋_GB2312"/>
          <w:snapToGrid/>
          <w:kern w:val="2"/>
          <w:sz w:val="32"/>
          <w:szCs w:val="32"/>
          <w:lang w:eastAsia="zh-CN"/>
        </w:rPr>
      </w:pPr>
      <w:r>
        <w:rPr>
          <w:rFonts w:hint="eastAsia" w:ascii="仿宋_GB2312" w:hAnsi="方正仿宋_GB2312" w:eastAsia="仿宋_GB2312" w:cs="方正仿宋_GB2312"/>
          <w:snapToGrid/>
          <w:kern w:val="2"/>
          <w:sz w:val="32"/>
          <w:szCs w:val="32"/>
          <w:lang w:eastAsia="zh-CN"/>
        </w:rPr>
        <w:t>参赛选手须为高等学校全日制在籍高职高专类学生。根据 2026年职业院校技能大赛选拔参赛选手的要求，参赛选手年龄不超过</w:t>
      </w:r>
      <w:r>
        <w:rPr>
          <w:rFonts w:ascii="仿宋_GB2312" w:hAnsi="方正仿宋_GB2312" w:eastAsia="仿宋_GB2312" w:cs="方正仿宋_GB2312"/>
          <w:snapToGrid/>
          <w:kern w:val="2"/>
          <w:sz w:val="32"/>
          <w:szCs w:val="32"/>
          <w:lang w:eastAsia="zh-CN"/>
        </w:rPr>
        <w:t>25</w:t>
      </w:r>
      <w:r>
        <w:rPr>
          <w:rFonts w:hint="eastAsia" w:ascii="仿宋_GB2312" w:hAnsi="方正仿宋_GB2312" w:eastAsia="仿宋_GB2312" w:cs="方正仿宋_GB2312"/>
          <w:snapToGrid/>
          <w:kern w:val="2"/>
          <w:sz w:val="32"/>
          <w:szCs w:val="32"/>
          <w:lang w:eastAsia="zh-CN"/>
        </w:rPr>
        <w:t>周岁（即</w:t>
      </w:r>
      <w:r>
        <w:rPr>
          <w:rFonts w:ascii="仿宋_GB2312" w:hAnsi="方正仿宋_GB2312" w:eastAsia="仿宋_GB2312" w:cs="方正仿宋_GB2312"/>
          <w:snapToGrid/>
          <w:kern w:val="2"/>
          <w:sz w:val="32"/>
          <w:szCs w:val="32"/>
          <w:lang w:eastAsia="zh-CN"/>
        </w:rPr>
        <w:t>2002</w:t>
      </w:r>
      <w:r>
        <w:rPr>
          <w:rFonts w:hint="eastAsia" w:ascii="仿宋_GB2312" w:hAnsi="方正仿宋_GB2312" w:eastAsia="仿宋_GB2312" w:cs="方正仿宋_GB2312"/>
          <w:snapToGrid/>
          <w:kern w:val="2"/>
          <w:sz w:val="32"/>
          <w:szCs w:val="32"/>
          <w:lang w:eastAsia="zh-CN"/>
        </w:rPr>
        <w:t>年</w:t>
      </w:r>
      <w:r>
        <w:rPr>
          <w:rFonts w:ascii="仿宋_GB2312" w:hAnsi="方正仿宋_GB2312" w:eastAsia="仿宋_GB2312" w:cs="方正仿宋_GB2312"/>
          <w:snapToGrid/>
          <w:kern w:val="2"/>
          <w:sz w:val="32"/>
          <w:szCs w:val="32"/>
          <w:lang w:eastAsia="zh-CN"/>
        </w:rPr>
        <w:t>5</w:t>
      </w:r>
      <w:r>
        <w:rPr>
          <w:rFonts w:hint="eastAsia" w:ascii="仿宋_GB2312" w:hAnsi="方正仿宋_GB2312" w:eastAsia="仿宋_GB2312" w:cs="方正仿宋_GB2312"/>
          <w:snapToGrid/>
          <w:kern w:val="2"/>
          <w:sz w:val="32"/>
          <w:szCs w:val="32"/>
          <w:lang w:eastAsia="zh-CN"/>
        </w:rPr>
        <w:t>月</w:t>
      </w:r>
      <w:r>
        <w:rPr>
          <w:rFonts w:ascii="仿宋_GB2312" w:hAnsi="方正仿宋_GB2312" w:eastAsia="仿宋_GB2312" w:cs="方正仿宋_GB2312"/>
          <w:snapToGrid/>
          <w:kern w:val="2"/>
          <w:sz w:val="32"/>
          <w:szCs w:val="32"/>
          <w:lang w:eastAsia="zh-CN"/>
        </w:rPr>
        <w:t>1</w:t>
      </w:r>
      <w:r>
        <w:rPr>
          <w:rFonts w:hint="eastAsia" w:ascii="仿宋_GB2312" w:hAnsi="方正仿宋_GB2312" w:eastAsia="仿宋_GB2312" w:cs="方正仿宋_GB2312"/>
          <w:snapToGrid/>
          <w:kern w:val="2"/>
          <w:sz w:val="32"/>
          <w:szCs w:val="32"/>
          <w:lang w:eastAsia="zh-CN"/>
        </w:rPr>
        <w:t>日及以后出生）。五年制高职学生报名参赛的，四、五年级学生参加可参加本赛项比赛。在</w:t>
      </w:r>
      <w:r>
        <w:rPr>
          <w:rFonts w:ascii="仿宋_GB2312" w:hAnsi="方正仿宋_GB2312" w:eastAsia="仿宋_GB2312" w:cs="方正仿宋_GB2312"/>
          <w:snapToGrid/>
          <w:kern w:val="2"/>
          <w:sz w:val="32"/>
          <w:szCs w:val="32"/>
          <w:lang w:eastAsia="zh-CN"/>
        </w:rPr>
        <w:t>2025</w:t>
      </w:r>
      <w:r>
        <w:rPr>
          <w:rFonts w:hint="eastAsia" w:ascii="仿宋_GB2312" w:hAnsi="方正仿宋_GB2312" w:eastAsia="仿宋_GB2312" w:cs="方正仿宋_GB2312"/>
          <w:snapToGrid/>
          <w:kern w:val="2"/>
          <w:sz w:val="32"/>
          <w:szCs w:val="32"/>
          <w:lang w:eastAsia="zh-CN"/>
        </w:rPr>
        <w:t>年世界职业院校技能大赛争夺赛中获一等奖的选手，不能再参加今年同一项目（同一组别）的全省竞赛。</w:t>
      </w:r>
    </w:p>
    <w:p w14:paraId="4E473220">
      <w:pPr>
        <w:pStyle w:val="3"/>
        <w:spacing w:before="0" w:after="0" w:line="360" w:lineRule="auto"/>
        <w:ind w:firstLine="643" w:firstLineChars="200"/>
        <w:rPr>
          <w:rFonts w:ascii="楷体_GB2312" w:eastAsia="楷体_GB2312"/>
          <w:lang w:eastAsia="zh-CN"/>
        </w:rPr>
      </w:pPr>
      <w:bookmarkStart w:id="9" w:name="_Toc243408237"/>
      <w:r>
        <w:rPr>
          <w:rFonts w:hint="eastAsia" w:ascii="楷体_GB2312" w:eastAsia="楷体_GB2312"/>
          <w:lang w:eastAsia="zh-CN"/>
        </w:rPr>
        <w:t>（二）竞赛形式</w:t>
      </w:r>
      <w:bookmarkEnd w:id="9"/>
    </w:p>
    <w:p w14:paraId="1C5AE1AD">
      <w:pPr>
        <w:pStyle w:val="4"/>
        <w:spacing w:line="360" w:lineRule="auto"/>
        <w:ind w:firstLine="640" w:firstLineChars="200"/>
        <w:jc w:val="both"/>
        <w:rPr>
          <w:rFonts w:ascii="仿宋_GB2312" w:hAnsi="方正仿宋_GB2312" w:eastAsia="仿宋_GB2312" w:cs="方正仿宋_GB2312"/>
          <w:snapToGrid/>
          <w:kern w:val="2"/>
          <w:sz w:val="32"/>
          <w:szCs w:val="32"/>
          <w:lang w:eastAsia="zh-CN"/>
        </w:rPr>
      </w:pPr>
      <w:r>
        <w:rPr>
          <w:rFonts w:hint="eastAsia" w:ascii="仿宋_GB2312" w:hAnsi="方正仿宋_GB2312" w:eastAsia="仿宋_GB2312" w:cs="方正仿宋_GB2312"/>
          <w:color w:val="auto"/>
          <w:sz w:val="32"/>
          <w:szCs w:val="32"/>
          <w:lang w:eastAsia="zh-CN"/>
        </w:rPr>
        <w:t>本赛项为线下比赛。</w:t>
      </w:r>
    </w:p>
    <w:p w14:paraId="6590717A">
      <w:pPr>
        <w:pStyle w:val="3"/>
        <w:spacing w:before="0" w:after="0" w:line="360" w:lineRule="auto"/>
        <w:ind w:firstLine="643" w:firstLineChars="200"/>
        <w:rPr>
          <w:rFonts w:ascii="楷体_GB2312" w:eastAsia="楷体_GB2312"/>
          <w:lang w:eastAsia="zh-CN"/>
        </w:rPr>
      </w:pPr>
      <w:bookmarkStart w:id="10" w:name="_Toc243408238"/>
      <w:r>
        <w:rPr>
          <w:rFonts w:hint="eastAsia" w:ascii="楷体_GB2312" w:eastAsia="楷体_GB2312"/>
          <w:lang w:eastAsia="zh-CN"/>
        </w:rPr>
        <w:t>（三）组队方式</w:t>
      </w:r>
      <w:bookmarkEnd w:id="10"/>
    </w:p>
    <w:p w14:paraId="715E4808">
      <w:pPr>
        <w:pStyle w:val="4"/>
        <w:spacing w:line="360" w:lineRule="auto"/>
        <w:ind w:firstLine="640" w:firstLineChars="200"/>
        <w:jc w:val="both"/>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1.本赛项为团体赛，以团队方式报名参赛。</w:t>
      </w:r>
    </w:p>
    <w:p w14:paraId="48FE5EA1">
      <w:pPr>
        <w:pStyle w:val="4"/>
        <w:spacing w:line="360" w:lineRule="auto"/>
        <w:ind w:firstLine="640" w:firstLineChars="200"/>
        <w:jc w:val="both"/>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2.每个学校参赛队伍以正式比赛报名通知为准，同一学校参赛队不超过3队；不得跨校组队。</w:t>
      </w:r>
    </w:p>
    <w:p w14:paraId="61812CEA">
      <w:pPr>
        <w:pStyle w:val="4"/>
        <w:kinsoku/>
        <w:spacing w:line="360" w:lineRule="auto"/>
        <w:ind w:firstLine="640" w:firstLineChars="200"/>
        <w:jc w:val="both"/>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3.每个团队3名参赛队员，1-2名指导教师（排名不分先后）。</w:t>
      </w:r>
    </w:p>
    <w:p w14:paraId="33A4F276">
      <w:pPr>
        <w:pStyle w:val="4"/>
        <w:kinsoku/>
        <w:spacing w:line="360" w:lineRule="auto"/>
        <w:ind w:firstLine="640" w:firstLineChars="200"/>
        <w:jc w:val="both"/>
        <w:rPr>
          <w:rFonts w:ascii="仿宋_GB2312" w:hAnsi="方正仿宋_GB2312" w:eastAsia="仿宋_GB2312" w:cs="方正仿宋_GB2312"/>
          <w:color w:val="auto"/>
          <w:sz w:val="32"/>
          <w:szCs w:val="32"/>
          <w:lang w:eastAsia="zh-CN"/>
        </w:rPr>
      </w:pPr>
      <w:r>
        <w:rPr>
          <w:rFonts w:hint="eastAsia" w:ascii="仿宋_GB2312" w:hAnsi="方正仿宋_GB2312" w:eastAsia="仿宋_GB2312" w:cs="方正仿宋_GB2312"/>
          <w:color w:val="auto"/>
          <w:sz w:val="32"/>
          <w:szCs w:val="32"/>
          <w:lang w:eastAsia="zh-CN"/>
        </w:rPr>
        <w:t>4.参赛选手和指导教师经报名确认后，不得随意更换。因故无法参赛，须由学校在开赛前10个工作日出具书面说明，并按参赛选手资格补充人员接受审核，经大赛组委会办公室同意后予以更换。如未经报备，发现实际参赛选手与报名信息不符的情况，均不得入场比赛。</w:t>
      </w:r>
    </w:p>
    <w:p w14:paraId="59F67075">
      <w:pPr>
        <w:pStyle w:val="2"/>
        <w:spacing w:before="0" w:after="0" w:line="360" w:lineRule="auto"/>
        <w:ind w:firstLine="640" w:firstLineChars="200"/>
        <w:rPr>
          <w:rFonts w:ascii="黑体" w:hAnsi="黑体" w:eastAsia="黑体" w:cs="宋体"/>
          <w:b w:val="0"/>
          <w:bCs w:val="0"/>
          <w:sz w:val="32"/>
          <w:szCs w:val="32"/>
          <w:lang w:eastAsia="zh-CN"/>
        </w:rPr>
      </w:pPr>
      <w:bookmarkStart w:id="11" w:name="_Toc243408239"/>
      <w:r>
        <w:rPr>
          <w:rFonts w:hint="eastAsia" w:ascii="黑体" w:hAnsi="黑体" w:eastAsia="黑体" w:cs="宋体"/>
          <w:b w:val="0"/>
          <w:bCs w:val="0"/>
          <w:sz w:val="32"/>
          <w:szCs w:val="32"/>
          <w:lang w:eastAsia="zh-CN"/>
        </w:rPr>
        <w:t>五、竞赛流程</w:t>
      </w:r>
      <w:bookmarkEnd w:id="11"/>
    </w:p>
    <w:p w14:paraId="1CF58A66">
      <w:pPr>
        <w:pStyle w:val="3"/>
        <w:spacing w:before="0" w:after="0" w:line="360" w:lineRule="auto"/>
        <w:ind w:firstLine="643" w:firstLineChars="200"/>
        <w:rPr>
          <w:rFonts w:ascii="楷体_GB2312" w:eastAsia="楷体_GB2312"/>
          <w:lang w:eastAsia="zh-CN"/>
        </w:rPr>
      </w:pPr>
      <w:r>
        <w:rPr>
          <w:rFonts w:hint="eastAsia" w:ascii="楷体_GB2312" w:eastAsia="楷体_GB2312"/>
          <w:lang w:eastAsia="zh-CN"/>
        </w:rPr>
        <w:t xml:space="preserve">  </w:t>
      </w:r>
      <w:bookmarkStart w:id="12" w:name="_Toc243408240"/>
      <w:r>
        <w:rPr>
          <w:rFonts w:hint="eastAsia" w:ascii="楷体_GB2312" w:eastAsia="楷体_GB2312"/>
          <w:lang w:eastAsia="zh-CN"/>
        </w:rPr>
        <w:t>（一）竞赛日程</w:t>
      </w:r>
      <w:bookmarkEnd w:id="12"/>
    </w:p>
    <w:p w14:paraId="12CB3B62">
      <w:pPr>
        <w:pStyle w:val="4"/>
        <w:kinsoku/>
        <w:spacing w:line="360" w:lineRule="auto"/>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 xml:space="preserve">  本赛项赛程二天。具体日程安排如下：</w:t>
      </w:r>
    </w:p>
    <w:tbl>
      <w:tblPr>
        <w:tblStyle w:val="13"/>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2"/>
        <w:gridCol w:w="1964"/>
        <w:gridCol w:w="1948"/>
        <w:gridCol w:w="2834"/>
        <w:gridCol w:w="1605"/>
      </w:tblGrid>
      <w:tr w14:paraId="6154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185" w:type="dxa"/>
            <w:vAlign w:val="center"/>
          </w:tcPr>
          <w:p w14:paraId="19B1C74A">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日期</w:t>
            </w:r>
          </w:p>
        </w:tc>
        <w:tc>
          <w:tcPr>
            <w:tcW w:w="1937" w:type="dxa"/>
            <w:vAlign w:val="center"/>
          </w:tcPr>
          <w:p w14:paraId="54372D8F">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时间</w:t>
            </w:r>
          </w:p>
        </w:tc>
        <w:tc>
          <w:tcPr>
            <w:tcW w:w="1921" w:type="dxa"/>
            <w:vAlign w:val="center"/>
          </w:tcPr>
          <w:p w14:paraId="63DBB252">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项目</w:t>
            </w:r>
          </w:p>
        </w:tc>
        <w:tc>
          <w:tcPr>
            <w:tcW w:w="2795" w:type="dxa"/>
            <w:vAlign w:val="center"/>
          </w:tcPr>
          <w:p w14:paraId="7E54D8CA">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参加人员</w:t>
            </w:r>
          </w:p>
        </w:tc>
        <w:tc>
          <w:tcPr>
            <w:tcW w:w="1582" w:type="dxa"/>
            <w:vAlign w:val="center"/>
          </w:tcPr>
          <w:p w14:paraId="180DB7E5">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地点</w:t>
            </w:r>
          </w:p>
        </w:tc>
      </w:tr>
      <w:tr w14:paraId="7C14B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185" w:type="dxa"/>
            <w:vMerge w:val="restart"/>
            <w:vAlign w:val="center"/>
          </w:tcPr>
          <w:p w14:paraId="019B95D5">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第一天</w:t>
            </w:r>
          </w:p>
        </w:tc>
        <w:tc>
          <w:tcPr>
            <w:tcW w:w="1937" w:type="dxa"/>
            <w:vAlign w:val="center"/>
          </w:tcPr>
          <w:p w14:paraId="48CFBA03">
            <w:pPr>
              <w:widowControl w:val="0"/>
              <w:jc w:val="center"/>
              <w:rPr>
                <w:rFonts w:ascii="仿宋_GB2312" w:hAnsi="仿宋" w:eastAsia="仿宋_GB2312" w:cs="仿宋"/>
                <w:color w:val="auto"/>
                <w:sz w:val="28"/>
                <w:szCs w:val="28"/>
                <w:lang w:eastAsia="zh-CN"/>
              </w:rPr>
            </w:pPr>
            <w:r>
              <w:rPr>
                <w:rFonts w:ascii="仿宋_GB2312" w:hAnsi="仿宋" w:eastAsia="仿宋_GB2312" w:cs="仿宋"/>
                <w:color w:val="auto"/>
                <w:sz w:val="28"/>
                <w:szCs w:val="28"/>
                <w:lang w:eastAsia="zh-CN"/>
              </w:rPr>
              <w:t>0</w:t>
            </w:r>
            <w:r>
              <w:rPr>
                <w:rFonts w:hint="eastAsia" w:ascii="仿宋_GB2312" w:hAnsi="仿宋" w:eastAsia="仿宋_GB2312" w:cs="仿宋"/>
                <w:color w:val="auto"/>
                <w:sz w:val="28"/>
                <w:szCs w:val="28"/>
                <w:lang w:eastAsia="zh-CN"/>
              </w:rPr>
              <w:t>8:0</w:t>
            </w:r>
            <w:r>
              <w:rPr>
                <w:rFonts w:hint="eastAsia" w:ascii="仿宋_GB2312" w:hAnsi="仿宋" w:eastAsia="仿宋_GB2312" w:cs="仿宋"/>
                <w:color w:val="auto"/>
                <w:sz w:val="28"/>
                <w:szCs w:val="28"/>
              </w:rPr>
              <w:t>0-</w:t>
            </w:r>
            <w:r>
              <w:rPr>
                <w:rFonts w:ascii="仿宋_GB2312" w:hAnsi="仿宋" w:eastAsia="仿宋_GB2312" w:cs="仿宋"/>
                <w:color w:val="auto"/>
                <w:sz w:val="28"/>
                <w:szCs w:val="28"/>
              </w:rPr>
              <w:t>0</w:t>
            </w:r>
            <w:r>
              <w:rPr>
                <w:rFonts w:hint="eastAsia" w:ascii="仿宋_GB2312" w:hAnsi="仿宋" w:eastAsia="仿宋_GB2312" w:cs="仿宋"/>
                <w:color w:val="auto"/>
                <w:sz w:val="28"/>
                <w:szCs w:val="28"/>
                <w:lang w:eastAsia="zh-CN"/>
              </w:rPr>
              <w:t>9:00</w:t>
            </w:r>
          </w:p>
        </w:tc>
        <w:tc>
          <w:tcPr>
            <w:tcW w:w="1921" w:type="dxa"/>
            <w:vAlign w:val="center"/>
          </w:tcPr>
          <w:p w14:paraId="641FD051">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报到</w:t>
            </w:r>
          </w:p>
        </w:tc>
        <w:tc>
          <w:tcPr>
            <w:tcW w:w="2795" w:type="dxa"/>
            <w:vAlign w:val="center"/>
          </w:tcPr>
          <w:p w14:paraId="3387A6D1">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专家、裁判员、参赛代表队</w:t>
            </w:r>
          </w:p>
        </w:tc>
        <w:tc>
          <w:tcPr>
            <w:tcW w:w="1582" w:type="dxa"/>
            <w:vAlign w:val="center"/>
          </w:tcPr>
          <w:p w14:paraId="76176F46">
            <w:pPr>
              <w:widowControl w:val="0"/>
              <w:jc w:val="left"/>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承办院校</w:t>
            </w:r>
          </w:p>
        </w:tc>
      </w:tr>
      <w:tr w14:paraId="194B7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1185" w:type="dxa"/>
            <w:vMerge w:val="continue"/>
            <w:vAlign w:val="center"/>
          </w:tcPr>
          <w:p w14:paraId="41E2F339">
            <w:pPr>
              <w:pStyle w:val="4"/>
              <w:widowControl/>
              <w:kinsoku/>
              <w:jc w:val="center"/>
              <w:rPr>
                <w:rFonts w:ascii="仿宋_GB2312" w:eastAsia="仿宋_GB2312" w:cs="Calibri"/>
                <w:color w:val="auto"/>
                <w:sz w:val="28"/>
                <w:szCs w:val="28"/>
                <w:lang w:eastAsia="zh-CN"/>
              </w:rPr>
            </w:pPr>
          </w:p>
        </w:tc>
        <w:tc>
          <w:tcPr>
            <w:tcW w:w="1937" w:type="dxa"/>
            <w:vAlign w:val="center"/>
          </w:tcPr>
          <w:p w14:paraId="3A999FDC">
            <w:pPr>
              <w:widowControl w:val="0"/>
              <w:jc w:val="center"/>
              <w:rPr>
                <w:rFonts w:ascii="仿宋_GB2312" w:hAnsi="仿宋" w:eastAsia="仿宋_GB2312" w:cs="仿宋"/>
                <w:color w:val="auto"/>
                <w:sz w:val="28"/>
                <w:szCs w:val="28"/>
                <w:lang w:eastAsia="zh-CN"/>
              </w:rPr>
            </w:pPr>
            <w:r>
              <w:rPr>
                <w:rFonts w:ascii="仿宋_GB2312" w:hAnsi="仿宋" w:eastAsia="仿宋_GB2312" w:cs="仿宋"/>
                <w:color w:val="auto"/>
                <w:sz w:val="28"/>
                <w:szCs w:val="28"/>
                <w:lang w:eastAsia="zh-CN"/>
              </w:rPr>
              <w:t>0</w:t>
            </w:r>
            <w:r>
              <w:rPr>
                <w:rFonts w:hint="eastAsia" w:ascii="仿宋_GB2312" w:hAnsi="仿宋" w:eastAsia="仿宋_GB2312" w:cs="仿宋"/>
                <w:color w:val="auto"/>
                <w:sz w:val="28"/>
                <w:szCs w:val="28"/>
                <w:lang w:eastAsia="zh-CN"/>
              </w:rPr>
              <w:t>9:00-</w:t>
            </w:r>
            <w:r>
              <w:rPr>
                <w:rFonts w:ascii="仿宋_GB2312" w:hAnsi="仿宋" w:eastAsia="仿宋_GB2312" w:cs="仿宋"/>
                <w:color w:val="auto"/>
                <w:sz w:val="28"/>
                <w:szCs w:val="28"/>
                <w:lang w:eastAsia="zh-CN"/>
              </w:rPr>
              <w:t>0</w:t>
            </w:r>
            <w:r>
              <w:rPr>
                <w:rFonts w:hint="eastAsia" w:ascii="仿宋_GB2312" w:hAnsi="仿宋" w:eastAsia="仿宋_GB2312" w:cs="仿宋"/>
                <w:color w:val="auto"/>
                <w:sz w:val="28"/>
                <w:szCs w:val="28"/>
                <w:lang w:eastAsia="zh-CN"/>
              </w:rPr>
              <w:t>9:30</w:t>
            </w:r>
          </w:p>
        </w:tc>
        <w:tc>
          <w:tcPr>
            <w:tcW w:w="1921" w:type="dxa"/>
            <w:vAlign w:val="center"/>
          </w:tcPr>
          <w:p w14:paraId="32967FB5">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开幕式</w:t>
            </w:r>
          </w:p>
        </w:tc>
        <w:tc>
          <w:tcPr>
            <w:tcW w:w="2795" w:type="dxa"/>
            <w:vAlign w:val="center"/>
          </w:tcPr>
          <w:p w14:paraId="52AE12DA">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校领导、专家评委、各参赛校人员</w:t>
            </w:r>
          </w:p>
        </w:tc>
        <w:tc>
          <w:tcPr>
            <w:tcW w:w="1582" w:type="dxa"/>
            <w:vAlign w:val="center"/>
          </w:tcPr>
          <w:p w14:paraId="7B1615B3">
            <w:pPr>
              <w:widowControl w:val="0"/>
              <w:jc w:val="left"/>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承办院校</w:t>
            </w:r>
          </w:p>
        </w:tc>
      </w:tr>
      <w:tr w14:paraId="0C9E7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185" w:type="dxa"/>
            <w:vMerge w:val="continue"/>
            <w:vAlign w:val="center"/>
          </w:tcPr>
          <w:p w14:paraId="7E71D048">
            <w:pPr>
              <w:pStyle w:val="4"/>
              <w:widowControl/>
              <w:kinsoku/>
              <w:jc w:val="both"/>
              <w:rPr>
                <w:rFonts w:ascii="仿宋_GB2312" w:eastAsia="仿宋_GB2312" w:cs="Calibri"/>
                <w:color w:val="auto"/>
                <w:sz w:val="28"/>
                <w:szCs w:val="28"/>
                <w:lang w:eastAsia="zh-CN"/>
              </w:rPr>
            </w:pPr>
          </w:p>
        </w:tc>
        <w:tc>
          <w:tcPr>
            <w:tcW w:w="1937" w:type="dxa"/>
            <w:vAlign w:val="center"/>
          </w:tcPr>
          <w:p w14:paraId="6F5050B1">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10:00-11:00</w:t>
            </w:r>
          </w:p>
        </w:tc>
        <w:tc>
          <w:tcPr>
            <w:tcW w:w="1921" w:type="dxa"/>
            <w:vAlign w:val="center"/>
          </w:tcPr>
          <w:p w14:paraId="77347DEC">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裁判员培训</w:t>
            </w:r>
          </w:p>
        </w:tc>
        <w:tc>
          <w:tcPr>
            <w:tcW w:w="2795" w:type="dxa"/>
            <w:vAlign w:val="center"/>
          </w:tcPr>
          <w:p w14:paraId="33CFCF08">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专家、全体裁判员</w:t>
            </w:r>
          </w:p>
        </w:tc>
        <w:tc>
          <w:tcPr>
            <w:tcW w:w="1582" w:type="dxa"/>
            <w:vAlign w:val="center"/>
          </w:tcPr>
          <w:p w14:paraId="464628F8">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承办院校</w:t>
            </w:r>
          </w:p>
        </w:tc>
      </w:tr>
      <w:tr w14:paraId="1F42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1185" w:type="dxa"/>
            <w:vMerge w:val="continue"/>
            <w:vAlign w:val="center"/>
          </w:tcPr>
          <w:p w14:paraId="36EFDE14">
            <w:pPr>
              <w:pStyle w:val="4"/>
              <w:widowControl/>
              <w:kinsoku/>
              <w:jc w:val="both"/>
              <w:rPr>
                <w:rFonts w:ascii="仿宋_GB2312" w:eastAsia="仿宋_GB2312" w:cs="Calibri"/>
                <w:color w:val="auto"/>
                <w:sz w:val="28"/>
                <w:szCs w:val="28"/>
                <w:lang w:eastAsia="zh-CN"/>
              </w:rPr>
            </w:pPr>
          </w:p>
        </w:tc>
        <w:tc>
          <w:tcPr>
            <w:tcW w:w="1937" w:type="dxa"/>
            <w:vAlign w:val="center"/>
          </w:tcPr>
          <w:p w14:paraId="2B2774B1">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11:00-12:00</w:t>
            </w:r>
          </w:p>
        </w:tc>
        <w:tc>
          <w:tcPr>
            <w:tcW w:w="1921" w:type="dxa"/>
            <w:vAlign w:val="center"/>
          </w:tcPr>
          <w:p w14:paraId="23B47275">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赛前说明会</w:t>
            </w:r>
          </w:p>
        </w:tc>
        <w:tc>
          <w:tcPr>
            <w:tcW w:w="2795" w:type="dxa"/>
            <w:vAlign w:val="center"/>
          </w:tcPr>
          <w:p w14:paraId="5C97C945">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专家，参赛代表队领队或指导教师</w:t>
            </w:r>
          </w:p>
        </w:tc>
        <w:tc>
          <w:tcPr>
            <w:tcW w:w="1582" w:type="dxa"/>
            <w:vAlign w:val="center"/>
          </w:tcPr>
          <w:p w14:paraId="461142F1">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承办院校</w:t>
            </w:r>
          </w:p>
        </w:tc>
      </w:tr>
      <w:tr w14:paraId="09A3B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1185" w:type="dxa"/>
            <w:vMerge w:val="continue"/>
            <w:vAlign w:val="center"/>
          </w:tcPr>
          <w:p w14:paraId="42182101">
            <w:pPr>
              <w:pStyle w:val="4"/>
              <w:widowControl/>
              <w:kinsoku/>
              <w:jc w:val="both"/>
              <w:rPr>
                <w:rFonts w:ascii="仿宋_GB2312" w:eastAsia="仿宋_GB2312" w:cs="Calibri"/>
                <w:color w:val="auto"/>
                <w:sz w:val="28"/>
                <w:szCs w:val="28"/>
                <w:lang w:eastAsia="zh-CN"/>
              </w:rPr>
            </w:pPr>
          </w:p>
        </w:tc>
        <w:tc>
          <w:tcPr>
            <w:tcW w:w="1937" w:type="dxa"/>
            <w:vAlign w:val="center"/>
          </w:tcPr>
          <w:p w14:paraId="32B70C6A">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rPr>
              <w:t>1</w:t>
            </w:r>
            <w:r>
              <w:rPr>
                <w:rFonts w:hint="eastAsia" w:ascii="仿宋_GB2312" w:hAnsi="仿宋" w:eastAsia="仿宋_GB2312" w:cs="仿宋"/>
                <w:color w:val="auto"/>
                <w:sz w:val="28"/>
                <w:szCs w:val="28"/>
                <w:lang w:eastAsia="zh-CN"/>
              </w:rPr>
              <w:t>0</w:t>
            </w:r>
            <w:r>
              <w:rPr>
                <w:rFonts w:hint="eastAsia" w:ascii="仿宋_GB2312" w:hAnsi="仿宋" w:eastAsia="仿宋_GB2312" w:cs="仿宋"/>
                <w:color w:val="auto"/>
                <w:sz w:val="28"/>
                <w:szCs w:val="28"/>
              </w:rPr>
              <w:t>:00-12:00</w:t>
            </w:r>
          </w:p>
        </w:tc>
        <w:tc>
          <w:tcPr>
            <w:tcW w:w="1921" w:type="dxa"/>
            <w:vAlign w:val="center"/>
          </w:tcPr>
          <w:p w14:paraId="33640B4F">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rPr>
              <w:t>选手熟悉场地</w:t>
            </w:r>
          </w:p>
        </w:tc>
        <w:tc>
          <w:tcPr>
            <w:tcW w:w="2795" w:type="dxa"/>
            <w:vAlign w:val="center"/>
          </w:tcPr>
          <w:p w14:paraId="2012B682">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参赛选手</w:t>
            </w:r>
          </w:p>
        </w:tc>
        <w:tc>
          <w:tcPr>
            <w:tcW w:w="1582" w:type="dxa"/>
            <w:vAlign w:val="center"/>
          </w:tcPr>
          <w:p w14:paraId="08F066C8">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技能竞赛考场</w:t>
            </w:r>
          </w:p>
        </w:tc>
      </w:tr>
      <w:tr w14:paraId="74A6D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85" w:type="dxa"/>
            <w:vMerge w:val="continue"/>
            <w:vAlign w:val="center"/>
          </w:tcPr>
          <w:p w14:paraId="69259C27">
            <w:pPr>
              <w:pStyle w:val="4"/>
              <w:widowControl/>
              <w:kinsoku/>
              <w:jc w:val="both"/>
              <w:rPr>
                <w:rFonts w:ascii="仿宋_GB2312" w:eastAsia="仿宋_GB2312" w:cs="Calibri"/>
                <w:color w:val="auto"/>
                <w:sz w:val="28"/>
                <w:szCs w:val="28"/>
                <w:lang w:eastAsia="zh-CN"/>
              </w:rPr>
            </w:pPr>
          </w:p>
        </w:tc>
        <w:tc>
          <w:tcPr>
            <w:tcW w:w="1937" w:type="dxa"/>
            <w:vAlign w:val="center"/>
          </w:tcPr>
          <w:p w14:paraId="62E461AD">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14:30-17:30</w:t>
            </w:r>
          </w:p>
        </w:tc>
        <w:tc>
          <w:tcPr>
            <w:tcW w:w="1921" w:type="dxa"/>
            <w:vAlign w:val="center"/>
          </w:tcPr>
          <w:p w14:paraId="6E841E0F">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标准化病人培训</w:t>
            </w:r>
          </w:p>
        </w:tc>
        <w:tc>
          <w:tcPr>
            <w:tcW w:w="2795" w:type="dxa"/>
            <w:vAlign w:val="center"/>
          </w:tcPr>
          <w:p w14:paraId="5D821B16">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专家、SP</w:t>
            </w:r>
          </w:p>
        </w:tc>
        <w:tc>
          <w:tcPr>
            <w:tcW w:w="1582" w:type="dxa"/>
            <w:vAlign w:val="center"/>
          </w:tcPr>
          <w:p w14:paraId="6355FBB9">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技能竞赛考场</w:t>
            </w:r>
          </w:p>
        </w:tc>
      </w:tr>
      <w:tr w14:paraId="0E4DF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185" w:type="dxa"/>
            <w:vMerge w:val="continue"/>
            <w:vAlign w:val="center"/>
          </w:tcPr>
          <w:p w14:paraId="3F4C170E">
            <w:pPr>
              <w:pStyle w:val="4"/>
              <w:widowControl/>
              <w:kinsoku/>
              <w:jc w:val="both"/>
              <w:rPr>
                <w:rFonts w:ascii="仿宋_GB2312" w:eastAsia="仿宋_GB2312" w:cs="Calibri"/>
                <w:color w:val="auto"/>
                <w:sz w:val="28"/>
                <w:szCs w:val="28"/>
                <w:lang w:eastAsia="zh-CN"/>
              </w:rPr>
            </w:pPr>
          </w:p>
        </w:tc>
        <w:tc>
          <w:tcPr>
            <w:tcW w:w="1937" w:type="dxa"/>
            <w:vAlign w:val="center"/>
          </w:tcPr>
          <w:p w14:paraId="651D3E7D">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lang w:eastAsia="zh-CN"/>
              </w:rPr>
              <w:t>17</w:t>
            </w:r>
            <w:r>
              <w:rPr>
                <w:rFonts w:hint="eastAsia" w:ascii="仿宋_GB2312" w:hAnsi="仿宋" w:eastAsia="仿宋_GB2312" w:cs="仿宋"/>
                <w:sz w:val="28"/>
                <w:szCs w:val="28"/>
              </w:rPr>
              <w:t>:</w:t>
            </w:r>
            <w:r>
              <w:rPr>
                <w:rFonts w:hint="eastAsia" w:ascii="仿宋_GB2312" w:hAnsi="仿宋" w:eastAsia="仿宋_GB2312" w:cs="仿宋"/>
                <w:sz w:val="28"/>
                <w:szCs w:val="28"/>
                <w:lang w:eastAsia="zh-CN"/>
              </w:rPr>
              <w:t>3</w:t>
            </w:r>
            <w:r>
              <w:rPr>
                <w:rFonts w:hint="eastAsia" w:ascii="仿宋_GB2312" w:hAnsi="仿宋" w:eastAsia="仿宋_GB2312" w:cs="仿宋"/>
                <w:sz w:val="28"/>
                <w:szCs w:val="28"/>
              </w:rPr>
              <w:t>0-</w:t>
            </w:r>
            <w:r>
              <w:rPr>
                <w:rFonts w:hint="eastAsia" w:ascii="仿宋_GB2312" w:hAnsi="仿宋" w:eastAsia="仿宋_GB2312" w:cs="仿宋"/>
                <w:sz w:val="28"/>
                <w:szCs w:val="28"/>
                <w:lang w:eastAsia="zh-CN"/>
              </w:rPr>
              <w:t>次日启赛</w:t>
            </w:r>
          </w:p>
        </w:tc>
        <w:tc>
          <w:tcPr>
            <w:tcW w:w="1921" w:type="dxa"/>
            <w:vAlign w:val="center"/>
          </w:tcPr>
          <w:p w14:paraId="2DF32969">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rPr>
              <w:t>封闭赛场</w:t>
            </w:r>
          </w:p>
        </w:tc>
        <w:tc>
          <w:tcPr>
            <w:tcW w:w="2795" w:type="dxa"/>
            <w:vAlign w:val="center"/>
          </w:tcPr>
          <w:p w14:paraId="64887F7A">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rPr>
              <w:t>专家</w:t>
            </w:r>
            <w:r>
              <w:rPr>
                <w:rFonts w:hint="eastAsia" w:ascii="仿宋_GB2312" w:hAnsi="仿宋" w:eastAsia="仿宋_GB2312" w:cs="仿宋"/>
                <w:sz w:val="28"/>
                <w:szCs w:val="28"/>
                <w:lang w:eastAsia="zh-CN"/>
              </w:rPr>
              <w:t>、裁判</w:t>
            </w:r>
          </w:p>
        </w:tc>
        <w:tc>
          <w:tcPr>
            <w:tcW w:w="1582" w:type="dxa"/>
            <w:vAlign w:val="center"/>
          </w:tcPr>
          <w:p w14:paraId="638F5F75">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技能竞赛考场</w:t>
            </w:r>
          </w:p>
        </w:tc>
      </w:tr>
      <w:tr w14:paraId="4B06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185" w:type="dxa"/>
            <w:vMerge w:val="continue"/>
            <w:vAlign w:val="center"/>
          </w:tcPr>
          <w:p w14:paraId="60834EB0">
            <w:pPr>
              <w:pStyle w:val="4"/>
              <w:widowControl/>
              <w:kinsoku/>
              <w:jc w:val="both"/>
              <w:rPr>
                <w:rFonts w:ascii="仿宋_GB2312" w:eastAsia="仿宋_GB2312" w:cs="Calibri"/>
                <w:color w:val="auto"/>
                <w:sz w:val="28"/>
                <w:szCs w:val="28"/>
                <w:lang w:eastAsia="zh-CN"/>
              </w:rPr>
            </w:pPr>
          </w:p>
        </w:tc>
        <w:tc>
          <w:tcPr>
            <w:tcW w:w="1937" w:type="dxa"/>
            <w:vAlign w:val="center"/>
          </w:tcPr>
          <w:p w14:paraId="286E9493">
            <w:pPr>
              <w:widowControl w:val="0"/>
              <w:jc w:val="both"/>
              <w:rPr>
                <w:rFonts w:ascii="仿宋_GB2312" w:hAnsi="仿宋" w:eastAsia="仿宋_GB2312" w:cs="仿宋"/>
                <w:sz w:val="28"/>
                <w:szCs w:val="28"/>
                <w:lang w:eastAsia="zh-CN"/>
              </w:rPr>
            </w:pPr>
            <w:r>
              <w:rPr>
                <w:rFonts w:hint="eastAsia" w:ascii="仿宋_GB2312" w:hAnsi="仿宋" w:eastAsia="仿宋_GB2312" w:cs="仿宋"/>
                <w:sz w:val="28"/>
                <w:szCs w:val="28"/>
                <w:lang w:eastAsia="zh-CN"/>
              </w:rPr>
              <w:t>18:00-18:40</w:t>
            </w:r>
          </w:p>
        </w:tc>
        <w:tc>
          <w:tcPr>
            <w:tcW w:w="1921" w:type="dxa"/>
            <w:vAlign w:val="center"/>
          </w:tcPr>
          <w:p w14:paraId="35468EB0">
            <w:pPr>
              <w:widowControl w:val="0"/>
              <w:jc w:val="both"/>
              <w:rPr>
                <w:rFonts w:ascii="仿宋_GB2312" w:hAnsi="仿宋" w:eastAsia="仿宋_GB2312" w:cs="仿宋"/>
                <w:sz w:val="28"/>
                <w:szCs w:val="28"/>
                <w:lang w:eastAsia="zh-CN"/>
              </w:rPr>
            </w:pPr>
            <w:r>
              <w:rPr>
                <w:rFonts w:hint="eastAsia" w:ascii="仿宋_GB2312" w:hAnsi="仿宋" w:eastAsia="仿宋_GB2312" w:cs="仿宋"/>
                <w:sz w:val="28"/>
                <w:szCs w:val="28"/>
                <w:lang w:eastAsia="zh-CN"/>
              </w:rPr>
              <w:t>理论考试</w:t>
            </w:r>
          </w:p>
        </w:tc>
        <w:tc>
          <w:tcPr>
            <w:tcW w:w="2795" w:type="dxa"/>
            <w:vAlign w:val="center"/>
          </w:tcPr>
          <w:p w14:paraId="6EDCD41F">
            <w:pPr>
              <w:widowControl w:val="0"/>
              <w:jc w:val="both"/>
              <w:rPr>
                <w:rFonts w:ascii="仿宋_GB2312" w:hAnsi="仿宋" w:eastAsia="仿宋_GB2312" w:cs="仿宋"/>
                <w:sz w:val="28"/>
                <w:szCs w:val="28"/>
                <w:lang w:eastAsia="zh-CN"/>
              </w:rPr>
            </w:pPr>
            <w:r>
              <w:rPr>
                <w:rFonts w:hint="eastAsia" w:ascii="仿宋_GB2312" w:hAnsi="仿宋" w:eastAsia="仿宋_GB2312" w:cs="仿宋"/>
                <w:sz w:val="28"/>
                <w:szCs w:val="28"/>
                <w:lang w:eastAsia="zh-CN"/>
              </w:rPr>
              <w:t>专家、裁判、参赛选手</w:t>
            </w:r>
          </w:p>
        </w:tc>
        <w:tc>
          <w:tcPr>
            <w:tcW w:w="1582" w:type="dxa"/>
            <w:vAlign w:val="center"/>
          </w:tcPr>
          <w:p w14:paraId="28C28F77">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理论考场</w:t>
            </w:r>
          </w:p>
        </w:tc>
      </w:tr>
      <w:tr w14:paraId="68651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185" w:type="dxa"/>
            <w:vMerge w:val="restart"/>
            <w:vAlign w:val="center"/>
          </w:tcPr>
          <w:p w14:paraId="514B8BA3">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第二天</w:t>
            </w:r>
          </w:p>
        </w:tc>
        <w:tc>
          <w:tcPr>
            <w:tcW w:w="1937" w:type="dxa"/>
            <w:vAlign w:val="center"/>
          </w:tcPr>
          <w:p w14:paraId="5A38CF45">
            <w:pPr>
              <w:widowControl w:val="0"/>
              <w:jc w:val="both"/>
              <w:rPr>
                <w:rFonts w:ascii="仿宋_GB2312" w:hAnsi="仿宋" w:eastAsia="仿宋_GB2312" w:cs="仿宋"/>
                <w:color w:val="auto"/>
                <w:sz w:val="28"/>
                <w:szCs w:val="28"/>
                <w:lang w:eastAsia="zh-CN"/>
              </w:rPr>
            </w:pPr>
            <w:r>
              <w:rPr>
                <w:rFonts w:ascii="仿宋_GB2312" w:hAnsi="仿宋" w:eastAsia="仿宋_GB2312" w:cs="仿宋"/>
                <w:sz w:val="28"/>
                <w:szCs w:val="28"/>
                <w:lang w:eastAsia="zh-CN"/>
              </w:rPr>
              <w:t>0</w:t>
            </w:r>
            <w:r>
              <w:rPr>
                <w:rFonts w:hint="eastAsia" w:ascii="仿宋_GB2312" w:hAnsi="仿宋" w:eastAsia="仿宋_GB2312" w:cs="仿宋"/>
                <w:sz w:val="28"/>
                <w:szCs w:val="28"/>
                <w:lang w:eastAsia="zh-CN"/>
              </w:rPr>
              <w:t>7:00-</w:t>
            </w:r>
            <w:r>
              <w:rPr>
                <w:rFonts w:ascii="仿宋_GB2312" w:hAnsi="仿宋" w:eastAsia="仿宋_GB2312" w:cs="仿宋"/>
                <w:sz w:val="28"/>
                <w:szCs w:val="28"/>
                <w:lang w:eastAsia="zh-CN"/>
              </w:rPr>
              <w:t>0</w:t>
            </w:r>
            <w:r>
              <w:rPr>
                <w:rFonts w:hint="eastAsia" w:ascii="仿宋_GB2312" w:hAnsi="仿宋" w:eastAsia="仿宋_GB2312" w:cs="仿宋"/>
                <w:sz w:val="28"/>
                <w:szCs w:val="28"/>
                <w:lang w:eastAsia="zh-CN"/>
              </w:rPr>
              <w:t>8:00</w:t>
            </w:r>
          </w:p>
        </w:tc>
        <w:tc>
          <w:tcPr>
            <w:tcW w:w="1921" w:type="dxa"/>
            <w:vAlign w:val="center"/>
          </w:tcPr>
          <w:p w14:paraId="507468DA">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lang w:eastAsia="zh-CN"/>
              </w:rPr>
              <w:t>考生核对身份</w:t>
            </w:r>
          </w:p>
        </w:tc>
        <w:tc>
          <w:tcPr>
            <w:tcW w:w="2795" w:type="dxa"/>
            <w:vAlign w:val="center"/>
          </w:tcPr>
          <w:p w14:paraId="1CE7446C">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lang w:eastAsia="zh-CN"/>
              </w:rPr>
              <w:t>各参赛队选手</w:t>
            </w:r>
          </w:p>
        </w:tc>
        <w:tc>
          <w:tcPr>
            <w:tcW w:w="1582" w:type="dxa"/>
            <w:vAlign w:val="center"/>
          </w:tcPr>
          <w:p w14:paraId="6F3892D0">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技能竞赛考场</w:t>
            </w:r>
          </w:p>
        </w:tc>
      </w:tr>
      <w:tr w14:paraId="42B41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185" w:type="dxa"/>
            <w:vMerge w:val="continue"/>
            <w:vAlign w:val="center"/>
          </w:tcPr>
          <w:p w14:paraId="0A03BD9C">
            <w:pPr>
              <w:pStyle w:val="4"/>
              <w:widowControl/>
              <w:kinsoku/>
              <w:jc w:val="both"/>
              <w:rPr>
                <w:rFonts w:ascii="仿宋_GB2312" w:eastAsia="仿宋_GB2312" w:cs="Calibri"/>
                <w:color w:val="auto"/>
                <w:sz w:val="28"/>
                <w:szCs w:val="28"/>
                <w:lang w:eastAsia="zh-CN"/>
              </w:rPr>
            </w:pPr>
          </w:p>
        </w:tc>
        <w:tc>
          <w:tcPr>
            <w:tcW w:w="1937" w:type="dxa"/>
            <w:vAlign w:val="center"/>
          </w:tcPr>
          <w:p w14:paraId="4C8DD25A">
            <w:pPr>
              <w:widowControl w:val="0"/>
              <w:jc w:val="both"/>
              <w:rPr>
                <w:rFonts w:ascii="仿宋_GB2312" w:hAnsi="仿宋" w:eastAsia="仿宋_GB2312" w:cs="仿宋"/>
                <w:sz w:val="28"/>
                <w:szCs w:val="28"/>
                <w:lang w:eastAsia="zh-CN"/>
              </w:rPr>
            </w:pPr>
            <w:r>
              <w:rPr>
                <w:rFonts w:ascii="仿宋_GB2312" w:hAnsi="仿宋" w:eastAsia="仿宋_GB2312" w:cs="仿宋"/>
                <w:sz w:val="28"/>
                <w:szCs w:val="28"/>
                <w:lang w:eastAsia="zh-CN"/>
              </w:rPr>
              <w:t>0</w:t>
            </w:r>
            <w:r>
              <w:rPr>
                <w:rFonts w:hint="eastAsia" w:ascii="仿宋_GB2312" w:hAnsi="仿宋" w:eastAsia="仿宋_GB2312" w:cs="仿宋"/>
                <w:sz w:val="28"/>
                <w:szCs w:val="28"/>
                <w:lang w:eastAsia="zh-CN"/>
              </w:rPr>
              <w:t>7:30</w:t>
            </w:r>
          </w:p>
        </w:tc>
        <w:tc>
          <w:tcPr>
            <w:tcW w:w="1921" w:type="dxa"/>
            <w:vAlign w:val="center"/>
          </w:tcPr>
          <w:p w14:paraId="77CBA7E0">
            <w:pPr>
              <w:widowControl w:val="0"/>
              <w:jc w:val="both"/>
              <w:rPr>
                <w:rFonts w:ascii="仿宋_GB2312" w:hAnsi="仿宋" w:eastAsia="仿宋_GB2312" w:cs="仿宋"/>
                <w:sz w:val="28"/>
                <w:szCs w:val="28"/>
                <w:lang w:eastAsia="zh-CN"/>
              </w:rPr>
            </w:pPr>
            <w:r>
              <w:rPr>
                <w:rFonts w:hint="eastAsia" w:ascii="仿宋_GB2312" w:hAnsi="仿宋" w:eastAsia="仿宋_GB2312" w:cs="仿宋"/>
                <w:sz w:val="28"/>
                <w:szCs w:val="28"/>
                <w:lang w:eastAsia="zh-CN"/>
              </w:rPr>
              <w:t>领队抽签</w:t>
            </w:r>
          </w:p>
        </w:tc>
        <w:tc>
          <w:tcPr>
            <w:tcW w:w="2795" w:type="dxa"/>
            <w:vAlign w:val="center"/>
          </w:tcPr>
          <w:p w14:paraId="5AF42CC4">
            <w:pPr>
              <w:widowControl w:val="0"/>
              <w:jc w:val="both"/>
              <w:rPr>
                <w:rFonts w:ascii="仿宋_GB2312" w:hAnsi="仿宋" w:eastAsia="仿宋_GB2312" w:cs="仿宋"/>
                <w:sz w:val="28"/>
                <w:szCs w:val="28"/>
                <w:lang w:eastAsia="zh-CN"/>
              </w:rPr>
            </w:pPr>
            <w:r>
              <w:rPr>
                <w:rFonts w:hint="eastAsia" w:ascii="仿宋_GB2312" w:hAnsi="仿宋" w:eastAsia="仿宋_GB2312" w:cs="仿宋"/>
                <w:sz w:val="28"/>
                <w:szCs w:val="28"/>
                <w:lang w:eastAsia="zh-CN"/>
              </w:rPr>
              <w:t>各参赛队领队</w:t>
            </w:r>
          </w:p>
        </w:tc>
        <w:tc>
          <w:tcPr>
            <w:tcW w:w="1582" w:type="dxa"/>
            <w:vAlign w:val="center"/>
          </w:tcPr>
          <w:p w14:paraId="646646B9">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抽签室</w:t>
            </w:r>
          </w:p>
        </w:tc>
      </w:tr>
      <w:tr w14:paraId="09EAD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185" w:type="dxa"/>
            <w:vMerge w:val="continue"/>
            <w:vAlign w:val="center"/>
          </w:tcPr>
          <w:p w14:paraId="125BEFB6">
            <w:pPr>
              <w:pStyle w:val="4"/>
              <w:widowControl/>
              <w:kinsoku/>
              <w:jc w:val="both"/>
              <w:rPr>
                <w:rFonts w:ascii="仿宋_GB2312" w:eastAsia="仿宋_GB2312" w:cs="Calibri"/>
                <w:color w:val="auto"/>
                <w:sz w:val="28"/>
                <w:szCs w:val="28"/>
                <w:lang w:eastAsia="zh-CN"/>
              </w:rPr>
            </w:pPr>
          </w:p>
        </w:tc>
        <w:tc>
          <w:tcPr>
            <w:tcW w:w="1937" w:type="dxa"/>
            <w:vAlign w:val="center"/>
          </w:tcPr>
          <w:p w14:paraId="6C07CCAA">
            <w:pPr>
              <w:widowControl w:val="0"/>
              <w:jc w:val="both"/>
              <w:rPr>
                <w:rFonts w:ascii="仿宋_GB2312" w:hAnsi="仿宋" w:eastAsia="仿宋_GB2312" w:cs="仿宋"/>
                <w:sz w:val="28"/>
                <w:szCs w:val="28"/>
                <w:lang w:eastAsia="zh-CN"/>
              </w:rPr>
            </w:pPr>
            <w:r>
              <w:rPr>
                <w:rFonts w:ascii="仿宋_GB2312" w:hAnsi="仿宋" w:eastAsia="仿宋_GB2312" w:cs="仿宋"/>
                <w:sz w:val="28"/>
                <w:szCs w:val="28"/>
                <w:lang w:eastAsia="zh-CN"/>
              </w:rPr>
              <w:t>0</w:t>
            </w:r>
            <w:r>
              <w:rPr>
                <w:rFonts w:hint="eastAsia" w:ascii="仿宋_GB2312" w:hAnsi="仿宋" w:eastAsia="仿宋_GB2312" w:cs="仿宋"/>
                <w:sz w:val="28"/>
                <w:szCs w:val="28"/>
                <w:lang w:eastAsia="zh-CN"/>
              </w:rPr>
              <w:t>8:00-</w:t>
            </w:r>
            <w:r>
              <w:rPr>
                <w:rFonts w:ascii="仿宋_GB2312" w:hAnsi="仿宋" w:eastAsia="仿宋_GB2312" w:cs="仿宋"/>
                <w:sz w:val="28"/>
                <w:szCs w:val="28"/>
                <w:lang w:eastAsia="zh-CN"/>
              </w:rPr>
              <w:t>0</w:t>
            </w:r>
            <w:r>
              <w:rPr>
                <w:rFonts w:hint="eastAsia" w:ascii="仿宋_GB2312" w:hAnsi="仿宋" w:eastAsia="仿宋_GB2312" w:cs="仿宋"/>
                <w:sz w:val="28"/>
                <w:szCs w:val="28"/>
                <w:lang w:eastAsia="zh-CN"/>
              </w:rPr>
              <w:t>8:10</w:t>
            </w:r>
          </w:p>
        </w:tc>
        <w:tc>
          <w:tcPr>
            <w:tcW w:w="1921" w:type="dxa"/>
            <w:vAlign w:val="center"/>
          </w:tcPr>
          <w:p w14:paraId="024394C4">
            <w:pPr>
              <w:widowControl w:val="0"/>
              <w:jc w:val="both"/>
              <w:rPr>
                <w:rFonts w:ascii="仿宋_GB2312" w:hAnsi="仿宋" w:eastAsia="仿宋_GB2312" w:cs="仿宋"/>
                <w:sz w:val="28"/>
                <w:szCs w:val="28"/>
                <w:lang w:eastAsia="zh-CN"/>
              </w:rPr>
            </w:pPr>
            <w:r>
              <w:rPr>
                <w:rFonts w:hint="eastAsia" w:ascii="仿宋_GB2312" w:hAnsi="仿宋" w:eastAsia="仿宋_GB2312" w:cs="仿宋"/>
                <w:sz w:val="28"/>
                <w:szCs w:val="28"/>
                <w:lang w:eastAsia="zh-CN"/>
              </w:rPr>
              <w:t>抽签候考</w:t>
            </w:r>
          </w:p>
        </w:tc>
        <w:tc>
          <w:tcPr>
            <w:tcW w:w="2795" w:type="dxa"/>
            <w:vAlign w:val="center"/>
          </w:tcPr>
          <w:p w14:paraId="75AED22E">
            <w:pPr>
              <w:widowControl w:val="0"/>
              <w:jc w:val="both"/>
              <w:rPr>
                <w:rFonts w:ascii="仿宋_GB2312" w:hAnsi="仿宋" w:eastAsia="仿宋_GB2312" w:cs="仿宋"/>
                <w:sz w:val="28"/>
                <w:szCs w:val="28"/>
                <w:lang w:eastAsia="zh-CN"/>
              </w:rPr>
            </w:pPr>
            <w:r>
              <w:rPr>
                <w:rFonts w:hint="eastAsia" w:ascii="仿宋_GB2312" w:hAnsi="仿宋" w:eastAsia="仿宋_GB2312" w:cs="仿宋"/>
                <w:sz w:val="28"/>
                <w:szCs w:val="28"/>
                <w:lang w:eastAsia="zh-CN"/>
              </w:rPr>
              <w:t>参赛选手</w:t>
            </w:r>
          </w:p>
        </w:tc>
        <w:tc>
          <w:tcPr>
            <w:tcW w:w="1582" w:type="dxa"/>
            <w:vAlign w:val="center"/>
          </w:tcPr>
          <w:p w14:paraId="4EC22AA5">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候考室</w:t>
            </w:r>
          </w:p>
        </w:tc>
      </w:tr>
      <w:tr w14:paraId="09D1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185" w:type="dxa"/>
            <w:vMerge w:val="continue"/>
            <w:vAlign w:val="center"/>
          </w:tcPr>
          <w:p w14:paraId="114BE901">
            <w:pPr>
              <w:pStyle w:val="4"/>
              <w:widowControl/>
              <w:kinsoku/>
              <w:jc w:val="both"/>
              <w:rPr>
                <w:rFonts w:ascii="仿宋_GB2312" w:eastAsia="仿宋_GB2312" w:cs="Calibri"/>
                <w:color w:val="auto"/>
                <w:sz w:val="28"/>
                <w:szCs w:val="28"/>
                <w:lang w:eastAsia="zh-CN"/>
              </w:rPr>
            </w:pPr>
          </w:p>
        </w:tc>
        <w:tc>
          <w:tcPr>
            <w:tcW w:w="1937" w:type="dxa"/>
            <w:vAlign w:val="center"/>
          </w:tcPr>
          <w:p w14:paraId="283680F0">
            <w:pPr>
              <w:widowControl w:val="0"/>
              <w:jc w:val="both"/>
              <w:rPr>
                <w:rFonts w:ascii="仿宋_GB2312" w:hAnsi="仿宋" w:eastAsia="仿宋_GB2312" w:cs="仿宋"/>
                <w:color w:val="auto"/>
                <w:sz w:val="28"/>
                <w:szCs w:val="28"/>
                <w:lang w:eastAsia="zh-CN"/>
              </w:rPr>
            </w:pPr>
            <w:r>
              <w:rPr>
                <w:rFonts w:ascii="仿宋_GB2312" w:hAnsi="仿宋" w:eastAsia="仿宋_GB2312" w:cs="仿宋"/>
                <w:sz w:val="28"/>
                <w:szCs w:val="28"/>
                <w:lang w:eastAsia="zh-CN"/>
              </w:rPr>
              <w:t>0</w:t>
            </w:r>
            <w:r>
              <w:rPr>
                <w:rFonts w:hint="eastAsia" w:ascii="仿宋_GB2312" w:hAnsi="仿宋" w:eastAsia="仿宋_GB2312" w:cs="仿宋"/>
                <w:sz w:val="28"/>
                <w:szCs w:val="28"/>
                <w:lang w:eastAsia="zh-CN"/>
              </w:rPr>
              <w:t>8:10</w:t>
            </w:r>
            <w:r>
              <w:rPr>
                <w:rFonts w:hint="eastAsia" w:ascii="仿宋_GB2312" w:hAnsi="仿宋" w:eastAsia="仿宋_GB2312" w:cs="仿宋"/>
                <w:sz w:val="28"/>
                <w:szCs w:val="28"/>
              </w:rPr>
              <w:t>-</w:t>
            </w:r>
            <w:r>
              <w:rPr>
                <w:rFonts w:ascii="仿宋_GB2312" w:hAnsi="仿宋" w:eastAsia="仿宋_GB2312" w:cs="仿宋"/>
                <w:sz w:val="28"/>
                <w:szCs w:val="28"/>
              </w:rPr>
              <w:t>0</w:t>
            </w:r>
            <w:r>
              <w:rPr>
                <w:rFonts w:hint="eastAsia" w:ascii="仿宋_GB2312" w:hAnsi="仿宋" w:eastAsia="仿宋_GB2312" w:cs="仿宋"/>
                <w:sz w:val="28"/>
                <w:szCs w:val="28"/>
                <w:lang w:eastAsia="zh-CN"/>
              </w:rPr>
              <w:t>8</w:t>
            </w:r>
            <w:r>
              <w:rPr>
                <w:rFonts w:hint="eastAsia" w:ascii="仿宋_GB2312" w:hAnsi="仿宋" w:eastAsia="仿宋_GB2312" w:cs="仿宋"/>
                <w:sz w:val="28"/>
                <w:szCs w:val="28"/>
              </w:rPr>
              <w:t>:</w:t>
            </w:r>
            <w:r>
              <w:rPr>
                <w:rFonts w:hint="eastAsia" w:ascii="仿宋_GB2312" w:hAnsi="仿宋" w:eastAsia="仿宋_GB2312" w:cs="仿宋"/>
                <w:sz w:val="28"/>
                <w:szCs w:val="28"/>
                <w:lang w:eastAsia="zh-CN"/>
              </w:rPr>
              <w:t>20</w:t>
            </w:r>
          </w:p>
        </w:tc>
        <w:tc>
          <w:tcPr>
            <w:tcW w:w="1921" w:type="dxa"/>
            <w:vAlign w:val="center"/>
          </w:tcPr>
          <w:p w14:paraId="4DFD4C28">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lang w:eastAsia="zh-CN"/>
              </w:rPr>
              <w:t>抽签候考</w:t>
            </w:r>
          </w:p>
        </w:tc>
        <w:tc>
          <w:tcPr>
            <w:tcW w:w="2795" w:type="dxa"/>
            <w:vAlign w:val="center"/>
          </w:tcPr>
          <w:p w14:paraId="095F73A0">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rPr>
              <w:t>参赛选手</w:t>
            </w:r>
          </w:p>
        </w:tc>
        <w:tc>
          <w:tcPr>
            <w:tcW w:w="1582" w:type="dxa"/>
            <w:vAlign w:val="center"/>
          </w:tcPr>
          <w:p w14:paraId="2DE3737A">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rPr>
              <w:t>候考室</w:t>
            </w:r>
          </w:p>
        </w:tc>
      </w:tr>
      <w:tr w14:paraId="5FA92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185" w:type="dxa"/>
            <w:vMerge w:val="continue"/>
            <w:vAlign w:val="center"/>
          </w:tcPr>
          <w:p w14:paraId="5546976D">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8:20</w:t>
            </w:r>
          </w:p>
        </w:tc>
        <w:tc>
          <w:tcPr>
            <w:tcW w:w="1937" w:type="dxa"/>
            <w:vAlign w:val="center"/>
          </w:tcPr>
          <w:p w14:paraId="102C1F92">
            <w:pPr>
              <w:widowControl w:val="0"/>
              <w:jc w:val="both"/>
              <w:rPr>
                <w:rFonts w:ascii="仿宋_GB2312" w:hAnsi="仿宋" w:eastAsia="仿宋_GB2312" w:cs="仿宋"/>
                <w:sz w:val="28"/>
                <w:szCs w:val="28"/>
                <w:lang w:eastAsia="zh-CN"/>
              </w:rPr>
            </w:pPr>
            <w:r>
              <w:rPr>
                <w:rFonts w:ascii="仿宋_GB2312" w:hAnsi="仿宋" w:eastAsia="仿宋_GB2312" w:cs="仿宋"/>
                <w:sz w:val="28"/>
                <w:szCs w:val="28"/>
                <w:lang w:eastAsia="zh-CN"/>
              </w:rPr>
              <w:t>0</w:t>
            </w:r>
            <w:r>
              <w:rPr>
                <w:rFonts w:hint="eastAsia" w:ascii="仿宋_GB2312" w:hAnsi="仿宋" w:eastAsia="仿宋_GB2312" w:cs="仿宋"/>
                <w:sz w:val="28"/>
                <w:szCs w:val="28"/>
                <w:lang w:eastAsia="zh-CN"/>
              </w:rPr>
              <w:t>8:20-</w:t>
            </w:r>
            <w:r>
              <w:rPr>
                <w:rFonts w:ascii="仿宋_GB2312" w:hAnsi="仿宋" w:eastAsia="仿宋_GB2312" w:cs="仿宋"/>
                <w:sz w:val="28"/>
                <w:szCs w:val="28"/>
                <w:lang w:eastAsia="zh-CN"/>
              </w:rPr>
              <w:t>0</w:t>
            </w:r>
            <w:r>
              <w:rPr>
                <w:rFonts w:hint="eastAsia" w:ascii="仿宋_GB2312" w:hAnsi="仿宋" w:eastAsia="仿宋_GB2312" w:cs="仿宋"/>
                <w:sz w:val="28"/>
                <w:szCs w:val="28"/>
                <w:lang w:eastAsia="zh-CN"/>
              </w:rPr>
              <w:t>8:30</w:t>
            </w:r>
          </w:p>
        </w:tc>
        <w:tc>
          <w:tcPr>
            <w:tcW w:w="1921" w:type="dxa"/>
            <w:vAlign w:val="center"/>
          </w:tcPr>
          <w:p w14:paraId="07C3D7E5">
            <w:pPr>
              <w:widowControl w:val="0"/>
              <w:jc w:val="both"/>
              <w:rPr>
                <w:rFonts w:ascii="仿宋_GB2312" w:hAnsi="仿宋" w:eastAsia="仿宋_GB2312" w:cs="仿宋"/>
                <w:sz w:val="28"/>
                <w:szCs w:val="28"/>
                <w:lang w:eastAsia="zh-CN"/>
              </w:rPr>
            </w:pPr>
            <w:r>
              <w:rPr>
                <w:rFonts w:hint="eastAsia" w:ascii="仿宋_GB2312" w:hAnsi="仿宋" w:eastAsia="仿宋_GB2312" w:cs="仿宋"/>
                <w:sz w:val="28"/>
                <w:szCs w:val="28"/>
                <w:lang w:eastAsia="zh-CN"/>
              </w:rPr>
              <w:t>抽签备考</w:t>
            </w:r>
          </w:p>
        </w:tc>
        <w:tc>
          <w:tcPr>
            <w:tcW w:w="2795" w:type="dxa"/>
            <w:vAlign w:val="center"/>
          </w:tcPr>
          <w:p w14:paraId="7F3E13FA">
            <w:pPr>
              <w:widowControl w:val="0"/>
              <w:jc w:val="both"/>
              <w:rPr>
                <w:rFonts w:ascii="仿宋_GB2312" w:hAnsi="仿宋" w:eastAsia="仿宋_GB2312" w:cs="仿宋"/>
                <w:sz w:val="28"/>
                <w:szCs w:val="28"/>
              </w:rPr>
            </w:pPr>
            <w:r>
              <w:rPr>
                <w:rFonts w:hint="eastAsia" w:ascii="仿宋_GB2312" w:hAnsi="仿宋" w:eastAsia="仿宋_GB2312" w:cs="仿宋"/>
                <w:sz w:val="28"/>
                <w:szCs w:val="28"/>
              </w:rPr>
              <w:t>参赛选手</w:t>
            </w:r>
          </w:p>
        </w:tc>
        <w:tc>
          <w:tcPr>
            <w:tcW w:w="1582" w:type="dxa"/>
            <w:vAlign w:val="center"/>
          </w:tcPr>
          <w:p w14:paraId="0B9148F9">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rPr>
              <w:t>候考室</w:t>
            </w:r>
          </w:p>
        </w:tc>
      </w:tr>
      <w:tr w14:paraId="3721B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1185" w:type="dxa"/>
            <w:vMerge w:val="continue"/>
            <w:vAlign w:val="center"/>
          </w:tcPr>
          <w:p w14:paraId="7697520C">
            <w:pPr>
              <w:pStyle w:val="4"/>
              <w:widowControl/>
              <w:kinsoku/>
              <w:jc w:val="both"/>
              <w:rPr>
                <w:rFonts w:ascii="仿宋_GB2312" w:eastAsia="仿宋_GB2312" w:cs="Calibri"/>
                <w:color w:val="auto"/>
                <w:sz w:val="28"/>
                <w:szCs w:val="28"/>
                <w:lang w:eastAsia="zh-CN"/>
              </w:rPr>
            </w:pPr>
          </w:p>
        </w:tc>
        <w:tc>
          <w:tcPr>
            <w:tcW w:w="1937" w:type="dxa"/>
            <w:vAlign w:val="center"/>
          </w:tcPr>
          <w:p w14:paraId="26338C86">
            <w:pPr>
              <w:widowControl w:val="0"/>
              <w:jc w:val="both"/>
              <w:rPr>
                <w:rFonts w:ascii="仿宋_GB2312" w:hAnsi="仿宋" w:eastAsia="仿宋_GB2312" w:cs="仿宋"/>
                <w:color w:val="auto"/>
                <w:sz w:val="28"/>
                <w:szCs w:val="28"/>
                <w:lang w:eastAsia="zh-CN"/>
              </w:rPr>
            </w:pPr>
            <w:r>
              <w:rPr>
                <w:rFonts w:ascii="仿宋_GB2312" w:hAnsi="仿宋" w:eastAsia="仿宋_GB2312" w:cs="仿宋"/>
                <w:sz w:val="28"/>
                <w:szCs w:val="28"/>
                <w:lang w:eastAsia="zh-CN"/>
              </w:rPr>
              <w:t>0</w:t>
            </w:r>
            <w:r>
              <w:rPr>
                <w:rFonts w:hint="eastAsia" w:ascii="仿宋_GB2312" w:hAnsi="仿宋" w:eastAsia="仿宋_GB2312" w:cs="仿宋"/>
                <w:sz w:val="28"/>
                <w:szCs w:val="28"/>
                <w:lang w:eastAsia="zh-CN"/>
              </w:rPr>
              <w:t>8</w:t>
            </w:r>
            <w:r>
              <w:rPr>
                <w:rFonts w:hint="eastAsia" w:ascii="仿宋_GB2312" w:hAnsi="仿宋" w:eastAsia="仿宋_GB2312" w:cs="仿宋"/>
                <w:sz w:val="28"/>
                <w:szCs w:val="28"/>
              </w:rPr>
              <w:t>:</w:t>
            </w:r>
            <w:r>
              <w:rPr>
                <w:rFonts w:hint="eastAsia" w:ascii="仿宋_GB2312" w:hAnsi="仿宋" w:eastAsia="仿宋_GB2312" w:cs="仿宋"/>
                <w:sz w:val="28"/>
                <w:szCs w:val="28"/>
                <w:lang w:eastAsia="zh-CN"/>
              </w:rPr>
              <w:t>3</w:t>
            </w:r>
            <w:r>
              <w:rPr>
                <w:rFonts w:hint="eastAsia" w:ascii="仿宋_GB2312" w:hAnsi="仿宋" w:eastAsia="仿宋_GB2312" w:cs="仿宋"/>
                <w:sz w:val="28"/>
                <w:szCs w:val="28"/>
              </w:rPr>
              <w:t>0-</w:t>
            </w:r>
            <w:r>
              <w:rPr>
                <w:rFonts w:hint="eastAsia" w:ascii="仿宋_GB2312" w:hAnsi="仿宋" w:eastAsia="仿宋_GB2312" w:cs="仿宋"/>
                <w:sz w:val="28"/>
                <w:szCs w:val="28"/>
                <w:lang w:eastAsia="zh-CN"/>
              </w:rPr>
              <w:t>17</w:t>
            </w:r>
            <w:r>
              <w:rPr>
                <w:rFonts w:hint="eastAsia" w:ascii="仿宋_GB2312" w:hAnsi="仿宋" w:eastAsia="仿宋_GB2312" w:cs="仿宋"/>
                <w:sz w:val="28"/>
                <w:szCs w:val="28"/>
              </w:rPr>
              <w:t>:</w:t>
            </w:r>
            <w:r>
              <w:rPr>
                <w:rFonts w:hint="eastAsia" w:ascii="仿宋_GB2312" w:hAnsi="仿宋" w:eastAsia="仿宋_GB2312" w:cs="仿宋"/>
                <w:sz w:val="28"/>
                <w:szCs w:val="28"/>
                <w:lang w:eastAsia="zh-CN"/>
              </w:rPr>
              <w:t>3</w:t>
            </w:r>
            <w:r>
              <w:rPr>
                <w:rFonts w:hint="eastAsia" w:ascii="仿宋_GB2312" w:hAnsi="仿宋" w:eastAsia="仿宋_GB2312" w:cs="仿宋"/>
                <w:sz w:val="28"/>
                <w:szCs w:val="28"/>
              </w:rPr>
              <w:t>0</w:t>
            </w:r>
          </w:p>
        </w:tc>
        <w:tc>
          <w:tcPr>
            <w:tcW w:w="1921" w:type="dxa"/>
            <w:vAlign w:val="center"/>
          </w:tcPr>
          <w:p w14:paraId="22A2B564">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rPr>
              <w:t>操作竞赛</w:t>
            </w:r>
          </w:p>
        </w:tc>
        <w:tc>
          <w:tcPr>
            <w:tcW w:w="2795" w:type="dxa"/>
            <w:vAlign w:val="center"/>
          </w:tcPr>
          <w:p w14:paraId="57158675">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rPr>
              <w:t>参赛选手、裁判员</w:t>
            </w:r>
          </w:p>
        </w:tc>
        <w:tc>
          <w:tcPr>
            <w:tcW w:w="1582" w:type="dxa"/>
            <w:vAlign w:val="center"/>
          </w:tcPr>
          <w:p w14:paraId="6FD41B21">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技能竞赛考场</w:t>
            </w:r>
          </w:p>
        </w:tc>
      </w:tr>
      <w:tr w14:paraId="04FE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1185" w:type="dxa"/>
            <w:vMerge w:val="continue"/>
            <w:vAlign w:val="center"/>
          </w:tcPr>
          <w:p w14:paraId="24A9EA60">
            <w:pPr>
              <w:pStyle w:val="4"/>
              <w:widowControl/>
              <w:kinsoku/>
              <w:jc w:val="both"/>
              <w:rPr>
                <w:rFonts w:ascii="仿宋_GB2312" w:eastAsia="仿宋_GB2312" w:cs="Calibri"/>
                <w:color w:val="auto"/>
                <w:sz w:val="28"/>
                <w:szCs w:val="28"/>
                <w:lang w:eastAsia="zh-CN"/>
              </w:rPr>
            </w:pPr>
          </w:p>
        </w:tc>
        <w:tc>
          <w:tcPr>
            <w:tcW w:w="1937" w:type="dxa"/>
            <w:vAlign w:val="center"/>
          </w:tcPr>
          <w:p w14:paraId="25912A43">
            <w:pPr>
              <w:widowControl w:val="0"/>
              <w:jc w:val="both"/>
              <w:rPr>
                <w:rFonts w:ascii="仿宋_GB2312" w:hAnsi="仿宋" w:eastAsia="仿宋_GB2312" w:cs="仿宋"/>
                <w:sz w:val="28"/>
                <w:szCs w:val="28"/>
                <w:lang w:eastAsia="zh-CN"/>
              </w:rPr>
            </w:pPr>
            <w:r>
              <w:rPr>
                <w:rFonts w:ascii="仿宋_GB2312" w:hAnsi="仿宋" w:eastAsia="仿宋_GB2312" w:cs="仿宋"/>
                <w:sz w:val="28"/>
                <w:szCs w:val="28"/>
                <w:lang w:eastAsia="zh-CN"/>
              </w:rPr>
              <w:t>0</w:t>
            </w:r>
            <w:r>
              <w:rPr>
                <w:rFonts w:hint="eastAsia" w:ascii="仿宋_GB2312" w:hAnsi="仿宋" w:eastAsia="仿宋_GB2312" w:cs="仿宋"/>
                <w:sz w:val="28"/>
                <w:szCs w:val="28"/>
                <w:lang w:eastAsia="zh-CN"/>
              </w:rPr>
              <w:t>8:00-17:30</w:t>
            </w:r>
          </w:p>
        </w:tc>
        <w:tc>
          <w:tcPr>
            <w:tcW w:w="1921" w:type="dxa"/>
            <w:vAlign w:val="center"/>
          </w:tcPr>
          <w:p w14:paraId="4D0F0775">
            <w:pPr>
              <w:widowControl w:val="0"/>
              <w:jc w:val="both"/>
              <w:rPr>
                <w:rFonts w:ascii="仿宋_GB2312" w:hAnsi="仿宋" w:eastAsia="仿宋_GB2312" w:cs="仿宋"/>
                <w:sz w:val="28"/>
                <w:szCs w:val="28"/>
                <w:lang w:eastAsia="zh-CN"/>
              </w:rPr>
            </w:pPr>
            <w:r>
              <w:rPr>
                <w:rFonts w:hint="eastAsia" w:ascii="仿宋_GB2312" w:hAnsi="仿宋" w:eastAsia="仿宋_GB2312" w:cs="仿宋"/>
                <w:sz w:val="28"/>
                <w:szCs w:val="28"/>
                <w:lang w:eastAsia="zh-CN"/>
              </w:rPr>
              <w:t>组织观摩和直播</w:t>
            </w:r>
          </w:p>
        </w:tc>
        <w:tc>
          <w:tcPr>
            <w:tcW w:w="2795" w:type="dxa"/>
            <w:vAlign w:val="center"/>
          </w:tcPr>
          <w:p w14:paraId="549DF968">
            <w:pPr>
              <w:widowControl w:val="0"/>
              <w:jc w:val="both"/>
              <w:rPr>
                <w:rFonts w:ascii="仿宋_GB2312" w:hAnsi="仿宋" w:eastAsia="仿宋_GB2312" w:cs="仿宋"/>
                <w:sz w:val="28"/>
                <w:szCs w:val="28"/>
                <w:lang w:eastAsia="zh-CN"/>
              </w:rPr>
            </w:pPr>
            <w:r>
              <w:rPr>
                <w:rFonts w:hint="eastAsia" w:ascii="仿宋_GB2312" w:hAnsi="仿宋" w:eastAsia="仿宋_GB2312" w:cs="仿宋"/>
                <w:sz w:val="28"/>
                <w:szCs w:val="28"/>
                <w:lang w:eastAsia="zh-CN"/>
              </w:rPr>
              <w:t>各院校观摩人员</w:t>
            </w:r>
          </w:p>
        </w:tc>
        <w:tc>
          <w:tcPr>
            <w:tcW w:w="1582" w:type="dxa"/>
            <w:vAlign w:val="center"/>
          </w:tcPr>
          <w:p w14:paraId="4B75E5D2">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综合楼会议室</w:t>
            </w:r>
          </w:p>
        </w:tc>
      </w:tr>
      <w:tr w14:paraId="67164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85" w:type="dxa"/>
            <w:vMerge w:val="continue"/>
            <w:vAlign w:val="center"/>
          </w:tcPr>
          <w:p w14:paraId="31360EF7">
            <w:pPr>
              <w:pStyle w:val="4"/>
              <w:widowControl/>
              <w:kinsoku/>
              <w:jc w:val="both"/>
              <w:rPr>
                <w:rFonts w:ascii="仿宋_GB2312" w:eastAsia="仿宋_GB2312" w:cs="Calibri"/>
                <w:color w:val="auto"/>
                <w:sz w:val="28"/>
                <w:szCs w:val="28"/>
                <w:lang w:eastAsia="zh-CN"/>
              </w:rPr>
            </w:pPr>
          </w:p>
        </w:tc>
        <w:tc>
          <w:tcPr>
            <w:tcW w:w="1937" w:type="dxa"/>
            <w:vAlign w:val="center"/>
          </w:tcPr>
          <w:p w14:paraId="01E8EDF4">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lang w:eastAsia="zh-CN"/>
              </w:rPr>
              <w:t>18:00-19:00</w:t>
            </w:r>
          </w:p>
        </w:tc>
        <w:tc>
          <w:tcPr>
            <w:tcW w:w="1921" w:type="dxa"/>
            <w:vAlign w:val="center"/>
          </w:tcPr>
          <w:p w14:paraId="5FFD6369">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lang w:eastAsia="zh-CN"/>
              </w:rPr>
              <w:t>赛后评委点评、闭幕式</w:t>
            </w:r>
          </w:p>
        </w:tc>
        <w:tc>
          <w:tcPr>
            <w:tcW w:w="2795" w:type="dxa"/>
            <w:vAlign w:val="center"/>
          </w:tcPr>
          <w:p w14:paraId="16DB8EB6">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sz w:val="28"/>
                <w:szCs w:val="28"/>
                <w:lang w:eastAsia="zh-CN"/>
              </w:rPr>
              <w:t>专家、裁判、参赛代表队</w:t>
            </w:r>
          </w:p>
        </w:tc>
        <w:tc>
          <w:tcPr>
            <w:tcW w:w="1582" w:type="dxa"/>
            <w:vAlign w:val="center"/>
          </w:tcPr>
          <w:p w14:paraId="7FFEA53E">
            <w:pPr>
              <w:widowControl w:val="0"/>
              <w:jc w:val="both"/>
              <w:rPr>
                <w:rFonts w:ascii="仿宋_GB2312" w:hAnsi="仿宋" w:eastAsia="仿宋_GB2312" w:cs="仿宋"/>
                <w:color w:val="auto"/>
                <w:sz w:val="28"/>
                <w:szCs w:val="28"/>
                <w:lang w:eastAsia="zh-CN"/>
              </w:rPr>
            </w:pPr>
            <w:r>
              <w:rPr>
                <w:rFonts w:hint="eastAsia" w:ascii="仿宋_GB2312" w:hAnsi="仿宋" w:eastAsia="仿宋_GB2312" w:cs="仿宋"/>
                <w:color w:val="auto"/>
                <w:sz w:val="28"/>
                <w:szCs w:val="28"/>
                <w:lang w:eastAsia="zh-CN"/>
              </w:rPr>
              <w:t>承办院校</w:t>
            </w:r>
          </w:p>
        </w:tc>
      </w:tr>
    </w:tbl>
    <w:p w14:paraId="271DD7E8">
      <w:pPr>
        <w:pStyle w:val="4"/>
        <w:kinsoku/>
        <w:jc w:val="both"/>
        <w:rPr>
          <w:rFonts w:ascii="仿宋_GB2312" w:hAnsi="楷体_GB2312" w:eastAsia="仿宋_GB2312" w:cs="楷体_GB2312"/>
          <w:color w:val="auto"/>
          <w:sz w:val="32"/>
          <w:szCs w:val="32"/>
          <w:lang w:eastAsia="zh-CN"/>
        </w:rPr>
      </w:pPr>
      <w:r>
        <w:rPr>
          <w:rFonts w:hint="eastAsia" w:ascii="仿宋_GB2312" w:hAnsi="楷体_GB2312" w:eastAsia="仿宋_GB2312" w:cs="楷体_GB2312"/>
          <w:b/>
          <w:bCs/>
          <w:color w:val="auto"/>
          <w:sz w:val="32"/>
          <w:szCs w:val="32"/>
          <w:lang w:eastAsia="zh-CN"/>
        </w:rPr>
        <w:t>说明：</w:t>
      </w:r>
      <w:r>
        <w:rPr>
          <w:rFonts w:hint="eastAsia" w:ascii="仿宋_GB2312" w:hAnsi="楷体_GB2312" w:eastAsia="仿宋_GB2312" w:cs="楷体_GB2312"/>
          <w:color w:val="auto"/>
          <w:sz w:val="32"/>
          <w:szCs w:val="32"/>
          <w:lang w:eastAsia="zh-CN"/>
        </w:rPr>
        <w:t>具体日程根据参赛报名情况或有微调，具体已报到时公布为准。</w:t>
      </w:r>
    </w:p>
    <w:p w14:paraId="4EC7748F">
      <w:pPr>
        <w:pStyle w:val="4"/>
        <w:kinsoku/>
        <w:jc w:val="both"/>
        <w:rPr>
          <w:rFonts w:hint="eastAsia" w:ascii="仿宋_GB2312" w:hAnsi="楷体_GB2312" w:eastAsia="仿宋_GB2312" w:cs="楷体_GB2312"/>
          <w:color w:val="auto"/>
          <w:sz w:val="32"/>
          <w:szCs w:val="32"/>
          <w:lang w:eastAsia="zh-CN"/>
        </w:rPr>
      </w:pPr>
    </w:p>
    <w:p w14:paraId="5C9C0DB1">
      <w:pPr>
        <w:pStyle w:val="3"/>
        <w:spacing w:before="0" w:after="0" w:line="360" w:lineRule="auto"/>
        <w:ind w:firstLine="643" w:firstLineChars="200"/>
        <w:rPr>
          <w:rFonts w:ascii="楷体_GB2312" w:eastAsia="楷体_GB2312"/>
          <w:lang w:eastAsia="zh-CN"/>
        </w:rPr>
      </w:pPr>
      <w:bookmarkStart w:id="13" w:name="_Toc243408241"/>
      <w:r>
        <w:rPr>
          <w:rFonts w:hint="eastAsia" w:ascii="楷体_GB2312" w:eastAsia="楷体_GB2312"/>
          <w:lang w:eastAsia="zh-CN"/>
        </w:rPr>
        <w:t>（二）抽签流程</w:t>
      </w:r>
      <w:bookmarkEnd w:id="13"/>
    </w:p>
    <w:p w14:paraId="69C63409">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1.由赛项执委会按照竞赛流程召开领队会议组织各校领队参加公开抽签，确定各队参赛次序。参赛队按照抽签确定的参赛次序进入比赛场地参赛。</w:t>
      </w:r>
    </w:p>
    <w:p w14:paraId="73C73D52">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2.各参赛队按次序在比赛前30分钟到赛项指定地点接受检录备考开始前由工作人员将参赛选手带至备考室抽取角色分工及试题。</w:t>
      </w:r>
    </w:p>
    <w:p w14:paraId="3D885CE3">
      <w:pPr>
        <w:pStyle w:val="3"/>
        <w:spacing w:before="0" w:after="0" w:line="360" w:lineRule="auto"/>
        <w:ind w:firstLine="643" w:firstLineChars="200"/>
        <w:rPr>
          <w:rFonts w:hint="eastAsia" w:ascii="楷体_GB2312" w:eastAsia="楷体_GB2312"/>
          <w:lang w:eastAsia="zh-CN"/>
        </w:rPr>
      </w:pPr>
      <w:bookmarkStart w:id="14" w:name="_Toc243408242"/>
      <w:r>
        <w:rPr>
          <w:rFonts w:hint="eastAsia" w:ascii="楷体_GB2312" w:eastAsia="楷体_GB2312"/>
          <w:lang w:eastAsia="zh-CN"/>
        </w:rPr>
        <w:t>（三）竞赛流程</w:t>
      </w:r>
      <w:bookmarkEnd w:id="14"/>
    </w:p>
    <w:p w14:paraId="4E0ED93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1.理论知识竞赛</w:t>
      </w:r>
    </w:p>
    <w:p w14:paraId="4FFEFE1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_GB2312" w:hAnsi="仿宋_GB2312" w:eastAsia="仿宋_GB2312" w:cs="仿宋_GB2312"/>
          <w:b/>
          <w:bCs/>
          <w:color w:val="auto"/>
          <w:sz w:val="32"/>
          <w:szCs w:val="32"/>
          <w:lang w:eastAsia="zh-CN"/>
        </w:rPr>
      </w:pPr>
      <w:r>
        <w:rPr>
          <w:rFonts w:hint="eastAsia" w:ascii="仿宋_GB2312" w:hAnsi="Arial" w:eastAsia="仿宋_GB2312" w:cs="Calibri"/>
          <w:snapToGrid w:val="0"/>
          <w:color w:val="auto"/>
          <w:sz w:val="32"/>
          <w:szCs w:val="32"/>
          <w:lang w:val="en-US" w:eastAsia="zh-CN" w:bidi="ar-SA"/>
        </w:rPr>
        <w:t>所有选手必须参加，抽取序号对号入座。场地按照标准计算机机考考场设置，配备监考员 2 位,核查证件→发卷→收卷→电</w:t>
      </w:r>
      <w:r>
        <w:rPr>
          <w:rFonts w:hint="eastAsia" w:ascii="仿宋_GB2312" w:hAnsi="仿宋_GB2312" w:eastAsia="仿宋_GB2312" w:cs="仿宋_GB2312"/>
          <w:sz w:val="32"/>
          <w:szCs w:val="32"/>
          <w:lang w:eastAsia="zh-CN"/>
        </w:rPr>
        <w:t>脑自动阅卷→统分→公布成绩。</w:t>
      </w:r>
    </w:p>
    <w:p w14:paraId="06177EC0">
      <w:pPr>
        <w:pStyle w:val="4"/>
        <w:kinsoku/>
        <w:spacing w:line="360" w:lineRule="auto"/>
        <w:ind w:firstLine="643" w:firstLineChars="200"/>
        <w:jc w:val="both"/>
        <w:rPr>
          <w:rFonts w:ascii="仿宋_GB2312" w:eastAsia="仿宋_GB2312" w:cs="Calibri"/>
          <w:b/>
          <w:bCs/>
          <w:color w:val="auto"/>
          <w:sz w:val="32"/>
          <w:szCs w:val="32"/>
          <w:lang w:eastAsia="zh-CN"/>
        </w:rPr>
      </w:pPr>
      <w:r>
        <w:rPr>
          <w:rFonts w:hint="eastAsia" w:ascii="仿宋_GB2312" w:eastAsia="仿宋_GB2312" w:cs="Calibri"/>
          <w:b/>
          <w:bCs/>
          <w:color w:val="auto"/>
          <w:sz w:val="32"/>
          <w:szCs w:val="32"/>
          <w:lang w:eastAsia="zh-CN"/>
        </w:rPr>
        <w:t>2.技能操作竞赛</w:t>
      </w:r>
    </w:p>
    <w:p w14:paraId="4E663436">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选手进入候考区→待考→检录→抽题、抽角色分工→备考→进入赛场→试题交给监考员→向评委报告题号→考试操作→操作结束→评委提问→宣布“考试时间到”→选手退出操作区→评委打分→监考员监督，记分员计分→引导员归还试题→选手离场→进入指定休息室→比赛结束统一离场。</w:t>
      </w:r>
    </w:p>
    <w:p w14:paraId="41EDD8C1">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小组所有选手操作结束，统分、记分员、监督员、评委、评委组长签字→交给统分负责人员。</w:t>
      </w:r>
    </w:p>
    <w:p w14:paraId="5CA1357C">
      <w:pPr>
        <w:pStyle w:val="2"/>
        <w:spacing w:before="0" w:after="0" w:line="360" w:lineRule="auto"/>
        <w:ind w:firstLine="640" w:firstLineChars="200"/>
        <w:rPr>
          <w:rFonts w:ascii="黑体" w:hAnsi="黑体" w:eastAsia="黑体" w:cs="宋体"/>
          <w:b w:val="0"/>
          <w:bCs w:val="0"/>
          <w:sz w:val="32"/>
          <w:szCs w:val="32"/>
          <w:lang w:eastAsia="zh-CN"/>
        </w:rPr>
      </w:pPr>
      <w:bookmarkStart w:id="15" w:name="_Toc243408243"/>
      <w:r>
        <w:rPr>
          <w:rFonts w:hint="eastAsia" w:ascii="黑体" w:hAnsi="黑体" w:eastAsia="黑体" w:cs="宋体"/>
          <w:b w:val="0"/>
          <w:bCs w:val="0"/>
          <w:sz w:val="32"/>
          <w:szCs w:val="32"/>
          <w:lang w:eastAsia="zh-CN"/>
        </w:rPr>
        <w:t>六、竞赛规则</w:t>
      </w:r>
      <w:bookmarkEnd w:id="15"/>
    </w:p>
    <w:p w14:paraId="2F8DB9ED">
      <w:pPr>
        <w:pStyle w:val="3"/>
        <w:spacing w:before="0" w:after="0" w:line="360" w:lineRule="auto"/>
        <w:ind w:firstLine="643" w:firstLineChars="200"/>
        <w:rPr>
          <w:rFonts w:ascii="楷体_GB2312" w:eastAsia="楷体_GB2312"/>
          <w:lang w:eastAsia="zh-CN"/>
        </w:rPr>
      </w:pPr>
      <w:bookmarkStart w:id="16" w:name="_Toc243408244"/>
      <w:r>
        <w:rPr>
          <w:rFonts w:hint="eastAsia" w:ascii="楷体_GB2312" w:eastAsia="楷体_GB2312"/>
          <w:lang w:eastAsia="zh-CN"/>
        </w:rPr>
        <w:t>（一）参赛选手报名</w:t>
      </w:r>
      <w:bookmarkEnd w:id="16"/>
    </w:p>
    <w:p w14:paraId="6B2297CE">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按照海南省教育厅规定的报名要求报名参赛。</w:t>
      </w:r>
    </w:p>
    <w:p w14:paraId="2926AA74">
      <w:pPr>
        <w:pStyle w:val="3"/>
        <w:spacing w:before="0" w:after="0" w:line="360" w:lineRule="auto"/>
        <w:ind w:firstLine="643" w:firstLineChars="200"/>
        <w:rPr>
          <w:rFonts w:ascii="楷体_GB2312" w:eastAsia="楷体_GB2312"/>
          <w:lang w:eastAsia="zh-CN"/>
        </w:rPr>
      </w:pPr>
      <w:bookmarkStart w:id="17" w:name="_Toc243408245"/>
      <w:r>
        <w:rPr>
          <w:rFonts w:hint="eastAsia" w:ascii="楷体_GB2312" w:eastAsia="楷体_GB2312"/>
          <w:lang w:eastAsia="zh-CN"/>
        </w:rPr>
        <w:t>（二）召开赛前说明会</w:t>
      </w:r>
      <w:bookmarkEnd w:id="17"/>
    </w:p>
    <w:p w14:paraId="4B65FE47">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比赛前一天，召开赛前说明会，宣布竞赛纪律和相关事宜。</w:t>
      </w:r>
    </w:p>
    <w:p w14:paraId="22D8D757">
      <w:pPr>
        <w:pStyle w:val="3"/>
        <w:spacing w:before="0" w:after="0" w:line="360" w:lineRule="auto"/>
        <w:ind w:firstLine="643" w:firstLineChars="200"/>
        <w:rPr>
          <w:rFonts w:ascii="楷体_GB2312" w:eastAsia="楷体_GB2312"/>
          <w:lang w:eastAsia="zh-CN"/>
        </w:rPr>
      </w:pPr>
      <w:bookmarkStart w:id="18" w:name="_Toc243408246"/>
      <w:r>
        <w:rPr>
          <w:rFonts w:hint="eastAsia" w:ascii="楷体_GB2312" w:eastAsia="楷体_GB2312"/>
          <w:lang w:eastAsia="zh-CN"/>
        </w:rPr>
        <w:t>（三）正式比赛赛场规则</w:t>
      </w:r>
      <w:bookmarkEnd w:id="18"/>
    </w:p>
    <w:p w14:paraId="73C9ED82">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1.参赛队的校领队提前十分钟到达抽签室，抽取参赛出场顺序，并对抽签结果签字确认。</w:t>
      </w:r>
    </w:p>
    <w:p w14:paraId="24A98A51">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2.参赛选手在比赛前30分钟到赛项规定地点接受检录，逾期15分钟未到视为自动放弃。参赛选手凭身份证和赛项参赛证、经学校注册的学生证，在引导员指引下提前进入指定的地点进行赛前准备，</w:t>
      </w:r>
      <w:r>
        <w:rPr>
          <w:rFonts w:ascii="仿宋_GB2312" w:eastAsia="仿宋_GB2312" w:cs="Calibri"/>
          <w:color w:val="auto"/>
          <w:sz w:val="32"/>
          <w:szCs w:val="32"/>
          <w:lang w:eastAsia="zh-CN"/>
        </w:rPr>
        <w:t>选手所有证件的个人信息必须一致</w:t>
      </w:r>
      <w:r>
        <w:rPr>
          <w:rFonts w:hint="eastAsia" w:ascii="仿宋_GB2312" w:eastAsia="仿宋_GB2312" w:cs="Calibri"/>
          <w:color w:val="auto"/>
          <w:sz w:val="32"/>
          <w:szCs w:val="32"/>
          <w:lang w:eastAsia="zh-CN"/>
        </w:rPr>
        <w:t>。</w:t>
      </w:r>
    </w:p>
    <w:p w14:paraId="172C0318">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3.参赛选手应认真阅读竞赛须知,自觉遵守竞赛规则和赛场纪律不得携带任何通讯设备、袋包、纸质材料等物品进入候考区域和竞赛场地。比赛期间不得以任何方式公开参赛队及个人信息，违规者取消本次竞赛资格。</w:t>
      </w:r>
    </w:p>
    <w:p w14:paraId="0E7F7601">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4.参赛选手比赛期间必须严格遵守安全操作规程,确保人身安全。</w:t>
      </w:r>
    </w:p>
    <w:p w14:paraId="4ADEC660">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5.评委佩戴评委证，通讯工具统一管理，严格按照评分标准客观公正进行独立评分。</w:t>
      </w:r>
    </w:p>
    <w:p w14:paraId="5F6D2BB0">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6.赛场各类工作人员必须统一佩戴由赛项执委会印制的相应证件，着装整齐，进入工作岗位，遵守赛事规定，认真做好所负责的工作。</w:t>
      </w:r>
    </w:p>
    <w:p w14:paraId="77D09C60">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color w:val="auto"/>
          <w:sz w:val="32"/>
          <w:szCs w:val="32"/>
          <w:lang w:eastAsia="zh-CN"/>
        </w:rPr>
      </w:pPr>
      <w:r>
        <w:rPr>
          <w:rFonts w:hint="eastAsia" w:ascii="仿宋_GB2312" w:eastAsia="仿宋_GB2312" w:cs="Calibri"/>
          <w:color w:val="auto"/>
          <w:sz w:val="32"/>
          <w:szCs w:val="32"/>
          <w:lang w:eastAsia="zh-CN"/>
        </w:rPr>
        <w:t>7.赛场除大赛组委会成员、赛项执委会成员、现场裁判、赛场配备的工作人员外，其他人员未经赛项执委会允许不得进入赛场。新闻媒体等进入赛场必须经过赛项执委会允许，并且听从现场工作人员的安排和指挥，不得影响竞赛正常进行。</w:t>
      </w:r>
    </w:p>
    <w:p w14:paraId="66309222">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8.参赛选手竞赛开始、终止时间由计时裁判记录在案;比赛结束前2分钟给予不干扰提醒。比赛时间到，参赛选手停止比赛，按照要求有序地离开竞赛区域。参赛选手提前结束竞赛并示意后，不得再进行任何操作。</w:t>
      </w:r>
    </w:p>
    <w:p w14:paraId="70631BF5">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9.裁判组和裁判员要严格按照竞赛规范和流程有序开展竞赛，客观公正准确评分，保证竞赛顺利按时完成。各裁判组长负责本赛评判工作和进程。裁判长负责竞赛总体评判工作和进程，做好巡视工作，严格把握评判质量和规范。</w:t>
      </w:r>
    </w:p>
    <w:p w14:paraId="25347EA4">
      <w:pPr>
        <w:pStyle w:val="3"/>
        <w:keepNext w:val="0"/>
        <w:keepLines w:val="0"/>
        <w:pageBreakBefore w:val="0"/>
        <w:widowControl w:val="0"/>
        <w:wordWrap/>
        <w:overflowPunct/>
        <w:topLinePunct/>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19" w:name="_Toc243408247"/>
      <w:r>
        <w:rPr>
          <w:rFonts w:hint="eastAsia" w:ascii="楷体_GB2312" w:eastAsia="楷体_GB2312"/>
          <w:lang w:eastAsia="zh-CN"/>
        </w:rPr>
        <w:t>（四）成绩评定与结果公布</w:t>
      </w:r>
      <w:bookmarkEnd w:id="19"/>
    </w:p>
    <w:p w14:paraId="69EB1E23">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1.在赛项执委会领导下，裁判组负责各赛道的成绩评定，总裁判长负责赛项成绩的审核确认和公布。</w:t>
      </w:r>
    </w:p>
    <w:p w14:paraId="7BF00645">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2.理论考试结束1小时后公布考试成绩，技能竞赛成绩现场公布。</w:t>
      </w:r>
    </w:p>
    <w:p w14:paraId="422D71F0">
      <w:pPr>
        <w:pStyle w:val="2"/>
        <w:keepNext w:val="0"/>
        <w:keepLines w:val="0"/>
        <w:pageBreakBefore w:val="0"/>
        <w:widowControl w:val="0"/>
        <w:wordWrap/>
        <w:overflowPunct/>
        <w:topLinePunct/>
        <w:autoSpaceDE w:val="0"/>
        <w:autoSpaceDN w:val="0"/>
        <w:bidi w:val="0"/>
        <w:adjustRightInd w:val="0"/>
        <w:snapToGrid w:val="0"/>
        <w:spacing w:before="0" w:after="0" w:line="360" w:lineRule="auto"/>
        <w:ind w:firstLine="640" w:firstLineChars="200"/>
        <w:textAlignment w:val="baseline"/>
        <w:rPr>
          <w:rFonts w:ascii="黑体" w:hAnsi="黑体" w:eastAsia="黑体" w:cs="宋体"/>
          <w:b w:val="0"/>
          <w:bCs w:val="0"/>
          <w:sz w:val="32"/>
          <w:szCs w:val="32"/>
          <w:lang w:eastAsia="zh-CN"/>
        </w:rPr>
      </w:pPr>
      <w:bookmarkStart w:id="20" w:name="_Toc243408248"/>
      <w:r>
        <w:rPr>
          <w:rFonts w:hint="eastAsia" w:ascii="黑体" w:hAnsi="黑体" w:eastAsia="黑体" w:cs="宋体"/>
          <w:b w:val="0"/>
          <w:bCs w:val="0"/>
          <w:sz w:val="32"/>
          <w:szCs w:val="32"/>
          <w:lang w:eastAsia="zh-CN"/>
        </w:rPr>
        <w:t>七、技术规范</w:t>
      </w:r>
      <w:bookmarkEnd w:id="20"/>
    </w:p>
    <w:p w14:paraId="6478DB2D">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本赛项遵循的技术规范可参考如下：</w:t>
      </w:r>
    </w:p>
    <w:p w14:paraId="0B7D4922">
      <w:pPr>
        <w:pStyle w:val="3"/>
        <w:keepNext w:val="0"/>
        <w:keepLines w:val="0"/>
        <w:pageBreakBefore w:val="0"/>
        <w:widowControl w:val="0"/>
        <w:wordWrap/>
        <w:overflowPunct/>
        <w:topLinePunct/>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21" w:name="_Toc243408249"/>
      <w:r>
        <w:rPr>
          <w:rFonts w:hint="eastAsia" w:ascii="楷体_GB2312" w:eastAsia="楷体_GB2312"/>
          <w:lang w:eastAsia="zh-CN"/>
        </w:rPr>
        <w:t>（一）专业教学标准要求</w:t>
      </w:r>
      <w:bookmarkEnd w:id="21"/>
    </w:p>
    <w:p w14:paraId="606B5386">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赛项根据教育部颁布的《高等职业学校康复治疗技术专业教学标准（2019）》和《职业教育专业简介（康复治疗类，2022年修订）》的素质、知识、能力和职业态度要求，符合专业核心课程《康复评定技术》《运动治疗技术》《物理因子治疗技术》《作业治疗技术》《常见疾病康复》等课程目标和教学内容的要求。</w:t>
      </w:r>
    </w:p>
    <w:p w14:paraId="10702209">
      <w:pPr>
        <w:pStyle w:val="3"/>
        <w:keepNext w:val="0"/>
        <w:keepLines w:val="0"/>
        <w:pageBreakBefore w:val="0"/>
        <w:widowControl w:val="0"/>
        <w:wordWrap/>
        <w:overflowPunct/>
        <w:topLinePunct/>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22" w:name="_Toc243408250"/>
      <w:r>
        <w:rPr>
          <w:rFonts w:hint="eastAsia" w:ascii="楷体_GB2312" w:eastAsia="楷体_GB2312"/>
          <w:lang w:eastAsia="zh-CN"/>
        </w:rPr>
        <w:t>（二）行业、职业技术标准</w:t>
      </w:r>
      <w:bookmarkEnd w:id="22"/>
    </w:p>
    <w:p w14:paraId="38D66B64">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《常用康复治疗技术操作规范（2012版）》（卫生部）；</w:t>
      </w:r>
    </w:p>
    <w:p w14:paraId="14E2B70B">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《2026年全国卫生专业技术资格考试康复医学治疗技术（士、师、中级）考试大纲》。</w:t>
      </w:r>
    </w:p>
    <w:p w14:paraId="5894E10F">
      <w:pPr>
        <w:pStyle w:val="3"/>
        <w:keepNext w:val="0"/>
        <w:keepLines w:val="0"/>
        <w:pageBreakBefore w:val="0"/>
        <w:widowControl w:val="0"/>
        <w:wordWrap/>
        <w:overflowPunct/>
        <w:topLinePunct/>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23" w:name="_Toc243408251"/>
      <w:r>
        <w:rPr>
          <w:rFonts w:hint="eastAsia" w:ascii="楷体_GB2312" w:eastAsia="楷体_GB2312"/>
          <w:lang w:eastAsia="zh-CN"/>
        </w:rPr>
        <w:t>（三）设备技术标准</w:t>
      </w:r>
      <w:bookmarkEnd w:id="23"/>
    </w:p>
    <w:p w14:paraId="628AE1E6">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赛场配备康复评定与康复治疗的基本设备包括握力计、捏力测定仪、通用量角器、多体位治疗床、可升降治疗床、PT凳、弹力带、沙袋、体操棒、抗阻肌力训练器、神经肌肉电刺激仪(含电极片)、经皮神经电刺激仪、中频电治疗仪(含电极若干)、超短波、作业治疗综合训练台、滚筒、插件类、手工类、日常生活活动类器具、作业类辅助器具、认知训练仪、吞咽治疗仪、言语治疗图卡等。设备均符合国家卫健委《康复医疗中心基本标准(试行)》要求。</w:t>
      </w:r>
    </w:p>
    <w:p w14:paraId="05093283">
      <w:pPr>
        <w:pStyle w:val="2"/>
        <w:keepNext w:val="0"/>
        <w:keepLines w:val="0"/>
        <w:pageBreakBefore w:val="0"/>
        <w:widowControl w:val="0"/>
        <w:wordWrap/>
        <w:overflowPunct/>
        <w:topLinePunct/>
        <w:autoSpaceDE w:val="0"/>
        <w:autoSpaceDN w:val="0"/>
        <w:bidi w:val="0"/>
        <w:adjustRightInd w:val="0"/>
        <w:snapToGrid w:val="0"/>
        <w:spacing w:before="0" w:after="0" w:line="360" w:lineRule="auto"/>
        <w:ind w:firstLine="640" w:firstLineChars="200"/>
        <w:textAlignment w:val="baseline"/>
        <w:rPr>
          <w:rFonts w:ascii="黑体" w:hAnsi="黑体" w:eastAsia="黑体" w:cs="宋体"/>
          <w:b w:val="0"/>
          <w:bCs w:val="0"/>
          <w:sz w:val="32"/>
          <w:szCs w:val="32"/>
          <w:lang w:eastAsia="zh-CN"/>
        </w:rPr>
      </w:pPr>
      <w:bookmarkStart w:id="24" w:name="_Toc243408252"/>
      <w:r>
        <w:rPr>
          <w:rFonts w:hint="eastAsia" w:ascii="黑体" w:hAnsi="黑体" w:eastAsia="黑体" w:cs="宋体"/>
          <w:b w:val="0"/>
          <w:bCs w:val="0"/>
          <w:sz w:val="32"/>
          <w:szCs w:val="32"/>
          <w:lang w:eastAsia="zh-CN"/>
        </w:rPr>
        <w:t>八、技术环境</w:t>
      </w:r>
      <w:bookmarkEnd w:id="24"/>
    </w:p>
    <w:p w14:paraId="4CE38C07">
      <w:pPr>
        <w:pStyle w:val="3"/>
        <w:keepNext w:val="0"/>
        <w:keepLines w:val="0"/>
        <w:pageBreakBefore w:val="0"/>
        <w:widowControl w:val="0"/>
        <w:wordWrap/>
        <w:overflowPunct/>
        <w:topLinePunct/>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r>
        <w:rPr>
          <w:rFonts w:hint="eastAsia" w:ascii="楷体_GB2312" w:eastAsia="楷体_GB2312"/>
          <w:lang w:eastAsia="zh-CN"/>
        </w:rPr>
        <w:t xml:space="preserve"> </w:t>
      </w:r>
      <w:bookmarkStart w:id="25" w:name="_Toc243408253"/>
      <w:r>
        <w:rPr>
          <w:rFonts w:hint="eastAsia" w:ascii="楷体_GB2312" w:eastAsia="楷体_GB2312"/>
          <w:lang w:eastAsia="zh-CN"/>
        </w:rPr>
        <w:t>（一）竞赛环境</w:t>
      </w:r>
      <w:bookmarkEnd w:id="25"/>
    </w:p>
    <w:p w14:paraId="507FCA79">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竞赛场地要求通风、宽敞明亮，配备双线路供电系统和漏电保护装置，配备实况监控视频转播系统。在规定赛场内，须设置:</w:t>
      </w:r>
    </w:p>
    <w:p w14:paraId="51876D4E">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1.理论考试竞赛区:标准单人单座考场。</w:t>
      </w:r>
    </w:p>
    <w:p w14:paraId="53793203">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2.技能操作竞赛区:分候赛区、备赛区、技能竞赛区和休息区。</w:t>
      </w:r>
    </w:p>
    <w:p w14:paraId="6B806D69">
      <w:pPr>
        <w:pStyle w:val="3"/>
        <w:keepNext w:val="0"/>
        <w:keepLines w:val="0"/>
        <w:pageBreakBefore w:val="0"/>
        <w:widowControl w:val="0"/>
        <w:wordWrap/>
        <w:overflowPunct/>
        <w:topLinePunct/>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26" w:name="_Toc243408254"/>
      <w:r>
        <w:rPr>
          <w:rFonts w:hint="eastAsia" w:ascii="楷体_GB2312" w:eastAsia="楷体_GB2312"/>
          <w:lang w:eastAsia="zh-CN"/>
        </w:rPr>
        <w:t>（二）技术平台</w:t>
      </w:r>
      <w:bookmarkEnd w:id="26"/>
    </w:p>
    <w:p w14:paraId="38F24A8F">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赛项的器材、物品均为全国职业院校康复治疗技术实训通用器材，比赛摄像及同步直播平台和网络平台由海南健康管理职业技术学院提供。标准化病人（Standard Patient,SP）由专家组抽取，培训后上岗。</w:t>
      </w:r>
    </w:p>
    <w:p w14:paraId="42231BB4">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本赛项使用标准化病人（Standard Patient,SP）配合案例展现。按照案例病种数和赛道数进行配比。SP的条件：具备良好的表演能力、理解能力、记忆力、沟通能力，同时有良好的体力和耐力，有足够时间参加培训及比赛。针对这一比赛，SP赛前接受同意标准化培训，掌握相关疾病的主要症状、功能障碍和特点，心理和社会问题的相关特征，能表现出案例要求的相应身体、情绪感受和体验，按照竞赛脚本要求配合完成选手的技术操作任务:要保证在同一案例中表演和配合一致性，为每一名选手提供公平一致的配合。SP培训前要签署保密责任书，服从大赛安排。</w:t>
      </w:r>
    </w:p>
    <w:p w14:paraId="57EA945E">
      <w:pPr>
        <w:pStyle w:val="3"/>
        <w:keepNext w:val="0"/>
        <w:keepLines w:val="0"/>
        <w:pageBreakBefore w:val="0"/>
        <w:widowControl w:val="0"/>
        <w:wordWrap/>
        <w:overflowPunct/>
        <w:topLinePunct/>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27" w:name="_Toc243408255"/>
      <w:r>
        <w:rPr>
          <w:rFonts w:hint="eastAsia" w:ascii="楷体_GB2312" w:eastAsia="楷体_GB2312"/>
          <w:lang w:eastAsia="zh-CN"/>
        </w:rPr>
        <w:t>（三）比赛器材和物品</w:t>
      </w:r>
      <w:bookmarkEnd w:id="27"/>
    </w:p>
    <w:p w14:paraId="5D4ABB07">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赛场配备康复评定与康复治疗的基本设备。</w:t>
      </w:r>
    </w:p>
    <w:p w14:paraId="16F5F66E">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3"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b/>
          <w:bCs/>
          <w:color w:val="auto"/>
          <w:sz w:val="32"/>
          <w:szCs w:val="32"/>
          <w:lang w:eastAsia="zh-CN"/>
        </w:rPr>
        <w:t>1.康复评定</w:t>
      </w:r>
      <w:r>
        <w:rPr>
          <w:rFonts w:hint="eastAsia" w:ascii="仿宋_GB2312" w:eastAsia="仿宋_GB2312" w:cs="Calibri"/>
          <w:color w:val="auto"/>
          <w:sz w:val="32"/>
          <w:szCs w:val="32"/>
          <w:lang w:eastAsia="zh-CN"/>
        </w:rPr>
        <w:t xml:space="preserve"> 采用“标准化病人”进行操作。配备肌力、肌张力、关节活动度、平衡功能、认知、语言、吞咽和日常活动能力等评定量表和握力测定仪、捏力测定仪、通用量角器等相关器材。</w:t>
      </w:r>
    </w:p>
    <w:p w14:paraId="74FB893D">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3"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b/>
          <w:bCs/>
          <w:color w:val="auto"/>
          <w:sz w:val="32"/>
          <w:szCs w:val="32"/>
          <w:lang w:eastAsia="zh-CN"/>
        </w:rPr>
        <w:t>2.运动治疗</w:t>
      </w:r>
      <w:r>
        <w:rPr>
          <w:rFonts w:hint="eastAsia" w:ascii="仿宋_GB2312" w:eastAsia="仿宋_GB2312" w:cs="Calibri"/>
          <w:color w:val="auto"/>
          <w:sz w:val="32"/>
          <w:szCs w:val="32"/>
          <w:lang w:eastAsia="zh-CN"/>
        </w:rPr>
        <w:t xml:space="preserve"> 采用“标准化病人”进行操作。提供多体位治疗床可升降治疗床、PT凳、弹力带、沙袋、体操棒、抗阻肌力训练器等相关器材。</w:t>
      </w:r>
    </w:p>
    <w:p w14:paraId="70CCDA99">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3"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b/>
          <w:bCs/>
          <w:color w:val="auto"/>
          <w:sz w:val="32"/>
          <w:szCs w:val="32"/>
          <w:lang w:eastAsia="zh-CN"/>
        </w:rPr>
        <w:t>3.物理因子治疗</w:t>
      </w:r>
      <w:r>
        <w:rPr>
          <w:rFonts w:hint="eastAsia" w:ascii="仿宋_GB2312" w:eastAsia="仿宋_GB2312" w:cs="Calibri"/>
          <w:color w:val="auto"/>
          <w:sz w:val="32"/>
          <w:szCs w:val="32"/>
          <w:lang w:eastAsia="zh-CN"/>
        </w:rPr>
        <w:t xml:space="preserve"> 采用“标准化病人”进行操作。提供神经肌肉电刺激仪(含电极片)、经皮神经电刺激仪、中频电治疗仪(含电极若干)、超短波等仪器。</w:t>
      </w:r>
    </w:p>
    <w:p w14:paraId="7DEB2015">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3"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b/>
          <w:bCs/>
          <w:color w:val="auto"/>
          <w:sz w:val="32"/>
          <w:szCs w:val="32"/>
          <w:lang w:eastAsia="zh-CN"/>
        </w:rPr>
        <w:t>4.作业治疗</w:t>
      </w:r>
      <w:r>
        <w:rPr>
          <w:rFonts w:hint="eastAsia" w:ascii="仿宋_GB2312" w:eastAsia="仿宋_GB2312" w:cs="Calibri"/>
          <w:color w:val="auto"/>
          <w:sz w:val="32"/>
          <w:szCs w:val="32"/>
          <w:lang w:eastAsia="zh-CN"/>
        </w:rPr>
        <w:t xml:space="preserve"> 采用“标准化病人”进行操作。提供作业治疗综合训练台、滚筒、插件类、手工类、日常生活活动类器具、作业类辅助器具、认知训练仪等设备。</w:t>
      </w:r>
    </w:p>
    <w:p w14:paraId="403AB340">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3"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b/>
          <w:bCs/>
          <w:color w:val="auto"/>
          <w:sz w:val="32"/>
          <w:szCs w:val="32"/>
          <w:lang w:eastAsia="zh-CN"/>
        </w:rPr>
        <w:t>5.言语吞咽治疗</w:t>
      </w:r>
      <w:r>
        <w:rPr>
          <w:rFonts w:hint="eastAsia" w:ascii="仿宋_GB2312" w:eastAsia="仿宋_GB2312" w:cs="Calibri"/>
          <w:color w:val="auto"/>
          <w:sz w:val="32"/>
          <w:szCs w:val="32"/>
          <w:lang w:eastAsia="zh-CN"/>
        </w:rPr>
        <w:t xml:space="preserve"> 采用“标准化病人”进行操作。提供冰棉签、吞咽治疗仪、言语治疗图卡等。</w:t>
      </w:r>
    </w:p>
    <w:p w14:paraId="26FB6E33">
      <w:pPr>
        <w:pStyle w:val="2"/>
        <w:keepNext w:val="0"/>
        <w:keepLines w:val="0"/>
        <w:pageBreakBefore w:val="0"/>
        <w:widowControl w:val="0"/>
        <w:wordWrap/>
        <w:overflowPunct/>
        <w:topLinePunct/>
        <w:autoSpaceDE w:val="0"/>
        <w:autoSpaceDN w:val="0"/>
        <w:bidi w:val="0"/>
        <w:adjustRightInd w:val="0"/>
        <w:snapToGrid w:val="0"/>
        <w:spacing w:before="0" w:after="0" w:line="360" w:lineRule="auto"/>
        <w:ind w:firstLine="640" w:firstLineChars="200"/>
        <w:textAlignment w:val="baseline"/>
        <w:rPr>
          <w:rFonts w:ascii="黑体" w:hAnsi="黑体" w:eastAsia="黑体" w:cs="宋体"/>
          <w:b w:val="0"/>
          <w:bCs w:val="0"/>
          <w:sz w:val="32"/>
          <w:szCs w:val="32"/>
          <w:lang w:eastAsia="zh-CN"/>
        </w:rPr>
      </w:pPr>
      <w:bookmarkStart w:id="28" w:name="_Toc243408256"/>
      <w:r>
        <w:rPr>
          <w:rFonts w:hint="eastAsia" w:ascii="黑体" w:hAnsi="黑体" w:eastAsia="黑体" w:cs="宋体"/>
          <w:b w:val="0"/>
          <w:bCs w:val="0"/>
          <w:sz w:val="32"/>
          <w:szCs w:val="32"/>
          <w:lang w:eastAsia="zh-CN"/>
        </w:rPr>
        <w:t>九、竞赛样题</w:t>
      </w:r>
      <w:bookmarkEnd w:id="28"/>
    </w:p>
    <w:p w14:paraId="16BF6D1A">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根据大赛赛题管理办法规定，建立理论考试题库和技能操作案例题库，由大赛组委会参考《全国卫生专业技术资格考试康复医学治疗技术(士、师、中级)考试大纲》组织出题，题库中70%在大赛网络信息平台公开，30%保密封存。赛前由裁判长在省教育厅的监督下随机组3套试卷。赛前10分钟，由理论知识竞赛1号选手从1-3号套题中随机抽取考试试题套号。选手在规定时间内完成答题，理论考试结束1小时后公布成绩。</w:t>
      </w:r>
    </w:p>
    <w:p w14:paraId="48C9385D">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样题如下：</w:t>
      </w:r>
    </w:p>
    <w:p w14:paraId="6A843148">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黑体" w:hAnsi="黑体" w:eastAsia="黑体" w:cs="Calibri"/>
          <w:color w:val="auto"/>
          <w:sz w:val="32"/>
          <w:szCs w:val="32"/>
          <w:lang w:eastAsia="zh-CN"/>
        </w:rPr>
      </w:pPr>
      <w:r>
        <w:rPr>
          <w:rFonts w:hint="eastAsia" w:ascii="黑体" w:hAnsi="黑体" w:eastAsia="黑体" w:cs="Calibri"/>
          <w:color w:val="auto"/>
          <w:sz w:val="32"/>
          <w:szCs w:val="32"/>
          <w:lang w:eastAsia="zh-CN"/>
        </w:rPr>
        <w:t>【理论知识竞赛样题】</w:t>
      </w:r>
    </w:p>
    <w:p w14:paraId="6C638DC4">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单选题（一下每一道考题下面有A、B、C、D、E五个备选答案。请从中选择一个最佳答案）</w:t>
      </w:r>
    </w:p>
    <w:p w14:paraId="424286A6">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1.关于锁骨的解剖学特征，下列哪一项描述是正确的是（    ）</w:t>
      </w:r>
    </w:p>
    <w:p w14:paraId="0D345E42">
      <w:pPr>
        <w:keepNext w:val="0"/>
        <w:keepLines w:val="0"/>
        <w:pageBreakBefore w:val="0"/>
        <w:widowControl w:val="0"/>
        <w:wordWrap/>
        <w:overflowPunct/>
        <w:topLinePunct/>
        <w:autoSpaceDE w:val="0"/>
        <w:autoSpaceDN w:val="0"/>
        <w:bidi w:val="0"/>
        <w:adjustRightInd w:val="0"/>
        <w:snapToGrid w:val="0"/>
        <w:spacing w:line="360" w:lineRule="auto"/>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 xml:space="preserve">A.由膜化骨形成    </w:t>
      </w:r>
      <w:r>
        <w:rPr>
          <w:rFonts w:ascii="仿宋_GB2312" w:eastAsia="仿宋_GB2312" w:cs="Calibri"/>
          <w:color w:val="auto"/>
          <w:sz w:val="32"/>
          <w:szCs w:val="32"/>
          <w:lang w:eastAsia="zh-CN"/>
        </w:rPr>
        <w:t xml:space="preserve"> </w:t>
      </w:r>
      <w:r>
        <w:rPr>
          <w:rFonts w:hint="eastAsia" w:ascii="仿宋_GB2312" w:eastAsia="仿宋_GB2312" w:cs="Calibri"/>
          <w:color w:val="auto"/>
          <w:sz w:val="32"/>
          <w:szCs w:val="32"/>
          <w:lang w:eastAsia="zh-CN"/>
        </w:rPr>
        <w:t>B.外侧1/3凸向前    C.内侧端扁平</w:t>
      </w:r>
    </w:p>
    <w:p w14:paraId="2D10B630">
      <w:pPr>
        <w:keepNext w:val="0"/>
        <w:keepLines w:val="0"/>
        <w:pageBreakBefore w:val="0"/>
        <w:widowControl w:val="0"/>
        <w:wordWrap/>
        <w:overflowPunct/>
        <w:topLinePunct/>
        <w:autoSpaceDE w:val="0"/>
        <w:autoSpaceDN w:val="0"/>
        <w:bidi w:val="0"/>
        <w:adjustRightInd w:val="0"/>
        <w:snapToGrid w:val="0"/>
        <w:spacing w:line="360" w:lineRule="auto"/>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D.与胸骨构成关节   E.中、内1/3交界处易骨折</w:t>
      </w:r>
    </w:p>
    <w:p w14:paraId="68B5D18E">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黑体" w:hAnsi="黑体" w:eastAsia="黑体" w:cs="Calibri"/>
          <w:color w:val="auto"/>
          <w:sz w:val="32"/>
          <w:szCs w:val="32"/>
          <w:lang w:eastAsia="zh-CN"/>
        </w:rPr>
      </w:pPr>
      <w:r>
        <w:rPr>
          <w:rFonts w:hint="eastAsia" w:ascii="黑体" w:hAnsi="黑体" w:eastAsia="黑体" w:cs="Calibri"/>
          <w:color w:val="auto"/>
          <w:sz w:val="32"/>
          <w:szCs w:val="32"/>
          <w:lang w:eastAsia="zh-CN"/>
        </w:rPr>
        <w:t>【技能操作案例样题】</w:t>
      </w:r>
    </w:p>
    <w:p w14:paraId="22352B33">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案例描述：</w:t>
      </w:r>
    </w:p>
    <w:p w14:paraId="6CC70B9B">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某男性患者，45岁，教师。因颈肩部疼痛伴左上肢放射性痛5天入院。患者5天前开始出现颈肩部疼痛，之后有反复发作5天前出现症状加重，伴左上肢放射性痛，同时伴有左上肢木，活动时疼痛加重，卧床休息后稍有缓解。无潮热、盗汗，无心慌、胸闷无恶心、呕吐等不适</w:t>
      </w:r>
    </w:p>
    <w:p w14:paraId="2B152F79">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查体：神志清楚，发育正常，营养中等，步态正常，检查合作。生理反射存在，病理反射未引出。颈4~7棘突及右侧压痛，左臂丛牵拉试验（+），Hoffman征（-）。双侧上肢肌力、肌张力、腱反射均未见明显异常。X线示：C4~C7轻度骨质增生，生理曲度变直。</w:t>
      </w:r>
    </w:p>
    <w:p w14:paraId="66CAF9AA">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参赛选手任务：（1、2、3题为操作演示题，4为口述题）</w:t>
      </w:r>
    </w:p>
    <w:p w14:paraId="13D8DE41">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1.请从康复治疗师的角度对这个患者进行问诊并总结问诊结果。</w:t>
      </w:r>
    </w:p>
    <w:p w14:paraId="01D321E2">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2.针对本病例,请陈述康复评定的内容应包括哪些?并演示2个典型的评定方法。</w:t>
      </w:r>
    </w:p>
    <w:p w14:paraId="1BC78C68">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3.请为此患者设计一套康复治疗方案，并演示一种手法处理方法和一套治疗性运动。</w:t>
      </w:r>
    </w:p>
    <w:p w14:paraId="51623931">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4.请陈述什么原因引致患者的这些症状和体征？患者有哪些功能受限？治疗的短期目标、长期目标、康复计划以及预后分别如何？</w:t>
      </w:r>
    </w:p>
    <w:p w14:paraId="4038DB40">
      <w:pPr>
        <w:pStyle w:val="2"/>
        <w:keepNext w:val="0"/>
        <w:keepLines w:val="0"/>
        <w:pageBreakBefore w:val="0"/>
        <w:widowControl w:val="0"/>
        <w:wordWrap/>
        <w:overflowPunct/>
        <w:topLinePunct/>
        <w:autoSpaceDE w:val="0"/>
        <w:autoSpaceDN w:val="0"/>
        <w:bidi w:val="0"/>
        <w:adjustRightInd w:val="0"/>
        <w:snapToGrid w:val="0"/>
        <w:spacing w:before="0" w:after="0" w:line="360" w:lineRule="auto"/>
        <w:ind w:firstLine="640" w:firstLineChars="200"/>
        <w:textAlignment w:val="baseline"/>
        <w:rPr>
          <w:rFonts w:ascii="黑体" w:hAnsi="黑体" w:eastAsia="黑体" w:cs="宋体"/>
          <w:b w:val="0"/>
          <w:bCs w:val="0"/>
          <w:sz w:val="32"/>
          <w:szCs w:val="32"/>
          <w:lang w:eastAsia="zh-CN"/>
        </w:rPr>
      </w:pPr>
      <w:bookmarkStart w:id="29" w:name="_Toc243408257"/>
      <w:r>
        <w:rPr>
          <w:rFonts w:hint="eastAsia" w:ascii="黑体" w:hAnsi="黑体" w:eastAsia="黑体" w:cs="宋体"/>
          <w:b w:val="0"/>
          <w:bCs w:val="0"/>
          <w:sz w:val="32"/>
          <w:szCs w:val="32"/>
          <w:lang w:eastAsia="zh-CN"/>
        </w:rPr>
        <w:t>十、成绩评定</w:t>
      </w:r>
      <w:bookmarkEnd w:id="29"/>
    </w:p>
    <w:p w14:paraId="604006E8">
      <w:pPr>
        <w:pStyle w:val="3"/>
        <w:keepNext w:val="0"/>
        <w:keepLines w:val="0"/>
        <w:pageBreakBefore w:val="0"/>
        <w:widowControl w:val="0"/>
        <w:wordWrap/>
        <w:overflowPunct/>
        <w:topLinePunct/>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30" w:name="_Toc243408258"/>
      <w:r>
        <w:rPr>
          <w:rFonts w:hint="eastAsia" w:ascii="楷体_GB2312" w:eastAsia="楷体_GB2312"/>
          <w:lang w:eastAsia="zh-CN"/>
        </w:rPr>
        <w:t>（一）评分标准制定原则</w:t>
      </w:r>
      <w:bookmarkEnd w:id="30"/>
    </w:p>
    <w:p w14:paraId="1355D843">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评分标准由赛项专家组按照《全国职业院校技能大赛成绩管理办法》的相关要求进行制定。评分标准包括对学生的职业素养（包括专业态度、仪表、沟通能力等）、专业知识和技术的掌握运用、操作前的准备、操作过程的规范性、准确性及熟练程度的评价，全面考量学生分析问题和解决问题的实际应用能力，以及团队协作沟通及组织与管理能力，同时兼顾团队协作精神、价值观与态度、职业道德素养进行综合评价。</w:t>
      </w:r>
    </w:p>
    <w:p w14:paraId="5F563DFB">
      <w:pPr>
        <w:pStyle w:val="3"/>
        <w:keepNext w:val="0"/>
        <w:keepLines w:val="0"/>
        <w:pageBreakBefore w:val="0"/>
        <w:widowControl w:val="0"/>
        <w:wordWrap/>
        <w:overflowPunct/>
        <w:topLinePunct/>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31" w:name="_Toc243408259"/>
      <w:r>
        <w:rPr>
          <w:rFonts w:hint="eastAsia" w:ascii="楷体_GB2312" w:eastAsia="楷体_GB2312"/>
          <w:lang w:eastAsia="zh-CN"/>
        </w:rPr>
        <w:t>（二）评分方法</w:t>
      </w:r>
      <w:bookmarkEnd w:id="31"/>
    </w:p>
    <w:p w14:paraId="0A94B681">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3" w:firstLineChars="200"/>
        <w:jc w:val="both"/>
        <w:textAlignment w:val="baseline"/>
        <w:rPr>
          <w:rFonts w:ascii="仿宋_GB2312" w:eastAsia="仿宋_GB2312" w:cs="Calibri"/>
          <w:b/>
          <w:bCs/>
          <w:color w:val="auto"/>
          <w:sz w:val="32"/>
          <w:szCs w:val="32"/>
          <w:lang w:eastAsia="zh-CN"/>
        </w:rPr>
      </w:pPr>
      <w:r>
        <w:rPr>
          <w:rFonts w:hint="eastAsia" w:ascii="仿宋_GB2312" w:eastAsia="仿宋_GB2312" w:cs="Calibri"/>
          <w:b/>
          <w:bCs/>
          <w:color w:val="auto"/>
          <w:sz w:val="32"/>
          <w:szCs w:val="32"/>
          <w:lang w:eastAsia="zh-CN"/>
        </w:rPr>
        <w:t>1.成绩评定</w:t>
      </w:r>
    </w:p>
    <w:p w14:paraId="062A310F">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1）竞赛成绩采用百分制计分：其中理论考试占15%，技能操作占85%。理论考试100分（单项选择50分，每题2分），取3名选手的平均分×15%计入团队总分（精确到小数点后两位，四舍五入）；技能操作100分（问诊20%，评定35%，治疗35%，回答问题10%），技能操作平均得分×85%计入团队总分（精确到小数点后两位，四舍五入）。</w:t>
      </w:r>
    </w:p>
    <w:p w14:paraId="1BA8B6C9">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（2）</w:t>
      </w:r>
      <w:r>
        <w:rPr>
          <w:rFonts w:ascii="仿宋_GB2312" w:eastAsia="仿宋_GB2312" w:cs="Calibri"/>
          <w:color w:val="auto"/>
          <w:sz w:val="32"/>
          <w:szCs w:val="32"/>
          <w:lang w:eastAsia="zh-CN"/>
        </w:rPr>
        <w:t>理论考试按照评分标准评分</w:t>
      </w:r>
      <w:r>
        <w:rPr>
          <w:rFonts w:hint="eastAsia" w:ascii="仿宋_GB2312" w:eastAsia="仿宋_GB2312" w:cs="Calibri"/>
          <w:color w:val="auto"/>
          <w:sz w:val="32"/>
          <w:szCs w:val="32"/>
          <w:lang w:eastAsia="zh-CN"/>
        </w:rPr>
        <w:t>；</w:t>
      </w:r>
      <w:r>
        <w:rPr>
          <w:rFonts w:ascii="仿宋_GB2312" w:eastAsia="仿宋_GB2312" w:cs="Calibri"/>
          <w:color w:val="auto"/>
          <w:sz w:val="32"/>
          <w:szCs w:val="32"/>
          <w:lang w:eastAsia="zh-CN"/>
        </w:rPr>
        <w:t>技能操作依据评分标准评分，去掉一个最高分和一个最低分，取其余裁判给分之和的算术平均值为参赛选手技能操作得分(精确到小数点后两位，四舍五入)</w:t>
      </w:r>
      <w:r>
        <w:rPr>
          <w:rFonts w:hint="eastAsia" w:ascii="仿宋_GB2312" w:eastAsia="仿宋_GB2312" w:cs="Calibri"/>
          <w:color w:val="auto"/>
          <w:sz w:val="32"/>
          <w:szCs w:val="32"/>
          <w:lang w:eastAsia="zh-CN"/>
        </w:rPr>
        <w:t>。</w:t>
      </w:r>
    </w:p>
    <w:p w14:paraId="3279088C">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3" w:firstLineChars="200"/>
        <w:jc w:val="both"/>
        <w:textAlignment w:val="baseline"/>
        <w:rPr>
          <w:rFonts w:ascii="仿宋_GB2312" w:eastAsia="仿宋_GB2312" w:cs="Calibri"/>
          <w:b/>
          <w:bCs/>
          <w:color w:val="auto"/>
          <w:sz w:val="32"/>
          <w:szCs w:val="32"/>
          <w:lang w:eastAsia="zh-CN"/>
        </w:rPr>
      </w:pPr>
      <w:r>
        <w:rPr>
          <w:rFonts w:hint="eastAsia" w:ascii="仿宋_GB2312" w:eastAsia="仿宋_GB2312" w:cs="Calibri"/>
          <w:b/>
          <w:bCs/>
          <w:color w:val="auto"/>
          <w:sz w:val="32"/>
          <w:szCs w:val="32"/>
          <w:lang w:eastAsia="zh-CN"/>
        </w:rPr>
        <w:t>2.成绩审核及公布方法</w:t>
      </w:r>
    </w:p>
    <w:p w14:paraId="6849C04B">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（1）</w:t>
      </w:r>
      <w:r>
        <w:rPr>
          <w:rFonts w:ascii="仿宋_GB2312" w:eastAsia="仿宋_GB2312" w:cs="Calibri"/>
          <w:color w:val="auto"/>
          <w:sz w:val="32"/>
          <w:szCs w:val="32"/>
          <w:lang w:eastAsia="zh-CN"/>
        </w:rPr>
        <w:t>成绩审核方法:为保障成绩评判的准确性，监督组对赛项总成绩排名前30%的所有参赛选手的成绩进行复核</w:t>
      </w:r>
      <w:r>
        <w:rPr>
          <w:rFonts w:hint="eastAsia" w:ascii="仿宋_GB2312" w:eastAsia="仿宋_GB2312" w:cs="Calibri"/>
          <w:color w:val="auto"/>
          <w:sz w:val="32"/>
          <w:szCs w:val="32"/>
          <w:lang w:eastAsia="zh-CN"/>
        </w:rPr>
        <w:t>；</w:t>
      </w:r>
      <w:r>
        <w:rPr>
          <w:rFonts w:ascii="仿宋_GB2312" w:eastAsia="仿宋_GB2312" w:cs="Calibri"/>
          <w:color w:val="auto"/>
          <w:sz w:val="32"/>
          <w:szCs w:val="32"/>
          <w:lang w:eastAsia="zh-CN"/>
        </w:rPr>
        <w:t>对其余成绩进行抽检复核，抽检覆盖率不得低于15%。参赛选手的成绩经复核无误，由裁判长、监督人员和仲裁人员签字确认。</w:t>
      </w:r>
    </w:p>
    <w:p w14:paraId="7062EA7D">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（2）成绩公布方法:理论考试成绩在考试结束1小时后公布，技能操作成绩现场公布，赛项成绩在指定地点，以纸质或电子屏形式向全体参赛队进行公布。</w:t>
      </w:r>
    </w:p>
    <w:p w14:paraId="1DCAB72C">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（3）参赛选手的成绩排序:依据竞赛成绩由高到低排列名次，成绩相同参赛选手名次并列，后续选手名次依次递增。</w:t>
      </w:r>
    </w:p>
    <w:p w14:paraId="04E1CCE8">
      <w:pPr>
        <w:pStyle w:val="3"/>
        <w:keepNext w:val="0"/>
        <w:keepLines w:val="0"/>
        <w:pageBreakBefore w:val="0"/>
        <w:widowControl w:val="0"/>
        <w:wordWrap/>
        <w:overflowPunct/>
        <w:topLinePunct/>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32" w:name="_Toc243408260"/>
      <w:r>
        <w:rPr>
          <w:rFonts w:hint="eastAsia" w:ascii="楷体_GB2312" w:eastAsia="楷体_GB2312"/>
          <w:lang w:eastAsia="zh-CN"/>
        </w:rPr>
        <w:t>（三）评分标准及评分细则</w:t>
      </w:r>
      <w:bookmarkEnd w:id="32"/>
    </w:p>
    <w:p w14:paraId="657EA36A">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3" w:firstLineChars="200"/>
        <w:jc w:val="both"/>
        <w:textAlignment w:val="baseline"/>
        <w:rPr>
          <w:rFonts w:ascii="仿宋_GB2312" w:eastAsia="仿宋_GB2312" w:cs="Calibri"/>
          <w:b/>
          <w:bCs/>
          <w:color w:val="auto"/>
          <w:sz w:val="32"/>
          <w:szCs w:val="32"/>
          <w:lang w:eastAsia="zh-CN"/>
        </w:rPr>
      </w:pPr>
      <w:r>
        <w:rPr>
          <w:rFonts w:hint="eastAsia" w:ascii="仿宋_GB2312" w:eastAsia="仿宋_GB2312" w:cs="Calibri"/>
          <w:b/>
          <w:bCs/>
          <w:color w:val="auto"/>
          <w:sz w:val="32"/>
          <w:szCs w:val="32"/>
          <w:lang w:eastAsia="zh-CN"/>
        </w:rPr>
        <w:t>1.问诊（100分）</w:t>
      </w:r>
    </w:p>
    <w:p w14:paraId="4650101F">
      <w:pPr>
        <w:pStyle w:val="4"/>
        <w:keepNext w:val="0"/>
        <w:keepLines w:val="0"/>
        <w:pageBreakBefore w:val="0"/>
        <w:widowControl w:val="0"/>
        <w:kinsoku/>
        <w:wordWrap/>
        <w:overflowPunct/>
        <w:topLinePunct/>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标准：学生需要表现出有良好的职业素质和很好的交流沟通技巧对于自身所进行的操作能够很好地把握，如自身操作时所处的姿势和患者在检测时的主观感受;意识到操作时患者的体位;询问病史:询问与患者病情相关的问题(举例如下但又不局限于此:可能包括呼吸短促的主诉，吸烟史，疼痛和其它有关的症状:家庭情况，生活方式或家庭支持情况，这些都会影响疾病患者的家庭环境、生活方式或家庭支持情况:相关的活动状态:有利于制定合理治疗计划的其他相关信息)。</w:t>
      </w:r>
    </w:p>
    <w:tbl>
      <w:tblPr>
        <w:tblStyle w:val="13"/>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007"/>
        <w:gridCol w:w="4218"/>
        <w:gridCol w:w="512"/>
        <w:gridCol w:w="688"/>
        <w:gridCol w:w="562"/>
        <w:gridCol w:w="638"/>
        <w:gridCol w:w="475"/>
        <w:gridCol w:w="495"/>
      </w:tblGrid>
      <w:tr w14:paraId="77B75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958" w:type="dxa"/>
            <w:vMerge w:val="restart"/>
            <w:vAlign w:val="center"/>
          </w:tcPr>
          <w:p w14:paraId="08873D59">
            <w:pPr>
              <w:pStyle w:val="4"/>
              <w:widowControl/>
              <w:kinsoku/>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项目</w:t>
            </w:r>
          </w:p>
        </w:tc>
        <w:tc>
          <w:tcPr>
            <w:tcW w:w="1007" w:type="dxa"/>
            <w:vMerge w:val="restart"/>
            <w:vAlign w:val="center"/>
          </w:tcPr>
          <w:p w14:paraId="474928C4">
            <w:pPr>
              <w:pStyle w:val="4"/>
              <w:widowControl/>
              <w:kinsoku/>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工作</w:t>
            </w:r>
          </w:p>
        </w:tc>
        <w:tc>
          <w:tcPr>
            <w:tcW w:w="4218" w:type="dxa"/>
            <w:vMerge w:val="restart"/>
            <w:vAlign w:val="center"/>
          </w:tcPr>
          <w:p w14:paraId="5CADD233">
            <w:pPr>
              <w:pStyle w:val="4"/>
              <w:widowControl/>
              <w:kinsoku/>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技术操作要求</w:t>
            </w:r>
          </w:p>
        </w:tc>
        <w:tc>
          <w:tcPr>
            <w:tcW w:w="2875" w:type="dxa"/>
            <w:gridSpan w:val="5"/>
            <w:vAlign w:val="center"/>
          </w:tcPr>
          <w:p w14:paraId="1365D70E">
            <w:pPr>
              <w:pStyle w:val="4"/>
              <w:widowControl/>
              <w:kinsoku/>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评分标准</w:t>
            </w:r>
          </w:p>
        </w:tc>
        <w:tc>
          <w:tcPr>
            <w:tcW w:w="495" w:type="dxa"/>
            <w:vMerge w:val="restart"/>
            <w:vAlign w:val="center"/>
          </w:tcPr>
          <w:p w14:paraId="44F7F679">
            <w:pPr>
              <w:pStyle w:val="4"/>
              <w:widowControl/>
              <w:kinsoku/>
              <w:jc w:val="center"/>
              <w:rPr>
                <w:rFonts w:ascii="仿宋_GB2312" w:hAnsi="方正仿宋_GB2312" w:eastAsia="仿宋_GB2312" w:cs="方正仿宋_GB2312"/>
                <w:b/>
                <w:bCs/>
                <w:color w:val="auto"/>
                <w:sz w:val="28"/>
                <w:szCs w:val="28"/>
                <w:lang w:eastAsia="zh-CN"/>
              </w:rPr>
            </w:pPr>
            <w:r>
              <w:rPr>
                <w:rFonts w:hint="eastAsia" w:ascii="仿宋_GB2312" w:hAnsi="方正仿宋_GB2312" w:eastAsia="仿宋_GB2312" w:cs="方正仿宋_GB2312"/>
                <w:b/>
                <w:bCs/>
                <w:color w:val="auto"/>
                <w:sz w:val="28"/>
                <w:szCs w:val="28"/>
                <w:lang w:eastAsia="zh-CN"/>
              </w:rPr>
              <w:t>得分</w:t>
            </w:r>
          </w:p>
        </w:tc>
      </w:tr>
      <w:tr w14:paraId="655C9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58" w:type="dxa"/>
            <w:vMerge w:val="continue"/>
            <w:vAlign w:val="center"/>
          </w:tcPr>
          <w:p w14:paraId="4F9AFD2D">
            <w:pPr>
              <w:pStyle w:val="4"/>
              <w:widowControl/>
              <w:kinsoku/>
              <w:jc w:val="both"/>
              <w:rPr>
                <w:rFonts w:ascii="仿宋_GB2312" w:hAnsi="方正仿宋_GB2312" w:eastAsia="仿宋_GB2312" w:cs="方正仿宋_GB2312"/>
                <w:sz w:val="28"/>
                <w:szCs w:val="28"/>
              </w:rPr>
            </w:pPr>
          </w:p>
        </w:tc>
        <w:tc>
          <w:tcPr>
            <w:tcW w:w="1007" w:type="dxa"/>
            <w:vMerge w:val="continue"/>
            <w:vAlign w:val="center"/>
          </w:tcPr>
          <w:p w14:paraId="07EF99C4">
            <w:pPr>
              <w:pStyle w:val="4"/>
              <w:widowControl/>
              <w:kinsoku/>
              <w:jc w:val="both"/>
              <w:rPr>
                <w:rFonts w:ascii="仿宋_GB2312" w:hAnsi="方正仿宋_GB2312" w:eastAsia="仿宋_GB2312" w:cs="方正仿宋_GB2312"/>
                <w:sz w:val="28"/>
                <w:szCs w:val="28"/>
              </w:rPr>
            </w:pPr>
          </w:p>
        </w:tc>
        <w:tc>
          <w:tcPr>
            <w:tcW w:w="4218" w:type="dxa"/>
            <w:vMerge w:val="continue"/>
            <w:vAlign w:val="center"/>
          </w:tcPr>
          <w:p w14:paraId="0DEAB5B2">
            <w:pPr>
              <w:pStyle w:val="4"/>
              <w:widowControl/>
              <w:kinsoku/>
              <w:jc w:val="both"/>
              <w:rPr>
                <w:rFonts w:ascii="仿宋_GB2312" w:hAnsi="方正仿宋_GB2312" w:eastAsia="仿宋_GB2312" w:cs="方正仿宋_GB2312"/>
                <w:sz w:val="28"/>
                <w:szCs w:val="28"/>
              </w:rPr>
            </w:pPr>
          </w:p>
        </w:tc>
        <w:tc>
          <w:tcPr>
            <w:tcW w:w="512" w:type="dxa"/>
            <w:vAlign w:val="center"/>
          </w:tcPr>
          <w:p w14:paraId="004917B4">
            <w:pPr>
              <w:pStyle w:val="4"/>
              <w:widowControl/>
              <w:kinsoku/>
              <w:jc w:val="center"/>
              <w:rPr>
                <w:rFonts w:ascii="仿宋_GB2312" w:hAnsi="方正仿宋_GB2312" w:eastAsia="仿宋_GB2312" w:cs="方正仿宋_GB2312"/>
                <w:b/>
                <w:bCs/>
                <w:color w:val="000000" w:themeColor="text1"/>
                <w:sz w:val="28"/>
                <w:szCs w:val="28"/>
                <w:lang w:eastAsia="zh-CN"/>
                <w14:textFill>
                  <w14:solidFill>
                    <w14:schemeClr w14:val="tx1"/>
                  </w14:solidFill>
                </w14:textFill>
              </w:rPr>
            </w:pPr>
            <w:r>
              <w:rPr>
                <w:rFonts w:hint="eastAsia" w:ascii="仿宋_GB2312" w:hAnsi="方正仿宋_GB2312" w:eastAsia="仿宋_GB2312" w:cs="方正仿宋_GB2312"/>
                <w:b/>
                <w:bCs/>
                <w:color w:val="000000" w:themeColor="text1"/>
                <w:sz w:val="28"/>
                <w:szCs w:val="28"/>
                <w:lang w:eastAsia="zh-CN"/>
                <w14:textFill>
                  <w14:solidFill>
                    <w14:schemeClr w14:val="tx1"/>
                  </w14:solidFill>
                </w14:textFill>
              </w:rPr>
              <w:t>A</w:t>
            </w:r>
          </w:p>
        </w:tc>
        <w:tc>
          <w:tcPr>
            <w:tcW w:w="688" w:type="dxa"/>
            <w:vAlign w:val="center"/>
          </w:tcPr>
          <w:p w14:paraId="0F1F040C">
            <w:pPr>
              <w:pStyle w:val="4"/>
              <w:widowControl/>
              <w:kinsoku/>
              <w:jc w:val="center"/>
              <w:rPr>
                <w:rFonts w:ascii="仿宋_GB2312" w:hAnsi="方正仿宋_GB2312" w:eastAsia="仿宋_GB2312" w:cs="方正仿宋_GB2312"/>
                <w:b/>
                <w:bCs/>
                <w:color w:val="000000" w:themeColor="text1"/>
                <w:sz w:val="28"/>
                <w:szCs w:val="28"/>
                <w:lang w:eastAsia="zh-CN"/>
                <w14:textFill>
                  <w14:solidFill>
                    <w14:schemeClr w14:val="tx1"/>
                  </w14:solidFill>
                </w14:textFill>
              </w:rPr>
            </w:pPr>
            <w:r>
              <w:rPr>
                <w:rFonts w:hint="eastAsia" w:ascii="仿宋_GB2312" w:hAnsi="方正仿宋_GB2312" w:eastAsia="仿宋_GB2312" w:cs="方正仿宋_GB2312"/>
                <w:b/>
                <w:bCs/>
                <w:color w:val="000000" w:themeColor="text1"/>
                <w:sz w:val="28"/>
                <w:szCs w:val="28"/>
                <w:lang w:eastAsia="zh-CN"/>
                <w14:textFill>
                  <w14:solidFill>
                    <w14:schemeClr w14:val="tx1"/>
                  </w14:solidFill>
                </w14:textFill>
              </w:rPr>
              <w:t>B</w:t>
            </w:r>
          </w:p>
        </w:tc>
        <w:tc>
          <w:tcPr>
            <w:tcW w:w="562" w:type="dxa"/>
            <w:vAlign w:val="center"/>
          </w:tcPr>
          <w:p w14:paraId="33EB07EB">
            <w:pPr>
              <w:pStyle w:val="4"/>
              <w:widowControl/>
              <w:kinsoku/>
              <w:jc w:val="center"/>
              <w:rPr>
                <w:rFonts w:ascii="仿宋_GB2312" w:hAnsi="方正仿宋_GB2312" w:eastAsia="仿宋_GB2312" w:cs="方正仿宋_GB2312"/>
                <w:b/>
                <w:bCs/>
                <w:color w:val="000000" w:themeColor="text1"/>
                <w:sz w:val="28"/>
                <w:szCs w:val="28"/>
                <w:lang w:eastAsia="zh-CN"/>
                <w14:textFill>
                  <w14:solidFill>
                    <w14:schemeClr w14:val="tx1"/>
                  </w14:solidFill>
                </w14:textFill>
              </w:rPr>
            </w:pPr>
            <w:r>
              <w:rPr>
                <w:rFonts w:hint="eastAsia" w:ascii="仿宋_GB2312" w:hAnsi="方正仿宋_GB2312" w:eastAsia="仿宋_GB2312" w:cs="方正仿宋_GB2312"/>
                <w:b/>
                <w:bCs/>
                <w:color w:val="000000" w:themeColor="text1"/>
                <w:sz w:val="28"/>
                <w:szCs w:val="28"/>
                <w:lang w:eastAsia="zh-CN"/>
                <w14:textFill>
                  <w14:solidFill>
                    <w14:schemeClr w14:val="tx1"/>
                  </w14:solidFill>
                </w14:textFill>
              </w:rPr>
              <w:t>C</w:t>
            </w:r>
          </w:p>
        </w:tc>
        <w:tc>
          <w:tcPr>
            <w:tcW w:w="638" w:type="dxa"/>
            <w:vAlign w:val="center"/>
          </w:tcPr>
          <w:p w14:paraId="5A9B961F">
            <w:pPr>
              <w:pStyle w:val="4"/>
              <w:widowControl/>
              <w:kinsoku/>
              <w:jc w:val="center"/>
              <w:rPr>
                <w:rFonts w:ascii="仿宋_GB2312" w:hAnsi="方正仿宋_GB2312" w:eastAsia="仿宋_GB2312" w:cs="方正仿宋_GB2312"/>
                <w:b/>
                <w:bCs/>
                <w:color w:val="000000" w:themeColor="text1"/>
                <w:sz w:val="28"/>
                <w:szCs w:val="28"/>
                <w:lang w:eastAsia="zh-CN"/>
                <w14:textFill>
                  <w14:solidFill>
                    <w14:schemeClr w14:val="tx1"/>
                  </w14:solidFill>
                </w14:textFill>
              </w:rPr>
            </w:pPr>
            <w:r>
              <w:rPr>
                <w:rFonts w:hint="eastAsia" w:ascii="仿宋_GB2312" w:hAnsi="方正仿宋_GB2312" w:eastAsia="仿宋_GB2312" w:cs="方正仿宋_GB2312"/>
                <w:b/>
                <w:bCs/>
                <w:color w:val="000000" w:themeColor="text1"/>
                <w:sz w:val="28"/>
                <w:szCs w:val="28"/>
                <w:lang w:eastAsia="zh-CN"/>
                <w14:textFill>
                  <w14:solidFill>
                    <w14:schemeClr w14:val="tx1"/>
                  </w14:solidFill>
                </w14:textFill>
              </w:rPr>
              <w:t>D</w:t>
            </w:r>
          </w:p>
        </w:tc>
        <w:tc>
          <w:tcPr>
            <w:tcW w:w="475" w:type="dxa"/>
            <w:vAlign w:val="center"/>
          </w:tcPr>
          <w:p w14:paraId="1DDB07D1">
            <w:pPr>
              <w:pStyle w:val="4"/>
              <w:widowControl/>
              <w:kinsoku/>
              <w:jc w:val="center"/>
              <w:rPr>
                <w:rFonts w:ascii="仿宋_GB2312" w:hAnsi="方正仿宋_GB2312" w:eastAsia="仿宋_GB2312" w:cs="方正仿宋_GB2312"/>
                <w:b/>
                <w:bCs/>
                <w:color w:val="000000" w:themeColor="text1"/>
                <w:sz w:val="28"/>
                <w:szCs w:val="28"/>
                <w:lang w:eastAsia="zh-CN"/>
                <w14:textFill>
                  <w14:solidFill>
                    <w14:schemeClr w14:val="tx1"/>
                  </w14:solidFill>
                </w14:textFill>
              </w:rPr>
            </w:pPr>
            <w:r>
              <w:rPr>
                <w:rFonts w:hint="eastAsia" w:ascii="仿宋_GB2312" w:hAnsi="方正仿宋_GB2312" w:eastAsia="仿宋_GB2312" w:cs="方正仿宋_GB2312"/>
                <w:b/>
                <w:bCs/>
                <w:color w:val="000000" w:themeColor="text1"/>
                <w:sz w:val="28"/>
                <w:szCs w:val="28"/>
                <w:lang w:eastAsia="zh-CN"/>
                <w14:textFill>
                  <w14:solidFill>
                    <w14:schemeClr w14:val="tx1"/>
                  </w14:solidFill>
                </w14:textFill>
              </w:rPr>
              <w:t>E</w:t>
            </w:r>
          </w:p>
        </w:tc>
        <w:tc>
          <w:tcPr>
            <w:tcW w:w="495" w:type="dxa"/>
            <w:vMerge w:val="continue"/>
          </w:tcPr>
          <w:p w14:paraId="76C7AD9F">
            <w:pPr>
              <w:pStyle w:val="4"/>
              <w:widowControl/>
              <w:kinsoku/>
              <w:jc w:val="both"/>
              <w:rPr>
                <w:rFonts w:ascii="仿宋_GB2312" w:hAnsi="方正仿宋_GB2312" w:eastAsia="仿宋_GB2312" w:cs="方正仿宋_GB2312"/>
                <w:color w:val="auto"/>
                <w:sz w:val="28"/>
                <w:szCs w:val="28"/>
                <w:lang w:eastAsia="zh-CN"/>
              </w:rPr>
            </w:pPr>
          </w:p>
        </w:tc>
      </w:tr>
      <w:tr w14:paraId="2ABD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9" w:hRule="atLeast"/>
          <w:jc w:val="center"/>
        </w:trPr>
        <w:tc>
          <w:tcPr>
            <w:tcW w:w="958" w:type="dxa"/>
            <w:vMerge w:val="restart"/>
            <w:vAlign w:val="center"/>
          </w:tcPr>
          <w:p w14:paraId="2D3F4A1B">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项目1</w:t>
            </w:r>
          </w:p>
        </w:tc>
        <w:tc>
          <w:tcPr>
            <w:tcW w:w="1007" w:type="dxa"/>
            <w:vMerge w:val="restart"/>
            <w:vAlign w:val="center"/>
          </w:tcPr>
          <w:p w14:paraId="700AB4B0">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准备</w:t>
            </w:r>
          </w:p>
          <w:p w14:paraId="65C2BDB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（10分）</w:t>
            </w:r>
          </w:p>
        </w:tc>
        <w:tc>
          <w:tcPr>
            <w:tcW w:w="4218" w:type="dxa"/>
            <w:vAlign w:val="center"/>
          </w:tcPr>
          <w:p w14:paraId="7AF435F2">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1.1 治疗师准备</w:t>
            </w:r>
          </w:p>
          <w:p w14:paraId="05C66E6B">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（1）衣着整洁，修饰得体（1分）</w:t>
            </w:r>
          </w:p>
          <w:p w14:paraId="2886A8C2">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（2）指甲修剪符合操作要求（2分）</w:t>
            </w:r>
          </w:p>
          <w:p w14:paraId="5104E28F">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（3）洗净双手，消毒（2分）</w:t>
            </w:r>
          </w:p>
        </w:tc>
        <w:tc>
          <w:tcPr>
            <w:tcW w:w="512" w:type="dxa"/>
            <w:vAlign w:val="center"/>
          </w:tcPr>
          <w:p w14:paraId="437457BF">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5</w:t>
            </w:r>
          </w:p>
        </w:tc>
        <w:tc>
          <w:tcPr>
            <w:tcW w:w="688" w:type="dxa"/>
            <w:vAlign w:val="center"/>
          </w:tcPr>
          <w:p w14:paraId="6157256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4</w:t>
            </w:r>
          </w:p>
        </w:tc>
        <w:tc>
          <w:tcPr>
            <w:tcW w:w="562" w:type="dxa"/>
            <w:vAlign w:val="center"/>
          </w:tcPr>
          <w:p w14:paraId="67420920">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w:t>
            </w:r>
          </w:p>
        </w:tc>
        <w:tc>
          <w:tcPr>
            <w:tcW w:w="638" w:type="dxa"/>
            <w:vAlign w:val="center"/>
          </w:tcPr>
          <w:p w14:paraId="6B64F95F">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475" w:type="dxa"/>
            <w:vAlign w:val="center"/>
          </w:tcPr>
          <w:p w14:paraId="1BBFAF2B">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w:t>
            </w:r>
          </w:p>
        </w:tc>
        <w:tc>
          <w:tcPr>
            <w:tcW w:w="495" w:type="dxa"/>
            <w:vMerge w:val="restart"/>
            <w:vAlign w:val="center"/>
          </w:tcPr>
          <w:p w14:paraId="23AFCFA0">
            <w:pPr>
              <w:pStyle w:val="4"/>
              <w:widowControl/>
              <w:kinsoku/>
              <w:jc w:val="center"/>
              <w:rPr>
                <w:rFonts w:ascii="仿宋_GB2312" w:hAnsi="方正仿宋_GB2312" w:eastAsia="仿宋_GB2312" w:cs="方正仿宋_GB2312"/>
                <w:color w:val="auto"/>
                <w:sz w:val="28"/>
                <w:szCs w:val="28"/>
                <w:lang w:eastAsia="zh-CN"/>
              </w:rPr>
            </w:pPr>
          </w:p>
        </w:tc>
      </w:tr>
      <w:tr w14:paraId="49524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jc w:val="center"/>
        </w:trPr>
        <w:tc>
          <w:tcPr>
            <w:tcW w:w="958" w:type="dxa"/>
            <w:vMerge w:val="continue"/>
            <w:vAlign w:val="center"/>
          </w:tcPr>
          <w:p w14:paraId="2FBB6F2C">
            <w:pPr>
              <w:pStyle w:val="4"/>
              <w:widowControl/>
              <w:kinsoku/>
              <w:jc w:val="center"/>
              <w:rPr>
                <w:rFonts w:ascii="仿宋_GB2312" w:hAnsi="方正仿宋_GB2312" w:eastAsia="仿宋_GB2312" w:cs="方正仿宋_GB2312"/>
                <w:sz w:val="28"/>
                <w:szCs w:val="28"/>
              </w:rPr>
            </w:pPr>
          </w:p>
        </w:tc>
        <w:tc>
          <w:tcPr>
            <w:tcW w:w="1007" w:type="dxa"/>
            <w:vMerge w:val="continue"/>
            <w:vAlign w:val="center"/>
          </w:tcPr>
          <w:p w14:paraId="44A4BBC2">
            <w:pPr>
              <w:pStyle w:val="4"/>
              <w:widowControl/>
              <w:kinsoku/>
              <w:jc w:val="center"/>
              <w:rPr>
                <w:rFonts w:ascii="仿宋_GB2312" w:hAnsi="方正仿宋_GB2312" w:eastAsia="仿宋_GB2312" w:cs="方正仿宋_GB2312"/>
                <w:sz w:val="28"/>
                <w:szCs w:val="28"/>
              </w:rPr>
            </w:pPr>
          </w:p>
        </w:tc>
        <w:tc>
          <w:tcPr>
            <w:tcW w:w="4218" w:type="dxa"/>
            <w:vAlign w:val="center"/>
          </w:tcPr>
          <w:p w14:paraId="7EC3D3F8">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1.2环境准备</w:t>
            </w:r>
          </w:p>
          <w:p w14:paraId="39A7D0C6">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（1）环境安静整洁（1分）</w:t>
            </w:r>
          </w:p>
          <w:p w14:paraId="7601032F">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（2）光线充足（1分）</w:t>
            </w:r>
          </w:p>
          <w:p w14:paraId="1FE41850">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（3）温湿度适宜（1分）</w:t>
            </w:r>
          </w:p>
        </w:tc>
        <w:tc>
          <w:tcPr>
            <w:tcW w:w="512" w:type="dxa"/>
            <w:vAlign w:val="center"/>
          </w:tcPr>
          <w:p w14:paraId="0C8580D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w:t>
            </w:r>
          </w:p>
        </w:tc>
        <w:tc>
          <w:tcPr>
            <w:tcW w:w="688" w:type="dxa"/>
            <w:vAlign w:val="center"/>
          </w:tcPr>
          <w:p w14:paraId="78AB9DE6">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2.5</w:t>
            </w:r>
          </w:p>
        </w:tc>
        <w:tc>
          <w:tcPr>
            <w:tcW w:w="562" w:type="dxa"/>
            <w:vAlign w:val="center"/>
          </w:tcPr>
          <w:p w14:paraId="6AD587CC">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638" w:type="dxa"/>
            <w:vAlign w:val="center"/>
          </w:tcPr>
          <w:p w14:paraId="1CC7981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1.5</w:t>
            </w:r>
          </w:p>
        </w:tc>
        <w:tc>
          <w:tcPr>
            <w:tcW w:w="475" w:type="dxa"/>
            <w:vAlign w:val="center"/>
          </w:tcPr>
          <w:p w14:paraId="3021A0DD">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w:t>
            </w:r>
          </w:p>
        </w:tc>
        <w:tc>
          <w:tcPr>
            <w:tcW w:w="495" w:type="dxa"/>
            <w:vMerge w:val="continue"/>
            <w:vAlign w:val="center"/>
          </w:tcPr>
          <w:p w14:paraId="15250C37">
            <w:pPr>
              <w:pStyle w:val="4"/>
              <w:widowControl/>
              <w:kinsoku/>
              <w:jc w:val="center"/>
              <w:rPr>
                <w:rFonts w:ascii="仿宋_GB2312" w:hAnsi="方正仿宋_GB2312" w:eastAsia="仿宋_GB2312" w:cs="方正仿宋_GB2312"/>
                <w:color w:val="auto"/>
                <w:sz w:val="28"/>
                <w:szCs w:val="28"/>
                <w:lang w:eastAsia="zh-CN"/>
              </w:rPr>
            </w:pPr>
          </w:p>
        </w:tc>
      </w:tr>
      <w:tr w14:paraId="37740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58" w:type="dxa"/>
            <w:vMerge w:val="continue"/>
            <w:vAlign w:val="center"/>
          </w:tcPr>
          <w:p w14:paraId="74E85961">
            <w:pPr>
              <w:pStyle w:val="4"/>
              <w:widowControl/>
              <w:kinsoku/>
              <w:jc w:val="center"/>
              <w:rPr>
                <w:rFonts w:ascii="仿宋_GB2312" w:hAnsi="方正仿宋_GB2312" w:eastAsia="仿宋_GB2312" w:cs="方正仿宋_GB2312"/>
                <w:sz w:val="28"/>
                <w:szCs w:val="28"/>
              </w:rPr>
            </w:pPr>
          </w:p>
        </w:tc>
        <w:tc>
          <w:tcPr>
            <w:tcW w:w="1007" w:type="dxa"/>
            <w:vMerge w:val="continue"/>
            <w:vAlign w:val="center"/>
          </w:tcPr>
          <w:p w14:paraId="10B9E3FD">
            <w:pPr>
              <w:pStyle w:val="4"/>
              <w:widowControl/>
              <w:kinsoku/>
              <w:jc w:val="center"/>
              <w:rPr>
                <w:rFonts w:ascii="仿宋_GB2312" w:hAnsi="方正仿宋_GB2312" w:eastAsia="仿宋_GB2312" w:cs="方正仿宋_GB2312"/>
                <w:sz w:val="28"/>
                <w:szCs w:val="28"/>
              </w:rPr>
            </w:pPr>
          </w:p>
        </w:tc>
        <w:tc>
          <w:tcPr>
            <w:tcW w:w="4218" w:type="dxa"/>
            <w:vAlign w:val="center"/>
          </w:tcPr>
          <w:p w14:paraId="466C1D3A">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1.3患者准备</w:t>
            </w:r>
          </w:p>
          <w:p w14:paraId="3CAA1C60">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患者体位放置合适（2分）</w:t>
            </w:r>
          </w:p>
        </w:tc>
        <w:tc>
          <w:tcPr>
            <w:tcW w:w="512" w:type="dxa"/>
            <w:vAlign w:val="center"/>
          </w:tcPr>
          <w:p w14:paraId="650F74B3">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688" w:type="dxa"/>
            <w:vAlign w:val="center"/>
          </w:tcPr>
          <w:p w14:paraId="1CFCF176">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1.5</w:t>
            </w:r>
          </w:p>
        </w:tc>
        <w:tc>
          <w:tcPr>
            <w:tcW w:w="562" w:type="dxa"/>
            <w:vAlign w:val="center"/>
          </w:tcPr>
          <w:p w14:paraId="2EC80E11">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w:t>
            </w:r>
          </w:p>
        </w:tc>
        <w:tc>
          <w:tcPr>
            <w:tcW w:w="638" w:type="dxa"/>
            <w:vAlign w:val="center"/>
          </w:tcPr>
          <w:p w14:paraId="4BD05F9E">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0.5</w:t>
            </w:r>
          </w:p>
        </w:tc>
        <w:tc>
          <w:tcPr>
            <w:tcW w:w="475" w:type="dxa"/>
            <w:vAlign w:val="center"/>
          </w:tcPr>
          <w:p w14:paraId="13F10824">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0</w:t>
            </w:r>
          </w:p>
        </w:tc>
        <w:tc>
          <w:tcPr>
            <w:tcW w:w="495" w:type="dxa"/>
            <w:vAlign w:val="center"/>
          </w:tcPr>
          <w:p w14:paraId="20D21B75">
            <w:pPr>
              <w:pStyle w:val="4"/>
              <w:widowControl/>
              <w:kinsoku/>
              <w:jc w:val="center"/>
              <w:rPr>
                <w:rFonts w:ascii="仿宋_GB2312" w:hAnsi="方正仿宋_GB2312" w:eastAsia="仿宋_GB2312" w:cs="方正仿宋_GB2312"/>
                <w:color w:val="auto"/>
                <w:sz w:val="28"/>
                <w:szCs w:val="28"/>
                <w:lang w:eastAsia="zh-CN"/>
              </w:rPr>
            </w:pPr>
          </w:p>
        </w:tc>
      </w:tr>
      <w:tr w14:paraId="730A2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958" w:type="dxa"/>
            <w:vMerge w:val="restart"/>
            <w:vAlign w:val="center"/>
          </w:tcPr>
          <w:p w14:paraId="79D0511C">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项目2</w:t>
            </w:r>
          </w:p>
        </w:tc>
        <w:tc>
          <w:tcPr>
            <w:tcW w:w="1007" w:type="dxa"/>
            <w:vMerge w:val="restart"/>
            <w:vAlign w:val="center"/>
          </w:tcPr>
          <w:p w14:paraId="47C4A72B">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沟通（10分）</w:t>
            </w:r>
          </w:p>
        </w:tc>
        <w:tc>
          <w:tcPr>
            <w:tcW w:w="4218" w:type="dxa"/>
            <w:vAlign w:val="center"/>
          </w:tcPr>
          <w:p w14:paraId="5E4DEA2C">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2.1判断：</w:t>
            </w:r>
          </w:p>
          <w:p w14:paraId="6E1D73BF">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（1）判断病患意识（1分）</w:t>
            </w:r>
          </w:p>
          <w:p w14:paraId="7AEE5773">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（2）判断患者语言表达能力（1分）</w:t>
            </w:r>
          </w:p>
        </w:tc>
        <w:tc>
          <w:tcPr>
            <w:tcW w:w="512" w:type="dxa"/>
            <w:vAlign w:val="center"/>
          </w:tcPr>
          <w:p w14:paraId="249DDABA">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688" w:type="dxa"/>
            <w:vAlign w:val="center"/>
          </w:tcPr>
          <w:p w14:paraId="56DCE677">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1.5</w:t>
            </w:r>
          </w:p>
        </w:tc>
        <w:tc>
          <w:tcPr>
            <w:tcW w:w="562" w:type="dxa"/>
            <w:vAlign w:val="center"/>
          </w:tcPr>
          <w:p w14:paraId="73823559">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w:t>
            </w:r>
          </w:p>
        </w:tc>
        <w:tc>
          <w:tcPr>
            <w:tcW w:w="638" w:type="dxa"/>
            <w:vAlign w:val="center"/>
          </w:tcPr>
          <w:p w14:paraId="65459A88">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0.5</w:t>
            </w:r>
          </w:p>
        </w:tc>
        <w:tc>
          <w:tcPr>
            <w:tcW w:w="475" w:type="dxa"/>
            <w:vAlign w:val="center"/>
          </w:tcPr>
          <w:p w14:paraId="3A462F58">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0</w:t>
            </w:r>
          </w:p>
        </w:tc>
        <w:tc>
          <w:tcPr>
            <w:tcW w:w="495" w:type="dxa"/>
            <w:vAlign w:val="center"/>
          </w:tcPr>
          <w:p w14:paraId="319317F0">
            <w:pPr>
              <w:pStyle w:val="4"/>
              <w:widowControl/>
              <w:kinsoku/>
              <w:jc w:val="center"/>
              <w:rPr>
                <w:rFonts w:ascii="仿宋_GB2312" w:hAnsi="方正仿宋_GB2312" w:eastAsia="仿宋_GB2312" w:cs="方正仿宋_GB2312"/>
                <w:color w:val="auto"/>
                <w:sz w:val="28"/>
                <w:szCs w:val="28"/>
                <w:lang w:eastAsia="zh-CN"/>
              </w:rPr>
            </w:pPr>
          </w:p>
        </w:tc>
      </w:tr>
      <w:tr w14:paraId="1A0DD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atLeast"/>
          <w:jc w:val="center"/>
        </w:trPr>
        <w:tc>
          <w:tcPr>
            <w:tcW w:w="958" w:type="dxa"/>
            <w:vMerge w:val="continue"/>
            <w:vAlign w:val="center"/>
          </w:tcPr>
          <w:p w14:paraId="682B1B82">
            <w:pPr>
              <w:pStyle w:val="4"/>
              <w:widowControl/>
              <w:kinsoku/>
              <w:jc w:val="center"/>
              <w:rPr>
                <w:rFonts w:ascii="仿宋_GB2312" w:hAnsi="方正仿宋_GB2312" w:eastAsia="仿宋_GB2312" w:cs="方正仿宋_GB2312"/>
                <w:color w:val="auto"/>
                <w:sz w:val="28"/>
                <w:szCs w:val="28"/>
                <w:lang w:eastAsia="zh-CN"/>
              </w:rPr>
            </w:pPr>
          </w:p>
        </w:tc>
        <w:tc>
          <w:tcPr>
            <w:tcW w:w="1007" w:type="dxa"/>
            <w:vMerge w:val="continue"/>
            <w:vAlign w:val="center"/>
          </w:tcPr>
          <w:p w14:paraId="58CB2676">
            <w:pPr>
              <w:pStyle w:val="4"/>
              <w:widowControl/>
              <w:kinsoku/>
              <w:jc w:val="center"/>
              <w:rPr>
                <w:rFonts w:ascii="仿宋_GB2312" w:hAnsi="方正仿宋_GB2312" w:eastAsia="仿宋_GB2312" w:cs="方正仿宋_GB2312"/>
                <w:color w:val="auto"/>
                <w:sz w:val="28"/>
                <w:szCs w:val="28"/>
                <w:lang w:eastAsia="zh-CN"/>
              </w:rPr>
            </w:pPr>
          </w:p>
        </w:tc>
        <w:tc>
          <w:tcPr>
            <w:tcW w:w="4218" w:type="dxa"/>
            <w:vAlign w:val="center"/>
          </w:tcPr>
          <w:p w14:paraId="048F6DB7">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2.2询问：</w:t>
            </w:r>
          </w:p>
          <w:p w14:paraId="0D70A7BA">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（1）是否愿意配合（1分）</w:t>
            </w:r>
          </w:p>
          <w:p w14:paraId="35DF3E6C">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（2）问诊前有无其他需要（1分）</w:t>
            </w:r>
          </w:p>
          <w:p w14:paraId="506A8362">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（3）是否有无其他不适（1分）</w:t>
            </w:r>
          </w:p>
        </w:tc>
        <w:tc>
          <w:tcPr>
            <w:tcW w:w="512" w:type="dxa"/>
            <w:vAlign w:val="center"/>
          </w:tcPr>
          <w:p w14:paraId="213F31C0">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w:t>
            </w:r>
          </w:p>
        </w:tc>
        <w:tc>
          <w:tcPr>
            <w:tcW w:w="688" w:type="dxa"/>
            <w:vAlign w:val="center"/>
          </w:tcPr>
          <w:p w14:paraId="106462DA">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2.5</w:t>
            </w:r>
          </w:p>
        </w:tc>
        <w:tc>
          <w:tcPr>
            <w:tcW w:w="562" w:type="dxa"/>
            <w:vAlign w:val="center"/>
          </w:tcPr>
          <w:p w14:paraId="7630FF56">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638" w:type="dxa"/>
            <w:vAlign w:val="center"/>
          </w:tcPr>
          <w:p w14:paraId="50C084A5">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1.5</w:t>
            </w:r>
          </w:p>
        </w:tc>
        <w:tc>
          <w:tcPr>
            <w:tcW w:w="475" w:type="dxa"/>
            <w:vAlign w:val="center"/>
          </w:tcPr>
          <w:p w14:paraId="04AD9845">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w:t>
            </w:r>
          </w:p>
        </w:tc>
        <w:tc>
          <w:tcPr>
            <w:tcW w:w="495" w:type="dxa"/>
            <w:vAlign w:val="center"/>
          </w:tcPr>
          <w:p w14:paraId="12B738E1">
            <w:pPr>
              <w:pStyle w:val="4"/>
              <w:widowControl/>
              <w:kinsoku/>
              <w:jc w:val="center"/>
              <w:rPr>
                <w:rFonts w:ascii="仿宋_GB2312" w:hAnsi="方正仿宋_GB2312" w:eastAsia="仿宋_GB2312" w:cs="方正仿宋_GB2312"/>
                <w:color w:val="auto"/>
                <w:sz w:val="28"/>
                <w:szCs w:val="28"/>
                <w:lang w:eastAsia="zh-CN"/>
              </w:rPr>
            </w:pPr>
          </w:p>
        </w:tc>
      </w:tr>
      <w:tr w14:paraId="70269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8" w:type="dxa"/>
            <w:vMerge w:val="continue"/>
            <w:vAlign w:val="center"/>
          </w:tcPr>
          <w:p w14:paraId="1F120F1E">
            <w:pPr>
              <w:pStyle w:val="4"/>
              <w:widowControl/>
              <w:kinsoku/>
              <w:jc w:val="center"/>
              <w:rPr>
                <w:rFonts w:ascii="仿宋_GB2312" w:hAnsi="方正仿宋_GB2312" w:eastAsia="仿宋_GB2312" w:cs="方正仿宋_GB2312"/>
                <w:color w:val="auto"/>
                <w:sz w:val="28"/>
                <w:szCs w:val="28"/>
                <w:lang w:eastAsia="zh-CN"/>
              </w:rPr>
            </w:pPr>
          </w:p>
        </w:tc>
        <w:tc>
          <w:tcPr>
            <w:tcW w:w="1007" w:type="dxa"/>
            <w:vMerge w:val="continue"/>
            <w:vAlign w:val="center"/>
          </w:tcPr>
          <w:p w14:paraId="12DAB629">
            <w:pPr>
              <w:pStyle w:val="4"/>
              <w:widowControl/>
              <w:kinsoku/>
              <w:jc w:val="center"/>
              <w:rPr>
                <w:rFonts w:ascii="仿宋_GB2312" w:hAnsi="方正仿宋_GB2312" w:eastAsia="仿宋_GB2312" w:cs="方正仿宋_GB2312"/>
                <w:color w:val="auto"/>
                <w:sz w:val="28"/>
                <w:szCs w:val="28"/>
                <w:lang w:eastAsia="zh-CN"/>
              </w:rPr>
            </w:pPr>
          </w:p>
        </w:tc>
        <w:tc>
          <w:tcPr>
            <w:tcW w:w="4218" w:type="dxa"/>
            <w:vAlign w:val="center"/>
          </w:tcPr>
          <w:p w14:paraId="6B8B0893">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2.3讲解</w:t>
            </w:r>
          </w:p>
          <w:p w14:paraId="4FD4ECC2">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问诊目的和目标（3分）</w:t>
            </w:r>
          </w:p>
        </w:tc>
        <w:tc>
          <w:tcPr>
            <w:tcW w:w="512" w:type="dxa"/>
            <w:vAlign w:val="center"/>
          </w:tcPr>
          <w:p w14:paraId="368BA3F8">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w:t>
            </w:r>
          </w:p>
        </w:tc>
        <w:tc>
          <w:tcPr>
            <w:tcW w:w="688" w:type="dxa"/>
            <w:vAlign w:val="center"/>
          </w:tcPr>
          <w:p w14:paraId="261E449A">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2.5</w:t>
            </w:r>
          </w:p>
        </w:tc>
        <w:tc>
          <w:tcPr>
            <w:tcW w:w="562" w:type="dxa"/>
            <w:vAlign w:val="center"/>
          </w:tcPr>
          <w:p w14:paraId="723A83CF">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638" w:type="dxa"/>
            <w:vAlign w:val="center"/>
          </w:tcPr>
          <w:p w14:paraId="49DFA16C">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1.5</w:t>
            </w:r>
          </w:p>
        </w:tc>
        <w:tc>
          <w:tcPr>
            <w:tcW w:w="475" w:type="dxa"/>
            <w:vAlign w:val="center"/>
          </w:tcPr>
          <w:p w14:paraId="23408494">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w:t>
            </w:r>
          </w:p>
        </w:tc>
        <w:tc>
          <w:tcPr>
            <w:tcW w:w="495" w:type="dxa"/>
            <w:vAlign w:val="center"/>
          </w:tcPr>
          <w:p w14:paraId="7D2ADB28">
            <w:pPr>
              <w:pStyle w:val="4"/>
              <w:widowControl/>
              <w:kinsoku/>
              <w:jc w:val="center"/>
              <w:rPr>
                <w:rFonts w:ascii="仿宋_GB2312" w:hAnsi="方正仿宋_GB2312" w:eastAsia="仿宋_GB2312" w:cs="方正仿宋_GB2312"/>
                <w:color w:val="auto"/>
                <w:sz w:val="28"/>
                <w:szCs w:val="28"/>
                <w:lang w:eastAsia="zh-CN"/>
              </w:rPr>
            </w:pPr>
          </w:p>
        </w:tc>
      </w:tr>
      <w:tr w14:paraId="47C97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Merge w:val="continue"/>
            <w:vAlign w:val="center"/>
          </w:tcPr>
          <w:p w14:paraId="12E16DFE">
            <w:pPr>
              <w:pStyle w:val="4"/>
              <w:widowControl/>
              <w:kinsoku/>
              <w:jc w:val="center"/>
              <w:rPr>
                <w:rFonts w:ascii="仿宋_GB2312" w:hAnsi="方正仿宋_GB2312" w:eastAsia="仿宋_GB2312" w:cs="方正仿宋_GB2312"/>
                <w:color w:val="auto"/>
                <w:sz w:val="28"/>
                <w:szCs w:val="28"/>
                <w:lang w:eastAsia="zh-CN"/>
              </w:rPr>
            </w:pPr>
          </w:p>
        </w:tc>
        <w:tc>
          <w:tcPr>
            <w:tcW w:w="1007" w:type="dxa"/>
            <w:vMerge w:val="continue"/>
            <w:vAlign w:val="center"/>
          </w:tcPr>
          <w:p w14:paraId="6D4575C6">
            <w:pPr>
              <w:pStyle w:val="4"/>
              <w:widowControl/>
              <w:kinsoku/>
              <w:jc w:val="center"/>
              <w:rPr>
                <w:rFonts w:ascii="仿宋_GB2312" w:hAnsi="方正仿宋_GB2312" w:eastAsia="仿宋_GB2312" w:cs="方正仿宋_GB2312"/>
                <w:color w:val="auto"/>
                <w:sz w:val="28"/>
                <w:szCs w:val="28"/>
                <w:lang w:eastAsia="zh-CN"/>
              </w:rPr>
            </w:pPr>
          </w:p>
        </w:tc>
        <w:tc>
          <w:tcPr>
            <w:tcW w:w="4218" w:type="dxa"/>
            <w:vAlign w:val="center"/>
          </w:tcPr>
          <w:p w14:paraId="1CC4183B">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2.4语言</w:t>
            </w:r>
          </w:p>
          <w:p w14:paraId="29E2471B">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（1）语言亲和有力（2分）</w:t>
            </w:r>
          </w:p>
          <w:p w14:paraId="68CEAF12">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（2）语速适中，表达清晰（1分）</w:t>
            </w:r>
          </w:p>
          <w:p w14:paraId="5C1F44B1">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（3）声音大小恰当（1分）</w:t>
            </w:r>
          </w:p>
        </w:tc>
        <w:tc>
          <w:tcPr>
            <w:tcW w:w="512" w:type="dxa"/>
            <w:vAlign w:val="center"/>
          </w:tcPr>
          <w:p w14:paraId="369B1D8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4</w:t>
            </w:r>
          </w:p>
        </w:tc>
        <w:tc>
          <w:tcPr>
            <w:tcW w:w="688" w:type="dxa"/>
            <w:vAlign w:val="center"/>
          </w:tcPr>
          <w:p w14:paraId="77C7CA95">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w:t>
            </w:r>
          </w:p>
        </w:tc>
        <w:tc>
          <w:tcPr>
            <w:tcW w:w="562" w:type="dxa"/>
            <w:vAlign w:val="center"/>
          </w:tcPr>
          <w:p w14:paraId="46B3A579">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638" w:type="dxa"/>
            <w:vAlign w:val="center"/>
          </w:tcPr>
          <w:p w14:paraId="74DFE9CC">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w:t>
            </w:r>
          </w:p>
        </w:tc>
        <w:tc>
          <w:tcPr>
            <w:tcW w:w="475" w:type="dxa"/>
            <w:vAlign w:val="center"/>
          </w:tcPr>
          <w:p w14:paraId="4D1924F4">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0</w:t>
            </w:r>
          </w:p>
        </w:tc>
        <w:tc>
          <w:tcPr>
            <w:tcW w:w="495" w:type="dxa"/>
            <w:vAlign w:val="center"/>
          </w:tcPr>
          <w:p w14:paraId="58AB8991">
            <w:pPr>
              <w:pStyle w:val="4"/>
              <w:widowControl/>
              <w:kinsoku/>
              <w:jc w:val="center"/>
              <w:rPr>
                <w:rFonts w:ascii="仿宋_GB2312" w:hAnsi="方正仿宋_GB2312" w:eastAsia="仿宋_GB2312" w:cs="方正仿宋_GB2312"/>
                <w:color w:val="auto"/>
                <w:sz w:val="28"/>
                <w:szCs w:val="28"/>
                <w:lang w:eastAsia="zh-CN"/>
              </w:rPr>
            </w:pPr>
          </w:p>
        </w:tc>
      </w:tr>
      <w:tr w14:paraId="20F8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Merge w:val="restart"/>
            <w:vAlign w:val="center"/>
          </w:tcPr>
          <w:p w14:paraId="1655E245">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项目3</w:t>
            </w:r>
          </w:p>
        </w:tc>
        <w:tc>
          <w:tcPr>
            <w:tcW w:w="1007" w:type="dxa"/>
            <w:vMerge w:val="restart"/>
            <w:vAlign w:val="center"/>
          </w:tcPr>
          <w:p w14:paraId="77D62A0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实施（60分）</w:t>
            </w:r>
          </w:p>
        </w:tc>
        <w:tc>
          <w:tcPr>
            <w:tcW w:w="4218" w:type="dxa"/>
            <w:vAlign w:val="center"/>
          </w:tcPr>
          <w:p w14:paraId="6E1690BA">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3.1 询问病史</w:t>
            </w:r>
          </w:p>
          <w:p w14:paraId="72BB0F1A">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（1）现病史（9分）</w:t>
            </w:r>
          </w:p>
          <w:p w14:paraId="0D3F4911">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（2）既往史（7分）</w:t>
            </w:r>
          </w:p>
          <w:p w14:paraId="4FE2C4F3">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（3）其他（8分）</w:t>
            </w:r>
          </w:p>
        </w:tc>
        <w:tc>
          <w:tcPr>
            <w:tcW w:w="512" w:type="dxa"/>
            <w:vAlign w:val="center"/>
          </w:tcPr>
          <w:p w14:paraId="49AA8BD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24</w:t>
            </w:r>
          </w:p>
        </w:tc>
        <w:tc>
          <w:tcPr>
            <w:tcW w:w="688" w:type="dxa"/>
            <w:vAlign w:val="center"/>
          </w:tcPr>
          <w:p w14:paraId="2EC2E68F">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18</w:t>
            </w:r>
          </w:p>
        </w:tc>
        <w:tc>
          <w:tcPr>
            <w:tcW w:w="562" w:type="dxa"/>
            <w:vAlign w:val="center"/>
          </w:tcPr>
          <w:p w14:paraId="0613CBAD">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13</w:t>
            </w:r>
          </w:p>
        </w:tc>
        <w:tc>
          <w:tcPr>
            <w:tcW w:w="638" w:type="dxa"/>
            <w:vAlign w:val="center"/>
          </w:tcPr>
          <w:p w14:paraId="40796984">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8</w:t>
            </w:r>
          </w:p>
        </w:tc>
        <w:tc>
          <w:tcPr>
            <w:tcW w:w="475" w:type="dxa"/>
            <w:vAlign w:val="center"/>
          </w:tcPr>
          <w:p w14:paraId="0CD1B33D">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5</w:t>
            </w:r>
          </w:p>
        </w:tc>
        <w:tc>
          <w:tcPr>
            <w:tcW w:w="495" w:type="dxa"/>
            <w:vAlign w:val="center"/>
          </w:tcPr>
          <w:p w14:paraId="63D5ED2C">
            <w:pPr>
              <w:pStyle w:val="4"/>
              <w:widowControl/>
              <w:kinsoku/>
              <w:jc w:val="center"/>
              <w:rPr>
                <w:rFonts w:ascii="仿宋_GB2312" w:hAnsi="方正仿宋_GB2312" w:eastAsia="仿宋_GB2312" w:cs="方正仿宋_GB2312"/>
                <w:color w:val="auto"/>
                <w:sz w:val="28"/>
                <w:szCs w:val="28"/>
                <w:lang w:eastAsia="zh-CN"/>
              </w:rPr>
            </w:pPr>
          </w:p>
        </w:tc>
      </w:tr>
      <w:tr w14:paraId="0750D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Merge w:val="continue"/>
            <w:vAlign w:val="center"/>
          </w:tcPr>
          <w:p w14:paraId="7A17F0A4">
            <w:pPr>
              <w:pStyle w:val="4"/>
              <w:widowControl/>
              <w:kinsoku/>
              <w:jc w:val="center"/>
              <w:rPr>
                <w:rFonts w:ascii="仿宋_GB2312" w:hAnsi="方正仿宋_GB2312" w:eastAsia="仿宋_GB2312" w:cs="方正仿宋_GB2312"/>
                <w:color w:val="auto"/>
                <w:sz w:val="28"/>
                <w:szCs w:val="28"/>
                <w:lang w:eastAsia="zh-CN"/>
              </w:rPr>
            </w:pPr>
          </w:p>
        </w:tc>
        <w:tc>
          <w:tcPr>
            <w:tcW w:w="1007" w:type="dxa"/>
            <w:vMerge w:val="continue"/>
            <w:vAlign w:val="center"/>
          </w:tcPr>
          <w:p w14:paraId="0377B420">
            <w:pPr>
              <w:pStyle w:val="4"/>
              <w:widowControl/>
              <w:kinsoku/>
              <w:jc w:val="center"/>
              <w:rPr>
                <w:rFonts w:ascii="仿宋_GB2312" w:hAnsi="方正仿宋_GB2312" w:eastAsia="仿宋_GB2312" w:cs="方正仿宋_GB2312"/>
                <w:color w:val="auto"/>
                <w:sz w:val="28"/>
                <w:szCs w:val="28"/>
                <w:lang w:eastAsia="zh-CN"/>
              </w:rPr>
            </w:pPr>
          </w:p>
        </w:tc>
        <w:tc>
          <w:tcPr>
            <w:tcW w:w="4218" w:type="dxa"/>
            <w:vAlign w:val="center"/>
          </w:tcPr>
          <w:p w14:paraId="2245DC82">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3.2询问专科情况</w:t>
            </w:r>
          </w:p>
          <w:p w14:paraId="6D29397F">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（1）功能障碍（15分）</w:t>
            </w:r>
          </w:p>
          <w:p w14:paraId="618FA7E8">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（2）日常生活（10分）</w:t>
            </w:r>
          </w:p>
          <w:p w14:paraId="5F296956">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（3）社会生活（5分）</w:t>
            </w:r>
          </w:p>
        </w:tc>
        <w:tc>
          <w:tcPr>
            <w:tcW w:w="512" w:type="dxa"/>
            <w:vAlign w:val="center"/>
          </w:tcPr>
          <w:p w14:paraId="52BB0453">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30</w:t>
            </w:r>
          </w:p>
        </w:tc>
        <w:tc>
          <w:tcPr>
            <w:tcW w:w="688" w:type="dxa"/>
            <w:vAlign w:val="center"/>
          </w:tcPr>
          <w:p w14:paraId="6BA1B63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20</w:t>
            </w:r>
          </w:p>
        </w:tc>
        <w:tc>
          <w:tcPr>
            <w:tcW w:w="562" w:type="dxa"/>
            <w:vAlign w:val="center"/>
          </w:tcPr>
          <w:p w14:paraId="35D79865">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16</w:t>
            </w:r>
          </w:p>
        </w:tc>
        <w:tc>
          <w:tcPr>
            <w:tcW w:w="638" w:type="dxa"/>
            <w:vAlign w:val="center"/>
          </w:tcPr>
          <w:p w14:paraId="2AFE3AD3">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12</w:t>
            </w:r>
          </w:p>
        </w:tc>
        <w:tc>
          <w:tcPr>
            <w:tcW w:w="475" w:type="dxa"/>
            <w:vAlign w:val="center"/>
          </w:tcPr>
          <w:p w14:paraId="76238C36">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8</w:t>
            </w:r>
          </w:p>
        </w:tc>
        <w:tc>
          <w:tcPr>
            <w:tcW w:w="495" w:type="dxa"/>
            <w:vAlign w:val="center"/>
          </w:tcPr>
          <w:p w14:paraId="4CC6F278">
            <w:pPr>
              <w:pStyle w:val="4"/>
              <w:widowControl/>
              <w:kinsoku/>
              <w:jc w:val="center"/>
              <w:rPr>
                <w:rFonts w:ascii="仿宋_GB2312" w:hAnsi="方正仿宋_GB2312" w:eastAsia="仿宋_GB2312" w:cs="方正仿宋_GB2312"/>
                <w:color w:val="auto"/>
                <w:sz w:val="28"/>
                <w:szCs w:val="28"/>
                <w:lang w:eastAsia="zh-CN"/>
              </w:rPr>
            </w:pPr>
          </w:p>
        </w:tc>
      </w:tr>
      <w:tr w14:paraId="05620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Merge w:val="continue"/>
            <w:vAlign w:val="center"/>
          </w:tcPr>
          <w:p w14:paraId="42C97498">
            <w:pPr>
              <w:pStyle w:val="4"/>
              <w:widowControl/>
              <w:kinsoku/>
              <w:jc w:val="center"/>
              <w:rPr>
                <w:rFonts w:ascii="仿宋_GB2312" w:hAnsi="方正仿宋_GB2312" w:eastAsia="仿宋_GB2312" w:cs="方正仿宋_GB2312"/>
                <w:color w:val="auto"/>
                <w:sz w:val="28"/>
                <w:szCs w:val="28"/>
                <w:lang w:eastAsia="zh-CN"/>
              </w:rPr>
            </w:pPr>
          </w:p>
        </w:tc>
        <w:tc>
          <w:tcPr>
            <w:tcW w:w="1007" w:type="dxa"/>
            <w:vMerge w:val="continue"/>
            <w:vAlign w:val="center"/>
          </w:tcPr>
          <w:p w14:paraId="458AD4F1">
            <w:pPr>
              <w:pStyle w:val="4"/>
              <w:widowControl/>
              <w:kinsoku/>
              <w:jc w:val="center"/>
              <w:rPr>
                <w:rFonts w:ascii="仿宋_GB2312" w:hAnsi="方正仿宋_GB2312" w:eastAsia="仿宋_GB2312" w:cs="方正仿宋_GB2312"/>
                <w:color w:val="auto"/>
                <w:sz w:val="28"/>
                <w:szCs w:val="28"/>
                <w:lang w:eastAsia="zh-CN"/>
              </w:rPr>
            </w:pPr>
          </w:p>
        </w:tc>
        <w:tc>
          <w:tcPr>
            <w:tcW w:w="4218" w:type="dxa"/>
            <w:vAlign w:val="center"/>
          </w:tcPr>
          <w:p w14:paraId="7A1806B3">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3.3 询问居家情况</w:t>
            </w:r>
          </w:p>
          <w:p w14:paraId="06C6097A">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（1）家属配合（1分）</w:t>
            </w:r>
          </w:p>
          <w:p w14:paraId="766637F4">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（2）自我照料（1分）</w:t>
            </w:r>
          </w:p>
        </w:tc>
        <w:tc>
          <w:tcPr>
            <w:tcW w:w="512" w:type="dxa"/>
            <w:vAlign w:val="center"/>
          </w:tcPr>
          <w:p w14:paraId="4A7D730B">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688" w:type="dxa"/>
            <w:vAlign w:val="center"/>
          </w:tcPr>
          <w:p w14:paraId="49B339F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1.5</w:t>
            </w:r>
          </w:p>
        </w:tc>
        <w:tc>
          <w:tcPr>
            <w:tcW w:w="562" w:type="dxa"/>
            <w:vAlign w:val="center"/>
          </w:tcPr>
          <w:p w14:paraId="7BC2E7A8">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w:t>
            </w:r>
          </w:p>
        </w:tc>
        <w:tc>
          <w:tcPr>
            <w:tcW w:w="638" w:type="dxa"/>
            <w:vAlign w:val="center"/>
          </w:tcPr>
          <w:p w14:paraId="7F3E03B3">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0.5</w:t>
            </w:r>
          </w:p>
        </w:tc>
        <w:tc>
          <w:tcPr>
            <w:tcW w:w="475" w:type="dxa"/>
            <w:vAlign w:val="center"/>
          </w:tcPr>
          <w:p w14:paraId="0920EAFC">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0</w:t>
            </w:r>
          </w:p>
        </w:tc>
        <w:tc>
          <w:tcPr>
            <w:tcW w:w="495" w:type="dxa"/>
            <w:vAlign w:val="center"/>
          </w:tcPr>
          <w:p w14:paraId="4EE369E3">
            <w:pPr>
              <w:pStyle w:val="4"/>
              <w:widowControl/>
              <w:kinsoku/>
              <w:jc w:val="center"/>
              <w:rPr>
                <w:rFonts w:ascii="仿宋_GB2312" w:hAnsi="方正仿宋_GB2312" w:eastAsia="仿宋_GB2312" w:cs="方正仿宋_GB2312"/>
                <w:color w:val="auto"/>
                <w:sz w:val="28"/>
                <w:szCs w:val="28"/>
                <w:lang w:eastAsia="zh-CN"/>
              </w:rPr>
            </w:pPr>
          </w:p>
        </w:tc>
      </w:tr>
      <w:tr w14:paraId="541DB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8" w:type="dxa"/>
            <w:vMerge w:val="continue"/>
            <w:vAlign w:val="center"/>
          </w:tcPr>
          <w:p w14:paraId="1CB272AC">
            <w:pPr>
              <w:pStyle w:val="4"/>
              <w:widowControl/>
              <w:kinsoku/>
              <w:jc w:val="center"/>
              <w:rPr>
                <w:rFonts w:ascii="仿宋_GB2312" w:hAnsi="方正仿宋_GB2312" w:eastAsia="仿宋_GB2312" w:cs="方正仿宋_GB2312"/>
                <w:color w:val="auto"/>
                <w:sz w:val="28"/>
                <w:szCs w:val="28"/>
                <w:lang w:eastAsia="zh-CN"/>
              </w:rPr>
            </w:pPr>
          </w:p>
        </w:tc>
        <w:tc>
          <w:tcPr>
            <w:tcW w:w="1007" w:type="dxa"/>
            <w:vMerge w:val="continue"/>
            <w:vAlign w:val="center"/>
          </w:tcPr>
          <w:p w14:paraId="04E5FFC3">
            <w:pPr>
              <w:pStyle w:val="4"/>
              <w:widowControl/>
              <w:kinsoku/>
              <w:jc w:val="center"/>
              <w:rPr>
                <w:rFonts w:ascii="仿宋_GB2312" w:hAnsi="方正仿宋_GB2312" w:eastAsia="仿宋_GB2312" w:cs="方正仿宋_GB2312"/>
                <w:color w:val="auto"/>
                <w:sz w:val="28"/>
                <w:szCs w:val="28"/>
                <w:lang w:eastAsia="zh-CN"/>
              </w:rPr>
            </w:pPr>
          </w:p>
        </w:tc>
        <w:tc>
          <w:tcPr>
            <w:tcW w:w="4218" w:type="dxa"/>
            <w:vAlign w:val="center"/>
          </w:tcPr>
          <w:p w14:paraId="06919610">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3.4总结问诊结果（4）</w:t>
            </w:r>
          </w:p>
        </w:tc>
        <w:tc>
          <w:tcPr>
            <w:tcW w:w="512" w:type="dxa"/>
            <w:vAlign w:val="center"/>
          </w:tcPr>
          <w:p w14:paraId="1A369C76">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4</w:t>
            </w:r>
          </w:p>
        </w:tc>
        <w:tc>
          <w:tcPr>
            <w:tcW w:w="688" w:type="dxa"/>
            <w:vAlign w:val="center"/>
          </w:tcPr>
          <w:p w14:paraId="3C1D1AA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w:t>
            </w:r>
          </w:p>
        </w:tc>
        <w:tc>
          <w:tcPr>
            <w:tcW w:w="562" w:type="dxa"/>
            <w:vAlign w:val="center"/>
          </w:tcPr>
          <w:p w14:paraId="4393826E">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638" w:type="dxa"/>
            <w:vAlign w:val="center"/>
          </w:tcPr>
          <w:p w14:paraId="0CFF9E0A">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w:t>
            </w:r>
          </w:p>
        </w:tc>
        <w:tc>
          <w:tcPr>
            <w:tcW w:w="475" w:type="dxa"/>
            <w:vAlign w:val="center"/>
          </w:tcPr>
          <w:p w14:paraId="455EA493">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0</w:t>
            </w:r>
          </w:p>
        </w:tc>
        <w:tc>
          <w:tcPr>
            <w:tcW w:w="495" w:type="dxa"/>
            <w:vAlign w:val="center"/>
          </w:tcPr>
          <w:p w14:paraId="5ADC650E">
            <w:pPr>
              <w:pStyle w:val="4"/>
              <w:widowControl/>
              <w:kinsoku/>
              <w:jc w:val="center"/>
              <w:rPr>
                <w:rFonts w:ascii="仿宋_GB2312" w:hAnsi="方正仿宋_GB2312" w:eastAsia="仿宋_GB2312" w:cs="方正仿宋_GB2312"/>
                <w:color w:val="auto"/>
                <w:sz w:val="28"/>
                <w:szCs w:val="28"/>
                <w:lang w:eastAsia="zh-CN"/>
              </w:rPr>
            </w:pPr>
          </w:p>
        </w:tc>
      </w:tr>
      <w:tr w14:paraId="5786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8" w:type="dxa"/>
            <w:vAlign w:val="center"/>
          </w:tcPr>
          <w:p w14:paraId="1354082C">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项目4</w:t>
            </w:r>
          </w:p>
        </w:tc>
        <w:tc>
          <w:tcPr>
            <w:tcW w:w="1007" w:type="dxa"/>
            <w:vAlign w:val="center"/>
          </w:tcPr>
          <w:p w14:paraId="19CA4A04">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观察（10分）</w:t>
            </w:r>
          </w:p>
        </w:tc>
        <w:tc>
          <w:tcPr>
            <w:tcW w:w="4218" w:type="dxa"/>
            <w:vAlign w:val="center"/>
          </w:tcPr>
          <w:p w14:paraId="0086409E">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（1）病患反应（5分）</w:t>
            </w:r>
          </w:p>
          <w:p w14:paraId="3969939D">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（2）病患感受（5分）</w:t>
            </w:r>
          </w:p>
        </w:tc>
        <w:tc>
          <w:tcPr>
            <w:tcW w:w="512" w:type="dxa"/>
            <w:vAlign w:val="center"/>
          </w:tcPr>
          <w:p w14:paraId="2250B9F1">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w:t>
            </w:r>
          </w:p>
        </w:tc>
        <w:tc>
          <w:tcPr>
            <w:tcW w:w="688" w:type="dxa"/>
            <w:vAlign w:val="center"/>
          </w:tcPr>
          <w:p w14:paraId="0DFA1192">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8</w:t>
            </w:r>
          </w:p>
        </w:tc>
        <w:tc>
          <w:tcPr>
            <w:tcW w:w="562" w:type="dxa"/>
            <w:vAlign w:val="center"/>
          </w:tcPr>
          <w:p w14:paraId="4D80B84C">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6</w:t>
            </w:r>
          </w:p>
        </w:tc>
        <w:tc>
          <w:tcPr>
            <w:tcW w:w="638" w:type="dxa"/>
            <w:vAlign w:val="center"/>
          </w:tcPr>
          <w:p w14:paraId="5E2B2688">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4</w:t>
            </w:r>
          </w:p>
        </w:tc>
        <w:tc>
          <w:tcPr>
            <w:tcW w:w="475" w:type="dxa"/>
            <w:vAlign w:val="center"/>
          </w:tcPr>
          <w:p w14:paraId="387210F7">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495" w:type="dxa"/>
            <w:vAlign w:val="center"/>
          </w:tcPr>
          <w:p w14:paraId="0B019A3E">
            <w:pPr>
              <w:pStyle w:val="4"/>
              <w:widowControl/>
              <w:kinsoku/>
              <w:jc w:val="center"/>
              <w:rPr>
                <w:rFonts w:ascii="仿宋_GB2312" w:hAnsi="方正仿宋_GB2312" w:eastAsia="仿宋_GB2312" w:cs="方正仿宋_GB2312"/>
                <w:color w:val="auto"/>
                <w:sz w:val="28"/>
                <w:szCs w:val="28"/>
                <w:lang w:eastAsia="zh-CN"/>
              </w:rPr>
            </w:pPr>
          </w:p>
        </w:tc>
      </w:tr>
      <w:tr w14:paraId="50E3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5" w:type="dxa"/>
            <w:gridSpan w:val="2"/>
            <w:vAlign w:val="center"/>
          </w:tcPr>
          <w:p w14:paraId="6E41E6B7">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注意事项</w:t>
            </w:r>
          </w:p>
          <w:p w14:paraId="713CDB23">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（10分）</w:t>
            </w:r>
          </w:p>
        </w:tc>
        <w:tc>
          <w:tcPr>
            <w:tcW w:w="4218" w:type="dxa"/>
            <w:vAlign w:val="center"/>
          </w:tcPr>
          <w:p w14:paraId="46AFB3D8">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（1）操作过程中保护关爱病患（2分）没有保护意识不得分</w:t>
            </w:r>
          </w:p>
          <w:p w14:paraId="5D932F1F">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（2）适当的协助（1分）</w:t>
            </w:r>
          </w:p>
          <w:p w14:paraId="7283A74D">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（3）尊重理解病患，鼓励病患及家属主动参与配合（1分）</w:t>
            </w:r>
          </w:p>
          <w:p w14:paraId="3FB63C85">
            <w:pPr>
              <w:pStyle w:val="4"/>
              <w:widowControl/>
              <w:kinsoku/>
              <w:jc w:val="both"/>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（4）问诊熟练、准确、无重复（6分）不熟练扣2分，不准确扣2分，欠规范扣2分</w:t>
            </w:r>
          </w:p>
        </w:tc>
        <w:tc>
          <w:tcPr>
            <w:tcW w:w="512" w:type="dxa"/>
            <w:vAlign w:val="center"/>
          </w:tcPr>
          <w:p w14:paraId="4D3C846C">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w:t>
            </w:r>
          </w:p>
        </w:tc>
        <w:tc>
          <w:tcPr>
            <w:tcW w:w="688" w:type="dxa"/>
            <w:vAlign w:val="center"/>
          </w:tcPr>
          <w:p w14:paraId="25B0EF5D">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8</w:t>
            </w:r>
          </w:p>
        </w:tc>
        <w:tc>
          <w:tcPr>
            <w:tcW w:w="562" w:type="dxa"/>
            <w:vAlign w:val="center"/>
          </w:tcPr>
          <w:p w14:paraId="0FDB8B3E">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6</w:t>
            </w:r>
          </w:p>
        </w:tc>
        <w:tc>
          <w:tcPr>
            <w:tcW w:w="638" w:type="dxa"/>
            <w:vAlign w:val="center"/>
          </w:tcPr>
          <w:p w14:paraId="747995CC">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4</w:t>
            </w:r>
          </w:p>
        </w:tc>
        <w:tc>
          <w:tcPr>
            <w:tcW w:w="475" w:type="dxa"/>
            <w:vAlign w:val="center"/>
          </w:tcPr>
          <w:p w14:paraId="7774AFDD">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2</w:t>
            </w:r>
          </w:p>
        </w:tc>
        <w:tc>
          <w:tcPr>
            <w:tcW w:w="495" w:type="dxa"/>
            <w:vAlign w:val="center"/>
          </w:tcPr>
          <w:p w14:paraId="528B9BC2">
            <w:pPr>
              <w:pStyle w:val="4"/>
              <w:widowControl/>
              <w:kinsoku/>
              <w:jc w:val="center"/>
              <w:rPr>
                <w:rFonts w:ascii="仿宋_GB2312" w:hAnsi="方正仿宋_GB2312" w:eastAsia="仿宋_GB2312" w:cs="方正仿宋_GB2312"/>
                <w:color w:val="auto"/>
                <w:sz w:val="28"/>
                <w:szCs w:val="28"/>
                <w:lang w:eastAsia="zh-CN"/>
              </w:rPr>
            </w:pPr>
          </w:p>
        </w:tc>
      </w:tr>
      <w:tr w14:paraId="6888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5" w:type="dxa"/>
            <w:gridSpan w:val="2"/>
            <w:vAlign w:val="center"/>
          </w:tcPr>
          <w:p w14:paraId="390E1C99">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合计</w:t>
            </w:r>
          </w:p>
        </w:tc>
        <w:tc>
          <w:tcPr>
            <w:tcW w:w="4218" w:type="dxa"/>
            <w:vAlign w:val="center"/>
          </w:tcPr>
          <w:p w14:paraId="6D6BEA21">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100分</w:t>
            </w:r>
          </w:p>
        </w:tc>
        <w:tc>
          <w:tcPr>
            <w:tcW w:w="2875" w:type="dxa"/>
            <w:gridSpan w:val="5"/>
            <w:vAlign w:val="center"/>
          </w:tcPr>
          <w:p w14:paraId="6001D7F1">
            <w:pPr>
              <w:pStyle w:val="4"/>
              <w:widowControl/>
              <w:kinsoku/>
              <w:jc w:val="center"/>
              <w:rPr>
                <w:rFonts w:ascii="仿宋_GB2312" w:hAnsi="方正仿宋_GB2312" w:eastAsia="仿宋_GB2312" w:cs="方正仿宋_GB2312"/>
                <w:color w:val="auto"/>
                <w:sz w:val="28"/>
                <w:szCs w:val="28"/>
                <w:lang w:eastAsia="zh-CN"/>
              </w:rPr>
            </w:pPr>
            <w:r>
              <w:rPr>
                <w:rFonts w:hint="eastAsia" w:ascii="仿宋_GB2312" w:hAnsi="方正仿宋_GB2312" w:eastAsia="仿宋_GB2312" w:cs="方正仿宋_GB2312"/>
                <w:color w:val="auto"/>
                <w:sz w:val="28"/>
                <w:szCs w:val="28"/>
                <w:lang w:eastAsia="zh-CN"/>
              </w:rPr>
              <w:t>实际得分</w:t>
            </w:r>
          </w:p>
        </w:tc>
        <w:tc>
          <w:tcPr>
            <w:tcW w:w="495" w:type="dxa"/>
            <w:vAlign w:val="center"/>
          </w:tcPr>
          <w:p w14:paraId="41C61E61">
            <w:pPr>
              <w:pStyle w:val="4"/>
              <w:widowControl/>
              <w:kinsoku/>
              <w:jc w:val="both"/>
              <w:rPr>
                <w:rFonts w:ascii="仿宋_GB2312" w:hAnsi="方正仿宋_GB2312" w:eastAsia="仿宋_GB2312" w:cs="方正仿宋_GB2312"/>
                <w:color w:val="auto"/>
                <w:sz w:val="28"/>
                <w:szCs w:val="28"/>
                <w:lang w:eastAsia="zh-CN"/>
              </w:rPr>
            </w:pPr>
          </w:p>
        </w:tc>
      </w:tr>
    </w:tbl>
    <w:p w14:paraId="4587D7FF">
      <w:pPr>
        <w:pStyle w:val="4"/>
        <w:kinsoku/>
        <w:spacing w:line="360" w:lineRule="auto"/>
        <w:ind w:firstLine="643" w:firstLineChars="200"/>
        <w:jc w:val="both"/>
        <w:rPr>
          <w:rFonts w:ascii="仿宋_GB2312" w:eastAsia="仿宋_GB2312" w:cs="Calibri"/>
          <w:b/>
          <w:bCs/>
          <w:color w:val="auto"/>
          <w:sz w:val="32"/>
          <w:szCs w:val="32"/>
          <w:lang w:eastAsia="zh-CN"/>
        </w:rPr>
      </w:pPr>
      <w:r>
        <w:rPr>
          <w:rFonts w:hint="eastAsia" w:ascii="仿宋_GB2312" w:eastAsia="仿宋_GB2312" w:cs="Calibri"/>
          <w:b/>
          <w:bCs/>
          <w:color w:val="auto"/>
          <w:sz w:val="32"/>
          <w:szCs w:val="32"/>
          <w:lang w:eastAsia="zh-CN"/>
        </w:rPr>
        <w:t>2.评定（100分）</w:t>
      </w:r>
    </w:p>
    <w:p w14:paraId="07762962">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标准:学生需要表现出有良好的专业行为和很好的交流沟通技巧能意识到进行操作时自身所处的姿势和患者的体位，能根据体格检查的程序对患者进行恰当和精确的康复评估程序和内容(举例如下但又不局限于此:听诊技能，测试肺功能评估，测试氧饱和度，评估患者循环系统情况和筛查深静脉血栓;测量关节活动范围、肌张力和肌力</w:t>
      </w:r>
      <w:r>
        <w:rPr>
          <w:rFonts w:hint="eastAsia" w:ascii="仿宋_GB2312" w:eastAsia="仿宋_GB2312" w:cs="Calibri"/>
          <w:color w:val="auto"/>
          <w:sz w:val="32"/>
          <w:szCs w:val="32"/>
          <w:lang w:eastAsia="zh-CN"/>
        </w:rPr>
        <w:t>进行与关节稳定性有关的特定检查，使用VAS量表评定疼痛情况，评定呼吸障碍的情况等)</w:t>
      </w:r>
    </w:p>
    <w:tbl>
      <w:tblPr>
        <w:tblStyle w:val="13"/>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1007"/>
        <w:gridCol w:w="4106"/>
        <w:gridCol w:w="550"/>
        <w:gridCol w:w="675"/>
        <w:gridCol w:w="550"/>
        <w:gridCol w:w="625"/>
        <w:gridCol w:w="518"/>
        <w:gridCol w:w="565"/>
      </w:tblGrid>
      <w:tr w14:paraId="41D04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957" w:type="dxa"/>
            <w:vMerge w:val="restart"/>
            <w:vAlign w:val="center"/>
          </w:tcPr>
          <w:p w14:paraId="5B1E3C9D">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项目</w:t>
            </w:r>
          </w:p>
        </w:tc>
        <w:tc>
          <w:tcPr>
            <w:tcW w:w="1007" w:type="dxa"/>
            <w:vMerge w:val="restart"/>
            <w:vAlign w:val="center"/>
          </w:tcPr>
          <w:p w14:paraId="32082CBA">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工作</w:t>
            </w:r>
          </w:p>
        </w:tc>
        <w:tc>
          <w:tcPr>
            <w:tcW w:w="4106" w:type="dxa"/>
            <w:vMerge w:val="restart"/>
            <w:vAlign w:val="center"/>
          </w:tcPr>
          <w:p w14:paraId="7EA89F4D">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技术操作要求</w:t>
            </w:r>
          </w:p>
        </w:tc>
        <w:tc>
          <w:tcPr>
            <w:tcW w:w="2918" w:type="dxa"/>
            <w:gridSpan w:val="5"/>
            <w:vAlign w:val="center"/>
          </w:tcPr>
          <w:p w14:paraId="25F454F8">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评分标准</w:t>
            </w:r>
          </w:p>
        </w:tc>
        <w:tc>
          <w:tcPr>
            <w:tcW w:w="565" w:type="dxa"/>
            <w:vMerge w:val="restart"/>
            <w:vAlign w:val="center"/>
          </w:tcPr>
          <w:p w14:paraId="296C7BA5">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b/>
                <w:bCs/>
                <w:color w:val="auto"/>
                <w:sz w:val="28"/>
                <w:szCs w:val="28"/>
                <w:lang w:eastAsia="zh-CN"/>
              </w:rPr>
              <w:t>得分</w:t>
            </w:r>
          </w:p>
        </w:tc>
      </w:tr>
      <w:tr w14:paraId="01FF2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57" w:type="dxa"/>
            <w:vMerge w:val="continue"/>
            <w:vAlign w:val="center"/>
          </w:tcPr>
          <w:p w14:paraId="6D9BE474">
            <w:pPr>
              <w:pStyle w:val="4"/>
              <w:widowControl/>
              <w:kinsoku/>
              <w:jc w:val="both"/>
              <w:rPr>
                <w:b/>
                <w:bCs/>
                <w:sz w:val="20"/>
                <w:szCs w:val="20"/>
              </w:rPr>
            </w:pPr>
          </w:p>
        </w:tc>
        <w:tc>
          <w:tcPr>
            <w:tcW w:w="1007" w:type="dxa"/>
            <w:vMerge w:val="continue"/>
            <w:vAlign w:val="center"/>
          </w:tcPr>
          <w:p w14:paraId="10983A05">
            <w:pPr>
              <w:pStyle w:val="4"/>
              <w:widowControl/>
              <w:kinsoku/>
              <w:jc w:val="both"/>
              <w:rPr>
                <w:b/>
                <w:bCs/>
                <w:sz w:val="20"/>
                <w:szCs w:val="20"/>
              </w:rPr>
            </w:pPr>
          </w:p>
        </w:tc>
        <w:tc>
          <w:tcPr>
            <w:tcW w:w="4106" w:type="dxa"/>
            <w:vMerge w:val="continue"/>
            <w:vAlign w:val="center"/>
          </w:tcPr>
          <w:p w14:paraId="3AF6794E">
            <w:pPr>
              <w:pStyle w:val="4"/>
              <w:widowControl/>
              <w:kinsoku/>
              <w:jc w:val="both"/>
              <w:rPr>
                <w:b/>
                <w:bCs/>
                <w:sz w:val="20"/>
                <w:szCs w:val="20"/>
              </w:rPr>
            </w:pPr>
          </w:p>
        </w:tc>
        <w:tc>
          <w:tcPr>
            <w:tcW w:w="550" w:type="dxa"/>
            <w:vAlign w:val="center"/>
          </w:tcPr>
          <w:p w14:paraId="1C98749D">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A</w:t>
            </w:r>
          </w:p>
        </w:tc>
        <w:tc>
          <w:tcPr>
            <w:tcW w:w="675" w:type="dxa"/>
            <w:vAlign w:val="center"/>
          </w:tcPr>
          <w:p w14:paraId="1FBE6542">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B</w:t>
            </w:r>
          </w:p>
        </w:tc>
        <w:tc>
          <w:tcPr>
            <w:tcW w:w="550" w:type="dxa"/>
            <w:vAlign w:val="center"/>
          </w:tcPr>
          <w:p w14:paraId="663F4D9F">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C</w:t>
            </w:r>
          </w:p>
        </w:tc>
        <w:tc>
          <w:tcPr>
            <w:tcW w:w="625" w:type="dxa"/>
            <w:vAlign w:val="center"/>
          </w:tcPr>
          <w:p w14:paraId="2591B2E4">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D</w:t>
            </w:r>
          </w:p>
        </w:tc>
        <w:tc>
          <w:tcPr>
            <w:tcW w:w="518" w:type="dxa"/>
            <w:vAlign w:val="center"/>
          </w:tcPr>
          <w:p w14:paraId="61889E68">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E</w:t>
            </w:r>
          </w:p>
        </w:tc>
        <w:tc>
          <w:tcPr>
            <w:tcW w:w="565" w:type="dxa"/>
            <w:vMerge w:val="continue"/>
          </w:tcPr>
          <w:p w14:paraId="5131E3DB">
            <w:pPr>
              <w:pStyle w:val="4"/>
              <w:widowControl/>
              <w:kinsoku/>
              <w:jc w:val="both"/>
              <w:rPr>
                <w:rFonts w:ascii="仿宋_GB2312" w:eastAsia="仿宋_GB2312" w:cs="Calibri"/>
                <w:color w:val="auto"/>
                <w:sz w:val="28"/>
                <w:szCs w:val="28"/>
                <w:lang w:eastAsia="zh-CN"/>
              </w:rPr>
            </w:pPr>
          </w:p>
        </w:tc>
      </w:tr>
      <w:tr w14:paraId="50C9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6" w:hRule="atLeast"/>
          <w:jc w:val="center"/>
        </w:trPr>
        <w:tc>
          <w:tcPr>
            <w:tcW w:w="957" w:type="dxa"/>
            <w:vMerge w:val="restart"/>
            <w:vAlign w:val="center"/>
          </w:tcPr>
          <w:p w14:paraId="358F40F1">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项目1</w:t>
            </w:r>
          </w:p>
        </w:tc>
        <w:tc>
          <w:tcPr>
            <w:tcW w:w="1007" w:type="dxa"/>
            <w:vMerge w:val="restart"/>
            <w:vAlign w:val="center"/>
          </w:tcPr>
          <w:p w14:paraId="53BB263C">
            <w:pPr>
              <w:pStyle w:val="4"/>
              <w:widowControl/>
              <w:kinsoku/>
              <w:jc w:val="left"/>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准备</w:t>
            </w:r>
          </w:p>
          <w:p w14:paraId="4DB69D9E">
            <w:pPr>
              <w:pStyle w:val="4"/>
              <w:widowControl/>
              <w:kinsoku/>
              <w:jc w:val="left"/>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（10分）</w:t>
            </w:r>
          </w:p>
        </w:tc>
        <w:tc>
          <w:tcPr>
            <w:tcW w:w="4106" w:type="dxa"/>
          </w:tcPr>
          <w:p w14:paraId="71C99DB9">
            <w:pPr>
              <w:pStyle w:val="4"/>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1.1 治疗师准备</w:t>
            </w:r>
          </w:p>
          <w:p w14:paraId="5EB4AE8D">
            <w:pPr>
              <w:pStyle w:val="4"/>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（1）衣着整洁，修饰得体（1分）</w:t>
            </w:r>
          </w:p>
          <w:p w14:paraId="54994A3D">
            <w:pPr>
              <w:pStyle w:val="4"/>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（2）指甲修剪符合操作要求（1分）</w:t>
            </w:r>
          </w:p>
          <w:p w14:paraId="17C1D909">
            <w:pPr>
              <w:pStyle w:val="4"/>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（3）洗净双手，消毒（1分）</w:t>
            </w:r>
          </w:p>
        </w:tc>
        <w:tc>
          <w:tcPr>
            <w:tcW w:w="550" w:type="dxa"/>
            <w:vAlign w:val="center"/>
          </w:tcPr>
          <w:p w14:paraId="02AFDDB4">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675" w:type="dxa"/>
            <w:vAlign w:val="center"/>
          </w:tcPr>
          <w:p w14:paraId="2FD8F50B">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2.5</w:t>
            </w:r>
          </w:p>
        </w:tc>
        <w:tc>
          <w:tcPr>
            <w:tcW w:w="550" w:type="dxa"/>
            <w:vAlign w:val="center"/>
          </w:tcPr>
          <w:p w14:paraId="313D78BF">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25" w:type="dxa"/>
            <w:vAlign w:val="center"/>
          </w:tcPr>
          <w:p w14:paraId="1E4E0863">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1.5</w:t>
            </w:r>
          </w:p>
        </w:tc>
        <w:tc>
          <w:tcPr>
            <w:tcW w:w="518" w:type="dxa"/>
            <w:vAlign w:val="center"/>
          </w:tcPr>
          <w:p w14:paraId="32A47F01">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565" w:type="dxa"/>
            <w:vMerge w:val="restart"/>
            <w:vAlign w:val="center"/>
          </w:tcPr>
          <w:p w14:paraId="6BA91650">
            <w:pPr>
              <w:pStyle w:val="4"/>
              <w:widowControl/>
              <w:kinsoku/>
              <w:jc w:val="center"/>
              <w:rPr>
                <w:rFonts w:ascii="仿宋_GB2312" w:eastAsia="仿宋_GB2312" w:cs="Calibri"/>
                <w:color w:val="auto"/>
                <w:sz w:val="28"/>
                <w:szCs w:val="28"/>
                <w:lang w:eastAsia="zh-CN"/>
              </w:rPr>
            </w:pPr>
          </w:p>
        </w:tc>
      </w:tr>
      <w:tr w14:paraId="04E5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957" w:type="dxa"/>
            <w:vMerge w:val="continue"/>
            <w:vAlign w:val="center"/>
          </w:tcPr>
          <w:p w14:paraId="6D1B6FA8">
            <w:pPr>
              <w:pStyle w:val="4"/>
              <w:widowControl/>
              <w:kinsoku/>
              <w:jc w:val="center"/>
              <w:rPr>
                <w:b/>
                <w:bCs/>
                <w:sz w:val="20"/>
                <w:szCs w:val="20"/>
              </w:rPr>
            </w:pPr>
          </w:p>
        </w:tc>
        <w:tc>
          <w:tcPr>
            <w:tcW w:w="1007" w:type="dxa"/>
            <w:vMerge w:val="continue"/>
            <w:vAlign w:val="center"/>
          </w:tcPr>
          <w:p w14:paraId="5097687B">
            <w:pPr>
              <w:pStyle w:val="4"/>
              <w:widowControl/>
              <w:kinsoku/>
              <w:jc w:val="both"/>
              <w:rPr>
                <w:sz w:val="20"/>
                <w:szCs w:val="20"/>
              </w:rPr>
            </w:pPr>
          </w:p>
        </w:tc>
        <w:tc>
          <w:tcPr>
            <w:tcW w:w="4106" w:type="dxa"/>
          </w:tcPr>
          <w:p w14:paraId="5B90189D">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1.2患者准备</w:t>
            </w:r>
          </w:p>
          <w:p w14:paraId="420D286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（1）患者体位放置合适（2分）</w:t>
            </w:r>
          </w:p>
          <w:p w14:paraId="0DD32048">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（2）患者衣物暴露合适（1分）</w:t>
            </w:r>
          </w:p>
        </w:tc>
        <w:tc>
          <w:tcPr>
            <w:tcW w:w="550" w:type="dxa"/>
            <w:vAlign w:val="center"/>
          </w:tcPr>
          <w:p w14:paraId="778A141D">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675" w:type="dxa"/>
            <w:vAlign w:val="center"/>
          </w:tcPr>
          <w:p w14:paraId="073291F4">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2.5</w:t>
            </w:r>
          </w:p>
        </w:tc>
        <w:tc>
          <w:tcPr>
            <w:tcW w:w="550" w:type="dxa"/>
            <w:vAlign w:val="center"/>
          </w:tcPr>
          <w:p w14:paraId="3A15E308">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25" w:type="dxa"/>
            <w:vAlign w:val="center"/>
          </w:tcPr>
          <w:p w14:paraId="74B375E1">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1.5</w:t>
            </w:r>
          </w:p>
        </w:tc>
        <w:tc>
          <w:tcPr>
            <w:tcW w:w="518" w:type="dxa"/>
            <w:vAlign w:val="center"/>
          </w:tcPr>
          <w:p w14:paraId="23BE3FFC">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565" w:type="dxa"/>
            <w:vMerge w:val="continue"/>
            <w:vAlign w:val="center"/>
          </w:tcPr>
          <w:p w14:paraId="54A97B24">
            <w:pPr>
              <w:pStyle w:val="4"/>
              <w:widowControl/>
              <w:kinsoku/>
              <w:jc w:val="center"/>
              <w:rPr>
                <w:rFonts w:ascii="仿宋_GB2312" w:eastAsia="仿宋_GB2312" w:cs="Calibri"/>
                <w:color w:val="auto"/>
                <w:sz w:val="28"/>
                <w:szCs w:val="28"/>
                <w:lang w:eastAsia="zh-CN"/>
              </w:rPr>
            </w:pPr>
          </w:p>
        </w:tc>
      </w:tr>
      <w:tr w14:paraId="4CF4E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jc w:val="center"/>
        </w:trPr>
        <w:tc>
          <w:tcPr>
            <w:tcW w:w="957" w:type="dxa"/>
            <w:vMerge w:val="continue"/>
            <w:vAlign w:val="center"/>
          </w:tcPr>
          <w:p w14:paraId="044F7D43">
            <w:pPr>
              <w:pStyle w:val="4"/>
              <w:widowControl/>
              <w:kinsoku/>
              <w:jc w:val="center"/>
              <w:rPr>
                <w:b/>
                <w:bCs/>
                <w:sz w:val="20"/>
                <w:szCs w:val="20"/>
              </w:rPr>
            </w:pPr>
          </w:p>
        </w:tc>
        <w:tc>
          <w:tcPr>
            <w:tcW w:w="1007" w:type="dxa"/>
            <w:vMerge w:val="continue"/>
            <w:vAlign w:val="center"/>
          </w:tcPr>
          <w:p w14:paraId="78852756">
            <w:pPr>
              <w:pStyle w:val="4"/>
              <w:widowControl/>
              <w:kinsoku/>
              <w:jc w:val="both"/>
              <w:rPr>
                <w:sz w:val="20"/>
                <w:szCs w:val="20"/>
              </w:rPr>
            </w:pPr>
          </w:p>
        </w:tc>
        <w:tc>
          <w:tcPr>
            <w:tcW w:w="4106" w:type="dxa"/>
          </w:tcPr>
          <w:p w14:paraId="274310B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1.3物品准备</w:t>
            </w:r>
          </w:p>
          <w:p w14:paraId="52E43948">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（1）评定床凳的高低合适（2分）</w:t>
            </w:r>
          </w:p>
          <w:p w14:paraId="187656FA">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（2）评定设备选取合理（2分）</w:t>
            </w:r>
          </w:p>
        </w:tc>
        <w:tc>
          <w:tcPr>
            <w:tcW w:w="550" w:type="dxa"/>
            <w:vAlign w:val="center"/>
          </w:tcPr>
          <w:p w14:paraId="0EF363CE">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4</w:t>
            </w:r>
          </w:p>
        </w:tc>
        <w:tc>
          <w:tcPr>
            <w:tcW w:w="675" w:type="dxa"/>
            <w:vAlign w:val="center"/>
          </w:tcPr>
          <w:p w14:paraId="2A48850B">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550" w:type="dxa"/>
            <w:vAlign w:val="center"/>
          </w:tcPr>
          <w:p w14:paraId="3B24BB1B">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25" w:type="dxa"/>
            <w:vAlign w:val="center"/>
          </w:tcPr>
          <w:p w14:paraId="0B2AD8EC">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518" w:type="dxa"/>
            <w:vAlign w:val="center"/>
          </w:tcPr>
          <w:p w14:paraId="05D08E9C">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565" w:type="dxa"/>
            <w:vAlign w:val="center"/>
          </w:tcPr>
          <w:p w14:paraId="2CFBA4FB">
            <w:pPr>
              <w:pStyle w:val="4"/>
              <w:widowControl/>
              <w:kinsoku/>
              <w:jc w:val="center"/>
              <w:rPr>
                <w:rFonts w:ascii="仿宋_GB2312" w:eastAsia="仿宋_GB2312" w:cs="Calibri"/>
                <w:color w:val="auto"/>
                <w:sz w:val="28"/>
                <w:szCs w:val="28"/>
                <w:lang w:eastAsia="zh-CN"/>
              </w:rPr>
            </w:pPr>
          </w:p>
        </w:tc>
      </w:tr>
      <w:tr w14:paraId="34F3E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957" w:type="dxa"/>
            <w:vMerge w:val="restart"/>
            <w:vAlign w:val="center"/>
          </w:tcPr>
          <w:p w14:paraId="6B6AA840">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项目2</w:t>
            </w:r>
          </w:p>
        </w:tc>
        <w:tc>
          <w:tcPr>
            <w:tcW w:w="1007" w:type="dxa"/>
            <w:vMerge w:val="restart"/>
            <w:vAlign w:val="center"/>
          </w:tcPr>
          <w:p w14:paraId="75C5A059">
            <w:pPr>
              <w:pStyle w:val="4"/>
              <w:widowControl/>
              <w:kinsoku/>
              <w:jc w:val="left"/>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沟通（10分）</w:t>
            </w:r>
          </w:p>
        </w:tc>
        <w:tc>
          <w:tcPr>
            <w:tcW w:w="4106" w:type="dxa"/>
          </w:tcPr>
          <w:p w14:paraId="39A57556">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2.1判断：</w:t>
            </w:r>
          </w:p>
          <w:p w14:paraId="1B933997">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（1）判断病患意识（1分）</w:t>
            </w:r>
          </w:p>
          <w:p w14:paraId="7A15050F">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（2）判断患者语言表达能力（1分）</w:t>
            </w:r>
          </w:p>
        </w:tc>
        <w:tc>
          <w:tcPr>
            <w:tcW w:w="550" w:type="dxa"/>
            <w:vAlign w:val="center"/>
          </w:tcPr>
          <w:p w14:paraId="136FFAED">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75" w:type="dxa"/>
            <w:vAlign w:val="center"/>
          </w:tcPr>
          <w:p w14:paraId="49FA0DEB">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1.5</w:t>
            </w:r>
          </w:p>
        </w:tc>
        <w:tc>
          <w:tcPr>
            <w:tcW w:w="550" w:type="dxa"/>
            <w:vAlign w:val="center"/>
          </w:tcPr>
          <w:p w14:paraId="18F4D693">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625" w:type="dxa"/>
            <w:vAlign w:val="center"/>
          </w:tcPr>
          <w:p w14:paraId="03D895F4">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0.5</w:t>
            </w:r>
          </w:p>
        </w:tc>
        <w:tc>
          <w:tcPr>
            <w:tcW w:w="518" w:type="dxa"/>
            <w:vAlign w:val="center"/>
          </w:tcPr>
          <w:p w14:paraId="26FD6F3C">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565" w:type="dxa"/>
            <w:vAlign w:val="center"/>
          </w:tcPr>
          <w:p w14:paraId="63A1101C">
            <w:pPr>
              <w:pStyle w:val="4"/>
              <w:widowControl/>
              <w:kinsoku/>
              <w:jc w:val="center"/>
              <w:rPr>
                <w:rFonts w:ascii="仿宋_GB2312" w:eastAsia="仿宋_GB2312" w:cs="Calibri"/>
                <w:color w:val="auto"/>
                <w:sz w:val="28"/>
                <w:szCs w:val="28"/>
                <w:lang w:eastAsia="zh-CN"/>
              </w:rPr>
            </w:pPr>
          </w:p>
        </w:tc>
      </w:tr>
      <w:tr w14:paraId="24A33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957" w:type="dxa"/>
            <w:vMerge w:val="continue"/>
          </w:tcPr>
          <w:p w14:paraId="0D17F090">
            <w:pPr>
              <w:pStyle w:val="4"/>
              <w:widowControl/>
              <w:kinsoku/>
              <w:jc w:val="center"/>
              <w:rPr>
                <w:rFonts w:ascii="仿宋_GB2312" w:eastAsia="仿宋_GB2312" w:cs="Calibri"/>
                <w:b/>
                <w:bCs/>
                <w:color w:val="auto"/>
                <w:sz w:val="28"/>
                <w:szCs w:val="28"/>
                <w:lang w:eastAsia="zh-CN"/>
              </w:rPr>
            </w:pPr>
          </w:p>
        </w:tc>
        <w:tc>
          <w:tcPr>
            <w:tcW w:w="1007" w:type="dxa"/>
            <w:vMerge w:val="continue"/>
          </w:tcPr>
          <w:p w14:paraId="6A748101">
            <w:pPr>
              <w:pStyle w:val="4"/>
              <w:widowControl/>
              <w:kinsoku/>
              <w:jc w:val="both"/>
              <w:rPr>
                <w:rFonts w:ascii="仿宋_GB2312" w:eastAsia="仿宋_GB2312" w:cs="Calibri"/>
                <w:color w:val="auto"/>
                <w:sz w:val="28"/>
                <w:szCs w:val="28"/>
                <w:lang w:eastAsia="zh-CN"/>
              </w:rPr>
            </w:pPr>
          </w:p>
        </w:tc>
        <w:tc>
          <w:tcPr>
            <w:tcW w:w="4106" w:type="dxa"/>
          </w:tcPr>
          <w:p w14:paraId="1285E227">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2.2询问：</w:t>
            </w:r>
          </w:p>
          <w:p w14:paraId="35419D07">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（1）是否愿意配合（1分）</w:t>
            </w:r>
          </w:p>
          <w:p w14:paraId="3131EB7D">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（2）评定前有无其他需要（1分）</w:t>
            </w:r>
          </w:p>
          <w:p w14:paraId="6323DAFF">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（3）是否有无其他不适（1分）</w:t>
            </w:r>
          </w:p>
        </w:tc>
        <w:tc>
          <w:tcPr>
            <w:tcW w:w="550" w:type="dxa"/>
            <w:vAlign w:val="center"/>
          </w:tcPr>
          <w:p w14:paraId="71955881">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675" w:type="dxa"/>
            <w:vAlign w:val="center"/>
          </w:tcPr>
          <w:p w14:paraId="09712DF9">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2.5</w:t>
            </w:r>
          </w:p>
        </w:tc>
        <w:tc>
          <w:tcPr>
            <w:tcW w:w="550" w:type="dxa"/>
            <w:vAlign w:val="center"/>
          </w:tcPr>
          <w:p w14:paraId="55FD6C84">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25" w:type="dxa"/>
            <w:vAlign w:val="center"/>
          </w:tcPr>
          <w:p w14:paraId="7638F398">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1.5</w:t>
            </w:r>
          </w:p>
        </w:tc>
        <w:tc>
          <w:tcPr>
            <w:tcW w:w="518" w:type="dxa"/>
            <w:vAlign w:val="center"/>
          </w:tcPr>
          <w:p w14:paraId="01E600CA">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565" w:type="dxa"/>
            <w:vAlign w:val="center"/>
          </w:tcPr>
          <w:p w14:paraId="6FB8EE84">
            <w:pPr>
              <w:pStyle w:val="4"/>
              <w:widowControl/>
              <w:kinsoku/>
              <w:jc w:val="center"/>
              <w:rPr>
                <w:rFonts w:ascii="仿宋_GB2312" w:eastAsia="仿宋_GB2312" w:cs="Calibri"/>
                <w:color w:val="auto"/>
                <w:sz w:val="28"/>
                <w:szCs w:val="28"/>
                <w:lang w:eastAsia="zh-CN"/>
              </w:rPr>
            </w:pPr>
          </w:p>
        </w:tc>
      </w:tr>
      <w:tr w14:paraId="26A03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7" w:type="dxa"/>
            <w:vMerge w:val="continue"/>
          </w:tcPr>
          <w:p w14:paraId="23F95FC7">
            <w:pPr>
              <w:pStyle w:val="4"/>
              <w:widowControl/>
              <w:kinsoku/>
              <w:jc w:val="center"/>
              <w:rPr>
                <w:rFonts w:ascii="仿宋_GB2312" w:eastAsia="仿宋_GB2312" w:cs="Calibri"/>
                <w:b/>
                <w:bCs/>
                <w:color w:val="auto"/>
                <w:sz w:val="28"/>
                <w:szCs w:val="28"/>
                <w:lang w:eastAsia="zh-CN"/>
              </w:rPr>
            </w:pPr>
          </w:p>
        </w:tc>
        <w:tc>
          <w:tcPr>
            <w:tcW w:w="1007" w:type="dxa"/>
            <w:vMerge w:val="continue"/>
          </w:tcPr>
          <w:p w14:paraId="30DC1416">
            <w:pPr>
              <w:pStyle w:val="4"/>
              <w:widowControl/>
              <w:kinsoku/>
              <w:jc w:val="both"/>
              <w:rPr>
                <w:rFonts w:ascii="仿宋_GB2312" w:eastAsia="仿宋_GB2312" w:cs="Calibri"/>
                <w:color w:val="auto"/>
                <w:sz w:val="28"/>
                <w:szCs w:val="28"/>
                <w:lang w:eastAsia="zh-CN"/>
              </w:rPr>
            </w:pPr>
          </w:p>
        </w:tc>
        <w:tc>
          <w:tcPr>
            <w:tcW w:w="4106" w:type="dxa"/>
          </w:tcPr>
          <w:p w14:paraId="05FB4BB7">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2.3讲解</w:t>
            </w:r>
          </w:p>
          <w:p w14:paraId="1494560B">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评定目的和目标</w:t>
            </w:r>
          </w:p>
        </w:tc>
        <w:tc>
          <w:tcPr>
            <w:tcW w:w="550" w:type="dxa"/>
            <w:vAlign w:val="center"/>
          </w:tcPr>
          <w:p w14:paraId="19B59E11">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75" w:type="dxa"/>
            <w:vAlign w:val="center"/>
          </w:tcPr>
          <w:p w14:paraId="677DC33F">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1.5</w:t>
            </w:r>
          </w:p>
        </w:tc>
        <w:tc>
          <w:tcPr>
            <w:tcW w:w="550" w:type="dxa"/>
            <w:vAlign w:val="center"/>
          </w:tcPr>
          <w:p w14:paraId="5EB83641">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625" w:type="dxa"/>
            <w:vAlign w:val="center"/>
          </w:tcPr>
          <w:p w14:paraId="5C064ACE">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0.5</w:t>
            </w:r>
          </w:p>
        </w:tc>
        <w:tc>
          <w:tcPr>
            <w:tcW w:w="518" w:type="dxa"/>
            <w:vAlign w:val="center"/>
          </w:tcPr>
          <w:p w14:paraId="7870AFF4">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565" w:type="dxa"/>
            <w:vAlign w:val="center"/>
          </w:tcPr>
          <w:p w14:paraId="161B0BCB">
            <w:pPr>
              <w:pStyle w:val="4"/>
              <w:widowControl/>
              <w:kinsoku/>
              <w:jc w:val="center"/>
              <w:rPr>
                <w:rFonts w:ascii="仿宋_GB2312" w:eastAsia="仿宋_GB2312" w:cs="Calibri"/>
                <w:color w:val="auto"/>
                <w:sz w:val="28"/>
                <w:szCs w:val="28"/>
                <w:lang w:eastAsia="zh-CN"/>
              </w:rPr>
            </w:pPr>
          </w:p>
        </w:tc>
      </w:tr>
      <w:tr w14:paraId="141B4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Merge w:val="continue"/>
          </w:tcPr>
          <w:p w14:paraId="6A7D224E">
            <w:pPr>
              <w:pStyle w:val="4"/>
              <w:widowControl/>
              <w:kinsoku/>
              <w:jc w:val="center"/>
              <w:rPr>
                <w:rFonts w:ascii="仿宋_GB2312" w:eastAsia="仿宋_GB2312" w:cs="Calibri"/>
                <w:b/>
                <w:bCs/>
                <w:color w:val="auto"/>
                <w:sz w:val="28"/>
                <w:szCs w:val="28"/>
                <w:lang w:eastAsia="zh-CN"/>
              </w:rPr>
            </w:pPr>
          </w:p>
        </w:tc>
        <w:tc>
          <w:tcPr>
            <w:tcW w:w="1007" w:type="dxa"/>
            <w:vMerge w:val="continue"/>
          </w:tcPr>
          <w:p w14:paraId="5D99F183">
            <w:pPr>
              <w:pStyle w:val="4"/>
              <w:widowControl/>
              <w:kinsoku/>
              <w:jc w:val="both"/>
              <w:rPr>
                <w:rFonts w:ascii="仿宋_GB2312" w:eastAsia="仿宋_GB2312" w:cs="Calibri"/>
                <w:color w:val="auto"/>
                <w:sz w:val="28"/>
                <w:szCs w:val="28"/>
                <w:lang w:eastAsia="zh-CN"/>
              </w:rPr>
            </w:pPr>
          </w:p>
        </w:tc>
        <w:tc>
          <w:tcPr>
            <w:tcW w:w="4106" w:type="dxa"/>
          </w:tcPr>
          <w:p w14:paraId="75D30CFF">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2.4语言</w:t>
            </w:r>
          </w:p>
          <w:p w14:paraId="3CA68DBF">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（1）语言亲和有力（1分）</w:t>
            </w:r>
          </w:p>
          <w:p w14:paraId="5C989CA5">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（2）语速适中，表达清晰（1分）</w:t>
            </w:r>
          </w:p>
          <w:p w14:paraId="65BE51FC">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（3）声音大小恰当（1分）</w:t>
            </w:r>
          </w:p>
        </w:tc>
        <w:tc>
          <w:tcPr>
            <w:tcW w:w="550" w:type="dxa"/>
            <w:vAlign w:val="center"/>
          </w:tcPr>
          <w:p w14:paraId="515C2DE7">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w:t>
            </w:r>
          </w:p>
        </w:tc>
        <w:tc>
          <w:tcPr>
            <w:tcW w:w="675" w:type="dxa"/>
            <w:vAlign w:val="center"/>
          </w:tcPr>
          <w:p w14:paraId="5859CC56">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2.5</w:t>
            </w:r>
          </w:p>
        </w:tc>
        <w:tc>
          <w:tcPr>
            <w:tcW w:w="550" w:type="dxa"/>
            <w:vAlign w:val="center"/>
          </w:tcPr>
          <w:p w14:paraId="0800DBC8">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w:t>
            </w:r>
          </w:p>
        </w:tc>
        <w:tc>
          <w:tcPr>
            <w:tcW w:w="625" w:type="dxa"/>
            <w:vAlign w:val="center"/>
          </w:tcPr>
          <w:p w14:paraId="23FC47A6">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4"/>
                <w:szCs w:val="24"/>
                <w:lang w:eastAsia="zh-CN"/>
              </w:rPr>
              <w:t>1.5</w:t>
            </w:r>
          </w:p>
        </w:tc>
        <w:tc>
          <w:tcPr>
            <w:tcW w:w="518" w:type="dxa"/>
            <w:vAlign w:val="center"/>
          </w:tcPr>
          <w:p w14:paraId="2055636E">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w:t>
            </w:r>
          </w:p>
        </w:tc>
        <w:tc>
          <w:tcPr>
            <w:tcW w:w="565" w:type="dxa"/>
            <w:vAlign w:val="center"/>
          </w:tcPr>
          <w:p w14:paraId="06D42850">
            <w:pPr>
              <w:pStyle w:val="4"/>
              <w:widowControl/>
              <w:kinsoku/>
              <w:jc w:val="center"/>
              <w:rPr>
                <w:rFonts w:ascii="仿宋_GB2312" w:eastAsia="仿宋_GB2312" w:cs="Calibri"/>
                <w:color w:val="auto"/>
                <w:sz w:val="28"/>
                <w:szCs w:val="28"/>
                <w:lang w:eastAsia="zh-CN"/>
              </w:rPr>
            </w:pPr>
          </w:p>
        </w:tc>
      </w:tr>
      <w:tr w14:paraId="028F4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Merge w:val="restart"/>
            <w:vAlign w:val="center"/>
          </w:tcPr>
          <w:p w14:paraId="7537C213">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项目3</w:t>
            </w:r>
          </w:p>
        </w:tc>
        <w:tc>
          <w:tcPr>
            <w:tcW w:w="1007" w:type="dxa"/>
            <w:vMerge w:val="restart"/>
            <w:vAlign w:val="center"/>
          </w:tcPr>
          <w:p w14:paraId="771D50DB">
            <w:pPr>
              <w:pStyle w:val="4"/>
              <w:widowControl/>
              <w:kinsoku/>
              <w:jc w:val="left"/>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实施（60分）</w:t>
            </w:r>
          </w:p>
        </w:tc>
        <w:tc>
          <w:tcPr>
            <w:tcW w:w="4106" w:type="dxa"/>
          </w:tcPr>
          <w:p w14:paraId="3AB3C870">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3.1 口述评定内容</w:t>
            </w:r>
          </w:p>
          <w:p w14:paraId="1E1D334D">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（1）运动功能（8分）</w:t>
            </w:r>
          </w:p>
          <w:p w14:paraId="6145D6CE">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（2）感觉功能（6分）</w:t>
            </w:r>
          </w:p>
          <w:p w14:paraId="4F4E81C4">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（3）其他（6分）</w:t>
            </w:r>
          </w:p>
        </w:tc>
        <w:tc>
          <w:tcPr>
            <w:tcW w:w="550" w:type="dxa"/>
            <w:vAlign w:val="center"/>
          </w:tcPr>
          <w:p w14:paraId="11D50962">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20</w:t>
            </w:r>
          </w:p>
        </w:tc>
        <w:tc>
          <w:tcPr>
            <w:tcW w:w="675" w:type="dxa"/>
            <w:vAlign w:val="center"/>
          </w:tcPr>
          <w:p w14:paraId="34D5AB86">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15</w:t>
            </w:r>
          </w:p>
        </w:tc>
        <w:tc>
          <w:tcPr>
            <w:tcW w:w="550" w:type="dxa"/>
            <w:vAlign w:val="center"/>
          </w:tcPr>
          <w:p w14:paraId="042212FE">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10</w:t>
            </w:r>
          </w:p>
        </w:tc>
        <w:tc>
          <w:tcPr>
            <w:tcW w:w="625" w:type="dxa"/>
            <w:vAlign w:val="center"/>
          </w:tcPr>
          <w:p w14:paraId="2A3F4F8D">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5</w:t>
            </w:r>
          </w:p>
        </w:tc>
        <w:tc>
          <w:tcPr>
            <w:tcW w:w="518" w:type="dxa"/>
            <w:vAlign w:val="center"/>
          </w:tcPr>
          <w:p w14:paraId="59DB8D51">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0</w:t>
            </w:r>
          </w:p>
        </w:tc>
        <w:tc>
          <w:tcPr>
            <w:tcW w:w="565" w:type="dxa"/>
            <w:vAlign w:val="center"/>
          </w:tcPr>
          <w:p w14:paraId="56C94600">
            <w:pPr>
              <w:pStyle w:val="4"/>
              <w:widowControl/>
              <w:kinsoku/>
              <w:jc w:val="center"/>
              <w:rPr>
                <w:rFonts w:ascii="仿宋_GB2312" w:eastAsia="仿宋_GB2312" w:cs="Calibri"/>
                <w:color w:val="auto"/>
                <w:sz w:val="28"/>
                <w:szCs w:val="28"/>
                <w:lang w:eastAsia="zh-CN"/>
              </w:rPr>
            </w:pPr>
          </w:p>
        </w:tc>
      </w:tr>
      <w:tr w14:paraId="1668C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Merge w:val="continue"/>
            <w:vAlign w:val="center"/>
          </w:tcPr>
          <w:p w14:paraId="4D5F394E">
            <w:pPr>
              <w:pStyle w:val="4"/>
              <w:widowControl/>
              <w:kinsoku/>
              <w:jc w:val="center"/>
              <w:rPr>
                <w:rFonts w:ascii="仿宋_GB2312" w:eastAsia="仿宋_GB2312" w:cs="Calibri"/>
                <w:b/>
                <w:bCs/>
                <w:color w:val="auto"/>
                <w:sz w:val="28"/>
                <w:szCs w:val="28"/>
                <w:lang w:eastAsia="zh-CN"/>
              </w:rPr>
            </w:pPr>
          </w:p>
        </w:tc>
        <w:tc>
          <w:tcPr>
            <w:tcW w:w="1007" w:type="dxa"/>
            <w:vMerge w:val="continue"/>
            <w:vAlign w:val="center"/>
          </w:tcPr>
          <w:p w14:paraId="59263583">
            <w:pPr>
              <w:pStyle w:val="4"/>
              <w:widowControl/>
              <w:kinsoku/>
              <w:jc w:val="both"/>
              <w:rPr>
                <w:rFonts w:ascii="仿宋_GB2312" w:eastAsia="仿宋_GB2312" w:cs="Calibri"/>
                <w:color w:val="auto"/>
                <w:sz w:val="28"/>
                <w:szCs w:val="28"/>
                <w:lang w:eastAsia="zh-CN"/>
              </w:rPr>
            </w:pPr>
          </w:p>
        </w:tc>
        <w:tc>
          <w:tcPr>
            <w:tcW w:w="4106" w:type="dxa"/>
          </w:tcPr>
          <w:p w14:paraId="29DFBAB5">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3.2演示康复评定</w:t>
            </w:r>
          </w:p>
          <w:p w14:paraId="070A7C9C">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（1）评定内容的典型性和重要性（5分）</w:t>
            </w:r>
          </w:p>
          <w:p w14:paraId="385B31C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（2）评定方法的准确性和规范性（8分）</w:t>
            </w:r>
          </w:p>
          <w:p w14:paraId="1D90A516">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（3）评定过程的熟练性和流畅性（8分）</w:t>
            </w:r>
          </w:p>
          <w:p w14:paraId="511A0D04">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（4）评定结果的有效性和合理性（5分）</w:t>
            </w:r>
          </w:p>
        </w:tc>
        <w:tc>
          <w:tcPr>
            <w:tcW w:w="550" w:type="dxa"/>
            <w:vAlign w:val="center"/>
          </w:tcPr>
          <w:p w14:paraId="6F722BFD">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26</w:t>
            </w:r>
          </w:p>
        </w:tc>
        <w:tc>
          <w:tcPr>
            <w:tcW w:w="675" w:type="dxa"/>
            <w:vAlign w:val="center"/>
          </w:tcPr>
          <w:p w14:paraId="0A0E8B70">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20</w:t>
            </w:r>
          </w:p>
        </w:tc>
        <w:tc>
          <w:tcPr>
            <w:tcW w:w="550" w:type="dxa"/>
            <w:vAlign w:val="center"/>
          </w:tcPr>
          <w:p w14:paraId="6B080B58">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15</w:t>
            </w:r>
          </w:p>
        </w:tc>
        <w:tc>
          <w:tcPr>
            <w:tcW w:w="625" w:type="dxa"/>
            <w:vAlign w:val="center"/>
          </w:tcPr>
          <w:p w14:paraId="2EA82FFF">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10</w:t>
            </w:r>
          </w:p>
        </w:tc>
        <w:tc>
          <w:tcPr>
            <w:tcW w:w="518" w:type="dxa"/>
            <w:vAlign w:val="center"/>
          </w:tcPr>
          <w:p w14:paraId="05461B63">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5</w:t>
            </w:r>
          </w:p>
        </w:tc>
        <w:tc>
          <w:tcPr>
            <w:tcW w:w="565" w:type="dxa"/>
            <w:vAlign w:val="center"/>
          </w:tcPr>
          <w:p w14:paraId="6D955EF5">
            <w:pPr>
              <w:pStyle w:val="4"/>
              <w:widowControl/>
              <w:kinsoku/>
              <w:jc w:val="center"/>
              <w:rPr>
                <w:rFonts w:ascii="仿宋_GB2312" w:eastAsia="仿宋_GB2312" w:cs="Calibri"/>
                <w:color w:val="auto"/>
                <w:sz w:val="28"/>
                <w:szCs w:val="28"/>
                <w:lang w:eastAsia="zh-CN"/>
              </w:rPr>
            </w:pPr>
          </w:p>
        </w:tc>
      </w:tr>
      <w:tr w14:paraId="3106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Merge w:val="continue"/>
            <w:vAlign w:val="center"/>
          </w:tcPr>
          <w:p w14:paraId="4D9F6729">
            <w:pPr>
              <w:pStyle w:val="4"/>
              <w:widowControl/>
              <w:kinsoku/>
              <w:jc w:val="center"/>
              <w:rPr>
                <w:rFonts w:ascii="仿宋_GB2312" w:eastAsia="仿宋_GB2312" w:cs="Calibri"/>
                <w:b/>
                <w:bCs/>
                <w:color w:val="auto"/>
                <w:sz w:val="28"/>
                <w:szCs w:val="28"/>
                <w:lang w:eastAsia="zh-CN"/>
              </w:rPr>
            </w:pPr>
          </w:p>
        </w:tc>
        <w:tc>
          <w:tcPr>
            <w:tcW w:w="1007" w:type="dxa"/>
            <w:vMerge w:val="continue"/>
            <w:vAlign w:val="center"/>
          </w:tcPr>
          <w:p w14:paraId="77455F51">
            <w:pPr>
              <w:pStyle w:val="4"/>
              <w:widowControl/>
              <w:kinsoku/>
              <w:jc w:val="both"/>
              <w:rPr>
                <w:rFonts w:ascii="仿宋_GB2312" w:eastAsia="仿宋_GB2312" w:cs="Calibri"/>
                <w:color w:val="auto"/>
                <w:sz w:val="28"/>
                <w:szCs w:val="28"/>
                <w:lang w:eastAsia="zh-CN"/>
              </w:rPr>
            </w:pPr>
          </w:p>
        </w:tc>
        <w:tc>
          <w:tcPr>
            <w:tcW w:w="4106" w:type="dxa"/>
          </w:tcPr>
          <w:p w14:paraId="3B6694F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3.3 医患配合</w:t>
            </w:r>
          </w:p>
          <w:p w14:paraId="696CDEC1">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（1）医患沟通充分（2分）</w:t>
            </w:r>
          </w:p>
          <w:p w14:paraId="10AA7FF6">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（2）医患配合默契（2分）</w:t>
            </w:r>
          </w:p>
          <w:p w14:paraId="77FBBEC8">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（3）医患体位姿势恰当（2分）</w:t>
            </w:r>
          </w:p>
        </w:tc>
        <w:tc>
          <w:tcPr>
            <w:tcW w:w="550" w:type="dxa"/>
            <w:vAlign w:val="center"/>
          </w:tcPr>
          <w:p w14:paraId="0FD2E443">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6</w:t>
            </w:r>
          </w:p>
        </w:tc>
        <w:tc>
          <w:tcPr>
            <w:tcW w:w="675" w:type="dxa"/>
            <w:vAlign w:val="center"/>
          </w:tcPr>
          <w:p w14:paraId="288B9D82">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550" w:type="dxa"/>
            <w:vAlign w:val="center"/>
          </w:tcPr>
          <w:p w14:paraId="0F263C6D">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25" w:type="dxa"/>
            <w:vAlign w:val="center"/>
          </w:tcPr>
          <w:p w14:paraId="48E8DDEA">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518" w:type="dxa"/>
            <w:vAlign w:val="center"/>
          </w:tcPr>
          <w:p w14:paraId="28963C51">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565" w:type="dxa"/>
            <w:vAlign w:val="center"/>
          </w:tcPr>
          <w:p w14:paraId="2694AEE4">
            <w:pPr>
              <w:pStyle w:val="4"/>
              <w:widowControl/>
              <w:kinsoku/>
              <w:jc w:val="center"/>
              <w:rPr>
                <w:rFonts w:ascii="仿宋_GB2312" w:eastAsia="仿宋_GB2312" w:cs="Calibri"/>
                <w:color w:val="auto"/>
                <w:sz w:val="28"/>
                <w:szCs w:val="28"/>
                <w:lang w:eastAsia="zh-CN"/>
              </w:rPr>
            </w:pPr>
          </w:p>
        </w:tc>
      </w:tr>
      <w:tr w14:paraId="5075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Merge w:val="continue"/>
            <w:vAlign w:val="center"/>
          </w:tcPr>
          <w:p w14:paraId="56282DC0">
            <w:pPr>
              <w:pStyle w:val="4"/>
              <w:widowControl/>
              <w:kinsoku/>
              <w:jc w:val="center"/>
              <w:rPr>
                <w:rFonts w:ascii="仿宋_GB2312" w:eastAsia="仿宋_GB2312" w:cs="Calibri"/>
                <w:b/>
                <w:bCs/>
                <w:color w:val="auto"/>
                <w:sz w:val="28"/>
                <w:szCs w:val="28"/>
                <w:lang w:eastAsia="zh-CN"/>
              </w:rPr>
            </w:pPr>
          </w:p>
        </w:tc>
        <w:tc>
          <w:tcPr>
            <w:tcW w:w="1007" w:type="dxa"/>
            <w:vMerge w:val="continue"/>
            <w:vAlign w:val="center"/>
          </w:tcPr>
          <w:p w14:paraId="5E70028E">
            <w:pPr>
              <w:pStyle w:val="4"/>
              <w:widowControl/>
              <w:kinsoku/>
              <w:jc w:val="both"/>
              <w:rPr>
                <w:rFonts w:ascii="仿宋_GB2312" w:eastAsia="仿宋_GB2312" w:cs="Calibri"/>
                <w:color w:val="auto"/>
                <w:sz w:val="28"/>
                <w:szCs w:val="28"/>
                <w:lang w:eastAsia="zh-CN"/>
              </w:rPr>
            </w:pPr>
          </w:p>
        </w:tc>
        <w:tc>
          <w:tcPr>
            <w:tcW w:w="4106" w:type="dxa"/>
          </w:tcPr>
          <w:p w14:paraId="0A1ED955">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3.4物品设备处理</w:t>
            </w:r>
          </w:p>
          <w:p w14:paraId="5C8439E4">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（1）物品设备使用合理正确（2分）</w:t>
            </w:r>
          </w:p>
          <w:p w14:paraId="57ADB984">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（2）物品设备用后整理到位（2分）</w:t>
            </w:r>
          </w:p>
        </w:tc>
        <w:tc>
          <w:tcPr>
            <w:tcW w:w="550" w:type="dxa"/>
            <w:vAlign w:val="center"/>
          </w:tcPr>
          <w:p w14:paraId="3EB2E70D">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4</w:t>
            </w:r>
          </w:p>
        </w:tc>
        <w:tc>
          <w:tcPr>
            <w:tcW w:w="675" w:type="dxa"/>
            <w:vAlign w:val="center"/>
          </w:tcPr>
          <w:p w14:paraId="7056BF5A">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550" w:type="dxa"/>
            <w:vAlign w:val="center"/>
          </w:tcPr>
          <w:p w14:paraId="4AF7D389">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25" w:type="dxa"/>
            <w:vAlign w:val="center"/>
          </w:tcPr>
          <w:p w14:paraId="207B01B8">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518" w:type="dxa"/>
            <w:vAlign w:val="center"/>
          </w:tcPr>
          <w:p w14:paraId="29FDA63E">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565" w:type="dxa"/>
            <w:vAlign w:val="center"/>
          </w:tcPr>
          <w:p w14:paraId="02DF6D6C">
            <w:pPr>
              <w:pStyle w:val="4"/>
              <w:widowControl/>
              <w:kinsoku/>
              <w:jc w:val="center"/>
              <w:rPr>
                <w:rFonts w:ascii="仿宋_GB2312" w:eastAsia="仿宋_GB2312" w:cs="Calibri"/>
                <w:color w:val="auto"/>
                <w:sz w:val="28"/>
                <w:szCs w:val="28"/>
                <w:lang w:eastAsia="zh-CN"/>
              </w:rPr>
            </w:pPr>
          </w:p>
        </w:tc>
      </w:tr>
      <w:tr w14:paraId="610F8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7" w:type="dxa"/>
            <w:vMerge w:val="continue"/>
            <w:vAlign w:val="center"/>
          </w:tcPr>
          <w:p w14:paraId="44EFB41D">
            <w:pPr>
              <w:pStyle w:val="4"/>
              <w:widowControl/>
              <w:kinsoku/>
              <w:jc w:val="center"/>
              <w:rPr>
                <w:rFonts w:ascii="仿宋_GB2312" w:eastAsia="仿宋_GB2312" w:cs="Calibri"/>
                <w:b/>
                <w:bCs/>
                <w:color w:val="auto"/>
                <w:sz w:val="28"/>
                <w:szCs w:val="28"/>
                <w:lang w:eastAsia="zh-CN"/>
              </w:rPr>
            </w:pPr>
          </w:p>
        </w:tc>
        <w:tc>
          <w:tcPr>
            <w:tcW w:w="1007" w:type="dxa"/>
            <w:vMerge w:val="continue"/>
            <w:vAlign w:val="center"/>
          </w:tcPr>
          <w:p w14:paraId="3ADD890A">
            <w:pPr>
              <w:pStyle w:val="4"/>
              <w:widowControl/>
              <w:kinsoku/>
              <w:jc w:val="both"/>
              <w:rPr>
                <w:rFonts w:ascii="仿宋_GB2312" w:eastAsia="仿宋_GB2312" w:cs="Calibri"/>
                <w:color w:val="auto"/>
                <w:sz w:val="28"/>
                <w:szCs w:val="28"/>
                <w:lang w:eastAsia="zh-CN"/>
              </w:rPr>
            </w:pPr>
          </w:p>
        </w:tc>
        <w:tc>
          <w:tcPr>
            <w:tcW w:w="4106" w:type="dxa"/>
          </w:tcPr>
          <w:p w14:paraId="5FDF0991">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3.5总结问诊结果（4）</w:t>
            </w:r>
          </w:p>
        </w:tc>
        <w:tc>
          <w:tcPr>
            <w:tcW w:w="550" w:type="dxa"/>
            <w:vAlign w:val="center"/>
          </w:tcPr>
          <w:p w14:paraId="0A7EDDB7">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4</w:t>
            </w:r>
          </w:p>
        </w:tc>
        <w:tc>
          <w:tcPr>
            <w:tcW w:w="675" w:type="dxa"/>
            <w:vAlign w:val="center"/>
          </w:tcPr>
          <w:p w14:paraId="400C6762">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550" w:type="dxa"/>
            <w:vAlign w:val="center"/>
          </w:tcPr>
          <w:p w14:paraId="36E6F364">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25" w:type="dxa"/>
            <w:vAlign w:val="center"/>
          </w:tcPr>
          <w:p w14:paraId="55142688">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518" w:type="dxa"/>
            <w:vAlign w:val="center"/>
          </w:tcPr>
          <w:p w14:paraId="01171C22">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565" w:type="dxa"/>
            <w:vAlign w:val="center"/>
          </w:tcPr>
          <w:p w14:paraId="6E9EE6F7">
            <w:pPr>
              <w:pStyle w:val="4"/>
              <w:widowControl/>
              <w:kinsoku/>
              <w:jc w:val="center"/>
              <w:rPr>
                <w:rFonts w:ascii="仿宋_GB2312" w:eastAsia="仿宋_GB2312" w:cs="Calibri"/>
                <w:color w:val="auto"/>
                <w:sz w:val="28"/>
                <w:szCs w:val="28"/>
                <w:lang w:eastAsia="zh-CN"/>
              </w:rPr>
            </w:pPr>
          </w:p>
        </w:tc>
      </w:tr>
      <w:tr w14:paraId="36EBE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Align w:val="center"/>
          </w:tcPr>
          <w:p w14:paraId="2CE5A08B">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项目4</w:t>
            </w:r>
          </w:p>
        </w:tc>
        <w:tc>
          <w:tcPr>
            <w:tcW w:w="1007" w:type="dxa"/>
            <w:vAlign w:val="center"/>
          </w:tcPr>
          <w:p w14:paraId="004CC114">
            <w:pPr>
              <w:pStyle w:val="4"/>
              <w:widowControl/>
              <w:kinsoku/>
              <w:jc w:val="left"/>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观察</w:t>
            </w:r>
            <w:r>
              <w:rPr>
                <w:rFonts w:hint="eastAsia" w:ascii="仿宋_GB2312" w:eastAsia="仿宋_GB2312" w:cs="Calibri"/>
                <w:color w:val="auto"/>
                <w:sz w:val="24"/>
                <w:szCs w:val="24"/>
                <w:lang w:eastAsia="zh-CN"/>
              </w:rPr>
              <w:t>（10分）</w:t>
            </w:r>
          </w:p>
        </w:tc>
        <w:tc>
          <w:tcPr>
            <w:tcW w:w="4106" w:type="dxa"/>
          </w:tcPr>
          <w:p w14:paraId="1B97C1CF">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（1）病患反应（5分）</w:t>
            </w:r>
          </w:p>
          <w:p w14:paraId="27F2D5C1">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（2）病患感受（5分）</w:t>
            </w:r>
          </w:p>
        </w:tc>
        <w:tc>
          <w:tcPr>
            <w:tcW w:w="550" w:type="dxa"/>
            <w:vAlign w:val="center"/>
          </w:tcPr>
          <w:p w14:paraId="29FF0DC7">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10</w:t>
            </w:r>
          </w:p>
        </w:tc>
        <w:tc>
          <w:tcPr>
            <w:tcW w:w="675" w:type="dxa"/>
            <w:vAlign w:val="center"/>
          </w:tcPr>
          <w:p w14:paraId="38C05BC4">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8</w:t>
            </w:r>
          </w:p>
        </w:tc>
        <w:tc>
          <w:tcPr>
            <w:tcW w:w="550" w:type="dxa"/>
            <w:vAlign w:val="center"/>
          </w:tcPr>
          <w:p w14:paraId="468D4B30">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6</w:t>
            </w:r>
          </w:p>
        </w:tc>
        <w:tc>
          <w:tcPr>
            <w:tcW w:w="625" w:type="dxa"/>
            <w:vAlign w:val="center"/>
          </w:tcPr>
          <w:p w14:paraId="358A5A3D">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4</w:t>
            </w:r>
          </w:p>
        </w:tc>
        <w:tc>
          <w:tcPr>
            <w:tcW w:w="518" w:type="dxa"/>
            <w:vAlign w:val="center"/>
          </w:tcPr>
          <w:p w14:paraId="17B49BEC">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565" w:type="dxa"/>
            <w:vAlign w:val="center"/>
          </w:tcPr>
          <w:p w14:paraId="06CE6456">
            <w:pPr>
              <w:pStyle w:val="4"/>
              <w:widowControl/>
              <w:kinsoku/>
              <w:jc w:val="center"/>
              <w:rPr>
                <w:rFonts w:ascii="仿宋_GB2312" w:eastAsia="仿宋_GB2312" w:cs="Calibri"/>
                <w:color w:val="auto"/>
                <w:sz w:val="28"/>
                <w:szCs w:val="28"/>
                <w:lang w:eastAsia="zh-CN"/>
              </w:rPr>
            </w:pPr>
          </w:p>
        </w:tc>
      </w:tr>
      <w:tr w14:paraId="6CD0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gridSpan w:val="2"/>
            <w:vAlign w:val="center"/>
          </w:tcPr>
          <w:p w14:paraId="1250B543">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注意事项</w:t>
            </w:r>
          </w:p>
          <w:p w14:paraId="3D4687CF">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（10分）</w:t>
            </w:r>
          </w:p>
        </w:tc>
        <w:tc>
          <w:tcPr>
            <w:tcW w:w="4106" w:type="dxa"/>
          </w:tcPr>
          <w:p w14:paraId="55D4DA14">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（1）操作过程中保护关爱病患（2分）没有保护意识不得分</w:t>
            </w:r>
          </w:p>
          <w:p w14:paraId="61BF0ED9">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（2）适当的协助（1分）</w:t>
            </w:r>
          </w:p>
          <w:p w14:paraId="79A99603">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（3）尊重理解病患，鼓励病患及家属主动参与配合（1分）</w:t>
            </w:r>
          </w:p>
          <w:p w14:paraId="79ECE29A">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（4）操作熟练、准确、无重复多余的动作（6分）</w:t>
            </w:r>
          </w:p>
        </w:tc>
        <w:tc>
          <w:tcPr>
            <w:tcW w:w="550" w:type="dxa"/>
            <w:vAlign w:val="center"/>
          </w:tcPr>
          <w:p w14:paraId="0FBE3558">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10</w:t>
            </w:r>
          </w:p>
        </w:tc>
        <w:tc>
          <w:tcPr>
            <w:tcW w:w="675" w:type="dxa"/>
            <w:vAlign w:val="center"/>
          </w:tcPr>
          <w:p w14:paraId="0F112D24">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8</w:t>
            </w:r>
          </w:p>
        </w:tc>
        <w:tc>
          <w:tcPr>
            <w:tcW w:w="550" w:type="dxa"/>
            <w:vAlign w:val="center"/>
          </w:tcPr>
          <w:p w14:paraId="20FD6C16">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6</w:t>
            </w:r>
          </w:p>
        </w:tc>
        <w:tc>
          <w:tcPr>
            <w:tcW w:w="625" w:type="dxa"/>
            <w:vAlign w:val="center"/>
          </w:tcPr>
          <w:p w14:paraId="35284FB3">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4</w:t>
            </w:r>
          </w:p>
        </w:tc>
        <w:tc>
          <w:tcPr>
            <w:tcW w:w="518" w:type="dxa"/>
            <w:vAlign w:val="center"/>
          </w:tcPr>
          <w:p w14:paraId="66865958">
            <w:pPr>
              <w:pStyle w:val="4"/>
              <w:keepNext w:val="0"/>
              <w:keepLines w:val="0"/>
              <w:pageBreakBefore w:val="0"/>
              <w:widowControl/>
              <w:kinsoku/>
              <w:wordWrap/>
              <w:overflowPunct/>
              <w:topLinePunct w:val="0"/>
              <w:autoSpaceDE w:val="0"/>
              <w:autoSpaceDN w:val="0"/>
              <w:bidi w:val="0"/>
              <w:adjustRightInd w:val="0"/>
              <w:snapToGrid w:val="0"/>
              <w:spacing w:line="240" w:lineRule="atLeast"/>
              <w:jc w:val="center"/>
              <w:textAlignment w:val="baseline"/>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565" w:type="dxa"/>
            <w:vAlign w:val="center"/>
          </w:tcPr>
          <w:p w14:paraId="4B1E8492">
            <w:pPr>
              <w:pStyle w:val="4"/>
              <w:widowControl/>
              <w:kinsoku/>
              <w:jc w:val="center"/>
              <w:rPr>
                <w:rFonts w:ascii="仿宋_GB2312" w:eastAsia="仿宋_GB2312" w:cs="Calibri"/>
                <w:color w:val="auto"/>
                <w:sz w:val="28"/>
                <w:szCs w:val="28"/>
                <w:lang w:eastAsia="zh-CN"/>
              </w:rPr>
            </w:pPr>
          </w:p>
        </w:tc>
      </w:tr>
      <w:tr w14:paraId="3884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gridSpan w:val="2"/>
            <w:vAlign w:val="center"/>
          </w:tcPr>
          <w:p w14:paraId="1EBD494C">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合计</w:t>
            </w:r>
          </w:p>
        </w:tc>
        <w:tc>
          <w:tcPr>
            <w:tcW w:w="4106" w:type="dxa"/>
            <w:vAlign w:val="center"/>
          </w:tcPr>
          <w:p w14:paraId="5EB1B3E9">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100分</w:t>
            </w:r>
          </w:p>
        </w:tc>
        <w:tc>
          <w:tcPr>
            <w:tcW w:w="2918" w:type="dxa"/>
            <w:gridSpan w:val="5"/>
            <w:vAlign w:val="center"/>
          </w:tcPr>
          <w:p w14:paraId="624FE089">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实际得分</w:t>
            </w:r>
          </w:p>
        </w:tc>
        <w:tc>
          <w:tcPr>
            <w:tcW w:w="565" w:type="dxa"/>
            <w:vAlign w:val="center"/>
          </w:tcPr>
          <w:p w14:paraId="2D65E161">
            <w:pPr>
              <w:pStyle w:val="4"/>
              <w:widowControl/>
              <w:kinsoku/>
              <w:jc w:val="both"/>
              <w:rPr>
                <w:rFonts w:ascii="仿宋_GB2312" w:eastAsia="仿宋_GB2312" w:cs="Calibri"/>
                <w:color w:val="auto"/>
                <w:sz w:val="28"/>
                <w:szCs w:val="28"/>
                <w:lang w:eastAsia="zh-CN"/>
              </w:rPr>
            </w:pPr>
          </w:p>
        </w:tc>
      </w:tr>
    </w:tbl>
    <w:p w14:paraId="3EAD1E00">
      <w:pPr>
        <w:pStyle w:val="4"/>
        <w:kinsoku/>
        <w:spacing w:line="240" w:lineRule="auto"/>
        <w:ind w:firstLine="640" w:firstLineChars="200"/>
        <w:jc w:val="both"/>
        <w:rPr>
          <w:rFonts w:ascii="仿宋_GB2312" w:eastAsia="仿宋_GB2312" w:cs="Calibri"/>
          <w:color w:val="auto"/>
          <w:sz w:val="32"/>
          <w:szCs w:val="32"/>
          <w:lang w:eastAsia="zh-CN"/>
        </w:rPr>
      </w:pPr>
    </w:p>
    <w:p w14:paraId="1264B9A0">
      <w:pPr>
        <w:pStyle w:val="4"/>
        <w:kinsoku/>
        <w:spacing w:line="360" w:lineRule="auto"/>
        <w:ind w:firstLine="643" w:firstLineChars="200"/>
        <w:jc w:val="both"/>
        <w:rPr>
          <w:rFonts w:ascii="仿宋_GB2312" w:eastAsia="仿宋_GB2312" w:cs="Calibri"/>
          <w:b/>
          <w:bCs/>
          <w:color w:val="auto"/>
          <w:sz w:val="32"/>
          <w:szCs w:val="32"/>
          <w:lang w:eastAsia="zh-CN"/>
        </w:rPr>
      </w:pPr>
      <w:r>
        <w:rPr>
          <w:rFonts w:hint="eastAsia" w:ascii="仿宋_GB2312" w:eastAsia="仿宋_GB2312" w:cs="Calibri"/>
          <w:b/>
          <w:bCs/>
          <w:color w:val="auto"/>
          <w:sz w:val="32"/>
          <w:szCs w:val="32"/>
          <w:lang w:eastAsia="zh-CN"/>
        </w:rPr>
        <w:t>3.治疗（100分）</w:t>
      </w:r>
    </w:p>
    <w:p w14:paraId="3D31D783">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标准:学生需要表现出良好的专业行为和很好的交流沟通技巧，能意识到进行操作时自身所处的姿势和患者的体位，选择当的操作技术解决患者的问题，并提出有针对性的问题。希望能够执行对患者安全有效的操作技术，同时包括对患者进行教育</w:t>
      </w:r>
      <w:r>
        <w:rPr>
          <w:rFonts w:hint="eastAsia" w:ascii="仿宋_GB2312" w:eastAsia="仿宋_GB2312" w:cs="Calibri"/>
          <w:color w:val="auto"/>
          <w:sz w:val="32"/>
          <w:szCs w:val="32"/>
          <w:lang w:eastAsia="zh-CN"/>
        </w:rPr>
        <w:t>。</w:t>
      </w:r>
    </w:p>
    <w:tbl>
      <w:tblPr>
        <w:tblStyle w:val="13"/>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1007"/>
        <w:gridCol w:w="4156"/>
        <w:gridCol w:w="613"/>
        <w:gridCol w:w="612"/>
        <w:gridCol w:w="563"/>
        <w:gridCol w:w="600"/>
        <w:gridCol w:w="600"/>
        <w:gridCol w:w="445"/>
      </w:tblGrid>
      <w:tr w14:paraId="77D2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957" w:type="dxa"/>
            <w:vMerge w:val="restart"/>
            <w:vAlign w:val="center"/>
          </w:tcPr>
          <w:p w14:paraId="3C2592C2">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项目</w:t>
            </w:r>
          </w:p>
        </w:tc>
        <w:tc>
          <w:tcPr>
            <w:tcW w:w="1007" w:type="dxa"/>
            <w:vMerge w:val="restart"/>
            <w:vAlign w:val="center"/>
          </w:tcPr>
          <w:p w14:paraId="087BF1F9">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工作</w:t>
            </w:r>
          </w:p>
        </w:tc>
        <w:tc>
          <w:tcPr>
            <w:tcW w:w="4156" w:type="dxa"/>
            <w:vMerge w:val="restart"/>
            <w:vAlign w:val="center"/>
          </w:tcPr>
          <w:p w14:paraId="15FE9A9A">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技术操作要求</w:t>
            </w:r>
          </w:p>
        </w:tc>
        <w:tc>
          <w:tcPr>
            <w:tcW w:w="2988" w:type="dxa"/>
            <w:gridSpan w:val="5"/>
            <w:vAlign w:val="center"/>
          </w:tcPr>
          <w:p w14:paraId="637DC1D0">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评分标准</w:t>
            </w:r>
          </w:p>
        </w:tc>
        <w:tc>
          <w:tcPr>
            <w:tcW w:w="445" w:type="dxa"/>
            <w:vMerge w:val="restart"/>
            <w:vAlign w:val="center"/>
          </w:tcPr>
          <w:p w14:paraId="6A81276B">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得分</w:t>
            </w:r>
          </w:p>
        </w:tc>
      </w:tr>
      <w:tr w14:paraId="738D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57" w:type="dxa"/>
            <w:vMerge w:val="continue"/>
            <w:vAlign w:val="center"/>
          </w:tcPr>
          <w:p w14:paraId="55E5516B">
            <w:pPr>
              <w:pStyle w:val="4"/>
              <w:widowControl/>
              <w:kinsoku/>
              <w:jc w:val="center"/>
              <w:rPr>
                <w:sz w:val="20"/>
                <w:szCs w:val="20"/>
              </w:rPr>
            </w:pPr>
          </w:p>
        </w:tc>
        <w:tc>
          <w:tcPr>
            <w:tcW w:w="1007" w:type="dxa"/>
            <w:vMerge w:val="continue"/>
            <w:vAlign w:val="center"/>
          </w:tcPr>
          <w:p w14:paraId="59715D32">
            <w:pPr>
              <w:pStyle w:val="4"/>
              <w:widowControl/>
              <w:kinsoku/>
              <w:jc w:val="center"/>
              <w:rPr>
                <w:sz w:val="20"/>
                <w:szCs w:val="20"/>
              </w:rPr>
            </w:pPr>
          </w:p>
        </w:tc>
        <w:tc>
          <w:tcPr>
            <w:tcW w:w="4156" w:type="dxa"/>
            <w:vMerge w:val="continue"/>
            <w:vAlign w:val="center"/>
          </w:tcPr>
          <w:p w14:paraId="6D113382">
            <w:pPr>
              <w:pStyle w:val="4"/>
              <w:widowControl/>
              <w:kinsoku/>
              <w:jc w:val="center"/>
              <w:rPr>
                <w:sz w:val="20"/>
                <w:szCs w:val="20"/>
              </w:rPr>
            </w:pPr>
          </w:p>
        </w:tc>
        <w:tc>
          <w:tcPr>
            <w:tcW w:w="613" w:type="dxa"/>
            <w:vAlign w:val="center"/>
          </w:tcPr>
          <w:p w14:paraId="47F1F517">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A</w:t>
            </w:r>
          </w:p>
        </w:tc>
        <w:tc>
          <w:tcPr>
            <w:tcW w:w="612" w:type="dxa"/>
            <w:vAlign w:val="center"/>
          </w:tcPr>
          <w:p w14:paraId="28545EBB">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B</w:t>
            </w:r>
          </w:p>
        </w:tc>
        <w:tc>
          <w:tcPr>
            <w:tcW w:w="563" w:type="dxa"/>
            <w:vAlign w:val="center"/>
          </w:tcPr>
          <w:p w14:paraId="47C2EA93">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C</w:t>
            </w:r>
          </w:p>
        </w:tc>
        <w:tc>
          <w:tcPr>
            <w:tcW w:w="600" w:type="dxa"/>
            <w:vAlign w:val="center"/>
          </w:tcPr>
          <w:p w14:paraId="1BADDD8D">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D</w:t>
            </w:r>
          </w:p>
        </w:tc>
        <w:tc>
          <w:tcPr>
            <w:tcW w:w="600" w:type="dxa"/>
            <w:vAlign w:val="center"/>
          </w:tcPr>
          <w:p w14:paraId="78191D05">
            <w:pPr>
              <w:pStyle w:val="4"/>
              <w:widowControl/>
              <w:kinsoku/>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E</w:t>
            </w:r>
          </w:p>
        </w:tc>
        <w:tc>
          <w:tcPr>
            <w:tcW w:w="445" w:type="dxa"/>
            <w:vMerge w:val="continue"/>
            <w:vAlign w:val="center"/>
          </w:tcPr>
          <w:p w14:paraId="767B4EDC">
            <w:pPr>
              <w:pStyle w:val="4"/>
              <w:widowControl/>
              <w:kinsoku/>
              <w:jc w:val="center"/>
              <w:rPr>
                <w:rFonts w:ascii="仿宋_GB2312" w:eastAsia="仿宋_GB2312" w:cs="Calibri"/>
                <w:color w:val="auto"/>
                <w:sz w:val="28"/>
                <w:szCs w:val="28"/>
                <w:lang w:eastAsia="zh-CN"/>
              </w:rPr>
            </w:pPr>
          </w:p>
        </w:tc>
      </w:tr>
      <w:tr w14:paraId="141C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7" w:type="dxa"/>
            <w:vMerge w:val="restart"/>
            <w:vAlign w:val="center"/>
          </w:tcPr>
          <w:p w14:paraId="0EBBB638">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项目1</w:t>
            </w:r>
          </w:p>
        </w:tc>
        <w:tc>
          <w:tcPr>
            <w:tcW w:w="1007" w:type="dxa"/>
            <w:vMerge w:val="restart"/>
            <w:vAlign w:val="center"/>
          </w:tcPr>
          <w:p w14:paraId="524A4A59">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准备</w:t>
            </w:r>
          </w:p>
          <w:p w14:paraId="07132788">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（10分）</w:t>
            </w:r>
          </w:p>
        </w:tc>
        <w:tc>
          <w:tcPr>
            <w:tcW w:w="4156" w:type="dxa"/>
            <w:vAlign w:val="center"/>
          </w:tcPr>
          <w:p w14:paraId="04E02ECD">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1.1 治疗师准备</w:t>
            </w:r>
          </w:p>
          <w:p w14:paraId="27703043">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（1）衣着整洁，修饰得体（1分）</w:t>
            </w:r>
          </w:p>
          <w:p w14:paraId="15F84040">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（2）指甲修剪符合操作要求（1分）</w:t>
            </w:r>
          </w:p>
          <w:p w14:paraId="6FC59CC8">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（3）洗净双手，消毒（1分）</w:t>
            </w:r>
          </w:p>
        </w:tc>
        <w:tc>
          <w:tcPr>
            <w:tcW w:w="613" w:type="dxa"/>
            <w:vAlign w:val="center"/>
          </w:tcPr>
          <w:p w14:paraId="0B1C9414">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612" w:type="dxa"/>
            <w:vAlign w:val="center"/>
          </w:tcPr>
          <w:p w14:paraId="62697AA3">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2.5</w:t>
            </w:r>
          </w:p>
        </w:tc>
        <w:tc>
          <w:tcPr>
            <w:tcW w:w="563" w:type="dxa"/>
            <w:vAlign w:val="center"/>
          </w:tcPr>
          <w:p w14:paraId="0392A1F9">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00" w:type="dxa"/>
            <w:vAlign w:val="center"/>
          </w:tcPr>
          <w:p w14:paraId="2B5C905F">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1.5</w:t>
            </w:r>
          </w:p>
        </w:tc>
        <w:tc>
          <w:tcPr>
            <w:tcW w:w="600" w:type="dxa"/>
            <w:vAlign w:val="center"/>
          </w:tcPr>
          <w:p w14:paraId="191B47DC">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445" w:type="dxa"/>
            <w:vMerge w:val="restart"/>
            <w:vAlign w:val="center"/>
          </w:tcPr>
          <w:p w14:paraId="46A07101">
            <w:pPr>
              <w:pStyle w:val="4"/>
              <w:widowControl/>
              <w:kinsoku/>
              <w:jc w:val="center"/>
              <w:rPr>
                <w:rFonts w:ascii="仿宋_GB2312" w:eastAsia="仿宋_GB2312" w:cs="Calibri"/>
                <w:color w:val="auto"/>
                <w:sz w:val="28"/>
                <w:szCs w:val="28"/>
                <w:lang w:eastAsia="zh-CN"/>
              </w:rPr>
            </w:pPr>
          </w:p>
        </w:tc>
      </w:tr>
      <w:tr w14:paraId="48BC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57" w:type="dxa"/>
            <w:vMerge w:val="continue"/>
            <w:vAlign w:val="center"/>
          </w:tcPr>
          <w:p w14:paraId="118708D6">
            <w:pPr>
              <w:pStyle w:val="4"/>
              <w:widowControl/>
              <w:kinsoku/>
              <w:jc w:val="center"/>
              <w:rPr>
                <w:sz w:val="20"/>
                <w:szCs w:val="20"/>
              </w:rPr>
            </w:pPr>
          </w:p>
        </w:tc>
        <w:tc>
          <w:tcPr>
            <w:tcW w:w="1007" w:type="dxa"/>
            <w:vMerge w:val="continue"/>
            <w:vAlign w:val="center"/>
          </w:tcPr>
          <w:p w14:paraId="046AACFF">
            <w:pPr>
              <w:pStyle w:val="4"/>
              <w:widowControl/>
              <w:kinsoku/>
              <w:jc w:val="center"/>
              <w:rPr>
                <w:sz w:val="20"/>
                <w:szCs w:val="20"/>
              </w:rPr>
            </w:pPr>
          </w:p>
        </w:tc>
        <w:tc>
          <w:tcPr>
            <w:tcW w:w="4156" w:type="dxa"/>
            <w:vAlign w:val="center"/>
          </w:tcPr>
          <w:p w14:paraId="0B7B6F68">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1.2患者准备</w:t>
            </w:r>
          </w:p>
          <w:p w14:paraId="196DA82C">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（1）患者体位放置合适（2分）</w:t>
            </w:r>
          </w:p>
          <w:p w14:paraId="1ED96D17">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（2）患者衣物暴露合适（1分）</w:t>
            </w:r>
          </w:p>
        </w:tc>
        <w:tc>
          <w:tcPr>
            <w:tcW w:w="613" w:type="dxa"/>
            <w:vAlign w:val="center"/>
          </w:tcPr>
          <w:p w14:paraId="163ABB50">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612" w:type="dxa"/>
            <w:vAlign w:val="center"/>
          </w:tcPr>
          <w:p w14:paraId="6630A921">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2.5</w:t>
            </w:r>
          </w:p>
        </w:tc>
        <w:tc>
          <w:tcPr>
            <w:tcW w:w="563" w:type="dxa"/>
            <w:vAlign w:val="center"/>
          </w:tcPr>
          <w:p w14:paraId="73D53240">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00" w:type="dxa"/>
            <w:vAlign w:val="center"/>
          </w:tcPr>
          <w:p w14:paraId="54F5A43B">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1.5</w:t>
            </w:r>
          </w:p>
        </w:tc>
        <w:tc>
          <w:tcPr>
            <w:tcW w:w="600" w:type="dxa"/>
            <w:vAlign w:val="center"/>
          </w:tcPr>
          <w:p w14:paraId="6EAA4352">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445" w:type="dxa"/>
            <w:vMerge w:val="continue"/>
            <w:vAlign w:val="center"/>
          </w:tcPr>
          <w:p w14:paraId="14E5A378">
            <w:pPr>
              <w:pStyle w:val="4"/>
              <w:widowControl/>
              <w:kinsoku/>
              <w:jc w:val="center"/>
              <w:rPr>
                <w:rFonts w:ascii="仿宋_GB2312" w:eastAsia="仿宋_GB2312" w:cs="Calibri"/>
                <w:color w:val="auto"/>
                <w:sz w:val="28"/>
                <w:szCs w:val="28"/>
                <w:lang w:eastAsia="zh-CN"/>
              </w:rPr>
            </w:pPr>
          </w:p>
        </w:tc>
      </w:tr>
      <w:tr w14:paraId="78790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957" w:type="dxa"/>
            <w:vMerge w:val="continue"/>
            <w:vAlign w:val="center"/>
          </w:tcPr>
          <w:p w14:paraId="109120B3">
            <w:pPr>
              <w:pStyle w:val="4"/>
              <w:widowControl/>
              <w:kinsoku/>
              <w:jc w:val="center"/>
              <w:rPr>
                <w:sz w:val="20"/>
                <w:szCs w:val="20"/>
              </w:rPr>
            </w:pPr>
          </w:p>
        </w:tc>
        <w:tc>
          <w:tcPr>
            <w:tcW w:w="1007" w:type="dxa"/>
            <w:vMerge w:val="continue"/>
            <w:vAlign w:val="center"/>
          </w:tcPr>
          <w:p w14:paraId="2AA02741">
            <w:pPr>
              <w:pStyle w:val="4"/>
              <w:widowControl/>
              <w:kinsoku/>
              <w:jc w:val="center"/>
              <w:rPr>
                <w:sz w:val="20"/>
                <w:szCs w:val="20"/>
              </w:rPr>
            </w:pPr>
          </w:p>
        </w:tc>
        <w:tc>
          <w:tcPr>
            <w:tcW w:w="4156" w:type="dxa"/>
            <w:vAlign w:val="center"/>
          </w:tcPr>
          <w:p w14:paraId="5D0EB33E">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1.3物品准备</w:t>
            </w:r>
          </w:p>
          <w:p w14:paraId="17FF281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（1）评定床凳的高低合适（2分）</w:t>
            </w:r>
          </w:p>
          <w:p w14:paraId="32B0E626">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（2）评定设备选取合理（2分）</w:t>
            </w:r>
          </w:p>
        </w:tc>
        <w:tc>
          <w:tcPr>
            <w:tcW w:w="613" w:type="dxa"/>
            <w:vAlign w:val="center"/>
          </w:tcPr>
          <w:p w14:paraId="477A0EB4">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4</w:t>
            </w:r>
          </w:p>
        </w:tc>
        <w:tc>
          <w:tcPr>
            <w:tcW w:w="612" w:type="dxa"/>
            <w:vAlign w:val="center"/>
          </w:tcPr>
          <w:p w14:paraId="3092F37F">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563" w:type="dxa"/>
            <w:vAlign w:val="center"/>
          </w:tcPr>
          <w:p w14:paraId="10941C64">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00" w:type="dxa"/>
            <w:vAlign w:val="center"/>
          </w:tcPr>
          <w:p w14:paraId="1D11E639">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600" w:type="dxa"/>
            <w:vAlign w:val="center"/>
          </w:tcPr>
          <w:p w14:paraId="52B9CD88">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445" w:type="dxa"/>
            <w:vAlign w:val="center"/>
          </w:tcPr>
          <w:p w14:paraId="3D0EB66B">
            <w:pPr>
              <w:pStyle w:val="4"/>
              <w:widowControl/>
              <w:kinsoku/>
              <w:jc w:val="center"/>
              <w:rPr>
                <w:rFonts w:ascii="仿宋_GB2312" w:eastAsia="仿宋_GB2312" w:cs="Calibri"/>
                <w:color w:val="auto"/>
                <w:sz w:val="28"/>
                <w:szCs w:val="28"/>
                <w:lang w:eastAsia="zh-CN"/>
              </w:rPr>
            </w:pPr>
          </w:p>
        </w:tc>
      </w:tr>
      <w:tr w14:paraId="4038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jc w:val="center"/>
        </w:trPr>
        <w:tc>
          <w:tcPr>
            <w:tcW w:w="957" w:type="dxa"/>
            <w:vMerge w:val="restart"/>
            <w:vAlign w:val="center"/>
          </w:tcPr>
          <w:p w14:paraId="556D942B">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项目2</w:t>
            </w:r>
          </w:p>
        </w:tc>
        <w:tc>
          <w:tcPr>
            <w:tcW w:w="1007" w:type="dxa"/>
            <w:vMerge w:val="restart"/>
            <w:vAlign w:val="center"/>
          </w:tcPr>
          <w:p w14:paraId="67DA0EDC">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沟通（10分）</w:t>
            </w:r>
          </w:p>
        </w:tc>
        <w:tc>
          <w:tcPr>
            <w:tcW w:w="4156" w:type="dxa"/>
            <w:vAlign w:val="center"/>
          </w:tcPr>
          <w:p w14:paraId="3378F493">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2.1判断：</w:t>
            </w:r>
          </w:p>
          <w:p w14:paraId="424B7F66">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（1）判断病患意识（1分）</w:t>
            </w:r>
          </w:p>
          <w:p w14:paraId="65633748">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（2）判断患者语言表达能力（1分）</w:t>
            </w:r>
          </w:p>
        </w:tc>
        <w:tc>
          <w:tcPr>
            <w:tcW w:w="613" w:type="dxa"/>
            <w:vAlign w:val="center"/>
          </w:tcPr>
          <w:p w14:paraId="2A4CAD15">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12" w:type="dxa"/>
            <w:vAlign w:val="center"/>
          </w:tcPr>
          <w:p w14:paraId="5A98D5FE">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1.5</w:t>
            </w:r>
          </w:p>
        </w:tc>
        <w:tc>
          <w:tcPr>
            <w:tcW w:w="563" w:type="dxa"/>
            <w:vAlign w:val="center"/>
          </w:tcPr>
          <w:p w14:paraId="34566989">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600" w:type="dxa"/>
            <w:vAlign w:val="center"/>
          </w:tcPr>
          <w:p w14:paraId="721B74B3">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0.5</w:t>
            </w:r>
          </w:p>
        </w:tc>
        <w:tc>
          <w:tcPr>
            <w:tcW w:w="600" w:type="dxa"/>
            <w:vAlign w:val="center"/>
          </w:tcPr>
          <w:p w14:paraId="2258DF41">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445" w:type="dxa"/>
            <w:vAlign w:val="center"/>
          </w:tcPr>
          <w:p w14:paraId="46798D91">
            <w:pPr>
              <w:pStyle w:val="4"/>
              <w:widowControl/>
              <w:kinsoku/>
              <w:jc w:val="center"/>
              <w:rPr>
                <w:rFonts w:ascii="仿宋_GB2312" w:eastAsia="仿宋_GB2312" w:cs="Calibri"/>
                <w:color w:val="auto"/>
                <w:sz w:val="28"/>
                <w:szCs w:val="28"/>
                <w:lang w:eastAsia="zh-CN"/>
              </w:rPr>
            </w:pPr>
          </w:p>
        </w:tc>
      </w:tr>
      <w:tr w14:paraId="5F6D0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957" w:type="dxa"/>
            <w:vMerge w:val="continue"/>
            <w:vAlign w:val="center"/>
          </w:tcPr>
          <w:p w14:paraId="5B9350C2">
            <w:pPr>
              <w:pStyle w:val="4"/>
              <w:widowControl/>
              <w:kinsoku/>
              <w:jc w:val="center"/>
              <w:rPr>
                <w:rFonts w:ascii="仿宋_GB2312" w:eastAsia="仿宋_GB2312" w:cs="Calibri"/>
                <w:color w:val="auto"/>
                <w:sz w:val="28"/>
                <w:szCs w:val="28"/>
                <w:lang w:eastAsia="zh-CN"/>
              </w:rPr>
            </w:pPr>
          </w:p>
        </w:tc>
        <w:tc>
          <w:tcPr>
            <w:tcW w:w="1007" w:type="dxa"/>
            <w:vMerge w:val="continue"/>
            <w:vAlign w:val="center"/>
          </w:tcPr>
          <w:p w14:paraId="3D8DFCFE">
            <w:pPr>
              <w:pStyle w:val="4"/>
              <w:widowControl/>
              <w:kinsoku/>
              <w:jc w:val="center"/>
              <w:rPr>
                <w:rFonts w:ascii="仿宋_GB2312" w:eastAsia="仿宋_GB2312" w:cs="Calibri"/>
                <w:color w:val="auto"/>
                <w:sz w:val="28"/>
                <w:szCs w:val="28"/>
                <w:lang w:eastAsia="zh-CN"/>
              </w:rPr>
            </w:pPr>
          </w:p>
        </w:tc>
        <w:tc>
          <w:tcPr>
            <w:tcW w:w="4156" w:type="dxa"/>
            <w:vAlign w:val="center"/>
          </w:tcPr>
          <w:p w14:paraId="0B2F5FF0">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2.2询问：</w:t>
            </w:r>
          </w:p>
          <w:p w14:paraId="33802E7D">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（1）是否愿意配合（1分）</w:t>
            </w:r>
          </w:p>
          <w:p w14:paraId="5784430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（2）治疗前有无其他需要（1分）</w:t>
            </w:r>
          </w:p>
          <w:p w14:paraId="080B7627">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（3）是否有无其他不适（1分）</w:t>
            </w:r>
          </w:p>
        </w:tc>
        <w:tc>
          <w:tcPr>
            <w:tcW w:w="613" w:type="dxa"/>
            <w:vAlign w:val="center"/>
          </w:tcPr>
          <w:p w14:paraId="3AC06227">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612" w:type="dxa"/>
            <w:vAlign w:val="center"/>
          </w:tcPr>
          <w:p w14:paraId="01823D8D">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2.5</w:t>
            </w:r>
          </w:p>
        </w:tc>
        <w:tc>
          <w:tcPr>
            <w:tcW w:w="563" w:type="dxa"/>
            <w:vAlign w:val="center"/>
          </w:tcPr>
          <w:p w14:paraId="7C7FF35B">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00" w:type="dxa"/>
            <w:vAlign w:val="center"/>
          </w:tcPr>
          <w:p w14:paraId="53A7DF8C">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1.5</w:t>
            </w:r>
          </w:p>
        </w:tc>
        <w:tc>
          <w:tcPr>
            <w:tcW w:w="600" w:type="dxa"/>
            <w:vAlign w:val="center"/>
          </w:tcPr>
          <w:p w14:paraId="6A37DC0B">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445" w:type="dxa"/>
            <w:vAlign w:val="center"/>
          </w:tcPr>
          <w:p w14:paraId="7C017832">
            <w:pPr>
              <w:pStyle w:val="4"/>
              <w:widowControl/>
              <w:kinsoku/>
              <w:jc w:val="center"/>
              <w:rPr>
                <w:rFonts w:ascii="仿宋_GB2312" w:eastAsia="仿宋_GB2312" w:cs="Calibri"/>
                <w:color w:val="auto"/>
                <w:sz w:val="28"/>
                <w:szCs w:val="28"/>
                <w:lang w:eastAsia="zh-CN"/>
              </w:rPr>
            </w:pPr>
          </w:p>
        </w:tc>
      </w:tr>
      <w:tr w14:paraId="6F78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957" w:type="dxa"/>
            <w:vMerge w:val="continue"/>
            <w:vAlign w:val="center"/>
          </w:tcPr>
          <w:p w14:paraId="759B75EE">
            <w:pPr>
              <w:pStyle w:val="4"/>
              <w:widowControl/>
              <w:kinsoku/>
              <w:jc w:val="center"/>
              <w:rPr>
                <w:rFonts w:ascii="仿宋_GB2312" w:eastAsia="仿宋_GB2312" w:cs="Calibri"/>
                <w:color w:val="auto"/>
                <w:sz w:val="28"/>
                <w:szCs w:val="28"/>
                <w:lang w:eastAsia="zh-CN"/>
              </w:rPr>
            </w:pPr>
          </w:p>
        </w:tc>
        <w:tc>
          <w:tcPr>
            <w:tcW w:w="1007" w:type="dxa"/>
            <w:vMerge w:val="continue"/>
            <w:vAlign w:val="center"/>
          </w:tcPr>
          <w:p w14:paraId="6808181B">
            <w:pPr>
              <w:pStyle w:val="4"/>
              <w:widowControl/>
              <w:kinsoku/>
              <w:jc w:val="center"/>
              <w:rPr>
                <w:rFonts w:ascii="仿宋_GB2312" w:eastAsia="仿宋_GB2312" w:cs="Calibri"/>
                <w:color w:val="auto"/>
                <w:sz w:val="28"/>
                <w:szCs w:val="28"/>
                <w:lang w:eastAsia="zh-CN"/>
              </w:rPr>
            </w:pPr>
          </w:p>
        </w:tc>
        <w:tc>
          <w:tcPr>
            <w:tcW w:w="4156" w:type="dxa"/>
            <w:vAlign w:val="center"/>
          </w:tcPr>
          <w:p w14:paraId="1991AC56">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2.3讲解</w:t>
            </w:r>
          </w:p>
          <w:p w14:paraId="048D21A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治疗的目的</w:t>
            </w:r>
          </w:p>
        </w:tc>
        <w:tc>
          <w:tcPr>
            <w:tcW w:w="613" w:type="dxa"/>
            <w:vAlign w:val="center"/>
          </w:tcPr>
          <w:p w14:paraId="354FF4C8">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12" w:type="dxa"/>
            <w:vAlign w:val="center"/>
          </w:tcPr>
          <w:p w14:paraId="576E6795">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563" w:type="dxa"/>
            <w:vAlign w:val="center"/>
          </w:tcPr>
          <w:p w14:paraId="4188B18B">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00" w:type="dxa"/>
            <w:vAlign w:val="center"/>
          </w:tcPr>
          <w:p w14:paraId="34100959">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600" w:type="dxa"/>
            <w:vAlign w:val="center"/>
          </w:tcPr>
          <w:p w14:paraId="66436BBA">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445" w:type="dxa"/>
            <w:vAlign w:val="center"/>
          </w:tcPr>
          <w:p w14:paraId="4388BAF4">
            <w:pPr>
              <w:pStyle w:val="4"/>
              <w:widowControl/>
              <w:kinsoku/>
              <w:jc w:val="center"/>
              <w:rPr>
                <w:rFonts w:ascii="仿宋_GB2312" w:eastAsia="仿宋_GB2312" w:cs="Calibri"/>
                <w:color w:val="auto"/>
                <w:sz w:val="28"/>
                <w:szCs w:val="28"/>
                <w:lang w:eastAsia="zh-CN"/>
              </w:rPr>
            </w:pPr>
          </w:p>
        </w:tc>
      </w:tr>
      <w:tr w14:paraId="5E83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Merge w:val="continue"/>
            <w:vAlign w:val="center"/>
          </w:tcPr>
          <w:p w14:paraId="0CBD6BEA">
            <w:pPr>
              <w:pStyle w:val="4"/>
              <w:widowControl/>
              <w:kinsoku/>
              <w:jc w:val="center"/>
              <w:rPr>
                <w:rFonts w:ascii="仿宋_GB2312" w:eastAsia="仿宋_GB2312" w:cs="Calibri"/>
                <w:color w:val="auto"/>
                <w:sz w:val="28"/>
                <w:szCs w:val="28"/>
                <w:lang w:eastAsia="zh-CN"/>
              </w:rPr>
            </w:pPr>
          </w:p>
        </w:tc>
        <w:tc>
          <w:tcPr>
            <w:tcW w:w="1007" w:type="dxa"/>
            <w:vMerge w:val="continue"/>
            <w:vAlign w:val="center"/>
          </w:tcPr>
          <w:p w14:paraId="59E1AB46">
            <w:pPr>
              <w:pStyle w:val="4"/>
              <w:widowControl/>
              <w:kinsoku/>
              <w:jc w:val="center"/>
              <w:rPr>
                <w:rFonts w:ascii="仿宋_GB2312" w:eastAsia="仿宋_GB2312" w:cs="Calibri"/>
                <w:color w:val="auto"/>
                <w:sz w:val="28"/>
                <w:szCs w:val="28"/>
                <w:lang w:eastAsia="zh-CN"/>
              </w:rPr>
            </w:pPr>
          </w:p>
        </w:tc>
        <w:tc>
          <w:tcPr>
            <w:tcW w:w="4156" w:type="dxa"/>
            <w:vAlign w:val="center"/>
          </w:tcPr>
          <w:p w14:paraId="41749045">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2.4语言</w:t>
            </w:r>
          </w:p>
          <w:p w14:paraId="2FCF79DD">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（1）语言亲和有力（1分）</w:t>
            </w:r>
          </w:p>
          <w:p w14:paraId="4582E21C">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（2）语速适中，表达清晰（1分）</w:t>
            </w:r>
          </w:p>
          <w:p w14:paraId="4929294F">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（3）声音大小恰当（1分）</w:t>
            </w:r>
          </w:p>
        </w:tc>
        <w:tc>
          <w:tcPr>
            <w:tcW w:w="613" w:type="dxa"/>
            <w:vAlign w:val="center"/>
          </w:tcPr>
          <w:p w14:paraId="4B228D12">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w:t>
            </w:r>
          </w:p>
        </w:tc>
        <w:tc>
          <w:tcPr>
            <w:tcW w:w="612" w:type="dxa"/>
            <w:vAlign w:val="center"/>
          </w:tcPr>
          <w:p w14:paraId="078ACF6C">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2.5</w:t>
            </w:r>
          </w:p>
        </w:tc>
        <w:tc>
          <w:tcPr>
            <w:tcW w:w="563" w:type="dxa"/>
            <w:vAlign w:val="center"/>
          </w:tcPr>
          <w:p w14:paraId="73441A94">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w:t>
            </w:r>
          </w:p>
        </w:tc>
        <w:tc>
          <w:tcPr>
            <w:tcW w:w="600" w:type="dxa"/>
            <w:vAlign w:val="center"/>
          </w:tcPr>
          <w:p w14:paraId="16BC9063">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4"/>
                <w:szCs w:val="24"/>
                <w:lang w:eastAsia="zh-CN"/>
              </w:rPr>
              <w:t>1.5</w:t>
            </w:r>
          </w:p>
        </w:tc>
        <w:tc>
          <w:tcPr>
            <w:tcW w:w="600" w:type="dxa"/>
            <w:vAlign w:val="center"/>
          </w:tcPr>
          <w:p w14:paraId="5AFBD9BD">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w:t>
            </w:r>
          </w:p>
        </w:tc>
        <w:tc>
          <w:tcPr>
            <w:tcW w:w="445" w:type="dxa"/>
            <w:vAlign w:val="center"/>
          </w:tcPr>
          <w:p w14:paraId="0ADD1535">
            <w:pPr>
              <w:pStyle w:val="4"/>
              <w:widowControl/>
              <w:kinsoku/>
              <w:jc w:val="center"/>
              <w:rPr>
                <w:rFonts w:ascii="仿宋_GB2312" w:eastAsia="仿宋_GB2312" w:cs="Calibri"/>
                <w:color w:val="auto"/>
                <w:sz w:val="28"/>
                <w:szCs w:val="28"/>
                <w:lang w:eastAsia="zh-CN"/>
              </w:rPr>
            </w:pPr>
          </w:p>
        </w:tc>
      </w:tr>
      <w:tr w14:paraId="608EF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Merge w:val="restart"/>
            <w:vAlign w:val="center"/>
          </w:tcPr>
          <w:p w14:paraId="704D039E">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项目3</w:t>
            </w:r>
          </w:p>
        </w:tc>
        <w:tc>
          <w:tcPr>
            <w:tcW w:w="1007" w:type="dxa"/>
            <w:vMerge w:val="restart"/>
            <w:vAlign w:val="center"/>
          </w:tcPr>
          <w:p w14:paraId="5590A86D">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实施（60分）</w:t>
            </w:r>
          </w:p>
        </w:tc>
        <w:tc>
          <w:tcPr>
            <w:tcW w:w="4156" w:type="dxa"/>
            <w:vAlign w:val="center"/>
          </w:tcPr>
          <w:p w14:paraId="299A4A5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3.1 口述治疗方案</w:t>
            </w:r>
          </w:p>
          <w:p w14:paraId="1F21F4C6">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（1）康复目标（5分）</w:t>
            </w:r>
          </w:p>
          <w:p w14:paraId="74B80041">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（2）康复方案制定的合理、恰当（5分）</w:t>
            </w:r>
          </w:p>
          <w:p w14:paraId="51EEC3E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（3）其他（6分）</w:t>
            </w:r>
          </w:p>
        </w:tc>
        <w:tc>
          <w:tcPr>
            <w:tcW w:w="613" w:type="dxa"/>
            <w:vAlign w:val="center"/>
          </w:tcPr>
          <w:p w14:paraId="4FDDA21F">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16</w:t>
            </w:r>
          </w:p>
        </w:tc>
        <w:tc>
          <w:tcPr>
            <w:tcW w:w="612" w:type="dxa"/>
            <w:vAlign w:val="center"/>
          </w:tcPr>
          <w:p w14:paraId="04A1641F">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12</w:t>
            </w:r>
          </w:p>
        </w:tc>
        <w:tc>
          <w:tcPr>
            <w:tcW w:w="563" w:type="dxa"/>
            <w:vAlign w:val="center"/>
          </w:tcPr>
          <w:p w14:paraId="3E8A991B">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8</w:t>
            </w:r>
          </w:p>
        </w:tc>
        <w:tc>
          <w:tcPr>
            <w:tcW w:w="600" w:type="dxa"/>
            <w:vAlign w:val="center"/>
          </w:tcPr>
          <w:p w14:paraId="66208237">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5</w:t>
            </w:r>
          </w:p>
        </w:tc>
        <w:tc>
          <w:tcPr>
            <w:tcW w:w="600" w:type="dxa"/>
            <w:vAlign w:val="center"/>
          </w:tcPr>
          <w:p w14:paraId="083056EB">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w:t>
            </w:r>
          </w:p>
        </w:tc>
        <w:tc>
          <w:tcPr>
            <w:tcW w:w="445" w:type="dxa"/>
            <w:vAlign w:val="center"/>
          </w:tcPr>
          <w:p w14:paraId="41832E2B">
            <w:pPr>
              <w:pStyle w:val="4"/>
              <w:widowControl/>
              <w:kinsoku/>
              <w:jc w:val="center"/>
              <w:rPr>
                <w:rFonts w:ascii="仿宋_GB2312" w:eastAsia="仿宋_GB2312" w:cs="Calibri"/>
                <w:color w:val="auto"/>
                <w:sz w:val="28"/>
                <w:szCs w:val="28"/>
                <w:lang w:eastAsia="zh-CN"/>
              </w:rPr>
            </w:pPr>
          </w:p>
        </w:tc>
      </w:tr>
      <w:tr w14:paraId="49F90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Merge w:val="continue"/>
            <w:vAlign w:val="center"/>
          </w:tcPr>
          <w:p w14:paraId="6766327D">
            <w:pPr>
              <w:pStyle w:val="4"/>
              <w:widowControl/>
              <w:kinsoku/>
              <w:jc w:val="center"/>
              <w:rPr>
                <w:rFonts w:ascii="仿宋_GB2312" w:eastAsia="仿宋_GB2312" w:cs="Calibri"/>
                <w:color w:val="auto"/>
                <w:sz w:val="28"/>
                <w:szCs w:val="28"/>
                <w:lang w:eastAsia="zh-CN"/>
              </w:rPr>
            </w:pPr>
          </w:p>
        </w:tc>
        <w:tc>
          <w:tcPr>
            <w:tcW w:w="1007" w:type="dxa"/>
            <w:vMerge w:val="continue"/>
            <w:vAlign w:val="center"/>
          </w:tcPr>
          <w:p w14:paraId="56ABCE3C">
            <w:pPr>
              <w:pStyle w:val="4"/>
              <w:widowControl/>
              <w:kinsoku/>
              <w:jc w:val="center"/>
              <w:rPr>
                <w:rFonts w:ascii="仿宋_GB2312" w:eastAsia="仿宋_GB2312" w:cs="Calibri"/>
                <w:color w:val="auto"/>
                <w:sz w:val="28"/>
                <w:szCs w:val="28"/>
                <w:lang w:eastAsia="zh-CN"/>
              </w:rPr>
            </w:pPr>
          </w:p>
        </w:tc>
        <w:tc>
          <w:tcPr>
            <w:tcW w:w="4156" w:type="dxa"/>
            <w:vAlign w:val="center"/>
          </w:tcPr>
          <w:p w14:paraId="1813B20F">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3.2演示康复治疗</w:t>
            </w:r>
          </w:p>
          <w:p w14:paraId="46A2B04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（1）技术选取的合理性（5分）</w:t>
            </w:r>
          </w:p>
          <w:p w14:paraId="6A50A067">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（2）治疗方案的恰当性（5分）</w:t>
            </w:r>
          </w:p>
          <w:p w14:paraId="322673C0">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（3）操作过程的流畅性（5分）</w:t>
            </w:r>
          </w:p>
          <w:p w14:paraId="0833488C">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（4）治疗结果的高效性（5分）</w:t>
            </w:r>
          </w:p>
          <w:p w14:paraId="3272D463">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（5）操作手法的熟练行（5分）</w:t>
            </w:r>
          </w:p>
          <w:p w14:paraId="7A4AB646">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（6）引导指令的有效性（5分）</w:t>
            </w:r>
          </w:p>
        </w:tc>
        <w:tc>
          <w:tcPr>
            <w:tcW w:w="613" w:type="dxa"/>
            <w:vAlign w:val="center"/>
          </w:tcPr>
          <w:p w14:paraId="1F3F933E">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30</w:t>
            </w:r>
          </w:p>
        </w:tc>
        <w:tc>
          <w:tcPr>
            <w:tcW w:w="612" w:type="dxa"/>
            <w:vAlign w:val="center"/>
          </w:tcPr>
          <w:p w14:paraId="65007615">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25</w:t>
            </w:r>
          </w:p>
        </w:tc>
        <w:tc>
          <w:tcPr>
            <w:tcW w:w="563" w:type="dxa"/>
            <w:vAlign w:val="center"/>
          </w:tcPr>
          <w:p w14:paraId="5DBEE52F">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20</w:t>
            </w:r>
          </w:p>
        </w:tc>
        <w:tc>
          <w:tcPr>
            <w:tcW w:w="600" w:type="dxa"/>
            <w:vAlign w:val="center"/>
          </w:tcPr>
          <w:p w14:paraId="7F6B28F1">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15</w:t>
            </w:r>
          </w:p>
        </w:tc>
        <w:tc>
          <w:tcPr>
            <w:tcW w:w="600" w:type="dxa"/>
            <w:vAlign w:val="center"/>
          </w:tcPr>
          <w:p w14:paraId="4D0EA2D5">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10</w:t>
            </w:r>
          </w:p>
        </w:tc>
        <w:tc>
          <w:tcPr>
            <w:tcW w:w="445" w:type="dxa"/>
            <w:vAlign w:val="center"/>
          </w:tcPr>
          <w:p w14:paraId="458993D4">
            <w:pPr>
              <w:pStyle w:val="4"/>
              <w:widowControl/>
              <w:kinsoku/>
              <w:jc w:val="center"/>
              <w:rPr>
                <w:rFonts w:ascii="仿宋_GB2312" w:eastAsia="仿宋_GB2312" w:cs="Calibri"/>
                <w:color w:val="auto"/>
                <w:sz w:val="28"/>
                <w:szCs w:val="28"/>
                <w:lang w:eastAsia="zh-CN"/>
              </w:rPr>
            </w:pPr>
          </w:p>
        </w:tc>
      </w:tr>
      <w:tr w14:paraId="6EECC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Merge w:val="continue"/>
            <w:vAlign w:val="center"/>
          </w:tcPr>
          <w:p w14:paraId="72680876">
            <w:pPr>
              <w:pStyle w:val="4"/>
              <w:widowControl/>
              <w:kinsoku/>
              <w:jc w:val="center"/>
              <w:rPr>
                <w:rFonts w:ascii="仿宋_GB2312" w:eastAsia="仿宋_GB2312" w:cs="Calibri"/>
                <w:color w:val="auto"/>
                <w:sz w:val="28"/>
                <w:szCs w:val="28"/>
                <w:lang w:eastAsia="zh-CN"/>
              </w:rPr>
            </w:pPr>
          </w:p>
        </w:tc>
        <w:tc>
          <w:tcPr>
            <w:tcW w:w="1007" w:type="dxa"/>
            <w:vMerge w:val="continue"/>
            <w:vAlign w:val="center"/>
          </w:tcPr>
          <w:p w14:paraId="1C1978E0">
            <w:pPr>
              <w:pStyle w:val="4"/>
              <w:widowControl/>
              <w:kinsoku/>
              <w:jc w:val="center"/>
              <w:rPr>
                <w:rFonts w:ascii="仿宋_GB2312" w:eastAsia="仿宋_GB2312" w:cs="Calibri"/>
                <w:color w:val="auto"/>
                <w:sz w:val="28"/>
                <w:szCs w:val="28"/>
                <w:lang w:eastAsia="zh-CN"/>
              </w:rPr>
            </w:pPr>
          </w:p>
        </w:tc>
        <w:tc>
          <w:tcPr>
            <w:tcW w:w="4156" w:type="dxa"/>
            <w:vAlign w:val="center"/>
          </w:tcPr>
          <w:p w14:paraId="183EF355">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3.3 医患配合</w:t>
            </w:r>
          </w:p>
          <w:p w14:paraId="4209C212">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（1）医患沟通充分（2分）</w:t>
            </w:r>
          </w:p>
          <w:p w14:paraId="0B66FD3E">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（2）医患配合默契（2分）</w:t>
            </w:r>
          </w:p>
          <w:p w14:paraId="090DD8B1">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（3）医患体位姿势恰当（2分）</w:t>
            </w:r>
          </w:p>
        </w:tc>
        <w:tc>
          <w:tcPr>
            <w:tcW w:w="613" w:type="dxa"/>
            <w:vAlign w:val="center"/>
          </w:tcPr>
          <w:p w14:paraId="733EB55F">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6</w:t>
            </w:r>
          </w:p>
        </w:tc>
        <w:tc>
          <w:tcPr>
            <w:tcW w:w="612" w:type="dxa"/>
            <w:vAlign w:val="center"/>
          </w:tcPr>
          <w:p w14:paraId="47C0EAC2">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563" w:type="dxa"/>
            <w:vAlign w:val="center"/>
          </w:tcPr>
          <w:p w14:paraId="4EFAE805">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00" w:type="dxa"/>
            <w:vAlign w:val="center"/>
          </w:tcPr>
          <w:p w14:paraId="0AA3F5F7">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600" w:type="dxa"/>
            <w:vAlign w:val="center"/>
          </w:tcPr>
          <w:p w14:paraId="4F1FB8A8">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445" w:type="dxa"/>
            <w:vAlign w:val="center"/>
          </w:tcPr>
          <w:p w14:paraId="0EFBDA27">
            <w:pPr>
              <w:pStyle w:val="4"/>
              <w:widowControl/>
              <w:kinsoku/>
              <w:jc w:val="center"/>
              <w:rPr>
                <w:rFonts w:ascii="仿宋_GB2312" w:eastAsia="仿宋_GB2312" w:cs="Calibri"/>
                <w:color w:val="auto"/>
                <w:sz w:val="28"/>
                <w:szCs w:val="28"/>
                <w:lang w:eastAsia="zh-CN"/>
              </w:rPr>
            </w:pPr>
          </w:p>
        </w:tc>
      </w:tr>
      <w:tr w14:paraId="242D1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Merge w:val="continue"/>
            <w:vAlign w:val="center"/>
          </w:tcPr>
          <w:p w14:paraId="0D2E1DDB">
            <w:pPr>
              <w:pStyle w:val="4"/>
              <w:widowControl/>
              <w:kinsoku/>
              <w:jc w:val="center"/>
              <w:rPr>
                <w:rFonts w:ascii="仿宋_GB2312" w:eastAsia="仿宋_GB2312" w:cs="Calibri"/>
                <w:color w:val="auto"/>
                <w:sz w:val="28"/>
                <w:szCs w:val="28"/>
                <w:lang w:eastAsia="zh-CN"/>
              </w:rPr>
            </w:pPr>
          </w:p>
        </w:tc>
        <w:tc>
          <w:tcPr>
            <w:tcW w:w="1007" w:type="dxa"/>
            <w:vMerge w:val="continue"/>
            <w:vAlign w:val="center"/>
          </w:tcPr>
          <w:p w14:paraId="3D3C1155">
            <w:pPr>
              <w:pStyle w:val="4"/>
              <w:widowControl/>
              <w:kinsoku/>
              <w:jc w:val="center"/>
              <w:rPr>
                <w:rFonts w:ascii="仿宋_GB2312" w:eastAsia="仿宋_GB2312" w:cs="Calibri"/>
                <w:color w:val="auto"/>
                <w:sz w:val="28"/>
                <w:szCs w:val="28"/>
                <w:lang w:eastAsia="zh-CN"/>
              </w:rPr>
            </w:pPr>
          </w:p>
        </w:tc>
        <w:tc>
          <w:tcPr>
            <w:tcW w:w="4156" w:type="dxa"/>
            <w:vAlign w:val="center"/>
          </w:tcPr>
          <w:p w14:paraId="4471BB40">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3.4物品设备处理</w:t>
            </w:r>
          </w:p>
          <w:p w14:paraId="5A296A21">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（1）物品设备使用合理正确（2分）</w:t>
            </w:r>
          </w:p>
          <w:p w14:paraId="01D952B4">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（2）物品设备用后整理到位（2分）</w:t>
            </w:r>
          </w:p>
        </w:tc>
        <w:tc>
          <w:tcPr>
            <w:tcW w:w="613" w:type="dxa"/>
            <w:vAlign w:val="center"/>
          </w:tcPr>
          <w:p w14:paraId="09466749">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4</w:t>
            </w:r>
          </w:p>
        </w:tc>
        <w:tc>
          <w:tcPr>
            <w:tcW w:w="612" w:type="dxa"/>
            <w:vAlign w:val="center"/>
          </w:tcPr>
          <w:p w14:paraId="6CF50F38">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563" w:type="dxa"/>
            <w:vAlign w:val="center"/>
          </w:tcPr>
          <w:p w14:paraId="1055D4EB">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00" w:type="dxa"/>
            <w:vAlign w:val="center"/>
          </w:tcPr>
          <w:p w14:paraId="47D5F032">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600" w:type="dxa"/>
            <w:vAlign w:val="center"/>
          </w:tcPr>
          <w:p w14:paraId="756C8A2C">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445" w:type="dxa"/>
            <w:vAlign w:val="center"/>
          </w:tcPr>
          <w:p w14:paraId="5FFDBC48">
            <w:pPr>
              <w:pStyle w:val="4"/>
              <w:widowControl/>
              <w:kinsoku/>
              <w:jc w:val="center"/>
              <w:rPr>
                <w:rFonts w:ascii="仿宋_GB2312" w:eastAsia="仿宋_GB2312" w:cs="Calibri"/>
                <w:color w:val="auto"/>
                <w:sz w:val="28"/>
                <w:szCs w:val="28"/>
                <w:lang w:eastAsia="zh-CN"/>
              </w:rPr>
            </w:pPr>
          </w:p>
        </w:tc>
      </w:tr>
      <w:tr w14:paraId="5FD8A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7" w:type="dxa"/>
            <w:vMerge w:val="continue"/>
            <w:vAlign w:val="center"/>
          </w:tcPr>
          <w:p w14:paraId="7007A15E">
            <w:pPr>
              <w:pStyle w:val="4"/>
              <w:widowControl/>
              <w:kinsoku/>
              <w:jc w:val="center"/>
              <w:rPr>
                <w:rFonts w:ascii="仿宋_GB2312" w:eastAsia="仿宋_GB2312" w:cs="Calibri"/>
                <w:color w:val="auto"/>
                <w:sz w:val="28"/>
                <w:szCs w:val="28"/>
                <w:lang w:eastAsia="zh-CN"/>
              </w:rPr>
            </w:pPr>
          </w:p>
        </w:tc>
        <w:tc>
          <w:tcPr>
            <w:tcW w:w="1007" w:type="dxa"/>
            <w:vMerge w:val="continue"/>
            <w:vAlign w:val="center"/>
          </w:tcPr>
          <w:p w14:paraId="6FC68E1A">
            <w:pPr>
              <w:pStyle w:val="4"/>
              <w:widowControl/>
              <w:kinsoku/>
              <w:jc w:val="center"/>
              <w:rPr>
                <w:rFonts w:ascii="仿宋_GB2312" w:eastAsia="仿宋_GB2312" w:cs="Calibri"/>
                <w:color w:val="auto"/>
                <w:sz w:val="28"/>
                <w:szCs w:val="28"/>
                <w:lang w:eastAsia="zh-CN"/>
              </w:rPr>
            </w:pPr>
          </w:p>
        </w:tc>
        <w:tc>
          <w:tcPr>
            <w:tcW w:w="4156" w:type="dxa"/>
            <w:vAlign w:val="center"/>
          </w:tcPr>
          <w:p w14:paraId="2F467E7F">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3.5总结问诊结果（4）</w:t>
            </w:r>
          </w:p>
        </w:tc>
        <w:tc>
          <w:tcPr>
            <w:tcW w:w="613" w:type="dxa"/>
            <w:vAlign w:val="center"/>
          </w:tcPr>
          <w:p w14:paraId="3E6F9C23">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4</w:t>
            </w:r>
          </w:p>
        </w:tc>
        <w:tc>
          <w:tcPr>
            <w:tcW w:w="612" w:type="dxa"/>
            <w:vAlign w:val="center"/>
          </w:tcPr>
          <w:p w14:paraId="5AC5C7ED">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3</w:t>
            </w:r>
          </w:p>
        </w:tc>
        <w:tc>
          <w:tcPr>
            <w:tcW w:w="563" w:type="dxa"/>
            <w:vAlign w:val="center"/>
          </w:tcPr>
          <w:p w14:paraId="7093A76F">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600" w:type="dxa"/>
            <w:vAlign w:val="center"/>
          </w:tcPr>
          <w:p w14:paraId="6B8B5372">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w:t>
            </w:r>
          </w:p>
        </w:tc>
        <w:tc>
          <w:tcPr>
            <w:tcW w:w="600" w:type="dxa"/>
            <w:vAlign w:val="center"/>
          </w:tcPr>
          <w:p w14:paraId="5B0D1BA6">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0</w:t>
            </w:r>
          </w:p>
        </w:tc>
        <w:tc>
          <w:tcPr>
            <w:tcW w:w="445" w:type="dxa"/>
            <w:vAlign w:val="center"/>
          </w:tcPr>
          <w:p w14:paraId="20EA840D">
            <w:pPr>
              <w:pStyle w:val="4"/>
              <w:widowControl/>
              <w:kinsoku/>
              <w:jc w:val="center"/>
              <w:rPr>
                <w:rFonts w:ascii="仿宋_GB2312" w:eastAsia="仿宋_GB2312" w:cs="Calibri"/>
                <w:color w:val="auto"/>
                <w:sz w:val="28"/>
                <w:szCs w:val="28"/>
                <w:lang w:eastAsia="zh-CN"/>
              </w:rPr>
            </w:pPr>
          </w:p>
        </w:tc>
      </w:tr>
      <w:tr w14:paraId="2462B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vAlign w:val="center"/>
          </w:tcPr>
          <w:p w14:paraId="16216B5D">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项目4</w:t>
            </w:r>
          </w:p>
        </w:tc>
        <w:tc>
          <w:tcPr>
            <w:tcW w:w="1007" w:type="dxa"/>
            <w:vAlign w:val="center"/>
          </w:tcPr>
          <w:p w14:paraId="1B20838A">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观察</w:t>
            </w:r>
            <w:r>
              <w:rPr>
                <w:rFonts w:hint="eastAsia" w:ascii="仿宋_GB2312" w:eastAsia="仿宋_GB2312" w:cs="Calibri"/>
                <w:color w:val="auto"/>
                <w:sz w:val="24"/>
                <w:szCs w:val="24"/>
                <w:lang w:eastAsia="zh-CN"/>
              </w:rPr>
              <w:t>（10分）</w:t>
            </w:r>
          </w:p>
        </w:tc>
        <w:tc>
          <w:tcPr>
            <w:tcW w:w="4156" w:type="dxa"/>
            <w:vAlign w:val="center"/>
          </w:tcPr>
          <w:p w14:paraId="4962F3D0">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（1）病患反应（5分）</w:t>
            </w:r>
          </w:p>
          <w:p w14:paraId="7430529E">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（2）病患感受（5分）</w:t>
            </w:r>
          </w:p>
        </w:tc>
        <w:tc>
          <w:tcPr>
            <w:tcW w:w="613" w:type="dxa"/>
            <w:vAlign w:val="center"/>
          </w:tcPr>
          <w:p w14:paraId="7CDE725A">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10</w:t>
            </w:r>
          </w:p>
        </w:tc>
        <w:tc>
          <w:tcPr>
            <w:tcW w:w="612" w:type="dxa"/>
            <w:vAlign w:val="center"/>
          </w:tcPr>
          <w:p w14:paraId="7CD5E9BE">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8</w:t>
            </w:r>
          </w:p>
        </w:tc>
        <w:tc>
          <w:tcPr>
            <w:tcW w:w="563" w:type="dxa"/>
            <w:vAlign w:val="center"/>
          </w:tcPr>
          <w:p w14:paraId="35751263">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6</w:t>
            </w:r>
          </w:p>
        </w:tc>
        <w:tc>
          <w:tcPr>
            <w:tcW w:w="600" w:type="dxa"/>
            <w:vAlign w:val="center"/>
          </w:tcPr>
          <w:p w14:paraId="674F3D40">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4</w:t>
            </w:r>
          </w:p>
        </w:tc>
        <w:tc>
          <w:tcPr>
            <w:tcW w:w="600" w:type="dxa"/>
            <w:vAlign w:val="center"/>
          </w:tcPr>
          <w:p w14:paraId="65ED9F8F">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445" w:type="dxa"/>
            <w:vAlign w:val="center"/>
          </w:tcPr>
          <w:p w14:paraId="680F0C96">
            <w:pPr>
              <w:pStyle w:val="4"/>
              <w:widowControl/>
              <w:kinsoku/>
              <w:jc w:val="center"/>
              <w:rPr>
                <w:rFonts w:ascii="仿宋_GB2312" w:eastAsia="仿宋_GB2312" w:cs="Calibri"/>
                <w:color w:val="auto"/>
                <w:sz w:val="28"/>
                <w:szCs w:val="28"/>
                <w:lang w:eastAsia="zh-CN"/>
              </w:rPr>
            </w:pPr>
          </w:p>
        </w:tc>
      </w:tr>
      <w:tr w14:paraId="45BDC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gridSpan w:val="2"/>
            <w:vAlign w:val="center"/>
          </w:tcPr>
          <w:p w14:paraId="79EB14D9">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注意事项</w:t>
            </w:r>
          </w:p>
          <w:p w14:paraId="4A8BC669">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（10分）</w:t>
            </w:r>
          </w:p>
        </w:tc>
        <w:tc>
          <w:tcPr>
            <w:tcW w:w="4156" w:type="dxa"/>
            <w:vAlign w:val="center"/>
          </w:tcPr>
          <w:p w14:paraId="6F479477">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（1）操作过程中保护关爱病患（2分）没有保护意识不得分</w:t>
            </w:r>
          </w:p>
          <w:p w14:paraId="28178FC5">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（2）适当的协助（1分）</w:t>
            </w:r>
          </w:p>
          <w:p w14:paraId="2AF339D5">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（3）尊重理解病患，鼓励病患及家属主动参与配合（1分）</w:t>
            </w:r>
          </w:p>
          <w:p w14:paraId="4FFE5BDF">
            <w:pPr>
              <w:pStyle w:val="4"/>
              <w:widowControl/>
              <w:kinsoku/>
              <w:jc w:val="both"/>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（4）操作熟练、准确、无重复多余的动作（6分）</w:t>
            </w:r>
          </w:p>
        </w:tc>
        <w:tc>
          <w:tcPr>
            <w:tcW w:w="613" w:type="dxa"/>
            <w:vAlign w:val="center"/>
          </w:tcPr>
          <w:p w14:paraId="6C175C64">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10</w:t>
            </w:r>
          </w:p>
        </w:tc>
        <w:tc>
          <w:tcPr>
            <w:tcW w:w="612" w:type="dxa"/>
            <w:vAlign w:val="center"/>
          </w:tcPr>
          <w:p w14:paraId="5740551F">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8</w:t>
            </w:r>
          </w:p>
        </w:tc>
        <w:tc>
          <w:tcPr>
            <w:tcW w:w="563" w:type="dxa"/>
            <w:vAlign w:val="center"/>
          </w:tcPr>
          <w:p w14:paraId="5A0E7C92">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6</w:t>
            </w:r>
          </w:p>
        </w:tc>
        <w:tc>
          <w:tcPr>
            <w:tcW w:w="600" w:type="dxa"/>
            <w:vAlign w:val="center"/>
          </w:tcPr>
          <w:p w14:paraId="78CDE5F8">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4</w:t>
            </w:r>
          </w:p>
        </w:tc>
        <w:tc>
          <w:tcPr>
            <w:tcW w:w="600" w:type="dxa"/>
            <w:vAlign w:val="center"/>
          </w:tcPr>
          <w:p w14:paraId="0DFC61BE">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2</w:t>
            </w:r>
          </w:p>
        </w:tc>
        <w:tc>
          <w:tcPr>
            <w:tcW w:w="445" w:type="dxa"/>
            <w:vAlign w:val="center"/>
          </w:tcPr>
          <w:p w14:paraId="263E793C">
            <w:pPr>
              <w:pStyle w:val="4"/>
              <w:widowControl/>
              <w:kinsoku/>
              <w:jc w:val="center"/>
              <w:rPr>
                <w:rFonts w:ascii="仿宋_GB2312" w:eastAsia="仿宋_GB2312" w:cs="Calibri"/>
                <w:color w:val="auto"/>
                <w:sz w:val="28"/>
                <w:szCs w:val="28"/>
                <w:lang w:eastAsia="zh-CN"/>
              </w:rPr>
            </w:pPr>
          </w:p>
        </w:tc>
      </w:tr>
      <w:tr w14:paraId="64290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gridSpan w:val="2"/>
            <w:vAlign w:val="center"/>
          </w:tcPr>
          <w:p w14:paraId="1CFBBF6A">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合计</w:t>
            </w:r>
          </w:p>
        </w:tc>
        <w:tc>
          <w:tcPr>
            <w:tcW w:w="4156" w:type="dxa"/>
            <w:vAlign w:val="center"/>
          </w:tcPr>
          <w:p w14:paraId="00EB15AF">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100分</w:t>
            </w:r>
          </w:p>
        </w:tc>
        <w:tc>
          <w:tcPr>
            <w:tcW w:w="2988" w:type="dxa"/>
            <w:gridSpan w:val="5"/>
            <w:vAlign w:val="center"/>
          </w:tcPr>
          <w:p w14:paraId="55AB9BB0">
            <w:pPr>
              <w:pStyle w:val="4"/>
              <w:widowControl/>
              <w:kinsoku/>
              <w:jc w:val="center"/>
              <w:rPr>
                <w:rFonts w:ascii="仿宋_GB2312" w:eastAsia="仿宋_GB2312" w:cs="Calibri"/>
                <w:color w:val="auto"/>
                <w:sz w:val="24"/>
                <w:szCs w:val="24"/>
                <w:lang w:eastAsia="zh-CN"/>
              </w:rPr>
            </w:pPr>
            <w:r>
              <w:rPr>
                <w:rFonts w:hint="eastAsia" w:ascii="仿宋_GB2312" w:eastAsia="仿宋_GB2312" w:cs="Calibri"/>
                <w:color w:val="auto"/>
                <w:sz w:val="24"/>
                <w:szCs w:val="24"/>
                <w:lang w:eastAsia="zh-CN"/>
              </w:rPr>
              <w:t>实际得分</w:t>
            </w:r>
          </w:p>
        </w:tc>
        <w:tc>
          <w:tcPr>
            <w:tcW w:w="445" w:type="dxa"/>
            <w:vAlign w:val="center"/>
          </w:tcPr>
          <w:p w14:paraId="338082DC">
            <w:pPr>
              <w:pStyle w:val="4"/>
              <w:widowControl/>
              <w:kinsoku/>
              <w:jc w:val="center"/>
              <w:rPr>
                <w:rFonts w:ascii="仿宋_GB2312" w:eastAsia="仿宋_GB2312" w:cs="Calibri"/>
                <w:color w:val="auto"/>
                <w:sz w:val="28"/>
                <w:szCs w:val="28"/>
                <w:lang w:eastAsia="zh-CN"/>
              </w:rPr>
            </w:pPr>
          </w:p>
        </w:tc>
      </w:tr>
    </w:tbl>
    <w:p w14:paraId="1430FAF9">
      <w:pPr>
        <w:pStyle w:val="4"/>
        <w:kinsoku/>
        <w:spacing w:line="240" w:lineRule="auto"/>
        <w:ind w:firstLine="643" w:firstLineChars="200"/>
        <w:jc w:val="both"/>
        <w:rPr>
          <w:rFonts w:ascii="仿宋_GB2312" w:eastAsia="仿宋_GB2312" w:cs="Calibri"/>
          <w:b/>
          <w:bCs/>
          <w:color w:val="auto"/>
          <w:sz w:val="32"/>
          <w:szCs w:val="32"/>
          <w:lang w:eastAsia="zh-CN"/>
        </w:rPr>
      </w:pPr>
    </w:p>
    <w:p w14:paraId="3618E8BE">
      <w:pPr>
        <w:pStyle w:val="4"/>
        <w:kinsoku/>
        <w:spacing w:line="360" w:lineRule="auto"/>
        <w:ind w:firstLine="643" w:firstLineChars="200"/>
        <w:jc w:val="both"/>
        <w:rPr>
          <w:rFonts w:ascii="仿宋_GB2312" w:eastAsia="仿宋_GB2312" w:cs="Calibri"/>
          <w:b/>
          <w:bCs/>
          <w:color w:val="auto"/>
          <w:sz w:val="32"/>
          <w:szCs w:val="32"/>
          <w:lang w:eastAsia="zh-CN"/>
        </w:rPr>
      </w:pPr>
      <w:r>
        <w:rPr>
          <w:rFonts w:hint="eastAsia" w:ascii="仿宋_GB2312" w:eastAsia="仿宋_GB2312" w:cs="Calibri"/>
          <w:b/>
          <w:bCs/>
          <w:color w:val="auto"/>
          <w:sz w:val="32"/>
          <w:szCs w:val="32"/>
          <w:lang w:eastAsia="zh-CN"/>
        </w:rPr>
        <w:t>4.回答问题（100分）</w:t>
      </w:r>
    </w:p>
    <w:tbl>
      <w:tblPr>
        <w:tblStyle w:val="13"/>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2654"/>
        <w:gridCol w:w="2526"/>
        <w:gridCol w:w="2479"/>
        <w:gridCol w:w="808"/>
      </w:tblGrid>
      <w:tr w14:paraId="68958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86" w:type="dxa"/>
            <w:vAlign w:val="center"/>
          </w:tcPr>
          <w:p w14:paraId="74A58308">
            <w:pPr>
              <w:pStyle w:val="4"/>
              <w:widowControl/>
              <w:kinsoku/>
              <w:spacing w:line="240" w:lineRule="auto"/>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标准</w:t>
            </w:r>
          </w:p>
        </w:tc>
        <w:tc>
          <w:tcPr>
            <w:tcW w:w="2654" w:type="dxa"/>
            <w:vAlign w:val="center"/>
          </w:tcPr>
          <w:p w14:paraId="0CA0CB16">
            <w:pPr>
              <w:pStyle w:val="4"/>
              <w:widowControl/>
              <w:kinsoku/>
              <w:spacing w:line="240" w:lineRule="auto"/>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优秀（90%-100%）</w:t>
            </w:r>
          </w:p>
        </w:tc>
        <w:tc>
          <w:tcPr>
            <w:tcW w:w="2526" w:type="dxa"/>
            <w:vAlign w:val="center"/>
          </w:tcPr>
          <w:p w14:paraId="0F9BC42A">
            <w:pPr>
              <w:pStyle w:val="4"/>
              <w:widowControl/>
              <w:kinsoku/>
              <w:spacing w:line="240" w:lineRule="auto"/>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良好（80%-90%）</w:t>
            </w:r>
          </w:p>
        </w:tc>
        <w:tc>
          <w:tcPr>
            <w:tcW w:w="2479" w:type="dxa"/>
            <w:vAlign w:val="center"/>
          </w:tcPr>
          <w:p w14:paraId="65C1496F">
            <w:pPr>
              <w:pStyle w:val="4"/>
              <w:widowControl/>
              <w:kinsoku/>
              <w:spacing w:line="240" w:lineRule="auto"/>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差（70%-80%）</w:t>
            </w:r>
          </w:p>
        </w:tc>
        <w:tc>
          <w:tcPr>
            <w:tcW w:w="808" w:type="dxa"/>
            <w:vAlign w:val="center"/>
          </w:tcPr>
          <w:p w14:paraId="432B20C8">
            <w:pPr>
              <w:pStyle w:val="4"/>
              <w:widowControl/>
              <w:kinsoku/>
              <w:spacing w:line="240" w:lineRule="auto"/>
              <w:jc w:val="center"/>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赋分</w:t>
            </w:r>
          </w:p>
        </w:tc>
      </w:tr>
      <w:tr w14:paraId="2CAA4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6" w:type="dxa"/>
            <w:vAlign w:val="center"/>
          </w:tcPr>
          <w:p w14:paraId="4ADD06B6">
            <w:pPr>
              <w:pStyle w:val="4"/>
              <w:widowControl/>
              <w:kinsoku/>
              <w:jc w:val="both"/>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回答问题</w:t>
            </w:r>
          </w:p>
        </w:tc>
        <w:tc>
          <w:tcPr>
            <w:tcW w:w="2654" w:type="dxa"/>
            <w:vAlign w:val="center"/>
          </w:tcPr>
          <w:p w14:paraId="1C5746FE">
            <w:pPr>
              <w:pStyle w:val="4"/>
              <w:widowControl/>
              <w:kinsoku/>
              <w:jc w:val="both"/>
              <w:rPr>
                <w:rFonts w:ascii="仿宋_GB2312" w:eastAsia="仿宋_GB2312" w:cs="Calibri"/>
                <w:color w:val="auto"/>
                <w:sz w:val="28"/>
                <w:szCs w:val="28"/>
                <w:lang w:eastAsia="zh-CN"/>
              </w:rPr>
            </w:pPr>
            <w:r>
              <w:rPr>
                <w:rFonts w:ascii="仿宋_GB2312" w:eastAsia="仿宋_GB2312" w:cs="Calibri"/>
                <w:color w:val="auto"/>
                <w:sz w:val="28"/>
                <w:szCs w:val="28"/>
                <w:lang w:eastAsia="zh-CN"/>
              </w:rPr>
              <w:t>语言表达流利，思路清晰，回答全面、专业知识技术应用正确熟练</w:t>
            </w:r>
          </w:p>
        </w:tc>
        <w:tc>
          <w:tcPr>
            <w:tcW w:w="2526" w:type="dxa"/>
            <w:vAlign w:val="center"/>
          </w:tcPr>
          <w:p w14:paraId="5B4B2DB4">
            <w:pPr>
              <w:pStyle w:val="4"/>
              <w:widowControl/>
              <w:kinsoku/>
              <w:jc w:val="both"/>
              <w:rPr>
                <w:rFonts w:ascii="仿宋_GB2312" w:eastAsia="仿宋_GB2312" w:cs="Calibri"/>
                <w:color w:val="auto"/>
                <w:sz w:val="28"/>
                <w:szCs w:val="28"/>
                <w:lang w:eastAsia="zh-CN"/>
              </w:rPr>
            </w:pPr>
            <w:r>
              <w:rPr>
                <w:rFonts w:ascii="仿宋_GB2312" w:eastAsia="仿宋_GB2312" w:cs="Calibri"/>
                <w:color w:val="auto"/>
                <w:sz w:val="28"/>
                <w:szCs w:val="28"/>
                <w:lang w:eastAsia="zh-CN"/>
              </w:rPr>
              <w:t>语言表达较流利</w:t>
            </w:r>
            <w:r>
              <w:rPr>
                <w:rFonts w:hint="eastAsia" w:ascii="仿宋_GB2312" w:eastAsia="仿宋_GB2312" w:cs="Calibri"/>
                <w:color w:val="auto"/>
                <w:sz w:val="28"/>
                <w:szCs w:val="28"/>
                <w:lang w:eastAsia="zh-CN"/>
              </w:rPr>
              <w:t>，思路清晰，回答较全面、专业知识技术应用较熟练</w:t>
            </w:r>
          </w:p>
        </w:tc>
        <w:tc>
          <w:tcPr>
            <w:tcW w:w="2479" w:type="dxa"/>
            <w:vAlign w:val="center"/>
          </w:tcPr>
          <w:p w14:paraId="6E252B67">
            <w:pPr>
              <w:pStyle w:val="4"/>
              <w:widowControl/>
              <w:kinsoku/>
              <w:jc w:val="both"/>
              <w:rPr>
                <w:rFonts w:ascii="仿宋_GB2312" w:eastAsia="仿宋_GB2312" w:cs="Calibri"/>
                <w:color w:val="auto"/>
                <w:sz w:val="28"/>
                <w:szCs w:val="28"/>
                <w:lang w:eastAsia="zh-CN"/>
              </w:rPr>
            </w:pPr>
            <w:r>
              <w:rPr>
                <w:rFonts w:ascii="仿宋_GB2312" w:eastAsia="仿宋_GB2312" w:cs="Calibri"/>
                <w:color w:val="auto"/>
                <w:sz w:val="28"/>
                <w:szCs w:val="28"/>
                <w:lang w:eastAsia="zh-CN"/>
              </w:rPr>
              <w:t>语言表达不够流利，思路不够清晰</w:t>
            </w:r>
            <w:r>
              <w:rPr>
                <w:rFonts w:hint="eastAsia" w:ascii="仿宋_GB2312" w:eastAsia="仿宋_GB2312" w:cs="Calibri"/>
                <w:color w:val="auto"/>
                <w:sz w:val="28"/>
                <w:szCs w:val="28"/>
                <w:lang w:eastAsia="zh-CN"/>
              </w:rPr>
              <w:t>，</w:t>
            </w:r>
            <w:r>
              <w:rPr>
                <w:rFonts w:ascii="仿宋_GB2312" w:eastAsia="仿宋_GB2312" w:cs="Calibri"/>
                <w:color w:val="auto"/>
                <w:sz w:val="28"/>
                <w:szCs w:val="28"/>
                <w:lang w:eastAsia="zh-CN"/>
              </w:rPr>
              <w:t>回答不够全面</w:t>
            </w:r>
            <w:r>
              <w:rPr>
                <w:rFonts w:hint="eastAsia" w:ascii="仿宋_GB2312" w:eastAsia="仿宋_GB2312" w:cs="Calibri"/>
                <w:color w:val="auto"/>
                <w:sz w:val="28"/>
                <w:szCs w:val="28"/>
                <w:lang w:eastAsia="zh-CN"/>
              </w:rPr>
              <w:t>、</w:t>
            </w:r>
            <w:r>
              <w:rPr>
                <w:rFonts w:ascii="仿宋_GB2312" w:eastAsia="仿宋_GB2312" w:cs="Calibri"/>
                <w:color w:val="auto"/>
                <w:sz w:val="28"/>
                <w:szCs w:val="28"/>
                <w:lang w:eastAsia="zh-CN"/>
              </w:rPr>
              <w:t>专业知识技术应用不够熟练</w:t>
            </w:r>
          </w:p>
        </w:tc>
        <w:tc>
          <w:tcPr>
            <w:tcW w:w="808" w:type="dxa"/>
            <w:vAlign w:val="center"/>
          </w:tcPr>
          <w:p w14:paraId="22FF0688">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70</w:t>
            </w:r>
          </w:p>
        </w:tc>
      </w:tr>
      <w:tr w14:paraId="05573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1086" w:type="dxa"/>
            <w:vAlign w:val="center"/>
          </w:tcPr>
          <w:p w14:paraId="1BD19E65">
            <w:pPr>
              <w:pStyle w:val="4"/>
              <w:widowControl/>
              <w:kinsoku/>
              <w:jc w:val="both"/>
              <w:rPr>
                <w:rFonts w:ascii="仿宋_GB2312" w:eastAsia="仿宋_GB2312" w:cs="Calibri"/>
                <w:b/>
                <w:bCs/>
                <w:color w:val="auto"/>
                <w:sz w:val="28"/>
                <w:szCs w:val="28"/>
                <w:lang w:eastAsia="zh-CN"/>
              </w:rPr>
            </w:pPr>
            <w:r>
              <w:rPr>
                <w:rFonts w:hint="eastAsia" w:ascii="仿宋_GB2312" w:eastAsia="仿宋_GB2312" w:cs="Calibri"/>
                <w:b/>
                <w:bCs/>
                <w:color w:val="auto"/>
                <w:sz w:val="28"/>
                <w:szCs w:val="28"/>
                <w:lang w:eastAsia="zh-CN"/>
              </w:rPr>
              <w:t>反应能力</w:t>
            </w:r>
          </w:p>
        </w:tc>
        <w:tc>
          <w:tcPr>
            <w:tcW w:w="2654" w:type="dxa"/>
            <w:vAlign w:val="center"/>
          </w:tcPr>
          <w:p w14:paraId="53B650B2">
            <w:pPr>
              <w:pStyle w:val="4"/>
              <w:widowControl/>
              <w:kinsoku/>
              <w:jc w:val="both"/>
              <w:rPr>
                <w:rFonts w:ascii="仿宋_GB2312" w:eastAsia="仿宋_GB2312" w:cs="Calibri"/>
                <w:color w:val="auto"/>
                <w:sz w:val="28"/>
                <w:szCs w:val="28"/>
                <w:lang w:eastAsia="zh-CN"/>
              </w:rPr>
            </w:pPr>
            <w:r>
              <w:rPr>
                <w:rFonts w:ascii="仿宋_GB2312" w:eastAsia="仿宋_GB2312" w:cs="Calibri"/>
                <w:color w:val="auto"/>
                <w:sz w:val="28"/>
                <w:szCs w:val="28"/>
                <w:lang w:eastAsia="zh-CN"/>
              </w:rPr>
              <w:t>回答问题反应迅速</w:t>
            </w:r>
            <w:r>
              <w:rPr>
                <w:rFonts w:hint="eastAsia" w:ascii="仿宋_GB2312" w:eastAsia="仿宋_GB2312" w:cs="Calibri"/>
                <w:color w:val="auto"/>
                <w:sz w:val="28"/>
                <w:szCs w:val="28"/>
                <w:lang w:eastAsia="zh-CN"/>
              </w:rPr>
              <w:t>，</w:t>
            </w:r>
            <w:r>
              <w:rPr>
                <w:rFonts w:ascii="仿宋_GB2312" w:eastAsia="仿宋_GB2312" w:cs="Calibri"/>
                <w:color w:val="auto"/>
                <w:sz w:val="28"/>
                <w:szCs w:val="28"/>
                <w:lang w:eastAsia="zh-CN"/>
              </w:rPr>
              <w:t>逻辑性强</w:t>
            </w:r>
          </w:p>
        </w:tc>
        <w:tc>
          <w:tcPr>
            <w:tcW w:w="2526" w:type="dxa"/>
            <w:vAlign w:val="center"/>
          </w:tcPr>
          <w:p w14:paraId="1442ABDC">
            <w:pPr>
              <w:pStyle w:val="4"/>
              <w:widowControl/>
              <w:kinsoku/>
              <w:jc w:val="both"/>
              <w:rPr>
                <w:rFonts w:ascii="仿宋_GB2312" w:eastAsia="仿宋_GB2312" w:cs="Calibri"/>
                <w:color w:val="auto"/>
                <w:sz w:val="28"/>
                <w:szCs w:val="28"/>
                <w:lang w:eastAsia="zh-CN"/>
              </w:rPr>
            </w:pPr>
            <w:r>
              <w:rPr>
                <w:rFonts w:ascii="仿宋_GB2312" w:eastAsia="仿宋_GB2312" w:cs="Calibri"/>
                <w:color w:val="auto"/>
                <w:sz w:val="28"/>
                <w:szCs w:val="28"/>
                <w:lang w:eastAsia="zh-CN"/>
              </w:rPr>
              <w:t>回答问题反应较为迅速，逻辑性较强</w:t>
            </w:r>
          </w:p>
        </w:tc>
        <w:tc>
          <w:tcPr>
            <w:tcW w:w="2479" w:type="dxa"/>
            <w:vAlign w:val="center"/>
          </w:tcPr>
          <w:p w14:paraId="5CC7DFAD">
            <w:pPr>
              <w:pStyle w:val="4"/>
              <w:widowControl/>
              <w:kinsoku/>
              <w:jc w:val="both"/>
              <w:rPr>
                <w:rFonts w:ascii="仿宋_GB2312" w:eastAsia="仿宋_GB2312" w:cs="Calibri"/>
                <w:color w:val="auto"/>
                <w:sz w:val="28"/>
                <w:szCs w:val="28"/>
                <w:lang w:eastAsia="zh-CN"/>
              </w:rPr>
            </w:pPr>
            <w:r>
              <w:rPr>
                <w:rFonts w:ascii="仿宋_GB2312" w:eastAsia="仿宋_GB2312" w:cs="Calibri"/>
                <w:color w:val="auto"/>
                <w:sz w:val="28"/>
                <w:szCs w:val="28"/>
                <w:lang w:eastAsia="zh-CN"/>
              </w:rPr>
              <w:t>回答问题反应一般，逻辑性欠佳</w:t>
            </w:r>
          </w:p>
        </w:tc>
        <w:tc>
          <w:tcPr>
            <w:tcW w:w="808" w:type="dxa"/>
            <w:vAlign w:val="center"/>
          </w:tcPr>
          <w:p w14:paraId="7ADCD7FF">
            <w:pPr>
              <w:pStyle w:val="4"/>
              <w:widowControl/>
              <w:kinsoku/>
              <w:jc w:val="center"/>
              <w:rPr>
                <w:rFonts w:ascii="仿宋_GB2312" w:eastAsia="仿宋_GB2312" w:cs="Calibri"/>
                <w:color w:val="auto"/>
                <w:sz w:val="28"/>
                <w:szCs w:val="28"/>
                <w:lang w:eastAsia="zh-CN"/>
              </w:rPr>
            </w:pPr>
            <w:r>
              <w:rPr>
                <w:rFonts w:hint="eastAsia" w:ascii="仿宋_GB2312" w:eastAsia="仿宋_GB2312" w:cs="Calibri"/>
                <w:color w:val="auto"/>
                <w:sz w:val="28"/>
                <w:szCs w:val="28"/>
                <w:lang w:eastAsia="zh-CN"/>
              </w:rPr>
              <w:t>30</w:t>
            </w:r>
          </w:p>
        </w:tc>
      </w:tr>
    </w:tbl>
    <w:p w14:paraId="30AC8CF2">
      <w:pPr>
        <w:pStyle w:val="4"/>
        <w:kinsoku/>
        <w:ind w:firstLine="640" w:firstLineChars="200"/>
        <w:jc w:val="both"/>
        <w:rPr>
          <w:rFonts w:ascii="仿宋_GB2312" w:hAnsi="楷体" w:eastAsia="仿宋_GB2312" w:cs="楷体"/>
          <w:color w:val="auto"/>
          <w:sz w:val="32"/>
          <w:szCs w:val="32"/>
          <w:lang w:eastAsia="zh-CN"/>
        </w:rPr>
      </w:pPr>
    </w:p>
    <w:p w14:paraId="7EEED940">
      <w:pPr>
        <w:pStyle w:val="3"/>
        <w:spacing w:before="0" w:after="0" w:line="360" w:lineRule="auto"/>
        <w:ind w:firstLine="643" w:firstLineChars="200"/>
        <w:rPr>
          <w:rFonts w:ascii="楷体_GB2312" w:eastAsia="楷体_GB2312"/>
          <w:lang w:eastAsia="zh-CN"/>
        </w:rPr>
      </w:pPr>
      <w:bookmarkStart w:id="33" w:name="_Toc243408261"/>
      <w:r>
        <w:rPr>
          <w:rFonts w:hint="eastAsia" w:ascii="楷体_GB2312" w:eastAsia="楷体_GB2312"/>
          <w:lang w:eastAsia="zh-CN"/>
        </w:rPr>
        <w:t>（四）奖项设置</w:t>
      </w:r>
      <w:bookmarkEnd w:id="33"/>
    </w:p>
    <w:p w14:paraId="2C1162A3">
      <w:pPr>
        <w:pStyle w:val="4"/>
        <w:widowControl w:val="0"/>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本赛项奖项设置参照《2026年海南省职业院校职业技能大赛学生技能竞赛方案》（琼教职成〔2026〕42 号）文件执行。按照每个比赛项目实际参赛队伍的10%、20%、30%分</w:t>
      </w:r>
    </w:p>
    <w:p w14:paraId="3201E0C1">
      <w:pPr>
        <w:pStyle w:val="4"/>
        <w:widowControl w:val="0"/>
        <w:kinsoku/>
        <w:spacing w:line="360" w:lineRule="auto"/>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别设立一、二、三等奖。</w:t>
      </w:r>
    </w:p>
    <w:p w14:paraId="0D182847">
      <w:pPr>
        <w:pStyle w:val="2"/>
        <w:spacing w:before="0" w:after="0" w:line="360" w:lineRule="auto"/>
        <w:ind w:firstLine="640" w:firstLineChars="200"/>
        <w:rPr>
          <w:rFonts w:ascii="黑体" w:hAnsi="黑体" w:eastAsia="黑体" w:cs="宋体"/>
          <w:b w:val="0"/>
          <w:bCs w:val="0"/>
          <w:sz w:val="32"/>
          <w:szCs w:val="32"/>
          <w:lang w:eastAsia="zh-CN"/>
        </w:rPr>
      </w:pPr>
      <w:bookmarkStart w:id="34" w:name="_Toc243408262"/>
      <w:r>
        <w:rPr>
          <w:rFonts w:hint="eastAsia" w:ascii="黑体" w:hAnsi="黑体" w:eastAsia="黑体" w:cs="宋体"/>
          <w:b w:val="0"/>
          <w:bCs w:val="0"/>
          <w:sz w:val="32"/>
          <w:szCs w:val="32"/>
          <w:lang w:eastAsia="zh-CN"/>
        </w:rPr>
        <w:t>十一、赛项预案</w:t>
      </w:r>
      <w:bookmarkEnd w:id="34"/>
    </w:p>
    <w:p w14:paraId="72CDEF4D">
      <w:pPr>
        <w:pStyle w:val="4"/>
        <w:widowControl w:val="0"/>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比赛期间发生意外事故，发现者应第一时间报告执委会，同时采取措施避免事态扩大。执委会应立即启动预案予以解决并报告组委会办公室，事后执委会应向组委会报告详细情况。</w:t>
      </w:r>
    </w:p>
    <w:p w14:paraId="61625010">
      <w:pPr>
        <w:pStyle w:val="3"/>
        <w:spacing w:before="0" w:after="0" w:line="360" w:lineRule="auto"/>
        <w:ind w:firstLine="643" w:firstLineChars="200"/>
        <w:rPr>
          <w:rFonts w:ascii="楷体_GB2312" w:eastAsia="楷体_GB2312"/>
          <w:lang w:eastAsia="zh-CN"/>
        </w:rPr>
      </w:pPr>
      <w:bookmarkStart w:id="35" w:name="_Toc243408263"/>
      <w:r>
        <w:rPr>
          <w:rFonts w:hint="eastAsia" w:ascii="楷体_GB2312" w:eastAsia="楷体_GB2312"/>
          <w:lang w:eastAsia="zh-CN"/>
        </w:rPr>
        <w:t>（一）火灾安全事故紧急处理预案</w:t>
      </w:r>
      <w:bookmarkEnd w:id="35"/>
    </w:p>
    <w:p w14:paraId="13A64FA8">
      <w:pPr>
        <w:pStyle w:val="4"/>
        <w:widowControl w:val="0"/>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若发生火灾，及时通知安保负责人,向消防部门119 报警，组织人员疏散、切断电源，将易燃易爆物品及时转移到安全地带，同时组织人员使用适宜的灭火器材灭火。对轻伤人员有医护人员进行处置:对重伤人员及时送往医院救治。</w:t>
      </w:r>
    </w:p>
    <w:p w14:paraId="6E4A8B56">
      <w:pPr>
        <w:pStyle w:val="3"/>
        <w:spacing w:before="0" w:after="0" w:line="360" w:lineRule="auto"/>
        <w:ind w:firstLine="643" w:firstLineChars="200"/>
        <w:rPr>
          <w:rFonts w:ascii="楷体_GB2312" w:eastAsia="楷体_GB2312"/>
          <w:lang w:eastAsia="zh-CN"/>
        </w:rPr>
      </w:pPr>
      <w:bookmarkStart w:id="36" w:name="_Toc243408264"/>
      <w:r>
        <w:rPr>
          <w:rFonts w:hint="eastAsia" w:ascii="楷体_GB2312" w:eastAsia="楷体_GB2312"/>
          <w:lang w:eastAsia="zh-CN"/>
        </w:rPr>
        <w:t>（二）电力供应事故紧急处理预案</w:t>
      </w:r>
      <w:bookmarkEnd w:id="36"/>
    </w:p>
    <w:p w14:paraId="3CD061FF">
      <w:pPr>
        <w:pStyle w:val="4"/>
        <w:widowControl w:val="0"/>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若比赛过程中突发临时停电，安保负责人维持秩序的同时，积极调配专业电工，查明停电原因，采取相应措施。同时现场配有动力电，以备停电时使用</w:t>
      </w:r>
      <w:r>
        <w:rPr>
          <w:rFonts w:hint="eastAsia" w:ascii="仿宋_GB2312" w:eastAsia="仿宋_GB2312" w:cs="Calibri"/>
          <w:color w:val="auto"/>
          <w:sz w:val="32"/>
          <w:szCs w:val="32"/>
          <w:lang w:eastAsia="zh-CN"/>
        </w:rPr>
        <w:t>。</w:t>
      </w:r>
    </w:p>
    <w:p w14:paraId="214C41F0">
      <w:pPr>
        <w:pStyle w:val="3"/>
        <w:spacing w:before="0" w:after="0" w:line="360" w:lineRule="auto"/>
        <w:ind w:firstLine="643" w:firstLineChars="200"/>
        <w:rPr>
          <w:rFonts w:ascii="楷体_GB2312" w:eastAsia="楷体_GB2312"/>
          <w:lang w:eastAsia="zh-CN"/>
        </w:rPr>
      </w:pPr>
      <w:bookmarkStart w:id="37" w:name="_Toc243408265"/>
      <w:r>
        <w:rPr>
          <w:rFonts w:hint="eastAsia" w:ascii="楷体_GB2312" w:eastAsia="楷体_GB2312"/>
          <w:lang w:eastAsia="zh-CN"/>
        </w:rPr>
        <w:t>（三）赛场人员突发伤病紧急处理预案</w:t>
      </w:r>
      <w:bookmarkEnd w:id="37"/>
    </w:p>
    <w:p w14:paraId="058A66EA">
      <w:pPr>
        <w:pStyle w:val="4"/>
        <w:widowControl w:val="0"/>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赛场指定区域配备救护车和医护人员以及相应的药品，现场不能处理的及时送 120 急救中心</w:t>
      </w:r>
      <w:r>
        <w:rPr>
          <w:rFonts w:hint="eastAsia" w:ascii="仿宋_GB2312" w:eastAsia="仿宋_GB2312" w:cs="Calibri"/>
          <w:color w:val="auto"/>
          <w:sz w:val="32"/>
          <w:szCs w:val="32"/>
          <w:lang w:eastAsia="zh-CN"/>
        </w:rPr>
        <w:t>。</w:t>
      </w:r>
    </w:p>
    <w:p w14:paraId="299AC081">
      <w:pPr>
        <w:pStyle w:val="3"/>
        <w:spacing w:before="0" w:after="0" w:line="360" w:lineRule="auto"/>
        <w:ind w:firstLine="643" w:firstLineChars="200"/>
        <w:rPr>
          <w:rFonts w:ascii="楷体_GB2312" w:eastAsia="楷体_GB2312"/>
          <w:lang w:eastAsia="zh-CN"/>
        </w:rPr>
      </w:pPr>
      <w:bookmarkStart w:id="38" w:name="_Toc243408266"/>
      <w:r>
        <w:rPr>
          <w:rFonts w:hint="eastAsia" w:ascii="楷体_GB2312" w:eastAsia="楷体_GB2312"/>
          <w:lang w:eastAsia="zh-CN"/>
        </w:rPr>
        <w:t>（四）设备事故紧急处理预案</w:t>
      </w:r>
      <w:bookmarkEnd w:id="38"/>
    </w:p>
    <w:p w14:paraId="30D7CFC2">
      <w:pPr>
        <w:pStyle w:val="4"/>
        <w:widowControl w:val="0"/>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正式开赛前，在监督人员的监示下，进行综合模拟演训，确保设备正常运行、预案可靠可行。赛前准备备用设备和备用赛场，若比赛过程中出现技术平台故障，技术人员立即汇报裁判长，暂停该赛室比赛，及时配合裁判长等相关人员，提出妥善的处置方案，对设备进行调试或更换。若需要更换设备，经专家组组长、裁判长批准后启动备用设备或备用赛场。</w:t>
      </w:r>
    </w:p>
    <w:p w14:paraId="624A1679">
      <w:pPr>
        <w:pStyle w:val="2"/>
        <w:spacing w:before="0" w:after="0" w:line="360" w:lineRule="auto"/>
        <w:ind w:firstLine="640" w:firstLineChars="200"/>
        <w:rPr>
          <w:rFonts w:ascii="黑体" w:hAnsi="黑体" w:eastAsia="黑体" w:cs="宋体"/>
          <w:b w:val="0"/>
          <w:bCs w:val="0"/>
          <w:sz w:val="32"/>
          <w:szCs w:val="32"/>
          <w:lang w:eastAsia="zh-CN"/>
        </w:rPr>
      </w:pPr>
      <w:bookmarkStart w:id="39" w:name="_Toc243408267"/>
      <w:r>
        <w:rPr>
          <w:rFonts w:hint="eastAsia" w:ascii="黑体" w:hAnsi="黑体" w:eastAsia="黑体" w:cs="宋体"/>
          <w:b w:val="0"/>
          <w:bCs w:val="0"/>
          <w:sz w:val="32"/>
          <w:szCs w:val="32"/>
          <w:lang w:eastAsia="zh-CN"/>
        </w:rPr>
        <w:t>十二、赛项安全</w:t>
      </w:r>
      <w:bookmarkEnd w:id="39"/>
    </w:p>
    <w:p w14:paraId="4F4D075C">
      <w:pPr>
        <w:pStyle w:val="3"/>
        <w:spacing w:before="0" w:after="0" w:line="360" w:lineRule="auto"/>
        <w:ind w:firstLine="643" w:firstLineChars="200"/>
        <w:rPr>
          <w:rFonts w:ascii="楷体_GB2312" w:eastAsia="楷体_GB2312"/>
          <w:lang w:eastAsia="zh-CN"/>
        </w:rPr>
      </w:pPr>
      <w:bookmarkStart w:id="40" w:name="_Toc243408268"/>
      <w:r>
        <w:rPr>
          <w:rFonts w:hint="eastAsia" w:ascii="楷体_GB2312" w:eastAsia="楷体_GB2312"/>
          <w:lang w:eastAsia="zh-CN"/>
        </w:rPr>
        <w:t>（一）赛项安全管理</w:t>
      </w:r>
      <w:bookmarkEnd w:id="40"/>
    </w:p>
    <w:p w14:paraId="5920215F">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竞赛所涉器材、设备均符合国家有关安全规定。赛项执委会将在赛前对本赛项全体裁判员、工作人员进行安全培训，并制定专门方案保证比赛命题、赛题保管、发放、回收和评判过程的安全。</w:t>
      </w:r>
    </w:p>
    <w:p w14:paraId="40AD2842">
      <w:pPr>
        <w:pStyle w:val="3"/>
        <w:spacing w:before="0" w:after="0" w:line="360" w:lineRule="auto"/>
        <w:ind w:firstLine="643" w:firstLineChars="200"/>
        <w:rPr>
          <w:rFonts w:ascii="楷体_GB2312" w:eastAsia="楷体_GB2312"/>
          <w:lang w:eastAsia="zh-CN"/>
        </w:rPr>
      </w:pPr>
      <w:bookmarkStart w:id="41" w:name="_Toc243408269"/>
      <w:r>
        <w:rPr>
          <w:rFonts w:hint="eastAsia" w:ascii="楷体_GB2312" w:eastAsia="楷体_GB2312"/>
          <w:lang w:eastAsia="zh-CN"/>
        </w:rPr>
        <w:t>（二）比赛环境安全管理</w:t>
      </w:r>
      <w:bookmarkEnd w:id="41"/>
    </w:p>
    <w:p w14:paraId="4DEE3149">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1.赛项执委会须在赛前组织专人对比赛现场和交通保障进行考察，并对安全工作提出明确要求。承办院校赛前、赛中、赛后按照赛项执委会要求进行安全巡查，排除安全隐患。</w:t>
      </w:r>
    </w:p>
    <w:p w14:paraId="45E59808">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2.赛场周围要设立警戒线，防止无关人员进入，避免发生意外事件。比赛现场内应参照相关职业岗位的要求为选手提供必要的劳动保护。</w:t>
      </w:r>
    </w:p>
    <w:p w14:paraId="140654EF">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3.竞赛期间，参赛选手应严格按照赛场指示的线路进行作业，并服从竞赛裁判员及工作人员的指挥</w:t>
      </w:r>
      <w:r>
        <w:rPr>
          <w:rFonts w:hint="eastAsia" w:ascii="仿宋_GB2312" w:eastAsia="仿宋_GB2312" w:cs="Calibri"/>
          <w:color w:val="auto"/>
          <w:sz w:val="32"/>
          <w:szCs w:val="32"/>
          <w:lang w:eastAsia="zh-CN"/>
        </w:rPr>
        <w:t>。</w:t>
      </w:r>
    </w:p>
    <w:p w14:paraId="51F50920">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4.参赛选手、赛项裁判、工作人员严禁携带通讯、摄录设备和未经许可的记录用具进入比赛区域；如确有需要，由赛项承办单位统一配置，统一管理。赛项可根据需要配置安检设备，对进入赛场重要区域的人员进行安检，可在赛场相关区域安放无线屏蔽设备。</w:t>
      </w:r>
    </w:p>
    <w:p w14:paraId="406BE239">
      <w:pPr>
        <w:pStyle w:val="3"/>
        <w:spacing w:before="0" w:after="0" w:line="360" w:lineRule="auto"/>
        <w:ind w:firstLine="643" w:firstLineChars="200"/>
        <w:rPr>
          <w:rFonts w:ascii="楷体_GB2312" w:eastAsia="楷体_GB2312"/>
          <w:lang w:eastAsia="zh-CN"/>
        </w:rPr>
      </w:pPr>
      <w:bookmarkStart w:id="42" w:name="_Toc243408270"/>
      <w:r>
        <w:rPr>
          <w:rFonts w:hint="eastAsia" w:ascii="楷体_GB2312" w:eastAsia="楷体_GB2312"/>
          <w:lang w:eastAsia="zh-CN"/>
        </w:rPr>
        <w:t>（三）医疗服务保障</w:t>
      </w:r>
      <w:bookmarkEnd w:id="42"/>
    </w:p>
    <w:p w14:paraId="05D27722">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赛场设置医疗工作站，备</w:t>
      </w:r>
      <w:r>
        <w:rPr>
          <w:rFonts w:hint="eastAsia" w:ascii="仿宋_GB2312" w:eastAsia="仿宋_GB2312" w:cs="Calibri"/>
          <w:color w:val="auto"/>
          <w:sz w:val="32"/>
          <w:szCs w:val="32"/>
          <w:lang w:eastAsia="zh-CN"/>
        </w:rPr>
        <w:t>有</w:t>
      </w:r>
      <w:r>
        <w:rPr>
          <w:rFonts w:ascii="仿宋_GB2312" w:eastAsia="仿宋_GB2312" w:cs="Calibri"/>
          <w:color w:val="auto"/>
          <w:sz w:val="32"/>
          <w:szCs w:val="32"/>
          <w:lang w:eastAsia="zh-CN"/>
        </w:rPr>
        <w:t>急救物品和相应药品。配备医疗救护专业人员，能够对选手、裁判、专家及工作人员等突发的紧急健康问题开展有效救护工作。</w:t>
      </w:r>
    </w:p>
    <w:p w14:paraId="7630FF55">
      <w:pPr>
        <w:pStyle w:val="2"/>
        <w:spacing w:before="0" w:after="0" w:line="360" w:lineRule="auto"/>
        <w:ind w:firstLine="640" w:firstLineChars="200"/>
        <w:rPr>
          <w:rFonts w:ascii="黑体" w:hAnsi="黑体" w:eastAsia="黑体" w:cs="宋体"/>
          <w:b w:val="0"/>
          <w:bCs w:val="0"/>
          <w:sz w:val="32"/>
          <w:szCs w:val="32"/>
          <w:lang w:eastAsia="zh-CN"/>
        </w:rPr>
      </w:pPr>
      <w:bookmarkStart w:id="43" w:name="_Toc243408271"/>
      <w:r>
        <w:rPr>
          <w:rFonts w:hint="eastAsia" w:ascii="黑体" w:hAnsi="黑体" w:eastAsia="黑体" w:cs="宋体"/>
          <w:b w:val="0"/>
          <w:bCs w:val="0"/>
          <w:sz w:val="32"/>
          <w:szCs w:val="32"/>
          <w:lang w:eastAsia="zh-CN"/>
        </w:rPr>
        <w:t>十三、竞赛须知</w:t>
      </w:r>
      <w:bookmarkEnd w:id="43"/>
    </w:p>
    <w:p w14:paraId="50C0519F">
      <w:pPr>
        <w:pStyle w:val="3"/>
        <w:spacing w:before="0" w:after="0" w:line="360" w:lineRule="auto"/>
        <w:ind w:firstLine="643" w:firstLineChars="200"/>
        <w:rPr>
          <w:rFonts w:hint="eastAsia" w:ascii="楷体_GB2312" w:eastAsia="楷体_GB2312"/>
          <w:lang w:eastAsia="zh-CN"/>
        </w:rPr>
      </w:pPr>
      <w:bookmarkStart w:id="44" w:name="_Toc243408272"/>
      <w:r>
        <w:rPr>
          <w:rFonts w:hint="eastAsia" w:ascii="楷体_GB2312" w:eastAsia="楷体_GB2312"/>
          <w:lang w:eastAsia="zh-CN"/>
        </w:rPr>
        <w:t>（一）参赛队须知</w:t>
      </w:r>
      <w:bookmarkEnd w:id="44"/>
    </w:p>
    <w:p w14:paraId="7D081068">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1.参赛队统一使用规定的代表队名称。</w:t>
      </w:r>
    </w:p>
    <w:p w14:paraId="396A6935">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2.每支参赛队由领队、指导教师和参赛学生组成。</w:t>
      </w:r>
      <w:r>
        <w:rPr>
          <w:rFonts w:hint="eastAsia" w:ascii="仿宋_GB2312" w:eastAsia="仿宋_GB2312" w:cs="Calibri"/>
          <w:color w:val="auto"/>
          <w:sz w:val="32"/>
          <w:szCs w:val="32"/>
          <w:lang w:eastAsia="zh-CN"/>
        </w:rPr>
        <w:t>领队可以由指导教师担任。</w:t>
      </w:r>
    </w:p>
    <w:p w14:paraId="4252E0CF">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3.参赛选手必须与正式报名名单一致，不允许更换选手，允许缺员竞赛。</w:t>
      </w:r>
    </w:p>
    <w:p w14:paraId="008734C7">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4.参赛选手需购买人身意外险。保险费、交通费、食宿费由各参赛队自理。</w:t>
      </w:r>
    </w:p>
    <w:p w14:paraId="5E006605">
      <w:pPr>
        <w:pStyle w:val="4"/>
        <w:kinsoku/>
        <w:spacing w:line="360" w:lineRule="auto"/>
        <w:ind w:firstLine="640" w:firstLineChars="200"/>
        <w:jc w:val="both"/>
        <w:rPr>
          <w:rFonts w:ascii="仿宋_GB2312" w:eastAsia="仿宋_GB2312" w:cs="Calibri"/>
          <w:color w:val="auto"/>
          <w:sz w:val="32"/>
          <w:szCs w:val="32"/>
          <w:lang w:eastAsia="zh-CN"/>
        </w:rPr>
      </w:pPr>
      <w:r>
        <w:rPr>
          <w:rFonts w:ascii="仿宋_GB2312" w:eastAsia="仿宋_GB2312" w:cs="Calibri"/>
          <w:color w:val="auto"/>
          <w:sz w:val="32"/>
          <w:szCs w:val="32"/>
          <w:lang w:eastAsia="zh-CN"/>
        </w:rPr>
        <w:t>5.各参赛队领队负责比赛协调工作，应按赛项执委会要求参加领队会议，传达会议精神。应妥善管理好本参赛队人员的日常生活及安全。坚决执行赛项的各项规定，加强对参赛选手的管理，做好赛前准备工作。</w:t>
      </w:r>
    </w:p>
    <w:p w14:paraId="5056C2B4">
      <w:pPr>
        <w:pStyle w:val="3"/>
        <w:spacing w:before="0" w:after="0" w:line="360" w:lineRule="auto"/>
        <w:ind w:firstLine="643" w:firstLineChars="200"/>
        <w:rPr>
          <w:rFonts w:ascii="楷体_GB2312" w:eastAsia="楷体_GB2312"/>
          <w:lang w:eastAsia="zh-CN"/>
        </w:rPr>
      </w:pPr>
      <w:bookmarkStart w:id="45" w:name="_Toc243408273"/>
      <w:r>
        <w:rPr>
          <w:rFonts w:hint="eastAsia" w:ascii="楷体_GB2312" w:eastAsia="楷体_GB2312"/>
          <w:lang w:eastAsia="zh-CN"/>
        </w:rPr>
        <w:t>（二）参赛选手须知</w:t>
      </w:r>
      <w:bookmarkEnd w:id="45"/>
    </w:p>
    <w:p w14:paraId="2B78667B">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1.参赛选手须严格按照规定时间持本人身份证和参赛证、学生证进入比赛场地，证件不齐全者不准进入考场。不允许携带任何竞赛规程禁止使用的电子产品及通讯工具，以及其它与竞赛有关的资料和书籍，违规者取消本次竞赛资格。</w:t>
      </w:r>
    </w:p>
    <w:p w14:paraId="45005686">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2.参赛选手按大赛要求统一着装进入赛场。着装不应出现院校及个人等涉及竞赛场上应该保密的信息，并符合安全及竞赛要求。</w:t>
      </w:r>
    </w:p>
    <w:p w14:paraId="3904245A">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3.竞赛开始、终止时间由工作人员记录在案；比赛时间到，选手停止撰写或实操，按照要求离开竞赛区域。参赛选手提前结束竞赛并示意后，不得再进行任何操作。</w:t>
      </w:r>
    </w:p>
    <w:p w14:paraId="6EF36A15">
      <w:pPr>
        <w:pStyle w:val="4"/>
        <w:kinsoku/>
        <w:spacing w:line="360" w:lineRule="auto"/>
        <w:ind w:firstLine="640" w:firstLineChars="200"/>
        <w:jc w:val="both"/>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4.参赛选手应该文明参赛，服从裁判统一指挥，尊重赛场工作人员，自觉维护赛场秩序。竞赛过程中如有特殊情况，需提交监考人员或裁判人员处理，不得擅自停止比赛或离开赛场，否则以弃权处理。</w:t>
      </w:r>
    </w:p>
    <w:p w14:paraId="0B399C39">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5.参赛选手对于认为有影响个人比赛成绩的裁判行为或设备故障等问题，应向指导老师反映，由领队按大赛制度规定进行申诉。参赛选手不得利用比赛相关的微信群、QQ群、抖音等发表虚假信息和不当言论。</w:t>
      </w:r>
    </w:p>
    <w:p w14:paraId="3C2ADC19">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6.参赛选手须严格遵守竞赛规程规定的安全操作流程，防止发生安全事故。</w:t>
      </w:r>
    </w:p>
    <w:p w14:paraId="534A770F">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7.参赛选手应该爱护赛场使用的设备、仪器等，不得人为损坏比赛所使用的仪器设备。</w:t>
      </w:r>
    </w:p>
    <w:p w14:paraId="6AC65B54">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8.比赛过程中如需去洗手间，应报告现场裁判，由裁判或赛场工作人员陪同离开赛场。</w:t>
      </w:r>
    </w:p>
    <w:p w14:paraId="56AAA066">
      <w:pPr>
        <w:pStyle w:val="3"/>
        <w:keepNext w:val="0"/>
        <w:keepLines w:val="0"/>
        <w:pageBreakBefore w:val="0"/>
        <w:widowControl w:val="0"/>
        <w:wordWrap/>
        <w:overflowPunct/>
        <w:topLinePunct w:val="0"/>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46" w:name="_Toc243408274"/>
      <w:r>
        <w:rPr>
          <w:rFonts w:hint="eastAsia" w:ascii="楷体_GB2312" w:eastAsia="楷体_GB2312"/>
          <w:lang w:eastAsia="zh-CN"/>
        </w:rPr>
        <w:t>（三）指导教师须知</w:t>
      </w:r>
      <w:bookmarkEnd w:id="46"/>
    </w:p>
    <w:p w14:paraId="6AD83EB2">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ascii="仿宋_GB2312" w:eastAsia="仿宋_GB2312" w:cs="Calibri"/>
          <w:color w:val="auto"/>
          <w:sz w:val="32"/>
          <w:szCs w:val="32"/>
          <w:lang w:eastAsia="zh-CN"/>
        </w:rPr>
        <w:t>1.指导教师必须是参赛选手所在学校的在职专任教师，指导教师一经确定不得随意变更。</w:t>
      </w:r>
    </w:p>
    <w:p w14:paraId="04EA241C">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ascii="仿宋_GB2312" w:eastAsia="仿宋_GB2312" w:cs="Calibri"/>
          <w:color w:val="auto"/>
          <w:sz w:val="32"/>
          <w:szCs w:val="32"/>
          <w:lang w:eastAsia="zh-CN"/>
        </w:rPr>
        <w:t>2.指导教师应认真研究本赛项的技术规则和赛场要求，根据专业教学计划和赛项规程合理制定训练方案，培养学生的职业素养和综合能力，指导选手做好赛前的一切准备工作。克服功利思想，避免为赛而学、以赛代学。</w:t>
      </w:r>
    </w:p>
    <w:p w14:paraId="2577F9F3">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ascii="仿宋_GB2312" w:eastAsia="仿宋_GB2312" w:cs="Calibri"/>
          <w:color w:val="auto"/>
          <w:sz w:val="32"/>
          <w:szCs w:val="32"/>
          <w:lang w:eastAsia="zh-CN"/>
        </w:rPr>
        <w:t>3.指导教师应自觉遵守赛项各项规定，尊重专家、裁判等各类工作人员。对比赛过程有争议的问题，要按大赛规定的申诉程序处理，不得采取过激行为，不得在微信</w:t>
      </w:r>
      <w:r>
        <w:rPr>
          <w:rFonts w:hint="eastAsia" w:ascii="仿宋_GB2312" w:eastAsia="仿宋_GB2312" w:cs="Calibri"/>
          <w:color w:val="auto"/>
          <w:sz w:val="32"/>
          <w:szCs w:val="32"/>
          <w:lang w:eastAsia="zh-CN"/>
        </w:rPr>
        <w:t>、QQ、抖音</w:t>
      </w:r>
      <w:r>
        <w:rPr>
          <w:rFonts w:ascii="仿宋_GB2312" w:eastAsia="仿宋_GB2312" w:cs="Calibri"/>
          <w:color w:val="auto"/>
          <w:sz w:val="32"/>
          <w:szCs w:val="32"/>
          <w:lang w:eastAsia="zh-CN"/>
        </w:rPr>
        <w:t>等网络平台传播有待核实的信息和不当言论。</w:t>
      </w:r>
    </w:p>
    <w:p w14:paraId="06BCA677">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ascii="仿宋_GB2312" w:eastAsia="仿宋_GB2312" w:cs="Calibri"/>
          <w:color w:val="auto"/>
          <w:sz w:val="32"/>
          <w:szCs w:val="32"/>
          <w:lang w:eastAsia="zh-CN"/>
        </w:rPr>
        <w:t>4.对申诉的仲裁结果，领队和指导老师应带头服从和执行，并做好选手的思想工作。</w:t>
      </w:r>
    </w:p>
    <w:p w14:paraId="0E4AC5C7">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ascii="仿宋_GB2312" w:eastAsia="仿宋_GB2312" w:cs="Calibri"/>
          <w:color w:val="auto"/>
          <w:sz w:val="32"/>
          <w:szCs w:val="32"/>
          <w:lang w:eastAsia="zh-CN"/>
        </w:rPr>
        <w:t>5.领队和指导老师应在赛后做好技术和工作总结。</w:t>
      </w:r>
    </w:p>
    <w:p w14:paraId="65920CA7">
      <w:pPr>
        <w:pStyle w:val="3"/>
        <w:keepNext w:val="0"/>
        <w:keepLines w:val="0"/>
        <w:pageBreakBefore w:val="0"/>
        <w:widowControl w:val="0"/>
        <w:wordWrap/>
        <w:overflowPunct/>
        <w:topLinePunct w:val="0"/>
        <w:autoSpaceDE w:val="0"/>
        <w:autoSpaceDN w:val="0"/>
        <w:bidi w:val="0"/>
        <w:adjustRightInd w:val="0"/>
        <w:snapToGrid w:val="0"/>
        <w:spacing w:before="0" w:after="0" w:line="360" w:lineRule="auto"/>
        <w:ind w:firstLine="643" w:firstLineChars="200"/>
        <w:textAlignment w:val="baseline"/>
        <w:rPr>
          <w:rFonts w:ascii="楷体_GB2312" w:eastAsia="楷体_GB2312"/>
          <w:lang w:eastAsia="zh-CN"/>
        </w:rPr>
      </w:pPr>
      <w:bookmarkStart w:id="47" w:name="_Toc243408275"/>
      <w:r>
        <w:rPr>
          <w:rFonts w:hint="eastAsia" w:ascii="楷体_GB2312" w:eastAsia="楷体_GB2312"/>
          <w:lang w:eastAsia="zh-CN"/>
        </w:rPr>
        <w:t>（四）工作人员须知</w:t>
      </w:r>
      <w:bookmarkEnd w:id="47"/>
    </w:p>
    <w:p w14:paraId="2EFC46B3">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ascii="仿宋_GB2312" w:eastAsia="仿宋_GB2312" w:cs="Calibri"/>
          <w:color w:val="auto"/>
          <w:sz w:val="32"/>
          <w:szCs w:val="32"/>
          <w:lang w:eastAsia="zh-CN"/>
        </w:rPr>
        <w:t>1.赛场各类工作人员必须统一佩戴由赛项执委会印制的相应证件，着装整齐，进入工作岗位。</w:t>
      </w:r>
    </w:p>
    <w:p w14:paraId="1F310750">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ascii="仿宋_GB2312" w:eastAsia="仿宋_GB2312" w:cs="Calibri"/>
          <w:color w:val="auto"/>
          <w:sz w:val="32"/>
          <w:szCs w:val="32"/>
          <w:lang w:eastAsia="zh-CN"/>
        </w:rPr>
        <w:t>2.除赛项执委会成员、专家组成员、现场裁判、赛场配备的工作人员外，其他人员未经赛项执委会允许不得进入赛场</w:t>
      </w:r>
      <w:r>
        <w:rPr>
          <w:rFonts w:hint="eastAsia" w:ascii="仿宋_GB2312" w:eastAsia="仿宋_GB2312" w:cs="Calibri"/>
          <w:color w:val="auto"/>
          <w:sz w:val="32"/>
          <w:szCs w:val="32"/>
          <w:lang w:eastAsia="zh-CN"/>
        </w:rPr>
        <w:t>。</w:t>
      </w:r>
    </w:p>
    <w:p w14:paraId="36F24A13">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ascii="仿宋_GB2312" w:eastAsia="仿宋_GB2312" w:cs="Calibri"/>
          <w:color w:val="auto"/>
          <w:sz w:val="32"/>
          <w:szCs w:val="32"/>
          <w:lang w:eastAsia="zh-CN"/>
        </w:rPr>
        <w:t>3.新闻媒体人员等进入赛场必须经过赛项执委会允许，并且听从现场工作人员的安排和指挥，不得影响竞赛正常进行</w:t>
      </w:r>
      <w:r>
        <w:rPr>
          <w:rFonts w:hint="eastAsia" w:ascii="仿宋_GB2312" w:eastAsia="仿宋_GB2312" w:cs="Calibri"/>
          <w:color w:val="auto"/>
          <w:sz w:val="32"/>
          <w:szCs w:val="32"/>
          <w:lang w:eastAsia="zh-CN"/>
        </w:rPr>
        <w:t>。</w:t>
      </w:r>
    </w:p>
    <w:p w14:paraId="081095B8">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ascii="仿宋_GB2312" w:eastAsia="仿宋_GB2312" w:cs="Calibri"/>
          <w:color w:val="auto"/>
          <w:sz w:val="32"/>
          <w:szCs w:val="32"/>
          <w:lang w:eastAsia="zh-CN"/>
        </w:rPr>
        <w:t>4.工作人员于赛前 60 分钟到达赛场，严守工作岗位，不迟到。不早退，不无故离岗。遇特殊情况需离开岗位，须向赛项执委会请假</w:t>
      </w:r>
      <w:r>
        <w:rPr>
          <w:rFonts w:hint="eastAsia" w:ascii="仿宋_GB2312" w:eastAsia="仿宋_GB2312" w:cs="Calibri"/>
          <w:color w:val="auto"/>
          <w:sz w:val="32"/>
          <w:szCs w:val="32"/>
          <w:lang w:eastAsia="zh-CN"/>
        </w:rPr>
        <w:t>。</w:t>
      </w:r>
    </w:p>
    <w:p w14:paraId="7F4C6D03">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ascii="仿宋_GB2312" w:eastAsia="仿宋_GB2312" w:cs="Calibri"/>
          <w:color w:val="auto"/>
          <w:sz w:val="32"/>
          <w:szCs w:val="32"/>
          <w:lang w:eastAsia="zh-CN"/>
        </w:rPr>
        <w:t>5.熟悉竞赛规程，严格按照工作程序和有关规定办事，遇突发事件，按照安全工作预案，组织指挥人员疏散，确保人员安全</w:t>
      </w:r>
      <w:r>
        <w:rPr>
          <w:rFonts w:hint="eastAsia" w:ascii="仿宋_GB2312" w:eastAsia="仿宋_GB2312" w:cs="Calibri"/>
          <w:color w:val="auto"/>
          <w:sz w:val="32"/>
          <w:szCs w:val="32"/>
          <w:lang w:eastAsia="zh-CN"/>
        </w:rPr>
        <w:t>。</w:t>
      </w:r>
    </w:p>
    <w:p w14:paraId="31FEFCA2">
      <w:pPr>
        <w:pStyle w:val="2"/>
        <w:keepNext w:val="0"/>
        <w:keepLines w:val="0"/>
        <w:pageBreakBefore w:val="0"/>
        <w:widowControl w:val="0"/>
        <w:wordWrap/>
        <w:overflowPunct/>
        <w:topLinePunct w:val="0"/>
        <w:autoSpaceDE w:val="0"/>
        <w:autoSpaceDN w:val="0"/>
        <w:bidi w:val="0"/>
        <w:adjustRightInd w:val="0"/>
        <w:snapToGrid w:val="0"/>
        <w:spacing w:before="0" w:after="0" w:line="360" w:lineRule="auto"/>
        <w:ind w:firstLine="640" w:firstLineChars="200"/>
        <w:textAlignment w:val="baseline"/>
        <w:rPr>
          <w:rFonts w:ascii="黑体" w:hAnsi="黑体" w:eastAsia="黑体" w:cs="宋体"/>
          <w:b w:val="0"/>
          <w:bCs w:val="0"/>
          <w:sz w:val="32"/>
          <w:szCs w:val="32"/>
          <w:lang w:eastAsia="zh-CN"/>
        </w:rPr>
      </w:pPr>
      <w:bookmarkStart w:id="48" w:name="_Toc243408276"/>
      <w:r>
        <w:rPr>
          <w:rFonts w:hint="eastAsia" w:ascii="黑体" w:hAnsi="黑体" w:eastAsia="黑体" w:cs="宋体"/>
          <w:b w:val="0"/>
          <w:bCs w:val="0"/>
          <w:sz w:val="32"/>
          <w:szCs w:val="32"/>
          <w:lang w:eastAsia="zh-CN"/>
        </w:rPr>
        <w:t>十四、申诉与仲裁</w:t>
      </w:r>
      <w:bookmarkEnd w:id="48"/>
    </w:p>
    <w:p w14:paraId="1E2EA619">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1.裁判组兼仲裁组。各参赛队对不符合大赛和赛项规程规定的仪器、设备、服装、竞赛使用耗材、用品，竞赛执裁、赛场管理，以及工作人员的不规范行为等，可向赛项仲裁组提出申诉。申诉主体为参赛队领队。</w:t>
      </w:r>
    </w:p>
    <w:p w14:paraId="7EA6DF5A">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2.仲裁人员的姓名、联系方式、工作地点在竞赛期间向参赛队和工作人员公示，确保信息畅通并同时接受大众监督。</w:t>
      </w:r>
    </w:p>
    <w:p w14:paraId="62D36A77">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3.申诉启动时，由参赛队领队向赛项仲裁工作组递交亲笔签字同意的书面申诉报告。申诉报告应对申诉事件的现象、发生时间、涉及人员、申诉依据等进行充分、实事求是的叙述。非书面申诉不予受理。</w:t>
      </w:r>
    </w:p>
    <w:p w14:paraId="63A85149">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4.提出申诉的时间应在比赛结束后（选手赛场比赛内容全部完成）2 小时内。超过时效不予受理。</w:t>
      </w:r>
    </w:p>
    <w:p w14:paraId="4B43599A">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5.赛项仲裁工作组在接到申诉报告后的2小时内组织复议，并及时将复议结果以书面形式告知申诉方。</w:t>
      </w:r>
    </w:p>
    <w:p w14:paraId="71D13AFD">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6.申诉方不得以任何理由拒绝接收仲裁结果。仲裁结果由申诉人签收，不能代收。</w:t>
      </w:r>
    </w:p>
    <w:p w14:paraId="02D0F825">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7.如在约定时间和地点申诉人离开，视为自行放弃申诉；申诉方可随时提出放弃申诉。</w:t>
      </w:r>
    </w:p>
    <w:p w14:paraId="25CC5D37">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8.申诉方必须提供真实的申诉信息并严格遵守申诉程序，不得以任何理由采取过激行为扰乱赛场秩序。</w:t>
      </w:r>
    </w:p>
    <w:p w14:paraId="2C20BC2F">
      <w:pPr>
        <w:pStyle w:val="2"/>
        <w:keepNext w:val="0"/>
        <w:keepLines w:val="0"/>
        <w:pageBreakBefore w:val="0"/>
        <w:widowControl w:val="0"/>
        <w:wordWrap/>
        <w:overflowPunct/>
        <w:topLinePunct w:val="0"/>
        <w:autoSpaceDE w:val="0"/>
        <w:autoSpaceDN w:val="0"/>
        <w:bidi w:val="0"/>
        <w:adjustRightInd w:val="0"/>
        <w:snapToGrid w:val="0"/>
        <w:spacing w:before="0" w:after="0" w:line="360" w:lineRule="auto"/>
        <w:ind w:firstLine="640" w:firstLineChars="200"/>
        <w:textAlignment w:val="baseline"/>
        <w:rPr>
          <w:rFonts w:ascii="黑体" w:hAnsi="黑体" w:eastAsia="黑体" w:cs="宋体"/>
          <w:b w:val="0"/>
          <w:bCs w:val="0"/>
          <w:sz w:val="32"/>
          <w:szCs w:val="32"/>
          <w:lang w:eastAsia="zh-CN"/>
        </w:rPr>
      </w:pPr>
      <w:bookmarkStart w:id="49" w:name="_Toc243408277"/>
      <w:r>
        <w:rPr>
          <w:rFonts w:hint="eastAsia" w:ascii="黑体" w:hAnsi="黑体" w:eastAsia="黑体" w:cs="宋体"/>
          <w:b w:val="0"/>
          <w:bCs w:val="0"/>
          <w:sz w:val="32"/>
          <w:szCs w:val="32"/>
          <w:lang w:eastAsia="zh-CN"/>
        </w:rPr>
        <w:t>十五、竞赛观摩</w:t>
      </w:r>
      <w:bookmarkEnd w:id="49"/>
    </w:p>
    <w:p w14:paraId="7EE02033">
      <w:pPr>
        <w:keepNext w:val="0"/>
        <w:keepLines w:val="0"/>
        <w:pageBreakBefore w:val="0"/>
        <w:widowControl w:val="0"/>
        <w:wordWrap/>
        <w:overflowPunct/>
        <w:topLinePunct w:val="0"/>
        <w:autoSpaceDE w:val="0"/>
        <w:autoSpaceDN w:val="0"/>
        <w:bidi w:val="0"/>
        <w:adjustRightInd w:val="0"/>
        <w:snapToGrid w:val="0"/>
        <w:spacing w:line="360" w:lineRule="auto"/>
        <w:ind w:firstLine="640" w:firstLineChars="200"/>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 xml:space="preserve">1.根据竞赛场地情况，设场外观摩区，竞赛场内不设观摩区。 </w:t>
      </w:r>
    </w:p>
    <w:p w14:paraId="77404F84">
      <w:pPr>
        <w:keepNext w:val="0"/>
        <w:keepLines w:val="0"/>
        <w:pageBreakBefore w:val="0"/>
        <w:widowControl w:val="0"/>
        <w:wordWrap/>
        <w:overflowPunct/>
        <w:topLinePunct w:val="0"/>
        <w:autoSpaceDE w:val="0"/>
        <w:autoSpaceDN w:val="0"/>
        <w:bidi w:val="0"/>
        <w:adjustRightInd w:val="0"/>
        <w:snapToGrid w:val="0"/>
        <w:spacing w:line="360" w:lineRule="auto"/>
        <w:ind w:firstLine="640" w:firstLineChars="200"/>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 xml:space="preserve">2.采取直播方式的公开观摩，观摩区（室）用高清大屏幕或投影设备显示赛场内竞赛状况。 </w:t>
      </w:r>
    </w:p>
    <w:p w14:paraId="7937790E">
      <w:pPr>
        <w:keepNext w:val="0"/>
        <w:keepLines w:val="0"/>
        <w:pageBreakBefore w:val="0"/>
        <w:widowControl w:val="0"/>
        <w:wordWrap/>
        <w:overflowPunct/>
        <w:topLinePunct w:val="0"/>
        <w:autoSpaceDE w:val="0"/>
        <w:autoSpaceDN w:val="0"/>
        <w:bidi w:val="0"/>
        <w:adjustRightInd w:val="0"/>
        <w:snapToGrid w:val="0"/>
        <w:spacing w:line="360" w:lineRule="auto"/>
        <w:ind w:firstLine="640" w:firstLineChars="200"/>
        <w:textAlignment w:val="baseline"/>
        <w:rPr>
          <w:rFonts w:ascii="仿宋_GB2312" w:eastAsia="仿宋_GB2312" w:cs="Calibri"/>
          <w:color w:val="auto"/>
          <w:sz w:val="32"/>
          <w:szCs w:val="32"/>
          <w:lang w:eastAsia="zh-CN"/>
        </w:rPr>
      </w:pPr>
      <w:r>
        <w:rPr>
          <w:rFonts w:hint="eastAsia" w:ascii="仿宋_GB2312" w:eastAsia="仿宋_GB2312" w:cs="Calibri"/>
          <w:color w:val="auto"/>
          <w:sz w:val="32"/>
          <w:szCs w:val="32"/>
          <w:lang w:eastAsia="zh-CN"/>
        </w:rPr>
        <w:t>3.在观摩区内要遵守大赛纪律和承办院校管理要求。</w:t>
      </w:r>
    </w:p>
    <w:p w14:paraId="4AD8B37D">
      <w:pPr>
        <w:pStyle w:val="4"/>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baseline"/>
        <w:rPr>
          <w:rFonts w:ascii="仿宋_GB2312" w:eastAsia="仿宋_GB2312" w:cs="Calibri"/>
          <w:color w:val="auto"/>
          <w:sz w:val="32"/>
          <w:szCs w:val="32"/>
          <w:lang w:eastAsia="zh-CN"/>
        </w:rPr>
      </w:pPr>
    </w:p>
    <w:sectPr>
      <w:footerReference r:id="rId6" w:type="first"/>
      <w:footerReference r:id="rId5" w:type="default"/>
      <w:pgSz w:w="11906" w:h="16838"/>
      <w:pgMar w:top="2098" w:right="1474" w:bottom="1984" w:left="1587"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948445A-8E33-472C-BE78-83B72FCD7FA0}"/>
  </w:font>
  <w:font w:name="黑体">
    <w:panose1 w:val="02010609060101010101"/>
    <w:charset w:val="86"/>
    <w:family w:val="auto"/>
    <w:pitch w:val="default"/>
    <w:sig w:usb0="800002BF" w:usb1="38CF7CFA" w:usb2="00000016" w:usb3="00000000" w:csb0="00040001" w:csb1="00000000"/>
    <w:embedRegular r:id="rId2" w:fontKey="{3544FB85-B3DD-435B-9C58-269483A9A78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7C24FF9A-910B-4F9E-A346-32127EAD29D1}"/>
  </w:font>
  <w:font w:name="Arial">
    <w:panose1 w:val="020B0604020202020204"/>
    <w:charset w:val="00"/>
    <w:family w:val="swiss"/>
    <w:pitch w:val="default"/>
    <w:sig w:usb0="E0002EFF" w:usb1="C000785B" w:usb2="00000009" w:usb3="00000000" w:csb0="400001FF" w:csb1="FFFF0000"/>
    <w:embedRegular r:id="rId4" w:fontKey="{4F7ED77B-562C-4A90-BDA1-30D7526B1B58}"/>
  </w:font>
  <w:font w:name="Calibri Light">
    <w:panose1 w:val="020F0302020204030204"/>
    <w:charset w:val="00"/>
    <w:family w:val="swiss"/>
    <w:pitch w:val="default"/>
    <w:sig w:usb0="E4002EFF" w:usb1="C2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embedRegular r:id="rId5" w:fontKey="{56C47AEC-DA14-4497-8D23-919623924E30}"/>
  </w:font>
  <w:font w:name="方正小标宋_GBK">
    <w:panose1 w:val="02000000000000000000"/>
    <w:charset w:val="86"/>
    <w:family w:val="auto"/>
    <w:pitch w:val="default"/>
    <w:sig w:usb0="00000001" w:usb1="080E0000" w:usb2="00000000" w:usb3="00000000" w:csb0="00040000" w:csb1="00000000"/>
    <w:embedRegular r:id="rId6" w:fontKey="{83089D8E-996C-42B6-8D4C-C3696B1CEBC3}"/>
  </w:font>
  <w:font w:name="楷体_GB2312">
    <w:panose1 w:val="02010609030101010101"/>
    <w:charset w:val="86"/>
    <w:family w:val="modern"/>
    <w:pitch w:val="default"/>
    <w:sig w:usb0="00000001" w:usb1="080E0000" w:usb2="00000000" w:usb3="00000000" w:csb0="00040000" w:csb1="00000000"/>
    <w:embedRegular r:id="rId7" w:fontKey="{06038682-844C-440C-A240-3740FB8EF36C}"/>
  </w:font>
  <w:font w:name="仿宋_GB2312">
    <w:panose1 w:val="02010609030101010101"/>
    <w:charset w:val="86"/>
    <w:family w:val="modern"/>
    <w:pitch w:val="default"/>
    <w:sig w:usb0="00000001" w:usb1="080E0000" w:usb2="00000000" w:usb3="00000000" w:csb0="00040000" w:csb1="00000000"/>
    <w:embedRegular r:id="rId8" w:fontKey="{ABC267BB-D8F7-4069-ABDC-35751DE5B948}"/>
  </w:font>
  <w:font w:name="仿宋">
    <w:panose1 w:val="02010609060101010101"/>
    <w:charset w:val="86"/>
    <w:family w:val="modern"/>
    <w:pitch w:val="default"/>
    <w:sig w:usb0="800002BF" w:usb1="38CF7CFA" w:usb2="00000016" w:usb3="00000000" w:csb0="00040001" w:csb1="00000000"/>
    <w:embedRegular r:id="rId9" w:fontKey="{BD8E1827-203E-4F12-8F86-44EF8C59E206}"/>
  </w:font>
  <w:font w:name="方正仿宋_GB2312">
    <w:altName w:val="微软雅黑"/>
    <w:panose1 w:val="00000000000000000000"/>
    <w:charset w:val="86"/>
    <w:family w:val="auto"/>
    <w:pitch w:val="default"/>
    <w:sig w:usb0="00000000" w:usb1="00000000" w:usb2="00000012" w:usb3="00000000" w:csb0="00040001" w:csb1="00000000"/>
    <w:embedRegular r:id="rId10" w:fontKey="{A17A138B-2F3B-452B-9F67-4E43A2099F33}"/>
  </w:font>
  <w:font w:name="微软雅黑">
    <w:panose1 w:val="020B0503020204020204"/>
    <w:charset w:val="86"/>
    <w:family w:val="auto"/>
    <w:pitch w:val="default"/>
    <w:sig w:usb0="80000287" w:usb1="2ACF3C50" w:usb2="00000016" w:usb3="00000000" w:csb0="0004001F" w:csb1="00000000"/>
  </w:font>
  <w:font w:name="___WRD_EMBED_SUB_48">
    <w:altName w:val="宋体"/>
    <w:panose1 w:val="00000000000000000000"/>
    <w:charset w:val="86"/>
    <w:family w:val="auto"/>
    <w:pitch w:val="default"/>
    <w:sig w:usb0="00000000" w:usb1="00000000" w:usb2="00000012" w:usb3="00000000" w:csb0="00040001" w:csb1="00000000"/>
    <w:embedRegular r:id="rId11" w:fontKey="{E9FC6F92-0416-4A1D-BBA7-1F162C5EFB8B}"/>
  </w:font>
  <w:font w:name="楷体">
    <w:panose1 w:val="02010609060101010101"/>
    <w:charset w:val="86"/>
    <w:family w:val="modern"/>
    <w:pitch w:val="default"/>
    <w:sig w:usb0="800002BF" w:usb1="38CF7CFA" w:usb2="00000016" w:usb3="00000000" w:csb0="00040001" w:csb1="00000000"/>
    <w:embedRegular r:id="rId12" w:fontKey="{F837D8CC-5CC4-429C-8E40-19EA7D04334E}"/>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801ED">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AE12A">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DE4F19D">
                          <w:pPr>
                            <w:pStyle w:val="6"/>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DE4F19D">
                    <w:pPr>
                      <w:pStyle w:val="6"/>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F4A50">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B6FE11C">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1B6FE11C">
                    <w:pPr>
                      <w:pStyle w:val="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88A89">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RlZjg1NWQwNjRlNjFlNTVmNDVhYTk0ZDgwMTZiYWQifQ=="/>
  </w:docVars>
  <w:rsids>
    <w:rsidRoot w:val="008B2B65"/>
    <w:rsid w:val="000964DC"/>
    <w:rsid w:val="00137408"/>
    <w:rsid w:val="001459C1"/>
    <w:rsid w:val="00152AA6"/>
    <w:rsid w:val="001E3F7D"/>
    <w:rsid w:val="00236C7D"/>
    <w:rsid w:val="003116DD"/>
    <w:rsid w:val="003F7724"/>
    <w:rsid w:val="005E7637"/>
    <w:rsid w:val="00721B14"/>
    <w:rsid w:val="008552A7"/>
    <w:rsid w:val="008870F4"/>
    <w:rsid w:val="008B2B65"/>
    <w:rsid w:val="009456ED"/>
    <w:rsid w:val="00995BB2"/>
    <w:rsid w:val="00A465E9"/>
    <w:rsid w:val="00A74A1D"/>
    <w:rsid w:val="00A92771"/>
    <w:rsid w:val="00A93DED"/>
    <w:rsid w:val="00C11AE2"/>
    <w:rsid w:val="00C270EB"/>
    <w:rsid w:val="00C50C20"/>
    <w:rsid w:val="00C95C84"/>
    <w:rsid w:val="00D44B4D"/>
    <w:rsid w:val="00DC0769"/>
    <w:rsid w:val="00DF4039"/>
    <w:rsid w:val="00E13472"/>
    <w:rsid w:val="00EC0609"/>
    <w:rsid w:val="00EC638A"/>
    <w:rsid w:val="00EC65C7"/>
    <w:rsid w:val="00ED0EC2"/>
    <w:rsid w:val="00EF20D0"/>
    <w:rsid w:val="00FC603F"/>
    <w:rsid w:val="03CF6697"/>
    <w:rsid w:val="0B8B05BE"/>
    <w:rsid w:val="0E220142"/>
    <w:rsid w:val="115326CB"/>
    <w:rsid w:val="120E7E53"/>
    <w:rsid w:val="12C10A21"/>
    <w:rsid w:val="138B78D5"/>
    <w:rsid w:val="14870EA1"/>
    <w:rsid w:val="154C4F1A"/>
    <w:rsid w:val="1955156E"/>
    <w:rsid w:val="1CE76C97"/>
    <w:rsid w:val="200D799B"/>
    <w:rsid w:val="220F57C6"/>
    <w:rsid w:val="23242BD6"/>
    <w:rsid w:val="24927EC4"/>
    <w:rsid w:val="29DB1A63"/>
    <w:rsid w:val="2B4C0B44"/>
    <w:rsid w:val="2C516DBC"/>
    <w:rsid w:val="2E13620B"/>
    <w:rsid w:val="2F3A598B"/>
    <w:rsid w:val="31251FAA"/>
    <w:rsid w:val="315740C9"/>
    <w:rsid w:val="31BA3729"/>
    <w:rsid w:val="34A83397"/>
    <w:rsid w:val="35373099"/>
    <w:rsid w:val="37300CBE"/>
    <w:rsid w:val="38370A87"/>
    <w:rsid w:val="3BBD597A"/>
    <w:rsid w:val="3C99135D"/>
    <w:rsid w:val="3E833F2F"/>
    <w:rsid w:val="3FE51977"/>
    <w:rsid w:val="401818B4"/>
    <w:rsid w:val="41B17D2F"/>
    <w:rsid w:val="47FC1774"/>
    <w:rsid w:val="4A9A085A"/>
    <w:rsid w:val="4B580AAD"/>
    <w:rsid w:val="4F0B1BE8"/>
    <w:rsid w:val="518D1154"/>
    <w:rsid w:val="59122C0E"/>
    <w:rsid w:val="5AC8787B"/>
    <w:rsid w:val="5B7068ED"/>
    <w:rsid w:val="60B26BA1"/>
    <w:rsid w:val="60C70EC5"/>
    <w:rsid w:val="63DA00F4"/>
    <w:rsid w:val="6A4E432F"/>
    <w:rsid w:val="6A682DD1"/>
    <w:rsid w:val="6F153C17"/>
    <w:rsid w:val="7310405F"/>
    <w:rsid w:val="739729AE"/>
    <w:rsid w:val="75D04967"/>
    <w:rsid w:val="78287713"/>
    <w:rsid w:val="7DBC11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link w:val="1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9"/>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4">
    <w:name w:val="Body Text"/>
    <w:basedOn w:val="1"/>
    <w:link w:val="16"/>
    <w:semiHidden/>
    <w:qFormat/>
    <w:uiPriority w:val="0"/>
  </w:style>
  <w:style w:type="paragraph" w:styleId="5">
    <w:name w:val="Body Text Indent"/>
    <w:basedOn w:val="1"/>
    <w:qFormat/>
    <w:uiPriority w:val="0"/>
    <w:pPr>
      <w:spacing w:after="120"/>
      <w:ind w:left="420" w:leftChars="200"/>
    </w:pPr>
  </w:style>
  <w:style w:type="paragraph" w:styleId="6">
    <w:name w:val="footer"/>
    <w:basedOn w:val="1"/>
    <w:qFormat/>
    <w:uiPriority w:val="0"/>
    <w:pPr>
      <w:tabs>
        <w:tab w:val="center" w:pos="4153"/>
        <w:tab w:val="right" w:pos="8306"/>
      </w:tabs>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8">
    <w:name w:val="toc 1"/>
    <w:basedOn w:val="1"/>
    <w:next w:val="1"/>
    <w:autoRedefine/>
    <w:qFormat/>
    <w:uiPriority w:val="39"/>
  </w:style>
  <w:style w:type="paragraph" w:styleId="9">
    <w:name w:val="toc 2"/>
    <w:basedOn w:val="1"/>
    <w:next w:val="1"/>
    <w:autoRedefine/>
    <w:qFormat/>
    <w:uiPriority w:val="39"/>
    <w:pPr>
      <w:ind w:left="420" w:leftChars="200"/>
    </w:pPr>
  </w:style>
  <w:style w:type="paragraph" w:styleId="10">
    <w:name w:val="Body Text First Indent"/>
    <w:basedOn w:val="4"/>
    <w:link w:val="17"/>
    <w:qFormat/>
    <w:uiPriority w:val="0"/>
    <w:pPr>
      <w:spacing w:after="120"/>
      <w:ind w:firstLine="420" w:firstLineChars="100"/>
    </w:pPr>
  </w:style>
  <w:style w:type="paragraph" w:styleId="11">
    <w:name w:val="Body Text First Indent 2"/>
    <w:basedOn w:val="5"/>
    <w:qFormat/>
    <w:uiPriority w:val="0"/>
    <w:pPr>
      <w:ind w:firstLine="42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unhideWhenUsed/>
    <w:qFormat/>
    <w:uiPriority w:val="99"/>
    <w:rPr>
      <w:color w:val="0026E5" w:themeColor="hyperlink"/>
      <w:u w:val="single"/>
      <w14:textFill>
        <w14:solidFill>
          <w14:schemeClr w14:val="hlink"/>
        </w14:solidFill>
      </w14:textFill>
    </w:rPr>
  </w:style>
  <w:style w:type="character" w:customStyle="1" w:styleId="16">
    <w:name w:val="正文文本 字符"/>
    <w:basedOn w:val="14"/>
    <w:link w:val="4"/>
    <w:semiHidden/>
    <w:qFormat/>
    <w:uiPriority w:val="0"/>
    <w:rPr>
      <w:rFonts w:ascii="Arial" w:hAnsi="Arial" w:eastAsia="Arial" w:cs="Arial"/>
      <w:snapToGrid w:val="0"/>
      <w:color w:val="000000"/>
      <w:sz w:val="21"/>
      <w:szCs w:val="21"/>
      <w:lang w:eastAsia="en-US"/>
    </w:rPr>
  </w:style>
  <w:style w:type="character" w:customStyle="1" w:styleId="17">
    <w:name w:val="正文文本首行缩进 字符"/>
    <w:basedOn w:val="16"/>
    <w:link w:val="10"/>
    <w:qFormat/>
    <w:uiPriority w:val="0"/>
    <w:rPr>
      <w:rFonts w:ascii="Arial" w:hAnsi="Arial" w:eastAsia="Arial" w:cs="Arial"/>
      <w:snapToGrid w:val="0"/>
      <w:color w:val="000000"/>
      <w:sz w:val="21"/>
      <w:szCs w:val="21"/>
      <w:lang w:eastAsia="en-US"/>
    </w:rPr>
  </w:style>
  <w:style w:type="character" w:customStyle="1" w:styleId="18">
    <w:name w:val="标题 1 字符"/>
    <w:basedOn w:val="14"/>
    <w:link w:val="2"/>
    <w:qFormat/>
    <w:uiPriority w:val="0"/>
    <w:rPr>
      <w:rFonts w:ascii="Arial" w:hAnsi="Arial" w:eastAsia="Arial" w:cs="Arial"/>
      <w:b/>
      <w:bCs/>
      <w:snapToGrid w:val="0"/>
      <w:color w:val="000000"/>
      <w:kern w:val="44"/>
      <w:sz w:val="44"/>
      <w:szCs w:val="44"/>
      <w:lang w:eastAsia="en-US"/>
    </w:rPr>
  </w:style>
  <w:style w:type="character" w:customStyle="1" w:styleId="19">
    <w:name w:val="标题 2 字符"/>
    <w:basedOn w:val="14"/>
    <w:link w:val="3"/>
    <w:qFormat/>
    <w:uiPriority w:val="0"/>
    <w:rPr>
      <w:rFonts w:asciiTheme="majorHAnsi" w:hAnsiTheme="majorHAnsi" w:eastAsiaTheme="majorEastAsia" w:cstheme="majorBidi"/>
      <w:b/>
      <w:bCs/>
      <w:snapToGrid w:val="0"/>
      <w:color w:val="000000"/>
      <w:sz w:val="32"/>
      <w:szCs w:val="32"/>
      <w:lang w:eastAsia="en-US"/>
    </w:rPr>
  </w:style>
  <w:style w:type="paragraph" w:customStyle="1" w:styleId="20">
    <w:name w:val="TOC Heading"/>
    <w:basedOn w:val="2"/>
    <w:next w:val="1"/>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2E54A1" w:themeColor="accent1" w:themeShade="BF"/>
      <w:kern w:val="0"/>
      <w:sz w:val="32"/>
      <w:szCs w:val="32"/>
      <w:lang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30D0D8-B0F5-4C19-A59C-B0B7F508A238}">
  <ds:schemaRefs/>
</ds:datastoreItem>
</file>

<file path=docProps/app.xml><?xml version="1.0" encoding="utf-8"?>
<Properties xmlns="http://schemas.openxmlformats.org/officeDocument/2006/extended-properties" xmlns:vt="http://schemas.openxmlformats.org/officeDocument/2006/docPropsVTypes">
  <Template>Normal.dotm</Template>
  <Pages>34</Pages>
  <Words>619</Words>
  <Characters>693</Characters>
  <Lines>1680</Lines>
  <Paragraphs>1834</Paragraphs>
  <TotalTime>19</TotalTime>
  <ScaleCrop>false</ScaleCrop>
  <LinksUpToDate>false</LinksUpToDate>
  <CharactersWithSpaces>1000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2024-07-28T08:36:00Z</dcterms:created>
  <dc:creator>Administrator</dc:creator>
  <cp:lastModifiedBy>萌星健康教育 煜萌</cp:lastModifiedBy>
  <cp:lastPrinted>2026-10-20T09:07:00Z</cp:lastPrinted>
  <dcterms:modified xsi:type="dcterms:W3CDTF">2026-10-21T02:41:38Z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64A0339519D44038A1642902F470C607_13</vt:lpwstr>
  </property>
  <property fmtid="{D5CDD505-2E9C-101B-9397-08002B2CF9AE}" pid="4" name="KSOTemplateDocerSaveRecord">
    <vt:lpwstr>eyJoZGlkIjoiZDUwNjNjMTZlZDRjZjZmOTkyNjFjNWNlMWVlYzRiNmYiLCJ1c2VySWQiOiIzNDkxODU4NTQifQ==</vt:lpwstr>
  </property>
</Properties>
</file>