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A8138E">
      <w:pPr>
        <w:keepNext w:val="0"/>
        <w:keepLines w:val="0"/>
        <w:pageBreakBefore w:val="0"/>
        <w:widowControl w:val="0"/>
        <w:kinsoku/>
        <w:wordWrap/>
        <w:overflowPunct/>
        <w:topLinePunct w:val="0"/>
        <w:autoSpaceDE w:val="0"/>
        <w:autoSpaceDN w:val="0"/>
        <w:bidi w:val="0"/>
        <w:adjustRightInd/>
        <w:snapToGrid w:val="0"/>
        <w:spacing w:line="560" w:lineRule="exact"/>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2026年海南省职业院校职业技能大赛</w:t>
      </w:r>
    </w:p>
    <w:p w14:paraId="1C5CD2E0">
      <w:pPr>
        <w:keepNext w:val="0"/>
        <w:keepLines w:val="0"/>
        <w:pageBreakBefore w:val="0"/>
        <w:widowControl w:val="0"/>
        <w:kinsoku/>
        <w:wordWrap/>
        <w:overflowPunct/>
        <w:topLinePunct w:val="0"/>
        <w:autoSpaceDE w:val="0"/>
        <w:autoSpaceDN w:val="0"/>
        <w:bidi w:val="0"/>
        <w:adjustRightInd/>
        <w:snapToGrid w:val="0"/>
        <w:spacing w:line="560" w:lineRule="exact"/>
        <w:jc w:val="center"/>
        <w:textAlignment w:val="auto"/>
        <w:rPr>
          <w:rFonts w:hint="eastAsia" w:ascii="方正小标宋简体" w:hAnsi="方正小标宋简体" w:eastAsia="方正小标宋简体" w:cs="方正小标宋简体"/>
          <w:b w:val="0"/>
          <w:bCs/>
          <w:sz w:val="44"/>
          <w:szCs w:val="44"/>
          <w:lang w:eastAsia="zh-CN"/>
        </w:rPr>
      </w:pPr>
      <w:r>
        <w:rPr>
          <w:rFonts w:hint="eastAsia" w:ascii="方正小标宋简体" w:hAnsi="方正小标宋简体" w:eastAsia="方正小标宋简体" w:cs="方正小标宋简体"/>
          <w:b w:val="0"/>
          <w:bCs/>
          <w:sz w:val="44"/>
          <w:szCs w:val="44"/>
        </w:rPr>
        <w:t>学生技能竞赛</w:t>
      </w:r>
      <w:r>
        <w:rPr>
          <w:rFonts w:hint="eastAsia" w:ascii="方正小标宋简体" w:hAnsi="方正小标宋简体" w:eastAsia="方正小标宋简体" w:cs="方正小标宋简体"/>
          <w:b w:val="0"/>
          <w:bCs/>
          <w:sz w:val="44"/>
          <w:szCs w:val="44"/>
          <w:lang w:eastAsia="zh-CN"/>
        </w:rPr>
        <w:t>（</w:t>
      </w:r>
      <w:r>
        <w:rPr>
          <w:rFonts w:hint="eastAsia" w:ascii="方正小标宋简体" w:hAnsi="方正小标宋简体" w:eastAsia="方正小标宋简体" w:cs="方正小标宋简体"/>
          <w:b w:val="0"/>
          <w:bCs/>
          <w:sz w:val="44"/>
          <w:szCs w:val="44"/>
          <w:lang w:val="en-US" w:eastAsia="zh-CN"/>
        </w:rPr>
        <w:t>高职组</w:t>
      </w:r>
      <w:r>
        <w:rPr>
          <w:rFonts w:hint="eastAsia" w:ascii="方正小标宋简体" w:hAnsi="方正小标宋简体" w:eastAsia="方正小标宋简体" w:cs="方正小标宋简体"/>
          <w:b w:val="0"/>
          <w:bCs/>
          <w:sz w:val="44"/>
          <w:szCs w:val="44"/>
          <w:lang w:eastAsia="zh-CN"/>
        </w:rPr>
        <w:t>）</w:t>
      </w:r>
    </w:p>
    <w:p w14:paraId="098BE058">
      <w:pPr>
        <w:keepNext w:val="0"/>
        <w:keepLines w:val="0"/>
        <w:pageBreakBefore w:val="0"/>
        <w:widowControl w:val="0"/>
        <w:kinsoku/>
        <w:wordWrap/>
        <w:overflowPunct/>
        <w:topLinePunct w:val="0"/>
        <w:autoSpaceDE w:val="0"/>
        <w:autoSpaceDN w:val="0"/>
        <w:bidi w:val="0"/>
        <w:adjustRightInd/>
        <w:snapToGrid w:val="0"/>
        <w:spacing w:line="560" w:lineRule="exact"/>
        <w:jc w:val="center"/>
        <w:textAlignment w:val="auto"/>
        <w:rPr>
          <w:rFonts w:hint="eastAsia" w:ascii="方正小标宋简体" w:hAnsi="方正小标宋简体" w:eastAsia="方正小标宋简体" w:cs="方正小标宋简体"/>
          <w:b w:val="0"/>
          <w:bCs/>
          <w:spacing w:val="-2"/>
          <w:sz w:val="44"/>
          <w:szCs w:val="44"/>
        </w:rPr>
      </w:pPr>
      <w:bookmarkStart w:id="30" w:name="_GoBack"/>
      <w:r>
        <w:rPr>
          <w:rFonts w:hint="eastAsia" w:ascii="方正小标宋简体" w:hAnsi="方正小标宋简体" w:eastAsia="方正小标宋简体" w:cs="方正小标宋简体"/>
          <w:b w:val="0"/>
          <w:bCs/>
          <w:spacing w:val="-2"/>
          <w:sz w:val="44"/>
          <w:szCs w:val="44"/>
        </w:rPr>
        <w:t>数智化企业经营模拟沙盘</w:t>
      </w:r>
      <w:bookmarkEnd w:id="30"/>
      <w:r>
        <w:rPr>
          <w:rFonts w:hint="eastAsia" w:ascii="方正小标宋简体" w:hAnsi="方正小标宋简体" w:eastAsia="方正小标宋简体" w:cs="方正小标宋简体"/>
          <w:b w:val="0"/>
          <w:bCs/>
          <w:spacing w:val="-2"/>
          <w:sz w:val="44"/>
          <w:szCs w:val="44"/>
        </w:rPr>
        <w:t>赛项规程</w:t>
      </w:r>
    </w:p>
    <w:p w14:paraId="4147A3BB">
      <w:pPr>
        <w:keepNext w:val="0"/>
        <w:keepLines w:val="0"/>
        <w:pageBreakBefore w:val="0"/>
        <w:widowControl w:val="0"/>
        <w:kinsoku/>
        <w:wordWrap/>
        <w:overflowPunct/>
        <w:topLinePunct w:val="0"/>
        <w:autoSpaceDE w:val="0"/>
        <w:autoSpaceDN w:val="0"/>
        <w:bidi w:val="0"/>
        <w:adjustRightInd/>
        <w:snapToGrid w:val="0"/>
        <w:spacing w:line="560" w:lineRule="exact"/>
        <w:jc w:val="center"/>
        <w:textAlignment w:val="auto"/>
        <w:rPr>
          <w:rFonts w:hint="eastAsia" w:ascii="宋体" w:hAnsi="宋体" w:eastAsia="宋体" w:cs="宋体"/>
          <w:b/>
          <w:bCs/>
          <w:spacing w:val="-2"/>
          <w:sz w:val="48"/>
          <w:szCs w:val="48"/>
        </w:rPr>
      </w:pPr>
    </w:p>
    <w:p w14:paraId="539C7560">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黑体" w:hAnsi="黑体" w:eastAsia="黑体" w:cs="黑体"/>
          <w:sz w:val="32"/>
          <w:szCs w:val="32"/>
        </w:rPr>
      </w:pPr>
      <w:bookmarkStart w:id="0" w:name="一、赛项信息"/>
      <w:bookmarkEnd w:id="0"/>
      <w:r>
        <w:rPr>
          <w:rFonts w:hint="eastAsia" w:ascii="黑体" w:hAnsi="黑体" w:eastAsia="黑体" w:cs="黑体"/>
          <w:sz w:val="32"/>
          <w:szCs w:val="32"/>
          <w:lang w:val="en-US" w:eastAsia="zh-CN"/>
        </w:rPr>
        <w:t>一、</w:t>
      </w:r>
      <w:r>
        <w:rPr>
          <w:rFonts w:hint="eastAsia" w:ascii="黑体" w:hAnsi="黑体" w:eastAsia="黑体" w:cs="黑体"/>
          <w:sz w:val="32"/>
          <w:szCs w:val="32"/>
        </w:rPr>
        <w:t>赛项信息</w:t>
      </w:r>
    </w:p>
    <w:p w14:paraId="16721847">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赛项名称：数智化企业经营模拟沙盘赛项</w:t>
      </w:r>
    </w:p>
    <w:p w14:paraId="7439C083">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所属赛道：财经赛道</w:t>
      </w:r>
    </w:p>
    <w:p w14:paraId="080EC2CC">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赛项归属产业：</w:t>
      </w:r>
      <w:r>
        <w:rPr>
          <w:rFonts w:hint="eastAsia" w:ascii="仿宋_GB2312" w:hAnsi="仿宋_GB2312" w:eastAsia="仿宋_GB2312" w:cs="仿宋_GB2312"/>
          <w:sz w:val="32"/>
          <w:szCs w:val="32"/>
          <w:lang w:val="en-US" w:eastAsia="zh-CN"/>
        </w:rPr>
        <w:t>财经商贸</w:t>
      </w:r>
    </w:p>
    <w:p w14:paraId="0D06E839">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bookmarkStart w:id="1" w:name="二、竞赛目标"/>
      <w:bookmarkEnd w:id="1"/>
      <w:r>
        <w:rPr>
          <w:rFonts w:hint="eastAsia" w:ascii="黑体" w:hAnsi="黑体" w:eastAsia="黑体" w:cs="黑体"/>
          <w:sz w:val="32"/>
          <w:szCs w:val="32"/>
          <w:lang w:val="en-US" w:eastAsia="zh-CN"/>
        </w:rPr>
        <w:t>二、竞赛目标</w:t>
      </w:r>
    </w:p>
    <w:p w14:paraId="1F10E081">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贯彻落实党的二十大“实施科教兴国战略，强化现代化建设人才支撑”精神，本赛项根据“十四五”规划和2035年远景目标关于实施科教兴国战略、人才强国战略、创新驱动发展战略的要求，以国家职业教育专业目录及专业教学标准、国家职业技能等级标准、职业院校专业简介等有关标准为依据；以培育工匠精神为宗旨，积极探索财经商贸类创新型技能人才培养新模式，进一步提高财经商贸类专业高素质技术技能人才培养质量。</w:t>
      </w:r>
    </w:p>
    <w:p w14:paraId="5E5E4CE5">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赛项通过企业信息化经营模拟和企业数字化经营模拟两个阶段，使学生深入了解企业经营流程。赛项考察参赛选手企业经营管理综合能力，包括市场趋势预测、市场开发决策、产品研发决策、人力资源招聘与控制决策、资金预算使用、经营成本控制、财务报表分析和企业经营利润把控等核心技能，以及诚信意识、技术意识、数智思维、市场洞察、创新意识和系统思维等素养。赛项检验财经商贸类专业的教学改革成果，培养能胜任现代企业经营管理的高素质技术技能人才，促进产教融合、科创融汇，为高等职业院校师生提供交流借鉴的平台，引领和促进财经商贸类专业教学改革，助推企业数智化转型，服务数字中国建设。</w:t>
      </w:r>
    </w:p>
    <w:p w14:paraId="35883A8B">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bookmarkStart w:id="2" w:name="三、竞赛内容"/>
      <w:bookmarkEnd w:id="2"/>
      <w:r>
        <w:rPr>
          <w:rFonts w:hint="eastAsia" w:ascii="黑体" w:hAnsi="黑体" w:eastAsia="黑体" w:cs="黑体"/>
          <w:sz w:val="32"/>
          <w:szCs w:val="32"/>
          <w:lang w:val="en-US" w:eastAsia="zh-CN"/>
        </w:rPr>
        <w:t>三、竞赛内容</w:t>
      </w:r>
    </w:p>
    <w:p w14:paraId="7D37E201">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赛项立足实际工作场景，重点考核选手企业经营管理综合职业能力和数智化素养。参赛学生根据企业背景资料，利用竞赛平台模拟企业从信息化经营模拟阶段到数字化经营模拟阶段的全过程。竞赛分为四个岗位：项目总监、运营总监、营销总监、人力资源总监，协同完成四个年度企业经营活动。信息化经营模拟阶段主要考察团队战略目标的确定、分析、选择与评价、实施、控制等企业战略管理基本能力，运营规划、质量管理及营销、供应链、财务管理等企业运营管理能力。团队依据PDCA理论，采用规划与模拟经营相结合的方式，综合展现团队项目管理能力及信息化管理素养。数字化经营模拟阶段主要考察团队利用智能算法、RPA机器人、数据可视化分析等数字化技术，进行企业数字化管理与协同、数字信息分析与决策，使企业生产、加工、贮存、人力、营销等管理活动得以转型，两个阶段均由系统自动评分。</w:t>
      </w:r>
    </w:p>
    <w:p w14:paraId="69CD7236">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竞赛分为企业信息化经营模拟阶段和企业数字化经营模拟阶段两个阶段，总分100分。</w:t>
      </w:r>
    </w:p>
    <w:p w14:paraId="25D15B72">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楷体" w:hAnsi="楷体" w:eastAsia="楷体" w:cs="楷体"/>
          <w:sz w:val="32"/>
          <w:szCs w:val="32"/>
          <w:lang w:eastAsia="zh-CN"/>
        </w:rPr>
      </w:pPr>
      <w:bookmarkStart w:id="3" w:name="（一）企业信息化经营模拟阶段"/>
      <w:bookmarkEnd w:id="3"/>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一</w:t>
      </w:r>
      <w:r>
        <w:rPr>
          <w:rFonts w:hint="eastAsia" w:ascii="楷体" w:hAnsi="楷体" w:eastAsia="楷体" w:cs="楷体"/>
          <w:sz w:val="32"/>
          <w:szCs w:val="32"/>
          <w:lang w:eastAsia="zh-CN"/>
        </w:rPr>
        <w:t>）企业信息化经营模拟阶段</w:t>
      </w:r>
    </w:p>
    <w:p w14:paraId="61F0FD32">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企业信息化经营模拟阶段主要考察团队在信息化环境中企业运营管理能力和管理工具的应用能力。</w:t>
      </w:r>
    </w:p>
    <w:p w14:paraId="7A811D2F">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企业信息化经营模拟阶段：分析市场需求与经营参数，制定未来两年经营规划。依据市场需求和竞争态势实施市场营销，获取订单。根据订单，以销定产，通过人力资源招聘，营运资金管理，供应链生产管理生产产品，交付订单，获取利润，推进企业发展，检验团队企业经营管理综合能力。</w:t>
      </w:r>
    </w:p>
    <w:p w14:paraId="15C8883C">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在沙盘模拟中运用管理工具：（P）计划：年初战略规划，设定盈利目标，实施计划，收支预算；（D）执行：信息化企业经营全流程，依据目标与计划进行实施；（C）检查：以提交年末报表为结束点，对执行结果检查；（A）处理：对检查结果进行明细查看总结。</w:t>
      </w:r>
    </w:p>
    <w:p w14:paraId="6189BCC4">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楷体" w:hAnsi="楷体" w:eastAsia="楷体" w:cs="楷体"/>
          <w:sz w:val="32"/>
          <w:szCs w:val="32"/>
          <w:lang w:eastAsia="zh-CN"/>
        </w:rPr>
      </w:pPr>
      <w:bookmarkStart w:id="4" w:name="（二）企业数字化经营模拟阶段"/>
      <w:bookmarkEnd w:id="4"/>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二</w:t>
      </w:r>
      <w:r>
        <w:rPr>
          <w:rFonts w:hint="eastAsia" w:ascii="楷体" w:hAnsi="楷体" w:eastAsia="楷体" w:cs="楷体"/>
          <w:sz w:val="32"/>
          <w:szCs w:val="32"/>
          <w:lang w:eastAsia="zh-CN"/>
        </w:rPr>
        <w:t>）企业数字化经营模拟阶段</w:t>
      </w:r>
    </w:p>
    <w:p w14:paraId="6DDD3332">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企业数字化经营模拟阶段主要考察团队数字化技术应用能力及企业经营综合决策能力。</w:t>
      </w:r>
    </w:p>
    <w:p w14:paraId="565E248E">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在沙盘模拟中构建数字化管理平台：①RPA机器人设计：设计可以自动处理的任务以及条件；②智能招聘算法设计：设定智能筛选简历的关键指标及排序逻辑；③智能生产算法设计：设定智能生产算法的关键环节以及判断逻辑；④经营数据可视化：设定数据指标与维度，将数据进行可视化呈现，形成看板，辅助决策。</w:t>
      </w:r>
    </w:p>
    <w:p w14:paraId="000E3E3E">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企业数字化经营模拟阶段：使用数字化管理平台驱动营销管理、生产管理、人力资源管理、财务管理，实时分析竞争对手企业各类信息，挖掘数据，依据数据经营，以数字技术、数字意识驱动企业数字化变革，展现团队的协作意识，创新意识。</w:t>
      </w:r>
    </w:p>
    <w:p w14:paraId="6BD26F15">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黑体" w:hAnsi="黑体" w:eastAsia="黑体" w:cs="黑体"/>
          <w:sz w:val="32"/>
          <w:szCs w:val="32"/>
        </w:rPr>
      </w:pPr>
      <w:bookmarkStart w:id="5" w:name="四、竞赛方式"/>
      <w:bookmarkEnd w:id="5"/>
      <w:r>
        <w:rPr>
          <w:rFonts w:hint="eastAsia" w:ascii="黑体" w:hAnsi="黑体" w:eastAsia="黑体" w:cs="黑体"/>
          <w:sz w:val="32"/>
          <w:szCs w:val="32"/>
          <w:lang w:val="en-US" w:eastAsia="zh-CN"/>
        </w:rPr>
        <w:t>四、</w:t>
      </w:r>
      <w:r>
        <w:rPr>
          <w:rFonts w:hint="eastAsia" w:ascii="黑体" w:hAnsi="黑体" w:eastAsia="黑体" w:cs="黑体"/>
          <w:sz w:val="32"/>
          <w:szCs w:val="32"/>
        </w:rPr>
        <w:t>竞赛方式</w:t>
      </w:r>
    </w:p>
    <w:p w14:paraId="770DA08B">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楷体" w:hAnsi="楷体" w:eastAsia="楷体" w:cs="楷体"/>
          <w:sz w:val="32"/>
          <w:szCs w:val="32"/>
          <w:lang w:eastAsia="zh-CN"/>
        </w:rPr>
      </w:pPr>
      <w:bookmarkStart w:id="6" w:name="（一）组队方式"/>
      <w:bookmarkEnd w:id="6"/>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一</w:t>
      </w:r>
      <w:r>
        <w:rPr>
          <w:rFonts w:hint="eastAsia" w:ascii="楷体" w:hAnsi="楷体" w:eastAsia="楷体" w:cs="楷体"/>
          <w:sz w:val="32"/>
          <w:szCs w:val="32"/>
          <w:lang w:eastAsia="zh-CN"/>
        </w:rPr>
        <w:t>）组队方式</w:t>
      </w:r>
    </w:p>
    <w:p w14:paraId="7AD3A64B">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本赛项为团体赛，以院校为单位组队参赛，不得跨校组队。同一学校报名参赛队不超过2支。每队4名选手，不超过2名指导教师。</w:t>
      </w:r>
    </w:p>
    <w:p w14:paraId="34FC2F75">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楷体" w:hAnsi="楷体" w:eastAsia="楷体" w:cs="楷体"/>
          <w:sz w:val="32"/>
          <w:szCs w:val="32"/>
          <w:lang w:eastAsia="zh-CN"/>
        </w:rPr>
      </w:pPr>
      <w:bookmarkStart w:id="7" w:name="（二）竞赛方式"/>
      <w:bookmarkEnd w:id="7"/>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二</w:t>
      </w:r>
      <w:r>
        <w:rPr>
          <w:rFonts w:hint="eastAsia" w:ascii="楷体" w:hAnsi="楷体" w:eastAsia="楷体" w:cs="楷体"/>
          <w:sz w:val="32"/>
          <w:szCs w:val="32"/>
          <w:lang w:eastAsia="zh-CN"/>
        </w:rPr>
        <w:t>）竞赛方式</w:t>
      </w:r>
    </w:p>
    <w:p w14:paraId="6F814045">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本赛项为线下竞赛方式，采用数智企业经营管理沙盘系统为竞赛平台，所有参赛队伍分为若干赛区，每一赛区将在同一市场环境下进行企业经营沙盘模拟比赛。</w:t>
      </w:r>
    </w:p>
    <w:p w14:paraId="4D44CD68">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楷体" w:hAnsi="楷体" w:eastAsia="楷体" w:cs="楷体"/>
          <w:sz w:val="32"/>
          <w:szCs w:val="32"/>
        </w:rPr>
      </w:pPr>
      <w:bookmarkStart w:id="8" w:name="（三）参赛资格"/>
      <w:bookmarkEnd w:id="8"/>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三</w:t>
      </w:r>
      <w:r>
        <w:rPr>
          <w:rFonts w:hint="eastAsia" w:ascii="楷体" w:hAnsi="楷体" w:eastAsia="楷体" w:cs="楷体"/>
          <w:sz w:val="32"/>
          <w:szCs w:val="32"/>
          <w:lang w:eastAsia="zh-CN"/>
        </w:rPr>
        <w:t>）</w:t>
      </w:r>
      <w:r>
        <w:rPr>
          <w:rFonts w:hint="eastAsia" w:ascii="楷体" w:hAnsi="楷体" w:eastAsia="楷体" w:cs="楷体"/>
          <w:sz w:val="32"/>
          <w:szCs w:val="32"/>
        </w:rPr>
        <w:t>参赛资格</w:t>
      </w:r>
    </w:p>
    <w:p w14:paraId="206BFB22">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选手参赛资格依照《2026年海南省职业院校职业技能大赛学生技能竞赛方案》（琼教职成〔2026〕42号）文件规定执行。</w:t>
      </w:r>
    </w:p>
    <w:p w14:paraId="1CE3A51B">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bookmarkStart w:id="9" w:name="五、竞赛流程"/>
      <w:bookmarkEnd w:id="9"/>
      <w:r>
        <w:rPr>
          <w:rFonts w:hint="eastAsia" w:ascii="黑体" w:hAnsi="黑体" w:eastAsia="黑体" w:cs="黑体"/>
          <w:sz w:val="32"/>
          <w:szCs w:val="32"/>
          <w:lang w:val="en-US" w:eastAsia="zh-CN"/>
        </w:rPr>
        <w:t>五、</w:t>
      </w:r>
      <w:r>
        <w:rPr>
          <w:rFonts w:hint="eastAsia" w:ascii="黑体" w:hAnsi="黑体" w:eastAsia="黑体" w:cs="黑体"/>
          <w:sz w:val="32"/>
          <w:szCs w:val="32"/>
        </w:rPr>
        <w:t>竞赛流程</w:t>
      </w:r>
    </w:p>
    <w:p w14:paraId="75D83DBE">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竞赛时间：2026年11月27日-28日</w:t>
      </w:r>
    </w:p>
    <w:p w14:paraId="4012A2F1">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竞赛地点：海南经贸职业大学</w:t>
      </w:r>
    </w:p>
    <w:p w14:paraId="6C0BE6F1">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具体</w:t>
      </w:r>
      <w:r>
        <w:rPr>
          <w:rFonts w:hint="eastAsia" w:ascii="仿宋_GB2312" w:hAnsi="仿宋_GB2312" w:eastAsia="仿宋_GB2312" w:cs="仿宋_GB2312"/>
          <w:sz w:val="32"/>
          <w:szCs w:val="32"/>
        </w:rPr>
        <w:t>日程安排及竞赛流程如表5-1所示。</w:t>
      </w:r>
    </w:p>
    <w:p w14:paraId="53A66F2E">
      <w:pPr>
        <w:keepNext w:val="0"/>
        <w:keepLines w:val="0"/>
        <w:pageBreakBefore w:val="0"/>
        <w:widowControl w:val="0"/>
        <w:kinsoku/>
        <w:wordWrap/>
        <w:overflowPunct/>
        <w:topLinePunct w:val="0"/>
        <w:autoSpaceDE w:val="0"/>
        <w:autoSpaceDN w:val="0"/>
        <w:bidi w:val="0"/>
        <w:adjustRightInd/>
        <w:spacing w:before="274" w:line="560" w:lineRule="exact"/>
        <w:ind w:left="5" w:right="7"/>
        <w:jc w:val="center"/>
        <w:textAlignment w:val="auto"/>
        <w:rPr>
          <w:b/>
          <w:bCs/>
          <w:sz w:val="24"/>
        </w:rPr>
      </w:pPr>
      <w:r>
        <w:rPr>
          <w:b/>
          <w:bCs/>
          <w:spacing w:val="-30"/>
          <w:sz w:val="24"/>
        </w:rPr>
        <w:t>表</w:t>
      </w:r>
      <w:r>
        <w:rPr>
          <w:b/>
          <w:bCs/>
          <w:sz w:val="24"/>
        </w:rPr>
        <w:t>5-1</w:t>
      </w:r>
      <w:r>
        <w:rPr>
          <w:rFonts w:hint="eastAsia"/>
          <w:b/>
          <w:bCs/>
          <w:sz w:val="24"/>
          <w:lang w:val="en-US" w:eastAsia="zh-CN"/>
        </w:rPr>
        <w:t xml:space="preserve"> </w:t>
      </w:r>
      <w:r>
        <w:rPr>
          <w:b/>
          <w:bCs/>
          <w:spacing w:val="-1"/>
          <w:sz w:val="24"/>
        </w:rPr>
        <w:t>日程安排及竞赛流程</w:t>
      </w:r>
    </w:p>
    <w:p w14:paraId="3AB06C90">
      <w:pPr>
        <w:pStyle w:val="4"/>
        <w:spacing w:before="3"/>
        <w:ind w:left="0" w:firstLine="0"/>
        <w:rPr>
          <w:sz w:val="7"/>
        </w:rPr>
      </w:pPr>
    </w:p>
    <w:tbl>
      <w:tblPr>
        <w:tblStyle w:val="9"/>
        <w:tblW w:w="0" w:type="auto"/>
        <w:tblInd w:w="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5"/>
        <w:gridCol w:w="500"/>
        <w:gridCol w:w="4616"/>
        <w:gridCol w:w="1607"/>
        <w:gridCol w:w="877"/>
      </w:tblGrid>
      <w:tr w14:paraId="62934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45" w:type="dxa"/>
          </w:tcPr>
          <w:p w14:paraId="16C1A153">
            <w:pPr>
              <w:pStyle w:val="13"/>
              <w:spacing w:before="156"/>
              <w:ind w:left="104"/>
              <w:jc w:val="left"/>
              <w:rPr>
                <w:b/>
                <w:bCs/>
                <w:sz w:val="24"/>
              </w:rPr>
            </w:pPr>
            <w:r>
              <w:rPr>
                <w:b/>
                <w:bCs/>
                <w:spacing w:val="-9"/>
                <w:sz w:val="24"/>
              </w:rPr>
              <w:t>日程安排</w:t>
            </w:r>
          </w:p>
        </w:tc>
        <w:tc>
          <w:tcPr>
            <w:tcW w:w="5116" w:type="dxa"/>
            <w:gridSpan w:val="2"/>
          </w:tcPr>
          <w:p w14:paraId="3525ADF9">
            <w:pPr>
              <w:pStyle w:val="13"/>
              <w:spacing w:before="156"/>
              <w:ind w:right="8"/>
              <w:rPr>
                <w:b/>
                <w:bCs/>
                <w:sz w:val="24"/>
              </w:rPr>
            </w:pPr>
            <w:r>
              <w:rPr>
                <w:b/>
                <w:bCs/>
                <w:spacing w:val="10"/>
                <w:sz w:val="24"/>
              </w:rPr>
              <w:t>流程与内容</w:t>
            </w:r>
          </w:p>
        </w:tc>
        <w:tc>
          <w:tcPr>
            <w:tcW w:w="1607" w:type="dxa"/>
          </w:tcPr>
          <w:p w14:paraId="434AB86B">
            <w:pPr>
              <w:pStyle w:val="13"/>
              <w:spacing w:before="156"/>
              <w:ind w:left="17"/>
              <w:rPr>
                <w:b/>
                <w:bCs/>
                <w:sz w:val="24"/>
              </w:rPr>
            </w:pPr>
            <w:r>
              <w:rPr>
                <w:b/>
                <w:bCs/>
                <w:spacing w:val="-11"/>
                <w:sz w:val="24"/>
              </w:rPr>
              <w:t>时间</w:t>
            </w:r>
          </w:p>
        </w:tc>
        <w:tc>
          <w:tcPr>
            <w:tcW w:w="877" w:type="dxa"/>
          </w:tcPr>
          <w:p w14:paraId="35E8D61A">
            <w:pPr>
              <w:pStyle w:val="13"/>
              <w:ind w:left="74" w:right="59"/>
              <w:rPr>
                <w:b/>
                <w:bCs/>
                <w:sz w:val="24"/>
              </w:rPr>
            </w:pPr>
            <w:r>
              <w:rPr>
                <w:b/>
                <w:bCs/>
                <w:spacing w:val="-11"/>
                <w:sz w:val="24"/>
              </w:rPr>
              <w:t>时长</w:t>
            </w:r>
          </w:p>
          <w:p w14:paraId="070B579F">
            <w:pPr>
              <w:pStyle w:val="13"/>
              <w:spacing w:before="4" w:line="290" w:lineRule="exact"/>
              <w:ind w:right="-58"/>
              <w:rPr>
                <w:b/>
                <w:bCs/>
                <w:sz w:val="24"/>
              </w:rPr>
            </w:pPr>
            <w:r>
              <w:rPr>
                <w:b/>
                <w:bCs/>
                <w:spacing w:val="-12"/>
                <w:sz w:val="24"/>
              </w:rPr>
              <w:t>（分钟）</w:t>
            </w:r>
          </w:p>
        </w:tc>
      </w:tr>
      <w:tr w14:paraId="785F2B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1145" w:type="dxa"/>
            <w:vMerge w:val="restart"/>
          </w:tcPr>
          <w:p w14:paraId="00E106D2">
            <w:pPr>
              <w:pStyle w:val="13"/>
              <w:keepNext w:val="0"/>
              <w:keepLines w:val="0"/>
              <w:pageBreakBefore w:val="0"/>
              <w:widowControl w:val="0"/>
              <w:kinsoku/>
              <w:wordWrap/>
              <w:overflowPunct/>
              <w:topLinePunct w:val="0"/>
              <w:autoSpaceDE w:val="0"/>
              <w:autoSpaceDN w:val="0"/>
              <w:bidi w:val="0"/>
              <w:adjustRightInd/>
              <w:snapToGrid/>
              <w:spacing w:before="220" w:after="0" w:line="360" w:lineRule="auto"/>
              <w:ind w:left="0"/>
              <w:jc w:val="center"/>
              <w:textAlignment w:val="auto"/>
              <w:rPr>
                <w:rFonts w:hint="default" w:eastAsia="宋体"/>
                <w:spacing w:val="-9"/>
                <w:sz w:val="24"/>
                <w:lang w:val="en-US" w:eastAsia="zh-CN"/>
              </w:rPr>
            </w:pPr>
            <w:r>
              <w:rPr>
                <w:rFonts w:hint="eastAsia"/>
                <w:b/>
                <w:bCs/>
                <w:spacing w:val="-9"/>
                <w:sz w:val="24"/>
                <w:lang w:val="en-US" w:eastAsia="zh-CN"/>
              </w:rPr>
              <w:t>11月27日</w:t>
            </w:r>
          </w:p>
        </w:tc>
        <w:tc>
          <w:tcPr>
            <w:tcW w:w="500" w:type="dxa"/>
          </w:tcPr>
          <w:p w14:paraId="08B39298">
            <w:pPr>
              <w:pStyle w:val="13"/>
              <w:spacing w:before="59"/>
              <w:ind w:left="16" w:right="10"/>
              <w:rPr>
                <w:rFonts w:hint="eastAsia" w:ascii="Times New Roman"/>
                <w:spacing w:val="-10"/>
                <w:sz w:val="24"/>
                <w:lang w:val="en-US" w:eastAsia="zh-CN"/>
              </w:rPr>
            </w:pPr>
            <w:r>
              <w:rPr>
                <w:rFonts w:hint="eastAsia" w:ascii="Times New Roman"/>
                <w:spacing w:val="-10"/>
                <w:sz w:val="24"/>
                <w:lang w:val="en-US" w:eastAsia="zh-CN"/>
              </w:rPr>
              <w:t>1</w:t>
            </w:r>
          </w:p>
        </w:tc>
        <w:tc>
          <w:tcPr>
            <w:tcW w:w="4616" w:type="dxa"/>
          </w:tcPr>
          <w:p w14:paraId="6D054978">
            <w:pPr>
              <w:pStyle w:val="13"/>
              <w:spacing w:before="43"/>
              <w:ind w:left="19" w:right="14"/>
              <w:rPr>
                <w:rFonts w:hint="eastAsia"/>
                <w:spacing w:val="-18"/>
                <w:sz w:val="24"/>
                <w:lang w:val="en-US" w:eastAsia="zh-CN"/>
              </w:rPr>
            </w:pPr>
            <w:r>
              <w:rPr>
                <w:rFonts w:hint="eastAsia"/>
                <w:spacing w:val="-18"/>
                <w:sz w:val="24"/>
                <w:lang w:val="en-US" w:eastAsia="zh-CN"/>
              </w:rPr>
              <w:t>签到、领取参赛资料</w:t>
            </w:r>
          </w:p>
        </w:tc>
        <w:tc>
          <w:tcPr>
            <w:tcW w:w="1607" w:type="dxa"/>
          </w:tcPr>
          <w:p w14:paraId="546B0E8C">
            <w:pPr>
              <w:pStyle w:val="13"/>
              <w:spacing w:before="57"/>
              <w:ind w:left="5"/>
              <w:rPr>
                <w:rFonts w:hint="eastAsia" w:ascii="Times New Roman"/>
                <w:sz w:val="24"/>
                <w:lang w:val="en-US" w:eastAsia="zh-CN"/>
              </w:rPr>
            </w:pPr>
            <w:r>
              <w:rPr>
                <w:rFonts w:hint="eastAsia" w:ascii="Times New Roman"/>
                <w:sz w:val="24"/>
                <w:lang w:val="en-US" w:eastAsia="zh-CN"/>
              </w:rPr>
              <w:t>14:30-15:00</w:t>
            </w:r>
          </w:p>
        </w:tc>
        <w:tc>
          <w:tcPr>
            <w:tcW w:w="877" w:type="dxa"/>
          </w:tcPr>
          <w:p w14:paraId="6D4E0E10">
            <w:pPr>
              <w:pStyle w:val="13"/>
              <w:spacing w:before="4" w:line="290" w:lineRule="exact"/>
              <w:ind w:right="-58"/>
              <w:rPr>
                <w:color w:val="0000FF"/>
                <w:spacing w:val="-12"/>
                <w:sz w:val="24"/>
              </w:rPr>
            </w:pPr>
          </w:p>
        </w:tc>
      </w:tr>
      <w:tr w14:paraId="06E5C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trPr>
        <w:tc>
          <w:tcPr>
            <w:tcW w:w="1145" w:type="dxa"/>
            <w:vMerge w:val="continue"/>
          </w:tcPr>
          <w:p w14:paraId="0FB84531">
            <w:pPr>
              <w:pStyle w:val="13"/>
              <w:spacing w:before="156"/>
              <w:ind w:left="104"/>
              <w:jc w:val="left"/>
              <w:rPr>
                <w:spacing w:val="-9"/>
                <w:sz w:val="24"/>
              </w:rPr>
            </w:pPr>
          </w:p>
        </w:tc>
        <w:tc>
          <w:tcPr>
            <w:tcW w:w="500" w:type="dxa"/>
          </w:tcPr>
          <w:p w14:paraId="44C5E9AF">
            <w:pPr>
              <w:pStyle w:val="13"/>
              <w:spacing w:before="59"/>
              <w:ind w:left="16" w:right="10"/>
              <w:rPr>
                <w:rFonts w:hint="eastAsia" w:ascii="Times New Roman"/>
                <w:spacing w:val="-10"/>
                <w:sz w:val="24"/>
                <w:lang w:val="en-US" w:eastAsia="zh-CN"/>
              </w:rPr>
            </w:pPr>
            <w:r>
              <w:rPr>
                <w:rFonts w:hint="eastAsia" w:ascii="Times New Roman"/>
                <w:spacing w:val="-10"/>
                <w:sz w:val="24"/>
                <w:lang w:val="en-US" w:eastAsia="zh-CN"/>
              </w:rPr>
              <w:t>2</w:t>
            </w:r>
          </w:p>
        </w:tc>
        <w:tc>
          <w:tcPr>
            <w:tcW w:w="4616" w:type="dxa"/>
          </w:tcPr>
          <w:p w14:paraId="5A66A9EC">
            <w:pPr>
              <w:pStyle w:val="13"/>
              <w:spacing w:before="43"/>
              <w:ind w:left="19" w:right="14"/>
              <w:rPr>
                <w:rFonts w:hint="eastAsia"/>
                <w:spacing w:val="-18"/>
                <w:sz w:val="24"/>
                <w:lang w:val="en-US" w:eastAsia="zh-CN"/>
              </w:rPr>
            </w:pPr>
            <w:r>
              <w:rPr>
                <w:rFonts w:hint="eastAsia"/>
                <w:spacing w:val="-18"/>
                <w:sz w:val="24"/>
                <w:lang w:val="en-US" w:eastAsia="zh-CN"/>
              </w:rPr>
              <w:t>参赛选手熟悉场地</w:t>
            </w:r>
          </w:p>
        </w:tc>
        <w:tc>
          <w:tcPr>
            <w:tcW w:w="1607" w:type="dxa"/>
          </w:tcPr>
          <w:p w14:paraId="6994A099">
            <w:pPr>
              <w:pStyle w:val="13"/>
              <w:spacing w:before="57"/>
              <w:ind w:left="5"/>
              <w:rPr>
                <w:rFonts w:hint="eastAsia" w:ascii="Times New Roman"/>
                <w:sz w:val="24"/>
                <w:lang w:val="en-US" w:eastAsia="zh-CN"/>
              </w:rPr>
            </w:pPr>
            <w:r>
              <w:rPr>
                <w:rFonts w:hint="eastAsia" w:ascii="Times New Roman"/>
                <w:sz w:val="24"/>
                <w:lang w:val="en-US" w:eastAsia="zh-CN"/>
              </w:rPr>
              <w:t>15:00-15:30</w:t>
            </w:r>
          </w:p>
        </w:tc>
        <w:tc>
          <w:tcPr>
            <w:tcW w:w="877" w:type="dxa"/>
          </w:tcPr>
          <w:p w14:paraId="4AD86F9F">
            <w:pPr>
              <w:pStyle w:val="13"/>
              <w:spacing w:before="57"/>
              <w:ind w:left="5"/>
              <w:rPr>
                <w:rFonts w:ascii="Times New Roman"/>
                <w:sz w:val="24"/>
              </w:rPr>
            </w:pPr>
          </w:p>
        </w:tc>
      </w:tr>
      <w:tr w14:paraId="27D367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1145" w:type="dxa"/>
            <w:vMerge w:val="restart"/>
          </w:tcPr>
          <w:p w14:paraId="5E428176">
            <w:pPr>
              <w:pStyle w:val="13"/>
              <w:jc w:val="left"/>
              <w:rPr>
                <w:b/>
                <w:bCs/>
                <w:sz w:val="24"/>
              </w:rPr>
            </w:pPr>
          </w:p>
          <w:p w14:paraId="568C490F">
            <w:pPr>
              <w:pStyle w:val="13"/>
              <w:keepNext w:val="0"/>
              <w:keepLines w:val="0"/>
              <w:pageBreakBefore w:val="0"/>
              <w:widowControl w:val="0"/>
              <w:kinsoku/>
              <w:wordWrap/>
              <w:overflowPunct/>
              <w:topLinePunct w:val="0"/>
              <w:autoSpaceDE w:val="0"/>
              <w:autoSpaceDN w:val="0"/>
              <w:bidi w:val="0"/>
              <w:adjustRightInd/>
              <w:snapToGrid/>
              <w:spacing w:before="0" w:beforeLines="100" w:after="0"/>
              <w:jc w:val="center"/>
              <w:textAlignment w:val="auto"/>
              <w:rPr>
                <w:b/>
                <w:bCs/>
                <w:sz w:val="24"/>
              </w:rPr>
            </w:pPr>
            <w:r>
              <w:rPr>
                <w:rFonts w:hint="eastAsia"/>
                <w:b/>
                <w:bCs/>
                <w:spacing w:val="-9"/>
                <w:sz w:val="24"/>
                <w:lang w:val="en-US" w:eastAsia="zh-CN"/>
              </w:rPr>
              <w:t>11月28日</w:t>
            </w:r>
            <w:r>
              <w:rPr>
                <w:b/>
                <w:bCs/>
                <w:spacing w:val="-4"/>
                <w:sz w:val="24"/>
              </w:rPr>
              <w:t>开幕式</w:t>
            </w:r>
          </w:p>
        </w:tc>
        <w:tc>
          <w:tcPr>
            <w:tcW w:w="500" w:type="dxa"/>
          </w:tcPr>
          <w:p w14:paraId="0FA0181C">
            <w:pPr>
              <w:pStyle w:val="13"/>
              <w:spacing w:before="59"/>
              <w:ind w:left="16" w:right="10"/>
              <w:rPr>
                <w:rFonts w:hint="eastAsia" w:ascii="Times New Roman"/>
                <w:spacing w:val="-10"/>
                <w:sz w:val="24"/>
                <w:lang w:val="en-US" w:eastAsia="zh-CN"/>
              </w:rPr>
            </w:pPr>
            <w:r>
              <w:rPr>
                <w:rFonts w:hint="eastAsia" w:ascii="Times New Roman"/>
                <w:spacing w:val="-10"/>
                <w:sz w:val="24"/>
                <w:lang w:val="en-US" w:eastAsia="zh-CN"/>
              </w:rPr>
              <w:t>1</w:t>
            </w:r>
          </w:p>
        </w:tc>
        <w:tc>
          <w:tcPr>
            <w:tcW w:w="4616" w:type="dxa"/>
          </w:tcPr>
          <w:p w14:paraId="2EE53234">
            <w:pPr>
              <w:pStyle w:val="13"/>
              <w:spacing w:before="43"/>
              <w:ind w:left="19" w:right="14"/>
              <w:rPr>
                <w:rFonts w:hint="eastAsia"/>
                <w:spacing w:val="-18"/>
                <w:sz w:val="24"/>
                <w:lang w:val="en-US" w:eastAsia="zh-CN"/>
              </w:rPr>
            </w:pPr>
            <w:r>
              <w:rPr>
                <w:rFonts w:hint="eastAsia"/>
                <w:spacing w:val="-18"/>
                <w:sz w:val="24"/>
                <w:lang w:val="en-US" w:eastAsia="zh-CN"/>
              </w:rPr>
              <w:t>参赛队报到</w:t>
            </w:r>
          </w:p>
        </w:tc>
        <w:tc>
          <w:tcPr>
            <w:tcW w:w="1607" w:type="dxa"/>
          </w:tcPr>
          <w:p w14:paraId="10FB9DC4">
            <w:pPr>
              <w:pStyle w:val="13"/>
              <w:spacing w:before="57"/>
              <w:ind w:left="5"/>
              <w:rPr>
                <w:rFonts w:hint="eastAsia" w:ascii="Times New Roman"/>
                <w:sz w:val="24"/>
                <w:lang w:val="en-US" w:eastAsia="zh-CN"/>
              </w:rPr>
            </w:pPr>
            <w:r>
              <w:rPr>
                <w:rFonts w:hint="eastAsia" w:ascii="Times New Roman"/>
                <w:sz w:val="24"/>
                <w:lang w:val="en-US" w:eastAsia="zh-CN"/>
              </w:rPr>
              <w:t>07:50-08:00</w:t>
            </w:r>
          </w:p>
        </w:tc>
        <w:tc>
          <w:tcPr>
            <w:tcW w:w="877" w:type="dxa"/>
          </w:tcPr>
          <w:p w14:paraId="5FA7FC67">
            <w:pPr>
              <w:pStyle w:val="13"/>
              <w:spacing w:before="57"/>
              <w:ind w:left="5"/>
              <w:rPr>
                <w:rFonts w:ascii="Times New Roman"/>
                <w:sz w:val="24"/>
              </w:rPr>
            </w:pPr>
            <w:r>
              <w:rPr>
                <w:rFonts w:ascii="Times New Roman"/>
                <w:sz w:val="24"/>
              </w:rPr>
              <w:t>-</w:t>
            </w:r>
          </w:p>
        </w:tc>
      </w:tr>
      <w:tr w14:paraId="17781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145" w:type="dxa"/>
            <w:vMerge w:val="continue"/>
            <w:tcBorders>
              <w:top w:val="nil"/>
            </w:tcBorders>
          </w:tcPr>
          <w:p w14:paraId="2A65F282">
            <w:pPr>
              <w:rPr>
                <w:b/>
                <w:bCs/>
                <w:sz w:val="2"/>
                <w:szCs w:val="2"/>
              </w:rPr>
            </w:pPr>
          </w:p>
        </w:tc>
        <w:tc>
          <w:tcPr>
            <w:tcW w:w="500" w:type="dxa"/>
          </w:tcPr>
          <w:p w14:paraId="61DD0BC5">
            <w:pPr>
              <w:pStyle w:val="13"/>
              <w:spacing w:before="59"/>
              <w:ind w:left="16" w:right="10"/>
              <w:rPr>
                <w:rFonts w:hint="eastAsia" w:ascii="Times New Roman"/>
                <w:spacing w:val="-10"/>
                <w:sz w:val="24"/>
                <w:lang w:val="en-US" w:eastAsia="zh-CN"/>
              </w:rPr>
            </w:pPr>
            <w:r>
              <w:rPr>
                <w:rFonts w:hint="eastAsia" w:ascii="Times New Roman"/>
                <w:spacing w:val="-10"/>
                <w:sz w:val="24"/>
                <w:lang w:val="en-US" w:eastAsia="zh-CN"/>
              </w:rPr>
              <w:t>2</w:t>
            </w:r>
          </w:p>
        </w:tc>
        <w:tc>
          <w:tcPr>
            <w:tcW w:w="4616" w:type="dxa"/>
          </w:tcPr>
          <w:p w14:paraId="0C08BB95">
            <w:pPr>
              <w:pStyle w:val="13"/>
              <w:spacing w:before="43"/>
              <w:ind w:left="19" w:right="14"/>
              <w:rPr>
                <w:rFonts w:hint="eastAsia"/>
                <w:spacing w:val="-18"/>
                <w:sz w:val="24"/>
                <w:lang w:val="en-US" w:eastAsia="zh-CN"/>
              </w:rPr>
            </w:pPr>
            <w:r>
              <w:rPr>
                <w:rFonts w:hint="eastAsia"/>
                <w:spacing w:val="-18"/>
                <w:sz w:val="24"/>
                <w:lang w:val="en-US" w:eastAsia="zh-CN"/>
              </w:rPr>
              <w:t>开幕式</w:t>
            </w:r>
          </w:p>
        </w:tc>
        <w:tc>
          <w:tcPr>
            <w:tcW w:w="1607" w:type="dxa"/>
          </w:tcPr>
          <w:p w14:paraId="22F09B69">
            <w:pPr>
              <w:pStyle w:val="13"/>
              <w:spacing w:before="57"/>
              <w:ind w:left="5"/>
              <w:rPr>
                <w:rFonts w:hint="eastAsia" w:ascii="Times New Roman"/>
                <w:sz w:val="24"/>
                <w:lang w:val="en-US" w:eastAsia="zh-CN"/>
              </w:rPr>
            </w:pPr>
            <w:r>
              <w:rPr>
                <w:rFonts w:hint="eastAsia" w:ascii="Times New Roman"/>
                <w:sz w:val="24"/>
                <w:lang w:val="en-US" w:eastAsia="zh-CN"/>
              </w:rPr>
              <w:t>08:00-08:20</w:t>
            </w:r>
          </w:p>
        </w:tc>
        <w:tc>
          <w:tcPr>
            <w:tcW w:w="877" w:type="dxa"/>
          </w:tcPr>
          <w:p w14:paraId="4C875A8B">
            <w:pPr>
              <w:pStyle w:val="13"/>
              <w:spacing w:before="57"/>
              <w:ind w:left="5"/>
              <w:rPr>
                <w:rFonts w:ascii="Times New Roman"/>
                <w:sz w:val="24"/>
              </w:rPr>
            </w:pPr>
            <w:r>
              <w:rPr>
                <w:rFonts w:ascii="Times New Roman"/>
                <w:sz w:val="24"/>
              </w:rPr>
              <w:t>-</w:t>
            </w:r>
          </w:p>
        </w:tc>
      </w:tr>
      <w:tr w14:paraId="424A7E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5" w:hRule="atLeast"/>
        </w:trPr>
        <w:tc>
          <w:tcPr>
            <w:tcW w:w="1145" w:type="dxa"/>
            <w:vMerge w:val="continue"/>
            <w:tcBorders>
              <w:top w:val="nil"/>
            </w:tcBorders>
          </w:tcPr>
          <w:p w14:paraId="60DC54DD">
            <w:pPr>
              <w:rPr>
                <w:b/>
                <w:bCs/>
                <w:sz w:val="2"/>
                <w:szCs w:val="2"/>
              </w:rPr>
            </w:pPr>
          </w:p>
        </w:tc>
        <w:tc>
          <w:tcPr>
            <w:tcW w:w="500" w:type="dxa"/>
          </w:tcPr>
          <w:p w14:paraId="6007AAF5">
            <w:pPr>
              <w:pStyle w:val="13"/>
              <w:spacing w:before="59"/>
              <w:ind w:left="16" w:right="10"/>
              <w:rPr>
                <w:rFonts w:hint="eastAsia" w:ascii="Times New Roman"/>
                <w:spacing w:val="-10"/>
                <w:sz w:val="24"/>
                <w:lang w:val="en-US" w:eastAsia="zh-CN"/>
              </w:rPr>
            </w:pPr>
            <w:r>
              <w:rPr>
                <w:rFonts w:hint="eastAsia" w:ascii="Times New Roman"/>
                <w:spacing w:val="-10"/>
                <w:sz w:val="24"/>
                <w:lang w:val="en-US" w:eastAsia="zh-CN"/>
              </w:rPr>
              <w:t>3</w:t>
            </w:r>
          </w:p>
        </w:tc>
        <w:tc>
          <w:tcPr>
            <w:tcW w:w="4616" w:type="dxa"/>
          </w:tcPr>
          <w:p w14:paraId="077F7CA8">
            <w:pPr>
              <w:pStyle w:val="13"/>
              <w:spacing w:before="43"/>
              <w:ind w:left="19" w:right="14"/>
              <w:rPr>
                <w:rFonts w:hint="eastAsia"/>
                <w:spacing w:val="-18"/>
                <w:sz w:val="24"/>
                <w:lang w:val="en-US" w:eastAsia="zh-CN"/>
              </w:rPr>
            </w:pPr>
            <w:r>
              <w:rPr>
                <w:rFonts w:hint="eastAsia"/>
                <w:spacing w:val="-18"/>
                <w:sz w:val="24"/>
                <w:lang w:val="en-US" w:eastAsia="zh-CN"/>
              </w:rPr>
              <w:t>裁判、选手代表宣誓</w:t>
            </w:r>
          </w:p>
        </w:tc>
        <w:tc>
          <w:tcPr>
            <w:tcW w:w="1607" w:type="dxa"/>
          </w:tcPr>
          <w:p w14:paraId="41922898">
            <w:pPr>
              <w:pStyle w:val="13"/>
              <w:spacing w:before="57"/>
              <w:ind w:left="5"/>
              <w:rPr>
                <w:rFonts w:hint="eastAsia" w:ascii="Times New Roman"/>
                <w:sz w:val="24"/>
                <w:lang w:val="en-US" w:eastAsia="zh-CN"/>
              </w:rPr>
            </w:pPr>
            <w:r>
              <w:rPr>
                <w:rFonts w:hint="eastAsia" w:ascii="Times New Roman"/>
                <w:sz w:val="24"/>
                <w:lang w:val="en-US" w:eastAsia="zh-CN"/>
              </w:rPr>
              <w:t>08:20-08:25</w:t>
            </w:r>
          </w:p>
        </w:tc>
        <w:tc>
          <w:tcPr>
            <w:tcW w:w="877" w:type="dxa"/>
          </w:tcPr>
          <w:p w14:paraId="16B02411">
            <w:pPr>
              <w:pStyle w:val="13"/>
              <w:spacing w:before="57"/>
              <w:ind w:left="5"/>
              <w:rPr>
                <w:rFonts w:ascii="Times New Roman"/>
                <w:sz w:val="24"/>
              </w:rPr>
            </w:pPr>
            <w:r>
              <w:rPr>
                <w:rFonts w:ascii="Times New Roman"/>
                <w:sz w:val="24"/>
              </w:rPr>
              <w:t>-</w:t>
            </w:r>
          </w:p>
        </w:tc>
      </w:tr>
      <w:tr w14:paraId="18ADF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145" w:type="dxa"/>
            <w:vMerge w:val="restart"/>
          </w:tcPr>
          <w:p w14:paraId="3F719FD5">
            <w:pPr>
              <w:pStyle w:val="13"/>
              <w:jc w:val="left"/>
              <w:rPr>
                <w:b/>
                <w:bCs/>
                <w:sz w:val="24"/>
              </w:rPr>
            </w:pPr>
          </w:p>
          <w:p w14:paraId="587F5641">
            <w:pPr>
              <w:pStyle w:val="13"/>
              <w:jc w:val="left"/>
              <w:rPr>
                <w:b/>
                <w:bCs/>
                <w:sz w:val="24"/>
              </w:rPr>
            </w:pPr>
          </w:p>
          <w:p w14:paraId="5E4EF580">
            <w:pPr>
              <w:pStyle w:val="13"/>
              <w:jc w:val="left"/>
              <w:rPr>
                <w:b/>
                <w:bCs/>
                <w:sz w:val="24"/>
              </w:rPr>
            </w:pPr>
          </w:p>
          <w:p w14:paraId="46398AA1">
            <w:pPr>
              <w:pStyle w:val="13"/>
              <w:jc w:val="left"/>
              <w:rPr>
                <w:b/>
                <w:bCs/>
                <w:sz w:val="24"/>
              </w:rPr>
            </w:pPr>
          </w:p>
          <w:p w14:paraId="419CFAE4">
            <w:pPr>
              <w:pStyle w:val="13"/>
              <w:jc w:val="left"/>
              <w:rPr>
                <w:b/>
                <w:bCs/>
                <w:sz w:val="24"/>
              </w:rPr>
            </w:pPr>
          </w:p>
          <w:p w14:paraId="0846FC8E">
            <w:pPr>
              <w:pStyle w:val="13"/>
              <w:jc w:val="left"/>
              <w:rPr>
                <w:b/>
                <w:bCs/>
                <w:sz w:val="24"/>
              </w:rPr>
            </w:pPr>
          </w:p>
          <w:p w14:paraId="5E044F00">
            <w:pPr>
              <w:pStyle w:val="13"/>
              <w:jc w:val="left"/>
              <w:rPr>
                <w:b/>
                <w:bCs/>
                <w:sz w:val="24"/>
              </w:rPr>
            </w:pPr>
          </w:p>
          <w:p w14:paraId="46C46D8B">
            <w:pPr>
              <w:pStyle w:val="13"/>
              <w:jc w:val="left"/>
              <w:rPr>
                <w:b/>
                <w:bCs/>
                <w:sz w:val="24"/>
              </w:rPr>
            </w:pPr>
          </w:p>
          <w:p w14:paraId="095D153D">
            <w:pPr>
              <w:pStyle w:val="13"/>
              <w:jc w:val="left"/>
              <w:rPr>
                <w:b/>
                <w:bCs/>
                <w:sz w:val="24"/>
              </w:rPr>
            </w:pPr>
          </w:p>
          <w:p w14:paraId="4C02A397">
            <w:pPr>
              <w:pStyle w:val="13"/>
              <w:jc w:val="left"/>
              <w:rPr>
                <w:b/>
                <w:bCs/>
                <w:sz w:val="24"/>
              </w:rPr>
            </w:pPr>
          </w:p>
          <w:p w14:paraId="606AC1CB">
            <w:pPr>
              <w:pStyle w:val="13"/>
              <w:spacing w:before="231"/>
              <w:jc w:val="center"/>
              <w:rPr>
                <w:b/>
                <w:bCs/>
                <w:sz w:val="24"/>
              </w:rPr>
            </w:pPr>
            <w:r>
              <w:rPr>
                <w:rFonts w:hint="eastAsia"/>
                <w:b/>
                <w:bCs/>
                <w:spacing w:val="-9"/>
                <w:sz w:val="24"/>
                <w:lang w:val="en-US" w:eastAsia="zh-CN"/>
              </w:rPr>
              <w:t>11月28日</w:t>
            </w:r>
          </w:p>
          <w:p w14:paraId="4EE56339">
            <w:pPr>
              <w:pStyle w:val="13"/>
              <w:spacing w:before="1"/>
              <w:jc w:val="center"/>
              <w:rPr>
                <w:b/>
                <w:bCs/>
                <w:sz w:val="24"/>
              </w:rPr>
            </w:pPr>
            <w:r>
              <w:rPr>
                <w:b/>
                <w:bCs/>
                <w:spacing w:val="-6"/>
                <w:sz w:val="24"/>
              </w:rPr>
              <w:t>比赛当天</w:t>
            </w:r>
          </w:p>
        </w:tc>
        <w:tc>
          <w:tcPr>
            <w:tcW w:w="500" w:type="dxa"/>
          </w:tcPr>
          <w:p w14:paraId="38D030C4">
            <w:pPr>
              <w:pStyle w:val="13"/>
              <w:spacing w:before="59"/>
              <w:ind w:left="16" w:right="10"/>
              <w:rPr>
                <w:rFonts w:ascii="Times New Roman"/>
                <w:spacing w:val="-10"/>
                <w:sz w:val="24"/>
              </w:rPr>
            </w:pPr>
            <w:r>
              <w:rPr>
                <w:rFonts w:ascii="Times New Roman"/>
                <w:spacing w:val="-10"/>
                <w:sz w:val="24"/>
              </w:rPr>
              <w:t>1</w:t>
            </w:r>
          </w:p>
        </w:tc>
        <w:tc>
          <w:tcPr>
            <w:tcW w:w="4616" w:type="dxa"/>
          </w:tcPr>
          <w:p w14:paraId="7E1D45DC">
            <w:pPr>
              <w:pStyle w:val="13"/>
              <w:spacing w:before="43"/>
              <w:ind w:left="19" w:right="14"/>
              <w:rPr>
                <w:spacing w:val="-18"/>
                <w:sz w:val="24"/>
              </w:rPr>
            </w:pPr>
            <w:r>
              <w:rPr>
                <w:spacing w:val="-18"/>
                <w:sz w:val="24"/>
              </w:rPr>
              <w:t>参赛选手检录(参赛证、身份证、学生证)</w:t>
            </w:r>
          </w:p>
        </w:tc>
        <w:tc>
          <w:tcPr>
            <w:tcW w:w="1607" w:type="dxa"/>
          </w:tcPr>
          <w:p w14:paraId="1B77B823">
            <w:pPr>
              <w:pStyle w:val="13"/>
              <w:spacing w:before="57"/>
              <w:ind w:left="5"/>
              <w:rPr>
                <w:rFonts w:hint="default" w:ascii="Times New Roman"/>
                <w:sz w:val="24"/>
                <w:lang w:val="en-US"/>
              </w:rPr>
            </w:pPr>
            <w:r>
              <w:rPr>
                <w:rFonts w:ascii="Times New Roman"/>
                <w:sz w:val="24"/>
              </w:rPr>
              <w:t>0</w:t>
            </w:r>
            <w:r>
              <w:rPr>
                <w:rFonts w:hint="eastAsia" w:ascii="Times New Roman"/>
                <w:sz w:val="24"/>
                <w:lang w:val="en-US" w:eastAsia="zh-CN"/>
              </w:rPr>
              <w:t>8</w:t>
            </w:r>
            <w:r>
              <w:rPr>
                <w:rFonts w:ascii="Times New Roman"/>
                <w:sz w:val="24"/>
              </w:rPr>
              <w:t>:</w:t>
            </w:r>
            <w:r>
              <w:rPr>
                <w:rFonts w:hint="eastAsia" w:ascii="Times New Roman"/>
                <w:sz w:val="24"/>
                <w:lang w:val="en-US" w:eastAsia="zh-CN"/>
              </w:rPr>
              <w:t>40</w:t>
            </w:r>
            <w:r>
              <w:rPr>
                <w:rFonts w:ascii="Times New Roman"/>
                <w:sz w:val="24"/>
              </w:rPr>
              <w:t>-0</w:t>
            </w:r>
            <w:r>
              <w:rPr>
                <w:rFonts w:hint="eastAsia" w:ascii="Times New Roman"/>
                <w:sz w:val="24"/>
                <w:lang w:val="en-US" w:eastAsia="zh-CN"/>
              </w:rPr>
              <w:t>8</w:t>
            </w:r>
            <w:r>
              <w:rPr>
                <w:rFonts w:ascii="Times New Roman"/>
                <w:sz w:val="24"/>
              </w:rPr>
              <w:t>:</w:t>
            </w:r>
            <w:r>
              <w:rPr>
                <w:rFonts w:hint="eastAsia" w:ascii="Times New Roman"/>
                <w:sz w:val="24"/>
                <w:lang w:val="en-US" w:eastAsia="zh-CN"/>
              </w:rPr>
              <w:t>50</w:t>
            </w:r>
          </w:p>
        </w:tc>
        <w:tc>
          <w:tcPr>
            <w:tcW w:w="877" w:type="dxa"/>
          </w:tcPr>
          <w:p w14:paraId="27586087">
            <w:pPr>
              <w:pStyle w:val="13"/>
              <w:spacing w:before="57"/>
              <w:ind w:left="5"/>
              <w:rPr>
                <w:rFonts w:ascii="Times New Roman"/>
                <w:sz w:val="24"/>
              </w:rPr>
            </w:pPr>
            <w:r>
              <w:rPr>
                <w:rFonts w:ascii="Times New Roman"/>
                <w:sz w:val="24"/>
              </w:rPr>
              <w:t>-</w:t>
            </w:r>
          </w:p>
        </w:tc>
      </w:tr>
      <w:tr w14:paraId="5A3038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145" w:type="dxa"/>
            <w:vMerge w:val="continue"/>
            <w:tcBorders>
              <w:top w:val="nil"/>
            </w:tcBorders>
          </w:tcPr>
          <w:p w14:paraId="1FA10526">
            <w:pPr>
              <w:rPr>
                <w:b/>
                <w:bCs/>
                <w:sz w:val="2"/>
                <w:szCs w:val="2"/>
              </w:rPr>
            </w:pPr>
          </w:p>
        </w:tc>
        <w:tc>
          <w:tcPr>
            <w:tcW w:w="500" w:type="dxa"/>
          </w:tcPr>
          <w:p w14:paraId="63278510">
            <w:pPr>
              <w:pStyle w:val="13"/>
              <w:spacing w:before="59"/>
              <w:ind w:left="16" w:right="10"/>
              <w:rPr>
                <w:rFonts w:ascii="Times New Roman"/>
                <w:spacing w:val="-10"/>
                <w:sz w:val="24"/>
              </w:rPr>
            </w:pPr>
            <w:r>
              <w:rPr>
                <w:rFonts w:ascii="Times New Roman"/>
                <w:spacing w:val="-10"/>
                <w:sz w:val="24"/>
              </w:rPr>
              <w:t>2</w:t>
            </w:r>
          </w:p>
        </w:tc>
        <w:tc>
          <w:tcPr>
            <w:tcW w:w="4616" w:type="dxa"/>
          </w:tcPr>
          <w:p w14:paraId="0CBE1B95">
            <w:pPr>
              <w:pStyle w:val="13"/>
              <w:spacing w:before="43"/>
              <w:ind w:left="19" w:right="14"/>
              <w:rPr>
                <w:spacing w:val="-18"/>
                <w:sz w:val="24"/>
              </w:rPr>
            </w:pPr>
            <w:r>
              <w:rPr>
                <w:spacing w:val="-18"/>
                <w:sz w:val="24"/>
              </w:rPr>
              <w:t>入场、赛前准备</w:t>
            </w:r>
          </w:p>
        </w:tc>
        <w:tc>
          <w:tcPr>
            <w:tcW w:w="1607" w:type="dxa"/>
          </w:tcPr>
          <w:p w14:paraId="378A24F5">
            <w:pPr>
              <w:pStyle w:val="13"/>
              <w:spacing w:before="57"/>
              <w:ind w:left="5"/>
              <w:rPr>
                <w:rFonts w:ascii="Times New Roman"/>
                <w:sz w:val="24"/>
              </w:rPr>
            </w:pPr>
            <w:r>
              <w:rPr>
                <w:rFonts w:ascii="Times New Roman"/>
                <w:sz w:val="24"/>
              </w:rPr>
              <w:t>0</w:t>
            </w:r>
            <w:r>
              <w:rPr>
                <w:rFonts w:hint="eastAsia" w:ascii="Times New Roman"/>
                <w:sz w:val="24"/>
                <w:lang w:val="en-US" w:eastAsia="zh-CN"/>
              </w:rPr>
              <w:t>8</w:t>
            </w:r>
            <w:r>
              <w:rPr>
                <w:rFonts w:ascii="Times New Roman"/>
                <w:sz w:val="24"/>
              </w:rPr>
              <w:t>:</w:t>
            </w:r>
            <w:r>
              <w:rPr>
                <w:rFonts w:hint="eastAsia" w:ascii="Times New Roman"/>
                <w:sz w:val="24"/>
                <w:lang w:val="en-US" w:eastAsia="zh-CN"/>
              </w:rPr>
              <w:t>50</w:t>
            </w:r>
            <w:r>
              <w:rPr>
                <w:rFonts w:ascii="Times New Roman"/>
                <w:sz w:val="24"/>
              </w:rPr>
              <w:t>-0</w:t>
            </w:r>
            <w:r>
              <w:rPr>
                <w:rFonts w:hint="eastAsia" w:ascii="Times New Roman"/>
                <w:sz w:val="24"/>
                <w:lang w:val="en-US" w:eastAsia="zh-CN"/>
              </w:rPr>
              <w:t>9</w:t>
            </w:r>
            <w:r>
              <w:rPr>
                <w:rFonts w:ascii="Times New Roman"/>
                <w:sz w:val="24"/>
              </w:rPr>
              <w:t>:</w:t>
            </w:r>
            <w:r>
              <w:rPr>
                <w:rFonts w:hint="eastAsia" w:ascii="Times New Roman"/>
                <w:sz w:val="24"/>
                <w:lang w:val="en-US" w:eastAsia="zh-CN"/>
              </w:rPr>
              <w:t>0</w:t>
            </w:r>
            <w:r>
              <w:rPr>
                <w:rFonts w:ascii="Times New Roman"/>
                <w:sz w:val="24"/>
              </w:rPr>
              <w:t>0</w:t>
            </w:r>
          </w:p>
        </w:tc>
        <w:tc>
          <w:tcPr>
            <w:tcW w:w="877" w:type="dxa"/>
          </w:tcPr>
          <w:p w14:paraId="58C5AB54">
            <w:pPr>
              <w:pStyle w:val="13"/>
              <w:spacing w:before="57"/>
              <w:ind w:left="5"/>
              <w:rPr>
                <w:rFonts w:ascii="Times New Roman"/>
                <w:sz w:val="24"/>
              </w:rPr>
            </w:pPr>
            <w:r>
              <w:rPr>
                <w:rFonts w:ascii="Times New Roman"/>
                <w:sz w:val="24"/>
              </w:rPr>
              <w:t>-</w:t>
            </w:r>
          </w:p>
        </w:tc>
      </w:tr>
      <w:tr w14:paraId="1153E3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145" w:type="dxa"/>
            <w:vMerge w:val="continue"/>
            <w:tcBorders>
              <w:top w:val="nil"/>
            </w:tcBorders>
          </w:tcPr>
          <w:p w14:paraId="1B913F54">
            <w:pPr>
              <w:rPr>
                <w:b/>
                <w:bCs/>
                <w:sz w:val="2"/>
                <w:szCs w:val="2"/>
              </w:rPr>
            </w:pPr>
          </w:p>
        </w:tc>
        <w:tc>
          <w:tcPr>
            <w:tcW w:w="500" w:type="dxa"/>
          </w:tcPr>
          <w:p w14:paraId="78A1954E">
            <w:pPr>
              <w:pStyle w:val="13"/>
              <w:spacing w:before="59"/>
              <w:ind w:left="16" w:right="10"/>
              <w:rPr>
                <w:rFonts w:ascii="Times New Roman"/>
                <w:spacing w:val="-10"/>
                <w:sz w:val="24"/>
              </w:rPr>
            </w:pPr>
            <w:r>
              <w:rPr>
                <w:rFonts w:ascii="Times New Roman"/>
                <w:spacing w:val="-10"/>
                <w:sz w:val="24"/>
              </w:rPr>
              <w:t>3</w:t>
            </w:r>
          </w:p>
        </w:tc>
        <w:tc>
          <w:tcPr>
            <w:tcW w:w="4616" w:type="dxa"/>
          </w:tcPr>
          <w:p w14:paraId="3D76E816">
            <w:pPr>
              <w:pStyle w:val="13"/>
              <w:spacing w:before="43"/>
              <w:ind w:left="19" w:right="14"/>
              <w:rPr>
                <w:spacing w:val="-18"/>
                <w:sz w:val="24"/>
              </w:rPr>
            </w:pPr>
            <w:r>
              <w:rPr>
                <w:spacing w:val="-18"/>
                <w:sz w:val="24"/>
              </w:rPr>
              <w:t>抽取正式竞赛试题</w:t>
            </w:r>
          </w:p>
        </w:tc>
        <w:tc>
          <w:tcPr>
            <w:tcW w:w="1607" w:type="dxa"/>
          </w:tcPr>
          <w:p w14:paraId="05FD1139">
            <w:pPr>
              <w:pStyle w:val="13"/>
              <w:spacing w:before="57"/>
              <w:ind w:left="5"/>
              <w:rPr>
                <w:rFonts w:hint="default" w:ascii="Times New Roman"/>
                <w:sz w:val="24"/>
                <w:lang w:val="en-US" w:eastAsia="zh-CN"/>
              </w:rPr>
            </w:pPr>
            <w:r>
              <w:rPr>
                <w:rFonts w:ascii="Times New Roman"/>
                <w:sz w:val="24"/>
              </w:rPr>
              <w:t>0</w:t>
            </w:r>
            <w:r>
              <w:rPr>
                <w:rFonts w:hint="eastAsia" w:ascii="Times New Roman"/>
                <w:sz w:val="24"/>
                <w:lang w:val="en-US" w:eastAsia="zh-CN"/>
              </w:rPr>
              <w:t>9</w:t>
            </w:r>
            <w:r>
              <w:rPr>
                <w:rFonts w:ascii="Times New Roman"/>
                <w:sz w:val="24"/>
              </w:rPr>
              <w:t>:</w:t>
            </w:r>
            <w:r>
              <w:rPr>
                <w:rFonts w:hint="eastAsia" w:ascii="Times New Roman"/>
                <w:sz w:val="24"/>
                <w:lang w:val="en-US" w:eastAsia="zh-CN"/>
              </w:rPr>
              <w:t>00</w:t>
            </w:r>
            <w:r>
              <w:rPr>
                <w:rFonts w:ascii="Times New Roman"/>
                <w:sz w:val="24"/>
              </w:rPr>
              <w:t>-09:</w:t>
            </w:r>
            <w:r>
              <w:rPr>
                <w:rFonts w:hint="eastAsia" w:ascii="Times New Roman"/>
                <w:sz w:val="24"/>
                <w:lang w:val="en-US" w:eastAsia="zh-CN"/>
              </w:rPr>
              <w:t>05</w:t>
            </w:r>
          </w:p>
        </w:tc>
        <w:tc>
          <w:tcPr>
            <w:tcW w:w="877" w:type="dxa"/>
          </w:tcPr>
          <w:p w14:paraId="5CB55F9D">
            <w:pPr>
              <w:pStyle w:val="13"/>
              <w:spacing w:before="57"/>
              <w:ind w:left="5"/>
              <w:rPr>
                <w:rFonts w:ascii="Times New Roman"/>
                <w:sz w:val="24"/>
              </w:rPr>
            </w:pPr>
            <w:r>
              <w:rPr>
                <w:rFonts w:ascii="Times New Roman"/>
                <w:sz w:val="24"/>
              </w:rPr>
              <w:t>-</w:t>
            </w:r>
          </w:p>
        </w:tc>
      </w:tr>
      <w:tr w14:paraId="60BC9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145" w:type="dxa"/>
            <w:vMerge w:val="continue"/>
            <w:tcBorders>
              <w:top w:val="nil"/>
            </w:tcBorders>
          </w:tcPr>
          <w:p w14:paraId="23E82302">
            <w:pPr>
              <w:rPr>
                <w:b/>
                <w:bCs/>
                <w:sz w:val="2"/>
                <w:szCs w:val="2"/>
              </w:rPr>
            </w:pPr>
          </w:p>
        </w:tc>
        <w:tc>
          <w:tcPr>
            <w:tcW w:w="500" w:type="dxa"/>
          </w:tcPr>
          <w:p w14:paraId="18FE79AB">
            <w:pPr>
              <w:pStyle w:val="13"/>
              <w:spacing w:before="59"/>
              <w:ind w:left="16" w:right="10"/>
              <w:rPr>
                <w:rFonts w:ascii="Times New Roman"/>
                <w:spacing w:val="-10"/>
                <w:sz w:val="24"/>
              </w:rPr>
            </w:pPr>
            <w:r>
              <w:rPr>
                <w:rFonts w:ascii="Times New Roman"/>
                <w:spacing w:val="-10"/>
                <w:sz w:val="24"/>
              </w:rPr>
              <w:t>4</w:t>
            </w:r>
          </w:p>
        </w:tc>
        <w:tc>
          <w:tcPr>
            <w:tcW w:w="4616" w:type="dxa"/>
          </w:tcPr>
          <w:p w14:paraId="28B0A9D5">
            <w:pPr>
              <w:pStyle w:val="13"/>
              <w:spacing w:before="43"/>
              <w:ind w:left="19" w:right="14"/>
              <w:rPr>
                <w:spacing w:val="-18"/>
                <w:sz w:val="24"/>
              </w:rPr>
            </w:pPr>
            <w:r>
              <w:rPr>
                <w:spacing w:val="-18"/>
                <w:sz w:val="24"/>
              </w:rPr>
              <w:t>下发正式竞赛试题资料(规则与详单)</w:t>
            </w:r>
          </w:p>
        </w:tc>
        <w:tc>
          <w:tcPr>
            <w:tcW w:w="1607" w:type="dxa"/>
          </w:tcPr>
          <w:p w14:paraId="784B0023">
            <w:pPr>
              <w:pStyle w:val="13"/>
              <w:spacing w:before="57"/>
              <w:ind w:left="5"/>
              <w:rPr>
                <w:rFonts w:hint="default" w:ascii="Times New Roman"/>
                <w:sz w:val="24"/>
                <w:lang w:val="en-US" w:eastAsia="zh-CN"/>
              </w:rPr>
            </w:pPr>
            <w:r>
              <w:rPr>
                <w:rFonts w:ascii="Times New Roman"/>
                <w:sz w:val="24"/>
              </w:rPr>
              <w:t>09:</w:t>
            </w:r>
            <w:r>
              <w:rPr>
                <w:rFonts w:hint="eastAsia" w:ascii="Times New Roman"/>
                <w:sz w:val="24"/>
                <w:lang w:val="en-US" w:eastAsia="zh-CN"/>
              </w:rPr>
              <w:t>05</w:t>
            </w:r>
            <w:r>
              <w:rPr>
                <w:rFonts w:ascii="Times New Roman"/>
                <w:sz w:val="24"/>
              </w:rPr>
              <w:t>-09:</w:t>
            </w:r>
            <w:r>
              <w:rPr>
                <w:rFonts w:hint="eastAsia" w:ascii="Times New Roman"/>
                <w:sz w:val="24"/>
                <w:lang w:val="en-US" w:eastAsia="zh-CN"/>
              </w:rPr>
              <w:t>10</w:t>
            </w:r>
          </w:p>
        </w:tc>
        <w:tc>
          <w:tcPr>
            <w:tcW w:w="877" w:type="dxa"/>
          </w:tcPr>
          <w:p w14:paraId="01764538">
            <w:pPr>
              <w:pStyle w:val="13"/>
              <w:spacing w:before="57"/>
              <w:ind w:left="5"/>
              <w:rPr>
                <w:rFonts w:ascii="Times New Roman"/>
                <w:sz w:val="24"/>
              </w:rPr>
            </w:pPr>
            <w:r>
              <w:rPr>
                <w:rFonts w:ascii="Times New Roman"/>
                <w:sz w:val="24"/>
              </w:rPr>
              <w:t>-</w:t>
            </w:r>
          </w:p>
        </w:tc>
      </w:tr>
      <w:tr w14:paraId="7CC9EE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145" w:type="dxa"/>
            <w:vMerge w:val="continue"/>
            <w:tcBorders>
              <w:top w:val="nil"/>
            </w:tcBorders>
          </w:tcPr>
          <w:p w14:paraId="02C027BA">
            <w:pPr>
              <w:rPr>
                <w:b/>
                <w:bCs/>
                <w:sz w:val="2"/>
                <w:szCs w:val="2"/>
              </w:rPr>
            </w:pPr>
          </w:p>
        </w:tc>
        <w:tc>
          <w:tcPr>
            <w:tcW w:w="500" w:type="dxa"/>
          </w:tcPr>
          <w:p w14:paraId="33543A9E">
            <w:pPr>
              <w:pStyle w:val="13"/>
              <w:spacing w:before="59"/>
              <w:ind w:left="16" w:right="10"/>
              <w:rPr>
                <w:rFonts w:ascii="Times New Roman"/>
                <w:spacing w:val="-10"/>
                <w:sz w:val="24"/>
              </w:rPr>
            </w:pPr>
            <w:r>
              <w:rPr>
                <w:rFonts w:ascii="Times New Roman"/>
                <w:spacing w:val="-10"/>
                <w:sz w:val="24"/>
              </w:rPr>
              <w:t>5</w:t>
            </w:r>
          </w:p>
        </w:tc>
        <w:tc>
          <w:tcPr>
            <w:tcW w:w="4616" w:type="dxa"/>
          </w:tcPr>
          <w:p w14:paraId="7B767C73">
            <w:pPr>
              <w:pStyle w:val="13"/>
              <w:spacing w:before="41"/>
              <w:ind w:left="21" w:right="14"/>
              <w:rPr>
                <w:sz w:val="24"/>
              </w:rPr>
            </w:pPr>
            <w:r>
              <w:rPr>
                <w:spacing w:val="-5"/>
                <w:sz w:val="24"/>
              </w:rPr>
              <w:t>战略规划阶段</w:t>
            </w:r>
          </w:p>
        </w:tc>
        <w:tc>
          <w:tcPr>
            <w:tcW w:w="1607" w:type="dxa"/>
          </w:tcPr>
          <w:p w14:paraId="0D7F5FFA">
            <w:pPr>
              <w:pStyle w:val="13"/>
              <w:spacing w:before="57"/>
              <w:ind w:left="5"/>
              <w:rPr>
                <w:rFonts w:hint="default" w:ascii="Times New Roman"/>
                <w:sz w:val="24"/>
                <w:lang w:val="en-US" w:eastAsia="zh-CN"/>
              </w:rPr>
            </w:pPr>
            <w:r>
              <w:rPr>
                <w:rFonts w:ascii="Times New Roman"/>
                <w:sz w:val="24"/>
              </w:rPr>
              <w:t>09:</w:t>
            </w:r>
            <w:r>
              <w:rPr>
                <w:rFonts w:hint="eastAsia" w:ascii="Times New Roman"/>
                <w:sz w:val="24"/>
                <w:lang w:val="en-US" w:eastAsia="zh-CN"/>
              </w:rPr>
              <w:t>10</w:t>
            </w:r>
            <w:r>
              <w:rPr>
                <w:rFonts w:ascii="Times New Roman"/>
                <w:sz w:val="24"/>
              </w:rPr>
              <w:t>-9:</w:t>
            </w:r>
            <w:r>
              <w:rPr>
                <w:rFonts w:hint="eastAsia" w:ascii="Times New Roman"/>
                <w:sz w:val="24"/>
                <w:lang w:val="en-US" w:eastAsia="zh-CN"/>
              </w:rPr>
              <w:t>35</w:t>
            </w:r>
          </w:p>
        </w:tc>
        <w:tc>
          <w:tcPr>
            <w:tcW w:w="877" w:type="dxa"/>
          </w:tcPr>
          <w:p w14:paraId="1F9630B6">
            <w:pPr>
              <w:pStyle w:val="13"/>
              <w:spacing w:before="57"/>
              <w:ind w:left="5"/>
              <w:rPr>
                <w:rFonts w:ascii="Times New Roman"/>
                <w:sz w:val="24"/>
              </w:rPr>
            </w:pPr>
            <w:r>
              <w:rPr>
                <w:rFonts w:hint="eastAsia" w:ascii="Times New Roman"/>
                <w:sz w:val="24"/>
                <w:lang w:val="en-US" w:eastAsia="zh-CN"/>
              </w:rPr>
              <w:t>2</w:t>
            </w:r>
            <w:r>
              <w:rPr>
                <w:rFonts w:ascii="Times New Roman"/>
                <w:sz w:val="24"/>
              </w:rPr>
              <w:t>5</w:t>
            </w:r>
          </w:p>
        </w:tc>
      </w:tr>
      <w:tr w14:paraId="62276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145" w:type="dxa"/>
            <w:vMerge w:val="continue"/>
            <w:tcBorders>
              <w:top w:val="nil"/>
            </w:tcBorders>
          </w:tcPr>
          <w:p w14:paraId="5598EC1B">
            <w:pPr>
              <w:rPr>
                <w:b/>
                <w:bCs/>
                <w:sz w:val="2"/>
                <w:szCs w:val="2"/>
              </w:rPr>
            </w:pPr>
          </w:p>
        </w:tc>
        <w:tc>
          <w:tcPr>
            <w:tcW w:w="500" w:type="dxa"/>
          </w:tcPr>
          <w:p w14:paraId="41FCFE46">
            <w:pPr>
              <w:pStyle w:val="13"/>
              <w:spacing w:before="59"/>
              <w:ind w:left="16" w:right="10"/>
              <w:rPr>
                <w:rFonts w:ascii="Times New Roman"/>
                <w:spacing w:val="-10"/>
                <w:sz w:val="24"/>
              </w:rPr>
            </w:pPr>
            <w:r>
              <w:rPr>
                <w:rFonts w:ascii="Times New Roman"/>
                <w:spacing w:val="-10"/>
                <w:sz w:val="24"/>
              </w:rPr>
              <w:t>6</w:t>
            </w:r>
          </w:p>
        </w:tc>
        <w:tc>
          <w:tcPr>
            <w:tcW w:w="4616" w:type="dxa"/>
          </w:tcPr>
          <w:p w14:paraId="506807D4">
            <w:pPr>
              <w:pStyle w:val="13"/>
              <w:spacing w:before="43"/>
              <w:ind w:left="19" w:right="14"/>
              <w:rPr>
                <w:sz w:val="24"/>
              </w:rPr>
            </w:pPr>
            <w:r>
              <w:rPr>
                <w:spacing w:val="-18"/>
                <w:sz w:val="24"/>
              </w:rPr>
              <w:t>第一年</w:t>
            </w:r>
            <w:r>
              <w:rPr>
                <w:rFonts w:ascii="Times New Roman" w:eastAsia="Times New Roman"/>
                <w:spacing w:val="-2"/>
                <w:sz w:val="24"/>
              </w:rPr>
              <w:t>1</w:t>
            </w:r>
            <w:r>
              <w:rPr>
                <w:spacing w:val="-4"/>
                <w:sz w:val="24"/>
              </w:rPr>
              <w:t>季度经营</w:t>
            </w:r>
          </w:p>
        </w:tc>
        <w:tc>
          <w:tcPr>
            <w:tcW w:w="1607" w:type="dxa"/>
          </w:tcPr>
          <w:p w14:paraId="260A3021">
            <w:pPr>
              <w:pStyle w:val="13"/>
              <w:spacing w:before="59"/>
              <w:ind w:left="2"/>
              <w:rPr>
                <w:rFonts w:hint="default" w:ascii="Times New Roman" w:eastAsia="宋体"/>
                <w:sz w:val="24"/>
                <w:lang w:val="en-US" w:eastAsia="zh-CN"/>
              </w:rPr>
            </w:pPr>
            <w:r>
              <w:rPr>
                <w:rFonts w:ascii="Times New Roman"/>
                <w:sz w:val="24"/>
              </w:rPr>
              <w:t>09:</w:t>
            </w:r>
            <w:r>
              <w:rPr>
                <w:rFonts w:hint="eastAsia" w:ascii="Times New Roman"/>
                <w:sz w:val="24"/>
                <w:lang w:val="en-US" w:eastAsia="zh-CN"/>
              </w:rPr>
              <w:t>3</w:t>
            </w:r>
            <w:r>
              <w:rPr>
                <w:rFonts w:ascii="Times New Roman"/>
                <w:sz w:val="24"/>
              </w:rPr>
              <w:t>5-</w:t>
            </w:r>
            <w:r>
              <w:rPr>
                <w:rFonts w:hint="eastAsia" w:ascii="Times New Roman"/>
                <w:sz w:val="24"/>
                <w:lang w:val="en-US" w:eastAsia="zh-CN"/>
              </w:rPr>
              <w:t>09</w:t>
            </w:r>
            <w:r>
              <w:rPr>
                <w:rFonts w:ascii="Times New Roman"/>
                <w:spacing w:val="-2"/>
                <w:sz w:val="24"/>
              </w:rPr>
              <w:t>:</w:t>
            </w:r>
            <w:r>
              <w:rPr>
                <w:rFonts w:hint="eastAsia" w:ascii="Times New Roman"/>
                <w:spacing w:val="-2"/>
                <w:sz w:val="24"/>
                <w:lang w:val="en-US" w:eastAsia="zh-CN"/>
              </w:rPr>
              <w:t>50</w:t>
            </w:r>
          </w:p>
        </w:tc>
        <w:tc>
          <w:tcPr>
            <w:tcW w:w="877" w:type="dxa"/>
          </w:tcPr>
          <w:p w14:paraId="7FA87095">
            <w:pPr>
              <w:pStyle w:val="13"/>
              <w:spacing w:before="57"/>
              <w:ind w:left="5"/>
              <w:rPr>
                <w:rFonts w:ascii="Times New Roman"/>
                <w:sz w:val="24"/>
              </w:rPr>
            </w:pPr>
            <w:r>
              <w:rPr>
                <w:rFonts w:hint="eastAsia" w:ascii="Times New Roman"/>
                <w:sz w:val="24"/>
              </w:rPr>
              <w:t>15</w:t>
            </w:r>
          </w:p>
        </w:tc>
      </w:tr>
      <w:tr w14:paraId="02783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145" w:type="dxa"/>
            <w:vMerge w:val="continue"/>
            <w:tcBorders>
              <w:top w:val="nil"/>
            </w:tcBorders>
          </w:tcPr>
          <w:p w14:paraId="18557846">
            <w:pPr>
              <w:rPr>
                <w:b/>
                <w:bCs/>
                <w:sz w:val="2"/>
                <w:szCs w:val="2"/>
              </w:rPr>
            </w:pPr>
          </w:p>
        </w:tc>
        <w:tc>
          <w:tcPr>
            <w:tcW w:w="500" w:type="dxa"/>
          </w:tcPr>
          <w:p w14:paraId="7DB71B8C">
            <w:pPr>
              <w:pStyle w:val="13"/>
              <w:spacing w:before="59"/>
              <w:ind w:left="16" w:right="10"/>
              <w:rPr>
                <w:rFonts w:ascii="Times New Roman"/>
                <w:spacing w:val="-10"/>
                <w:sz w:val="24"/>
              </w:rPr>
            </w:pPr>
            <w:r>
              <w:rPr>
                <w:rFonts w:ascii="Times New Roman"/>
                <w:spacing w:val="-10"/>
                <w:sz w:val="24"/>
              </w:rPr>
              <w:t>7</w:t>
            </w:r>
          </w:p>
        </w:tc>
        <w:tc>
          <w:tcPr>
            <w:tcW w:w="4616" w:type="dxa"/>
          </w:tcPr>
          <w:p w14:paraId="330E7CDB">
            <w:pPr>
              <w:pStyle w:val="13"/>
              <w:spacing w:before="42"/>
              <w:ind w:left="21" w:right="14"/>
              <w:rPr>
                <w:sz w:val="24"/>
              </w:rPr>
            </w:pPr>
            <w:r>
              <w:rPr>
                <w:spacing w:val="-18"/>
                <w:sz w:val="24"/>
              </w:rPr>
              <w:t>第一年</w:t>
            </w:r>
            <w:r>
              <w:rPr>
                <w:rFonts w:ascii="Times New Roman" w:eastAsia="Times New Roman"/>
                <w:spacing w:val="-2"/>
                <w:sz w:val="24"/>
              </w:rPr>
              <w:t>2</w:t>
            </w:r>
            <w:r>
              <w:rPr>
                <w:spacing w:val="-4"/>
                <w:sz w:val="24"/>
              </w:rPr>
              <w:t>季度投放广告</w:t>
            </w:r>
          </w:p>
        </w:tc>
        <w:tc>
          <w:tcPr>
            <w:tcW w:w="1607" w:type="dxa"/>
          </w:tcPr>
          <w:p w14:paraId="03C59B80">
            <w:pPr>
              <w:pStyle w:val="13"/>
              <w:spacing w:before="58"/>
              <w:ind w:left="2"/>
              <w:rPr>
                <w:rFonts w:hint="default" w:ascii="Times New Roman" w:eastAsia="宋体"/>
                <w:sz w:val="24"/>
                <w:lang w:val="en-US" w:eastAsia="zh-CN"/>
              </w:rPr>
            </w:pPr>
            <w:r>
              <w:rPr>
                <w:rFonts w:hint="eastAsia" w:ascii="Times New Roman"/>
                <w:sz w:val="24"/>
                <w:lang w:val="en-US" w:eastAsia="zh-CN"/>
              </w:rPr>
              <w:t>09</w:t>
            </w:r>
            <w:r>
              <w:rPr>
                <w:rFonts w:ascii="Times New Roman"/>
                <w:sz w:val="24"/>
              </w:rPr>
              <w:t>:</w:t>
            </w:r>
            <w:r>
              <w:rPr>
                <w:rFonts w:hint="eastAsia" w:ascii="Times New Roman"/>
                <w:sz w:val="24"/>
                <w:lang w:val="en-US" w:eastAsia="zh-CN"/>
              </w:rPr>
              <w:t>50</w:t>
            </w:r>
            <w:r>
              <w:rPr>
                <w:rFonts w:ascii="Times New Roman"/>
                <w:sz w:val="24"/>
              </w:rPr>
              <w:t>-</w:t>
            </w:r>
            <w:r>
              <w:rPr>
                <w:rFonts w:hint="eastAsia" w:ascii="Times New Roman"/>
                <w:sz w:val="24"/>
                <w:lang w:val="en-US" w:eastAsia="zh-CN"/>
              </w:rPr>
              <w:t>09</w:t>
            </w:r>
            <w:r>
              <w:rPr>
                <w:rFonts w:ascii="Times New Roman"/>
                <w:spacing w:val="-2"/>
                <w:sz w:val="24"/>
              </w:rPr>
              <w:t>:</w:t>
            </w:r>
            <w:r>
              <w:rPr>
                <w:rFonts w:hint="eastAsia" w:ascii="Times New Roman"/>
                <w:spacing w:val="-2"/>
                <w:sz w:val="24"/>
                <w:lang w:val="en-US" w:eastAsia="zh-CN"/>
              </w:rPr>
              <w:t>55</w:t>
            </w:r>
          </w:p>
        </w:tc>
        <w:tc>
          <w:tcPr>
            <w:tcW w:w="877" w:type="dxa"/>
          </w:tcPr>
          <w:p w14:paraId="1F76ECF6">
            <w:pPr>
              <w:pStyle w:val="13"/>
              <w:spacing w:before="58"/>
              <w:ind w:left="66" w:right="59"/>
              <w:rPr>
                <w:rFonts w:ascii="Times New Roman"/>
                <w:sz w:val="24"/>
              </w:rPr>
            </w:pPr>
            <w:r>
              <w:rPr>
                <w:rFonts w:ascii="Times New Roman"/>
                <w:spacing w:val="-10"/>
                <w:sz w:val="24"/>
              </w:rPr>
              <w:t>5</w:t>
            </w:r>
          </w:p>
        </w:tc>
      </w:tr>
      <w:tr w14:paraId="58257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45" w:type="dxa"/>
            <w:vMerge w:val="continue"/>
            <w:tcBorders>
              <w:top w:val="nil"/>
            </w:tcBorders>
          </w:tcPr>
          <w:p w14:paraId="00163DC9">
            <w:pPr>
              <w:rPr>
                <w:b/>
                <w:bCs/>
                <w:sz w:val="2"/>
                <w:szCs w:val="2"/>
              </w:rPr>
            </w:pPr>
          </w:p>
        </w:tc>
        <w:tc>
          <w:tcPr>
            <w:tcW w:w="500" w:type="dxa"/>
          </w:tcPr>
          <w:p w14:paraId="50A42847">
            <w:pPr>
              <w:pStyle w:val="13"/>
              <w:spacing w:before="59"/>
              <w:ind w:left="16" w:right="10"/>
              <w:rPr>
                <w:rFonts w:ascii="Times New Roman"/>
                <w:spacing w:val="-10"/>
                <w:sz w:val="24"/>
              </w:rPr>
            </w:pPr>
            <w:r>
              <w:rPr>
                <w:rFonts w:ascii="Times New Roman"/>
                <w:spacing w:val="-10"/>
                <w:sz w:val="24"/>
              </w:rPr>
              <w:t>8</w:t>
            </w:r>
          </w:p>
        </w:tc>
        <w:tc>
          <w:tcPr>
            <w:tcW w:w="4616" w:type="dxa"/>
          </w:tcPr>
          <w:p w14:paraId="7A500C65">
            <w:pPr>
              <w:pStyle w:val="13"/>
              <w:spacing w:before="41"/>
              <w:ind w:left="21" w:right="14"/>
              <w:rPr>
                <w:sz w:val="24"/>
              </w:rPr>
            </w:pPr>
            <w:r>
              <w:rPr>
                <w:spacing w:val="-13"/>
                <w:sz w:val="24"/>
              </w:rPr>
              <w:t>第一年第</w:t>
            </w:r>
            <w:r>
              <w:rPr>
                <w:rFonts w:ascii="Times New Roman" w:eastAsia="Times New Roman"/>
                <w:sz w:val="24"/>
              </w:rPr>
              <w:t>1</w:t>
            </w:r>
            <w:r>
              <w:rPr>
                <w:spacing w:val="-4"/>
                <w:sz w:val="24"/>
              </w:rPr>
              <w:t>次选单</w:t>
            </w:r>
          </w:p>
        </w:tc>
        <w:tc>
          <w:tcPr>
            <w:tcW w:w="1607" w:type="dxa"/>
          </w:tcPr>
          <w:p w14:paraId="6D14C863">
            <w:pPr>
              <w:pStyle w:val="13"/>
              <w:spacing w:before="57"/>
              <w:ind w:left="2"/>
              <w:rPr>
                <w:rFonts w:hint="default" w:ascii="Times New Roman" w:eastAsia="宋体"/>
                <w:sz w:val="24"/>
                <w:lang w:val="en-US" w:eastAsia="zh-CN"/>
              </w:rPr>
            </w:pPr>
            <w:r>
              <w:rPr>
                <w:rFonts w:hint="eastAsia" w:ascii="Times New Roman"/>
                <w:sz w:val="24"/>
                <w:lang w:val="en-US" w:eastAsia="zh-CN"/>
              </w:rPr>
              <w:t>09</w:t>
            </w:r>
            <w:r>
              <w:rPr>
                <w:rFonts w:ascii="Times New Roman"/>
                <w:sz w:val="24"/>
              </w:rPr>
              <w:t>:</w:t>
            </w:r>
            <w:r>
              <w:rPr>
                <w:rFonts w:hint="eastAsia" w:ascii="Times New Roman"/>
                <w:sz w:val="24"/>
                <w:lang w:val="en-US" w:eastAsia="zh-CN"/>
              </w:rPr>
              <w:t>55</w:t>
            </w:r>
            <w:r>
              <w:rPr>
                <w:rFonts w:ascii="Times New Roman"/>
                <w:sz w:val="24"/>
              </w:rPr>
              <w:t>-</w:t>
            </w:r>
            <w:r>
              <w:rPr>
                <w:rFonts w:ascii="Times New Roman"/>
                <w:spacing w:val="-2"/>
                <w:sz w:val="24"/>
              </w:rPr>
              <w:t>10:</w:t>
            </w:r>
            <w:r>
              <w:rPr>
                <w:rFonts w:hint="eastAsia" w:ascii="Times New Roman"/>
                <w:spacing w:val="-2"/>
                <w:sz w:val="24"/>
                <w:lang w:val="en-US" w:eastAsia="zh-CN"/>
              </w:rPr>
              <w:t>05</w:t>
            </w:r>
          </w:p>
        </w:tc>
        <w:tc>
          <w:tcPr>
            <w:tcW w:w="877" w:type="dxa"/>
          </w:tcPr>
          <w:p w14:paraId="0248DE20">
            <w:pPr>
              <w:pStyle w:val="13"/>
              <w:spacing w:before="57"/>
              <w:ind w:left="69" w:right="59"/>
              <w:rPr>
                <w:rFonts w:ascii="Times New Roman"/>
                <w:sz w:val="24"/>
              </w:rPr>
            </w:pPr>
            <w:r>
              <w:rPr>
                <w:rFonts w:ascii="Times New Roman"/>
                <w:spacing w:val="-5"/>
                <w:sz w:val="24"/>
              </w:rPr>
              <w:t>10</w:t>
            </w:r>
          </w:p>
        </w:tc>
      </w:tr>
      <w:tr w14:paraId="7DDAE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1145" w:type="dxa"/>
            <w:vMerge w:val="continue"/>
            <w:tcBorders>
              <w:top w:val="nil"/>
            </w:tcBorders>
          </w:tcPr>
          <w:p w14:paraId="36CAF0BF">
            <w:pPr>
              <w:rPr>
                <w:b/>
                <w:bCs/>
                <w:sz w:val="2"/>
                <w:szCs w:val="2"/>
              </w:rPr>
            </w:pPr>
          </w:p>
        </w:tc>
        <w:tc>
          <w:tcPr>
            <w:tcW w:w="500" w:type="dxa"/>
          </w:tcPr>
          <w:p w14:paraId="7103C121">
            <w:pPr>
              <w:pStyle w:val="13"/>
              <w:spacing w:before="58"/>
              <w:ind w:left="16" w:right="10"/>
              <w:rPr>
                <w:rFonts w:ascii="Times New Roman"/>
                <w:sz w:val="24"/>
              </w:rPr>
            </w:pPr>
            <w:r>
              <w:rPr>
                <w:rFonts w:ascii="Times New Roman"/>
                <w:spacing w:val="-10"/>
                <w:sz w:val="24"/>
              </w:rPr>
              <w:t>9</w:t>
            </w:r>
          </w:p>
        </w:tc>
        <w:tc>
          <w:tcPr>
            <w:tcW w:w="4616" w:type="dxa"/>
          </w:tcPr>
          <w:p w14:paraId="6148B5A1">
            <w:pPr>
              <w:pStyle w:val="13"/>
              <w:spacing w:before="42"/>
              <w:ind w:left="19" w:right="14"/>
              <w:rPr>
                <w:sz w:val="24"/>
              </w:rPr>
            </w:pPr>
            <w:r>
              <w:rPr>
                <w:spacing w:val="-18"/>
                <w:sz w:val="24"/>
              </w:rPr>
              <w:t>第一年</w:t>
            </w:r>
            <w:r>
              <w:rPr>
                <w:rFonts w:ascii="Times New Roman" w:eastAsia="Times New Roman"/>
                <w:spacing w:val="-2"/>
                <w:sz w:val="24"/>
              </w:rPr>
              <w:t>2</w:t>
            </w:r>
            <w:r>
              <w:rPr>
                <w:spacing w:val="-4"/>
                <w:sz w:val="24"/>
              </w:rPr>
              <w:t>季度经营</w:t>
            </w:r>
          </w:p>
        </w:tc>
        <w:tc>
          <w:tcPr>
            <w:tcW w:w="1607" w:type="dxa"/>
          </w:tcPr>
          <w:p w14:paraId="515BAD3B">
            <w:pPr>
              <w:pStyle w:val="13"/>
              <w:spacing w:before="58"/>
              <w:ind w:left="2"/>
              <w:rPr>
                <w:rFonts w:hint="default" w:ascii="Times New Roman" w:eastAsia="宋体"/>
                <w:sz w:val="24"/>
                <w:lang w:val="en-US" w:eastAsia="zh-CN"/>
              </w:rPr>
            </w:pPr>
            <w:r>
              <w:rPr>
                <w:rFonts w:ascii="Times New Roman"/>
                <w:sz w:val="24"/>
              </w:rPr>
              <w:t>10:</w:t>
            </w:r>
            <w:r>
              <w:rPr>
                <w:rFonts w:hint="eastAsia" w:ascii="Times New Roman"/>
                <w:sz w:val="24"/>
                <w:lang w:val="en-US" w:eastAsia="zh-CN"/>
              </w:rPr>
              <w:t>05</w:t>
            </w:r>
            <w:r>
              <w:rPr>
                <w:rFonts w:ascii="Times New Roman"/>
                <w:sz w:val="24"/>
              </w:rPr>
              <w:t>-</w:t>
            </w:r>
            <w:r>
              <w:rPr>
                <w:rFonts w:ascii="Times New Roman"/>
                <w:spacing w:val="-2"/>
                <w:sz w:val="24"/>
              </w:rPr>
              <w:t>10:</w:t>
            </w:r>
            <w:r>
              <w:rPr>
                <w:rFonts w:hint="eastAsia" w:ascii="Times New Roman"/>
                <w:spacing w:val="-2"/>
                <w:sz w:val="24"/>
                <w:lang w:val="en-US" w:eastAsia="zh-CN"/>
              </w:rPr>
              <w:t>20</w:t>
            </w:r>
          </w:p>
        </w:tc>
        <w:tc>
          <w:tcPr>
            <w:tcW w:w="877" w:type="dxa"/>
          </w:tcPr>
          <w:p w14:paraId="064CF793">
            <w:pPr>
              <w:pStyle w:val="13"/>
              <w:spacing w:before="58"/>
              <w:ind w:left="66" w:right="59"/>
              <w:rPr>
                <w:rFonts w:hint="eastAsia" w:ascii="Times New Roman" w:eastAsia="宋体"/>
                <w:sz w:val="24"/>
                <w:lang w:val="en-US" w:eastAsia="zh-CN"/>
              </w:rPr>
            </w:pPr>
            <w:r>
              <w:rPr>
                <w:rFonts w:ascii="Times New Roman"/>
                <w:spacing w:val="-5"/>
                <w:sz w:val="24"/>
              </w:rPr>
              <w:t>1</w:t>
            </w:r>
            <w:r>
              <w:rPr>
                <w:rFonts w:hint="eastAsia" w:ascii="Times New Roman"/>
                <w:spacing w:val="-5"/>
                <w:sz w:val="24"/>
                <w:lang w:val="en-US" w:eastAsia="zh-CN"/>
              </w:rPr>
              <w:t>5</w:t>
            </w:r>
          </w:p>
        </w:tc>
      </w:tr>
      <w:tr w14:paraId="0A004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 w:hRule="atLeast"/>
        </w:trPr>
        <w:tc>
          <w:tcPr>
            <w:tcW w:w="1145" w:type="dxa"/>
            <w:vMerge w:val="continue"/>
            <w:tcBorders>
              <w:top w:val="nil"/>
            </w:tcBorders>
          </w:tcPr>
          <w:p w14:paraId="4F854D7B">
            <w:pPr>
              <w:rPr>
                <w:b/>
                <w:bCs/>
                <w:sz w:val="2"/>
                <w:szCs w:val="2"/>
              </w:rPr>
            </w:pPr>
          </w:p>
        </w:tc>
        <w:tc>
          <w:tcPr>
            <w:tcW w:w="500" w:type="dxa"/>
          </w:tcPr>
          <w:p w14:paraId="26B204B5">
            <w:pPr>
              <w:pStyle w:val="13"/>
              <w:spacing w:before="57"/>
              <w:ind w:left="16" w:right="10"/>
              <w:rPr>
                <w:rFonts w:ascii="Times New Roman"/>
                <w:sz w:val="24"/>
              </w:rPr>
            </w:pPr>
            <w:r>
              <w:rPr>
                <w:rFonts w:ascii="Times New Roman"/>
                <w:spacing w:val="-5"/>
                <w:sz w:val="24"/>
              </w:rPr>
              <w:t>10</w:t>
            </w:r>
          </w:p>
        </w:tc>
        <w:tc>
          <w:tcPr>
            <w:tcW w:w="4616" w:type="dxa"/>
          </w:tcPr>
          <w:p w14:paraId="35256AA0">
            <w:pPr>
              <w:pStyle w:val="13"/>
              <w:spacing w:before="41"/>
              <w:ind w:left="21" w:right="14"/>
              <w:rPr>
                <w:sz w:val="24"/>
              </w:rPr>
            </w:pPr>
            <w:r>
              <w:rPr>
                <w:spacing w:val="-18"/>
                <w:sz w:val="24"/>
              </w:rPr>
              <w:t>第一年</w:t>
            </w:r>
            <w:r>
              <w:rPr>
                <w:rFonts w:ascii="Times New Roman" w:eastAsia="Times New Roman"/>
                <w:spacing w:val="-2"/>
                <w:sz w:val="24"/>
              </w:rPr>
              <w:t>3</w:t>
            </w:r>
            <w:r>
              <w:rPr>
                <w:spacing w:val="-4"/>
                <w:sz w:val="24"/>
              </w:rPr>
              <w:t>季度投放广告</w:t>
            </w:r>
          </w:p>
        </w:tc>
        <w:tc>
          <w:tcPr>
            <w:tcW w:w="1607" w:type="dxa"/>
          </w:tcPr>
          <w:p w14:paraId="10CD332B">
            <w:pPr>
              <w:pStyle w:val="13"/>
              <w:spacing w:before="57"/>
              <w:ind w:left="2"/>
              <w:rPr>
                <w:rFonts w:hint="default" w:ascii="Times New Roman" w:eastAsia="宋体"/>
                <w:sz w:val="24"/>
                <w:lang w:val="en-US" w:eastAsia="zh-CN"/>
              </w:rPr>
            </w:pPr>
            <w:r>
              <w:rPr>
                <w:rFonts w:ascii="Times New Roman"/>
                <w:sz w:val="24"/>
              </w:rPr>
              <w:t>10:</w:t>
            </w:r>
            <w:r>
              <w:rPr>
                <w:rFonts w:hint="eastAsia" w:ascii="Times New Roman"/>
                <w:sz w:val="24"/>
                <w:lang w:val="en-US" w:eastAsia="zh-CN"/>
              </w:rPr>
              <w:t>20</w:t>
            </w:r>
            <w:r>
              <w:rPr>
                <w:rFonts w:ascii="Times New Roman"/>
                <w:sz w:val="24"/>
              </w:rPr>
              <w:t>-</w:t>
            </w:r>
            <w:r>
              <w:rPr>
                <w:rFonts w:ascii="Times New Roman"/>
                <w:spacing w:val="-2"/>
                <w:sz w:val="24"/>
              </w:rPr>
              <w:t>10:</w:t>
            </w:r>
            <w:r>
              <w:rPr>
                <w:rFonts w:hint="eastAsia" w:ascii="Times New Roman"/>
                <w:spacing w:val="-2"/>
                <w:sz w:val="24"/>
                <w:lang w:val="en-US" w:eastAsia="zh-CN"/>
              </w:rPr>
              <w:t>25</w:t>
            </w:r>
          </w:p>
        </w:tc>
        <w:tc>
          <w:tcPr>
            <w:tcW w:w="877" w:type="dxa"/>
          </w:tcPr>
          <w:p w14:paraId="59793272">
            <w:pPr>
              <w:pStyle w:val="13"/>
              <w:spacing w:before="57"/>
              <w:ind w:left="66" w:right="59"/>
              <w:rPr>
                <w:rFonts w:ascii="Times New Roman"/>
                <w:sz w:val="24"/>
              </w:rPr>
            </w:pPr>
            <w:r>
              <w:rPr>
                <w:rFonts w:ascii="Times New Roman"/>
                <w:spacing w:val="-10"/>
                <w:sz w:val="24"/>
              </w:rPr>
              <w:t>5</w:t>
            </w:r>
          </w:p>
        </w:tc>
      </w:tr>
      <w:tr w14:paraId="40382C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trPr>
        <w:tc>
          <w:tcPr>
            <w:tcW w:w="1145" w:type="dxa"/>
            <w:vMerge w:val="continue"/>
            <w:tcBorders>
              <w:top w:val="nil"/>
            </w:tcBorders>
          </w:tcPr>
          <w:p w14:paraId="27356F79">
            <w:pPr>
              <w:rPr>
                <w:b/>
                <w:bCs/>
                <w:sz w:val="2"/>
                <w:szCs w:val="2"/>
              </w:rPr>
            </w:pPr>
          </w:p>
        </w:tc>
        <w:tc>
          <w:tcPr>
            <w:tcW w:w="500" w:type="dxa"/>
          </w:tcPr>
          <w:p w14:paraId="6AC67E56">
            <w:pPr>
              <w:pStyle w:val="13"/>
              <w:spacing w:before="59"/>
              <w:ind w:left="16" w:right="14"/>
              <w:rPr>
                <w:rFonts w:ascii="Times New Roman"/>
                <w:sz w:val="24"/>
              </w:rPr>
            </w:pPr>
            <w:r>
              <w:rPr>
                <w:rFonts w:ascii="Times New Roman"/>
                <w:spacing w:val="-5"/>
                <w:sz w:val="24"/>
              </w:rPr>
              <w:t>11</w:t>
            </w:r>
          </w:p>
        </w:tc>
        <w:tc>
          <w:tcPr>
            <w:tcW w:w="4616" w:type="dxa"/>
          </w:tcPr>
          <w:p w14:paraId="48118CF4">
            <w:pPr>
              <w:pStyle w:val="13"/>
              <w:spacing w:before="43"/>
              <w:ind w:left="21" w:right="14"/>
              <w:rPr>
                <w:sz w:val="24"/>
              </w:rPr>
            </w:pPr>
            <w:r>
              <w:rPr>
                <w:spacing w:val="-13"/>
                <w:sz w:val="24"/>
              </w:rPr>
              <w:t>第一年第</w:t>
            </w:r>
            <w:r>
              <w:rPr>
                <w:rFonts w:ascii="Times New Roman" w:eastAsia="Times New Roman"/>
                <w:sz w:val="24"/>
              </w:rPr>
              <w:t>2</w:t>
            </w:r>
            <w:r>
              <w:rPr>
                <w:spacing w:val="-4"/>
                <w:sz w:val="24"/>
              </w:rPr>
              <w:t>次选单</w:t>
            </w:r>
          </w:p>
        </w:tc>
        <w:tc>
          <w:tcPr>
            <w:tcW w:w="1607" w:type="dxa"/>
          </w:tcPr>
          <w:p w14:paraId="040DB845">
            <w:pPr>
              <w:pStyle w:val="13"/>
              <w:spacing w:before="59"/>
              <w:ind w:left="3"/>
              <w:rPr>
                <w:rFonts w:hint="default" w:ascii="Times New Roman" w:eastAsia="宋体"/>
                <w:sz w:val="24"/>
                <w:lang w:val="en-US" w:eastAsia="zh-CN"/>
              </w:rPr>
            </w:pPr>
            <w:r>
              <w:rPr>
                <w:rFonts w:ascii="Times New Roman"/>
                <w:sz w:val="24"/>
              </w:rPr>
              <w:t>10:</w:t>
            </w:r>
            <w:r>
              <w:rPr>
                <w:rFonts w:hint="eastAsia" w:ascii="Times New Roman"/>
                <w:sz w:val="24"/>
                <w:lang w:val="en-US" w:eastAsia="zh-CN"/>
              </w:rPr>
              <w:t>25</w:t>
            </w:r>
            <w:r>
              <w:rPr>
                <w:rFonts w:ascii="Times New Roman"/>
                <w:sz w:val="24"/>
              </w:rPr>
              <w:t>-</w:t>
            </w:r>
            <w:r>
              <w:rPr>
                <w:rFonts w:ascii="Times New Roman"/>
                <w:spacing w:val="-2"/>
                <w:sz w:val="24"/>
              </w:rPr>
              <w:t>10:</w:t>
            </w:r>
            <w:r>
              <w:rPr>
                <w:rFonts w:hint="eastAsia" w:ascii="Times New Roman"/>
                <w:spacing w:val="-2"/>
                <w:sz w:val="24"/>
                <w:lang w:val="en-US" w:eastAsia="zh-CN"/>
              </w:rPr>
              <w:t>30</w:t>
            </w:r>
          </w:p>
        </w:tc>
        <w:tc>
          <w:tcPr>
            <w:tcW w:w="877" w:type="dxa"/>
          </w:tcPr>
          <w:p w14:paraId="3661D663">
            <w:pPr>
              <w:pStyle w:val="13"/>
              <w:spacing w:before="59"/>
              <w:ind w:left="66" w:right="59"/>
              <w:rPr>
                <w:rFonts w:ascii="Times New Roman"/>
                <w:sz w:val="24"/>
              </w:rPr>
            </w:pPr>
            <w:r>
              <w:rPr>
                <w:rFonts w:ascii="Times New Roman"/>
                <w:spacing w:val="-10"/>
                <w:sz w:val="24"/>
              </w:rPr>
              <w:t>5</w:t>
            </w:r>
          </w:p>
        </w:tc>
      </w:tr>
      <w:tr w14:paraId="2D9FE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1145" w:type="dxa"/>
            <w:vMerge w:val="continue"/>
            <w:tcBorders>
              <w:top w:val="nil"/>
            </w:tcBorders>
          </w:tcPr>
          <w:p w14:paraId="73ED61C8">
            <w:pPr>
              <w:rPr>
                <w:b/>
                <w:bCs/>
                <w:sz w:val="2"/>
                <w:szCs w:val="2"/>
              </w:rPr>
            </w:pPr>
          </w:p>
        </w:tc>
        <w:tc>
          <w:tcPr>
            <w:tcW w:w="500" w:type="dxa"/>
          </w:tcPr>
          <w:p w14:paraId="18336ED5">
            <w:pPr>
              <w:pStyle w:val="13"/>
              <w:spacing w:before="58"/>
              <w:ind w:left="16" w:right="10"/>
              <w:rPr>
                <w:rFonts w:ascii="Times New Roman"/>
                <w:sz w:val="24"/>
              </w:rPr>
            </w:pPr>
            <w:r>
              <w:rPr>
                <w:rFonts w:ascii="Times New Roman"/>
                <w:spacing w:val="-5"/>
                <w:sz w:val="24"/>
              </w:rPr>
              <w:t>12</w:t>
            </w:r>
          </w:p>
        </w:tc>
        <w:tc>
          <w:tcPr>
            <w:tcW w:w="4616" w:type="dxa"/>
          </w:tcPr>
          <w:p w14:paraId="350A989D">
            <w:pPr>
              <w:pStyle w:val="13"/>
              <w:spacing w:before="42"/>
              <w:ind w:left="19" w:right="14"/>
              <w:rPr>
                <w:sz w:val="24"/>
              </w:rPr>
            </w:pPr>
            <w:r>
              <w:rPr>
                <w:spacing w:val="-18"/>
                <w:sz w:val="24"/>
              </w:rPr>
              <w:t>第一年</w:t>
            </w:r>
            <w:r>
              <w:rPr>
                <w:rFonts w:ascii="Times New Roman" w:eastAsia="Times New Roman"/>
                <w:spacing w:val="-2"/>
                <w:sz w:val="24"/>
              </w:rPr>
              <w:t>3</w:t>
            </w:r>
            <w:r>
              <w:rPr>
                <w:spacing w:val="-4"/>
                <w:sz w:val="24"/>
              </w:rPr>
              <w:t>季度经营</w:t>
            </w:r>
          </w:p>
        </w:tc>
        <w:tc>
          <w:tcPr>
            <w:tcW w:w="1607" w:type="dxa"/>
          </w:tcPr>
          <w:p w14:paraId="17B9B366">
            <w:pPr>
              <w:pStyle w:val="13"/>
              <w:spacing w:before="58"/>
              <w:ind w:left="2"/>
              <w:rPr>
                <w:rFonts w:hint="default" w:ascii="Times New Roman" w:eastAsia="宋体"/>
                <w:sz w:val="24"/>
                <w:lang w:val="en-US" w:eastAsia="zh-CN"/>
              </w:rPr>
            </w:pPr>
            <w:r>
              <w:rPr>
                <w:rFonts w:ascii="Times New Roman"/>
                <w:sz w:val="24"/>
              </w:rPr>
              <w:t>10:</w:t>
            </w:r>
            <w:r>
              <w:rPr>
                <w:rFonts w:hint="eastAsia" w:ascii="Times New Roman"/>
                <w:sz w:val="24"/>
                <w:lang w:val="en-US" w:eastAsia="zh-CN"/>
              </w:rPr>
              <w:t>30</w:t>
            </w:r>
            <w:r>
              <w:rPr>
                <w:rFonts w:ascii="Times New Roman"/>
                <w:sz w:val="24"/>
              </w:rPr>
              <w:t>-</w:t>
            </w:r>
            <w:r>
              <w:rPr>
                <w:rFonts w:ascii="Times New Roman"/>
                <w:spacing w:val="-2"/>
                <w:sz w:val="24"/>
              </w:rPr>
              <w:t>1</w:t>
            </w:r>
            <w:r>
              <w:rPr>
                <w:rFonts w:hint="eastAsia" w:ascii="Times New Roman"/>
                <w:spacing w:val="-2"/>
                <w:sz w:val="24"/>
                <w:lang w:val="en-US" w:eastAsia="zh-CN"/>
              </w:rPr>
              <w:t>0</w:t>
            </w:r>
            <w:r>
              <w:rPr>
                <w:rFonts w:ascii="Times New Roman"/>
                <w:spacing w:val="-2"/>
                <w:sz w:val="24"/>
              </w:rPr>
              <w:t>:</w:t>
            </w:r>
            <w:r>
              <w:rPr>
                <w:rFonts w:hint="eastAsia" w:ascii="Times New Roman"/>
                <w:spacing w:val="-2"/>
                <w:sz w:val="24"/>
                <w:lang w:val="en-US" w:eastAsia="zh-CN"/>
              </w:rPr>
              <w:t>45</w:t>
            </w:r>
          </w:p>
        </w:tc>
        <w:tc>
          <w:tcPr>
            <w:tcW w:w="877" w:type="dxa"/>
          </w:tcPr>
          <w:p w14:paraId="3BC1FE29">
            <w:pPr>
              <w:pStyle w:val="13"/>
              <w:spacing w:before="58"/>
              <w:ind w:left="66" w:right="59"/>
              <w:rPr>
                <w:rFonts w:ascii="Times New Roman"/>
                <w:sz w:val="24"/>
              </w:rPr>
            </w:pPr>
            <w:r>
              <w:rPr>
                <w:rFonts w:hint="eastAsia" w:ascii="Times New Roman"/>
                <w:spacing w:val="-5"/>
                <w:sz w:val="24"/>
              </w:rPr>
              <w:t>15</w:t>
            </w:r>
          </w:p>
        </w:tc>
      </w:tr>
      <w:tr w14:paraId="75BB7A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1145" w:type="dxa"/>
            <w:vMerge w:val="continue"/>
            <w:tcBorders>
              <w:top w:val="nil"/>
            </w:tcBorders>
          </w:tcPr>
          <w:p w14:paraId="02D6710B">
            <w:pPr>
              <w:rPr>
                <w:b/>
                <w:bCs/>
                <w:sz w:val="2"/>
                <w:szCs w:val="2"/>
              </w:rPr>
            </w:pPr>
          </w:p>
        </w:tc>
        <w:tc>
          <w:tcPr>
            <w:tcW w:w="500" w:type="dxa"/>
          </w:tcPr>
          <w:p w14:paraId="78AB0FCA">
            <w:pPr>
              <w:pStyle w:val="13"/>
              <w:spacing w:before="57"/>
              <w:ind w:left="16" w:right="10"/>
              <w:rPr>
                <w:rFonts w:ascii="Times New Roman"/>
                <w:sz w:val="24"/>
              </w:rPr>
            </w:pPr>
            <w:r>
              <w:rPr>
                <w:rFonts w:ascii="Times New Roman"/>
                <w:spacing w:val="-5"/>
                <w:sz w:val="24"/>
              </w:rPr>
              <w:t>13</w:t>
            </w:r>
          </w:p>
        </w:tc>
        <w:tc>
          <w:tcPr>
            <w:tcW w:w="4616" w:type="dxa"/>
          </w:tcPr>
          <w:p w14:paraId="2D3CDA49">
            <w:pPr>
              <w:pStyle w:val="13"/>
              <w:spacing w:before="41"/>
              <w:ind w:left="19" w:right="14"/>
              <w:rPr>
                <w:sz w:val="24"/>
              </w:rPr>
            </w:pPr>
            <w:r>
              <w:rPr>
                <w:spacing w:val="-18"/>
                <w:sz w:val="24"/>
              </w:rPr>
              <w:t>第一年</w:t>
            </w:r>
            <w:r>
              <w:rPr>
                <w:rFonts w:ascii="Times New Roman" w:eastAsia="Times New Roman"/>
                <w:spacing w:val="-2"/>
                <w:sz w:val="24"/>
              </w:rPr>
              <w:t>4</w:t>
            </w:r>
            <w:r>
              <w:rPr>
                <w:spacing w:val="-4"/>
                <w:sz w:val="24"/>
              </w:rPr>
              <w:t>季度经营</w:t>
            </w:r>
          </w:p>
        </w:tc>
        <w:tc>
          <w:tcPr>
            <w:tcW w:w="1607" w:type="dxa"/>
          </w:tcPr>
          <w:p w14:paraId="59869A2A">
            <w:pPr>
              <w:pStyle w:val="13"/>
              <w:spacing w:before="57"/>
              <w:ind w:left="2"/>
              <w:rPr>
                <w:rFonts w:hint="default" w:ascii="Times New Roman" w:eastAsia="宋体"/>
                <w:sz w:val="24"/>
                <w:lang w:val="en-US" w:eastAsia="zh-CN"/>
              </w:rPr>
            </w:pPr>
            <w:r>
              <w:rPr>
                <w:rFonts w:ascii="Times New Roman"/>
                <w:sz w:val="24"/>
              </w:rPr>
              <w:t>1</w:t>
            </w:r>
            <w:r>
              <w:rPr>
                <w:rFonts w:hint="eastAsia" w:ascii="Times New Roman"/>
                <w:sz w:val="24"/>
                <w:lang w:val="en-US" w:eastAsia="zh-CN"/>
              </w:rPr>
              <w:t>0</w:t>
            </w:r>
            <w:r>
              <w:rPr>
                <w:rFonts w:ascii="Times New Roman"/>
                <w:sz w:val="24"/>
              </w:rPr>
              <w:t>:</w:t>
            </w:r>
            <w:r>
              <w:rPr>
                <w:rFonts w:hint="eastAsia" w:ascii="Times New Roman"/>
                <w:sz w:val="24"/>
                <w:lang w:val="en-US" w:eastAsia="zh-CN"/>
              </w:rPr>
              <w:t>45</w:t>
            </w:r>
            <w:r>
              <w:rPr>
                <w:rFonts w:ascii="Times New Roman"/>
                <w:sz w:val="24"/>
              </w:rPr>
              <w:t>-</w:t>
            </w:r>
            <w:r>
              <w:rPr>
                <w:rFonts w:ascii="Times New Roman"/>
                <w:spacing w:val="-2"/>
                <w:sz w:val="24"/>
              </w:rPr>
              <w:t>11:</w:t>
            </w:r>
            <w:r>
              <w:rPr>
                <w:rFonts w:hint="eastAsia" w:ascii="Times New Roman"/>
                <w:spacing w:val="-2"/>
                <w:sz w:val="24"/>
                <w:lang w:val="en-US" w:eastAsia="zh-CN"/>
              </w:rPr>
              <w:t>00</w:t>
            </w:r>
          </w:p>
        </w:tc>
        <w:tc>
          <w:tcPr>
            <w:tcW w:w="877" w:type="dxa"/>
          </w:tcPr>
          <w:p w14:paraId="5B570623">
            <w:pPr>
              <w:pStyle w:val="13"/>
              <w:spacing w:before="57"/>
              <w:ind w:left="66" w:right="59"/>
              <w:rPr>
                <w:rFonts w:ascii="Times New Roman"/>
                <w:sz w:val="24"/>
              </w:rPr>
            </w:pPr>
            <w:r>
              <w:rPr>
                <w:rFonts w:hint="eastAsia" w:ascii="Times New Roman"/>
                <w:spacing w:val="-5"/>
                <w:sz w:val="24"/>
              </w:rPr>
              <w:t>15</w:t>
            </w:r>
          </w:p>
        </w:tc>
      </w:tr>
      <w:tr w14:paraId="6B255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1145" w:type="dxa"/>
            <w:vMerge w:val="continue"/>
            <w:tcBorders>
              <w:top w:val="nil"/>
            </w:tcBorders>
          </w:tcPr>
          <w:p w14:paraId="3070C8B1">
            <w:pPr>
              <w:rPr>
                <w:b/>
                <w:bCs/>
                <w:sz w:val="2"/>
                <w:szCs w:val="2"/>
              </w:rPr>
            </w:pPr>
          </w:p>
        </w:tc>
        <w:tc>
          <w:tcPr>
            <w:tcW w:w="500" w:type="dxa"/>
          </w:tcPr>
          <w:p w14:paraId="379ADA90">
            <w:pPr>
              <w:pStyle w:val="13"/>
              <w:spacing w:before="58"/>
              <w:ind w:left="16" w:right="10"/>
              <w:rPr>
                <w:rFonts w:ascii="Times New Roman"/>
                <w:sz w:val="24"/>
              </w:rPr>
            </w:pPr>
            <w:r>
              <w:rPr>
                <w:rFonts w:ascii="Times New Roman"/>
                <w:spacing w:val="-5"/>
                <w:sz w:val="24"/>
              </w:rPr>
              <w:t>14</w:t>
            </w:r>
          </w:p>
        </w:tc>
        <w:tc>
          <w:tcPr>
            <w:tcW w:w="4616" w:type="dxa"/>
          </w:tcPr>
          <w:p w14:paraId="43D9D7F0">
            <w:pPr>
              <w:pStyle w:val="13"/>
              <w:spacing w:before="42"/>
              <w:ind w:left="21" w:right="14"/>
              <w:rPr>
                <w:sz w:val="24"/>
              </w:rPr>
            </w:pPr>
            <w:r>
              <w:rPr>
                <w:spacing w:val="-18"/>
                <w:sz w:val="24"/>
              </w:rPr>
              <w:t>第二年</w:t>
            </w:r>
            <w:r>
              <w:rPr>
                <w:rFonts w:ascii="Times New Roman" w:eastAsia="Times New Roman"/>
                <w:spacing w:val="-2"/>
                <w:sz w:val="24"/>
              </w:rPr>
              <w:t>1</w:t>
            </w:r>
            <w:r>
              <w:rPr>
                <w:spacing w:val="-4"/>
                <w:sz w:val="24"/>
              </w:rPr>
              <w:t>季度投放广告</w:t>
            </w:r>
          </w:p>
        </w:tc>
        <w:tc>
          <w:tcPr>
            <w:tcW w:w="1607" w:type="dxa"/>
          </w:tcPr>
          <w:p w14:paraId="26AF09AB">
            <w:pPr>
              <w:pStyle w:val="13"/>
              <w:spacing w:before="58"/>
              <w:ind w:left="2"/>
              <w:rPr>
                <w:rFonts w:hint="default" w:ascii="Times New Roman" w:eastAsia="宋体"/>
                <w:sz w:val="24"/>
                <w:lang w:val="en-US" w:eastAsia="zh-CN"/>
              </w:rPr>
            </w:pPr>
            <w:r>
              <w:rPr>
                <w:rFonts w:ascii="Times New Roman"/>
                <w:sz w:val="24"/>
              </w:rPr>
              <w:t>11:</w:t>
            </w:r>
            <w:r>
              <w:rPr>
                <w:rFonts w:hint="eastAsia" w:ascii="Times New Roman"/>
                <w:sz w:val="24"/>
                <w:lang w:val="en-US" w:eastAsia="zh-CN"/>
              </w:rPr>
              <w:t>00</w:t>
            </w:r>
            <w:r>
              <w:rPr>
                <w:rFonts w:ascii="Times New Roman"/>
                <w:sz w:val="24"/>
              </w:rPr>
              <w:t>-</w:t>
            </w:r>
            <w:r>
              <w:rPr>
                <w:rFonts w:ascii="Times New Roman"/>
                <w:spacing w:val="-2"/>
                <w:sz w:val="24"/>
              </w:rPr>
              <w:t>11:</w:t>
            </w:r>
            <w:r>
              <w:rPr>
                <w:rFonts w:hint="eastAsia" w:ascii="Times New Roman"/>
                <w:spacing w:val="-2"/>
                <w:sz w:val="24"/>
                <w:lang w:val="en-US" w:eastAsia="zh-CN"/>
              </w:rPr>
              <w:t>05</w:t>
            </w:r>
          </w:p>
        </w:tc>
        <w:tc>
          <w:tcPr>
            <w:tcW w:w="877" w:type="dxa"/>
          </w:tcPr>
          <w:p w14:paraId="25424C46">
            <w:pPr>
              <w:pStyle w:val="13"/>
              <w:spacing w:before="58"/>
              <w:ind w:left="66" w:right="59"/>
              <w:rPr>
                <w:rFonts w:ascii="Times New Roman"/>
                <w:sz w:val="24"/>
              </w:rPr>
            </w:pPr>
            <w:r>
              <w:rPr>
                <w:rFonts w:ascii="Times New Roman"/>
                <w:spacing w:val="-10"/>
                <w:sz w:val="24"/>
              </w:rPr>
              <w:t>5</w:t>
            </w:r>
          </w:p>
        </w:tc>
      </w:tr>
      <w:tr w14:paraId="079625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 w:hRule="atLeast"/>
        </w:trPr>
        <w:tc>
          <w:tcPr>
            <w:tcW w:w="1145" w:type="dxa"/>
            <w:vMerge w:val="continue"/>
            <w:tcBorders>
              <w:top w:val="nil"/>
            </w:tcBorders>
          </w:tcPr>
          <w:p w14:paraId="53F7812B">
            <w:pPr>
              <w:rPr>
                <w:b/>
                <w:bCs/>
                <w:sz w:val="2"/>
                <w:szCs w:val="2"/>
              </w:rPr>
            </w:pPr>
          </w:p>
        </w:tc>
        <w:tc>
          <w:tcPr>
            <w:tcW w:w="500" w:type="dxa"/>
          </w:tcPr>
          <w:p w14:paraId="3A2AEF75">
            <w:pPr>
              <w:pStyle w:val="13"/>
              <w:spacing w:before="57"/>
              <w:ind w:left="16" w:right="10"/>
              <w:rPr>
                <w:rFonts w:ascii="Times New Roman"/>
                <w:sz w:val="24"/>
              </w:rPr>
            </w:pPr>
            <w:r>
              <w:rPr>
                <w:rFonts w:ascii="Times New Roman"/>
                <w:spacing w:val="-5"/>
                <w:sz w:val="24"/>
              </w:rPr>
              <w:t>15</w:t>
            </w:r>
          </w:p>
        </w:tc>
        <w:tc>
          <w:tcPr>
            <w:tcW w:w="4616" w:type="dxa"/>
          </w:tcPr>
          <w:p w14:paraId="61DF5950">
            <w:pPr>
              <w:pStyle w:val="13"/>
              <w:spacing w:before="41"/>
              <w:ind w:left="21" w:right="14"/>
              <w:rPr>
                <w:sz w:val="24"/>
              </w:rPr>
            </w:pPr>
            <w:r>
              <w:rPr>
                <w:spacing w:val="-13"/>
                <w:sz w:val="24"/>
              </w:rPr>
              <w:t>第二年第</w:t>
            </w:r>
            <w:r>
              <w:rPr>
                <w:rFonts w:ascii="Times New Roman" w:eastAsia="Times New Roman"/>
                <w:sz w:val="24"/>
              </w:rPr>
              <w:t>1</w:t>
            </w:r>
            <w:r>
              <w:rPr>
                <w:spacing w:val="-4"/>
                <w:sz w:val="24"/>
              </w:rPr>
              <w:t>次选单</w:t>
            </w:r>
          </w:p>
        </w:tc>
        <w:tc>
          <w:tcPr>
            <w:tcW w:w="1607" w:type="dxa"/>
          </w:tcPr>
          <w:p w14:paraId="0320EB48">
            <w:pPr>
              <w:pStyle w:val="13"/>
              <w:spacing w:before="57"/>
              <w:ind w:left="2"/>
              <w:rPr>
                <w:rFonts w:hint="default" w:ascii="Times New Roman" w:eastAsia="宋体"/>
                <w:sz w:val="24"/>
                <w:lang w:val="en-US" w:eastAsia="zh-CN"/>
              </w:rPr>
            </w:pPr>
            <w:r>
              <w:rPr>
                <w:rFonts w:ascii="Times New Roman"/>
                <w:sz w:val="24"/>
              </w:rPr>
              <w:t>11:</w:t>
            </w:r>
            <w:r>
              <w:rPr>
                <w:rFonts w:hint="eastAsia" w:ascii="Times New Roman"/>
                <w:sz w:val="24"/>
                <w:lang w:val="en-US" w:eastAsia="zh-CN"/>
              </w:rPr>
              <w:t>05</w:t>
            </w:r>
            <w:r>
              <w:rPr>
                <w:rFonts w:ascii="Times New Roman"/>
                <w:sz w:val="24"/>
              </w:rPr>
              <w:t>-</w:t>
            </w:r>
            <w:r>
              <w:rPr>
                <w:rFonts w:ascii="Times New Roman"/>
                <w:spacing w:val="-2"/>
                <w:sz w:val="24"/>
              </w:rPr>
              <w:t>11:</w:t>
            </w:r>
            <w:r>
              <w:rPr>
                <w:rFonts w:hint="eastAsia" w:ascii="Times New Roman"/>
                <w:spacing w:val="-2"/>
                <w:sz w:val="24"/>
                <w:lang w:val="en-US" w:eastAsia="zh-CN"/>
              </w:rPr>
              <w:t>15</w:t>
            </w:r>
          </w:p>
        </w:tc>
        <w:tc>
          <w:tcPr>
            <w:tcW w:w="877" w:type="dxa"/>
          </w:tcPr>
          <w:p w14:paraId="46237AB9">
            <w:pPr>
              <w:pStyle w:val="13"/>
              <w:spacing w:before="57"/>
              <w:ind w:left="69" w:right="59"/>
              <w:rPr>
                <w:rFonts w:ascii="Times New Roman"/>
                <w:sz w:val="24"/>
              </w:rPr>
            </w:pPr>
            <w:r>
              <w:rPr>
                <w:rFonts w:ascii="Times New Roman"/>
                <w:spacing w:val="-5"/>
                <w:sz w:val="24"/>
              </w:rPr>
              <w:t>10</w:t>
            </w:r>
          </w:p>
        </w:tc>
      </w:tr>
      <w:tr w14:paraId="06691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trPr>
        <w:tc>
          <w:tcPr>
            <w:tcW w:w="1145" w:type="dxa"/>
            <w:vMerge w:val="continue"/>
            <w:tcBorders>
              <w:top w:val="nil"/>
            </w:tcBorders>
          </w:tcPr>
          <w:p w14:paraId="76210179">
            <w:pPr>
              <w:rPr>
                <w:b/>
                <w:bCs/>
                <w:sz w:val="2"/>
                <w:szCs w:val="2"/>
              </w:rPr>
            </w:pPr>
          </w:p>
        </w:tc>
        <w:tc>
          <w:tcPr>
            <w:tcW w:w="500" w:type="dxa"/>
          </w:tcPr>
          <w:p w14:paraId="5372F4CD">
            <w:pPr>
              <w:pStyle w:val="13"/>
              <w:spacing w:before="58"/>
              <w:ind w:left="16" w:right="10"/>
              <w:rPr>
                <w:rFonts w:ascii="Times New Roman"/>
                <w:sz w:val="24"/>
              </w:rPr>
            </w:pPr>
            <w:r>
              <w:rPr>
                <w:rFonts w:ascii="Times New Roman"/>
                <w:spacing w:val="-5"/>
                <w:sz w:val="24"/>
              </w:rPr>
              <w:t>16</w:t>
            </w:r>
          </w:p>
        </w:tc>
        <w:tc>
          <w:tcPr>
            <w:tcW w:w="4616" w:type="dxa"/>
          </w:tcPr>
          <w:p w14:paraId="2D753FB8">
            <w:pPr>
              <w:pStyle w:val="13"/>
              <w:spacing w:before="42"/>
              <w:ind w:left="19" w:right="14"/>
              <w:rPr>
                <w:sz w:val="24"/>
              </w:rPr>
            </w:pPr>
            <w:r>
              <w:rPr>
                <w:spacing w:val="-18"/>
                <w:sz w:val="24"/>
              </w:rPr>
              <w:t>第二年</w:t>
            </w:r>
            <w:r>
              <w:rPr>
                <w:rFonts w:ascii="Times New Roman" w:eastAsia="Times New Roman"/>
                <w:spacing w:val="-2"/>
                <w:sz w:val="24"/>
              </w:rPr>
              <w:t>1</w:t>
            </w:r>
            <w:r>
              <w:rPr>
                <w:spacing w:val="-4"/>
                <w:sz w:val="24"/>
              </w:rPr>
              <w:t>季度经营</w:t>
            </w:r>
          </w:p>
        </w:tc>
        <w:tc>
          <w:tcPr>
            <w:tcW w:w="1607" w:type="dxa"/>
          </w:tcPr>
          <w:p w14:paraId="68C792FF">
            <w:pPr>
              <w:pStyle w:val="13"/>
              <w:spacing w:before="58"/>
              <w:ind w:left="2"/>
              <w:rPr>
                <w:rFonts w:hint="eastAsia" w:ascii="Times New Roman" w:eastAsia="宋体"/>
                <w:sz w:val="24"/>
                <w:lang w:val="en-US" w:eastAsia="zh-CN"/>
              </w:rPr>
            </w:pPr>
            <w:r>
              <w:rPr>
                <w:rFonts w:ascii="Times New Roman"/>
                <w:sz w:val="24"/>
              </w:rPr>
              <w:t>11:</w:t>
            </w:r>
            <w:r>
              <w:rPr>
                <w:rFonts w:hint="eastAsia" w:ascii="Times New Roman"/>
                <w:sz w:val="24"/>
                <w:lang w:val="en-US" w:eastAsia="zh-CN"/>
              </w:rPr>
              <w:t>15</w:t>
            </w:r>
            <w:r>
              <w:rPr>
                <w:rFonts w:ascii="Times New Roman"/>
                <w:sz w:val="24"/>
              </w:rPr>
              <w:t>-</w:t>
            </w:r>
            <w:r>
              <w:rPr>
                <w:rFonts w:ascii="Times New Roman"/>
                <w:spacing w:val="-2"/>
                <w:sz w:val="24"/>
              </w:rPr>
              <w:t>11:</w:t>
            </w:r>
            <w:r>
              <w:rPr>
                <w:rFonts w:hint="eastAsia" w:ascii="Times New Roman"/>
                <w:spacing w:val="-2"/>
                <w:sz w:val="24"/>
                <w:lang w:val="en-US" w:eastAsia="zh-CN"/>
              </w:rPr>
              <w:t>30</w:t>
            </w:r>
          </w:p>
        </w:tc>
        <w:tc>
          <w:tcPr>
            <w:tcW w:w="877" w:type="dxa"/>
          </w:tcPr>
          <w:p w14:paraId="3D909FA8">
            <w:pPr>
              <w:pStyle w:val="13"/>
              <w:spacing w:before="58"/>
              <w:ind w:left="69" w:right="59"/>
              <w:rPr>
                <w:rFonts w:hint="eastAsia" w:ascii="Times New Roman" w:eastAsia="宋体"/>
                <w:sz w:val="24"/>
                <w:lang w:eastAsia="zh-CN"/>
              </w:rPr>
            </w:pPr>
            <w:r>
              <w:rPr>
                <w:rFonts w:hint="eastAsia" w:ascii="Times New Roman"/>
                <w:spacing w:val="-5"/>
                <w:sz w:val="24"/>
                <w:lang w:val="en-US" w:eastAsia="zh-CN"/>
              </w:rPr>
              <w:t>15</w:t>
            </w:r>
          </w:p>
        </w:tc>
      </w:tr>
      <w:tr w14:paraId="62AC2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 w:hRule="atLeast"/>
        </w:trPr>
        <w:tc>
          <w:tcPr>
            <w:tcW w:w="1145" w:type="dxa"/>
            <w:vMerge w:val="continue"/>
            <w:tcBorders>
              <w:top w:val="nil"/>
            </w:tcBorders>
          </w:tcPr>
          <w:p w14:paraId="24DA0A1A">
            <w:pPr>
              <w:rPr>
                <w:b/>
                <w:bCs/>
                <w:sz w:val="2"/>
                <w:szCs w:val="2"/>
              </w:rPr>
            </w:pPr>
          </w:p>
        </w:tc>
        <w:tc>
          <w:tcPr>
            <w:tcW w:w="500" w:type="dxa"/>
          </w:tcPr>
          <w:p w14:paraId="55FA6DF2">
            <w:pPr>
              <w:pStyle w:val="13"/>
              <w:spacing w:before="57"/>
              <w:ind w:left="16" w:right="10"/>
              <w:rPr>
                <w:rFonts w:ascii="Times New Roman"/>
                <w:sz w:val="24"/>
              </w:rPr>
            </w:pPr>
            <w:r>
              <w:rPr>
                <w:rFonts w:ascii="Times New Roman"/>
                <w:spacing w:val="-5"/>
                <w:sz w:val="24"/>
              </w:rPr>
              <w:t>17</w:t>
            </w:r>
          </w:p>
        </w:tc>
        <w:tc>
          <w:tcPr>
            <w:tcW w:w="4616" w:type="dxa"/>
          </w:tcPr>
          <w:p w14:paraId="62B95CE4">
            <w:pPr>
              <w:pStyle w:val="13"/>
              <w:spacing w:before="41"/>
              <w:ind w:left="21" w:right="14"/>
              <w:rPr>
                <w:sz w:val="24"/>
              </w:rPr>
            </w:pPr>
            <w:r>
              <w:rPr>
                <w:spacing w:val="-18"/>
                <w:sz w:val="24"/>
              </w:rPr>
              <w:t>第二年</w:t>
            </w:r>
            <w:r>
              <w:rPr>
                <w:rFonts w:ascii="Times New Roman" w:eastAsia="Times New Roman"/>
                <w:spacing w:val="-2"/>
                <w:sz w:val="24"/>
              </w:rPr>
              <w:t>2</w:t>
            </w:r>
            <w:r>
              <w:rPr>
                <w:spacing w:val="-4"/>
                <w:sz w:val="24"/>
              </w:rPr>
              <w:t>季度投放广告</w:t>
            </w:r>
          </w:p>
        </w:tc>
        <w:tc>
          <w:tcPr>
            <w:tcW w:w="1607" w:type="dxa"/>
          </w:tcPr>
          <w:p w14:paraId="480DD510">
            <w:pPr>
              <w:pStyle w:val="13"/>
              <w:spacing w:before="57"/>
              <w:ind w:left="2"/>
              <w:rPr>
                <w:rFonts w:hint="default" w:ascii="Times New Roman" w:eastAsia="宋体"/>
                <w:sz w:val="24"/>
                <w:lang w:val="en-US" w:eastAsia="zh-CN"/>
              </w:rPr>
            </w:pPr>
            <w:r>
              <w:rPr>
                <w:rFonts w:ascii="Times New Roman"/>
                <w:sz w:val="24"/>
              </w:rPr>
              <w:t>11:</w:t>
            </w:r>
            <w:r>
              <w:rPr>
                <w:rFonts w:hint="eastAsia" w:ascii="Times New Roman"/>
                <w:sz w:val="24"/>
                <w:lang w:val="en-US" w:eastAsia="zh-CN"/>
              </w:rPr>
              <w:t>30</w:t>
            </w:r>
            <w:r>
              <w:rPr>
                <w:rFonts w:ascii="Times New Roman"/>
                <w:sz w:val="24"/>
              </w:rPr>
              <w:t>-</w:t>
            </w:r>
            <w:r>
              <w:rPr>
                <w:rFonts w:ascii="Times New Roman"/>
                <w:spacing w:val="-2"/>
                <w:sz w:val="24"/>
              </w:rPr>
              <w:t>11:</w:t>
            </w:r>
            <w:r>
              <w:rPr>
                <w:rFonts w:hint="eastAsia" w:ascii="Times New Roman"/>
                <w:spacing w:val="-2"/>
                <w:sz w:val="24"/>
                <w:lang w:val="en-US" w:eastAsia="zh-CN"/>
              </w:rPr>
              <w:t>35</w:t>
            </w:r>
          </w:p>
        </w:tc>
        <w:tc>
          <w:tcPr>
            <w:tcW w:w="877" w:type="dxa"/>
          </w:tcPr>
          <w:p w14:paraId="607C4CF7">
            <w:pPr>
              <w:pStyle w:val="13"/>
              <w:spacing w:before="57"/>
              <w:ind w:left="66" w:right="59"/>
              <w:rPr>
                <w:rFonts w:ascii="Times New Roman"/>
                <w:sz w:val="24"/>
              </w:rPr>
            </w:pPr>
            <w:r>
              <w:rPr>
                <w:rFonts w:ascii="Times New Roman"/>
                <w:spacing w:val="-10"/>
                <w:sz w:val="24"/>
              </w:rPr>
              <w:t>5</w:t>
            </w:r>
          </w:p>
        </w:tc>
      </w:tr>
      <w:tr w14:paraId="002F87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 w:hRule="atLeast"/>
        </w:trPr>
        <w:tc>
          <w:tcPr>
            <w:tcW w:w="1145" w:type="dxa"/>
            <w:vMerge w:val="continue"/>
            <w:tcBorders>
              <w:top w:val="nil"/>
            </w:tcBorders>
          </w:tcPr>
          <w:p w14:paraId="0FA901E8">
            <w:pPr>
              <w:rPr>
                <w:b/>
                <w:bCs/>
                <w:sz w:val="2"/>
                <w:szCs w:val="2"/>
              </w:rPr>
            </w:pPr>
          </w:p>
        </w:tc>
        <w:tc>
          <w:tcPr>
            <w:tcW w:w="500" w:type="dxa"/>
          </w:tcPr>
          <w:p w14:paraId="1E5DC91B">
            <w:pPr>
              <w:pStyle w:val="13"/>
              <w:spacing w:before="59"/>
              <w:ind w:left="16" w:right="10"/>
              <w:rPr>
                <w:rFonts w:ascii="Times New Roman"/>
                <w:sz w:val="24"/>
              </w:rPr>
            </w:pPr>
            <w:r>
              <w:rPr>
                <w:rFonts w:ascii="Times New Roman"/>
                <w:spacing w:val="-5"/>
                <w:sz w:val="24"/>
              </w:rPr>
              <w:t>18</w:t>
            </w:r>
          </w:p>
        </w:tc>
        <w:tc>
          <w:tcPr>
            <w:tcW w:w="4616" w:type="dxa"/>
          </w:tcPr>
          <w:p w14:paraId="3A79BDBC">
            <w:pPr>
              <w:pStyle w:val="13"/>
              <w:spacing w:before="43"/>
              <w:ind w:left="21" w:right="14"/>
              <w:rPr>
                <w:sz w:val="24"/>
              </w:rPr>
            </w:pPr>
            <w:r>
              <w:rPr>
                <w:spacing w:val="-13"/>
                <w:sz w:val="24"/>
              </w:rPr>
              <w:t>第二年第</w:t>
            </w:r>
            <w:r>
              <w:rPr>
                <w:rFonts w:ascii="Times New Roman" w:eastAsia="Times New Roman"/>
                <w:sz w:val="24"/>
              </w:rPr>
              <w:t>2</w:t>
            </w:r>
            <w:r>
              <w:rPr>
                <w:spacing w:val="-4"/>
                <w:sz w:val="24"/>
              </w:rPr>
              <w:t>次选单</w:t>
            </w:r>
          </w:p>
        </w:tc>
        <w:tc>
          <w:tcPr>
            <w:tcW w:w="1607" w:type="dxa"/>
          </w:tcPr>
          <w:p w14:paraId="1F24B158">
            <w:pPr>
              <w:pStyle w:val="13"/>
              <w:spacing w:before="59"/>
              <w:ind w:left="2"/>
              <w:rPr>
                <w:rFonts w:hint="default" w:ascii="Times New Roman" w:eastAsia="宋体"/>
                <w:sz w:val="24"/>
                <w:lang w:val="en-US" w:eastAsia="zh-CN"/>
              </w:rPr>
            </w:pPr>
            <w:r>
              <w:rPr>
                <w:rFonts w:ascii="Times New Roman"/>
                <w:sz w:val="24"/>
              </w:rPr>
              <w:t>11:</w:t>
            </w:r>
            <w:r>
              <w:rPr>
                <w:rFonts w:hint="eastAsia" w:ascii="Times New Roman"/>
                <w:sz w:val="24"/>
                <w:lang w:val="en-US" w:eastAsia="zh-CN"/>
              </w:rPr>
              <w:t>35</w:t>
            </w:r>
            <w:r>
              <w:rPr>
                <w:rFonts w:ascii="Times New Roman"/>
                <w:sz w:val="24"/>
              </w:rPr>
              <w:t>-</w:t>
            </w:r>
            <w:r>
              <w:rPr>
                <w:rFonts w:ascii="Times New Roman"/>
                <w:spacing w:val="-2"/>
                <w:sz w:val="24"/>
              </w:rPr>
              <w:t>1</w:t>
            </w:r>
            <w:r>
              <w:rPr>
                <w:rFonts w:hint="eastAsia" w:ascii="Times New Roman"/>
                <w:spacing w:val="-2"/>
                <w:sz w:val="24"/>
                <w:lang w:val="en-US" w:eastAsia="zh-CN"/>
              </w:rPr>
              <w:t>1</w:t>
            </w:r>
            <w:r>
              <w:rPr>
                <w:rFonts w:ascii="Times New Roman"/>
                <w:spacing w:val="-2"/>
                <w:sz w:val="24"/>
              </w:rPr>
              <w:t>:</w:t>
            </w:r>
            <w:r>
              <w:rPr>
                <w:rFonts w:hint="eastAsia" w:ascii="Times New Roman"/>
                <w:spacing w:val="-2"/>
                <w:sz w:val="24"/>
                <w:lang w:val="en-US" w:eastAsia="zh-CN"/>
              </w:rPr>
              <w:t>40</w:t>
            </w:r>
          </w:p>
        </w:tc>
        <w:tc>
          <w:tcPr>
            <w:tcW w:w="877" w:type="dxa"/>
          </w:tcPr>
          <w:p w14:paraId="1BE19435">
            <w:pPr>
              <w:pStyle w:val="13"/>
              <w:spacing w:before="59"/>
              <w:ind w:left="66" w:right="59"/>
              <w:rPr>
                <w:rFonts w:ascii="Times New Roman"/>
                <w:sz w:val="24"/>
              </w:rPr>
            </w:pPr>
            <w:r>
              <w:rPr>
                <w:rFonts w:ascii="Times New Roman"/>
                <w:spacing w:val="-10"/>
                <w:sz w:val="24"/>
              </w:rPr>
              <w:t>5</w:t>
            </w:r>
          </w:p>
        </w:tc>
      </w:tr>
      <w:tr w14:paraId="20703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1145" w:type="dxa"/>
            <w:vMerge w:val="continue"/>
            <w:tcBorders>
              <w:top w:val="nil"/>
            </w:tcBorders>
          </w:tcPr>
          <w:p w14:paraId="553BB499">
            <w:pPr>
              <w:rPr>
                <w:b/>
                <w:bCs/>
                <w:sz w:val="2"/>
                <w:szCs w:val="2"/>
              </w:rPr>
            </w:pPr>
          </w:p>
        </w:tc>
        <w:tc>
          <w:tcPr>
            <w:tcW w:w="500" w:type="dxa"/>
          </w:tcPr>
          <w:p w14:paraId="40496463">
            <w:pPr>
              <w:pStyle w:val="13"/>
              <w:spacing w:before="58"/>
              <w:ind w:left="16" w:right="10"/>
              <w:rPr>
                <w:rFonts w:ascii="Times New Roman"/>
                <w:sz w:val="24"/>
              </w:rPr>
            </w:pPr>
            <w:r>
              <w:rPr>
                <w:rFonts w:ascii="Times New Roman"/>
                <w:spacing w:val="-5"/>
                <w:sz w:val="24"/>
              </w:rPr>
              <w:t>19</w:t>
            </w:r>
          </w:p>
        </w:tc>
        <w:tc>
          <w:tcPr>
            <w:tcW w:w="4616" w:type="dxa"/>
          </w:tcPr>
          <w:p w14:paraId="0D1A75C9">
            <w:pPr>
              <w:pStyle w:val="13"/>
              <w:spacing w:before="42"/>
              <w:ind w:left="19" w:right="14"/>
              <w:rPr>
                <w:sz w:val="24"/>
              </w:rPr>
            </w:pPr>
            <w:r>
              <w:rPr>
                <w:spacing w:val="-18"/>
                <w:sz w:val="24"/>
              </w:rPr>
              <w:t>第二年</w:t>
            </w:r>
            <w:r>
              <w:rPr>
                <w:rFonts w:ascii="Times New Roman" w:eastAsia="Times New Roman"/>
                <w:spacing w:val="-2"/>
                <w:sz w:val="24"/>
              </w:rPr>
              <w:t>2</w:t>
            </w:r>
            <w:r>
              <w:rPr>
                <w:spacing w:val="-4"/>
                <w:sz w:val="24"/>
              </w:rPr>
              <w:t>季度经营</w:t>
            </w:r>
          </w:p>
        </w:tc>
        <w:tc>
          <w:tcPr>
            <w:tcW w:w="1607" w:type="dxa"/>
          </w:tcPr>
          <w:p w14:paraId="060F7D51">
            <w:pPr>
              <w:pStyle w:val="13"/>
              <w:spacing w:before="58"/>
              <w:ind w:left="2"/>
              <w:rPr>
                <w:rFonts w:hint="default" w:ascii="Times New Roman" w:eastAsia="宋体"/>
                <w:sz w:val="24"/>
                <w:lang w:val="en-US" w:eastAsia="zh-CN"/>
              </w:rPr>
            </w:pPr>
            <w:r>
              <w:rPr>
                <w:rFonts w:ascii="Times New Roman"/>
                <w:sz w:val="24"/>
              </w:rPr>
              <w:t>1</w:t>
            </w:r>
            <w:r>
              <w:rPr>
                <w:rFonts w:hint="eastAsia" w:ascii="Times New Roman"/>
                <w:sz w:val="24"/>
                <w:lang w:val="en-US" w:eastAsia="zh-CN"/>
              </w:rPr>
              <w:t>1</w:t>
            </w:r>
            <w:r>
              <w:rPr>
                <w:rFonts w:ascii="Times New Roman"/>
                <w:sz w:val="24"/>
              </w:rPr>
              <w:t>:</w:t>
            </w:r>
            <w:r>
              <w:rPr>
                <w:rFonts w:hint="eastAsia" w:ascii="Times New Roman"/>
                <w:sz w:val="24"/>
                <w:lang w:val="en-US" w:eastAsia="zh-CN"/>
              </w:rPr>
              <w:t>40</w:t>
            </w:r>
            <w:r>
              <w:rPr>
                <w:rFonts w:ascii="Times New Roman"/>
                <w:sz w:val="24"/>
              </w:rPr>
              <w:t>-</w:t>
            </w:r>
            <w:r>
              <w:rPr>
                <w:rFonts w:ascii="Times New Roman"/>
                <w:spacing w:val="-2"/>
                <w:sz w:val="24"/>
              </w:rPr>
              <w:t>1</w:t>
            </w:r>
            <w:r>
              <w:rPr>
                <w:rFonts w:hint="eastAsia" w:ascii="Times New Roman"/>
                <w:spacing w:val="-2"/>
                <w:sz w:val="24"/>
                <w:lang w:val="en-US" w:eastAsia="zh-CN"/>
              </w:rPr>
              <w:t>1</w:t>
            </w:r>
            <w:r>
              <w:rPr>
                <w:rFonts w:ascii="Times New Roman"/>
                <w:spacing w:val="-2"/>
                <w:sz w:val="24"/>
              </w:rPr>
              <w:t>:</w:t>
            </w:r>
            <w:r>
              <w:rPr>
                <w:rFonts w:hint="eastAsia" w:ascii="Times New Roman"/>
                <w:spacing w:val="-2"/>
                <w:sz w:val="24"/>
                <w:lang w:val="en-US" w:eastAsia="zh-CN"/>
              </w:rPr>
              <w:t>55</w:t>
            </w:r>
          </w:p>
        </w:tc>
        <w:tc>
          <w:tcPr>
            <w:tcW w:w="877" w:type="dxa"/>
          </w:tcPr>
          <w:p w14:paraId="7B97124E">
            <w:pPr>
              <w:pStyle w:val="13"/>
              <w:spacing w:before="58"/>
              <w:ind w:left="66" w:right="59"/>
              <w:rPr>
                <w:rFonts w:ascii="Times New Roman"/>
                <w:sz w:val="24"/>
              </w:rPr>
            </w:pPr>
            <w:r>
              <w:rPr>
                <w:rFonts w:ascii="Times New Roman"/>
                <w:spacing w:val="-5"/>
                <w:sz w:val="24"/>
              </w:rPr>
              <w:t>1</w:t>
            </w:r>
            <w:r>
              <w:rPr>
                <w:rFonts w:hint="eastAsia" w:ascii="Times New Roman"/>
                <w:spacing w:val="-5"/>
                <w:sz w:val="24"/>
              </w:rPr>
              <w:t>5</w:t>
            </w:r>
          </w:p>
        </w:tc>
      </w:tr>
      <w:tr w14:paraId="37B524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 w:hRule="atLeast"/>
        </w:trPr>
        <w:tc>
          <w:tcPr>
            <w:tcW w:w="1145" w:type="dxa"/>
            <w:vMerge w:val="restart"/>
          </w:tcPr>
          <w:p w14:paraId="24370EBD">
            <w:pPr>
              <w:pStyle w:val="13"/>
              <w:jc w:val="left"/>
              <w:rPr>
                <w:rFonts w:ascii="Times New Roman"/>
                <w:b/>
                <w:bCs/>
                <w:sz w:val="24"/>
              </w:rPr>
            </w:pPr>
          </w:p>
        </w:tc>
        <w:tc>
          <w:tcPr>
            <w:tcW w:w="500" w:type="dxa"/>
          </w:tcPr>
          <w:p w14:paraId="7C762D3B">
            <w:pPr>
              <w:pStyle w:val="13"/>
              <w:spacing w:before="57"/>
              <w:ind w:left="16" w:right="10"/>
              <w:rPr>
                <w:rFonts w:ascii="Times New Roman"/>
                <w:sz w:val="24"/>
              </w:rPr>
            </w:pPr>
            <w:r>
              <w:rPr>
                <w:rFonts w:ascii="Times New Roman"/>
                <w:spacing w:val="-5"/>
                <w:sz w:val="24"/>
              </w:rPr>
              <w:t>20</w:t>
            </w:r>
          </w:p>
        </w:tc>
        <w:tc>
          <w:tcPr>
            <w:tcW w:w="4616" w:type="dxa"/>
          </w:tcPr>
          <w:p w14:paraId="26293AD0">
            <w:pPr>
              <w:pStyle w:val="13"/>
              <w:spacing w:before="41"/>
              <w:ind w:left="19" w:right="14"/>
              <w:rPr>
                <w:sz w:val="24"/>
              </w:rPr>
            </w:pPr>
            <w:r>
              <w:rPr>
                <w:spacing w:val="-18"/>
                <w:sz w:val="24"/>
              </w:rPr>
              <w:t>第二年</w:t>
            </w:r>
            <w:r>
              <w:rPr>
                <w:rFonts w:ascii="Times New Roman" w:eastAsia="Times New Roman"/>
                <w:spacing w:val="-2"/>
                <w:sz w:val="24"/>
              </w:rPr>
              <w:t>3</w:t>
            </w:r>
            <w:r>
              <w:rPr>
                <w:spacing w:val="-4"/>
                <w:sz w:val="24"/>
              </w:rPr>
              <w:t>季度经营</w:t>
            </w:r>
          </w:p>
        </w:tc>
        <w:tc>
          <w:tcPr>
            <w:tcW w:w="1607" w:type="dxa"/>
          </w:tcPr>
          <w:p w14:paraId="52E4135E">
            <w:pPr>
              <w:pStyle w:val="13"/>
              <w:spacing w:before="57"/>
              <w:ind w:left="2"/>
              <w:rPr>
                <w:rFonts w:hint="default" w:ascii="Times New Roman" w:eastAsia="宋体"/>
                <w:sz w:val="24"/>
                <w:lang w:val="en-US" w:eastAsia="zh-CN"/>
              </w:rPr>
            </w:pPr>
            <w:r>
              <w:rPr>
                <w:rFonts w:ascii="Times New Roman"/>
                <w:sz w:val="24"/>
              </w:rPr>
              <w:t>1</w:t>
            </w:r>
            <w:r>
              <w:rPr>
                <w:rFonts w:hint="eastAsia" w:ascii="Times New Roman"/>
                <w:sz w:val="24"/>
                <w:lang w:val="en-US" w:eastAsia="zh-CN"/>
              </w:rPr>
              <w:t>1</w:t>
            </w:r>
            <w:r>
              <w:rPr>
                <w:rFonts w:ascii="Times New Roman"/>
                <w:sz w:val="24"/>
              </w:rPr>
              <w:t>:</w:t>
            </w:r>
            <w:r>
              <w:rPr>
                <w:rFonts w:hint="eastAsia" w:ascii="Times New Roman"/>
                <w:sz w:val="24"/>
                <w:lang w:val="en-US" w:eastAsia="zh-CN"/>
              </w:rPr>
              <w:t>55</w:t>
            </w:r>
            <w:r>
              <w:rPr>
                <w:rFonts w:ascii="Times New Roman"/>
                <w:sz w:val="24"/>
              </w:rPr>
              <w:t>-</w:t>
            </w:r>
            <w:r>
              <w:rPr>
                <w:rFonts w:ascii="Times New Roman"/>
                <w:spacing w:val="-2"/>
                <w:sz w:val="24"/>
              </w:rPr>
              <w:t>12:</w:t>
            </w:r>
            <w:r>
              <w:rPr>
                <w:rFonts w:hint="eastAsia" w:ascii="Times New Roman"/>
                <w:spacing w:val="-2"/>
                <w:sz w:val="24"/>
                <w:lang w:val="en-US" w:eastAsia="zh-CN"/>
              </w:rPr>
              <w:t>10</w:t>
            </w:r>
          </w:p>
        </w:tc>
        <w:tc>
          <w:tcPr>
            <w:tcW w:w="877" w:type="dxa"/>
          </w:tcPr>
          <w:p w14:paraId="258C76F8">
            <w:pPr>
              <w:pStyle w:val="13"/>
              <w:spacing w:before="57"/>
              <w:ind w:left="66" w:right="59"/>
              <w:rPr>
                <w:rFonts w:ascii="Times New Roman"/>
                <w:sz w:val="24"/>
              </w:rPr>
            </w:pPr>
            <w:r>
              <w:rPr>
                <w:rFonts w:hint="eastAsia" w:ascii="Times New Roman"/>
                <w:spacing w:val="-5"/>
                <w:sz w:val="24"/>
              </w:rPr>
              <w:t>15</w:t>
            </w:r>
          </w:p>
        </w:tc>
      </w:tr>
      <w:tr w14:paraId="23C52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145" w:type="dxa"/>
            <w:vMerge w:val="continue"/>
            <w:tcBorders>
              <w:top w:val="nil"/>
            </w:tcBorders>
          </w:tcPr>
          <w:p w14:paraId="4C7E8C06">
            <w:pPr>
              <w:rPr>
                <w:b/>
                <w:bCs/>
                <w:sz w:val="2"/>
                <w:szCs w:val="2"/>
              </w:rPr>
            </w:pPr>
          </w:p>
        </w:tc>
        <w:tc>
          <w:tcPr>
            <w:tcW w:w="500" w:type="dxa"/>
          </w:tcPr>
          <w:p w14:paraId="134D5F0C">
            <w:pPr>
              <w:pStyle w:val="13"/>
              <w:spacing w:before="59"/>
              <w:ind w:left="16" w:right="10"/>
              <w:rPr>
                <w:rFonts w:ascii="Times New Roman"/>
                <w:sz w:val="24"/>
              </w:rPr>
            </w:pPr>
            <w:r>
              <w:rPr>
                <w:rFonts w:ascii="Times New Roman"/>
                <w:spacing w:val="-5"/>
                <w:sz w:val="24"/>
              </w:rPr>
              <w:t>21</w:t>
            </w:r>
          </w:p>
        </w:tc>
        <w:tc>
          <w:tcPr>
            <w:tcW w:w="4616" w:type="dxa"/>
          </w:tcPr>
          <w:p w14:paraId="4787C049">
            <w:pPr>
              <w:pStyle w:val="13"/>
              <w:spacing w:before="43"/>
              <w:ind w:left="19" w:right="14"/>
              <w:rPr>
                <w:sz w:val="24"/>
              </w:rPr>
            </w:pPr>
            <w:r>
              <w:rPr>
                <w:spacing w:val="-18"/>
                <w:sz w:val="24"/>
              </w:rPr>
              <w:t>第二年</w:t>
            </w:r>
            <w:r>
              <w:rPr>
                <w:rFonts w:ascii="Times New Roman" w:eastAsia="Times New Roman"/>
                <w:spacing w:val="-2"/>
                <w:sz w:val="24"/>
              </w:rPr>
              <w:t>4</w:t>
            </w:r>
            <w:r>
              <w:rPr>
                <w:spacing w:val="-4"/>
                <w:sz w:val="24"/>
              </w:rPr>
              <w:t>季度经营</w:t>
            </w:r>
          </w:p>
        </w:tc>
        <w:tc>
          <w:tcPr>
            <w:tcW w:w="1607" w:type="dxa"/>
          </w:tcPr>
          <w:p w14:paraId="4D32FFB2">
            <w:pPr>
              <w:pStyle w:val="13"/>
              <w:spacing w:before="59"/>
              <w:ind w:left="3"/>
              <w:rPr>
                <w:rFonts w:hint="default" w:ascii="Times New Roman" w:eastAsia="宋体"/>
                <w:sz w:val="24"/>
                <w:lang w:val="en-US" w:eastAsia="zh-CN"/>
              </w:rPr>
            </w:pPr>
            <w:r>
              <w:rPr>
                <w:rFonts w:ascii="Times New Roman"/>
                <w:sz w:val="24"/>
              </w:rPr>
              <w:t>12:</w:t>
            </w:r>
            <w:r>
              <w:rPr>
                <w:rFonts w:hint="eastAsia" w:ascii="Times New Roman"/>
                <w:sz w:val="24"/>
                <w:lang w:val="en-US" w:eastAsia="zh-CN"/>
              </w:rPr>
              <w:t>10</w:t>
            </w:r>
            <w:r>
              <w:rPr>
                <w:rFonts w:ascii="Times New Roman"/>
                <w:sz w:val="24"/>
              </w:rPr>
              <w:t>-</w:t>
            </w:r>
            <w:r>
              <w:rPr>
                <w:rFonts w:ascii="Times New Roman"/>
                <w:spacing w:val="-2"/>
                <w:sz w:val="24"/>
              </w:rPr>
              <w:t>12:</w:t>
            </w:r>
            <w:r>
              <w:rPr>
                <w:rFonts w:hint="eastAsia" w:ascii="Times New Roman"/>
                <w:spacing w:val="-2"/>
                <w:sz w:val="24"/>
                <w:lang w:val="en-US" w:eastAsia="zh-CN"/>
              </w:rPr>
              <w:t>25</w:t>
            </w:r>
          </w:p>
        </w:tc>
        <w:tc>
          <w:tcPr>
            <w:tcW w:w="877" w:type="dxa"/>
          </w:tcPr>
          <w:p w14:paraId="487670A7">
            <w:pPr>
              <w:pStyle w:val="13"/>
              <w:spacing w:before="59"/>
              <w:ind w:left="66" w:right="59"/>
              <w:rPr>
                <w:rFonts w:ascii="Times New Roman"/>
                <w:sz w:val="24"/>
              </w:rPr>
            </w:pPr>
            <w:r>
              <w:rPr>
                <w:rFonts w:hint="eastAsia" w:ascii="Times New Roman"/>
                <w:spacing w:val="-5"/>
                <w:sz w:val="24"/>
              </w:rPr>
              <w:t>15</w:t>
            </w:r>
          </w:p>
        </w:tc>
      </w:tr>
      <w:tr w14:paraId="6C7338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1145" w:type="dxa"/>
            <w:vMerge w:val="continue"/>
            <w:tcBorders>
              <w:top w:val="nil"/>
            </w:tcBorders>
          </w:tcPr>
          <w:p w14:paraId="2D7AB355">
            <w:pPr>
              <w:rPr>
                <w:b/>
                <w:bCs/>
                <w:sz w:val="2"/>
                <w:szCs w:val="2"/>
              </w:rPr>
            </w:pPr>
          </w:p>
        </w:tc>
        <w:tc>
          <w:tcPr>
            <w:tcW w:w="500" w:type="dxa"/>
          </w:tcPr>
          <w:p w14:paraId="23F4FCAD">
            <w:pPr>
              <w:pStyle w:val="13"/>
              <w:spacing w:before="58"/>
              <w:ind w:left="16" w:right="3"/>
              <w:rPr>
                <w:rFonts w:ascii="Times New Roman"/>
                <w:sz w:val="24"/>
              </w:rPr>
            </w:pPr>
            <w:r>
              <w:rPr>
                <w:rFonts w:ascii="Times New Roman"/>
                <w:spacing w:val="-5"/>
                <w:sz w:val="24"/>
              </w:rPr>
              <w:t>22</w:t>
            </w:r>
          </w:p>
        </w:tc>
        <w:tc>
          <w:tcPr>
            <w:tcW w:w="4616" w:type="dxa"/>
          </w:tcPr>
          <w:p w14:paraId="087F1460">
            <w:pPr>
              <w:pStyle w:val="13"/>
              <w:spacing w:before="42"/>
              <w:ind w:left="21" w:right="14"/>
              <w:rPr>
                <w:sz w:val="24"/>
              </w:rPr>
            </w:pPr>
            <w:r>
              <w:rPr>
                <w:spacing w:val="-8"/>
                <w:sz w:val="24"/>
              </w:rPr>
              <w:t>午餐</w:t>
            </w:r>
          </w:p>
        </w:tc>
        <w:tc>
          <w:tcPr>
            <w:tcW w:w="1607" w:type="dxa"/>
          </w:tcPr>
          <w:p w14:paraId="019296E3">
            <w:pPr>
              <w:pStyle w:val="13"/>
              <w:spacing w:before="58"/>
              <w:ind w:left="3"/>
              <w:rPr>
                <w:rFonts w:hint="default" w:ascii="Times New Roman" w:eastAsia="宋体"/>
                <w:sz w:val="24"/>
                <w:lang w:val="en-US" w:eastAsia="zh-CN"/>
              </w:rPr>
            </w:pPr>
            <w:r>
              <w:rPr>
                <w:rFonts w:ascii="Times New Roman"/>
                <w:sz w:val="24"/>
              </w:rPr>
              <w:t>12:</w:t>
            </w:r>
            <w:r>
              <w:rPr>
                <w:rFonts w:hint="eastAsia" w:ascii="Times New Roman"/>
                <w:sz w:val="24"/>
                <w:lang w:val="en-US" w:eastAsia="zh-CN"/>
              </w:rPr>
              <w:t>25</w:t>
            </w:r>
            <w:r>
              <w:rPr>
                <w:rFonts w:ascii="Times New Roman"/>
                <w:sz w:val="24"/>
              </w:rPr>
              <w:t>-</w:t>
            </w:r>
            <w:r>
              <w:rPr>
                <w:rFonts w:ascii="Times New Roman"/>
                <w:spacing w:val="-2"/>
                <w:sz w:val="24"/>
              </w:rPr>
              <w:t>13:</w:t>
            </w:r>
            <w:r>
              <w:rPr>
                <w:rFonts w:hint="eastAsia" w:ascii="Times New Roman"/>
                <w:spacing w:val="-2"/>
                <w:sz w:val="24"/>
                <w:lang w:val="en-US" w:eastAsia="zh-CN"/>
              </w:rPr>
              <w:t>30</w:t>
            </w:r>
          </w:p>
        </w:tc>
        <w:tc>
          <w:tcPr>
            <w:tcW w:w="877" w:type="dxa"/>
          </w:tcPr>
          <w:p w14:paraId="504FFEB8">
            <w:pPr>
              <w:pStyle w:val="13"/>
              <w:spacing w:before="58"/>
              <w:ind w:right="59"/>
              <w:rPr>
                <w:rFonts w:ascii="Times New Roman"/>
                <w:sz w:val="24"/>
              </w:rPr>
            </w:pPr>
            <w:r>
              <w:rPr>
                <w:rFonts w:ascii="Times New Roman"/>
                <w:sz w:val="24"/>
              </w:rPr>
              <w:t>-</w:t>
            </w:r>
          </w:p>
        </w:tc>
      </w:tr>
      <w:tr w14:paraId="4B966E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145" w:type="dxa"/>
            <w:vMerge w:val="continue"/>
            <w:tcBorders>
              <w:top w:val="nil"/>
            </w:tcBorders>
          </w:tcPr>
          <w:p w14:paraId="1B59910A">
            <w:pPr>
              <w:rPr>
                <w:b/>
                <w:bCs/>
                <w:sz w:val="2"/>
                <w:szCs w:val="2"/>
              </w:rPr>
            </w:pPr>
          </w:p>
        </w:tc>
        <w:tc>
          <w:tcPr>
            <w:tcW w:w="500" w:type="dxa"/>
          </w:tcPr>
          <w:p w14:paraId="43697B21">
            <w:pPr>
              <w:pStyle w:val="13"/>
              <w:spacing w:before="57"/>
              <w:ind w:left="16"/>
              <w:rPr>
                <w:rFonts w:ascii="Times New Roman"/>
                <w:sz w:val="24"/>
              </w:rPr>
            </w:pPr>
            <w:r>
              <w:rPr>
                <w:rFonts w:ascii="Times New Roman"/>
                <w:spacing w:val="-5"/>
                <w:sz w:val="24"/>
              </w:rPr>
              <w:t>23</w:t>
            </w:r>
          </w:p>
        </w:tc>
        <w:tc>
          <w:tcPr>
            <w:tcW w:w="4616" w:type="dxa"/>
          </w:tcPr>
          <w:p w14:paraId="68936E1E">
            <w:pPr>
              <w:pStyle w:val="13"/>
              <w:spacing w:before="41"/>
              <w:ind w:left="15" w:right="14"/>
              <w:rPr>
                <w:rFonts w:ascii="Times New Roman" w:eastAsia="Times New Roman"/>
                <w:sz w:val="24"/>
              </w:rPr>
            </w:pPr>
            <w:r>
              <w:rPr>
                <w:spacing w:val="12"/>
                <w:sz w:val="24"/>
              </w:rPr>
              <w:t>参赛选手检录</w:t>
            </w:r>
            <w:r>
              <w:rPr>
                <w:rFonts w:ascii="Times New Roman" w:eastAsia="Times New Roman"/>
                <w:sz w:val="24"/>
              </w:rPr>
              <w:t>(</w:t>
            </w:r>
            <w:r>
              <w:rPr>
                <w:spacing w:val="12"/>
                <w:sz w:val="24"/>
              </w:rPr>
              <w:t>参赛证、身份证、学生证</w:t>
            </w:r>
            <w:r>
              <w:rPr>
                <w:rFonts w:ascii="Times New Roman" w:eastAsia="Times New Roman"/>
                <w:spacing w:val="-10"/>
                <w:sz w:val="24"/>
              </w:rPr>
              <w:t>)</w:t>
            </w:r>
          </w:p>
        </w:tc>
        <w:tc>
          <w:tcPr>
            <w:tcW w:w="1607" w:type="dxa"/>
          </w:tcPr>
          <w:p w14:paraId="54310FC1">
            <w:pPr>
              <w:pStyle w:val="13"/>
              <w:spacing w:before="57"/>
              <w:ind w:left="3"/>
              <w:rPr>
                <w:rFonts w:hint="default" w:ascii="Times New Roman" w:eastAsia="宋体"/>
                <w:sz w:val="24"/>
                <w:lang w:val="en-US" w:eastAsia="zh-CN"/>
              </w:rPr>
            </w:pPr>
            <w:r>
              <w:rPr>
                <w:rFonts w:ascii="Times New Roman"/>
                <w:sz w:val="24"/>
              </w:rPr>
              <w:t>13:</w:t>
            </w:r>
            <w:r>
              <w:rPr>
                <w:rFonts w:hint="eastAsia" w:ascii="Times New Roman"/>
                <w:sz w:val="24"/>
                <w:lang w:val="en-US" w:eastAsia="zh-CN"/>
              </w:rPr>
              <w:t>30</w:t>
            </w:r>
            <w:r>
              <w:rPr>
                <w:rFonts w:ascii="Times New Roman"/>
                <w:sz w:val="24"/>
              </w:rPr>
              <w:t>-</w:t>
            </w:r>
            <w:r>
              <w:rPr>
                <w:rFonts w:ascii="Times New Roman"/>
                <w:spacing w:val="-2"/>
                <w:sz w:val="24"/>
              </w:rPr>
              <w:t>13:</w:t>
            </w:r>
            <w:r>
              <w:rPr>
                <w:rFonts w:hint="eastAsia" w:ascii="Times New Roman"/>
                <w:spacing w:val="-2"/>
                <w:sz w:val="24"/>
                <w:lang w:val="en-US" w:eastAsia="zh-CN"/>
              </w:rPr>
              <w:t>40</w:t>
            </w:r>
          </w:p>
        </w:tc>
        <w:tc>
          <w:tcPr>
            <w:tcW w:w="877" w:type="dxa"/>
          </w:tcPr>
          <w:p w14:paraId="42CC65A5">
            <w:pPr>
              <w:pStyle w:val="13"/>
              <w:spacing w:before="57"/>
              <w:ind w:right="59"/>
              <w:rPr>
                <w:rFonts w:ascii="Times New Roman"/>
                <w:sz w:val="24"/>
              </w:rPr>
            </w:pPr>
            <w:r>
              <w:rPr>
                <w:rFonts w:ascii="Times New Roman"/>
                <w:sz w:val="24"/>
              </w:rPr>
              <w:t>-</w:t>
            </w:r>
          </w:p>
        </w:tc>
      </w:tr>
      <w:tr w14:paraId="060B7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145" w:type="dxa"/>
            <w:vMerge w:val="continue"/>
            <w:tcBorders>
              <w:top w:val="nil"/>
            </w:tcBorders>
          </w:tcPr>
          <w:p w14:paraId="66CC35DA">
            <w:pPr>
              <w:rPr>
                <w:b/>
                <w:bCs/>
                <w:sz w:val="2"/>
                <w:szCs w:val="2"/>
              </w:rPr>
            </w:pPr>
          </w:p>
        </w:tc>
        <w:tc>
          <w:tcPr>
            <w:tcW w:w="500" w:type="dxa"/>
          </w:tcPr>
          <w:p w14:paraId="0097F129">
            <w:pPr>
              <w:pStyle w:val="13"/>
              <w:spacing w:before="58"/>
              <w:ind w:left="16" w:right="3"/>
              <w:rPr>
                <w:rFonts w:ascii="Times New Roman"/>
                <w:sz w:val="24"/>
              </w:rPr>
            </w:pPr>
            <w:r>
              <w:rPr>
                <w:rFonts w:ascii="Times New Roman"/>
                <w:spacing w:val="-5"/>
                <w:sz w:val="24"/>
              </w:rPr>
              <w:t>24</w:t>
            </w:r>
          </w:p>
        </w:tc>
        <w:tc>
          <w:tcPr>
            <w:tcW w:w="4616" w:type="dxa"/>
          </w:tcPr>
          <w:p w14:paraId="7442E8C2">
            <w:pPr>
              <w:pStyle w:val="13"/>
              <w:spacing w:before="42"/>
              <w:ind w:left="21" w:right="14"/>
              <w:rPr>
                <w:sz w:val="24"/>
              </w:rPr>
            </w:pPr>
            <w:r>
              <w:rPr>
                <w:spacing w:val="-18"/>
                <w:sz w:val="24"/>
              </w:rPr>
              <w:t>第三年</w:t>
            </w:r>
            <w:r>
              <w:rPr>
                <w:rFonts w:ascii="Times New Roman" w:eastAsia="Times New Roman"/>
                <w:spacing w:val="-2"/>
                <w:sz w:val="24"/>
              </w:rPr>
              <w:t>1</w:t>
            </w:r>
            <w:r>
              <w:rPr>
                <w:spacing w:val="-4"/>
                <w:sz w:val="24"/>
              </w:rPr>
              <w:t>季度投放广告</w:t>
            </w:r>
          </w:p>
        </w:tc>
        <w:tc>
          <w:tcPr>
            <w:tcW w:w="1607" w:type="dxa"/>
          </w:tcPr>
          <w:p w14:paraId="6E2A42DA">
            <w:pPr>
              <w:pStyle w:val="13"/>
              <w:spacing w:before="1"/>
              <w:rPr>
                <w:rFonts w:hint="default" w:ascii="Times New Roman" w:eastAsia="宋体"/>
                <w:sz w:val="24"/>
                <w:lang w:val="en-US" w:eastAsia="zh-CN"/>
              </w:rPr>
            </w:pPr>
            <w:r>
              <w:rPr>
                <w:rFonts w:ascii="Times New Roman"/>
                <w:sz w:val="24"/>
              </w:rPr>
              <w:t>13:</w:t>
            </w:r>
            <w:r>
              <w:rPr>
                <w:rFonts w:hint="eastAsia" w:ascii="Times New Roman"/>
                <w:sz w:val="24"/>
                <w:lang w:val="en-US" w:eastAsia="zh-CN"/>
              </w:rPr>
              <w:t>40</w:t>
            </w:r>
            <w:r>
              <w:rPr>
                <w:rFonts w:ascii="Times New Roman"/>
                <w:sz w:val="24"/>
              </w:rPr>
              <w:t>-</w:t>
            </w:r>
            <w:r>
              <w:rPr>
                <w:rFonts w:hint="eastAsia" w:ascii="Times New Roman"/>
                <w:sz w:val="24"/>
                <w:lang w:val="en-US" w:eastAsia="zh-CN"/>
              </w:rPr>
              <w:t>13</w:t>
            </w:r>
            <w:r>
              <w:rPr>
                <w:rFonts w:ascii="Times New Roman"/>
                <w:spacing w:val="-2"/>
                <w:sz w:val="24"/>
              </w:rPr>
              <w:t>:</w:t>
            </w:r>
            <w:r>
              <w:rPr>
                <w:rFonts w:hint="eastAsia" w:ascii="Times New Roman"/>
                <w:spacing w:val="-2"/>
                <w:sz w:val="24"/>
                <w:lang w:val="en-US" w:eastAsia="zh-CN"/>
              </w:rPr>
              <w:t>45</w:t>
            </w:r>
          </w:p>
        </w:tc>
        <w:tc>
          <w:tcPr>
            <w:tcW w:w="877" w:type="dxa"/>
          </w:tcPr>
          <w:p w14:paraId="571D8A4D">
            <w:pPr>
              <w:pStyle w:val="13"/>
              <w:spacing w:before="58"/>
              <w:ind w:left="66" w:right="59"/>
              <w:rPr>
                <w:rFonts w:ascii="Times New Roman"/>
                <w:sz w:val="24"/>
              </w:rPr>
            </w:pPr>
            <w:r>
              <w:rPr>
                <w:rFonts w:ascii="Times New Roman"/>
                <w:spacing w:val="-10"/>
                <w:sz w:val="24"/>
              </w:rPr>
              <w:t>5</w:t>
            </w:r>
          </w:p>
        </w:tc>
      </w:tr>
      <w:tr w14:paraId="4A00F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145" w:type="dxa"/>
            <w:vMerge w:val="continue"/>
            <w:tcBorders>
              <w:top w:val="nil"/>
            </w:tcBorders>
          </w:tcPr>
          <w:p w14:paraId="5C32F894">
            <w:pPr>
              <w:rPr>
                <w:b/>
                <w:bCs/>
                <w:sz w:val="2"/>
                <w:szCs w:val="2"/>
              </w:rPr>
            </w:pPr>
          </w:p>
        </w:tc>
        <w:tc>
          <w:tcPr>
            <w:tcW w:w="500" w:type="dxa"/>
          </w:tcPr>
          <w:p w14:paraId="067D2C87">
            <w:pPr>
              <w:pStyle w:val="13"/>
              <w:spacing w:before="57"/>
              <w:ind w:left="16"/>
              <w:rPr>
                <w:rFonts w:ascii="Times New Roman"/>
                <w:sz w:val="24"/>
              </w:rPr>
            </w:pPr>
            <w:r>
              <w:rPr>
                <w:rFonts w:ascii="Times New Roman"/>
                <w:spacing w:val="-5"/>
                <w:sz w:val="24"/>
              </w:rPr>
              <w:t>25</w:t>
            </w:r>
          </w:p>
        </w:tc>
        <w:tc>
          <w:tcPr>
            <w:tcW w:w="4616" w:type="dxa"/>
          </w:tcPr>
          <w:p w14:paraId="65091778">
            <w:pPr>
              <w:pStyle w:val="13"/>
              <w:spacing w:before="41"/>
              <w:ind w:left="21" w:right="14"/>
              <w:rPr>
                <w:sz w:val="24"/>
              </w:rPr>
            </w:pPr>
            <w:r>
              <w:rPr>
                <w:spacing w:val="-13"/>
                <w:sz w:val="24"/>
              </w:rPr>
              <w:t>第三年第</w:t>
            </w:r>
            <w:r>
              <w:rPr>
                <w:rFonts w:ascii="Times New Roman" w:eastAsia="Times New Roman"/>
                <w:sz w:val="24"/>
              </w:rPr>
              <w:t>1</w:t>
            </w:r>
            <w:r>
              <w:rPr>
                <w:spacing w:val="-4"/>
                <w:sz w:val="24"/>
              </w:rPr>
              <w:t>次选单</w:t>
            </w:r>
          </w:p>
        </w:tc>
        <w:tc>
          <w:tcPr>
            <w:tcW w:w="1607" w:type="dxa"/>
          </w:tcPr>
          <w:p w14:paraId="77EBA3D2">
            <w:pPr>
              <w:pStyle w:val="13"/>
              <w:rPr>
                <w:rFonts w:hint="default" w:ascii="Times New Roman" w:eastAsia="宋体"/>
                <w:sz w:val="24"/>
                <w:lang w:val="en-US" w:eastAsia="zh-CN"/>
              </w:rPr>
            </w:pPr>
            <w:r>
              <w:rPr>
                <w:rFonts w:ascii="Times New Roman"/>
                <w:sz w:val="24"/>
              </w:rPr>
              <w:t>1</w:t>
            </w:r>
            <w:r>
              <w:rPr>
                <w:rFonts w:hint="eastAsia" w:ascii="Times New Roman"/>
                <w:sz w:val="24"/>
                <w:lang w:val="en-US" w:eastAsia="zh-CN"/>
              </w:rPr>
              <w:t>3</w:t>
            </w:r>
            <w:r>
              <w:rPr>
                <w:rFonts w:ascii="Times New Roman"/>
                <w:sz w:val="24"/>
              </w:rPr>
              <w:t>:</w:t>
            </w:r>
            <w:r>
              <w:rPr>
                <w:rFonts w:hint="eastAsia" w:ascii="Times New Roman"/>
                <w:sz w:val="24"/>
                <w:lang w:val="en-US" w:eastAsia="zh-CN"/>
              </w:rPr>
              <w:t>45</w:t>
            </w:r>
            <w:r>
              <w:rPr>
                <w:rFonts w:ascii="Times New Roman"/>
                <w:sz w:val="24"/>
              </w:rPr>
              <w:t>-</w:t>
            </w:r>
            <w:r>
              <w:rPr>
                <w:rFonts w:ascii="Times New Roman"/>
                <w:spacing w:val="-2"/>
                <w:sz w:val="24"/>
              </w:rPr>
              <w:t>1</w:t>
            </w:r>
            <w:r>
              <w:rPr>
                <w:rFonts w:hint="eastAsia" w:ascii="Times New Roman"/>
                <w:spacing w:val="-2"/>
                <w:sz w:val="24"/>
                <w:lang w:val="en-US" w:eastAsia="zh-CN"/>
              </w:rPr>
              <w:t>3</w:t>
            </w:r>
            <w:r>
              <w:rPr>
                <w:rFonts w:ascii="Times New Roman"/>
                <w:spacing w:val="-2"/>
                <w:sz w:val="24"/>
              </w:rPr>
              <w:t>:</w:t>
            </w:r>
            <w:r>
              <w:rPr>
                <w:rFonts w:hint="eastAsia" w:ascii="Times New Roman"/>
                <w:spacing w:val="-2"/>
                <w:sz w:val="24"/>
                <w:lang w:val="en-US" w:eastAsia="zh-CN"/>
              </w:rPr>
              <w:t>55</w:t>
            </w:r>
          </w:p>
        </w:tc>
        <w:tc>
          <w:tcPr>
            <w:tcW w:w="877" w:type="dxa"/>
          </w:tcPr>
          <w:p w14:paraId="0C69A9F4">
            <w:pPr>
              <w:pStyle w:val="13"/>
              <w:spacing w:before="57"/>
              <w:ind w:left="69" w:right="59"/>
              <w:rPr>
                <w:rFonts w:ascii="Times New Roman"/>
                <w:sz w:val="24"/>
              </w:rPr>
            </w:pPr>
            <w:r>
              <w:rPr>
                <w:rFonts w:ascii="Times New Roman"/>
                <w:spacing w:val="-5"/>
                <w:sz w:val="24"/>
              </w:rPr>
              <w:t>10</w:t>
            </w:r>
          </w:p>
        </w:tc>
      </w:tr>
      <w:tr w14:paraId="7F36B6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145" w:type="dxa"/>
            <w:vMerge w:val="continue"/>
            <w:tcBorders>
              <w:top w:val="nil"/>
            </w:tcBorders>
          </w:tcPr>
          <w:p w14:paraId="289614FA">
            <w:pPr>
              <w:rPr>
                <w:b/>
                <w:bCs/>
                <w:sz w:val="2"/>
                <w:szCs w:val="2"/>
              </w:rPr>
            </w:pPr>
          </w:p>
        </w:tc>
        <w:tc>
          <w:tcPr>
            <w:tcW w:w="500" w:type="dxa"/>
          </w:tcPr>
          <w:p w14:paraId="314F13C8">
            <w:pPr>
              <w:pStyle w:val="13"/>
              <w:spacing w:before="59"/>
              <w:ind w:left="16"/>
              <w:rPr>
                <w:rFonts w:ascii="Times New Roman"/>
                <w:sz w:val="24"/>
              </w:rPr>
            </w:pPr>
            <w:r>
              <w:rPr>
                <w:rFonts w:ascii="Times New Roman"/>
                <w:spacing w:val="-5"/>
                <w:sz w:val="24"/>
              </w:rPr>
              <w:t>26</w:t>
            </w:r>
          </w:p>
        </w:tc>
        <w:tc>
          <w:tcPr>
            <w:tcW w:w="4616" w:type="dxa"/>
          </w:tcPr>
          <w:p w14:paraId="4944332F">
            <w:pPr>
              <w:pStyle w:val="13"/>
              <w:spacing w:before="43"/>
              <w:ind w:left="19" w:right="14"/>
              <w:rPr>
                <w:sz w:val="24"/>
              </w:rPr>
            </w:pPr>
            <w:r>
              <w:rPr>
                <w:spacing w:val="-15"/>
                <w:sz w:val="24"/>
              </w:rPr>
              <w:t>第三年第</w:t>
            </w:r>
            <w:r>
              <w:rPr>
                <w:rFonts w:ascii="Times New Roman" w:eastAsia="Times New Roman"/>
                <w:spacing w:val="-2"/>
                <w:sz w:val="24"/>
              </w:rPr>
              <w:t>1</w:t>
            </w:r>
            <w:r>
              <w:rPr>
                <w:spacing w:val="-4"/>
                <w:sz w:val="24"/>
              </w:rPr>
              <w:t>季度经营</w:t>
            </w:r>
          </w:p>
        </w:tc>
        <w:tc>
          <w:tcPr>
            <w:tcW w:w="1607" w:type="dxa"/>
          </w:tcPr>
          <w:p w14:paraId="47A4326D">
            <w:pPr>
              <w:pStyle w:val="13"/>
              <w:spacing w:line="275" w:lineRule="exact"/>
              <w:rPr>
                <w:rFonts w:hint="default" w:ascii="Times New Roman" w:eastAsia="宋体"/>
                <w:sz w:val="24"/>
                <w:lang w:val="en-US" w:eastAsia="zh-CN"/>
              </w:rPr>
            </w:pPr>
            <w:r>
              <w:rPr>
                <w:rFonts w:ascii="Times New Roman"/>
                <w:sz w:val="24"/>
              </w:rPr>
              <w:t>1</w:t>
            </w:r>
            <w:r>
              <w:rPr>
                <w:rFonts w:hint="eastAsia" w:ascii="Times New Roman"/>
                <w:sz w:val="24"/>
                <w:lang w:val="en-US" w:eastAsia="zh-CN"/>
              </w:rPr>
              <w:t>3</w:t>
            </w:r>
            <w:r>
              <w:rPr>
                <w:rFonts w:ascii="Times New Roman"/>
                <w:sz w:val="24"/>
              </w:rPr>
              <w:t>:</w:t>
            </w:r>
            <w:r>
              <w:rPr>
                <w:rFonts w:hint="eastAsia" w:ascii="Times New Roman"/>
                <w:sz w:val="24"/>
                <w:lang w:val="en-US" w:eastAsia="zh-CN"/>
              </w:rPr>
              <w:t>55</w:t>
            </w:r>
            <w:r>
              <w:rPr>
                <w:rFonts w:ascii="Times New Roman"/>
                <w:sz w:val="24"/>
              </w:rPr>
              <w:t>-</w:t>
            </w:r>
            <w:r>
              <w:rPr>
                <w:rFonts w:ascii="Times New Roman"/>
                <w:spacing w:val="-2"/>
                <w:sz w:val="24"/>
              </w:rPr>
              <w:t>14:</w:t>
            </w:r>
            <w:r>
              <w:rPr>
                <w:rFonts w:hint="eastAsia" w:ascii="Times New Roman"/>
                <w:spacing w:val="-2"/>
                <w:sz w:val="24"/>
                <w:lang w:val="en-US" w:eastAsia="zh-CN"/>
              </w:rPr>
              <w:t>10</w:t>
            </w:r>
          </w:p>
        </w:tc>
        <w:tc>
          <w:tcPr>
            <w:tcW w:w="877" w:type="dxa"/>
          </w:tcPr>
          <w:p w14:paraId="78539B05">
            <w:pPr>
              <w:pStyle w:val="13"/>
              <w:spacing w:before="59"/>
              <w:ind w:left="69" w:right="59"/>
              <w:rPr>
                <w:rFonts w:hint="eastAsia" w:ascii="Times New Roman" w:eastAsia="宋体"/>
                <w:sz w:val="24"/>
                <w:lang w:eastAsia="zh-CN"/>
              </w:rPr>
            </w:pPr>
            <w:r>
              <w:rPr>
                <w:rFonts w:hint="eastAsia" w:ascii="Times New Roman"/>
                <w:spacing w:val="-5"/>
                <w:sz w:val="24"/>
              </w:rPr>
              <w:t>1</w:t>
            </w:r>
            <w:r>
              <w:rPr>
                <w:rFonts w:hint="eastAsia" w:ascii="Times New Roman"/>
                <w:spacing w:val="-5"/>
                <w:sz w:val="24"/>
                <w:lang w:val="en-US" w:eastAsia="zh-CN"/>
              </w:rPr>
              <w:t>5</w:t>
            </w:r>
          </w:p>
        </w:tc>
      </w:tr>
      <w:tr w14:paraId="737539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145" w:type="dxa"/>
            <w:vMerge w:val="continue"/>
            <w:tcBorders>
              <w:top w:val="nil"/>
            </w:tcBorders>
          </w:tcPr>
          <w:p w14:paraId="7AD1DAEB">
            <w:pPr>
              <w:rPr>
                <w:b/>
                <w:bCs/>
                <w:sz w:val="2"/>
                <w:szCs w:val="2"/>
              </w:rPr>
            </w:pPr>
          </w:p>
        </w:tc>
        <w:tc>
          <w:tcPr>
            <w:tcW w:w="500" w:type="dxa"/>
          </w:tcPr>
          <w:p w14:paraId="77A2B677">
            <w:pPr>
              <w:pStyle w:val="13"/>
              <w:spacing w:before="58"/>
              <w:ind w:left="16"/>
              <w:rPr>
                <w:rFonts w:ascii="Times New Roman"/>
                <w:sz w:val="24"/>
              </w:rPr>
            </w:pPr>
            <w:r>
              <w:rPr>
                <w:rFonts w:ascii="Times New Roman"/>
                <w:spacing w:val="-5"/>
                <w:sz w:val="24"/>
              </w:rPr>
              <w:t>27</w:t>
            </w:r>
          </w:p>
        </w:tc>
        <w:tc>
          <w:tcPr>
            <w:tcW w:w="4616" w:type="dxa"/>
          </w:tcPr>
          <w:p w14:paraId="5C3E5EAC">
            <w:pPr>
              <w:pStyle w:val="13"/>
              <w:spacing w:before="42"/>
              <w:ind w:left="21" w:right="14"/>
              <w:rPr>
                <w:sz w:val="24"/>
              </w:rPr>
            </w:pPr>
            <w:r>
              <w:rPr>
                <w:spacing w:val="-18"/>
                <w:sz w:val="24"/>
              </w:rPr>
              <w:t>第三年</w:t>
            </w:r>
            <w:r>
              <w:rPr>
                <w:rFonts w:ascii="Times New Roman" w:eastAsia="Times New Roman"/>
                <w:spacing w:val="-2"/>
                <w:sz w:val="24"/>
              </w:rPr>
              <w:t>2</w:t>
            </w:r>
            <w:r>
              <w:rPr>
                <w:spacing w:val="-4"/>
                <w:sz w:val="24"/>
              </w:rPr>
              <w:t>季度投放广告</w:t>
            </w:r>
          </w:p>
        </w:tc>
        <w:tc>
          <w:tcPr>
            <w:tcW w:w="1607" w:type="dxa"/>
          </w:tcPr>
          <w:p w14:paraId="0D99E93E">
            <w:pPr>
              <w:pStyle w:val="13"/>
              <w:rPr>
                <w:rFonts w:hint="default" w:ascii="Times New Roman" w:eastAsia="宋体"/>
                <w:sz w:val="24"/>
                <w:lang w:val="en-US" w:eastAsia="zh-CN"/>
              </w:rPr>
            </w:pPr>
            <w:r>
              <w:rPr>
                <w:rFonts w:ascii="Times New Roman"/>
                <w:sz w:val="24"/>
              </w:rPr>
              <w:t>14:</w:t>
            </w:r>
            <w:r>
              <w:rPr>
                <w:rFonts w:hint="eastAsia" w:ascii="Times New Roman"/>
                <w:sz w:val="24"/>
                <w:lang w:val="en-US" w:eastAsia="zh-CN"/>
              </w:rPr>
              <w:t>1</w:t>
            </w:r>
            <w:r>
              <w:rPr>
                <w:rFonts w:ascii="Times New Roman"/>
                <w:sz w:val="24"/>
              </w:rPr>
              <w:t>0-</w:t>
            </w:r>
            <w:r>
              <w:rPr>
                <w:rFonts w:ascii="Times New Roman"/>
                <w:spacing w:val="-2"/>
                <w:sz w:val="24"/>
              </w:rPr>
              <w:t>14:</w:t>
            </w:r>
            <w:r>
              <w:rPr>
                <w:rFonts w:hint="eastAsia" w:ascii="Times New Roman"/>
                <w:spacing w:val="-2"/>
                <w:sz w:val="24"/>
                <w:lang w:val="en-US" w:eastAsia="zh-CN"/>
              </w:rPr>
              <w:t>15</w:t>
            </w:r>
          </w:p>
        </w:tc>
        <w:tc>
          <w:tcPr>
            <w:tcW w:w="877" w:type="dxa"/>
          </w:tcPr>
          <w:p w14:paraId="26D40425">
            <w:pPr>
              <w:pStyle w:val="13"/>
              <w:spacing w:before="58"/>
              <w:ind w:left="66" w:right="59"/>
              <w:rPr>
                <w:rFonts w:ascii="Times New Roman"/>
                <w:sz w:val="24"/>
              </w:rPr>
            </w:pPr>
            <w:r>
              <w:rPr>
                <w:rFonts w:ascii="Times New Roman"/>
                <w:spacing w:val="-10"/>
                <w:sz w:val="24"/>
              </w:rPr>
              <w:t>5</w:t>
            </w:r>
          </w:p>
        </w:tc>
      </w:tr>
      <w:tr w14:paraId="3978AE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145" w:type="dxa"/>
            <w:vMerge w:val="continue"/>
            <w:tcBorders>
              <w:top w:val="nil"/>
            </w:tcBorders>
          </w:tcPr>
          <w:p w14:paraId="1B24236D">
            <w:pPr>
              <w:rPr>
                <w:b/>
                <w:bCs/>
                <w:sz w:val="2"/>
                <w:szCs w:val="2"/>
              </w:rPr>
            </w:pPr>
          </w:p>
        </w:tc>
        <w:tc>
          <w:tcPr>
            <w:tcW w:w="500" w:type="dxa"/>
          </w:tcPr>
          <w:p w14:paraId="791D6F18">
            <w:pPr>
              <w:pStyle w:val="13"/>
              <w:spacing w:before="57"/>
              <w:ind w:left="16"/>
              <w:rPr>
                <w:rFonts w:ascii="Times New Roman"/>
                <w:sz w:val="24"/>
              </w:rPr>
            </w:pPr>
            <w:r>
              <w:rPr>
                <w:rFonts w:ascii="Times New Roman"/>
                <w:spacing w:val="-5"/>
                <w:sz w:val="24"/>
              </w:rPr>
              <w:t>28</w:t>
            </w:r>
          </w:p>
        </w:tc>
        <w:tc>
          <w:tcPr>
            <w:tcW w:w="4616" w:type="dxa"/>
          </w:tcPr>
          <w:p w14:paraId="56063D7D">
            <w:pPr>
              <w:pStyle w:val="13"/>
              <w:spacing w:before="41"/>
              <w:ind w:left="21" w:right="14"/>
              <w:rPr>
                <w:sz w:val="24"/>
              </w:rPr>
            </w:pPr>
            <w:r>
              <w:rPr>
                <w:spacing w:val="-13"/>
                <w:sz w:val="24"/>
              </w:rPr>
              <w:t>第三年第</w:t>
            </w:r>
            <w:r>
              <w:rPr>
                <w:rFonts w:ascii="Times New Roman" w:eastAsia="Times New Roman"/>
                <w:sz w:val="24"/>
              </w:rPr>
              <w:t>2</w:t>
            </w:r>
            <w:r>
              <w:rPr>
                <w:spacing w:val="-4"/>
                <w:sz w:val="24"/>
              </w:rPr>
              <w:t>次选单</w:t>
            </w:r>
          </w:p>
        </w:tc>
        <w:tc>
          <w:tcPr>
            <w:tcW w:w="1607" w:type="dxa"/>
          </w:tcPr>
          <w:p w14:paraId="644FB13C">
            <w:pPr>
              <w:pStyle w:val="13"/>
              <w:spacing w:line="275" w:lineRule="exact"/>
              <w:rPr>
                <w:rFonts w:hint="default" w:ascii="Times New Roman" w:eastAsia="宋体"/>
                <w:sz w:val="24"/>
                <w:lang w:val="en-US" w:eastAsia="zh-CN"/>
              </w:rPr>
            </w:pPr>
            <w:r>
              <w:rPr>
                <w:rFonts w:ascii="Times New Roman"/>
                <w:sz w:val="24"/>
              </w:rPr>
              <w:t>14:</w:t>
            </w:r>
            <w:r>
              <w:rPr>
                <w:rFonts w:hint="eastAsia" w:ascii="Times New Roman"/>
                <w:sz w:val="24"/>
                <w:lang w:val="en-US" w:eastAsia="zh-CN"/>
              </w:rPr>
              <w:t>1</w:t>
            </w:r>
            <w:r>
              <w:rPr>
                <w:rFonts w:ascii="Times New Roman"/>
                <w:sz w:val="24"/>
              </w:rPr>
              <w:t>5-</w:t>
            </w:r>
            <w:r>
              <w:rPr>
                <w:rFonts w:ascii="Times New Roman"/>
                <w:spacing w:val="-2"/>
                <w:sz w:val="24"/>
              </w:rPr>
              <w:t>14:</w:t>
            </w:r>
            <w:r>
              <w:rPr>
                <w:rFonts w:hint="eastAsia" w:ascii="Times New Roman"/>
                <w:spacing w:val="-2"/>
                <w:sz w:val="24"/>
                <w:lang w:val="en-US" w:eastAsia="zh-CN"/>
              </w:rPr>
              <w:t>20</w:t>
            </w:r>
          </w:p>
        </w:tc>
        <w:tc>
          <w:tcPr>
            <w:tcW w:w="877" w:type="dxa"/>
          </w:tcPr>
          <w:p w14:paraId="01DF1CCD">
            <w:pPr>
              <w:pStyle w:val="13"/>
              <w:spacing w:before="57"/>
              <w:ind w:left="66" w:right="59"/>
              <w:rPr>
                <w:rFonts w:ascii="Times New Roman"/>
                <w:sz w:val="24"/>
              </w:rPr>
            </w:pPr>
            <w:r>
              <w:rPr>
                <w:rFonts w:ascii="Times New Roman"/>
                <w:spacing w:val="-10"/>
                <w:sz w:val="24"/>
              </w:rPr>
              <w:t>5</w:t>
            </w:r>
          </w:p>
        </w:tc>
      </w:tr>
      <w:tr w14:paraId="2C8CEE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145" w:type="dxa"/>
            <w:vMerge w:val="continue"/>
            <w:tcBorders>
              <w:top w:val="nil"/>
            </w:tcBorders>
          </w:tcPr>
          <w:p w14:paraId="1B2001D5">
            <w:pPr>
              <w:rPr>
                <w:b/>
                <w:bCs/>
                <w:sz w:val="2"/>
                <w:szCs w:val="2"/>
              </w:rPr>
            </w:pPr>
          </w:p>
        </w:tc>
        <w:tc>
          <w:tcPr>
            <w:tcW w:w="500" w:type="dxa"/>
          </w:tcPr>
          <w:p w14:paraId="59E4536A">
            <w:pPr>
              <w:pStyle w:val="13"/>
              <w:spacing w:before="58"/>
              <w:ind w:left="16"/>
              <w:rPr>
                <w:rFonts w:ascii="Times New Roman"/>
                <w:sz w:val="24"/>
              </w:rPr>
            </w:pPr>
            <w:r>
              <w:rPr>
                <w:rFonts w:ascii="Times New Roman"/>
                <w:spacing w:val="-5"/>
                <w:sz w:val="24"/>
              </w:rPr>
              <w:t>29</w:t>
            </w:r>
          </w:p>
        </w:tc>
        <w:tc>
          <w:tcPr>
            <w:tcW w:w="4616" w:type="dxa"/>
          </w:tcPr>
          <w:p w14:paraId="35A323CA">
            <w:pPr>
              <w:pStyle w:val="13"/>
              <w:spacing w:before="42"/>
              <w:ind w:left="19" w:right="14"/>
              <w:rPr>
                <w:sz w:val="24"/>
              </w:rPr>
            </w:pPr>
            <w:r>
              <w:rPr>
                <w:spacing w:val="-18"/>
                <w:sz w:val="24"/>
              </w:rPr>
              <w:t>第三年</w:t>
            </w:r>
            <w:r>
              <w:rPr>
                <w:rFonts w:ascii="Times New Roman" w:eastAsia="Times New Roman"/>
                <w:spacing w:val="-2"/>
                <w:sz w:val="24"/>
              </w:rPr>
              <w:t>2</w:t>
            </w:r>
            <w:r>
              <w:rPr>
                <w:spacing w:val="-4"/>
                <w:sz w:val="24"/>
              </w:rPr>
              <w:t>季度经营</w:t>
            </w:r>
          </w:p>
        </w:tc>
        <w:tc>
          <w:tcPr>
            <w:tcW w:w="1607" w:type="dxa"/>
          </w:tcPr>
          <w:p w14:paraId="58FB3E6A">
            <w:pPr>
              <w:pStyle w:val="13"/>
              <w:rPr>
                <w:rFonts w:hint="default" w:ascii="Times New Roman" w:eastAsia="宋体"/>
                <w:sz w:val="24"/>
                <w:lang w:val="en-US" w:eastAsia="zh-CN"/>
              </w:rPr>
            </w:pPr>
            <w:r>
              <w:rPr>
                <w:rFonts w:ascii="Times New Roman"/>
                <w:sz w:val="24"/>
              </w:rPr>
              <w:t>14:</w:t>
            </w:r>
            <w:r>
              <w:rPr>
                <w:rFonts w:hint="eastAsia" w:ascii="Times New Roman"/>
                <w:sz w:val="24"/>
                <w:lang w:val="en-US" w:eastAsia="zh-CN"/>
              </w:rPr>
              <w:t>2</w:t>
            </w:r>
            <w:r>
              <w:rPr>
                <w:rFonts w:ascii="Times New Roman"/>
                <w:sz w:val="24"/>
              </w:rPr>
              <w:t>0-</w:t>
            </w:r>
            <w:r>
              <w:rPr>
                <w:rFonts w:ascii="Times New Roman"/>
                <w:spacing w:val="-2"/>
                <w:sz w:val="24"/>
              </w:rPr>
              <w:t>14:</w:t>
            </w:r>
            <w:r>
              <w:rPr>
                <w:rFonts w:hint="eastAsia" w:ascii="Times New Roman"/>
                <w:spacing w:val="-2"/>
                <w:sz w:val="24"/>
                <w:lang w:val="en-US" w:eastAsia="zh-CN"/>
              </w:rPr>
              <w:t>35</w:t>
            </w:r>
          </w:p>
        </w:tc>
        <w:tc>
          <w:tcPr>
            <w:tcW w:w="877" w:type="dxa"/>
          </w:tcPr>
          <w:p w14:paraId="34AE6E95">
            <w:pPr>
              <w:pStyle w:val="13"/>
              <w:spacing w:before="58"/>
              <w:ind w:left="66" w:right="59"/>
              <w:rPr>
                <w:rFonts w:ascii="Times New Roman"/>
                <w:sz w:val="24"/>
              </w:rPr>
            </w:pPr>
            <w:r>
              <w:rPr>
                <w:rFonts w:ascii="Times New Roman"/>
                <w:spacing w:val="-5"/>
                <w:sz w:val="24"/>
              </w:rPr>
              <w:t>1</w:t>
            </w:r>
            <w:r>
              <w:rPr>
                <w:rFonts w:hint="eastAsia" w:ascii="Times New Roman"/>
                <w:spacing w:val="-5"/>
                <w:sz w:val="24"/>
              </w:rPr>
              <w:t>5</w:t>
            </w:r>
          </w:p>
        </w:tc>
      </w:tr>
      <w:tr w14:paraId="5D321F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145" w:type="dxa"/>
            <w:vMerge w:val="continue"/>
            <w:tcBorders>
              <w:top w:val="nil"/>
            </w:tcBorders>
          </w:tcPr>
          <w:p w14:paraId="7FC20984">
            <w:pPr>
              <w:rPr>
                <w:b/>
                <w:bCs/>
                <w:sz w:val="2"/>
                <w:szCs w:val="2"/>
              </w:rPr>
            </w:pPr>
          </w:p>
        </w:tc>
        <w:tc>
          <w:tcPr>
            <w:tcW w:w="500" w:type="dxa"/>
          </w:tcPr>
          <w:p w14:paraId="7CE1A4D0">
            <w:pPr>
              <w:pStyle w:val="13"/>
              <w:spacing w:before="57"/>
              <w:ind w:left="16" w:right="3"/>
              <w:rPr>
                <w:rFonts w:ascii="Times New Roman"/>
                <w:sz w:val="24"/>
              </w:rPr>
            </w:pPr>
            <w:r>
              <w:rPr>
                <w:rFonts w:ascii="Times New Roman"/>
                <w:spacing w:val="-5"/>
                <w:sz w:val="24"/>
              </w:rPr>
              <w:t>30</w:t>
            </w:r>
          </w:p>
        </w:tc>
        <w:tc>
          <w:tcPr>
            <w:tcW w:w="4616" w:type="dxa"/>
          </w:tcPr>
          <w:p w14:paraId="052DE558">
            <w:pPr>
              <w:pStyle w:val="13"/>
              <w:spacing w:before="41"/>
              <w:ind w:left="19" w:right="14"/>
              <w:rPr>
                <w:sz w:val="24"/>
              </w:rPr>
            </w:pPr>
            <w:r>
              <w:rPr>
                <w:spacing w:val="-18"/>
                <w:sz w:val="24"/>
              </w:rPr>
              <w:t>第三年</w:t>
            </w:r>
            <w:r>
              <w:rPr>
                <w:rFonts w:ascii="Times New Roman" w:eastAsia="Times New Roman"/>
                <w:spacing w:val="-2"/>
                <w:sz w:val="24"/>
              </w:rPr>
              <w:t>3</w:t>
            </w:r>
            <w:r>
              <w:rPr>
                <w:spacing w:val="-4"/>
                <w:sz w:val="24"/>
              </w:rPr>
              <w:t>季度经营</w:t>
            </w:r>
          </w:p>
        </w:tc>
        <w:tc>
          <w:tcPr>
            <w:tcW w:w="1607" w:type="dxa"/>
          </w:tcPr>
          <w:p w14:paraId="3757946F">
            <w:pPr>
              <w:pStyle w:val="13"/>
              <w:spacing w:line="276" w:lineRule="exact"/>
              <w:rPr>
                <w:rFonts w:hint="default" w:ascii="Times New Roman" w:eastAsia="宋体"/>
                <w:sz w:val="24"/>
                <w:lang w:val="en-US" w:eastAsia="zh-CN"/>
              </w:rPr>
            </w:pPr>
            <w:r>
              <w:rPr>
                <w:rFonts w:ascii="Times New Roman"/>
                <w:sz w:val="24"/>
              </w:rPr>
              <w:t>14:</w:t>
            </w:r>
            <w:r>
              <w:rPr>
                <w:rFonts w:hint="eastAsia" w:ascii="Times New Roman"/>
                <w:sz w:val="24"/>
                <w:lang w:val="en-US" w:eastAsia="zh-CN"/>
              </w:rPr>
              <w:t>3</w:t>
            </w:r>
            <w:r>
              <w:rPr>
                <w:rFonts w:ascii="Times New Roman"/>
                <w:sz w:val="24"/>
              </w:rPr>
              <w:t>5-</w:t>
            </w:r>
            <w:r>
              <w:rPr>
                <w:rFonts w:ascii="Times New Roman"/>
                <w:spacing w:val="-2"/>
                <w:sz w:val="24"/>
              </w:rPr>
              <w:t>1</w:t>
            </w:r>
            <w:r>
              <w:rPr>
                <w:rFonts w:hint="eastAsia" w:ascii="Times New Roman"/>
                <w:spacing w:val="-2"/>
                <w:sz w:val="24"/>
                <w:lang w:val="en-US" w:eastAsia="zh-CN"/>
              </w:rPr>
              <w:t>4</w:t>
            </w:r>
            <w:r>
              <w:rPr>
                <w:rFonts w:ascii="Times New Roman"/>
                <w:spacing w:val="-2"/>
                <w:sz w:val="24"/>
              </w:rPr>
              <w:t>:</w:t>
            </w:r>
            <w:r>
              <w:rPr>
                <w:rFonts w:hint="eastAsia" w:ascii="Times New Roman"/>
                <w:spacing w:val="-2"/>
                <w:sz w:val="24"/>
                <w:lang w:val="en-US" w:eastAsia="zh-CN"/>
              </w:rPr>
              <w:t>50</w:t>
            </w:r>
          </w:p>
        </w:tc>
        <w:tc>
          <w:tcPr>
            <w:tcW w:w="877" w:type="dxa"/>
          </w:tcPr>
          <w:p w14:paraId="021A7E46">
            <w:pPr>
              <w:pStyle w:val="13"/>
              <w:spacing w:before="57"/>
              <w:ind w:left="66" w:right="59"/>
              <w:rPr>
                <w:rFonts w:hint="eastAsia" w:ascii="Times New Roman" w:eastAsia="宋体"/>
                <w:sz w:val="24"/>
                <w:lang w:eastAsia="zh-CN"/>
              </w:rPr>
            </w:pPr>
            <w:r>
              <w:rPr>
                <w:rFonts w:ascii="Times New Roman"/>
                <w:spacing w:val="-5"/>
                <w:sz w:val="24"/>
              </w:rPr>
              <w:t>1</w:t>
            </w:r>
            <w:r>
              <w:rPr>
                <w:rFonts w:hint="eastAsia" w:ascii="Times New Roman"/>
                <w:spacing w:val="-5"/>
                <w:sz w:val="24"/>
                <w:lang w:val="en-US" w:eastAsia="zh-CN"/>
              </w:rPr>
              <w:t>5</w:t>
            </w:r>
          </w:p>
        </w:tc>
      </w:tr>
      <w:tr w14:paraId="5C944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145" w:type="dxa"/>
            <w:vMerge w:val="continue"/>
            <w:tcBorders>
              <w:top w:val="nil"/>
            </w:tcBorders>
          </w:tcPr>
          <w:p w14:paraId="7D8C6680">
            <w:pPr>
              <w:rPr>
                <w:b/>
                <w:bCs/>
                <w:sz w:val="2"/>
                <w:szCs w:val="2"/>
              </w:rPr>
            </w:pPr>
          </w:p>
        </w:tc>
        <w:tc>
          <w:tcPr>
            <w:tcW w:w="500" w:type="dxa"/>
          </w:tcPr>
          <w:p w14:paraId="4AACDE7F">
            <w:pPr>
              <w:pStyle w:val="13"/>
              <w:spacing w:before="58"/>
              <w:ind w:left="16" w:right="3"/>
              <w:rPr>
                <w:rFonts w:ascii="Times New Roman"/>
                <w:sz w:val="24"/>
              </w:rPr>
            </w:pPr>
            <w:r>
              <w:rPr>
                <w:rFonts w:ascii="Times New Roman"/>
                <w:spacing w:val="-5"/>
                <w:sz w:val="24"/>
              </w:rPr>
              <w:t>31</w:t>
            </w:r>
          </w:p>
        </w:tc>
        <w:tc>
          <w:tcPr>
            <w:tcW w:w="4616" w:type="dxa"/>
          </w:tcPr>
          <w:p w14:paraId="48FC7899">
            <w:pPr>
              <w:pStyle w:val="13"/>
              <w:spacing w:before="42"/>
              <w:ind w:left="19" w:right="14"/>
              <w:rPr>
                <w:sz w:val="24"/>
              </w:rPr>
            </w:pPr>
            <w:r>
              <w:rPr>
                <w:spacing w:val="-18"/>
                <w:sz w:val="24"/>
              </w:rPr>
              <w:t>第三年</w:t>
            </w:r>
            <w:r>
              <w:rPr>
                <w:rFonts w:ascii="Times New Roman" w:eastAsia="Times New Roman"/>
                <w:spacing w:val="-2"/>
                <w:sz w:val="24"/>
              </w:rPr>
              <w:t>4</w:t>
            </w:r>
            <w:r>
              <w:rPr>
                <w:spacing w:val="-4"/>
                <w:sz w:val="24"/>
              </w:rPr>
              <w:t>季度经营</w:t>
            </w:r>
          </w:p>
        </w:tc>
        <w:tc>
          <w:tcPr>
            <w:tcW w:w="1607" w:type="dxa"/>
          </w:tcPr>
          <w:p w14:paraId="4B80082E">
            <w:pPr>
              <w:pStyle w:val="13"/>
              <w:spacing w:before="1"/>
              <w:rPr>
                <w:rFonts w:hint="default" w:ascii="Times New Roman" w:eastAsia="宋体"/>
                <w:sz w:val="24"/>
                <w:lang w:val="en-US" w:eastAsia="zh-CN"/>
              </w:rPr>
            </w:pPr>
            <w:r>
              <w:rPr>
                <w:rFonts w:ascii="Times New Roman"/>
                <w:sz w:val="24"/>
              </w:rPr>
              <w:t>1</w:t>
            </w:r>
            <w:r>
              <w:rPr>
                <w:rFonts w:hint="eastAsia" w:ascii="Times New Roman"/>
                <w:sz w:val="24"/>
                <w:lang w:val="en-US" w:eastAsia="zh-CN"/>
              </w:rPr>
              <w:t>4</w:t>
            </w:r>
            <w:r>
              <w:rPr>
                <w:rFonts w:ascii="Times New Roman"/>
                <w:sz w:val="24"/>
              </w:rPr>
              <w:t>:</w:t>
            </w:r>
            <w:r>
              <w:rPr>
                <w:rFonts w:hint="eastAsia" w:ascii="Times New Roman"/>
                <w:sz w:val="24"/>
                <w:lang w:val="en-US" w:eastAsia="zh-CN"/>
              </w:rPr>
              <w:t>5</w:t>
            </w:r>
            <w:r>
              <w:rPr>
                <w:rFonts w:ascii="Times New Roman"/>
                <w:sz w:val="24"/>
              </w:rPr>
              <w:t>0-</w:t>
            </w:r>
            <w:r>
              <w:rPr>
                <w:rFonts w:ascii="Times New Roman"/>
                <w:spacing w:val="-2"/>
                <w:sz w:val="24"/>
              </w:rPr>
              <w:t>15:</w:t>
            </w:r>
            <w:r>
              <w:rPr>
                <w:rFonts w:hint="eastAsia" w:ascii="Times New Roman"/>
                <w:spacing w:val="-2"/>
                <w:sz w:val="24"/>
                <w:lang w:val="en-US" w:eastAsia="zh-CN"/>
              </w:rPr>
              <w:t>05</w:t>
            </w:r>
          </w:p>
        </w:tc>
        <w:tc>
          <w:tcPr>
            <w:tcW w:w="877" w:type="dxa"/>
          </w:tcPr>
          <w:p w14:paraId="3B0FB7D7">
            <w:pPr>
              <w:pStyle w:val="13"/>
              <w:spacing w:before="58"/>
              <w:ind w:left="66" w:right="59"/>
              <w:rPr>
                <w:rFonts w:hint="eastAsia" w:ascii="Times New Roman" w:eastAsia="宋体"/>
                <w:sz w:val="24"/>
                <w:lang w:eastAsia="zh-CN"/>
              </w:rPr>
            </w:pPr>
            <w:r>
              <w:rPr>
                <w:rFonts w:ascii="Times New Roman"/>
                <w:spacing w:val="-5"/>
                <w:sz w:val="24"/>
              </w:rPr>
              <w:t>1</w:t>
            </w:r>
            <w:r>
              <w:rPr>
                <w:rFonts w:hint="eastAsia" w:ascii="Times New Roman"/>
                <w:spacing w:val="-5"/>
                <w:sz w:val="24"/>
                <w:lang w:val="en-US" w:eastAsia="zh-CN"/>
              </w:rPr>
              <w:t>5</w:t>
            </w:r>
          </w:p>
        </w:tc>
      </w:tr>
      <w:tr w14:paraId="45D5F5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145" w:type="dxa"/>
            <w:vMerge w:val="continue"/>
            <w:tcBorders>
              <w:top w:val="nil"/>
            </w:tcBorders>
          </w:tcPr>
          <w:p w14:paraId="60906E9B">
            <w:pPr>
              <w:rPr>
                <w:b/>
                <w:bCs/>
                <w:sz w:val="2"/>
                <w:szCs w:val="2"/>
              </w:rPr>
            </w:pPr>
          </w:p>
        </w:tc>
        <w:tc>
          <w:tcPr>
            <w:tcW w:w="500" w:type="dxa"/>
          </w:tcPr>
          <w:p w14:paraId="5C4A93F0">
            <w:pPr>
              <w:pStyle w:val="13"/>
              <w:spacing w:before="57"/>
              <w:ind w:left="16" w:right="3"/>
              <w:rPr>
                <w:rFonts w:ascii="Times New Roman"/>
                <w:sz w:val="24"/>
              </w:rPr>
            </w:pPr>
            <w:r>
              <w:rPr>
                <w:rFonts w:ascii="Times New Roman"/>
                <w:spacing w:val="-5"/>
                <w:sz w:val="24"/>
              </w:rPr>
              <w:t>32</w:t>
            </w:r>
          </w:p>
        </w:tc>
        <w:tc>
          <w:tcPr>
            <w:tcW w:w="4616" w:type="dxa"/>
          </w:tcPr>
          <w:p w14:paraId="0C604078">
            <w:pPr>
              <w:pStyle w:val="13"/>
              <w:spacing w:before="41"/>
              <w:ind w:left="21" w:right="14"/>
              <w:rPr>
                <w:sz w:val="24"/>
              </w:rPr>
            </w:pPr>
            <w:r>
              <w:rPr>
                <w:spacing w:val="-18"/>
                <w:sz w:val="24"/>
              </w:rPr>
              <w:t>第四年</w:t>
            </w:r>
            <w:r>
              <w:rPr>
                <w:rFonts w:ascii="Times New Roman" w:eastAsia="Times New Roman"/>
                <w:spacing w:val="-2"/>
                <w:sz w:val="24"/>
              </w:rPr>
              <w:t>1</w:t>
            </w:r>
            <w:r>
              <w:rPr>
                <w:spacing w:val="-4"/>
                <w:sz w:val="24"/>
              </w:rPr>
              <w:t>季度投放广告</w:t>
            </w:r>
          </w:p>
        </w:tc>
        <w:tc>
          <w:tcPr>
            <w:tcW w:w="1607" w:type="dxa"/>
          </w:tcPr>
          <w:p w14:paraId="6FCBE75E">
            <w:pPr>
              <w:pStyle w:val="13"/>
              <w:rPr>
                <w:rFonts w:ascii="Times New Roman"/>
                <w:sz w:val="24"/>
              </w:rPr>
            </w:pPr>
            <w:r>
              <w:rPr>
                <w:rFonts w:ascii="Times New Roman"/>
                <w:sz w:val="24"/>
              </w:rPr>
              <w:t>15:</w:t>
            </w:r>
            <w:r>
              <w:rPr>
                <w:rFonts w:hint="eastAsia" w:ascii="Times New Roman"/>
                <w:sz w:val="24"/>
                <w:lang w:val="en-US" w:eastAsia="zh-CN"/>
              </w:rPr>
              <w:t>0</w:t>
            </w:r>
            <w:r>
              <w:rPr>
                <w:rFonts w:ascii="Times New Roman"/>
                <w:sz w:val="24"/>
              </w:rPr>
              <w:t>5-</w:t>
            </w:r>
            <w:r>
              <w:rPr>
                <w:rFonts w:ascii="Times New Roman"/>
                <w:spacing w:val="-2"/>
                <w:sz w:val="24"/>
              </w:rPr>
              <w:t>15:</w:t>
            </w:r>
            <w:r>
              <w:rPr>
                <w:rFonts w:hint="eastAsia" w:ascii="Times New Roman"/>
                <w:spacing w:val="-2"/>
                <w:sz w:val="24"/>
                <w:lang w:val="en-US" w:eastAsia="zh-CN"/>
              </w:rPr>
              <w:t>1</w:t>
            </w:r>
            <w:r>
              <w:rPr>
                <w:rFonts w:ascii="Times New Roman"/>
                <w:spacing w:val="-2"/>
                <w:sz w:val="24"/>
              </w:rPr>
              <w:t>0</w:t>
            </w:r>
          </w:p>
        </w:tc>
        <w:tc>
          <w:tcPr>
            <w:tcW w:w="877" w:type="dxa"/>
          </w:tcPr>
          <w:p w14:paraId="459D4D60">
            <w:pPr>
              <w:pStyle w:val="13"/>
              <w:spacing w:before="57"/>
              <w:ind w:left="66" w:right="59"/>
              <w:rPr>
                <w:rFonts w:ascii="Times New Roman"/>
                <w:sz w:val="24"/>
              </w:rPr>
            </w:pPr>
            <w:r>
              <w:rPr>
                <w:rFonts w:ascii="Times New Roman"/>
                <w:spacing w:val="-10"/>
                <w:sz w:val="24"/>
              </w:rPr>
              <w:t>5</w:t>
            </w:r>
          </w:p>
        </w:tc>
      </w:tr>
      <w:tr w14:paraId="31C706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145" w:type="dxa"/>
            <w:vMerge w:val="continue"/>
            <w:tcBorders>
              <w:top w:val="nil"/>
            </w:tcBorders>
          </w:tcPr>
          <w:p w14:paraId="2FFFE471">
            <w:pPr>
              <w:rPr>
                <w:b/>
                <w:bCs/>
                <w:sz w:val="2"/>
                <w:szCs w:val="2"/>
              </w:rPr>
            </w:pPr>
          </w:p>
        </w:tc>
        <w:tc>
          <w:tcPr>
            <w:tcW w:w="500" w:type="dxa"/>
          </w:tcPr>
          <w:p w14:paraId="56AA1A1A">
            <w:pPr>
              <w:pStyle w:val="13"/>
              <w:spacing w:before="59"/>
              <w:ind w:left="16" w:right="3"/>
              <w:rPr>
                <w:rFonts w:ascii="Times New Roman"/>
                <w:sz w:val="24"/>
              </w:rPr>
            </w:pPr>
            <w:r>
              <w:rPr>
                <w:rFonts w:ascii="Times New Roman"/>
                <w:spacing w:val="-5"/>
                <w:sz w:val="24"/>
              </w:rPr>
              <w:t>33</w:t>
            </w:r>
          </w:p>
        </w:tc>
        <w:tc>
          <w:tcPr>
            <w:tcW w:w="4616" w:type="dxa"/>
          </w:tcPr>
          <w:p w14:paraId="424E5D20">
            <w:pPr>
              <w:pStyle w:val="13"/>
              <w:spacing w:before="43"/>
              <w:ind w:left="21" w:right="14"/>
              <w:rPr>
                <w:sz w:val="24"/>
              </w:rPr>
            </w:pPr>
            <w:r>
              <w:rPr>
                <w:spacing w:val="-13"/>
                <w:sz w:val="24"/>
              </w:rPr>
              <w:t>第四年第</w:t>
            </w:r>
            <w:r>
              <w:rPr>
                <w:rFonts w:ascii="Times New Roman" w:eastAsia="Times New Roman"/>
                <w:sz w:val="24"/>
              </w:rPr>
              <w:t>1</w:t>
            </w:r>
            <w:r>
              <w:rPr>
                <w:spacing w:val="-4"/>
                <w:sz w:val="24"/>
              </w:rPr>
              <w:t>次选单</w:t>
            </w:r>
          </w:p>
        </w:tc>
        <w:tc>
          <w:tcPr>
            <w:tcW w:w="1607" w:type="dxa"/>
          </w:tcPr>
          <w:p w14:paraId="67CA3C71">
            <w:pPr>
              <w:pStyle w:val="13"/>
              <w:spacing w:line="275" w:lineRule="exact"/>
              <w:rPr>
                <w:rFonts w:ascii="Times New Roman"/>
                <w:sz w:val="24"/>
              </w:rPr>
            </w:pPr>
            <w:r>
              <w:rPr>
                <w:rFonts w:ascii="Times New Roman"/>
                <w:sz w:val="24"/>
              </w:rPr>
              <w:t>15:</w:t>
            </w:r>
            <w:r>
              <w:rPr>
                <w:rFonts w:hint="eastAsia" w:ascii="Times New Roman"/>
                <w:sz w:val="24"/>
                <w:lang w:val="en-US" w:eastAsia="zh-CN"/>
              </w:rPr>
              <w:t>1</w:t>
            </w:r>
            <w:r>
              <w:rPr>
                <w:rFonts w:ascii="Times New Roman"/>
                <w:sz w:val="24"/>
              </w:rPr>
              <w:t>0-</w:t>
            </w:r>
            <w:r>
              <w:rPr>
                <w:rFonts w:ascii="Times New Roman"/>
                <w:spacing w:val="-2"/>
                <w:sz w:val="24"/>
              </w:rPr>
              <w:t>15:</w:t>
            </w:r>
            <w:r>
              <w:rPr>
                <w:rFonts w:hint="eastAsia" w:ascii="Times New Roman"/>
                <w:spacing w:val="-2"/>
                <w:sz w:val="24"/>
                <w:lang w:val="en-US" w:eastAsia="zh-CN"/>
              </w:rPr>
              <w:t>2</w:t>
            </w:r>
            <w:r>
              <w:rPr>
                <w:rFonts w:ascii="Times New Roman"/>
                <w:spacing w:val="-2"/>
                <w:sz w:val="24"/>
              </w:rPr>
              <w:t>0</w:t>
            </w:r>
          </w:p>
        </w:tc>
        <w:tc>
          <w:tcPr>
            <w:tcW w:w="877" w:type="dxa"/>
          </w:tcPr>
          <w:p w14:paraId="6DEB5DF7">
            <w:pPr>
              <w:pStyle w:val="13"/>
              <w:spacing w:before="59"/>
              <w:ind w:left="69" w:right="59"/>
              <w:rPr>
                <w:rFonts w:ascii="Times New Roman"/>
                <w:sz w:val="24"/>
              </w:rPr>
            </w:pPr>
            <w:r>
              <w:rPr>
                <w:rFonts w:ascii="Times New Roman"/>
                <w:spacing w:val="-5"/>
                <w:sz w:val="24"/>
              </w:rPr>
              <w:t>10</w:t>
            </w:r>
          </w:p>
        </w:tc>
      </w:tr>
      <w:tr w14:paraId="78CC5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145" w:type="dxa"/>
            <w:vMerge w:val="continue"/>
            <w:tcBorders>
              <w:top w:val="nil"/>
            </w:tcBorders>
          </w:tcPr>
          <w:p w14:paraId="1D9CAA7B">
            <w:pPr>
              <w:rPr>
                <w:b/>
                <w:bCs/>
                <w:sz w:val="2"/>
                <w:szCs w:val="2"/>
              </w:rPr>
            </w:pPr>
          </w:p>
        </w:tc>
        <w:tc>
          <w:tcPr>
            <w:tcW w:w="500" w:type="dxa"/>
          </w:tcPr>
          <w:p w14:paraId="4F3270AF">
            <w:pPr>
              <w:pStyle w:val="13"/>
              <w:spacing w:before="58"/>
              <w:ind w:left="16"/>
              <w:rPr>
                <w:rFonts w:ascii="Times New Roman"/>
                <w:sz w:val="24"/>
              </w:rPr>
            </w:pPr>
            <w:r>
              <w:rPr>
                <w:rFonts w:ascii="Times New Roman"/>
                <w:spacing w:val="-5"/>
                <w:sz w:val="24"/>
              </w:rPr>
              <w:t>34</w:t>
            </w:r>
          </w:p>
        </w:tc>
        <w:tc>
          <w:tcPr>
            <w:tcW w:w="4616" w:type="dxa"/>
          </w:tcPr>
          <w:p w14:paraId="600069E1">
            <w:pPr>
              <w:pStyle w:val="13"/>
              <w:spacing w:before="42"/>
              <w:ind w:left="19" w:right="14"/>
              <w:rPr>
                <w:sz w:val="24"/>
              </w:rPr>
            </w:pPr>
            <w:r>
              <w:rPr>
                <w:spacing w:val="-18"/>
                <w:sz w:val="24"/>
              </w:rPr>
              <w:t>第四年</w:t>
            </w:r>
            <w:r>
              <w:rPr>
                <w:rFonts w:ascii="Times New Roman" w:eastAsia="Times New Roman"/>
                <w:spacing w:val="-2"/>
                <w:sz w:val="24"/>
              </w:rPr>
              <w:t>1</w:t>
            </w:r>
            <w:r>
              <w:rPr>
                <w:spacing w:val="-4"/>
                <w:sz w:val="24"/>
              </w:rPr>
              <w:t>季度经营</w:t>
            </w:r>
          </w:p>
        </w:tc>
        <w:tc>
          <w:tcPr>
            <w:tcW w:w="1607" w:type="dxa"/>
          </w:tcPr>
          <w:p w14:paraId="2B5A1F22">
            <w:pPr>
              <w:pStyle w:val="13"/>
              <w:rPr>
                <w:rFonts w:hint="default" w:ascii="Times New Roman" w:eastAsia="宋体"/>
                <w:sz w:val="24"/>
                <w:lang w:val="en-US" w:eastAsia="zh-CN"/>
              </w:rPr>
            </w:pPr>
            <w:r>
              <w:rPr>
                <w:rFonts w:ascii="Times New Roman"/>
                <w:sz w:val="24"/>
              </w:rPr>
              <w:t>15:</w:t>
            </w:r>
            <w:r>
              <w:rPr>
                <w:rFonts w:hint="eastAsia" w:ascii="Times New Roman"/>
                <w:sz w:val="24"/>
                <w:lang w:val="en-US" w:eastAsia="zh-CN"/>
              </w:rPr>
              <w:t>2</w:t>
            </w:r>
            <w:r>
              <w:rPr>
                <w:rFonts w:ascii="Times New Roman"/>
                <w:sz w:val="24"/>
              </w:rPr>
              <w:t>0-</w:t>
            </w:r>
            <w:r>
              <w:rPr>
                <w:rFonts w:ascii="Times New Roman"/>
                <w:spacing w:val="-2"/>
                <w:sz w:val="24"/>
              </w:rPr>
              <w:t>1</w:t>
            </w:r>
            <w:r>
              <w:rPr>
                <w:rFonts w:hint="eastAsia" w:ascii="Times New Roman"/>
                <w:spacing w:val="-2"/>
                <w:sz w:val="24"/>
                <w:lang w:val="en-US" w:eastAsia="zh-CN"/>
              </w:rPr>
              <w:t>5</w:t>
            </w:r>
            <w:r>
              <w:rPr>
                <w:rFonts w:ascii="Times New Roman"/>
                <w:spacing w:val="-2"/>
                <w:sz w:val="24"/>
              </w:rPr>
              <w:t>:</w:t>
            </w:r>
            <w:r>
              <w:rPr>
                <w:rFonts w:hint="eastAsia" w:ascii="Times New Roman"/>
                <w:spacing w:val="-2"/>
                <w:sz w:val="24"/>
                <w:lang w:val="en-US" w:eastAsia="zh-CN"/>
              </w:rPr>
              <w:t>35</w:t>
            </w:r>
          </w:p>
        </w:tc>
        <w:tc>
          <w:tcPr>
            <w:tcW w:w="877" w:type="dxa"/>
          </w:tcPr>
          <w:p w14:paraId="2DA761E0">
            <w:pPr>
              <w:pStyle w:val="13"/>
              <w:spacing w:before="58"/>
              <w:ind w:left="69" w:right="59"/>
              <w:rPr>
                <w:rFonts w:hint="eastAsia" w:ascii="Times New Roman" w:eastAsia="宋体"/>
                <w:sz w:val="24"/>
                <w:lang w:eastAsia="zh-CN"/>
              </w:rPr>
            </w:pPr>
            <w:r>
              <w:rPr>
                <w:rFonts w:hint="eastAsia" w:ascii="Times New Roman"/>
                <w:spacing w:val="-5"/>
                <w:sz w:val="24"/>
              </w:rPr>
              <w:t>1</w:t>
            </w:r>
            <w:r>
              <w:rPr>
                <w:rFonts w:hint="eastAsia" w:ascii="Times New Roman"/>
                <w:spacing w:val="-5"/>
                <w:sz w:val="24"/>
                <w:lang w:val="en-US" w:eastAsia="zh-CN"/>
              </w:rPr>
              <w:t>5</w:t>
            </w:r>
          </w:p>
        </w:tc>
      </w:tr>
      <w:tr w14:paraId="4C8FB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1145" w:type="dxa"/>
            <w:vMerge w:val="continue"/>
            <w:tcBorders>
              <w:top w:val="nil"/>
            </w:tcBorders>
          </w:tcPr>
          <w:p w14:paraId="05C170F1">
            <w:pPr>
              <w:rPr>
                <w:b/>
                <w:bCs/>
                <w:sz w:val="2"/>
                <w:szCs w:val="2"/>
              </w:rPr>
            </w:pPr>
          </w:p>
        </w:tc>
        <w:tc>
          <w:tcPr>
            <w:tcW w:w="500" w:type="dxa"/>
          </w:tcPr>
          <w:p w14:paraId="4C99E54E">
            <w:pPr>
              <w:pStyle w:val="13"/>
              <w:spacing w:before="74"/>
              <w:ind w:left="16"/>
              <w:rPr>
                <w:rFonts w:ascii="Times New Roman"/>
                <w:sz w:val="24"/>
              </w:rPr>
            </w:pPr>
            <w:r>
              <w:rPr>
                <w:rFonts w:ascii="Times New Roman"/>
                <w:spacing w:val="-5"/>
                <w:sz w:val="24"/>
              </w:rPr>
              <w:t>35</w:t>
            </w:r>
          </w:p>
        </w:tc>
        <w:tc>
          <w:tcPr>
            <w:tcW w:w="4616" w:type="dxa"/>
          </w:tcPr>
          <w:p w14:paraId="11A851E7">
            <w:pPr>
              <w:pStyle w:val="13"/>
              <w:spacing w:before="58"/>
              <w:ind w:left="21" w:right="14"/>
              <w:rPr>
                <w:sz w:val="24"/>
              </w:rPr>
            </w:pPr>
            <w:r>
              <w:rPr>
                <w:spacing w:val="-18"/>
                <w:sz w:val="24"/>
              </w:rPr>
              <w:t>第四年</w:t>
            </w:r>
            <w:r>
              <w:rPr>
                <w:rFonts w:ascii="Times New Roman" w:eastAsia="Times New Roman"/>
                <w:spacing w:val="-2"/>
                <w:sz w:val="24"/>
              </w:rPr>
              <w:t>2</w:t>
            </w:r>
            <w:r>
              <w:rPr>
                <w:spacing w:val="-4"/>
                <w:sz w:val="24"/>
              </w:rPr>
              <w:t>季度投放广告</w:t>
            </w:r>
          </w:p>
        </w:tc>
        <w:tc>
          <w:tcPr>
            <w:tcW w:w="1607" w:type="dxa"/>
          </w:tcPr>
          <w:p w14:paraId="04A161B3">
            <w:pPr>
              <w:pStyle w:val="13"/>
              <w:spacing w:line="275" w:lineRule="exact"/>
              <w:rPr>
                <w:rFonts w:hint="default" w:ascii="Times New Roman" w:eastAsia="宋体"/>
                <w:sz w:val="24"/>
                <w:lang w:val="en-US" w:eastAsia="zh-CN"/>
              </w:rPr>
            </w:pPr>
            <w:r>
              <w:rPr>
                <w:rFonts w:ascii="Times New Roman"/>
                <w:sz w:val="24"/>
              </w:rPr>
              <w:t>1</w:t>
            </w:r>
            <w:r>
              <w:rPr>
                <w:rFonts w:hint="eastAsia" w:ascii="Times New Roman"/>
                <w:sz w:val="24"/>
                <w:lang w:val="en-US" w:eastAsia="zh-CN"/>
              </w:rPr>
              <w:t>5</w:t>
            </w:r>
            <w:r>
              <w:rPr>
                <w:rFonts w:ascii="Times New Roman"/>
                <w:sz w:val="24"/>
              </w:rPr>
              <w:t>:</w:t>
            </w:r>
            <w:r>
              <w:rPr>
                <w:rFonts w:hint="eastAsia" w:ascii="Times New Roman"/>
                <w:sz w:val="24"/>
                <w:lang w:val="en-US" w:eastAsia="zh-CN"/>
              </w:rPr>
              <w:t>35</w:t>
            </w:r>
            <w:r>
              <w:rPr>
                <w:rFonts w:ascii="Times New Roman"/>
                <w:sz w:val="24"/>
              </w:rPr>
              <w:t>-</w:t>
            </w:r>
            <w:r>
              <w:rPr>
                <w:rFonts w:ascii="Times New Roman"/>
                <w:spacing w:val="-2"/>
                <w:sz w:val="24"/>
              </w:rPr>
              <w:t>1</w:t>
            </w:r>
            <w:r>
              <w:rPr>
                <w:rFonts w:hint="eastAsia" w:ascii="Times New Roman"/>
                <w:spacing w:val="-2"/>
                <w:sz w:val="24"/>
                <w:lang w:val="en-US" w:eastAsia="zh-CN"/>
              </w:rPr>
              <w:t>5</w:t>
            </w:r>
            <w:r>
              <w:rPr>
                <w:rFonts w:ascii="Times New Roman"/>
                <w:spacing w:val="-2"/>
                <w:sz w:val="24"/>
              </w:rPr>
              <w:t>:</w:t>
            </w:r>
            <w:r>
              <w:rPr>
                <w:rFonts w:hint="eastAsia" w:ascii="Times New Roman"/>
                <w:spacing w:val="-2"/>
                <w:sz w:val="24"/>
                <w:lang w:val="en-US" w:eastAsia="zh-CN"/>
              </w:rPr>
              <w:t>40</w:t>
            </w:r>
          </w:p>
        </w:tc>
        <w:tc>
          <w:tcPr>
            <w:tcW w:w="877" w:type="dxa"/>
          </w:tcPr>
          <w:p w14:paraId="2E3E294C">
            <w:pPr>
              <w:pStyle w:val="13"/>
              <w:spacing w:before="74"/>
              <w:ind w:left="66" w:right="59"/>
              <w:rPr>
                <w:rFonts w:ascii="Times New Roman"/>
                <w:sz w:val="24"/>
              </w:rPr>
            </w:pPr>
            <w:r>
              <w:rPr>
                <w:rFonts w:ascii="Times New Roman"/>
                <w:spacing w:val="-10"/>
                <w:sz w:val="24"/>
              </w:rPr>
              <w:t>5</w:t>
            </w:r>
          </w:p>
        </w:tc>
      </w:tr>
      <w:tr w14:paraId="29A033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145" w:type="dxa"/>
            <w:vMerge w:val="continue"/>
            <w:tcBorders>
              <w:top w:val="nil"/>
            </w:tcBorders>
          </w:tcPr>
          <w:p w14:paraId="7C81E768">
            <w:pPr>
              <w:rPr>
                <w:b/>
                <w:bCs/>
                <w:sz w:val="2"/>
                <w:szCs w:val="2"/>
              </w:rPr>
            </w:pPr>
          </w:p>
        </w:tc>
        <w:tc>
          <w:tcPr>
            <w:tcW w:w="500" w:type="dxa"/>
          </w:tcPr>
          <w:p w14:paraId="6E8A51F7">
            <w:pPr>
              <w:pStyle w:val="13"/>
              <w:spacing w:before="57"/>
              <w:ind w:left="16"/>
              <w:rPr>
                <w:rFonts w:ascii="Times New Roman"/>
                <w:sz w:val="24"/>
              </w:rPr>
            </w:pPr>
            <w:r>
              <w:rPr>
                <w:rFonts w:ascii="Times New Roman"/>
                <w:spacing w:val="-5"/>
                <w:sz w:val="24"/>
              </w:rPr>
              <w:t>36</w:t>
            </w:r>
          </w:p>
        </w:tc>
        <w:tc>
          <w:tcPr>
            <w:tcW w:w="4616" w:type="dxa"/>
          </w:tcPr>
          <w:p w14:paraId="22091E5C">
            <w:pPr>
              <w:pStyle w:val="13"/>
              <w:spacing w:before="41"/>
              <w:ind w:left="21" w:right="14"/>
              <w:rPr>
                <w:sz w:val="24"/>
              </w:rPr>
            </w:pPr>
            <w:r>
              <w:rPr>
                <w:spacing w:val="-13"/>
                <w:sz w:val="24"/>
              </w:rPr>
              <w:t>第四年第</w:t>
            </w:r>
            <w:r>
              <w:rPr>
                <w:rFonts w:ascii="Times New Roman" w:eastAsia="Times New Roman"/>
                <w:sz w:val="24"/>
              </w:rPr>
              <w:t>2</w:t>
            </w:r>
            <w:r>
              <w:rPr>
                <w:spacing w:val="-4"/>
                <w:sz w:val="24"/>
              </w:rPr>
              <w:t>次选单</w:t>
            </w:r>
          </w:p>
        </w:tc>
        <w:tc>
          <w:tcPr>
            <w:tcW w:w="1607" w:type="dxa"/>
          </w:tcPr>
          <w:p w14:paraId="12907EBE">
            <w:pPr>
              <w:pStyle w:val="13"/>
              <w:spacing w:line="276" w:lineRule="exact"/>
              <w:rPr>
                <w:rFonts w:hint="default" w:ascii="Times New Roman" w:eastAsia="宋体"/>
                <w:sz w:val="24"/>
                <w:lang w:val="en-US" w:eastAsia="zh-CN"/>
              </w:rPr>
            </w:pPr>
            <w:r>
              <w:rPr>
                <w:rFonts w:ascii="Times New Roman"/>
                <w:sz w:val="24"/>
              </w:rPr>
              <w:t>1</w:t>
            </w:r>
            <w:r>
              <w:rPr>
                <w:rFonts w:hint="eastAsia" w:ascii="Times New Roman"/>
                <w:sz w:val="24"/>
                <w:lang w:val="en-US" w:eastAsia="zh-CN"/>
              </w:rPr>
              <w:t>5</w:t>
            </w:r>
            <w:r>
              <w:rPr>
                <w:rFonts w:ascii="Times New Roman"/>
                <w:sz w:val="24"/>
              </w:rPr>
              <w:t>:</w:t>
            </w:r>
            <w:r>
              <w:rPr>
                <w:rFonts w:hint="eastAsia" w:ascii="Times New Roman"/>
                <w:sz w:val="24"/>
                <w:lang w:val="en-US" w:eastAsia="zh-CN"/>
              </w:rPr>
              <w:t>40</w:t>
            </w:r>
            <w:r>
              <w:rPr>
                <w:rFonts w:ascii="Times New Roman"/>
                <w:sz w:val="24"/>
              </w:rPr>
              <w:t>-</w:t>
            </w:r>
            <w:r>
              <w:rPr>
                <w:rFonts w:ascii="Times New Roman"/>
                <w:spacing w:val="-2"/>
                <w:sz w:val="24"/>
              </w:rPr>
              <w:t>1</w:t>
            </w:r>
            <w:r>
              <w:rPr>
                <w:rFonts w:hint="eastAsia" w:ascii="Times New Roman"/>
                <w:spacing w:val="-2"/>
                <w:sz w:val="24"/>
                <w:lang w:val="en-US" w:eastAsia="zh-CN"/>
              </w:rPr>
              <w:t>5</w:t>
            </w:r>
            <w:r>
              <w:rPr>
                <w:rFonts w:ascii="Times New Roman"/>
                <w:spacing w:val="-2"/>
                <w:sz w:val="24"/>
              </w:rPr>
              <w:t>:</w:t>
            </w:r>
            <w:r>
              <w:rPr>
                <w:rFonts w:hint="eastAsia" w:ascii="Times New Roman"/>
                <w:spacing w:val="-2"/>
                <w:sz w:val="24"/>
                <w:lang w:val="en-US" w:eastAsia="zh-CN"/>
              </w:rPr>
              <w:t>45</w:t>
            </w:r>
          </w:p>
        </w:tc>
        <w:tc>
          <w:tcPr>
            <w:tcW w:w="877" w:type="dxa"/>
          </w:tcPr>
          <w:p w14:paraId="275B47CA">
            <w:pPr>
              <w:pStyle w:val="13"/>
              <w:spacing w:before="57"/>
              <w:ind w:left="66" w:right="59"/>
              <w:rPr>
                <w:rFonts w:ascii="Times New Roman"/>
                <w:sz w:val="24"/>
              </w:rPr>
            </w:pPr>
            <w:r>
              <w:rPr>
                <w:rFonts w:ascii="Times New Roman"/>
                <w:spacing w:val="-10"/>
                <w:sz w:val="24"/>
              </w:rPr>
              <w:t>5</w:t>
            </w:r>
          </w:p>
        </w:tc>
      </w:tr>
      <w:tr w14:paraId="2EABAD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145" w:type="dxa"/>
            <w:vMerge w:val="continue"/>
            <w:tcBorders>
              <w:top w:val="nil"/>
            </w:tcBorders>
          </w:tcPr>
          <w:p w14:paraId="40A68FC8">
            <w:pPr>
              <w:rPr>
                <w:b/>
                <w:bCs/>
                <w:sz w:val="2"/>
                <w:szCs w:val="2"/>
              </w:rPr>
            </w:pPr>
          </w:p>
        </w:tc>
        <w:tc>
          <w:tcPr>
            <w:tcW w:w="500" w:type="dxa"/>
          </w:tcPr>
          <w:p w14:paraId="317B4789">
            <w:pPr>
              <w:pStyle w:val="13"/>
              <w:spacing w:before="58"/>
              <w:ind w:left="16"/>
              <w:rPr>
                <w:rFonts w:ascii="Times New Roman"/>
                <w:sz w:val="24"/>
              </w:rPr>
            </w:pPr>
            <w:r>
              <w:rPr>
                <w:rFonts w:ascii="Times New Roman"/>
                <w:spacing w:val="-5"/>
                <w:sz w:val="24"/>
              </w:rPr>
              <w:t>37</w:t>
            </w:r>
          </w:p>
        </w:tc>
        <w:tc>
          <w:tcPr>
            <w:tcW w:w="4616" w:type="dxa"/>
          </w:tcPr>
          <w:p w14:paraId="0293F3A8">
            <w:pPr>
              <w:pStyle w:val="13"/>
              <w:spacing w:before="42"/>
              <w:ind w:left="19" w:right="14"/>
              <w:rPr>
                <w:sz w:val="24"/>
              </w:rPr>
            </w:pPr>
            <w:r>
              <w:rPr>
                <w:spacing w:val="-18"/>
                <w:sz w:val="24"/>
              </w:rPr>
              <w:t>第四年</w:t>
            </w:r>
            <w:r>
              <w:rPr>
                <w:rFonts w:ascii="Times New Roman" w:eastAsia="Times New Roman"/>
                <w:spacing w:val="-2"/>
                <w:sz w:val="24"/>
              </w:rPr>
              <w:t>2</w:t>
            </w:r>
            <w:r>
              <w:rPr>
                <w:spacing w:val="-4"/>
                <w:sz w:val="24"/>
              </w:rPr>
              <w:t>季度经营</w:t>
            </w:r>
          </w:p>
        </w:tc>
        <w:tc>
          <w:tcPr>
            <w:tcW w:w="1607" w:type="dxa"/>
          </w:tcPr>
          <w:p w14:paraId="70BC041E">
            <w:pPr>
              <w:pStyle w:val="13"/>
              <w:spacing w:before="1"/>
              <w:rPr>
                <w:rFonts w:hint="default" w:ascii="Times New Roman" w:eastAsia="宋体"/>
                <w:sz w:val="24"/>
                <w:lang w:val="en-US" w:eastAsia="zh-CN"/>
              </w:rPr>
            </w:pPr>
            <w:r>
              <w:rPr>
                <w:rFonts w:ascii="Times New Roman"/>
                <w:sz w:val="24"/>
              </w:rPr>
              <w:t>1</w:t>
            </w:r>
            <w:r>
              <w:rPr>
                <w:rFonts w:hint="eastAsia" w:ascii="Times New Roman"/>
                <w:sz w:val="24"/>
                <w:lang w:val="en-US" w:eastAsia="zh-CN"/>
              </w:rPr>
              <w:t>5</w:t>
            </w:r>
            <w:r>
              <w:rPr>
                <w:rFonts w:ascii="Times New Roman"/>
                <w:sz w:val="24"/>
              </w:rPr>
              <w:t>:</w:t>
            </w:r>
            <w:r>
              <w:rPr>
                <w:rFonts w:hint="eastAsia" w:ascii="Times New Roman"/>
                <w:sz w:val="24"/>
                <w:lang w:val="en-US" w:eastAsia="zh-CN"/>
              </w:rPr>
              <w:t>45</w:t>
            </w:r>
            <w:r>
              <w:rPr>
                <w:rFonts w:ascii="Times New Roman"/>
                <w:sz w:val="24"/>
              </w:rPr>
              <w:t>-</w:t>
            </w:r>
            <w:r>
              <w:rPr>
                <w:rFonts w:ascii="Times New Roman"/>
                <w:spacing w:val="-2"/>
                <w:sz w:val="24"/>
              </w:rPr>
              <w:t>1</w:t>
            </w:r>
            <w:r>
              <w:rPr>
                <w:rFonts w:hint="eastAsia" w:ascii="Times New Roman"/>
                <w:spacing w:val="-2"/>
                <w:sz w:val="24"/>
                <w:lang w:val="en-US" w:eastAsia="zh-CN"/>
              </w:rPr>
              <w:t>6</w:t>
            </w:r>
            <w:r>
              <w:rPr>
                <w:rFonts w:ascii="Times New Roman"/>
                <w:spacing w:val="-2"/>
                <w:sz w:val="24"/>
              </w:rPr>
              <w:t>:</w:t>
            </w:r>
            <w:r>
              <w:rPr>
                <w:rFonts w:hint="eastAsia" w:ascii="Times New Roman"/>
                <w:spacing w:val="-2"/>
                <w:sz w:val="24"/>
                <w:lang w:val="en-US" w:eastAsia="zh-CN"/>
              </w:rPr>
              <w:t>00</w:t>
            </w:r>
          </w:p>
        </w:tc>
        <w:tc>
          <w:tcPr>
            <w:tcW w:w="877" w:type="dxa"/>
          </w:tcPr>
          <w:p w14:paraId="5C6C069D">
            <w:pPr>
              <w:pStyle w:val="13"/>
              <w:spacing w:before="58"/>
              <w:ind w:left="66" w:right="59"/>
              <w:rPr>
                <w:rFonts w:ascii="Times New Roman"/>
                <w:sz w:val="24"/>
              </w:rPr>
            </w:pPr>
            <w:r>
              <w:rPr>
                <w:rFonts w:ascii="Times New Roman"/>
                <w:spacing w:val="-5"/>
                <w:sz w:val="24"/>
              </w:rPr>
              <w:t>1</w:t>
            </w:r>
            <w:r>
              <w:rPr>
                <w:rFonts w:hint="eastAsia" w:ascii="Times New Roman"/>
                <w:spacing w:val="-5"/>
                <w:sz w:val="24"/>
              </w:rPr>
              <w:t>5</w:t>
            </w:r>
          </w:p>
        </w:tc>
      </w:tr>
      <w:tr w14:paraId="61E8DC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145" w:type="dxa"/>
            <w:vMerge w:val="continue"/>
            <w:tcBorders>
              <w:top w:val="nil"/>
            </w:tcBorders>
          </w:tcPr>
          <w:p w14:paraId="5DF4BE25">
            <w:pPr>
              <w:rPr>
                <w:b/>
                <w:bCs/>
                <w:sz w:val="2"/>
                <w:szCs w:val="2"/>
              </w:rPr>
            </w:pPr>
          </w:p>
        </w:tc>
        <w:tc>
          <w:tcPr>
            <w:tcW w:w="500" w:type="dxa"/>
          </w:tcPr>
          <w:p w14:paraId="6C5C7AF9">
            <w:pPr>
              <w:pStyle w:val="13"/>
              <w:spacing w:before="57"/>
              <w:ind w:left="16"/>
              <w:rPr>
                <w:rFonts w:ascii="Times New Roman"/>
                <w:sz w:val="24"/>
              </w:rPr>
            </w:pPr>
            <w:r>
              <w:rPr>
                <w:rFonts w:ascii="Times New Roman"/>
                <w:spacing w:val="-5"/>
                <w:sz w:val="24"/>
              </w:rPr>
              <w:t>38</w:t>
            </w:r>
          </w:p>
        </w:tc>
        <w:tc>
          <w:tcPr>
            <w:tcW w:w="4616" w:type="dxa"/>
          </w:tcPr>
          <w:p w14:paraId="2C8BFD32">
            <w:pPr>
              <w:pStyle w:val="13"/>
              <w:spacing w:before="41"/>
              <w:ind w:left="19" w:right="14"/>
              <w:rPr>
                <w:sz w:val="24"/>
              </w:rPr>
            </w:pPr>
            <w:r>
              <w:rPr>
                <w:spacing w:val="-18"/>
                <w:sz w:val="24"/>
              </w:rPr>
              <w:t>第四年</w:t>
            </w:r>
            <w:r>
              <w:rPr>
                <w:rFonts w:ascii="Times New Roman" w:eastAsia="Times New Roman"/>
                <w:spacing w:val="-2"/>
                <w:sz w:val="24"/>
              </w:rPr>
              <w:t>3</w:t>
            </w:r>
            <w:r>
              <w:rPr>
                <w:spacing w:val="-4"/>
                <w:sz w:val="24"/>
              </w:rPr>
              <w:t>季度经营</w:t>
            </w:r>
          </w:p>
        </w:tc>
        <w:tc>
          <w:tcPr>
            <w:tcW w:w="1607" w:type="dxa"/>
          </w:tcPr>
          <w:p w14:paraId="5257882D">
            <w:pPr>
              <w:pStyle w:val="13"/>
              <w:rPr>
                <w:rFonts w:ascii="Times New Roman"/>
                <w:sz w:val="24"/>
              </w:rPr>
            </w:pPr>
            <w:r>
              <w:rPr>
                <w:rFonts w:ascii="Times New Roman"/>
                <w:sz w:val="24"/>
              </w:rPr>
              <w:t>16:</w:t>
            </w:r>
            <w:r>
              <w:rPr>
                <w:rFonts w:hint="eastAsia" w:ascii="Times New Roman"/>
                <w:sz w:val="24"/>
                <w:lang w:val="en-US" w:eastAsia="zh-CN"/>
              </w:rPr>
              <w:t>00</w:t>
            </w:r>
            <w:r>
              <w:rPr>
                <w:rFonts w:ascii="Times New Roman"/>
                <w:sz w:val="24"/>
              </w:rPr>
              <w:t>-</w:t>
            </w:r>
            <w:r>
              <w:rPr>
                <w:rFonts w:ascii="Times New Roman"/>
                <w:spacing w:val="-2"/>
                <w:sz w:val="24"/>
              </w:rPr>
              <w:t>16:</w:t>
            </w:r>
            <w:r>
              <w:rPr>
                <w:rFonts w:hint="eastAsia" w:ascii="Times New Roman"/>
                <w:spacing w:val="-2"/>
                <w:sz w:val="24"/>
                <w:lang w:val="en-US" w:eastAsia="zh-CN"/>
              </w:rPr>
              <w:t>1</w:t>
            </w:r>
            <w:r>
              <w:rPr>
                <w:rFonts w:ascii="Times New Roman"/>
                <w:spacing w:val="-2"/>
                <w:sz w:val="24"/>
              </w:rPr>
              <w:t>0</w:t>
            </w:r>
          </w:p>
        </w:tc>
        <w:tc>
          <w:tcPr>
            <w:tcW w:w="877" w:type="dxa"/>
          </w:tcPr>
          <w:p w14:paraId="70CFDB21">
            <w:pPr>
              <w:pStyle w:val="13"/>
              <w:spacing w:before="57"/>
              <w:ind w:left="66" w:right="59"/>
              <w:rPr>
                <w:rFonts w:ascii="Times New Roman"/>
                <w:sz w:val="24"/>
              </w:rPr>
            </w:pPr>
            <w:r>
              <w:rPr>
                <w:rFonts w:ascii="Times New Roman"/>
                <w:spacing w:val="-5"/>
                <w:sz w:val="24"/>
              </w:rPr>
              <w:t>1</w:t>
            </w:r>
            <w:r>
              <w:rPr>
                <w:rFonts w:hint="eastAsia" w:ascii="Times New Roman"/>
                <w:spacing w:val="-5"/>
                <w:sz w:val="24"/>
              </w:rPr>
              <w:t>0</w:t>
            </w:r>
          </w:p>
        </w:tc>
      </w:tr>
      <w:tr w14:paraId="48923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145" w:type="dxa"/>
            <w:vMerge w:val="continue"/>
            <w:tcBorders>
              <w:top w:val="nil"/>
            </w:tcBorders>
          </w:tcPr>
          <w:p w14:paraId="3A513020">
            <w:pPr>
              <w:rPr>
                <w:b/>
                <w:bCs/>
                <w:sz w:val="2"/>
                <w:szCs w:val="2"/>
              </w:rPr>
            </w:pPr>
          </w:p>
        </w:tc>
        <w:tc>
          <w:tcPr>
            <w:tcW w:w="500" w:type="dxa"/>
          </w:tcPr>
          <w:p w14:paraId="7D84B84E">
            <w:pPr>
              <w:pStyle w:val="13"/>
              <w:spacing w:before="59"/>
              <w:ind w:left="16"/>
              <w:rPr>
                <w:rFonts w:ascii="Times New Roman"/>
                <w:sz w:val="24"/>
              </w:rPr>
            </w:pPr>
            <w:r>
              <w:rPr>
                <w:rFonts w:ascii="Times New Roman"/>
                <w:spacing w:val="-5"/>
                <w:sz w:val="24"/>
              </w:rPr>
              <w:t>39</w:t>
            </w:r>
          </w:p>
        </w:tc>
        <w:tc>
          <w:tcPr>
            <w:tcW w:w="4616" w:type="dxa"/>
          </w:tcPr>
          <w:p w14:paraId="53E928AE">
            <w:pPr>
              <w:pStyle w:val="13"/>
              <w:spacing w:before="43"/>
              <w:ind w:left="19" w:right="14"/>
              <w:rPr>
                <w:sz w:val="24"/>
              </w:rPr>
            </w:pPr>
            <w:r>
              <w:rPr>
                <w:spacing w:val="-18"/>
                <w:sz w:val="24"/>
              </w:rPr>
              <w:t>第四年</w:t>
            </w:r>
            <w:r>
              <w:rPr>
                <w:rFonts w:ascii="Times New Roman" w:eastAsia="Times New Roman"/>
                <w:spacing w:val="-2"/>
                <w:sz w:val="24"/>
              </w:rPr>
              <w:t>4</w:t>
            </w:r>
            <w:r>
              <w:rPr>
                <w:spacing w:val="-4"/>
                <w:sz w:val="24"/>
              </w:rPr>
              <w:t>季度经营</w:t>
            </w:r>
          </w:p>
        </w:tc>
        <w:tc>
          <w:tcPr>
            <w:tcW w:w="1607" w:type="dxa"/>
          </w:tcPr>
          <w:p w14:paraId="1C949ECA">
            <w:pPr>
              <w:pStyle w:val="13"/>
              <w:spacing w:line="275" w:lineRule="exact"/>
              <w:rPr>
                <w:rFonts w:hint="default" w:ascii="Times New Roman" w:eastAsia="宋体"/>
                <w:sz w:val="24"/>
                <w:lang w:val="en-US" w:eastAsia="zh-CN"/>
              </w:rPr>
            </w:pPr>
            <w:r>
              <w:rPr>
                <w:rFonts w:ascii="Times New Roman"/>
                <w:sz w:val="24"/>
              </w:rPr>
              <w:t>16:</w:t>
            </w:r>
            <w:r>
              <w:rPr>
                <w:rFonts w:hint="eastAsia" w:ascii="Times New Roman"/>
                <w:sz w:val="24"/>
                <w:lang w:val="en-US" w:eastAsia="zh-CN"/>
              </w:rPr>
              <w:t>1</w:t>
            </w:r>
            <w:r>
              <w:rPr>
                <w:rFonts w:ascii="Times New Roman"/>
                <w:sz w:val="24"/>
              </w:rPr>
              <w:t>0-</w:t>
            </w:r>
            <w:r>
              <w:rPr>
                <w:rFonts w:ascii="Times New Roman"/>
                <w:spacing w:val="-2"/>
                <w:sz w:val="24"/>
              </w:rPr>
              <w:t>16:</w:t>
            </w:r>
            <w:r>
              <w:rPr>
                <w:rFonts w:hint="eastAsia" w:ascii="Times New Roman"/>
                <w:spacing w:val="-2"/>
                <w:sz w:val="24"/>
                <w:lang w:val="en-US" w:eastAsia="zh-CN"/>
              </w:rPr>
              <w:t>20</w:t>
            </w:r>
          </w:p>
        </w:tc>
        <w:tc>
          <w:tcPr>
            <w:tcW w:w="877" w:type="dxa"/>
          </w:tcPr>
          <w:p w14:paraId="34DC9774">
            <w:pPr>
              <w:pStyle w:val="13"/>
              <w:spacing w:before="59"/>
              <w:ind w:left="66" w:right="59"/>
              <w:rPr>
                <w:rFonts w:ascii="Times New Roman"/>
                <w:sz w:val="24"/>
              </w:rPr>
            </w:pPr>
            <w:r>
              <w:rPr>
                <w:rFonts w:ascii="Times New Roman"/>
                <w:spacing w:val="-5"/>
                <w:sz w:val="24"/>
              </w:rPr>
              <w:t>1</w:t>
            </w:r>
            <w:r>
              <w:rPr>
                <w:rFonts w:hint="eastAsia" w:ascii="Times New Roman"/>
                <w:spacing w:val="-5"/>
                <w:sz w:val="24"/>
              </w:rPr>
              <w:t>0</w:t>
            </w:r>
          </w:p>
        </w:tc>
      </w:tr>
      <w:tr w14:paraId="6B68F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1145" w:type="dxa"/>
            <w:vMerge w:val="continue"/>
            <w:tcBorders>
              <w:top w:val="nil"/>
              <w:bottom w:val="nil"/>
            </w:tcBorders>
          </w:tcPr>
          <w:p w14:paraId="6A53EA80">
            <w:pPr>
              <w:rPr>
                <w:b/>
                <w:bCs/>
                <w:sz w:val="2"/>
                <w:szCs w:val="2"/>
              </w:rPr>
            </w:pPr>
          </w:p>
        </w:tc>
        <w:tc>
          <w:tcPr>
            <w:tcW w:w="500" w:type="dxa"/>
          </w:tcPr>
          <w:p w14:paraId="068344BF">
            <w:pPr>
              <w:pStyle w:val="13"/>
              <w:spacing w:before="60"/>
              <w:ind w:left="16" w:right="5"/>
              <w:rPr>
                <w:rFonts w:ascii="Times New Roman"/>
                <w:sz w:val="24"/>
              </w:rPr>
            </w:pPr>
            <w:r>
              <w:rPr>
                <w:rFonts w:ascii="Times New Roman"/>
                <w:spacing w:val="-5"/>
                <w:sz w:val="24"/>
              </w:rPr>
              <w:t>40</w:t>
            </w:r>
          </w:p>
        </w:tc>
        <w:tc>
          <w:tcPr>
            <w:tcW w:w="4616" w:type="dxa"/>
          </w:tcPr>
          <w:p w14:paraId="60DACB4B">
            <w:pPr>
              <w:pStyle w:val="13"/>
              <w:spacing w:before="41"/>
              <w:ind w:left="21" w:right="14"/>
              <w:rPr>
                <w:spacing w:val="-13"/>
                <w:sz w:val="24"/>
              </w:rPr>
            </w:pPr>
            <w:r>
              <w:rPr>
                <w:spacing w:val="-13"/>
                <w:sz w:val="24"/>
              </w:rPr>
              <w:t>第四年模拟经营结束、退场</w:t>
            </w:r>
          </w:p>
        </w:tc>
        <w:tc>
          <w:tcPr>
            <w:tcW w:w="1607" w:type="dxa"/>
          </w:tcPr>
          <w:p w14:paraId="1F558E21">
            <w:pPr>
              <w:pStyle w:val="13"/>
              <w:spacing w:before="60"/>
              <w:rPr>
                <w:rFonts w:hint="default" w:ascii="Times New Roman" w:eastAsia="宋体"/>
                <w:sz w:val="24"/>
                <w:lang w:val="en-US" w:eastAsia="zh-CN"/>
              </w:rPr>
            </w:pPr>
            <w:r>
              <w:rPr>
                <w:rFonts w:ascii="Times New Roman"/>
                <w:sz w:val="24"/>
              </w:rPr>
              <w:t>16:</w:t>
            </w:r>
            <w:r>
              <w:rPr>
                <w:rFonts w:hint="eastAsia" w:ascii="Times New Roman"/>
                <w:sz w:val="24"/>
                <w:lang w:val="en-US" w:eastAsia="zh-CN"/>
              </w:rPr>
              <w:t>20</w:t>
            </w:r>
            <w:r>
              <w:rPr>
                <w:rFonts w:ascii="Times New Roman"/>
                <w:sz w:val="24"/>
              </w:rPr>
              <w:t>-</w:t>
            </w:r>
            <w:r>
              <w:rPr>
                <w:rFonts w:ascii="Times New Roman"/>
                <w:spacing w:val="-2"/>
                <w:sz w:val="24"/>
              </w:rPr>
              <w:t>1</w:t>
            </w:r>
            <w:r>
              <w:rPr>
                <w:rFonts w:hint="eastAsia" w:ascii="Times New Roman"/>
                <w:spacing w:val="-2"/>
                <w:sz w:val="24"/>
                <w:lang w:val="en-US" w:eastAsia="zh-CN"/>
              </w:rPr>
              <w:t>6</w:t>
            </w:r>
            <w:r>
              <w:rPr>
                <w:rFonts w:ascii="Times New Roman"/>
                <w:spacing w:val="-2"/>
                <w:sz w:val="24"/>
              </w:rPr>
              <w:t>:</w:t>
            </w:r>
            <w:r>
              <w:rPr>
                <w:rFonts w:hint="eastAsia" w:ascii="Times New Roman"/>
                <w:spacing w:val="-2"/>
                <w:sz w:val="24"/>
                <w:lang w:val="en-US" w:eastAsia="zh-CN"/>
              </w:rPr>
              <w:t>45</w:t>
            </w:r>
          </w:p>
        </w:tc>
        <w:tc>
          <w:tcPr>
            <w:tcW w:w="877" w:type="dxa"/>
          </w:tcPr>
          <w:p w14:paraId="6CB82050">
            <w:pPr>
              <w:pStyle w:val="13"/>
              <w:spacing w:before="60"/>
              <w:ind w:left="7"/>
              <w:rPr>
                <w:rFonts w:ascii="Times New Roman" w:hAnsi="Times New Roman"/>
                <w:sz w:val="24"/>
              </w:rPr>
            </w:pPr>
            <w:r>
              <w:rPr>
                <w:rFonts w:ascii="Times New Roman" w:hAnsi="Times New Roman"/>
                <w:sz w:val="24"/>
              </w:rPr>
              <w:t>—</w:t>
            </w:r>
          </w:p>
        </w:tc>
      </w:tr>
      <w:tr w14:paraId="5C1CB6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 w:hRule="atLeast"/>
        </w:trPr>
        <w:tc>
          <w:tcPr>
            <w:tcW w:w="1145" w:type="dxa"/>
            <w:vMerge w:val="restart"/>
            <w:tcBorders>
              <w:top w:val="nil"/>
            </w:tcBorders>
          </w:tcPr>
          <w:p w14:paraId="2E7A4750">
            <w:pPr>
              <w:rPr>
                <w:b/>
                <w:bCs/>
                <w:spacing w:val="16"/>
                <w:sz w:val="24"/>
              </w:rPr>
            </w:pPr>
          </w:p>
          <w:p w14:paraId="30360AA8">
            <w:pPr>
              <w:jc w:val="center"/>
              <w:rPr>
                <w:b/>
                <w:bCs/>
                <w:spacing w:val="16"/>
                <w:sz w:val="24"/>
              </w:rPr>
            </w:pPr>
            <w:r>
              <w:rPr>
                <w:rFonts w:hint="eastAsia"/>
                <w:b/>
                <w:bCs/>
                <w:spacing w:val="16"/>
                <w:sz w:val="24"/>
              </w:rPr>
              <w:t>闭幕式</w:t>
            </w:r>
          </w:p>
          <w:p w14:paraId="532945B1">
            <w:pPr>
              <w:rPr>
                <w:b/>
                <w:bCs/>
                <w:spacing w:val="16"/>
                <w:sz w:val="24"/>
              </w:rPr>
            </w:pPr>
          </w:p>
          <w:p w14:paraId="2B2393D8">
            <w:pPr>
              <w:rPr>
                <w:b/>
                <w:bCs/>
                <w:spacing w:val="16"/>
                <w:sz w:val="24"/>
              </w:rPr>
            </w:pPr>
          </w:p>
        </w:tc>
        <w:tc>
          <w:tcPr>
            <w:tcW w:w="500" w:type="dxa"/>
          </w:tcPr>
          <w:p w14:paraId="568A657C">
            <w:pPr>
              <w:pStyle w:val="13"/>
              <w:spacing w:before="57"/>
              <w:ind w:left="16"/>
              <w:rPr>
                <w:rFonts w:hint="eastAsia" w:ascii="Times New Roman"/>
                <w:spacing w:val="-5"/>
                <w:sz w:val="24"/>
                <w:lang w:val="en-US" w:eastAsia="zh-CN"/>
              </w:rPr>
            </w:pPr>
            <w:r>
              <w:rPr>
                <w:rFonts w:hint="eastAsia" w:ascii="Times New Roman"/>
                <w:spacing w:val="-5"/>
                <w:sz w:val="24"/>
                <w:lang w:val="en-US" w:eastAsia="zh-CN"/>
              </w:rPr>
              <w:t>1</w:t>
            </w:r>
          </w:p>
        </w:tc>
        <w:tc>
          <w:tcPr>
            <w:tcW w:w="4616" w:type="dxa"/>
            <w:shd w:val="clear" w:color="auto" w:fill="auto"/>
            <w:vAlign w:val="center"/>
          </w:tcPr>
          <w:p w14:paraId="5D440D15">
            <w:pPr>
              <w:autoSpaceDE/>
              <w:autoSpaceDN/>
              <w:adjustRightInd w:val="0"/>
              <w:snapToGrid w:val="0"/>
              <w:jc w:val="center"/>
              <w:rPr>
                <w:rFonts w:ascii="宋体" w:hAnsi="宋体" w:eastAsia="宋体" w:cs="宋体"/>
                <w:spacing w:val="-13"/>
                <w:sz w:val="24"/>
                <w:szCs w:val="22"/>
                <w:lang w:val="en-US" w:eastAsia="zh-CN" w:bidi="ar-SA"/>
              </w:rPr>
            </w:pPr>
            <w:r>
              <w:rPr>
                <w:rFonts w:hint="eastAsia" w:ascii="宋体" w:hAnsi="宋体" w:eastAsia="宋体" w:cs="宋体"/>
                <w:spacing w:val="-13"/>
                <w:sz w:val="24"/>
                <w:szCs w:val="22"/>
                <w:lang w:val="en-US" w:eastAsia="zh-CN" w:bidi="ar-SA"/>
              </w:rPr>
              <w:t>专家点评</w:t>
            </w:r>
          </w:p>
        </w:tc>
        <w:tc>
          <w:tcPr>
            <w:tcW w:w="1607" w:type="dxa"/>
            <w:shd w:val="clear" w:color="auto" w:fill="auto"/>
            <w:vAlign w:val="center"/>
          </w:tcPr>
          <w:p w14:paraId="4639286E">
            <w:pPr>
              <w:autoSpaceDE/>
              <w:autoSpaceDN/>
              <w:adjustRightInd w:val="0"/>
              <w:snapToGrid w:val="0"/>
              <w:jc w:val="center"/>
              <w:rPr>
                <w:rFonts w:ascii="Times New Roman" w:hAnsi="宋体" w:eastAsia="宋体" w:cs="宋体"/>
                <w:sz w:val="24"/>
                <w:szCs w:val="22"/>
                <w:lang w:val="en-US" w:eastAsia="zh-CN" w:bidi="ar-SA"/>
              </w:rPr>
            </w:pPr>
            <w:r>
              <w:rPr>
                <w:rFonts w:hint="eastAsia" w:ascii="Times New Roman" w:hAnsi="宋体" w:eastAsia="宋体" w:cs="宋体"/>
                <w:sz w:val="24"/>
                <w:szCs w:val="22"/>
                <w:lang w:val="en-US" w:eastAsia="zh-CN" w:bidi="ar-SA"/>
              </w:rPr>
              <w:t>17:00-17:10</w:t>
            </w:r>
          </w:p>
        </w:tc>
        <w:tc>
          <w:tcPr>
            <w:tcW w:w="877" w:type="dxa"/>
            <w:shd w:val="clear" w:color="auto" w:fill="auto"/>
            <w:vAlign w:val="center"/>
          </w:tcPr>
          <w:p w14:paraId="0307B875">
            <w:pPr>
              <w:autoSpaceDE/>
              <w:autoSpaceDN/>
              <w:adjustRightInd w:val="0"/>
              <w:snapToGrid w:val="0"/>
              <w:jc w:val="center"/>
              <w:rPr>
                <w:rFonts w:ascii="Times New Roman" w:hAnsi="宋体" w:eastAsia="宋体" w:cs="宋体"/>
                <w:sz w:val="24"/>
                <w:szCs w:val="22"/>
                <w:lang w:val="en-US" w:eastAsia="zh-CN" w:bidi="ar-SA"/>
              </w:rPr>
            </w:pPr>
            <w:r>
              <w:rPr>
                <w:rFonts w:hint="eastAsia" w:ascii="Times New Roman" w:hAnsi="宋体" w:eastAsia="宋体" w:cs="宋体"/>
                <w:sz w:val="24"/>
                <w:szCs w:val="22"/>
                <w:lang w:val="en-US" w:eastAsia="zh-CN" w:bidi="ar-SA"/>
              </w:rPr>
              <w:t>10</w:t>
            </w:r>
          </w:p>
        </w:tc>
      </w:tr>
      <w:tr w14:paraId="4EBBAD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 w:hRule="atLeast"/>
        </w:trPr>
        <w:tc>
          <w:tcPr>
            <w:tcW w:w="1145" w:type="dxa"/>
            <w:vMerge w:val="continue"/>
          </w:tcPr>
          <w:p w14:paraId="0D1DDA1B">
            <w:pPr>
              <w:rPr>
                <w:spacing w:val="16"/>
                <w:sz w:val="24"/>
              </w:rPr>
            </w:pPr>
          </w:p>
        </w:tc>
        <w:tc>
          <w:tcPr>
            <w:tcW w:w="500" w:type="dxa"/>
          </w:tcPr>
          <w:p w14:paraId="2A7D976C">
            <w:pPr>
              <w:pStyle w:val="13"/>
              <w:spacing w:before="57"/>
              <w:ind w:left="16"/>
              <w:rPr>
                <w:rFonts w:hint="eastAsia" w:ascii="Times New Roman"/>
                <w:spacing w:val="-5"/>
                <w:sz w:val="24"/>
                <w:lang w:val="en-US" w:eastAsia="zh-CN"/>
              </w:rPr>
            </w:pPr>
            <w:r>
              <w:rPr>
                <w:rFonts w:hint="eastAsia" w:ascii="Times New Roman"/>
                <w:spacing w:val="-5"/>
                <w:sz w:val="24"/>
                <w:lang w:val="en-US" w:eastAsia="zh-CN"/>
              </w:rPr>
              <w:t>2</w:t>
            </w:r>
          </w:p>
        </w:tc>
        <w:tc>
          <w:tcPr>
            <w:tcW w:w="4616" w:type="dxa"/>
            <w:shd w:val="clear" w:color="auto" w:fill="auto"/>
            <w:vAlign w:val="center"/>
          </w:tcPr>
          <w:p w14:paraId="4D0FBCCD">
            <w:pPr>
              <w:autoSpaceDE/>
              <w:autoSpaceDN/>
              <w:adjustRightInd w:val="0"/>
              <w:snapToGrid w:val="0"/>
              <w:jc w:val="center"/>
              <w:rPr>
                <w:rFonts w:ascii="宋体" w:hAnsi="宋体" w:eastAsia="宋体" w:cs="宋体"/>
                <w:spacing w:val="-13"/>
                <w:sz w:val="24"/>
                <w:szCs w:val="22"/>
                <w:lang w:val="en-US" w:eastAsia="zh-CN" w:bidi="ar-SA"/>
              </w:rPr>
            </w:pPr>
            <w:r>
              <w:rPr>
                <w:rFonts w:hint="eastAsia" w:ascii="宋体" w:hAnsi="宋体" w:eastAsia="宋体" w:cs="宋体"/>
                <w:spacing w:val="-13"/>
                <w:sz w:val="24"/>
                <w:szCs w:val="22"/>
                <w:lang w:val="en-US" w:eastAsia="zh-CN" w:bidi="ar-SA"/>
              </w:rPr>
              <w:t>宣读比赛成绩</w:t>
            </w:r>
          </w:p>
        </w:tc>
        <w:tc>
          <w:tcPr>
            <w:tcW w:w="1607" w:type="dxa"/>
            <w:shd w:val="clear" w:color="auto" w:fill="auto"/>
            <w:vAlign w:val="center"/>
          </w:tcPr>
          <w:p w14:paraId="63F20FD2">
            <w:pPr>
              <w:autoSpaceDE/>
              <w:autoSpaceDN/>
              <w:adjustRightInd w:val="0"/>
              <w:snapToGrid w:val="0"/>
              <w:jc w:val="center"/>
              <w:rPr>
                <w:rFonts w:ascii="Times New Roman" w:hAnsi="宋体" w:eastAsia="宋体" w:cs="宋体"/>
                <w:sz w:val="24"/>
                <w:szCs w:val="22"/>
                <w:lang w:val="en-US" w:eastAsia="zh-CN" w:bidi="ar-SA"/>
              </w:rPr>
            </w:pPr>
            <w:r>
              <w:rPr>
                <w:rFonts w:hint="eastAsia" w:ascii="Times New Roman" w:hAnsi="宋体" w:eastAsia="宋体" w:cs="宋体"/>
                <w:sz w:val="24"/>
                <w:szCs w:val="22"/>
                <w:lang w:val="en-US" w:eastAsia="zh-CN" w:bidi="ar-SA"/>
              </w:rPr>
              <w:t>17:10-17:20</w:t>
            </w:r>
          </w:p>
        </w:tc>
        <w:tc>
          <w:tcPr>
            <w:tcW w:w="877" w:type="dxa"/>
            <w:shd w:val="clear" w:color="auto" w:fill="auto"/>
            <w:vAlign w:val="center"/>
          </w:tcPr>
          <w:p w14:paraId="198C6C53">
            <w:pPr>
              <w:autoSpaceDE/>
              <w:autoSpaceDN/>
              <w:adjustRightInd w:val="0"/>
              <w:snapToGrid w:val="0"/>
              <w:jc w:val="center"/>
              <w:rPr>
                <w:rFonts w:ascii="Times New Roman" w:hAnsi="宋体" w:eastAsia="宋体" w:cs="宋体"/>
                <w:sz w:val="24"/>
                <w:szCs w:val="22"/>
                <w:lang w:val="en-US" w:eastAsia="zh-CN" w:bidi="ar-SA"/>
              </w:rPr>
            </w:pPr>
            <w:r>
              <w:rPr>
                <w:rFonts w:hint="eastAsia" w:ascii="Times New Roman" w:hAnsi="宋体" w:eastAsia="宋体" w:cs="宋体"/>
                <w:sz w:val="24"/>
                <w:szCs w:val="22"/>
                <w:lang w:val="en-US" w:eastAsia="zh-CN" w:bidi="ar-SA"/>
              </w:rPr>
              <w:t>10</w:t>
            </w:r>
          </w:p>
        </w:tc>
      </w:tr>
      <w:tr w14:paraId="2DAB59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 w:hRule="atLeast"/>
        </w:trPr>
        <w:tc>
          <w:tcPr>
            <w:tcW w:w="1145" w:type="dxa"/>
            <w:vMerge w:val="continue"/>
          </w:tcPr>
          <w:p w14:paraId="74724D7D">
            <w:pPr>
              <w:rPr>
                <w:spacing w:val="16"/>
                <w:sz w:val="24"/>
              </w:rPr>
            </w:pPr>
          </w:p>
        </w:tc>
        <w:tc>
          <w:tcPr>
            <w:tcW w:w="500" w:type="dxa"/>
          </w:tcPr>
          <w:p w14:paraId="683F7CBB">
            <w:pPr>
              <w:pStyle w:val="13"/>
              <w:spacing w:before="57"/>
              <w:ind w:left="16"/>
              <w:rPr>
                <w:rFonts w:hint="eastAsia" w:ascii="Times New Roman"/>
                <w:spacing w:val="-5"/>
                <w:sz w:val="24"/>
                <w:lang w:val="en-US" w:eastAsia="zh-CN"/>
              </w:rPr>
            </w:pPr>
            <w:r>
              <w:rPr>
                <w:rFonts w:hint="eastAsia" w:ascii="Times New Roman"/>
                <w:spacing w:val="-5"/>
                <w:sz w:val="24"/>
                <w:lang w:val="en-US" w:eastAsia="zh-CN"/>
              </w:rPr>
              <w:t>3</w:t>
            </w:r>
          </w:p>
        </w:tc>
        <w:tc>
          <w:tcPr>
            <w:tcW w:w="4616" w:type="dxa"/>
            <w:shd w:val="clear" w:color="auto" w:fill="auto"/>
            <w:vAlign w:val="center"/>
          </w:tcPr>
          <w:p w14:paraId="5888A6EF">
            <w:pPr>
              <w:autoSpaceDE/>
              <w:autoSpaceDN/>
              <w:adjustRightInd w:val="0"/>
              <w:snapToGrid w:val="0"/>
              <w:jc w:val="center"/>
              <w:rPr>
                <w:rFonts w:ascii="宋体" w:hAnsi="宋体" w:eastAsia="宋体" w:cs="宋体"/>
                <w:spacing w:val="-13"/>
                <w:sz w:val="24"/>
                <w:szCs w:val="22"/>
                <w:lang w:val="en-US" w:eastAsia="zh-CN" w:bidi="ar-SA"/>
              </w:rPr>
            </w:pPr>
            <w:r>
              <w:rPr>
                <w:rFonts w:hint="eastAsia" w:ascii="宋体" w:hAnsi="宋体" w:eastAsia="宋体" w:cs="宋体"/>
                <w:spacing w:val="-13"/>
                <w:sz w:val="24"/>
                <w:szCs w:val="22"/>
                <w:lang w:val="en-US" w:eastAsia="zh-CN" w:bidi="ar-SA"/>
              </w:rPr>
              <w:t>颁奖仪式</w:t>
            </w:r>
          </w:p>
        </w:tc>
        <w:tc>
          <w:tcPr>
            <w:tcW w:w="1607" w:type="dxa"/>
            <w:shd w:val="clear" w:color="auto" w:fill="auto"/>
            <w:vAlign w:val="center"/>
          </w:tcPr>
          <w:p w14:paraId="4131A0A9">
            <w:pPr>
              <w:autoSpaceDE/>
              <w:autoSpaceDN/>
              <w:adjustRightInd w:val="0"/>
              <w:snapToGrid w:val="0"/>
              <w:jc w:val="center"/>
              <w:rPr>
                <w:rFonts w:ascii="Times New Roman" w:hAnsi="宋体" w:eastAsia="宋体" w:cs="宋体"/>
                <w:sz w:val="24"/>
                <w:szCs w:val="22"/>
                <w:lang w:val="en-US" w:eastAsia="zh-CN" w:bidi="ar-SA"/>
              </w:rPr>
            </w:pPr>
            <w:r>
              <w:rPr>
                <w:rFonts w:hint="eastAsia" w:ascii="Times New Roman" w:hAnsi="宋体" w:eastAsia="宋体" w:cs="宋体"/>
                <w:sz w:val="24"/>
                <w:szCs w:val="22"/>
                <w:lang w:val="en-US" w:eastAsia="zh-CN" w:bidi="ar-SA"/>
              </w:rPr>
              <w:t>17:20-1</w:t>
            </w:r>
            <w:r>
              <w:rPr>
                <w:rFonts w:hint="eastAsia" w:ascii="Times New Roman" w:cs="宋体"/>
                <w:sz w:val="24"/>
                <w:szCs w:val="22"/>
                <w:lang w:val="en-US" w:eastAsia="zh-CN" w:bidi="ar-SA"/>
              </w:rPr>
              <w:t>7</w:t>
            </w:r>
            <w:r>
              <w:rPr>
                <w:rFonts w:hint="eastAsia" w:ascii="Times New Roman" w:hAnsi="宋体" w:eastAsia="宋体" w:cs="宋体"/>
                <w:sz w:val="24"/>
                <w:szCs w:val="22"/>
                <w:lang w:val="en-US" w:eastAsia="zh-CN" w:bidi="ar-SA"/>
              </w:rPr>
              <w:t>:40</w:t>
            </w:r>
          </w:p>
        </w:tc>
        <w:tc>
          <w:tcPr>
            <w:tcW w:w="877" w:type="dxa"/>
            <w:shd w:val="clear" w:color="auto" w:fill="auto"/>
            <w:vAlign w:val="center"/>
          </w:tcPr>
          <w:p w14:paraId="37A5F9EB">
            <w:pPr>
              <w:autoSpaceDE/>
              <w:autoSpaceDN/>
              <w:adjustRightInd w:val="0"/>
              <w:snapToGrid w:val="0"/>
              <w:jc w:val="center"/>
              <w:rPr>
                <w:rFonts w:ascii="Times New Roman" w:hAnsi="宋体" w:eastAsia="宋体" w:cs="宋体"/>
                <w:sz w:val="24"/>
                <w:szCs w:val="22"/>
                <w:lang w:val="en-US" w:eastAsia="zh-CN" w:bidi="ar-SA"/>
              </w:rPr>
            </w:pPr>
            <w:r>
              <w:rPr>
                <w:rFonts w:hint="eastAsia" w:ascii="Times New Roman" w:hAnsi="宋体" w:eastAsia="宋体" w:cs="宋体"/>
                <w:sz w:val="24"/>
                <w:szCs w:val="22"/>
                <w:lang w:val="en-US" w:eastAsia="zh-CN" w:bidi="ar-SA"/>
              </w:rPr>
              <w:t>20</w:t>
            </w:r>
          </w:p>
        </w:tc>
      </w:tr>
      <w:tr w14:paraId="5312ED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145" w:type="dxa"/>
            <w:vMerge w:val="continue"/>
          </w:tcPr>
          <w:p w14:paraId="60BD361B">
            <w:pPr>
              <w:rPr>
                <w:spacing w:val="16"/>
                <w:sz w:val="24"/>
              </w:rPr>
            </w:pPr>
          </w:p>
        </w:tc>
        <w:tc>
          <w:tcPr>
            <w:tcW w:w="500" w:type="dxa"/>
          </w:tcPr>
          <w:p w14:paraId="1D61BB98">
            <w:pPr>
              <w:pStyle w:val="13"/>
              <w:spacing w:before="57"/>
              <w:ind w:left="16"/>
              <w:rPr>
                <w:rFonts w:hint="eastAsia" w:ascii="Times New Roman"/>
                <w:spacing w:val="-5"/>
                <w:sz w:val="24"/>
                <w:lang w:val="en-US" w:eastAsia="zh-CN"/>
              </w:rPr>
            </w:pPr>
            <w:r>
              <w:rPr>
                <w:rFonts w:hint="eastAsia" w:ascii="Times New Roman"/>
                <w:spacing w:val="-5"/>
                <w:sz w:val="24"/>
                <w:lang w:val="en-US" w:eastAsia="zh-CN"/>
              </w:rPr>
              <w:t>4</w:t>
            </w:r>
          </w:p>
        </w:tc>
        <w:tc>
          <w:tcPr>
            <w:tcW w:w="4616" w:type="dxa"/>
            <w:shd w:val="clear" w:color="auto" w:fill="auto"/>
            <w:vAlign w:val="center"/>
          </w:tcPr>
          <w:p w14:paraId="02462770">
            <w:pPr>
              <w:autoSpaceDE/>
              <w:autoSpaceDN/>
              <w:adjustRightInd w:val="0"/>
              <w:snapToGrid w:val="0"/>
              <w:jc w:val="center"/>
              <w:rPr>
                <w:rFonts w:ascii="宋体" w:hAnsi="宋体" w:eastAsia="宋体" w:cs="宋体"/>
                <w:spacing w:val="-13"/>
                <w:sz w:val="24"/>
                <w:szCs w:val="22"/>
                <w:lang w:val="en-US" w:eastAsia="zh-CN" w:bidi="ar-SA"/>
              </w:rPr>
            </w:pPr>
            <w:r>
              <w:rPr>
                <w:rFonts w:hint="eastAsia" w:ascii="宋体" w:hAnsi="宋体" w:eastAsia="宋体" w:cs="宋体"/>
                <w:spacing w:val="-13"/>
                <w:sz w:val="24"/>
                <w:szCs w:val="22"/>
                <w:lang w:val="en-US" w:eastAsia="zh-CN" w:bidi="ar-SA"/>
              </w:rPr>
              <w:t>领导致闭幕词</w:t>
            </w:r>
          </w:p>
        </w:tc>
        <w:tc>
          <w:tcPr>
            <w:tcW w:w="1607" w:type="dxa"/>
            <w:shd w:val="clear" w:color="auto" w:fill="auto"/>
            <w:vAlign w:val="center"/>
          </w:tcPr>
          <w:p w14:paraId="70BFAED5">
            <w:pPr>
              <w:autoSpaceDE/>
              <w:autoSpaceDN/>
              <w:adjustRightInd w:val="0"/>
              <w:snapToGrid w:val="0"/>
              <w:jc w:val="center"/>
              <w:rPr>
                <w:rFonts w:ascii="Times New Roman" w:hAnsi="宋体" w:eastAsia="宋体" w:cs="宋体"/>
                <w:sz w:val="24"/>
                <w:szCs w:val="22"/>
                <w:lang w:val="en-US" w:eastAsia="zh-CN" w:bidi="ar-SA"/>
              </w:rPr>
            </w:pPr>
            <w:r>
              <w:rPr>
                <w:rFonts w:hint="eastAsia" w:ascii="Times New Roman" w:hAnsi="宋体" w:eastAsia="宋体" w:cs="宋体"/>
                <w:sz w:val="24"/>
                <w:szCs w:val="22"/>
                <w:lang w:val="en-US" w:eastAsia="zh-CN" w:bidi="ar-SA"/>
              </w:rPr>
              <w:t>1</w:t>
            </w:r>
            <w:r>
              <w:rPr>
                <w:rFonts w:hint="eastAsia" w:ascii="Times New Roman" w:cs="宋体"/>
                <w:sz w:val="24"/>
                <w:szCs w:val="22"/>
                <w:lang w:val="en-US" w:eastAsia="zh-CN" w:bidi="ar-SA"/>
              </w:rPr>
              <w:t>7</w:t>
            </w:r>
            <w:r>
              <w:rPr>
                <w:rFonts w:hint="eastAsia" w:ascii="Times New Roman" w:hAnsi="宋体" w:eastAsia="宋体" w:cs="宋体"/>
                <w:sz w:val="24"/>
                <w:szCs w:val="22"/>
                <w:lang w:val="en-US" w:eastAsia="zh-CN" w:bidi="ar-SA"/>
              </w:rPr>
              <w:t>:40-1</w:t>
            </w:r>
            <w:r>
              <w:rPr>
                <w:rFonts w:hint="eastAsia" w:ascii="Times New Roman" w:cs="宋体"/>
                <w:sz w:val="24"/>
                <w:szCs w:val="22"/>
                <w:lang w:val="en-US" w:eastAsia="zh-CN" w:bidi="ar-SA"/>
              </w:rPr>
              <w:t>7</w:t>
            </w:r>
            <w:r>
              <w:rPr>
                <w:rFonts w:hint="eastAsia" w:ascii="Times New Roman" w:hAnsi="宋体" w:eastAsia="宋体" w:cs="宋体"/>
                <w:sz w:val="24"/>
                <w:szCs w:val="22"/>
                <w:lang w:val="en-US" w:eastAsia="zh-CN" w:bidi="ar-SA"/>
              </w:rPr>
              <w:t>:50</w:t>
            </w:r>
          </w:p>
        </w:tc>
        <w:tc>
          <w:tcPr>
            <w:tcW w:w="877" w:type="dxa"/>
            <w:shd w:val="clear" w:color="auto" w:fill="auto"/>
            <w:vAlign w:val="center"/>
          </w:tcPr>
          <w:p w14:paraId="7862308E">
            <w:pPr>
              <w:autoSpaceDE/>
              <w:autoSpaceDN/>
              <w:adjustRightInd w:val="0"/>
              <w:snapToGrid w:val="0"/>
              <w:jc w:val="center"/>
              <w:rPr>
                <w:rFonts w:ascii="Times New Roman" w:hAnsi="宋体" w:eastAsia="宋体" w:cs="宋体"/>
                <w:sz w:val="24"/>
                <w:szCs w:val="22"/>
                <w:lang w:val="en-US" w:eastAsia="zh-CN" w:bidi="ar-SA"/>
              </w:rPr>
            </w:pPr>
            <w:r>
              <w:rPr>
                <w:rFonts w:hint="eastAsia" w:ascii="Times New Roman" w:hAnsi="宋体" w:eastAsia="宋体" w:cs="宋体"/>
                <w:sz w:val="24"/>
                <w:szCs w:val="22"/>
                <w:lang w:val="en-US" w:eastAsia="zh-CN" w:bidi="ar-SA"/>
              </w:rPr>
              <w:t>10</w:t>
            </w:r>
          </w:p>
        </w:tc>
      </w:tr>
    </w:tbl>
    <w:p w14:paraId="6496E262">
      <w:pPr>
        <w:spacing w:before="185"/>
        <w:ind w:left="240"/>
        <w:rPr>
          <w:sz w:val="24"/>
        </w:rPr>
      </w:pPr>
      <w:r>
        <w:rPr>
          <w:spacing w:val="-1"/>
          <w:sz w:val="24"/>
        </w:rPr>
        <w:t>注：实际时间以赛区现场进度为准！</w:t>
      </w:r>
    </w:p>
    <w:p w14:paraId="7361AC8D">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黑体" w:hAnsi="黑体" w:eastAsia="黑体" w:cs="黑体"/>
          <w:sz w:val="32"/>
          <w:szCs w:val="32"/>
        </w:rPr>
      </w:pPr>
      <w:bookmarkStart w:id="10" w:name="六、竞赛规则"/>
      <w:bookmarkEnd w:id="10"/>
      <w:r>
        <w:rPr>
          <w:rFonts w:hint="eastAsia" w:ascii="黑体" w:hAnsi="黑体" w:eastAsia="黑体" w:cs="黑体"/>
          <w:sz w:val="32"/>
          <w:szCs w:val="32"/>
          <w:lang w:val="en-US" w:eastAsia="zh-CN"/>
        </w:rPr>
        <w:t>六、</w:t>
      </w:r>
      <w:r>
        <w:rPr>
          <w:rFonts w:hint="eastAsia" w:ascii="黑体" w:hAnsi="黑体" w:eastAsia="黑体" w:cs="黑体"/>
          <w:sz w:val="32"/>
          <w:szCs w:val="32"/>
        </w:rPr>
        <w:t>竞赛规则</w:t>
      </w:r>
    </w:p>
    <w:p w14:paraId="317FB736">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一</w:t>
      </w:r>
      <w:r>
        <w:rPr>
          <w:rFonts w:hint="eastAsia" w:ascii="楷体" w:hAnsi="楷体" w:eastAsia="楷体" w:cs="楷体"/>
          <w:sz w:val="32"/>
          <w:szCs w:val="32"/>
          <w:lang w:eastAsia="zh-CN"/>
        </w:rPr>
        <w:t>）</w:t>
      </w:r>
      <w:r>
        <w:rPr>
          <w:rFonts w:hint="eastAsia" w:ascii="楷体" w:hAnsi="楷体" w:eastAsia="楷体" w:cs="楷体"/>
          <w:sz w:val="32"/>
          <w:szCs w:val="32"/>
        </w:rPr>
        <w:t>报名要求：</w:t>
      </w:r>
      <w:r>
        <w:rPr>
          <w:rFonts w:hint="eastAsia" w:ascii="仿宋_GB2312" w:hAnsi="仿宋_GB2312" w:eastAsia="仿宋_GB2312" w:cs="仿宋_GB2312"/>
          <w:sz w:val="32"/>
          <w:szCs w:val="32"/>
        </w:rPr>
        <w:t>各参赛院校须按照大赛文件规定的时间和要求上报参赛信息，参赛选手和指导教师报名获得确认后原则上不得更换人员。如赛前队员因故不能参赛需要更换人员的，所在院校需在省教育主管部门规定期限内向省教育主管部门出具书面说明并按相关参赛选手资格补充人员并接受审核，审核通过后参赛院校需及时告知承办院校赛项执委会更换事项；如比赛期间，参赛选手因故无法参赛，视为弃赛。如未经报备，发现实际参赛选手与报名信息不符的情况，均不得入场。竞赛开始后，参赛队不得更换参赛队员。</w:t>
      </w:r>
    </w:p>
    <w:p w14:paraId="4B003A74">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二</w:t>
      </w:r>
      <w:r>
        <w:rPr>
          <w:rFonts w:hint="eastAsia" w:ascii="楷体" w:hAnsi="楷体" w:eastAsia="楷体" w:cs="楷体"/>
          <w:sz w:val="32"/>
          <w:szCs w:val="32"/>
          <w:lang w:eastAsia="zh-CN"/>
        </w:rPr>
        <w:t>）比赛报到和比赛入场规则：</w:t>
      </w:r>
      <w:r>
        <w:rPr>
          <w:rFonts w:hint="eastAsia" w:ascii="仿宋_GB2312" w:hAnsi="仿宋_GB2312" w:eastAsia="仿宋_GB2312" w:cs="仿宋_GB2312"/>
          <w:sz w:val="32"/>
          <w:szCs w:val="32"/>
        </w:rPr>
        <w:t>参赛选手需凭报名表、参赛证、学生证、身份证和保险单报到。参赛选手应提前15分钟到达赛场，凭参赛证、学生证、身份证检录，按要求入场，不得迟到早退。并根据抽签结果在对应的座位入座，裁判负责核对参赛队员信息。</w:t>
      </w:r>
    </w:p>
    <w:p w14:paraId="4A8403E7">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三</w:t>
      </w:r>
      <w:r>
        <w:rPr>
          <w:rFonts w:hint="eastAsia" w:ascii="楷体" w:hAnsi="楷体" w:eastAsia="楷体" w:cs="楷体"/>
          <w:sz w:val="32"/>
          <w:szCs w:val="32"/>
          <w:lang w:eastAsia="zh-CN"/>
        </w:rPr>
        <w:t>）赛场规则：</w:t>
      </w:r>
      <w:r>
        <w:rPr>
          <w:rFonts w:hint="eastAsia" w:ascii="仿宋_GB2312" w:hAnsi="仿宋_GB2312" w:eastAsia="仿宋_GB2312" w:cs="仿宋_GB2312"/>
          <w:sz w:val="32"/>
          <w:szCs w:val="32"/>
        </w:rPr>
        <w:t>竞赛过程中，如有疑问，参赛选手应举手示意，裁判应按照有关要求及时予以答复；如遇设备或软件等故障，参赛选手应举手示意。裁判、技术人员等应及时予以解决。确因计算机软件或硬件故障，致使操作无法继续的，经项目裁判长确认，予以启用备用计算机。</w:t>
      </w:r>
    </w:p>
    <w:p w14:paraId="47426CCA">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四</w:t>
      </w:r>
      <w:r>
        <w:rPr>
          <w:rFonts w:hint="eastAsia" w:ascii="楷体" w:hAnsi="楷体" w:eastAsia="楷体" w:cs="楷体"/>
          <w:sz w:val="32"/>
          <w:szCs w:val="32"/>
          <w:lang w:eastAsia="zh-CN"/>
        </w:rPr>
        <w:t>）离场规则：</w:t>
      </w:r>
      <w:r>
        <w:rPr>
          <w:rFonts w:hint="eastAsia" w:ascii="仿宋_GB2312" w:hAnsi="仿宋_GB2312" w:eastAsia="仿宋_GB2312" w:cs="仿宋_GB2312"/>
          <w:sz w:val="32"/>
          <w:szCs w:val="32"/>
        </w:rPr>
        <w:t>各参赛队伍派一名参赛代表在竞赛成绩单上签字，监督员监督所有参赛队伍签字后，裁判签字。</w:t>
      </w:r>
    </w:p>
    <w:p w14:paraId="6D22DD6C">
      <w:pPr>
        <w:keepNext w:val="0"/>
        <w:keepLines w:val="0"/>
        <w:pageBreakBefore w:val="0"/>
        <w:widowControl w:val="0"/>
        <w:kinsoku/>
        <w:wordWrap/>
        <w:overflowPunct/>
        <w:topLinePunct w:val="0"/>
        <w:autoSpaceDE w:val="0"/>
        <w:autoSpaceDN w:val="0"/>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成绩评定规则：在运营过程中，赛场裁判负责控制比赛进程，并宣布阶段性成绩。在经营四个经营年度后，平台发布竞赛结果。</w:t>
      </w:r>
    </w:p>
    <w:p w14:paraId="576652D5">
      <w:pPr>
        <w:pStyle w:val="2"/>
        <w:numPr>
          <w:numId w:val="0"/>
        </w:numPr>
        <w:tabs>
          <w:tab w:val="left" w:pos="1521"/>
        </w:tabs>
        <w:spacing w:before="260"/>
        <w:ind w:firstLine="616" w:firstLineChars="200"/>
        <w:rPr>
          <w:rFonts w:ascii="黑体" w:hAnsi="黑体" w:eastAsia="黑体"/>
          <w:b w:val="0"/>
          <w:bCs w:val="0"/>
        </w:rPr>
      </w:pPr>
      <w:bookmarkStart w:id="11" w:name="七、技术规范"/>
      <w:bookmarkEnd w:id="11"/>
      <w:r>
        <w:rPr>
          <w:rFonts w:hint="eastAsia" w:ascii="黑体" w:hAnsi="黑体" w:eastAsia="黑体"/>
          <w:b w:val="0"/>
          <w:bCs w:val="0"/>
          <w:spacing w:val="-6"/>
          <w:lang w:val="en-US" w:eastAsia="zh-CN"/>
        </w:rPr>
        <w:t>七、</w:t>
      </w:r>
      <w:r>
        <w:rPr>
          <w:rFonts w:ascii="黑体" w:hAnsi="黑体" w:eastAsia="黑体"/>
          <w:b w:val="0"/>
          <w:bCs w:val="0"/>
          <w:spacing w:val="-6"/>
        </w:rPr>
        <w:t>技术规范</w:t>
      </w:r>
    </w:p>
    <w:p w14:paraId="2DC1B0B0">
      <w:pPr>
        <w:pStyle w:val="12"/>
        <w:numPr>
          <w:ilvl w:val="1"/>
          <w:numId w:val="1"/>
        </w:numPr>
        <w:tabs>
          <w:tab w:val="left" w:pos="1010"/>
        </w:tabs>
        <w:spacing w:before="266"/>
        <w:ind w:left="1010" w:hanging="210"/>
        <w:rPr>
          <w:sz w:val="28"/>
        </w:rPr>
      </w:pPr>
      <w:r>
        <w:rPr>
          <w:spacing w:val="-2"/>
          <w:sz w:val="28"/>
        </w:rPr>
        <w:t>职业教育专业目录（</w:t>
      </w:r>
      <w:r>
        <w:rPr>
          <w:rFonts w:ascii="Times New Roman" w:eastAsia="Times New Roman"/>
          <w:spacing w:val="-2"/>
          <w:sz w:val="28"/>
        </w:rPr>
        <w:t>2021</w:t>
      </w:r>
      <w:r>
        <w:rPr>
          <w:spacing w:val="-2"/>
          <w:sz w:val="28"/>
        </w:rPr>
        <w:t>年）</w:t>
      </w:r>
      <w:r>
        <w:rPr>
          <w:spacing w:val="-10"/>
          <w:sz w:val="28"/>
        </w:rPr>
        <w:t>。</w:t>
      </w:r>
    </w:p>
    <w:p w14:paraId="403C2AFD">
      <w:pPr>
        <w:pStyle w:val="12"/>
        <w:numPr>
          <w:ilvl w:val="1"/>
          <w:numId w:val="1"/>
        </w:numPr>
        <w:tabs>
          <w:tab w:val="left" w:pos="1010"/>
        </w:tabs>
        <w:spacing w:before="186"/>
        <w:ind w:left="1010" w:hanging="210"/>
        <w:rPr>
          <w:sz w:val="28"/>
        </w:rPr>
      </w:pPr>
      <w:r>
        <w:rPr>
          <w:spacing w:val="-2"/>
          <w:sz w:val="28"/>
        </w:rPr>
        <w:t>高等职业教育专业简介（</w:t>
      </w:r>
      <w:r>
        <w:rPr>
          <w:rFonts w:ascii="Times New Roman" w:eastAsia="Times New Roman"/>
          <w:spacing w:val="-2"/>
          <w:sz w:val="28"/>
        </w:rPr>
        <w:t>2022</w:t>
      </w:r>
      <w:r>
        <w:rPr>
          <w:spacing w:val="-2"/>
          <w:sz w:val="28"/>
        </w:rPr>
        <w:t>年）</w:t>
      </w:r>
      <w:r>
        <w:rPr>
          <w:spacing w:val="-10"/>
          <w:sz w:val="28"/>
        </w:rPr>
        <w:t>。</w:t>
      </w:r>
    </w:p>
    <w:p w14:paraId="31E7D841">
      <w:pPr>
        <w:pStyle w:val="12"/>
        <w:numPr>
          <w:ilvl w:val="1"/>
          <w:numId w:val="1"/>
        </w:numPr>
        <w:tabs>
          <w:tab w:val="left" w:pos="1010"/>
        </w:tabs>
        <w:spacing w:before="186"/>
        <w:ind w:left="1010" w:hanging="210"/>
        <w:rPr>
          <w:sz w:val="28"/>
        </w:rPr>
      </w:pPr>
      <w:r>
        <w:rPr>
          <w:spacing w:val="-2"/>
          <w:sz w:val="28"/>
        </w:rPr>
        <w:t>高等职业教育本科专业简介（</w:t>
      </w:r>
      <w:r>
        <w:rPr>
          <w:rFonts w:ascii="Times New Roman" w:eastAsia="Times New Roman"/>
          <w:spacing w:val="-2"/>
          <w:sz w:val="28"/>
        </w:rPr>
        <w:t>2022</w:t>
      </w:r>
      <w:r>
        <w:rPr>
          <w:spacing w:val="-2"/>
          <w:sz w:val="28"/>
        </w:rPr>
        <w:t>年）</w:t>
      </w:r>
      <w:r>
        <w:rPr>
          <w:spacing w:val="-10"/>
          <w:sz w:val="28"/>
        </w:rPr>
        <w:t>。</w:t>
      </w:r>
    </w:p>
    <w:p w14:paraId="4F65034D">
      <w:pPr>
        <w:pStyle w:val="12"/>
        <w:numPr>
          <w:ilvl w:val="1"/>
          <w:numId w:val="1"/>
        </w:numPr>
        <w:tabs>
          <w:tab w:val="left" w:pos="1010"/>
        </w:tabs>
        <w:spacing w:before="184"/>
        <w:ind w:left="1010" w:hanging="210"/>
        <w:rPr>
          <w:sz w:val="28"/>
        </w:rPr>
      </w:pPr>
      <w:r>
        <w:rPr>
          <w:spacing w:val="-3"/>
          <w:sz w:val="28"/>
        </w:rPr>
        <w:t>高等职业学校专业教学标准。</w:t>
      </w:r>
    </w:p>
    <w:p w14:paraId="22DBB665">
      <w:pPr>
        <w:pStyle w:val="12"/>
        <w:numPr>
          <w:ilvl w:val="1"/>
          <w:numId w:val="1"/>
        </w:numPr>
        <w:tabs>
          <w:tab w:val="left" w:pos="1010"/>
        </w:tabs>
        <w:spacing w:before="186"/>
        <w:ind w:left="1010" w:hanging="210"/>
        <w:rPr>
          <w:sz w:val="28"/>
        </w:rPr>
      </w:pPr>
      <w:r>
        <w:rPr>
          <w:spacing w:val="-2"/>
          <w:sz w:val="28"/>
        </w:rPr>
        <w:t>中华人民共和国公司法（</w:t>
      </w:r>
      <w:r>
        <w:rPr>
          <w:rFonts w:ascii="Times New Roman" w:eastAsia="Times New Roman"/>
          <w:spacing w:val="-2"/>
          <w:sz w:val="28"/>
        </w:rPr>
        <w:t>2018</w:t>
      </w:r>
      <w:r>
        <w:rPr>
          <w:spacing w:val="-2"/>
          <w:sz w:val="28"/>
        </w:rPr>
        <w:t>年修正）</w:t>
      </w:r>
      <w:r>
        <w:rPr>
          <w:spacing w:val="-10"/>
          <w:sz w:val="28"/>
        </w:rPr>
        <w:t>。</w:t>
      </w:r>
    </w:p>
    <w:p w14:paraId="37B81721">
      <w:pPr>
        <w:pStyle w:val="12"/>
        <w:numPr>
          <w:ilvl w:val="1"/>
          <w:numId w:val="1"/>
        </w:numPr>
        <w:tabs>
          <w:tab w:val="left" w:pos="1010"/>
        </w:tabs>
        <w:spacing w:before="188"/>
        <w:ind w:left="1010" w:hanging="210"/>
        <w:rPr>
          <w:sz w:val="28"/>
        </w:rPr>
      </w:pPr>
      <w:r>
        <w:rPr>
          <w:spacing w:val="-2"/>
          <w:sz w:val="28"/>
        </w:rPr>
        <w:t>中华人民共和国产品质量法（</w:t>
      </w:r>
      <w:r>
        <w:rPr>
          <w:rFonts w:ascii="Times New Roman" w:eastAsia="Times New Roman"/>
          <w:spacing w:val="-2"/>
          <w:sz w:val="28"/>
        </w:rPr>
        <w:t>2018</w:t>
      </w:r>
      <w:r>
        <w:rPr>
          <w:spacing w:val="-2"/>
          <w:sz w:val="28"/>
        </w:rPr>
        <w:t>年修正）</w:t>
      </w:r>
      <w:r>
        <w:rPr>
          <w:spacing w:val="-10"/>
          <w:sz w:val="28"/>
        </w:rPr>
        <w:t>。</w:t>
      </w:r>
    </w:p>
    <w:p w14:paraId="4ADD1AA7">
      <w:pPr>
        <w:pStyle w:val="12"/>
        <w:numPr>
          <w:ilvl w:val="1"/>
          <w:numId w:val="1"/>
        </w:numPr>
        <w:tabs>
          <w:tab w:val="left" w:pos="1010"/>
        </w:tabs>
        <w:spacing w:before="184"/>
        <w:ind w:left="1010" w:hanging="210"/>
        <w:rPr>
          <w:sz w:val="28"/>
        </w:rPr>
      </w:pPr>
      <w:r>
        <w:rPr>
          <w:spacing w:val="-2"/>
          <w:sz w:val="28"/>
        </w:rPr>
        <w:t>中华人民共和国会计法（</w:t>
      </w:r>
      <w:r>
        <w:rPr>
          <w:rFonts w:ascii="Times New Roman" w:eastAsia="Times New Roman"/>
          <w:spacing w:val="-2"/>
          <w:sz w:val="28"/>
        </w:rPr>
        <w:t>2017</w:t>
      </w:r>
      <w:r>
        <w:rPr>
          <w:spacing w:val="-2"/>
          <w:sz w:val="28"/>
        </w:rPr>
        <w:t>年修正）</w:t>
      </w:r>
      <w:r>
        <w:rPr>
          <w:spacing w:val="-10"/>
          <w:sz w:val="28"/>
        </w:rPr>
        <w:t>。</w:t>
      </w:r>
    </w:p>
    <w:p w14:paraId="636B56BB">
      <w:pPr>
        <w:pStyle w:val="12"/>
        <w:numPr>
          <w:ilvl w:val="1"/>
          <w:numId w:val="1"/>
        </w:numPr>
        <w:tabs>
          <w:tab w:val="left" w:pos="1010"/>
        </w:tabs>
        <w:spacing w:before="186"/>
        <w:ind w:left="1010" w:hanging="210"/>
        <w:rPr>
          <w:sz w:val="28"/>
        </w:rPr>
      </w:pPr>
      <w:r>
        <w:rPr>
          <w:spacing w:val="-2"/>
          <w:sz w:val="28"/>
        </w:rPr>
        <w:t>中华人民共和国企业所得税法（</w:t>
      </w:r>
      <w:r>
        <w:rPr>
          <w:rFonts w:ascii="Times New Roman" w:eastAsia="Times New Roman"/>
          <w:spacing w:val="-2"/>
          <w:sz w:val="28"/>
        </w:rPr>
        <w:t>2018</w:t>
      </w:r>
      <w:r>
        <w:rPr>
          <w:spacing w:val="-2"/>
          <w:sz w:val="28"/>
        </w:rPr>
        <w:t>年修正）</w:t>
      </w:r>
      <w:r>
        <w:rPr>
          <w:spacing w:val="-10"/>
          <w:sz w:val="28"/>
        </w:rPr>
        <w:t>。</w:t>
      </w:r>
    </w:p>
    <w:p w14:paraId="41477BA7">
      <w:pPr>
        <w:pStyle w:val="12"/>
        <w:numPr>
          <w:ilvl w:val="1"/>
          <w:numId w:val="1"/>
        </w:numPr>
        <w:tabs>
          <w:tab w:val="left" w:pos="1010"/>
        </w:tabs>
        <w:spacing w:before="186"/>
        <w:ind w:left="1010" w:hanging="210"/>
        <w:rPr>
          <w:sz w:val="28"/>
        </w:rPr>
      </w:pPr>
      <w:r>
        <w:rPr>
          <w:spacing w:val="-3"/>
          <w:sz w:val="28"/>
        </w:rPr>
        <w:t>企业内部控制基本规范。</w:t>
      </w:r>
    </w:p>
    <w:p w14:paraId="048DED9A">
      <w:pPr>
        <w:pStyle w:val="12"/>
        <w:numPr>
          <w:ilvl w:val="1"/>
          <w:numId w:val="1"/>
        </w:numPr>
        <w:tabs>
          <w:tab w:val="left" w:pos="1149"/>
        </w:tabs>
        <w:spacing w:before="186" w:line="360" w:lineRule="auto"/>
        <w:ind w:left="1149" w:hanging="349"/>
        <w:rPr>
          <w:sz w:val="28"/>
        </w:rPr>
      </w:pPr>
      <w:r>
        <w:rPr>
          <w:spacing w:val="-3"/>
          <w:sz w:val="28"/>
        </w:rPr>
        <w:t>企业内部控制应用指引。</w:t>
      </w:r>
    </w:p>
    <w:p w14:paraId="57C21CC8">
      <w:pPr>
        <w:pStyle w:val="12"/>
        <w:numPr>
          <w:ilvl w:val="1"/>
          <w:numId w:val="1"/>
        </w:numPr>
        <w:tabs>
          <w:tab w:val="left" w:pos="1142"/>
        </w:tabs>
        <w:spacing w:before="44" w:line="360" w:lineRule="auto"/>
        <w:ind w:left="240" w:right="96" w:firstLine="559"/>
        <w:rPr>
          <w:rFonts w:hint="eastAsia" w:ascii="黑体" w:hAnsi="黑体" w:eastAsia="黑体" w:cs="黑体"/>
          <w:sz w:val="32"/>
          <w:szCs w:val="32"/>
        </w:rPr>
      </w:pPr>
      <w:r>
        <w:rPr>
          <w:spacing w:val="1"/>
          <w:sz w:val="28"/>
        </w:rPr>
        <w:t>除上述文件外，竞赛以现行的财经法律、法规和财政部、国</w:t>
      </w:r>
      <w:r>
        <w:rPr>
          <w:spacing w:val="-18"/>
          <w:sz w:val="28"/>
        </w:rPr>
        <w:t>家税务总局、人民银行、国家质监局等出台的会计、税务、金融法规、</w:t>
      </w:r>
      <w:r>
        <w:rPr>
          <w:spacing w:val="-3"/>
          <w:sz w:val="28"/>
        </w:rPr>
        <w:t>制度和规范性文件为依据。</w:t>
      </w:r>
      <w:bookmarkStart w:id="12" w:name="八、技术环境"/>
      <w:bookmarkEnd w:id="12"/>
    </w:p>
    <w:p w14:paraId="606875EB">
      <w:pPr>
        <w:pStyle w:val="12"/>
        <w:numPr>
          <w:numId w:val="0"/>
        </w:numPr>
        <w:tabs>
          <w:tab w:val="left" w:pos="1142"/>
        </w:tabs>
        <w:spacing w:before="44" w:line="360" w:lineRule="auto"/>
        <w:ind w:right="96" w:rightChars="0"/>
        <w:rPr>
          <w:spacing w:val="-3"/>
          <w:sz w:val="28"/>
        </w:rPr>
      </w:pPr>
    </w:p>
    <w:p w14:paraId="02860A87">
      <w:pPr>
        <w:pStyle w:val="12"/>
        <w:numPr>
          <w:numId w:val="0"/>
        </w:numPr>
        <w:tabs>
          <w:tab w:val="left" w:pos="1142"/>
        </w:tabs>
        <w:spacing w:before="44" w:line="360" w:lineRule="auto"/>
        <w:ind w:right="96" w:rightChars="0"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八、</w:t>
      </w:r>
      <w:r>
        <w:rPr>
          <w:rFonts w:hint="eastAsia" w:ascii="黑体" w:hAnsi="黑体" w:eastAsia="黑体" w:cs="黑体"/>
          <w:sz w:val="32"/>
          <w:szCs w:val="32"/>
        </w:rPr>
        <w:t>技术环境</w:t>
      </w:r>
      <w:bookmarkStart w:id="13" w:name="（一）竞赛环境"/>
      <w:bookmarkEnd w:id="13"/>
    </w:p>
    <w:p w14:paraId="3F8E8D64">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一</w:t>
      </w:r>
      <w:r>
        <w:rPr>
          <w:rFonts w:hint="eastAsia" w:ascii="楷体" w:hAnsi="楷体" w:eastAsia="楷体" w:cs="楷体"/>
          <w:sz w:val="32"/>
          <w:szCs w:val="32"/>
          <w:lang w:eastAsia="zh-CN"/>
        </w:rPr>
        <w:t>）</w:t>
      </w:r>
      <w:r>
        <w:rPr>
          <w:rFonts w:hint="eastAsia" w:ascii="楷体" w:hAnsi="楷体" w:eastAsia="楷体" w:cs="楷体"/>
          <w:sz w:val="32"/>
          <w:szCs w:val="32"/>
        </w:rPr>
        <w:t>竞赛环境</w:t>
      </w:r>
    </w:p>
    <w:p w14:paraId="4AE46A21">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竞赛场地内设置背景板、宣传横幅及壁挂图，营造竞赛氛围。</w:t>
      </w:r>
    </w:p>
    <w:p w14:paraId="5C09B4E4">
      <w:pPr>
        <w:pStyle w:val="12"/>
        <w:keepNext w:val="0"/>
        <w:keepLines w:val="0"/>
        <w:pageBreakBefore w:val="0"/>
        <w:widowControl w:val="0"/>
        <w:numPr>
          <w:numId w:val="0"/>
        </w:numPr>
        <w:tabs>
          <w:tab w:val="left" w:pos="1010"/>
        </w:tabs>
        <w:kinsoku/>
        <w:wordWrap/>
        <w:overflowPunct/>
        <w:topLinePunct w:val="0"/>
        <w:autoSpaceDE w:val="0"/>
        <w:autoSpaceDN w:val="0"/>
        <w:bidi w:val="0"/>
        <w:adjustRightInd/>
        <w:snapToGrid/>
        <w:spacing w:before="72" w:line="560" w:lineRule="exact"/>
        <w:ind w:firstLine="632"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pacing w:val="-2"/>
          <w:sz w:val="32"/>
          <w:szCs w:val="32"/>
          <w:lang w:val="en-US" w:eastAsia="zh-CN"/>
        </w:rPr>
        <w:t>2.</w:t>
      </w:r>
      <w:r>
        <w:rPr>
          <w:rFonts w:hint="eastAsia" w:ascii="仿宋_GB2312" w:hAnsi="仿宋_GB2312" w:eastAsia="仿宋_GB2312" w:cs="仿宋_GB2312"/>
          <w:spacing w:val="-2"/>
          <w:sz w:val="32"/>
          <w:szCs w:val="32"/>
        </w:rPr>
        <w:t>局域网络。采用星形网络拓扑结构，安装千兆交换机。网线与</w:t>
      </w:r>
      <w:r>
        <w:rPr>
          <w:rFonts w:hint="eastAsia" w:ascii="仿宋_GB2312" w:hAnsi="仿宋_GB2312" w:eastAsia="仿宋_GB2312" w:cs="仿宋_GB2312"/>
          <w:spacing w:val="-8"/>
          <w:sz w:val="32"/>
          <w:szCs w:val="32"/>
        </w:rPr>
        <w:t>电源线隐蔽铺设。采用独立网络环境，不连接</w:t>
      </w:r>
      <w:r>
        <w:rPr>
          <w:rFonts w:hint="eastAsia" w:ascii="仿宋_GB2312" w:hAnsi="仿宋_GB2312" w:eastAsia="仿宋_GB2312" w:cs="仿宋_GB2312"/>
          <w:spacing w:val="-6"/>
          <w:sz w:val="32"/>
          <w:szCs w:val="32"/>
        </w:rPr>
        <w:t>INTERNET，禁止外部</w:t>
      </w:r>
      <w:r>
        <w:rPr>
          <w:rFonts w:hint="eastAsia" w:ascii="仿宋_GB2312" w:hAnsi="仿宋_GB2312" w:eastAsia="仿宋_GB2312" w:cs="仿宋_GB2312"/>
          <w:spacing w:val="-2"/>
          <w:sz w:val="32"/>
          <w:szCs w:val="32"/>
        </w:rPr>
        <w:t>电脑接入。</w:t>
      </w:r>
    </w:p>
    <w:p w14:paraId="4E3CCB72">
      <w:pPr>
        <w:pStyle w:val="12"/>
        <w:keepNext w:val="0"/>
        <w:keepLines w:val="0"/>
        <w:pageBreakBefore w:val="0"/>
        <w:widowControl w:val="0"/>
        <w:numPr>
          <w:numId w:val="0"/>
        </w:numPr>
        <w:tabs>
          <w:tab w:val="left" w:pos="1010"/>
        </w:tabs>
        <w:kinsoku/>
        <w:wordWrap/>
        <w:overflowPunct/>
        <w:topLinePunct w:val="0"/>
        <w:autoSpaceDE w:val="0"/>
        <w:autoSpaceDN w:val="0"/>
        <w:bidi w:val="0"/>
        <w:adjustRightInd/>
        <w:snapToGrid/>
        <w:spacing w:line="560" w:lineRule="exact"/>
        <w:ind w:firstLine="644" w:firstLineChars="200"/>
        <w:jc w:val="both"/>
        <w:textAlignment w:val="auto"/>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pacing w:val="1"/>
          <w:sz w:val="32"/>
          <w:szCs w:val="32"/>
          <w:lang w:val="en-US" w:eastAsia="zh-CN"/>
        </w:rPr>
        <w:t>3.</w:t>
      </w:r>
      <w:r>
        <w:rPr>
          <w:rFonts w:hint="eastAsia" w:ascii="仿宋_GB2312" w:hAnsi="仿宋_GB2312" w:eastAsia="仿宋_GB2312" w:cs="仿宋_GB2312"/>
          <w:spacing w:val="1"/>
          <w:sz w:val="32"/>
          <w:szCs w:val="32"/>
        </w:rPr>
        <w:t>采用双路供电安全保障。屏蔽竞赛现场使用的电脑</w:t>
      </w:r>
      <w:r>
        <w:rPr>
          <w:rFonts w:hint="eastAsia" w:ascii="仿宋_GB2312" w:hAnsi="仿宋_GB2312" w:eastAsia="仿宋_GB2312" w:cs="仿宋_GB2312"/>
          <w:sz w:val="32"/>
          <w:szCs w:val="32"/>
        </w:rPr>
        <w:t>USB</w:t>
      </w:r>
      <w:r>
        <w:rPr>
          <w:rFonts w:hint="eastAsia" w:ascii="仿宋_GB2312" w:hAnsi="仿宋_GB2312" w:eastAsia="仿宋_GB2312" w:cs="仿宋_GB2312"/>
          <w:spacing w:val="-4"/>
          <w:sz w:val="32"/>
          <w:szCs w:val="32"/>
        </w:rPr>
        <w:t>接口</w:t>
      </w:r>
      <w:r>
        <w:rPr>
          <w:rFonts w:hint="eastAsia" w:ascii="仿宋_GB2312" w:hAnsi="仿宋_GB2312" w:eastAsia="仿宋_GB2312" w:cs="仿宋_GB2312"/>
          <w:spacing w:val="-4"/>
          <w:sz w:val="32"/>
          <w:szCs w:val="32"/>
          <w:lang w:eastAsia="zh-CN"/>
        </w:rPr>
        <w:t>。</w:t>
      </w:r>
    </w:p>
    <w:p w14:paraId="7FC6EDC5">
      <w:pPr>
        <w:pStyle w:val="12"/>
        <w:keepNext w:val="0"/>
        <w:keepLines w:val="0"/>
        <w:pageBreakBefore w:val="0"/>
        <w:widowControl w:val="0"/>
        <w:numPr>
          <w:numId w:val="0"/>
        </w:numPr>
        <w:tabs>
          <w:tab w:val="left" w:pos="1010"/>
        </w:tabs>
        <w:kinsoku/>
        <w:wordWrap/>
        <w:overflowPunct/>
        <w:topLinePunct w:val="0"/>
        <w:autoSpaceDE w:val="0"/>
        <w:autoSpaceDN w:val="0"/>
        <w:bidi w:val="0"/>
        <w:adjustRightInd/>
        <w:snapToGrid/>
        <w:spacing w:line="560" w:lineRule="exact"/>
        <w:ind w:firstLine="772" w:firstLineChars="200"/>
        <w:jc w:val="both"/>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33"/>
          <w:sz w:val="32"/>
          <w:szCs w:val="32"/>
          <w:lang w:val="en-US" w:eastAsia="zh-CN"/>
        </w:rPr>
        <w:t>4.</w:t>
      </w:r>
      <w:r>
        <w:rPr>
          <w:rFonts w:hint="eastAsia" w:ascii="仿宋_GB2312" w:hAnsi="仿宋_GB2312" w:eastAsia="仿宋_GB2312" w:cs="仿宋_GB2312"/>
          <w:spacing w:val="33"/>
          <w:sz w:val="32"/>
          <w:szCs w:val="32"/>
        </w:rPr>
        <w:t>利用</w:t>
      </w:r>
      <w:r>
        <w:rPr>
          <w:rFonts w:hint="eastAsia" w:ascii="仿宋_GB2312" w:hAnsi="仿宋_GB2312" w:eastAsia="仿宋_GB2312" w:cs="仿宋_GB2312"/>
          <w:sz w:val="32"/>
          <w:szCs w:val="32"/>
        </w:rPr>
        <w:t>UPS</w:t>
      </w:r>
      <w:r>
        <w:rPr>
          <w:rFonts w:hint="eastAsia" w:ascii="仿宋_GB2312" w:hAnsi="仿宋_GB2312" w:eastAsia="仿宋_GB2312" w:cs="仿宋_GB2312"/>
          <w:spacing w:val="-7"/>
          <w:sz w:val="32"/>
          <w:szCs w:val="32"/>
        </w:rPr>
        <w:t>防止现场因突然断电导致的系统数据丢失，额定功率</w:t>
      </w:r>
      <w:r>
        <w:rPr>
          <w:rFonts w:hint="eastAsia" w:ascii="仿宋_GB2312" w:hAnsi="仿宋_GB2312" w:eastAsia="仿宋_GB2312" w:cs="仿宋_GB2312"/>
          <w:spacing w:val="-2"/>
          <w:sz w:val="32"/>
          <w:szCs w:val="32"/>
        </w:rPr>
        <w:t>为：3KVA，后备时间为：3.5小时，电池输出电压为：230V±5%V</w:t>
      </w:r>
      <w:r>
        <w:rPr>
          <w:rFonts w:hint="eastAsia" w:ascii="仿宋_GB2312" w:hAnsi="仿宋_GB2312" w:eastAsia="仿宋_GB2312" w:cs="仿宋_GB2312"/>
          <w:spacing w:val="-10"/>
          <w:sz w:val="32"/>
          <w:szCs w:val="32"/>
        </w:rPr>
        <w:t>。</w:t>
      </w:r>
    </w:p>
    <w:p w14:paraId="212DFD55">
      <w:pPr>
        <w:pStyle w:val="12"/>
        <w:keepNext w:val="0"/>
        <w:keepLines w:val="0"/>
        <w:pageBreakBefore w:val="0"/>
        <w:widowControl w:val="0"/>
        <w:numPr>
          <w:numId w:val="0"/>
        </w:numPr>
        <w:tabs>
          <w:tab w:val="left" w:pos="1010"/>
        </w:tabs>
        <w:kinsoku/>
        <w:wordWrap/>
        <w:overflowPunct/>
        <w:topLinePunct w:val="0"/>
        <w:autoSpaceDE w:val="0"/>
        <w:autoSpaceDN w:val="0"/>
        <w:bidi w:val="0"/>
        <w:adjustRightInd/>
        <w:snapToGrid/>
        <w:spacing w:line="560" w:lineRule="exact"/>
        <w:ind w:firstLine="632" w:firstLineChars="200"/>
        <w:jc w:val="both"/>
        <w:textAlignment w:val="auto"/>
        <w:rPr>
          <w:rFonts w:hint="eastAsia" w:ascii="仿宋_GB2312" w:hAnsi="仿宋_GB2312" w:eastAsia="仿宋_GB2312" w:cs="仿宋_GB2312"/>
          <w:spacing w:val="-2"/>
          <w:sz w:val="32"/>
          <w:szCs w:val="32"/>
        </w:rPr>
      </w:pPr>
      <w:r>
        <w:rPr>
          <w:rFonts w:hint="eastAsia" w:ascii="仿宋_GB2312" w:hAnsi="仿宋_GB2312" w:eastAsia="仿宋_GB2312" w:cs="仿宋_GB2312"/>
          <w:spacing w:val="-2"/>
          <w:sz w:val="32"/>
          <w:szCs w:val="32"/>
          <w:lang w:val="en-US" w:eastAsia="zh-CN"/>
        </w:rPr>
        <w:t>5.</w:t>
      </w:r>
      <w:r>
        <w:rPr>
          <w:rFonts w:hint="eastAsia" w:ascii="仿宋_GB2312" w:hAnsi="仿宋_GB2312" w:eastAsia="仿宋_GB2312" w:cs="仿宋_GB2312"/>
          <w:spacing w:val="-2"/>
          <w:sz w:val="32"/>
          <w:szCs w:val="32"/>
        </w:rPr>
        <w:t>设置安全通道和警戒线，确保进入赛场的大赛参观、采访、视察的人员限定在安全区域内活动，以保证大赛安全有序进行。</w:t>
      </w:r>
      <w:bookmarkStart w:id="14" w:name="（二）技术平台"/>
      <w:bookmarkEnd w:id="14"/>
    </w:p>
    <w:p w14:paraId="7CBE6F9C">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二</w:t>
      </w:r>
      <w:r>
        <w:rPr>
          <w:rFonts w:hint="eastAsia" w:ascii="楷体" w:hAnsi="楷体" w:eastAsia="楷体" w:cs="楷体"/>
          <w:sz w:val="32"/>
          <w:szCs w:val="32"/>
          <w:lang w:eastAsia="zh-CN"/>
        </w:rPr>
        <w:t>）技术平台</w:t>
      </w:r>
    </w:p>
    <w:p w14:paraId="57C4800E">
      <w:pPr>
        <w:pStyle w:val="12"/>
        <w:keepNext w:val="0"/>
        <w:keepLines w:val="0"/>
        <w:pageBreakBefore w:val="0"/>
        <w:widowControl w:val="0"/>
        <w:numPr>
          <w:numId w:val="0"/>
        </w:numPr>
        <w:tabs>
          <w:tab w:val="left" w:pos="1009"/>
        </w:tabs>
        <w:kinsoku/>
        <w:wordWrap/>
        <w:overflowPunct/>
        <w:topLinePunct w:val="0"/>
        <w:autoSpaceDE w:val="0"/>
        <w:autoSpaceDN w:val="0"/>
        <w:bidi w:val="0"/>
        <w:adjustRightInd/>
        <w:snapToGrid/>
        <w:spacing w:before="72" w:line="560" w:lineRule="exact"/>
        <w:ind w:right="236" w:rightChars="0" w:firstLine="632" w:firstLineChars="200"/>
        <w:jc w:val="both"/>
        <w:textAlignment w:val="auto"/>
        <w:rPr>
          <w:rFonts w:hint="eastAsia" w:ascii="仿宋_GB2312" w:hAnsi="仿宋_GB2312" w:eastAsia="仿宋_GB2312" w:cs="仿宋_GB2312"/>
          <w:spacing w:val="-2"/>
          <w:sz w:val="32"/>
          <w:szCs w:val="32"/>
        </w:rPr>
      </w:pPr>
      <w:r>
        <w:rPr>
          <w:rFonts w:hint="eastAsia" w:ascii="仿宋_GB2312" w:hAnsi="仿宋_GB2312" w:eastAsia="仿宋_GB2312" w:cs="仿宋_GB2312"/>
          <w:spacing w:val="-2"/>
          <w:sz w:val="32"/>
          <w:szCs w:val="32"/>
          <w:lang w:val="en-US" w:eastAsia="zh-CN"/>
        </w:rPr>
        <w:t>1.</w:t>
      </w:r>
      <w:r>
        <w:rPr>
          <w:rFonts w:hint="eastAsia" w:ascii="仿宋_GB2312" w:hAnsi="仿宋_GB2312" w:eastAsia="仿宋_GB2312" w:cs="仿宋_GB2312"/>
          <w:spacing w:val="-2"/>
          <w:sz w:val="32"/>
          <w:szCs w:val="32"/>
        </w:rPr>
        <w:t>企业经营沙盘模拟平台包含①管理端：用于管理裁判账号和导</w:t>
      </w:r>
      <w:r>
        <w:rPr>
          <w:rFonts w:hint="eastAsia" w:ascii="仿宋_GB2312" w:hAnsi="仿宋_GB2312" w:eastAsia="仿宋_GB2312" w:cs="仿宋_GB2312"/>
          <w:spacing w:val="-4"/>
          <w:sz w:val="32"/>
          <w:szCs w:val="32"/>
        </w:rPr>
        <w:t>入规则。②裁判端：可创建比赛，控制学生经营进度，有导入学生账号、查看规则、切换季度、选单管理、一键导出、财务报表、成绩查看等功能；③学生端：为学生考试端，登录后可直接进行操作、包含</w:t>
      </w:r>
      <w:r>
        <w:rPr>
          <w:rFonts w:hint="eastAsia" w:ascii="仿宋_GB2312" w:hAnsi="仿宋_GB2312" w:eastAsia="仿宋_GB2312" w:cs="仿宋_GB2312"/>
          <w:spacing w:val="-2"/>
          <w:sz w:val="32"/>
          <w:szCs w:val="32"/>
        </w:rPr>
        <w:t>规则查看、市场预测等辅助功能。</w:t>
      </w:r>
    </w:p>
    <w:p w14:paraId="6847A5A6">
      <w:pPr>
        <w:pStyle w:val="12"/>
        <w:keepNext w:val="0"/>
        <w:keepLines w:val="0"/>
        <w:pageBreakBefore w:val="0"/>
        <w:widowControl w:val="0"/>
        <w:numPr>
          <w:numId w:val="0"/>
        </w:numPr>
        <w:tabs>
          <w:tab w:val="left" w:pos="1009"/>
        </w:tabs>
        <w:kinsoku/>
        <w:wordWrap/>
        <w:overflowPunct/>
        <w:topLinePunct w:val="0"/>
        <w:autoSpaceDE w:val="0"/>
        <w:autoSpaceDN w:val="0"/>
        <w:bidi w:val="0"/>
        <w:adjustRightInd/>
        <w:snapToGrid/>
        <w:spacing w:before="72" w:line="560" w:lineRule="exact"/>
        <w:ind w:right="236" w:rightChars="0" w:firstLine="628" w:firstLineChars="200"/>
        <w:jc w:val="both"/>
        <w:textAlignment w:val="auto"/>
        <w:rPr>
          <w:rFonts w:hint="eastAsia"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lang w:val="en-US" w:eastAsia="zh-CN"/>
        </w:rPr>
        <w:t>2.</w:t>
      </w:r>
      <w:r>
        <w:rPr>
          <w:rFonts w:hint="eastAsia" w:ascii="仿宋_GB2312" w:hAnsi="仿宋_GB2312" w:eastAsia="仿宋_GB2312" w:cs="仿宋_GB2312"/>
          <w:spacing w:val="-3"/>
          <w:sz w:val="32"/>
          <w:szCs w:val="32"/>
        </w:rPr>
        <w:t>企业经营沙盘模拟尽可能安排在同一场地进行不同赛区比赛。</w:t>
      </w:r>
    </w:p>
    <w:p w14:paraId="598255F3">
      <w:pPr>
        <w:pStyle w:val="12"/>
        <w:keepNext w:val="0"/>
        <w:keepLines w:val="0"/>
        <w:pageBreakBefore w:val="0"/>
        <w:widowControl w:val="0"/>
        <w:numPr>
          <w:numId w:val="0"/>
        </w:numPr>
        <w:tabs>
          <w:tab w:val="left" w:pos="1009"/>
        </w:tabs>
        <w:kinsoku/>
        <w:wordWrap/>
        <w:overflowPunct/>
        <w:topLinePunct w:val="0"/>
        <w:autoSpaceDE w:val="0"/>
        <w:autoSpaceDN w:val="0"/>
        <w:bidi w:val="0"/>
        <w:adjustRightInd/>
        <w:snapToGrid/>
        <w:spacing w:before="72" w:line="560" w:lineRule="exact"/>
        <w:ind w:right="236" w:rightChars="0" w:firstLine="612" w:firstLineChars="200"/>
        <w:jc w:val="both"/>
        <w:textAlignment w:val="auto"/>
        <w:rPr>
          <w:rFonts w:hint="eastAsia" w:ascii="仿宋_GB2312" w:hAnsi="仿宋_GB2312" w:eastAsia="仿宋_GB2312" w:cs="仿宋_GB2312"/>
          <w:spacing w:val="-2"/>
          <w:sz w:val="32"/>
          <w:szCs w:val="32"/>
        </w:rPr>
      </w:pPr>
      <w:r>
        <w:rPr>
          <w:rFonts w:hint="eastAsia" w:ascii="仿宋_GB2312" w:hAnsi="仿宋_GB2312" w:eastAsia="仿宋_GB2312" w:cs="仿宋_GB2312"/>
          <w:spacing w:val="-7"/>
          <w:sz w:val="32"/>
          <w:szCs w:val="32"/>
          <w:lang w:val="en-US" w:eastAsia="zh-CN"/>
        </w:rPr>
        <w:t>3.</w:t>
      </w:r>
      <w:r>
        <w:rPr>
          <w:rFonts w:hint="eastAsia" w:ascii="仿宋_GB2312" w:hAnsi="仿宋_GB2312" w:eastAsia="仿宋_GB2312" w:cs="仿宋_GB2312"/>
          <w:spacing w:val="-7"/>
          <w:sz w:val="32"/>
          <w:szCs w:val="32"/>
        </w:rPr>
        <w:t>赛场每台位配置计算机</w:t>
      </w:r>
      <w:r>
        <w:rPr>
          <w:rFonts w:hint="eastAsia" w:ascii="仿宋_GB2312" w:hAnsi="仿宋_GB2312" w:eastAsia="仿宋_GB2312" w:cs="仿宋_GB2312"/>
          <w:sz w:val="32"/>
          <w:szCs w:val="32"/>
        </w:rPr>
        <w:t>4</w:t>
      </w:r>
      <w:r>
        <w:rPr>
          <w:rFonts w:hint="eastAsia" w:ascii="仿宋_GB2312" w:hAnsi="仿宋_GB2312" w:eastAsia="仿宋_GB2312" w:cs="仿宋_GB2312"/>
          <w:spacing w:val="-14"/>
          <w:sz w:val="32"/>
          <w:szCs w:val="32"/>
        </w:rPr>
        <w:t>台，纸质的运行记录表、综合费用表、</w:t>
      </w:r>
      <w:r>
        <w:rPr>
          <w:rFonts w:hint="eastAsia" w:ascii="仿宋_GB2312" w:hAnsi="仿宋_GB2312" w:eastAsia="仿宋_GB2312" w:cs="仿宋_GB2312"/>
          <w:sz w:val="32"/>
          <w:szCs w:val="32"/>
        </w:rPr>
        <w:t>利润表、资产负债表、笔（水笔、铅笔）、稿纸和计算器（4台）等</w:t>
      </w:r>
      <w:r>
        <w:rPr>
          <w:rFonts w:hint="eastAsia" w:ascii="仿宋_GB2312" w:hAnsi="仿宋_GB2312" w:eastAsia="仿宋_GB2312" w:cs="仿宋_GB2312"/>
          <w:spacing w:val="-2"/>
          <w:sz w:val="32"/>
          <w:szCs w:val="32"/>
        </w:rPr>
        <w:t>与竞赛相关的物品。</w:t>
      </w:r>
    </w:p>
    <w:p w14:paraId="5B0F6324">
      <w:pPr>
        <w:pStyle w:val="12"/>
        <w:keepNext w:val="0"/>
        <w:keepLines w:val="0"/>
        <w:pageBreakBefore w:val="0"/>
        <w:widowControl w:val="0"/>
        <w:numPr>
          <w:numId w:val="0"/>
        </w:numPr>
        <w:tabs>
          <w:tab w:val="left" w:pos="1009"/>
        </w:tabs>
        <w:kinsoku/>
        <w:wordWrap/>
        <w:overflowPunct/>
        <w:topLinePunct w:val="0"/>
        <w:autoSpaceDE w:val="0"/>
        <w:autoSpaceDN w:val="0"/>
        <w:bidi w:val="0"/>
        <w:adjustRightInd/>
        <w:snapToGrid/>
        <w:spacing w:before="72" w:line="560" w:lineRule="exact"/>
        <w:ind w:right="236" w:rightChars="0" w:firstLine="628" w:firstLineChars="200"/>
        <w:jc w:val="both"/>
        <w:textAlignment w:val="auto"/>
        <w:rPr>
          <w:rFonts w:hint="eastAsia"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lang w:val="en-US" w:eastAsia="zh-CN"/>
        </w:rPr>
        <w:t>4.</w:t>
      </w:r>
      <w:r>
        <w:rPr>
          <w:rFonts w:hint="eastAsia" w:ascii="仿宋_GB2312" w:hAnsi="仿宋_GB2312" w:eastAsia="仿宋_GB2312" w:cs="仿宋_GB2312"/>
          <w:spacing w:val="-3"/>
          <w:sz w:val="32"/>
          <w:szCs w:val="32"/>
        </w:rPr>
        <w:t>服务器及学生机要求</w:t>
      </w:r>
    </w:p>
    <w:p w14:paraId="70F4DA2E">
      <w:pPr>
        <w:pStyle w:val="12"/>
        <w:keepNext w:val="0"/>
        <w:keepLines w:val="0"/>
        <w:pageBreakBefore w:val="0"/>
        <w:widowControl w:val="0"/>
        <w:numPr>
          <w:numId w:val="0"/>
        </w:numPr>
        <w:tabs>
          <w:tab w:val="left" w:pos="1009"/>
        </w:tabs>
        <w:kinsoku/>
        <w:wordWrap/>
        <w:overflowPunct/>
        <w:topLinePunct w:val="0"/>
        <w:autoSpaceDE w:val="0"/>
        <w:autoSpaceDN w:val="0"/>
        <w:bidi w:val="0"/>
        <w:adjustRightInd/>
        <w:snapToGrid/>
        <w:spacing w:before="72" w:line="560" w:lineRule="exact"/>
        <w:ind w:right="236" w:rightChars="0" w:firstLine="5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pacing w:val="-25"/>
          <w:sz w:val="32"/>
          <w:szCs w:val="32"/>
        </w:rPr>
        <w:t>服务器：①数量</w:t>
      </w:r>
      <w:r>
        <w:rPr>
          <w:rFonts w:hint="eastAsia" w:ascii="仿宋_GB2312" w:hAnsi="仿宋_GB2312" w:eastAsia="仿宋_GB2312" w:cs="仿宋_GB2312"/>
          <w:spacing w:val="-10"/>
          <w:sz w:val="32"/>
          <w:szCs w:val="32"/>
        </w:rPr>
        <w:t>2</w:t>
      </w:r>
      <w:r>
        <w:rPr>
          <w:rFonts w:hint="eastAsia" w:ascii="仿宋_GB2312" w:hAnsi="仿宋_GB2312" w:eastAsia="仿宋_GB2312" w:cs="仿宋_GB2312"/>
          <w:spacing w:val="-30"/>
          <w:sz w:val="32"/>
          <w:szCs w:val="32"/>
        </w:rPr>
        <w:t>台；②单机硬件要求：</w:t>
      </w:r>
      <w:r>
        <w:rPr>
          <w:rFonts w:hint="eastAsia" w:ascii="仿宋_GB2312" w:hAnsi="仿宋_GB2312" w:eastAsia="仿宋_GB2312" w:cs="仿宋_GB2312"/>
          <w:spacing w:val="29"/>
          <w:sz w:val="32"/>
          <w:szCs w:val="32"/>
        </w:rPr>
        <w:t>CP</w:t>
      </w:r>
      <w:r>
        <w:rPr>
          <w:rFonts w:hint="eastAsia" w:ascii="仿宋_GB2312" w:hAnsi="仿宋_GB2312" w:eastAsia="仿宋_GB2312" w:cs="仿宋_GB2312"/>
          <w:spacing w:val="28"/>
          <w:sz w:val="32"/>
          <w:szCs w:val="32"/>
        </w:rPr>
        <w:t>U</w:t>
      </w:r>
      <w:r>
        <w:rPr>
          <w:rFonts w:hint="eastAsia" w:ascii="仿宋_GB2312" w:hAnsi="仿宋_GB2312" w:eastAsia="仿宋_GB2312" w:cs="仿宋_GB2312"/>
          <w:spacing w:val="-88"/>
          <w:sz w:val="32"/>
          <w:szCs w:val="32"/>
        </w:rPr>
        <w:t>：</w:t>
      </w:r>
      <w:r>
        <w:rPr>
          <w:rFonts w:hint="eastAsia" w:ascii="仿宋_GB2312" w:hAnsi="仿宋_GB2312" w:eastAsia="仿宋_GB2312" w:cs="仿宋_GB2312"/>
          <w:spacing w:val="30"/>
          <w:sz w:val="32"/>
          <w:szCs w:val="32"/>
        </w:rPr>
        <w:t>4</w:t>
      </w:r>
      <w:r>
        <w:rPr>
          <w:rFonts w:hint="eastAsia" w:ascii="仿宋_GB2312" w:hAnsi="仿宋_GB2312" w:eastAsia="仿宋_GB2312" w:cs="仿宋_GB2312"/>
          <w:spacing w:val="-10"/>
          <w:sz w:val="32"/>
          <w:szCs w:val="32"/>
        </w:rPr>
        <w:t>颗银牌(四核)2.0G</w:t>
      </w:r>
      <w:r>
        <w:rPr>
          <w:rFonts w:hint="eastAsia" w:ascii="仿宋_GB2312" w:hAnsi="仿宋_GB2312" w:eastAsia="仿宋_GB2312" w:cs="仿宋_GB2312"/>
          <w:sz w:val="32"/>
          <w:szCs w:val="32"/>
        </w:rPr>
        <w:t>以上；③内存：32GB以上；④硬盘：4块固态硬盘以上，每块容量300G</w:t>
      </w:r>
      <w:r>
        <w:rPr>
          <w:rFonts w:hint="eastAsia" w:ascii="仿宋_GB2312" w:hAnsi="仿宋_GB2312" w:eastAsia="仿宋_GB2312" w:cs="仿宋_GB2312"/>
          <w:spacing w:val="-5"/>
          <w:sz w:val="32"/>
          <w:szCs w:val="32"/>
        </w:rPr>
        <w:t>以上，搭建成</w:t>
      </w:r>
      <w:r>
        <w:rPr>
          <w:rFonts w:hint="eastAsia" w:ascii="仿宋_GB2312" w:hAnsi="仿宋_GB2312" w:eastAsia="仿宋_GB2312" w:cs="仿宋_GB2312"/>
          <w:sz w:val="32"/>
          <w:szCs w:val="32"/>
        </w:rPr>
        <w:t>RAID5；⑤网卡：千兆网卡，2个网口；⑥操作系统：WindowsServer2012标准版；⑦其他：office2007及以上（激</w:t>
      </w:r>
      <w:r>
        <w:rPr>
          <w:rFonts w:hint="eastAsia" w:ascii="仿宋_GB2312" w:hAnsi="仿宋_GB2312" w:eastAsia="仿宋_GB2312" w:cs="仿宋_GB2312"/>
          <w:spacing w:val="-4"/>
          <w:sz w:val="32"/>
          <w:szCs w:val="32"/>
        </w:rPr>
        <w:t>活版）。</w:t>
      </w:r>
    </w:p>
    <w:p w14:paraId="2601DCE3">
      <w:pPr>
        <w:pStyle w:val="4"/>
        <w:keepNext w:val="0"/>
        <w:keepLines w:val="0"/>
        <w:pageBreakBefore w:val="0"/>
        <w:widowControl w:val="0"/>
        <w:kinsoku/>
        <w:wordWrap/>
        <w:overflowPunct/>
        <w:topLinePunct w:val="0"/>
        <w:autoSpaceDE w:val="0"/>
        <w:autoSpaceDN w:val="0"/>
        <w:bidi w:val="0"/>
        <w:adjustRightInd/>
        <w:snapToGrid/>
        <w:spacing w:line="560" w:lineRule="exact"/>
        <w:ind w:right="183"/>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考生机：①硬件要求：CPU：酷睿i52.66G以上，内存不低于</w:t>
      </w:r>
      <w:r>
        <w:rPr>
          <w:rFonts w:hint="eastAsia" w:ascii="仿宋_GB2312" w:hAnsi="仿宋_GB2312" w:eastAsia="仿宋_GB2312" w:cs="仿宋_GB2312"/>
          <w:spacing w:val="-2"/>
          <w:sz w:val="32"/>
          <w:szCs w:val="32"/>
        </w:rPr>
        <w:t>8G</w:t>
      </w:r>
      <w:r>
        <w:rPr>
          <w:rFonts w:hint="eastAsia" w:ascii="仿宋_GB2312" w:hAnsi="仿宋_GB2312" w:eastAsia="仿宋_GB2312" w:cs="仿宋_GB2312"/>
          <w:spacing w:val="-7"/>
          <w:sz w:val="32"/>
          <w:szCs w:val="32"/>
        </w:rPr>
        <w:t>，硬盘不低于</w:t>
      </w:r>
      <w:r>
        <w:rPr>
          <w:rFonts w:hint="eastAsia" w:ascii="仿宋_GB2312" w:hAnsi="仿宋_GB2312" w:eastAsia="仿宋_GB2312" w:cs="仿宋_GB2312"/>
          <w:spacing w:val="-2"/>
          <w:sz w:val="32"/>
          <w:szCs w:val="32"/>
        </w:rPr>
        <w:t>500G(</w:t>
      </w:r>
      <w:r>
        <w:rPr>
          <w:rFonts w:hint="eastAsia" w:ascii="仿宋_GB2312" w:hAnsi="仿宋_GB2312" w:eastAsia="仿宋_GB2312" w:cs="仿宋_GB2312"/>
          <w:spacing w:val="-18"/>
          <w:sz w:val="32"/>
          <w:szCs w:val="32"/>
        </w:rPr>
        <w:t>含</w:t>
      </w:r>
      <w:r>
        <w:rPr>
          <w:rFonts w:hint="eastAsia" w:ascii="仿宋_GB2312" w:hAnsi="仿宋_GB2312" w:eastAsia="仿宋_GB2312" w:cs="仿宋_GB2312"/>
          <w:spacing w:val="-2"/>
          <w:sz w:val="32"/>
          <w:szCs w:val="32"/>
        </w:rPr>
        <w:t>256g固态硬盘)，千兆网卡；②软件要求：</w:t>
      </w:r>
      <w:r>
        <w:rPr>
          <w:rFonts w:hint="eastAsia" w:ascii="仿宋_GB2312" w:hAnsi="仿宋_GB2312" w:eastAsia="仿宋_GB2312" w:cs="仿宋_GB2312"/>
          <w:sz w:val="32"/>
          <w:szCs w:val="32"/>
        </w:rPr>
        <w:t>操作系统：Windows1064位（激活版）</w:t>
      </w:r>
      <w:r>
        <w:rPr>
          <w:rFonts w:hint="eastAsia" w:ascii="仿宋_GB2312" w:hAnsi="仿宋_GB2312" w:eastAsia="仿宋_GB2312" w:cs="仿宋_GB2312"/>
          <w:spacing w:val="-5"/>
          <w:sz w:val="32"/>
          <w:szCs w:val="32"/>
        </w:rPr>
        <w:t>；④谷歌浏览器</w:t>
      </w:r>
      <w:r>
        <w:rPr>
          <w:rFonts w:hint="eastAsia" w:ascii="仿宋_GB2312" w:hAnsi="仿宋_GB2312" w:eastAsia="仿宋_GB2312" w:cs="仿宋_GB2312"/>
          <w:sz w:val="32"/>
          <w:szCs w:val="32"/>
        </w:rPr>
        <w:t>100以上版本；⑤其他：常用输入法、office2007及以上（激活版）；⑥录屏软</w:t>
      </w:r>
      <w:r>
        <w:rPr>
          <w:rFonts w:hint="eastAsia" w:ascii="仿宋_GB2312" w:hAnsi="仿宋_GB2312" w:eastAsia="仿宋_GB2312" w:cs="仿宋_GB2312"/>
          <w:spacing w:val="-10"/>
          <w:sz w:val="32"/>
          <w:szCs w:val="32"/>
        </w:rPr>
        <w:t>件</w:t>
      </w:r>
    </w:p>
    <w:p w14:paraId="4EBDF642">
      <w:pPr>
        <w:pStyle w:val="4"/>
        <w:keepNext w:val="0"/>
        <w:keepLines w:val="0"/>
        <w:pageBreakBefore w:val="0"/>
        <w:widowControl w:val="0"/>
        <w:kinsoku/>
        <w:wordWrap/>
        <w:overflowPunct/>
        <w:topLinePunct w:val="0"/>
        <w:autoSpaceDE w:val="0"/>
        <w:autoSpaceDN w:val="0"/>
        <w:bidi w:val="0"/>
        <w:adjustRightInd/>
        <w:snapToGrid/>
        <w:spacing w:line="560" w:lineRule="exact"/>
        <w:ind w:right="238"/>
        <w:jc w:val="both"/>
        <w:textAlignment w:val="auto"/>
        <w:rPr>
          <w:rFonts w:hint="eastAsia" w:ascii="仿宋_GB2312" w:hAnsi="仿宋_GB2312" w:eastAsia="仿宋_GB2312" w:cs="仿宋_GB2312"/>
          <w:spacing w:val="-2"/>
          <w:sz w:val="32"/>
          <w:szCs w:val="32"/>
        </w:rPr>
      </w:pPr>
      <w:r>
        <w:rPr>
          <w:rFonts w:hint="eastAsia" w:ascii="仿宋_GB2312" w:hAnsi="仿宋_GB2312" w:eastAsia="仿宋_GB2312" w:cs="仿宋_GB2312"/>
          <w:spacing w:val="-2"/>
          <w:sz w:val="32"/>
          <w:szCs w:val="32"/>
        </w:rPr>
        <w:t>网络系统：①2台千兆核心交换机（双机模式）</w:t>
      </w:r>
      <w:r>
        <w:rPr>
          <w:rFonts w:hint="eastAsia" w:ascii="仿宋_GB2312" w:hAnsi="仿宋_GB2312" w:eastAsia="仿宋_GB2312" w:cs="仿宋_GB2312"/>
          <w:spacing w:val="-18"/>
          <w:sz w:val="32"/>
          <w:szCs w:val="32"/>
        </w:rPr>
        <w:t>和</w:t>
      </w:r>
      <w:r>
        <w:rPr>
          <w:rFonts w:hint="eastAsia" w:ascii="仿宋_GB2312" w:hAnsi="仿宋_GB2312" w:eastAsia="仿宋_GB2312" w:cs="仿宋_GB2312"/>
          <w:spacing w:val="-2"/>
          <w:sz w:val="32"/>
          <w:szCs w:val="32"/>
        </w:rPr>
        <w:t>9台接入交换</w:t>
      </w:r>
      <w:r>
        <w:rPr>
          <w:rFonts w:hint="eastAsia" w:ascii="仿宋_GB2312" w:hAnsi="仿宋_GB2312" w:eastAsia="仿宋_GB2312" w:cs="仿宋_GB2312"/>
          <w:sz w:val="32"/>
          <w:szCs w:val="32"/>
        </w:rPr>
        <w:t>机（48口）</w:t>
      </w:r>
      <w:r>
        <w:rPr>
          <w:rFonts w:hint="eastAsia" w:ascii="仿宋_GB2312" w:hAnsi="仿宋_GB2312" w:eastAsia="仿宋_GB2312" w:cs="仿宋_GB2312"/>
          <w:spacing w:val="-7"/>
          <w:sz w:val="32"/>
          <w:szCs w:val="32"/>
        </w:rPr>
        <w:t>，并提供</w:t>
      </w:r>
      <w:r>
        <w:rPr>
          <w:rFonts w:hint="eastAsia" w:ascii="仿宋_GB2312" w:hAnsi="仿宋_GB2312" w:eastAsia="仿宋_GB2312" w:cs="仿宋_GB2312"/>
          <w:sz w:val="32"/>
          <w:szCs w:val="32"/>
        </w:rPr>
        <w:t>1</w:t>
      </w:r>
      <w:r>
        <w:rPr>
          <w:rFonts w:hint="eastAsia" w:ascii="仿宋_GB2312" w:hAnsi="仿宋_GB2312" w:eastAsia="仿宋_GB2312" w:cs="仿宋_GB2312"/>
          <w:spacing w:val="-5"/>
          <w:sz w:val="32"/>
          <w:szCs w:val="32"/>
        </w:rPr>
        <w:t>台核心交换机及</w:t>
      </w:r>
      <w:r>
        <w:rPr>
          <w:rFonts w:hint="eastAsia" w:ascii="仿宋_GB2312" w:hAnsi="仿宋_GB2312" w:eastAsia="仿宋_GB2312" w:cs="仿宋_GB2312"/>
          <w:sz w:val="32"/>
          <w:szCs w:val="32"/>
        </w:rPr>
        <w:t>4台接入交换机备用；②不</w:t>
      </w:r>
      <w:r>
        <w:rPr>
          <w:rFonts w:hint="eastAsia" w:ascii="仿宋_GB2312" w:hAnsi="仿宋_GB2312" w:eastAsia="仿宋_GB2312" w:cs="仿宋_GB2312"/>
          <w:spacing w:val="-2"/>
          <w:sz w:val="32"/>
          <w:szCs w:val="32"/>
        </w:rPr>
        <w:t>允许使用无盘工作站及云桌面部署。</w:t>
      </w:r>
      <w:bookmarkStart w:id="15" w:name="九、竞赛样题"/>
      <w:bookmarkEnd w:id="15"/>
    </w:p>
    <w:p w14:paraId="43066525">
      <w:pPr>
        <w:pStyle w:val="4"/>
        <w:keepNext w:val="0"/>
        <w:keepLines w:val="0"/>
        <w:pageBreakBefore w:val="0"/>
        <w:widowControl w:val="0"/>
        <w:kinsoku/>
        <w:wordWrap/>
        <w:overflowPunct/>
        <w:topLinePunct w:val="0"/>
        <w:autoSpaceDE w:val="0"/>
        <w:autoSpaceDN w:val="0"/>
        <w:bidi w:val="0"/>
        <w:adjustRightInd/>
        <w:snapToGrid/>
        <w:spacing w:line="560" w:lineRule="exact"/>
        <w:ind w:right="238"/>
        <w:jc w:val="both"/>
        <w:textAlignment w:val="auto"/>
        <w:rPr>
          <w:rFonts w:hint="eastAsia" w:ascii="黑体" w:hAnsi="黑体" w:eastAsia="黑体" w:cs="黑体"/>
          <w:b w:val="0"/>
          <w:bCs w:val="0"/>
          <w:spacing w:val="-6"/>
          <w:sz w:val="32"/>
          <w:szCs w:val="32"/>
        </w:rPr>
      </w:pPr>
      <w:r>
        <w:rPr>
          <w:rFonts w:hint="eastAsia" w:ascii="黑体" w:hAnsi="黑体" w:eastAsia="黑体" w:cs="黑体"/>
          <w:spacing w:val="-2"/>
          <w:sz w:val="32"/>
          <w:szCs w:val="32"/>
          <w:lang w:val="en-US" w:eastAsia="zh-CN"/>
        </w:rPr>
        <w:t>九、</w:t>
      </w:r>
      <w:r>
        <w:rPr>
          <w:rFonts w:hint="eastAsia" w:ascii="黑体" w:hAnsi="黑体" w:eastAsia="黑体" w:cs="黑体"/>
          <w:b w:val="0"/>
          <w:bCs w:val="0"/>
          <w:spacing w:val="-6"/>
          <w:sz w:val="32"/>
          <w:szCs w:val="32"/>
        </w:rPr>
        <w:t>竞赛样题</w:t>
      </w:r>
    </w:p>
    <w:p w14:paraId="47BE2628">
      <w:pPr>
        <w:pStyle w:val="4"/>
        <w:keepNext w:val="0"/>
        <w:keepLines w:val="0"/>
        <w:pageBreakBefore w:val="0"/>
        <w:widowControl w:val="0"/>
        <w:kinsoku/>
        <w:wordWrap/>
        <w:overflowPunct/>
        <w:topLinePunct w:val="0"/>
        <w:autoSpaceDE w:val="0"/>
        <w:autoSpaceDN w:val="0"/>
        <w:bidi w:val="0"/>
        <w:adjustRightInd/>
        <w:snapToGrid/>
        <w:spacing w:line="560" w:lineRule="exact"/>
        <w:ind w:right="238"/>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pacing w:val="-18"/>
          <w:sz w:val="32"/>
          <w:szCs w:val="32"/>
        </w:rPr>
        <w:t>样题包含</w:t>
      </w:r>
      <w:r>
        <w:rPr>
          <w:rFonts w:hint="eastAsia" w:ascii="仿宋_GB2312" w:hAnsi="仿宋_GB2312" w:eastAsia="仿宋_GB2312" w:cs="仿宋_GB2312"/>
          <w:spacing w:val="-4"/>
          <w:sz w:val="32"/>
          <w:szCs w:val="32"/>
        </w:rPr>
        <w:t>2个部分：固定经营参数与可变经营参数。不同赛题变</w:t>
      </w:r>
      <w:r>
        <w:rPr>
          <w:rFonts w:hint="eastAsia" w:ascii="仿宋_GB2312" w:hAnsi="仿宋_GB2312" w:eastAsia="仿宋_GB2312" w:cs="仿宋_GB2312"/>
          <w:spacing w:val="-2"/>
          <w:sz w:val="32"/>
          <w:szCs w:val="32"/>
        </w:rPr>
        <w:t>更可变经营参数：</w:t>
      </w:r>
    </w:p>
    <w:p w14:paraId="276FE4EC">
      <w:pPr>
        <w:pStyle w:val="3"/>
        <w:keepNext w:val="0"/>
        <w:keepLines w:val="0"/>
        <w:pageBreakBefore w:val="0"/>
        <w:widowControl w:val="0"/>
        <w:numPr>
          <w:numId w:val="0"/>
        </w:numPr>
        <w:tabs>
          <w:tab w:val="left" w:pos="1640"/>
        </w:tabs>
        <w:kinsoku/>
        <w:wordWrap/>
        <w:overflowPunct/>
        <w:topLinePunct w:val="0"/>
        <w:autoSpaceDE w:val="0"/>
        <w:autoSpaceDN w:val="0"/>
        <w:bidi w:val="0"/>
        <w:adjustRightInd/>
        <w:snapToGrid/>
        <w:spacing w:before="36" w:line="560" w:lineRule="exact"/>
        <w:ind w:firstLine="635" w:firstLineChars="200"/>
        <w:jc w:val="both"/>
        <w:textAlignment w:val="auto"/>
        <w:rPr>
          <w:rFonts w:hint="eastAsia" w:ascii="仿宋_GB2312" w:hAnsi="仿宋_GB2312" w:eastAsia="仿宋_GB2312" w:cs="仿宋_GB2312"/>
          <w:sz w:val="32"/>
          <w:szCs w:val="32"/>
        </w:rPr>
      </w:pPr>
      <w:bookmarkStart w:id="16" w:name="（一）固定经营参数（制题时不可改变）"/>
      <w:bookmarkEnd w:id="16"/>
      <w:r>
        <w:rPr>
          <w:rFonts w:hint="eastAsia" w:ascii="仿宋_GB2312" w:hAnsi="仿宋_GB2312" w:eastAsia="仿宋_GB2312" w:cs="仿宋_GB2312"/>
          <w:spacing w:val="-2"/>
          <w:sz w:val="32"/>
          <w:szCs w:val="32"/>
          <w:lang w:eastAsia="zh-CN"/>
        </w:rPr>
        <w:t>（</w:t>
      </w:r>
      <w:r>
        <w:rPr>
          <w:rFonts w:hint="eastAsia" w:ascii="仿宋_GB2312" w:hAnsi="仿宋_GB2312" w:eastAsia="仿宋_GB2312" w:cs="仿宋_GB2312"/>
          <w:spacing w:val="-2"/>
          <w:sz w:val="32"/>
          <w:szCs w:val="32"/>
          <w:lang w:val="en-US" w:eastAsia="zh-CN"/>
        </w:rPr>
        <w:t>一</w:t>
      </w:r>
      <w:r>
        <w:rPr>
          <w:rFonts w:hint="eastAsia" w:ascii="仿宋_GB2312" w:hAnsi="仿宋_GB2312" w:eastAsia="仿宋_GB2312" w:cs="仿宋_GB2312"/>
          <w:spacing w:val="-2"/>
          <w:sz w:val="32"/>
          <w:szCs w:val="32"/>
          <w:lang w:eastAsia="zh-CN"/>
        </w:rPr>
        <w:t>）</w:t>
      </w:r>
      <w:r>
        <w:rPr>
          <w:rFonts w:hint="eastAsia" w:ascii="仿宋_GB2312" w:hAnsi="仿宋_GB2312" w:eastAsia="仿宋_GB2312" w:cs="仿宋_GB2312"/>
          <w:spacing w:val="-2"/>
          <w:sz w:val="32"/>
          <w:szCs w:val="32"/>
        </w:rPr>
        <w:t>固定经营参数（制题时不可改变</w:t>
      </w:r>
      <w:r>
        <w:rPr>
          <w:rFonts w:hint="eastAsia" w:ascii="仿宋_GB2312" w:hAnsi="仿宋_GB2312" w:eastAsia="仿宋_GB2312" w:cs="仿宋_GB2312"/>
          <w:spacing w:val="-10"/>
          <w:sz w:val="32"/>
          <w:szCs w:val="32"/>
        </w:rPr>
        <w:t>）</w:t>
      </w:r>
    </w:p>
    <w:p w14:paraId="137025D9">
      <w:pPr>
        <w:pStyle w:val="4"/>
        <w:keepNext w:val="0"/>
        <w:keepLines w:val="0"/>
        <w:pageBreakBefore w:val="0"/>
        <w:widowControl w:val="0"/>
        <w:kinsoku/>
        <w:wordWrap/>
        <w:overflowPunct/>
        <w:topLinePunct w:val="0"/>
        <w:autoSpaceDE w:val="0"/>
        <w:autoSpaceDN w:val="0"/>
        <w:bidi w:val="0"/>
        <w:adjustRightInd/>
        <w:snapToGrid/>
        <w:spacing w:before="72" w:line="560" w:lineRule="exact"/>
        <w:ind w:left="800" w:firstLine="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pacing w:val="-10"/>
          <w:sz w:val="32"/>
          <w:szCs w:val="32"/>
        </w:rPr>
        <w:t>固定经营参数如表</w:t>
      </w:r>
      <w:r>
        <w:rPr>
          <w:rFonts w:hint="eastAsia" w:ascii="仿宋_GB2312" w:hAnsi="仿宋_GB2312" w:eastAsia="仿宋_GB2312" w:cs="仿宋_GB2312"/>
          <w:spacing w:val="-2"/>
          <w:sz w:val="32"/>
          <w:szCs w:val="32"/>
        </w:rPr>
        <w:t>9-1</w:t>
      </w:r>
      <w:r>
        <w:rPr>
          <w:rFonts w:hint="eastAsia" w:ascii="仿宋_GB2312" w:hAnsi="仿宋_GB2312" w:eastAsia="仿宋_GB2312" w:cs="仿宋_GB2312"/>
          <w:spacing w:val="-5"/>
          <w:sz w:val="32"/>
          <w:szCs w:val="32"/>
        </w:rPr>
        <w:t>所示。</w:t>
      </w:r>
    </w:p>
    <w:p w14:paraId="0EFEBCF5">
      <w:pPr>
        <w:spacing w:before="104" w:line="360" w:lineRule="auto"/>
        <w:ind w:left="7" w:right="2"/>
        <w:jc w:val="center"/>
        <w:rPr>
          <w:rFonts w:ascii="Microsoft JhengHei" w:eastAsia="Microsoft JhengHei"/>
          <w:b/>
          <w:sz w:val="24"/>
        </w:rPr>
      </w:pPr>
      <w:r>
        <w:rPr>
          <w:rFonts w:ascii="Microsoft JhengHei" w:eastAsia="Microsoft JhengHei"/>
          <w:b/>
          <w:sz w:val="24"/>
        </w:rPr>
        <mc:AlternateContent>
          <mc:Choice Requires="wps">
            <w:drawing>
              <wp:anchor distT="0" distB="0" distL="0" distR="0" simplePos="0" relativeHeight="251659264" behindDoc="1" locked="0" layoutInCell="1" allowOverlap="1">
                <wp:simplePos x="0" y="0"/>
                <wp:positionH relativeFrom="page">
                  <wp:posOffset>1104265</wp:posOffset>
                </wp:positionH>
                <wp:positionV relativeFrom="paragraph">
                  <wp:posOffset>311150</wp:posOffset>
                </wp:positionV>
                <wp:extent cx="5357495" cy="1590675"/>
                <wp:effectExtent l="0" t="0" r="0" b="0"/>
                <wp:wrapSquare wrapText="bothSides"/>
                <wp:docPr id="2" name="Textbox 2"/>
                <wp:cNvGraphicFramePr/>
                <a:graphic xmlns:a="http://schemas.openxmlformats.org/drawingml/2006/main">
                  <a:graphicData uri="http://schemas.microsoft.com/office/word/2010/wordprocessingShape">
                    <wps:wsp>
                      <wps:cNvSpPr txBox="1"/>
                      <wps:spPr>
                        <a:xfrm>
                          <a:off x="0" y="0"/>
                          <a:ext cx="5357495" cy="1590675"/>
                        </a:xfrm>
                        <a:prstGeom prst="rect">
                          <a:avLst/>
                        </a:prstGeom>
                      </wps:spPr>
                      <wps:txbx>
                        <w:txbxContent>
                          <w:tbl>
                            <w:tblPr>
                              <w:tblStyle w:val="9"/>
                              <w:tblW w:w="0" w:type="auto"/>
                              <w:tblInd w:w="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21"/>
                              <w:gridCol w:w="2248"/>
                              <w:gridCol w:w="2021"/>
                              <w:gridCol w:w="2022"/>
                            </w:tblGrid>
                            <w:tr w14:paraId="3D31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021" w:type="dxa"/>
                                </w:tcPr>
                                <w:p w14:paraId="622B8A1A">
                                  <w:pPr>
                                    <w:pStyle w:val="13"/>
                                    <w:spacing w:before="57"/>
                                    <w:ind w:left="7" w:right="4"/>
                                  </w:pPr>
                                  <w:r>
                                    <w:rPr>
                                      <w:spacing w:val="-4"/>
                                    </w:rPr>
                                    <w:t>贷款总额度</w:t>
                                  </w:r>
                                </w:p>
                              </w:tc>
                              <w:tc>
                                <w:tcPr>
                                  <w:tcW w:w="2248" w:type="dxa"/>
                                </w:tcPr>
                                <w:p w14:paraId="178FA15F">
                                  <w:pPr>
                                    <w:pStyle w:val="13"/>
                                    <w:spacing w:before="57"/>
                                    <w:ind w:left="6"/>
                                  </w:pPr>
                                  <w:r>
                                    <w:rPr>
                                      <w:spacing w:val="-7"/>
                                    </w:rPr>
                                    <w:t>上年所有者权益的</w:t>
                                  </w:r>
                                  <w:r>
                                    <w:rPr>
                                      <w:rFonts w:ascii="Times New Roman" w:eastAsia="Times New Roman"/>
                                    </w:rPr>
                                    <w:t>3</w:t>
                                  </w:r>
                                  <w:r>
                                    <w:rPr>
                                      <w:spacing w:val="-10"/>
                                    </w:rPr>
                                    <w:t>倍</w:t>
                                  </w:r>
                                </w:p>
                              </w:tc>
                              <w:tc>
                                <w:tcPr>
                                  <w:tcW w:w="2021" w:type="dxa"/>
                                </w:tcPr>
                                <w:p w14:paraId="6F1CD278">
                                  <w:pPr>
                                    <w:pStyle w:val="13"/>
                                    <w:spacing w:before="57"/>
                                    <w:ind w:left="7" w:right="5"/>
                                  </w:pPr>
                                  <w:r>
                                    <w:rPr>
                                      <w:spacing w:val="-4"/>
                                    </w:rPr>
                                    <w:t>最大长贷年限</w:t>
                                  </w:r>
                                </w:p>
                              </w:tc>
                              <w:tc>
                                <w:tcPr>
                                  <w:tcW w:w="2022" w:type="dxa"/>
                                </w:tcPr>
                                <w:p w14:paraId="491215CC">
                                  <w:pPr>
                                    <w:pStyle w:val="13"/>
                                    <w:spacing w:before="57"/>
                                    <w:ind w:left="7" w:right="4"/>
                                  </w:pPr>
                                  <w:r>
                                    <w:rPr>
                                      <w:rFonts w:ascii="Times New Roman" w:eastAsia="Times New Roman"/>
                                    </w:rPr>
                                    <w:t>2</w:t>
                                  </w:r>
                                  <w:r>
                                    <w:rPr>
                                      <w:spacing w:val="-10"/>
                                    </w:rPr>
                                    <w:t>年</w:t>
                                  </w:r>
                                </w:p>
                              </w:tc>
                            </w:tr>
                            <w:tr w14:paraId="0F051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021" w:type="dxa"/>
                                </w:tcPr>
                                <w:p w14:paraId="0516274B">
                                  <w:pPr>
                                    <w:pStyle w:val="13"/>
                                    <w:spacing w:before="56"/>
                                    <w:ind w:left="7" w:right="4"/>
                                  </w:pPr>
                                  <w:r>
                                    <w:rPr>
                                      <w:spacing w:val="-2"/>
                                    </w:rPr>
                                    <w:t>库存折价率（原料</w:t>
                                  </w:r>
                                  <w:r>
                                    <w:rPr>
                                      <w:spacing w:val="-10"/>
                                    </w:rPr>
                                    <w:t>）</w:t>
                                  </w:r>
                                </w:p>
                              </w:tc>
                              <w:tc>
                                <w:tcPr>
                                  <w:tcW w:w="2248" w:type="dxa"/>
                                </w:tcPr>
                                <w:p w14:paraId="66693BFB">
                                  <w:pPr>
                                    <w:pStyle w:val="13"/>
                                    <w:spacing w:before="70"/>
                                    <w:ind w:left="6" w:right="1"/>
                                    <w:rPr>
                                      <w:rFonts w:ascii="Times New Roman"/>
                                    </w:rPr>
                                  </w:pPr>
                                  <w:r>
                                    <w:rPr>
                                      <w:rFonts w:ascii="Times New Roman"/>
                                      <w:spacing w:val="-5"/>
                                    </w:rPr>
                                    <w:t>80%</w:t>
                                  </w:r>
                                </w:p>
                              </w:tc>
                              <w:tc>
                                <w:tcPr>
                                  <w:tcW w:w="2021" w:type="dxa"/>
                                </w:tcPr>
                                <w:p w14:paraId="7F16392C">
                                  <w:pPr>
                                    <w:pStyle w:val="13"/>
                                    <w:spacing w:before="56"/>
                                    <w:ind w:left="7" w:right="3"/>
                                  </w:pPr>
                                  <w:r>
                                    <w:rPr>
                                      <w:spacing w:val="-2"/>
                                    </w:rPr>
                                    <w:t>库存折价率（产品</w:t>
                                  </w:r>
                                  <w:r>
                                    <w:rPr>
                                      <w:spacing w:val="-10"/>
                                    </w:rPr>
                                    <w:t>）</w:t>
                                  </w:r>
                                </w:p>
                              </w:tc>
                              <w:tc>
                                <w:tcPr>
                                  <w:tcW w:w="2022" w:type="dxa"/>
                                </w:tcPr>
                                <w:p w14:paraId="07B3F74D">
                                  <w:pPr>
                                    <w:pStyle w:val="13"/>
                                    <w:spacing w:before="70"/>
                                    <w:ind w:left="7"/>
                                    <w:rPr>
                                      <w:rFonts w:ascii="Times New Roman"/>
                                    </w:rPr>
                                  </w:pPr>
                                  <w:r>
                                    <w:rPr>
                                      <w:rFonts w:ascii="Times New Roman"/>
                                      <w:spacing w:val="-5"/>
                                    </w:rPr>
                                    <w:t>80%</w:t>
                                  </w:r>
                                </w:p>
                              </w:tc>
                            </w:tr>
                            <w:tr w14:paraId="08F04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021" w:type="dxa"/>
                                </w:tcPr>
                                <w:p w14:paraId="4F2052E2">
                                  <w:pPr>
                                    <w:pStyle w:val="13"/>
                                    <w:spacing w:before="57"/>
                                    <w:ind w:left="7" w:right="2"/>
                                  </w:pPr>
                                  <w:r>
                                    <w:rPr>
                                      <w:spacing w:val="-4"/>
                                    </w:rPr>
                                    <w:t>紧急采购原料价格</w:t>
                                  </w:r>
                                </w:p>
                              </w:tc>
                              <w:tc>
                                <w:tcPr>
                                  <w:tcW w:w="2248" w:type="dxa"/>
                                </w:tcPr>
                                <w:p w14:paraId="6FE5DA63">
                                  <w:pPr>
                                    <w:pStyle w:val="13"/>
                                    <w:spacing w:before="57"/>
                                    <w:ind w:left="6" w:right="2"/>
                                  </w:pPr>
                                  <w:r>
                                    <w:rPr>
                                      <w:spacing w:val="-10"/>
                                    </w:rPr>
                                    <w:t>材料原价的</w:t>
                                  </w:r>
                                  <w:r>
                                    <w:rPr>
                                      <w:rFonts w:ascii="Times New Roman" w:eastAsia="Times New Roman"/>
                                    </w:rPr>
                                    <w:t>2</w:t>
                                  </w:r>
                                  <w:r>
                                    <w:rPr>
                                      <w:spacing w:val="-10"/>
                                    </w:rPr>
                                    <w:t>倍</w:t>
                                  </w:r>
                                </w:p>
                              </w:tc>
                              <w:tc>
                                <w:tcPr>
                                  <w:tcW w:w="2021" w:type="dxa"/>
                                </w:tcPr>
                                <w:p w14:paraId="789C7141">
                                  <w:pPr>
                                    <w:pStyle w:val="13"/>
                                    <w:spacing w:before="57"/>
                                    <w:ind w:left="7"/>
                                  </w:pPr>
                                  <w:r>
                                    <w:rPr>
                                      <w:spacing w:val="-4"/>
                                    </w:rPr>
                                    <w:t>紧急采购产品价格</w:t>
                                  </w:r>
                                </w:p>
                              </w:tc>
                              <w:tc>
                                <w:tcPr>
                                  <w:tcW w:w="2022" w:type="dxa"/>
                                </w:tcPr>
                                <w:p w14:paraId="1E08A811">
                                  <w:pPr>
                                    <w:pStyle w:val="13"/>
                                    <w:spacing w:before="57"/>
                                    <w:ind w:left="7" w:right="2"/>
                                  </w:pPr>
                                  <w:r>
                                    <w:rPr>
                                      <w:spacing w:val="-7"/>
                                    </w:rPr>
                                    <w:t>产品直接成本的</w:t>
                                  </w:r>
                                  <w:r>
                                    <w:rPr>
                                      <w:rFonts w:ascii="Times New Roman" w:eastAsia="Times New Roman"/>
                                    </w:rPr>
                                    <w:t>4</w:t>
                                  </w:r>
                                  <w:r>
                                    <w:rPr>
                                      <w:spacing w:val="-10"/>
                                    </w:rPr>
                                    <w:t>倍</w:t>
                                  </w:r>
                                </w:p>
                              </w:tc>
                            </w:tr>
                            <w:tr w14:paraId="56414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021" w:type="dxa"/>
                                </w:tcPr>
                                <w:p w14:paraId="4E9117AB">
                                  <w:pPr>
                                    <w:pStyle w:val="13"/>
                                    <w:spacing w:before="56"/>
                                    <w:ind w:left="7" w:right="4"/>
                                  </w:pPr>
                                  <w:r>
                                    <w:rPr>
                                      <w:spacing w:val="-4"/>
                                    </w:rPr>
                                    <w:t>所得税率</w:t>
                                  </w:r>
                                </w:p>
                              </w:tc>
                              <w:tc>
                                <w:tcPr>
                                  <w:tcW w:w="2248" w:type="dxa"/>
                                </w:tcPr>
                                <w:p w14:paraId="289588A3">
                                  <w:pPr>
                                    <w:pStyle w:val="13"/>
                                    <w:spacing w:before="70"/>
                                    <w:ind w:left="6" w:right="1"/>
                                    <w:rPr>
                                      <w:rFonts w:ascii="Times New Roman"/>
                                    </w:rPr>
                                  </w:pPr>
                                  <w:r>
                                    <w:rPr>
                                      <w:rFonts w:ascii="Times New Roman"/>
                                      <w:spacing w:val="-5"/>
                                    </w:rPr>
                                    <w:t>25%</w:t>
                                  </w:r>
                                </w:p>
                              </w:tc>
                              <w:tc>
                                <w:tcPr>
                                  <w:tcW w:w="2021" w:type="dxa"/>
                                </w:tcPr>
                                <w:p w14:paraId="3C249BC6">
                                  <w:pPr>
                                    <w:pStyle w:val="13"/>
                                    <w:spacing w:before="56"/>
                                    <w:ind w:left="7" w:right="5"/>
                                  </w:pPr>
                                  <w:r>
                                    <w:rPr>
                                      <w:spacing w:val="-4"/>
                                    </w:rPr>
                                    <w:t>违约扣款百分比</w:t>
                                  </w:r>
                                </w:p>
                              </w:tc>
                              <w:tc>
                                <w:tcPr>
                                  <w:tcW w:w="2022" w:type="dxa"/>
                                </w:tcPr>
                                <w:p w14:paraId="10829574">
                                  <w:pPr>
                                    <w:pStyle w:val="13"/>
                                    <w:spacing w:before="70"/>
                                    <w:ind w:left="7"/>
                                    <w:rPr>
                                      <w:rFonts w:ascii="Times New Roman"/>
                                    </w:rPr>
                                  </w:pPr>
                                  <w:r>
                                    <w:rPr>
                                      <w:rFonts w:ascii="Times New Roman"/>
                                      <w:spacing w:val="-5"/>
                                    </w:rPr>
                                    <w:t>40%</w:t>
                                  </w:r>
                                </w:p>
                              </w:tc>
                            </w:tr>
                            <w:tr w14:paraId="7629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6" w:hRule="atLeast"/>
                              </w:trPr>
                              <w:tc>
                                <w:tcPr>
                                  <w:tcW w:w="2021" w:type="dxa"/>
                                </w:tcPr>
                                <w:p w14:paraId="09D7DFC0">
                                  <w:pPr>
                                    <w:pStyle w:val="13"/>
                                    <w:spacing w:before="57"/>
                                    <w:ind w:left="7" w:right="2"/>
                                  </w:pPr>
                                  <w:r>
                                    <w:rPr>
                                      <w:spacing w:val="-4"/>
                                    </w:rPr>
                                    <w:t>竞单最小报价</w:t>
                                  </w:r>
                                </w:p>
                              </w:tc>
                              <w:tc>
                                <w:tcPr>
                                  <w:tcW w:w="2248" w:type="dxa"/>
                                </w:tcPr>
                                <w:p w14:paraId="285155CD">
                                  <w:pPr>
                                    <w:pStyle w:val="13"/>
                                    <w:spacing w:before="57"/>
                                    <w:ind w:left="6" w:right="1"/>
                                    <w:rPr>
                                      <w:rFonts w:ascii="Times New Roman" w:eastAsia="Times New Roman"/>
                                    </w:rPr>
                                  </w:pPr>
                                  <w:r>
                                    <w:rPr>
                                      <w:spacing w:val="-12"/>
                                    </w:rPr>
                                    <w:t>参考价的</w:t>
                                  </w:r>
                                  <w:r>
                                    <w:rPr>
                                      <w:rFonts w:ascii="Times New Roman" w:eastAsia="Times New Roman"/>
                                      <w:spacing w:val="-5"/>
                                    </w:rPr>
                                    <w:t>90%</w:t>
                                  </w:r>
                                </w:p>
                              </w:tc>
                              <w:tc>
                                <w:tcPr>
                                  <w:tcW w:w="2021" w:type="dxa"/>
                                </w:tcPr>
                                <w:p w14:paraId="5079B05A">
                                  <w:pPr>
                                    <w:pStyle w:val="13"/>
                                    <w:spacing w:before="57"/>
                                    <w:ind w:left="7" w:right="5"/>
                                  </w:pPr>
                                  <w:r>
                                    <w:rPr>
                                      <w:spacing w:val="-4"/>
                                    </w:rPr>
                                    <w:t>生产线数量上限</w:t>
                                  </w:r>
                                </w:p>
                              </w:tc>
                              <w:tc>
                                <w:tcPr>
                                  <w:tcW w:w="2022" w:type="dxa"/>
                                </w:tcPr>
                                <w:p w14:paraId="3A281FEB">
                                  <w:pPr>
                                    <w:pStyle w:val="13"/>
                                    <w:spacing w:before="71"/>
                                    <w:ind w:left="7" w:right="2"/>
                                    <w:rPr>
                                      <w:rFonts w:ascii="Times New Roman"/>
                                    </w:rPr>
                                  </w:pPr>
                                  <w:r>
                                    <w:rPr>
                                      <w:rFonts w:ascii="Times New Roman"/>
                                      <w:spacing w:val="-5"/>
                                    </w:rPr>
                                    <w:t>16</w:t>
                                  </w:r>
                                </w:p>
                              </w:tc>
                            </w:tr>
                            <w:tr w14:paraId="1D04D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021" w:type="dxa"/>
                                  <w:tcBorders>
                                    <w:bottom w:val="single" w:color="auto" w:sz="4" w:space="0"/>
                                  </w:tcBorders>
                                </w:tcPr>
                                <w:p w14:paraId="504439F5">
                                  <w:pPr>
                                    <w:pStyle w:val="13"/>
                                    <w:spacing w:before="56"/>
                                    <w:ind w:left="7" w:right="4"/>
                                  </w:pPr>
                                  <w:r>
                                    <w:rPr>
                                      <w:spacing w:val="-4"/>
                                    </w:rPr>
                                    <w:t>碳达峰年度</w:t>
                                  </w:r>
                                </w:p>
                              </w:tc>
                              <w:tc>
                                <w:tcPr>
                                  <w:tcW w:w="2248" w:type="dxa"/>
                                  <w:tcBorders>
                                    <w:bottom w:val="single" w:color="auto" w:sz="4" w:space="0"/>
                                  </w:tcBorders>
                                </w:tcPr>
                                <w:p w14:paraId="0B61B818">
                                  <w:pPr>
                                    <w:pStyle w:val="13"/>
                                    <w:spacing w:before="56"/>
                                    <w:ind w:left="6"/>
                                  </w:pPr>
                                  <w:r>
                                    <w:rPr>
                                      <w:spacing w:val="-4"/>
                                    </w:rPr>
                                    <w:t>第二年末</w:t>
                                  </w:r>
                                </w:p>
                              </w:tc>
                              <w:tc>
                                <w:tcPr>
                                  <w:tcW w:w="2021" w:type="dxa"/>
                                  <w:tcBorders>
                                    <w:bottom w:val="single" w:color="auto" w:sz="4" w:space="0"/>
                                  </w:tcBorders>
                                </w:tcPr>
                                <w:p w14:paraId="3B8E73F9">
                                  <w:pPr>
                                    <w:pStyle w:val="13"/>
                                    <w:spacing w:before="56"/>
                                    <w:ind w:left="7" w:right="3"/>
                                  </w:pPr>
                                  <w:r>
                                    <w:rPr>
                                      <w:spacing w:val="-4"/>
                                    </w:rPr>
                                    <w:t>初始商誉值</w:t>
                                  </w:r>
                                </w:p>
                              </w:tc>
                              <w:tc>
                                <w:tcPr>
                                  <w:tcW w:w="2022" w:type="dxa"/>
                                  <w:tcBorders>
                                    <w:bottom w:val="single" w:color="auto" w:sz="4" w:space="0"/>
                                  </w:tcBorders>
                                </w:tcPr>
                                <w:p w14:paraId="711378DA">
                                  <w:pPr>
                                    <w:pStyle w:val="13"/>
                                    <w:spacing w:before="70"/>
                                    <w:ind w:left="7" w:right="2"/>
                                    <w:rPr>
                                      <w:rFonts w:ascii="Times New Roman"/>
                                    </w:rPr>
                                  </w:pPr>
                                  <w:r>
                                    <w:rPr>
                                      <w:rFonts w:ascii="Times New Roman"/>
                                      <w:spacing w:val="-5"/>
                                    </w:rPr>
                                    <w:t>100</w:t>
                                  </w:r>
                                </w:p>
                              </w:tc>
                            </w:tr>
                          </w:tbl>
                          <w:p w14:paraId="1C970C88">
                            <w:pPr>
                              <w:pStyle w:val="4"/>
                              <w:ind w:left="0" w:firstLine="0"/>
                            </w:pPr>
                          </w:p>
                        </w:txbxContent>
                      </wps:txbx>
                      <wps:bodyPr wrap="square" lIns="0" tIns="0" rIns="0" bIns="0" rtlCol="0">
                        <a:noAutofit/>
                      </wps:bodyPr>
                    </wps:wsp>
                  </a:graphicData>
                </a:graphic>
              </wp:anchor>
            </w:drawing>
          </mc:Choice>
          <mc:Fallback>
            <w:pict>
              <v:shape id="Textbox 2" o:spid="_x0000_s1026" o:spt="202" type="#_x0000_t202" style="position:absolute;left:0pt;margin-left:86.95pt;margin-top:24.5pt;height:125.25pt;width:421.85pt;mso-position-horizontal-relative:page;mso-wrap-distance-bottom:0pt;mso-wrap-distance-left:0pt;mso-wrap-distance-right:0pt;mso-wrap-distance-top:0pt;z-index:-251657216;mso-width-relative:page;mso-height-relative:page;" filled="f" stroked="f" coordsize="21600,21600" o:gfxdata="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HP0jadkAAAALAQAADwAAAAAAAAABACAAAAAiAAAAZHJzL2Rvd25yZXYueG1sUEsBAhQAFAAA&#10;AAgAh07iQEM5sOu1AQAAdQMAAA4AAAAAAAAAAQAgAAAAKAEAAGRycy9lMm9Eb2MueG1sUEsFBgAA&#10;AAAGAAYAWQEAAE8FAAAAAA==&#10;">
                <v:fill on="f" focussize="0,0"/>
                <v:stroke on="f"/>
                <v:imagedata o:title=""/>
                <o:lock v:ext="edit" aspectratio="f"/>
                <v:textbox inset="0mm,0mm,0mm,0mm">
                  <w:txbxContent>
                    <w:tbl>
                      <w:tblPr>
                        <w:tblStyle w:val="9"/>
                        <w:tblW w:w="0" w:type="auto"/>
                        <w:tblInd w:w="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21"/>
                        <w:gridCol w:w="2248"/>
                        <w:gridCol w:w="2021"/>
                        <w:gridCol w:w="2022"/>
                      </w:tblGrid>
                      <w:tr w14:paraId="3D31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021" w:type="dxa"/>
                          </w:tcPr>
                          <w:p w14:paraId="622B8A1A">
                            <w:pPr>
                              <w:pStyle w:val="13"/>
                              <w:spacing w:before="57"/>
                              <w:ind w:left="7" w:right="4"/>
                            </w:pPr>
                            <w:r>
                              <w:rPr>
                                <w:spacing w:val="-4"/>
                              </w:rPr>
                              <w:t>贷款总额度</w:t>
                            </w:r>
                          </w:p>
                        </w:tc>
                        <w:tc>
                          <w:tcPr>
                            <w:tcW w:w="2248" w:type="dxa"/>
                          </w:tcPr>
                          <w:p w14:paraId="178FA15F">
                            <w:pPr>
                              <w:pStyle w:val="13"/>
                              <w:spacing w:before="57"/>
                              <w:ind w:left="6"/>
                            </w:pPr>
                            <w:r>
                              <w:rPr>
                                <w:spacing w:val="-7"/>
                              </w:rPr>
                              <w:t>上年所有者权益的</w:t>
                            </w:r>
                            <w:r>
                              <w:rPr>
                                <w:rFonts w:ascii="Times New Roman" w:eastAsia="Times New Roman"/>
                              </w:rPr>
                              <w:t>3</w:t>
                            </w:r>
                            <w:r>
                              <w:rPr>
                                <w:spacing w:val="-10"/>
                              </w:rPr>
                              <w:t>倍</w:t>
                            </w:r>
                          </w:p>
                        </w:tc>
                        <w:tc>
                          <w:tcPr>
                            <w:tcW w:w="2021" w:type="dxa"/>
                          </w:tcPr>
                          <w:p w14:paraId="6F1CD278">
                            <w:pPr>
                              <w:pStyle w:val="13"/>
                              <w:spacing w:before="57"/>
                              <w:ind w:left="7" w:right="5"/>
                            </w:pPr>
                            <w:r>
                              <w:rPr>
                                <w:spacing w:val="-4"/>
                              </w:rPr>
                              <w:t>最大长贷年限</w:t>
                            </w:r>
                          </w:p>
                        </w:tc>
                        <w:tc>
                          <w:tcPr>
                            <w:tcW w:w="2022" w:type="dxa"/>
                          </w:tcPr>
                          <w:p w14:paraId="491215CC">
                            <w:pPr>
                              <w:pStyle w:val="13"/>
                              <w:spacing w:before="57"/>
                              <w:ind w:left="7" w:right="4"/>
                            </w:pPr>
                            <w:r>
                              <w:rPr>
                                <w:rFonts w:ascii="Times New Roman" w:eastAsia="Times New Roman"/>
                              </w:rPr>
                              <w:t>2</w:t>
                            </w:r>
                            <w:r>
                              <w:rPr>
                                <w:spacing w:val="-10"/>
                              </w:rPr>
                              <w:t>年</w:t>
                            </w:r>
                          </w:p>
                        </w:tc>
                      </w:tr>
                      <w:tr w14:paraId="0F051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021" w:type="dxa"/>
                          </w:tcPr>
                          <w:p w14:paraId="0516274B">
                            <w:pPr>
                              <w:pStyle w:val="13"/>
                              <w:spacing w:before="56"/>
                              <w:ind w:left="7" w:right="4"/>
                            </w:pPr>
                            <w:r>
                              <w:rPr>
                                <w:spacing w:val="-2"/>
                              </w:rPr>
                              <w:t>库存折价率（原料</w:t>
                            </w:r>
                            <w:r>
                              <w:rPr>
                                <w:spacing w:val="-10"/>
                              </w:rPr>
                              <w:t>）</w:t>
                            </w:r>
                          </w:p>
                        </w:tc>
                        <w:tc>
                          <w:tcPr>
                            <w:tcW w:w="2248" w:type="dxa"/>
                          </w:tcPr>
                          <w:p w14:paraId="66693BFB">
                            <w:pPr>
                              <w:pStyle w:val="13"/>
                              <w:spacing w:before="70"/>
                              <w:ind w:left="6" w:right="1"/>
                              <w:rPr>
                                <w:rFonts w:ascii="Times New Roman"/>
                              </w:rPr>
                            </w:pPr>
                            <w:r>
                              <w:rPr>
                                <w:rFonts w:ascii="Times New Roman"/>
                                <w:spacing w:val="-5"/>
                              </w:rPr>
                              <w:t>80%</w:t>
                            </w:r>
                          </w:p>
                        </w:tc>
                        <w:tc>
                          <w:tcPr>
                            <w:tcW w:w="2021" w:type="dxa"/>
                          </w:tcPr>
                          <w:p w14:paraId="7F16392C">
                            <w:pPr>
                              <w:pStyle w:val="13"/>
                              <w:spacing w:before="56"/>
                              <w:ind w:left="7" w:right="3"/>
                            </w:pPr>
                            <w:r>
                              <w:rPr>
                                <w:spacing w:val="-2"/>
                              </w:rPr>
                              <w:t>库存折价率（产品</w:t>
                            </w:r>
                            <w:r>
                              <w:rPr>
                                <w:spacing w:val="-10"/>
                              </w:rPr>
                              <w:t>）</w:t>
                            </w:r>
                          </w:p>
                        </w:tc>
                        <w:tc>
                          <w:tcPr>
                            <w:tcW w:w="2022" w:type="dxa"/>
                          </w:tcPr>
                          <w:p w14:paraId="07B3F74D">
                            <w:pPr>
                              <w:pStyle w:val="13"/>
                              <w:spacing w:before="70"/>
                              <w:ind w:left="7"/>
                              <w:rPr>
                                <w:rFonts w:ascii="Times New Roman"/>
                              </w:rPr>
                            </w:pPr>
                            <w:r>
                              <w:rPr>
                                <w:rFonts w:ascii="Times New Roman"/>
                                <w:spacing w:val="-5"/>
                              </w:rPr>
                              <w:t>80%</w:t>
                            </w:r>
                          </w:p>
                        </w:tc>
                      </w:tr>
                      <w:tr w14:paraId="08F04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021" w:type="dxa"/>
                          </w:tcPr>
                          <w:p w14:paraId="4F2052E2">
                            <w:pPr>
                              <w:pStyle w:val="13"/>
                              <w:spacing w:before="57"/>
                              <w:ind w:left="7" w:right="2"/>
                            </w:pPr>
                            <w:r>
                              <w:rPr>
                                <w:spacing w:val="-4"/>
                              </w:rPr>
                              <w:t>紧急采购原料价格</w:t>
                            </w:r>
                          </w:p>
                        </w:tc>
                        <w:tc>
                          <w:tcPr>
                            <w:tcW w:w="2248" w:type="dxa"/>
                          </w:tcPr>
                          <w:p w14:paraId="6FE5DA63">
                            <w:pPr>
                              <w:pStyle w:val="13"/>
                              <w:spacing w:before="57"/>
                              <w:ind w:left="6" w:right="2"/>
                            </w:pPr>
                            <w:r>
                              <w:rPr>
                                <w:spacing w:val="-10"/>
                              </w:rPr>
                              <w:t>材料原价的</w:t>
                            </w:r>
                            <w:r>
                              <w:rPr>
                                <w:rFonts w:ascii="Times New Roman" w:eastAsia="Times New Roman"/>
                              </w:rPr>
                              <w:t>2</w:t>
                            </w:r>
                            <w:r>
                              <w:rPr>
                                <w:spacing w:val="-10"/>
                              </w:rPr>
                              <w:t>倍</w:t>
                            </w:r>
                          </w:p>
                        </w:tc>
                        <w:tc>
                          <w:tcPr>
                            <w:tcW w:w="2021" w:type="dxa"/>
                          </w:tcPr>
                          <w:p w14:paraId="789C7141">
                            <w:pPr>
                              <w:pStyle w:val="13"/>
                              <w:spacing w:before="57"/>
                              <w:ind w:left="7"/>
                            </w:pPr>
                            <w:r>
                              <w:rPr>
                                <w:spacing w:val="-4"/>
                              </w:rPr>
                              <w:t>紧急采购产品价格</w:t>
                            </w:r>
                          </w:p>
                        </w:tc>
                        <w:tc>
                          <w:tcPr>
                            <w:tcW w:w="2022" w:type="dxa"/>
                          </w:tcPr>
                          <w:p w14:paraId="1E08A811">
                            <w:pPr>
                              <w:pStyle w:val="13"/>
                              <w:spacing w:before="57"/>
                              <w:ind w:left="7" w:right="2"/>
                            </w:pPr>
                            <w:r>
                              <w:rPr>
                                <w:spacing w:val="-7"/>
                              </w:rPr>
                              <w:t>产品直接成本的</w:t>
                            </w:r>
                            <w:r>
                              <w:rPr>
                                <w:rFonts w:ascii="Times New Roman" w:eastAsia="Times New Roman"/>
                              </w:rPr>
                              <w:t>4</w:t>
                            </w:r>
                            <w:r>
                              <w:rPr>
                                <w:spacing w:val="-10"/>
                              </w:rPr>
                              <w:t>倍</w:t>
                            </w:r>
                          </w:p>
                        </w:tc>
                      </w:tr>
                      <w:tr w14:paraId="56414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021" w:type="dxa"/>
                          </w:tcPr>
                          <w:p w14:paraId="4E9117AB">
                            <w:pPr>
                              <w:pStyle w:val="13"/>
                              <w:spacing w:before="56"/>
                              <w:ind w:left="7" w:right="4"/>
                            </w:pPr>
                            <w:r>
                              <w:rPr>
                                <w:spacing w:val="-4"/>
                              </w:rPr>
                              <w:t>所得税率</w:t>
                            </w:r>
                          </w:p>
                        </w:tc>
                        <w:tc>
                          <w:tcPr>
                            <w:tcW w:w="2248" w:type="dxa"/>
                          </w:tcPr>
                          <w:p w14:paraId="289588A3">
                            <w:pPr>
                              <w:pStyle w:val="13"/>
                              <w:spacing w:before="70"/>
                              <w:ind w:left="6" w:right="1"/>
                              <w:rPr>
                                <w:rFonts w:ascii="Times New Roman"/>
                              </w:rPr>
                            </w:pPr>
                            <w:r>
                              <w:rPr>
                                <w:rFonts w:ascii="Times New Roman"/>
                                <w:spacing w:val="-5"/>
                              </w:rPr>
                              <w:t>25%</w:t>
                            </w:r>
                          </w:p>
                        </w:tc>
                        <w:tc>
                          <w:tcPr>
                            <w:tcW w:w="2021" w:type="dxa"/>
                          </w:tcPr>
                          <w:p w14:paraId="3C249BC6">
                            <w:pPr>
                              <w:pStyle w:val="13"/>
                              <w:spacing w:before="56"/>
                              <w:ind w:left="7" w:right="5"/>
                            </w:pPr>
                            <w:r>
                              <w:rPr>
                                <w:spacing w:val="-4"/>
                              </w:rPr>
                              <w:t>违约扣款百分比</w:t>
                            </w:r>
                          </w:p>
                        </w:tc>
                        <w:tc>
                          <w:tcPr>
                            <w:tcW w:w="2022" w:type="dxa"/>
                          </w:tcPr>
                          <w:p w14:paraId="10829574">
                            <w:pPr>
                              <w:pStyle w:val="13"/>
                              <w:spacing w:before="70"/>
                              <w:ind w:left="7"/>
                              <w:rPr>
                                <w:rFonts w:ascii="Times New Roman"/>
                              </w:rPr>
                            </w:pPr>
                            <w:r>
                              <w:rPr>
                                <w:rFonts w:ascii="Times New Roman"/>
                                <w:spacing w:val="-5"/>
                              </w:rPr>
                              <w:t>40%</w:t>
                            </w:r>
                          </w:p>
                        </w:tc>
                      </w:tr>
                      <w:tr w14:paraId="7629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6" w:hRule="atLeast"/>
                        </w:trPr>
                        <w:tc>
                          <w:tcPr>
                            <w:tcW w:w="2021" w:type="dxa"/>
                          </w:tcPr>
                          <w:p w14:paraId="09D7DFC0">
                            <w:pPr>
                              <w:pStyle w:val="13"/>
                              <w:spacing w:before="57"/>
                              <w:ind w:left="7" w:right="2"/>
                            </w:pPr>
                            <w:r>
                              <w:rPr>
                                <w:spacing w:val="-4"/>
                              </w:rPr>
                              <w:t>竞单最小报价</w:t>
                            </w:r>
                          </w:p>
                        </w:tc>
                        <w:tc>
                          <w:tcPr>
                            <w:tcW w:w="2248" w:type="dxa"/>
                          </w:tcPr>
                          <w:p w14:paraId="285155CD">
                            <w:pPr>
                              <w:pStyle w:val="13"/>
                              <w:spacing w:before="57"/>
                              <w:ind w:left="6" w:right="1"/>
                              <w:rPr>
                                <w:rFonts w:ascii="Times New Roman" w:eastAsia="Times New Roman"/>
                              </w:rPr>
                            </w:pPr>
                            <w:r>
                              <w:rPr>
                                <w:spacing w:val="-12"/>
                              </w:rPr>
                              <w:t>参考价的</w:t>
                            </w:r>
                            <w:r>
                              <w:rPr>
                                <w:rFonts w:ascii="Times New Roman" w:eastAsia="Times New Roman"/>
                                <w:spacing w:val="-5"/>
                              </w:rPr>
                              <w:t>90%</w:t>
                            </w:r>
                          </w:p>
                        </w:tc>
                        <w:tc>
                          <w:tcPr>
                            <w:tcW w:w="2021" w:type="dxa"/>
                          </w:tcPr>
                          <w:p w14:paraId="5079B05A">
                            <w:pPr>
                              <w:pStyle w:val="13"/>
                              <w:spacing w:before="57"/>
                              <w:ind w:left="7" w:right="5"/>
                            </w:pPr>
                            <w:r>
                              <w:rPr>
                                <w:spacing w:val="-4"/>
                              </w:rPr>
                              <w:t>生产线数量上限</w:t>
                            </w:r>
                          </w:p>
                        </w:tc>
                        <w:tc>
                          <w:tcPr>
                            <w:tcW w:w="2022" w:type="dxa"/>
                          </w:tcPr>
                          <w:p w14:paraId="3A281FEB">
                            <w:pPr>
                              <w:pStyle w:val="13"/>
                              <w:spacing w:before="71"/>
                              <w:ind w:left="7" w:right="2"/>
                              <w:rPr>
                                <w:rFonts w:ascii="Times New Roman"/>
                              </w:rPr>
                            </w:pPr>
                            <w:r>
                              <w:rPr>
                                <w:rFonts w:ascii="Times New Roman"/>
                                <w:spacing w:val="-5"/>
                              </w:rPr>
                              <w:t>16</w:t>
                            </w:r>
                          </w:p>
                        </w:tc>
                      </w:tr>
                      <w:tr w14:paraId="1D04D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2021" w:type="dxa"/>
                            <w:tcBorders>
                              <w:bottom w:val="single" w:color="auto" w:sz="4" w:space="0"/>
                            </w:tcBorders>
                          </w:tcPr>
                          <w:p w14:paraId="504439F5">
                            <w:pPr>
                              <w:pStyle w:val="13"/>
                              <w:spacing w:before="56"/>
                              <w:ind w:left="7" w:right="4"/>
                            </w:pPr>
                            <w:r>
                              <w:rPr>
                                <w:spacing w:val="-4"/>
                              </w:rPr>
                              <w:t>碳达峰年度</w:t>
                            </w:r>
                          </w:p>
                        </w:tc>
                        <w:tc>
                          <w:tcPr>
                            <w:tcW w:w="2248" w:type="dxa"/>
                            <w:tcBorders>
                              <w:bottom w:val="single" w:color="auto" w:sz="4" w:space="0"/>
                            </w:tcBorders>
                          </w:tcPr>
                          <w:p w14:paraId="0B61B818">
                            <w:pPr>
                              <w:pStyle w:val="13"/>
                              <w:spacing w:before="56"/>
                              <w:ind w:left="6"/>
                            </w:pPr>
                            <w:r>
                              <w:rPr>
                                <w:spacing w:val="-4"/>
                              </w:rPr>
                              <w:t>第二年末</w:t>
                            </w:r>
                          </w:p>
                        </w:tc>
                        <w:tc>
                          <w:tcPr>
                            <w:tcW w:w="2021" w:type="dxa"/>
                            <w:tcBorders>
                              <w:bottom w:val="single" w:color="auto" w:sz="4" w:space="0"/>
                            </w:tcBorders>
                          </w:tcPr>
                          <w:p w14:paraId="3B8E73F9">
                            <w:pPr>
                              <w:pStyle w:val="13"/>
                              <w:spacing w:before="56"/>
                              <w:ind w:left="7" w:right="3"/>
                            </w:pPr>
                            <w:r>
                              <w:rPr>
                                <w:spacing w:val="-4"/>
                              </w:rPr>
                              <w:t>初始商誉值</w:t>
                            </w:r>
                          </w:p>
                        </w:tc>
                        <w:tc>
                          <w:tcPr>
                            <w:tcW w:w="2022" w:type="dxa"/>
                            <w:tcBorders>
                              <w:bottom w:val="single" w:color="auto" w:sz="4" w:space="0"/>
                            </w:tcBorders>
                          </w:tcPr>
                          <w:p w14:paraId="711378DA">
                            <w:pPr>
                              <w:pStyle w:val="13"/>
                              <w:spacing w:before="70"/>
                              <w:ind w:left="7" w:right="2"/>
                              <w:rPr>
                                <w:rFonts w:ascii="Times New Roman"/>
                              </w:rPr>
                            </w:pPr>
                            <w:r>
                              <w:rPr>
                                <w:rFonts w:ascii="Times New Roman"/>
                                <w:spacing w:val="-5"/>
                              </w:rPr>
                              <w:t>100</w:t>
                            </w:r>
                          </w:p>
                        </w:tc>
                      </w:tr>
                    </w:tbl>
                    <w:p w14:paraId="1C970C88">
                      <w:pPr>
                        <w:pStyle w:val="4"/>
                        <w:ind w:left="0" w:firstLine="0"/>
                      </w:pPr>
                    </w:p>
                  </w:txbxContent>
                </v:textbox>
                <w10:wrap type="square"/>
              </v:shape>
            </w:pict>
          </mc:Fallback>
        </mc:AlternateContent>
      </w:r>
      <w:r>
        <w:rPr>
          <w:rFonts w:ascii="Microsoft JhengHei" w:eastAsia="Microsoft JhengHei"/>
          <w:b/>
          <w:sz w:val="24"/>
        </w:rPr>
        <w:t>表</w:t>
      </w:r>
      <w:r>
        <w:rPr>
          <w:rFonts w:ascii="Times New Roman" w:eastAsia="Times New Roman"/>
          <w:b/>
          <w:sz w:val="24"/>
        </w:rPr>
        <w:t>9-1</w:t>
      </w:r>
      <w:r>
        <w:rPr>
          <w:rFonts w:ascii="Microsoft JhengHei" w:eastAsia="Microsoft JhengHei"/>
          <w:b/>
          <w:spacing w:val="-2"/>
          <w:sz w:val="24"/>
        </w:rPr>
        <w:t>固定经营参</w:t>
      </w:r>
      <w:bookmarkStart w:id="17" w:name="（二）可变经营参数（制题时可改变）"/>
      <w:bookmarkEnd w:id="17"/>
      <w:r>
        <w:rPr>
          <w:rFonts w:ascii="Microsoft JhengHei" w:eastAsia="Microsoft JhengHei"/>
          <w:b/>
          <w:spacing w:val="-2"/>
          <w:sz w:val="24"/>
        </w:rPr>
        <w:t>数</w:t>
      </w:r>
    </w:p>
    <w:p w14:paraId="7189F520">
      <w:pPr>
        <w:pStyle w:val="3"/>
        <w:keepNext w:val="0"/>
        <w:keepLines w:val="0"/>
        <w:pageBreakBefore w:val="0"/>
        <w:widowControl w:val="0"/>
        <w:numPr>
          <w:ilvl w:val="0"/>
          <w:numId w:val="0"/>
        </w:numPr>
        <w:tabs>
          <w:tab w:val="left" w:pos="1640"/>
        </w:tabs>
        <w:kinsoku/>
        <w:wordWrap/>
        <w:overflowPunct/>
        <w:topLinePunct w:val="0"/>
        <w:autoSpaceDE w:val="0"/>
        <w:autoSpaceDN w:val="0"/>
        <w:bidi w:val="0"/>
        <w:adjustRightInd/>
        <w:snapToGrid/>
        <w:spacing w:before="36" w:line="560" w:lineRule="exact"/>
        <w:ind w:firstLine="635" w:firstLineChars="200"/>
        <w:jc w:val="both"/>
        <w:textAlignment w:val="auto"/>
        <w:rPr>
          <w:rFonts w:hint="eastAsia" w:ascii="仿宋_GB2312" w:hAnsi="仿宋_GB2312" w:eastAsia="仿宋_GB2312" w:cs="仿宋_GB2312"/>
          <w:spacing w:val="-2"/>
          <w:sz w:val="32"/>
          <w:szCs w:val="32"/>
          <w:lang w:eastAsia="zh-CN"/>
        </w:rPr>
      </w:pPr>
      <w:r>
        <w:rPr>
          <w:rFonts w:hint="eastAsia" w:ascii="仿宋_GB2312" w:hAnsi="仿宋_GB2312" w:eastAsia="仿宋_GB2312" w:cs="仿宋_GB2312"/>
          <w:spacing w:val="-2"/>
          <w:sz w:val="32"/>
          <w:szCs w:val="32"/>
          <w:lang w:eastAsia="zh-CN"/>
        </w:rPr>
        <w:t>（</w:t>
      </w:r>
      <w:r>
        <w:rPr>
          <w:rFonts w:hint="eastAsia" w:ascii="仿宋_GB2312" w:hAnsi="仿宋_GB2312" w:eastAsia="仿宋_GB2312" w:cs="仿宋_GB2312"/>
          <w:spacing w:val="-2"/>
          <w:sz w:val="32"/>
          <w:szCs w:val="32"/>
          <w:lang w:val="en-US" w:eastAsia="zh-CN"/>
        </w:rPr>
        <w:t>二</w:t>
      </w:r>
      <w:r>
        <w:rPr>
          <w:rFonts w:hint="eastAsia" w:ascii="仿宋_GB2312" w:hAnsi="仿宋_GB2312" w:eastAsia="仿宋_GB2312" w:cs="仿宋_GB2312"/>
          <w:spacing w:val="-2"/>
          <w:sz w:val="32"/>
          <w:szCs w:val="32"/>
          <w:lang w:eastAsia="zh-CN"/>
        </w:rPr>
        <w:t>）可变经营参数（制题时可改变）</w:t>
      </w:r>
    </w:p>
    <w:p w14:paraId="25C6C779">
      <w:pPr>
        <w:pStyle w:val="12"/>
        <w:numPr>
          <w:ilvl w:val="1"/>
          <w:numId w:val="2"/>
        </w:numPr>
        <w:tabs>
          <w:tab w:val="left" w:pos="1010"/>
        </w:tabs>
        <w:spacing w:before="69"/>
        <w:ind w:left="1010" w:hanging="210"/>
        <w:rPr>
          <w:sz w:val="28"/>
        </w:rPr>
      </w:pPr>
      <w:r>
        <w:rPr>
          <w:spacing w:val="-4"/>
          <w:sz w:val="28"/>
        </w:rPr>
        <w:t>生产线参数</w:t>
      </w:r>
    </w:p>
    <w:p w14:paraId="41E13EF7">
      <w:pPr>
        <w:pStyle w:val="4"/>
        <w:spacing w:before="186" w:line="364" w:lineRule="auto"/>
        <w:ind w:right="99"/>
        <w:jc w:val="both"/>
      </w:pPr>
      <w:r>
        <w:rPr>
          <w:spacing w:val="-2"/>
        </w:rPr>
        <w:t>生产线参数定义了生产线的建线、转产、生产周期，以及建线、</w:t>
      </w:r>
      <w:r>
        <w:rPr>
          <w:spacing w:val="-19"/>
        </w:rPr>
        <w:t>转产的花费。产线采用平均年限折旧法计提折旧，当净值等于残值时，</w:t>
      </w:r>
      <w:r>
        <w:rPr>
          <w:spacing w:val="-2"/>
        </w:rPr>
        <w:t>则不再计提。</w:t>
      </w:r>
    </w:p>
    <w:p w14:paraId="24AB0DBF">
      <w:pPr>
        <w:pStyle w:val="4"/>
        <w:spacing w:line="364" w:lineRule="auto"/>
        <w:ind w:right="238"/>
        <w:jc w:val="both"/>
      </w:pPr>
      <w:r>
        <w:rPr>
          <w:spacing w:val="-7"/>
        </w:rPr>
        <w:t>生产线的基础产能不代表最终的产品下线数量，而是根据在产工</w:t>
      </w:r>
      <w:r>
        <w:rPr>
          <w:spacing w:val="-4"/>
        </w:rPr>
        <w:t>人的效率计算的。不同产线有不同的工位，不同等级的工人不能相互</w:t>
      </w:r>
      <w:r>
        <w:rPr>
          <w:spacing w:val="-2"/>
        </w:rPr>
        <w:t>代替。生产线每次生产最终下线的产品数量计算公式为：</w:t>
      </w:r>
    </w:p>
    <w:p w14:paraId="1F65BFC4">
      <w:pPr>
        <w:pStyle w:val="4"/>
        <w:spacing w:line="364" w:lineRule="auto"/>
        <w:ind w:right="236"/>
      </w:pPr>
      <w:r>
        <w:rPr>
          <w:rFonts w:ascii="Times New Roman" w:eastAsia="Times New Roman"/>
          <w:spacing w:val="-2"/>
        </w:rPr>
        <w:t>Y=</w:t>
      </w:r>
      <w:r>
        <w:rPr>
          <w:spacing w:val="-2"/>
        </w:rPr>
        <w:t>基础产能</w:t>
      </w:r>
      <w:r>
        <w:rPr>
          <w:rFonts w:ascii="Times New Roman" w:eastAsia="Times New Roman"/>
          <w:spacing w:val="-2"/>
        </w:rPr>
        <w:t>*</w:t>
      </w:r>
      <w:r>
        <w:rPr>
          <w:spacing w:val="-2"/>
        </w:rPr>
        <w:t>（</w:t>
      </w:r>
      <w:r>
        <w:rPr>
          <w:rFonts w:ascii="Times New Roman" w:eastAsia="Times New Roman"/>
          <w:spacing w:val="-2"/>
        </w:rPr>
        <w:t>1+</w:t>
      </w:r>
      <w:r>
        <w:rPr>
          <w:spacing w:val="-2"/>
        </w:rPr>
        <w:t>初级工效率之和</w:t>
      </w:r>
      <w:r>
        <w:rPr>
          <w:rFonts w:ascii="Times New Roman" w:eastAsia="Times New Roman"/>
          <w:spacing w:val="-2"/>
        </w:rPr>
        <w:t>/4+</w:t>
      </w:r>
      <w:r>
        <w:rPr>
          <w:spacing w:val="-2"/>
        </w:rPr>
        <w:t>高级工效率之和）</w:t>
      </w:r>
      <w:r>
        <w:rPr>
          <w:rFonts w:ascii="Times New Roman" w:eastAsia="Times New Roman"/>
          <w:spacing w:val="-2"/>
        </w:rPr>
        <w:t>*</w:t>
      </w:r>
      <w:r>
        <w:rPr>
          <w:spacing w:val="-2"/>
        </w:rPr>
        <w:t>班次加</w:t>
      </w:r>
      <w:r>
        <w:rPr>
          <w:spacing w:val="-6"/>
        </w:rPr>
        <w:t>成。</w:t>
      </w:r>
    </w:p>
    <w:p w14:paraId="6D48A1DC">
      <w:pPr>
        <w:pStyle w:val="12"/>
        <w:numPr>
          <w:ilvl w:val="1"/>
          <w:numId w:val="2"/>
        </w:numPr>
        <w:tabs>
          <w:tab w:val="left" w:pos="1010"/>
        </w:tabs>
        <w:spacing w:before="152"/>
        <w:ind w:left="1010" w:hanging="210"/>
        <w:rPr>
          <w:sz w:val="28"/>
        </w:rPr>
      </w:pPr>
      <w:r>
        <w:rPr>
          <w:spacing w:val="-4"/>
          <w:sz w:val="28"/>
        </w:rPr>
        <w:t>工人招聘参数</w:t>
      </w:r>
    </w:p>
    <w:p w14:paraId="67CEA7A9">
      <w:pPr>
        <w:pStyle w:val="4"/>
        <w:spacing w:before="186" w:line="364" w:lineRule="auto"/>
        <w:ind w:right="238"/>
      </w:pPr>
      <w:r>
        <w:rPr>
          <w:spacing w:val="-11"/>
        </w:rPr>
        <w:t>工人是生产的必备要素，生产线需要不同的工人上工才能完成生</w:t>
      </w:r>
      <w:r>
        <w:rPr>
          <w:spacing w:val="-6"/>
        </w:rPr>
        <w:t>产。</w:t>
      </w:r>
    </w:p>
    <w:p w14:paraId="28254E03">
      <w:pPr>
        <w:pStyle w:val="4"/>
        <w:spacing w:line="364" w:lineRule="auto"/>
        <w:ind w:right="236"/>
        <w:jc w:val="both"/>
      </w:pPr>
      <w:r>
        <w:rPr>
          <w:spacing w:val="-4"/>
        </w:rPr>
        <w:t>工人通过招聘而来，每个工人都有其自身效率以及期望月薪，企</w:t>
      </w:r>
      <w:r>
        <w:rPr>
          <w:spacing w:val="-7"/>
        </w:rPr>
        <w:t>业可通过开出相应的录用通知来招聘工人。当录用通知开出的月薪大</w:t>
      </w:r>
      <w:r>
        <w:rPr>
          <w:spacing w:val="-4"/>
        </w:rPr>
        <w:t>于等于工人的期望工资时，工人必定入职；若录用通知开出的月薪处</w:t>
      </w:r>
      <w:r>
        <w:rPr>
          <w:spacing w:val="-6"/>
        </w:rPr>
        <w:t>于工人期望工资的</w:t>
      </w:r>
      <w:r>
        <w:rPr>
          <w:rFonts w:ascii="Times New Roman" w:eastAsia="Times New Roman"/>
          <w:spacing w:val="-2"/>
        </w:rPr>
        <w:t>70%-100%</w:t>
      </w:r>
      <w:r>
        <w:rPr>
          <w:spacing w:val="-2"/>
        </w:rPr>
        <w:t>之间时，工人有一定机率入职，机率为</w:t>
      </w:r>
      <w:r>
        <w:t>开出工资</w:t>
      </w:r>
      <w:r>
        <w:rPr>
          <w:rFonts w:ascii="Times New Roman" w:eastAsia="Times New Roman"/>
        </w:rPr>
        <w:t>/</w:t>
      </w:r>
      <w:r>
        <w:t>期望工资</w:t>
      </w:r>
      <w:r>
        <w:rPr>
          <w:rFonts w:ascii="Times New Roman" w:eastAsia="Times New Roman"/>
        </w:rPr>
        <w:t>*100%</w:t>
      </w:r>
      <w:r>
        <w:t>；若录用通知开出的月薪小于</w:t>
      </w:r>
      <w:r>
        <w:rPr>
          <w:rFonts w:ascii="Times New Roman" w:eastAsia="Times New Roman"/>
        </w:rPr>
        <w:t>70%</w:t>
      </w:r>
      <w:r>
        <w:t>时，则</w:t>
      </w:r>
      <w:r>
        <w:rPr>
          <w:spacing w:val="-2"/>
        </w:rPr>
        <w:t>工人一定不会入职。</w:t>
      </w:r>
    </w:p>
    <w:p w14:paraId="44E86323">
      <w:pPr>
        <w:pStyle w:val="4"/>
        <w:spacing w:line="367" w:lineRule="auto"/>
        <w:ind w:right="144"/>
      </w:pPr>
      <w:r>
        <w:rPr>
          <w:spacing w:val="-2"/>
        </w:rPr>
        <w:t>本季度开出录用通知，工人会根据计算结果，在下一季度初判定是否入职。各参赛队所招聘的工人并非同时招聘，不存在竞争关系。</w:t>
      </w:r>
    </w:p>
    <w:p w14:paraId="63D78B85">
      <w:pPr>
        <w:pStyle w:val="12"/>
        <w:numPr>
          <w:ilvl w:val="1"/>
          <w:numId w:val="2"/>
        </w:numPr>
        <w:tabs>
          <w:tab w:val="left" w:pos="1010"/>
        </w:tabs>
        <w:spacing w:before="142"/>
        <w:ind w:left="1010" w:hanging="210"/>
        <w:rPr>
          <w:sz w:val="28"/>
        </w:rPr>
      </w:pPr>
      <w:r>
        <w:rPr>
          <w:spacing w:val="-3"/>
          <w:sz w:val="28"/>
        </w:rPr>
        <w:t>工人发薪与辞退参数</w:t>
      </w:r>
    </w:p>
    <w:p w14:paraId="7D06DC66">
      <w:pPr>
        <w:pStyle w:val="4"/>
        <w:spacing w:before="174" w:line="364" w:lineRule="auto"/>
        <w:ind w:right="144"/>
      </w:pPr>
      <w:r>
        <w:rPr>
          <w:spacing w:val="-2"/>
        </w:rPr>
        <w:t>工人是月薪制度，即工人入职时的录用通知工资即为其工资。薪水每季度发放，一次性发放三个月的薪水。工人薪水必须主动发放，</w:t>
      </w:r>
      <w:r>
        <w:rPr>
          <w:spacing w:val="-4"/>
        </w:rPr>
        <w:t>若未主动发放，则系统强制扣除，并扣减</w:t>
      </w:r>
      <w:r>
        <w:rPr>
          <w:rFonts w:ascii="Times New Roman" w:eastAsia="Times New Roman"/>
        </w:rPr>
        <w:t>5</w:t>
      </w:r>
      <w:r>
        <w:t>点商誉值，且所有工人效</w:t>
      </w:r>
    </w:p>
    <w:p w14:paraId="751F172D">
      <w:pPr>
        <w:pStyle w:val="4"/>
        <w:spacing w:before="44" w:line="364" w:lineRule="auto"/>
        <w:ind w:right="93" w:firstLine="0"/>
      </w:pPr>
      <w:r>
        <w:rPr>
          <w:spacing w:val="-2"/>
        </w:rPr>
        <w:t>率降低一半；若连续两个季度未主动发薪，则被欠薪的工人会自动离</w:t>
      </w:r>
      <w:r>
        <w:rPr>
          <w:spacing w:val="-9"/>
        </w:rPr>
        <w:t>职，并且企业需要赔付辞退福利，辞退福利额度为</w:t>
      </w:r>
      <w:r>
        <w:rPr>
          <w:rFonts w:ascii="Times New Roman" w:eastAsia="Times New Roman"/>
          <w:spacing w:val="-6"/>
        </w:rPr>
        <w:t>Y=</w:t>
      </w:r>
      <w:r>
        <w:rPr>
          <w:spacing w:val="-6"/>
        </w:rPr>
        <w:t>（</w:t>
      </w:r>
      <w:r>
        <w:rPr>
          <w:rFonts w:ascii="Times New Roman" w:eastAsia="Times New Roman"/>
          <w:spacing w:val="-6"/>
        </w:rPr>
        <w:t>N+1</w:t>
      </w:r>
      <w:r>
        <w:rPr>
          <w:spacing w:val="-6"/>
        </w:rPr>
        <w:t>）</w:t>
      </w:r>
      <w:r>
        <w:rPr>
          <w:rFonts w:ascii="Times New Roman" w:eastAsia="Times New Roman"/>
          <w:spacing w:val="-6"/>
        </w:rPr>
        <w:t>*</w:t>
      </w:r>
      <w:r>
        <w:rPr>
          <w:spacing w:val="-6"/>
        </w:rPr>
        <w:t>月薪，</w:t>
      </w:r>
      <w:r>
        <w:rPr>
          <w:rFonts w:ascii="Times New Roman" w:eastAsia="Times New Roman"/>
        </w:rPr>
        <w:t>N</w:t>
      </w:r>
      <w:r>
        <w:t>为工人的司龄（年），</w:t>
      </w:r>
      <w:r>
        <w:rPr>
          <w:spacing w:val="-14"/>
        </w:rPr>
        <w:t>不足</w:t>
      </w:r>
      <w:r>
        <w:rPr>
          <w:rFonts w:ascii="Times New Roman" w:eastAsia="Times New Roman"/>
        </w:rPr>
        <w:t>1</w:t>
      </w:r>
      <w:r>
        <w:rPr>
          <w:spacing w:val="-11"/>
        </w:rPr>
        <w:t>年按照</w:t>
      </w:r>
      <w:r>
        <w:rPr>
          <w:rFonts w:ascii="Times New Roman" w:eastAsia="Times New Roman"/>
        </w:rPr>
        <w:t>1</w:t>
      </w:r>
      <w:r>
        <w:t>年计算。</w:t>
      </w:r>
    </w:p>
    <w:p w14:paraId="727EC1A1">
      <w:pPr>
        <w:pStyle w:val="4"/>
        <w:spacing w:line="364" w:lineRule="auto"/>
        <w:ind w:right="236"/>
      </w:pPr>
      <w:r>
        <w:rPr>
          <w:spacing w:val="-16"/>
        </w:rPr>
        <w:t>入职期大于</w:t>
      </w:r>
      <w:r>
        <w:rPr>
          <w:rFonts w:ascii="Times New Roman" w:eastAsia="Times New Roman"/>
          <w:spacing w:val="-4"/>
        </w:rPr>
        <w:t>1</w:t>
      </w:r>
      <w:r>
        <w:rPr>
          <w:spacing w:val="-4"/>
        </w:rPr>
        <w:t>个季度的工人，企业可以主动辞退。辞退时，工人</w:t>
      </w:r>
      <w:r>
        <w:rPr>
          <w:spacing w:val="-2"/>
        </w:rPr>
        <w:t>不能处于上工、培训状态，并且要支付辞退福利。</w:t>
      </w:r>
    </w:p>
    <w:p w14:paraId="510D0301">
      <w:pPr>
        <w:pStyle w:val="12"/>
        <w:numPr>
          <w:ilvl w:val="1"/>
          <w:numId w:val="2"/>
        </w:numPr>
        <w:tabs>
          <w:tab w:val="left" w:pos="1010"/>
        </w:tabs>
        <w:spacing w:line="358" w:lineRule="exact"/>
        <w:ind w:left="1010" w:hanging="210"/>
        <w:rPr>
          <w:sz w:val="28"/>
        </w:rPr>
      </w:pPr>
      <w:r>
        <w:rPr>
          <w:spacing w:val="-4"/>
          <w:sz w:val="28"/>
        </w:rPr>
        <w:t>工人培训及激励</w:t>
      </w:r>
    </w:p>
    <w:p w14:paraId="2D114B09">
      <w:pPr>
        <w:pStyle w:val="4"/>
        <w:spacing w:before="184" w:line="364" w:lineRule="auto"/>
        <w:ind w:right="99"/>
      </w:pPr>
      <w:r>
        <w:rPr>
          <w:spacing w:val="-2"/>
        </w:rPr>
        <w:t>工人可以通过培训进行升级，即从低级工人升级为高级工人。升</w:t>
      </w:r>
      <w:r>
        <w:rPr>
          <w:spacing w:val="-18"/>
        </w:rPr>
        <w:t>级后保留效率，并且工资翻倍。培训需要消耗企业一定的时间和金钱，</w:t>
      </w:r>
      <w:r>
        <w:rPr>
          <w:spacing w:val="-2"/>
        </w:rPr>
        <w:t>且不能中断。</w:t>
      </w:r>
    </w:p>
    <w:p w14:paraId="7B04F9CC">
      <w:pPr>
        <w:pStyle w:val="4"/>
        <w:spacing w:before="155" w:line="364" w:lineRule="auto"/>
        <w:ind w:right="237"/>
        <w:jc w:val="both"/>
      </w:pPr>
      <w:r>
        <w:rPr>
          <w:spacing w:val="3"/>
        </w:rPr>
        <w:t>工人每进行一次生产，则降低效率</w:t>
      </w:r>
      <w:r>
        <w:rPr>
          <w:rFonts w:ascii="Times New Roman" w:hAnsi="Times New Roman" w:eastAsia="Times New Roman"/>
        </w:rPr>
        <w:t>X%</w:t>
      </w:r>
      <w:r>
        <w:t>。企业可以通过</w:t>
      </w:r>
      <w:r>
        <w:rPr>
          <w:rFonts w:ascii="Times New Roman" w:hAnsi="Times New Roman" w:eastAsia="Times New Roman"/>
        </w:rPr>
        <w:t>“</w:t>
      </w:r>
      <w:r>
        <w:t>涨薪</w:t>
      </w:r>
      <w:r>
        <w:rPr>
          <w:rFonts w:ascii="Times New Roman" w:hAnsi="Times New Roman" w:eastAsia="Times New Roman"/>
        </w:rPr>
        <w:t>”</w:t>
      </w:r>
      <w:r>
        <w:t>和</w:t>
      </w:r>
      <w:r>
        <w:rPr>
          <w:rFonts w:ascii="Times New Roman" w:hAnsi="Times New Roman" w:eastAsia="Times New Roman"/>
          <w:spacing w:val="-4"/>
        </w:rPr>
        <w:t>“</w:t>
      </w:r>
      <w:r>
        <w:rPr>
          <w:spacing w:val="-4"/>
        </w:rPr>
        <w:t>激励</w:t>
      </w:r>
      <w:r>
        <w:rPr>
          <w:rFonts w:ascii="Times New Roman" w:hAnsi="Times New Roman" w:eastAsia="Times New Roman"/>
          <w:spacing w:val="-4"/>
        </w:rPr>
        <w:t>”</w:t>
      </w:r>
      <w:r>
        <w:rPr>
          <w:spacing w:val="-4"/>
        </w:rPr>
        <w:t>两种方式增长工人的效率。涨薪是通过增加工人的月薪，而激励则是一次性支付奖金。两种方式各有不同，企业需根据实际情况进行选择。</w:t>
      </w:r>
    </w:p>
    <w:p w14:paraId="48EE0367">
      <w:pPr>
        <w:pStyle w:val="12"/>
        <w:numPr>
          <w:ilvl w:val="1"/>
          <w:numId w:val="2"/>
        </w:numPr>
        <w:tabs>
          <w:tab w:val="left" w:pos="1010"/>
        </w:tabs>
        <w:spacing w:before="151"/>
        <w:ind w:left="1010" w:hanging="210"/>
        <w:rPr>
          <w:sz w:val="28"/>
        </w:rPr>
      </w:pPr>
      <w:r>
        <w:rPr>
          <w:spacing w:val="-4"/>
          <w:sz w:val="28"/>
        </w:rPr>
        <w:t>派工参数</w:t>
      </w:r>
    </w:p>
    <w:p w14:paraId="1374990B">
      <w:pPr>
        <w:pStyle w:val="4"/>
        <w:spacing w:before="189" w:line="364" w:lineRule="auto"/>
        <w:ind w:right="236"/>
        <w:jc w:val="both"/>
      </w:pPr>
      <w:r>
        <w:rPr>
          <w:spacing w:val="-4"/>
        </w:rPr>
        <w:t>工人参与生产前，需要先进行</w:t>
      </w:r>
      <w:r>
        <w:rPr>
          <w:rFonts w:ascii="Times New Roman" w:hAnsi="Times New Roman" w:eastAsia="Times New Roman"/>
          <w:spacing w:val="-4"/>
        </w:rPr>
        <w:t>“</w:t>
      </w:r>
      <w:r>
        <w:rPr>
          <w:spacing w:val="-4"/>
        </w:rPr>
        <w:t>派工</w:t>
      </w:r>
      <w:r>
        <w:rPr>
          <w:rFonts w:ascii="Times New Roman" w:hAnsi="Times New Roman" w:eastAsia="Times New Roman"/>
          <w:spacing w:val="-4"/>
        </w:rPr>
        <w:t>”</w:t>
      </w:r>
      <w:r>
        <w:rPr>
          <w:spacing w:val="-4"/>
        </w:rPr>
        <w:t>。企业需根据产线标准的工位，派遣合适的工人上工。工人正确上工后，选择合适的工时，产线</w:t>
      </w:r>
      <w:r>
        <w:rPr>
          <w:spacing w:val="-2"/>
        </w:rPr>
        <w:t>就可以计算出产能供企业参考。</w:t>
      </w:r>
    </w:p>
    <w:p w14:paraId="481B10AA">
      <w:pPr>
        <w:pStyle w:val="12"/>
        <w:numPr>
          <w:ilvl w:val="1"/>
          <w:numId w:val="2"/>
        </w:numPr>
        <w:tabs>
          <w:tab w:val="left" w:pos="1010"/>
        </w:tabs>
        <w:spacing w:before="152"/>
        <w:ind w:left="1010" w:hanging="210"/>
        <w:rPr>
          <w:sz w:val="28"/>
        </w:rPr>
      </w:pPr>
      <w:r>
        <w:rPr>
          <w:spacing w:val="-4"/>
          <w:sz w:val="28"/>
        </w:rPr>
        <w:t>研发与设计参数</w:t>
      </w:r>
    </w:p>
    <w:p w14:paraId="643C6588">
      <w:pPr>
        <w:pStyle w:val="4"/>
        <w:spacing w:before="186" w:line="364" w:lineRule="auto"/>
        <w:ind w:right="238"/>
        <w:jc w:val="both"/>
      </w:pPr>
      <w:r>
        <w:rPr>
          <w:spacing w:val="-4"/>
        </w:rPr>
        <w:t>产线开产还需要检查图纸，图纸包括产品和特性。产品与特性组合之后就可以形成图纸，保存图纸需要支付一定的费用。图纸可以更</w:t>
      </w:r>
      <w:r>
        <w:rPr>
          <w:spacing w:val="-2"/>
        </w:rPr>
        <w:t>改，每次保存图纸都需要重新支付费用。</w:t>
      </w:r>
    </w:p>
    <w:p w14:paraId="78B0F159">
      <w:pPr>
        <w:pStyle w:val="4"/>
        <w:spacing w:line="364" w:lineRule="auto"/>
        <w:ind w:right="238"/>
      </w:pPr>
      <w:r>
        <w:rPr>
          <w:spacing w:val="-10"/>
        </w:rPr>
        <w:t>特性代表着企业的科研属性，企业可以通过投入现金来提升特性</w:t>
      </w:r>
      <w:r>
        <w:rPr>
          <w:spacing w:val="-2"/>
        </w:rPr>
        <w:t>等级，特性等级越高，企业的竞争力就越强。</w:t>
      </w:r>
    </w:p>
    <w:p w14:paraId="6A6EE8BC">
      <w:pPr>
        <w:pStyle w:val="12"/>
        <w:numPr>
          <w:ilvl w:val="1"/>
          <w:numId w:val="2"/>
        </w:numPr>
        <w:tabs>
          <w:tab w:val="left" w:pos="1010"/>
        </w:tabs>
        <w:spacing w:before="153" w:line="360" w:lineRule="auto"/>
        <w:ind w:left="1010" w:hanging="210"/>
        <w:rPr>
          <w:sz w:val="28"/>
        </w:rPr>
      </w:pPr>
      <w:r>
        <w:rPr>
          <w:spacing w:val="-4"/>
          <w:sz w:val="28"/>
        </w:rPr>
        <w:t>质量认证参数</w:t>
      </w:r>
    </w:p>
    <w:p w14:paraId="0FE25E32">
      <w:pPr>
        <w:pStyle w:val="4"/>
        <w:spacing w:before="44" w:line="360" w:lineRule="auto"/>
        <w:ind w:right="144"/>
      </w:pPr>
      <w:r>
        <w:rPr>
          <w:spacing w:val="-2"/>
        </w:rPr>
        <w:t>质量认证是企业的一项重要资质，需要花费时间和现金去申请。一经开始不可以中断或终止。认证完成后，无须交维护费。</w:t>
      </w:r>
    </w:p>
    <w:p w14:paraId="1B8F3485">
      <w:pPr>
        <w:pStyle w:val="4"/>
        <w:spacing w:line="364" w:lineRule="auto"/>
        <w:ind w:right="238"/>
      </w:pPr>
      <w:r>
        <w:rPr>
          <w:spacing w:val="-4"/>
        </w:rPr>
        <w:t>质量认证影响订单的获取，部分需要资质认证的订单，若无相应</w:t>
      </w:r>
      <w:r>
        <w:rPr>
          <w:spacing w:val="-2"/>
        </w:rPr>
        <w:t>的认证，则无法获取申报的订单。</w:t>
      </w:r>
    </w:p>
    <w:p w14:paraId="27BD3A10">
      <w:pPr>
        <w:pStyle w:val="12"/>
        <w:numPr>
          <w:ilvl w:val="1"/>
          <w:numId w:val="2"/>
        </w:numPr>
        <w:tabs>
          <w:tab w:val="left" w:pos="1010"/>
        </w:tabs>
        <w:spacing w:before="154"/>
        <w:ind w:left="1010" w:hanging="210"/>
        <w:rPr>
          <w:sz w:val="28"/>
        </w:rPr>
      </w:pPr>
      <w:r>
        <w:rPr>
          <w:spacing w:val="-4"/>
          <w:sz w:val="28"/>
        </w:rPr>
        <w:t>市场开拓参数</w:t>
      </w:r>
    </w:p>
    <w:p w14:paraId="399EC200">
      <w:pPr>
        <w:pStyle w:val="4"/>
        <w:spacing w:before="186" w:line="364" w:lineRule="auto"/>
        <w:ind w:right="144"/>
        <w:jc w:val="both"/>
      </w:pPr>
      <w:r>
        <w:rPr>
          <w:spacing w:val="-2"/>
        </w:rPr>
        <w:t>市场决定企业营销端的范围。当企业拥有相应市场的资质，才可以在该市场出售产品。市场开拓不可以中断或终止。认证完成后，无须交维护费。当企业不具备某市场资质时，无法申报该市场的订单。</w:t>
      </w:r>
    </w:p>
    <w:p w14:paraId="46C11E9D">
      <w:pPr>
        <w:pStyle w:val="12"/>
        <w:numPr>
          <w:ilvl w:val="1"/>
          <w:numId w:val="2"/>
        </w:numPr>
        <w:tabs>
          <w:tab w:val="left" w:pos="1010"/>
        </w:tabs>
        <w:spacing w:before="154"/>
        <w:ind w:left="1010" w:hanging="210"/>
        <w:rPr>
          <w:sz w:val="28"/>
        </w:rPr>
      </w:pPr>
      <w:r>
        <w:rPr>
          <w:spacing w:val="-4"/>
          <w:sz w:val="28"/>
        </w:rPr>
        <w:t>产品资质参数</w:t>
      </w:r>
    </w:p>
    <w:p w14:paraId="3B4E8B84">
      <w:pPr>
        <w:pStyle w:val="4"/>
        <w:spacing w:before="186" w:line="364" w:lineRule="auto"/>
        <w:ind w:right="236"/>
        <w:jc w:val="both"/>
      </w:pPr>
      <w:r>
        <w:rPr>
          <w:spacing w:val="-7"/>
        </w:rPr>
        <w:t>产品资质决定企业是否可以生产相应的产品。产品资质一旦开始</w:t>
      </w:r>
      <w:r>
        <w:rPr>
          <w:spacing w:val="-4"/>
        </w:rPr>
        <w:t>申请，不可中断或终止。申请完成后，无需维护费，即有资格生产该产品。</w:t>
      </w:r>
    </w:p>
    <w:p w14:paraId="038C8F6F">
      <w:pPr>
        <w:pStyle w:val="12"/>
        <w:numPr>
          <w:ilvl w:val="1"/>
          <w:numId w:val="2"/>
        </w:numPr>
        <w:tabs>
          <w:tab w:val="left" w:pos="1149"/>
        </w:tabs>
        <w:spacing w:before="155"/>
        <w:ind w:left="1149" w:hanging="349"/>
        <w:rPr>
          <w:sz w:val="28"/>
        </w:rPr>
      </w:pPr>
      <w:r>
        <w:rPr>
          <w:spacing w:val="-4"/>
          <w:sz w:val="28"/>
        </w:rPr>
        <w:t>促销广告参数</w:t>
      </w:r>
    </w:p>
    <w:p w14:paraId="6D1B08C1">
      <w:pPr>
        <w:pStyle w:val="4"/>
        <w:spacing w:before="183" w:line="364" w:lineRule="auto"/>
        <w:ind w:right="144"/>
        <w:jc w:val="both"/>
      </w:pPr>
      <w:r>
        <w:rPr>
          <w:spacing w:val="-2"/>
        </w:rPr>
        <w:t>促销广告在经营的任意时间都可以投放，不分产品，投放后为企业增加知名度。广告投放可多次投放，数据持续叠加，可以持续增长知名度。知名度在选单后清空，需要在下次选单前重新投放并累计。</w:t>
      </w:r>
    </w:p>
    <w:p w14:paraId="028E7097">
      <w:pPr>
        <w:pStyle w:val="12"/>
        <w:numPr>
          <w:ilvl w:val="1"/>
          <w:numId w:val="2"/>
        </w:numPr>
        <w:tabs>
          <w:tab w:val="left" w:pos="1139"/>
        </w:tabs>
        <w:spacing w:before="1"/>
        <w:ind w:left="1139" w:hanging="339"/>
        <w:rPr>
          <w:sz w:val="28"/>
        </w:rPr>
      </w:pPr>
      <w:r>
        <w:rPr>
          <w:spacing w:val="-4"/>
          <w:sz w:val="28"/>
        </w:rPr>
        <w:t>原料采购参数</w:t>
      </w:r>
    </w:p>
    <w:p w14:paraId="5EB85F9F">
      <w:pPr>
        <w:pStyle w:val="4"/>
        <w:spacing w:before="184" w:line="364" w:lineRule="auto"/>
        <w:ind w:right="238"/>
      </w:pPr>
      <w:r>
        <w:rPr>
          <w:spacing w:val="-4"/>
        </w:rPr>
        <w:t>市场材料有数量上限，被购买空后本季度则不再补充，切换季度</w:t>
      </w:r>
      <w:r>
        <w:rPr>
          <w:spacing w:val="-2"/>
        </w:rPr>
        <w:t>后重新补满。</w:t>
      </w:r>
    </w:p>
    <w:p w14:paraId="142B6A2D">
      <w:pPr>
        <w:pStyle w:val="4"/>
        <w:spacing w:before="1" w:line="364" w:lineRule="auto"/>
        <w:ind w:right="99"/>
      </w:pPr>
      <w:r>
        <w:rPr>
          <w:spacing w:val="-2"/>
        </w:rPr>
        <w:t>原材料采用预定的方式，即下单预定时不需要支付任何资金。经</w:t>
      </w:r>
      <w:r>
        <w:rPr>
          <w:spacing w:val="-19"/>
        </w:rPr>
        <w:t>过一定的送货期后，材料到货即可收货。收货时同样不需要任何资金，</w:t>
      </w:r>
      <w:r>
        <w:rPr>
          <w:spacing w:val="-2"/>
        </w:rPr>
        <w:t>收货后生成应付款自动发送到财务岗位。材料到货后必须当季收货，否则系统强制收货，并且扣减商誉</w:t>
      </w:r>
      <w:r>
        <w:rPr>
          <w:rFonts w:ascii="Times New Roman" w:eastAsia="Times New Roman"/>
        </w:rPr>
        <w:t>1</w:t>
      </w:r>
      <w:r>
        <w:t>点。</w:t>
      </w:r>
    </w:p>
    <w:p w14:paraId="454685BE">
      <w:pPr>
        <w:pStyle w:val="4"/>
        <w:spacing w:line="354" w:lineRule="exact"/>
        <w:ind w:left="800" w:firstLine="0"/>
      </w:pPr>
      <w:r>
        <w:rPr>
          <w:spacing w:val="-7"/>
        </w:rPr>
        <w:t>若因意外材料不足，可进行紧急采购。紧急采购时，原料价格是</w:t>
      </w:r>
    </w:p>
    <w:p w14:paraId="7F1F3DDF">
      <w:pPr>
        <w:pStyle w:val="4"/>
        <w:spacing w:before="186" w:line="360" w:lineRule="auto"/>
        <w:ind w:firstLine="0"/>
        <w:rPr>
          <w:spacing w:val="-3"/>
        </w:rPr>
      </w:pPr>
      <w:r>
        <w:rPr>
          <w:spacing w:val="-13"/>
        </w:rPr>
        <w:t>材料原价的</w:t>
      </w:r>
      <w:r>
        <w:rPr>
          <w:rFonts w:ascii="Times New Roman" w:eastAsia="Times New Roman"/>
          <w:spacing w:val="-2"/>
        </w:rPr>
        <w:t>2</w:t>
      </w:r>
      <w:r>
        <w:rPr>
          <w:spacing w:val="-3"/>
        </w:rPr>
        <w:t>倍，在利润表中，直接成本按照实际成本记录。</w:t>
      </w:r>
    </w:p>
    <w:p w14:paraId="33751187">
      <w:pPr>
        <w:pStyle w:val="12"/>
        <w:numPr>
          <w:ilvl w:val="1"/>
          <w:numId w:val="2"/>
        </w:numPr>
        <w:tabs>
          <w:tab w:val="left" w:pos="1149"/>
        </w:tabs>
        <w:spacing w:before="44" w:line="360" w:lineRule="auto"/>
        <w:ind w:left="1149" w:hanging="349"/>
        <w:rPr>
          <w:sz w:val="28"/>
        </w:rPr>
      </w:pPr>
      <w:r>
        <w:rPr>
          <w:spacing w:val="-4"/>
          <w:sz w:val="28"/>
        </w:rPr>
        <w:t>销售市场参数</w:t>
      </w:r>
    </w:p>
    <w:p w14:paraId="5ADC4183">
      <w:pPr>
        <w:pStyle w:val="4"/>
        <w:spacing w:before="186" w:line="360" w:lineRule="auto"/>
        <w:ind w:right="237"/>
        <w:jc w:val="both"/>
      </w:pPr>
      <w:r>
        <w:rPr>
          <w:spacing w:val="-4"/>
        </w:rPr>
        <w:t>销售市场需求包含市场上订单的产品、特性、单价、需求量、交货期、账期等参数，在以销定产的模式下，参赛队需要根据市场分析</w:t>
      </w:r>
      <w:r>
        <w:rPr>
          <w:spacing w:val="-2"/>
        </w:rPr>
        <w:t>出自身企业的经营方向。</w:t>
      </w:r>
    </w:p>
    <w:p w14:paraId="100C8755">
      <w:pPr>
        <w:pStyle w:val="4"/>
        <w:spacing w:line="364" w:lineRule="auto"/>
        <w:ind w:right="236"/>
        <w:jc w:val="both"/>
      </w:pPr>
      <w:r>
        <w:rPr>
          <w:spacing w:val="-4"/>
        </w:rPr>
        <w:t>参赛队根据自身的情况，选择合适的订单进行申报，申报时要给出所申报订单的【申报数量】和【申报价格】，申报期结束后，系统自动根据各参赛队的竞争得分，对订单进行分配，分配原则为优先分</w:t>
      </w:r>
      <w:r>
        <w:rPr>
          <w:spacing w:val="-2"/>
        </w:rPr>
        <w:t>配得分高者的需求，分完为止。竞争得分：</w:t>
      </w:r>
    </w:p>
    <w:p w14:paraId="74779EB1">
      <w:pPr>
        <w:pStyle w:val="4"/>
        <w:spacing w:line="357" w:lineRule="exact"/>
        <w:ind w:left="800" w:firstLine="0"/>
      </w:pPr>
      <w:r>
        <w:rPr>
          <w:rFonts w:ascii="Times New Roman" w:eastAsia="Times New Roman"/>
        </w:rPr>
        <w:t>Y=</w:t>
      </w:r>
      <w:r>
        <w:t>知名度</w:t>
      </w:r>
      <w:r>
        <w:rPr>
          <w:rFonts w:ascii="Times New Roman" w:eastAsia="Times New Roman"/>
        </w:rPr>
        <w:t>+</w:t>
      </w:r>
      <w:r>
        <w:t>商誉</w:t>
      </w:r>
      <w:r>
        <w:rPr>
          <w:rFonts w:ascii="Times New Roman" w:eastAsia="Times New Roman"/>
        </w:rPr>
        <w:t>*</w:t>
      </w:r>
      <w:r>
        <w:t>市场占有率</w:t>
      </w:r>
      <w:r>
        <w:rPr>
          <w:rFonts w:ascii="Times New Roman" w:eastAsia="Times New Roman"/>
        </w:rPr>
        <w:t>*</w:t>
      </w:r>
      <w:r>
        <w:t>（参考价</w:t>
      </w:r>
      <w:r>
        <w:rPr>
          <w:rFonts w:ascii="Times New Roman" w:eastAsia="Times New Roman"/>
        </w:rPr>
        <w:t>-</w:t>
      </w:r>
      <w:r>
        <w:t>报价）</w:t>
      </w:r>
      <w:r>
        <w:rPr>
          <w:rFonts w:ascii="Times New Roman" w:eastAsia="Times New Roman"/>
        </w:rPr>
        <w:t>+1000*</w:t>
      </w:r>
      <w:r>
        <w:rPr>
          <w:spacing w:val="-3"/>
        </w:rPr>
        <w:t>特性研发</w:t>
      </w:r>
    </w:p>
    <w:p w14:paraId="647F8A48">
      <w:pPr>
        <w:pStyle w:val="4"/>
        <w:spacing w:before="184"/>
        <w:ind w:firstLine="0"/>
      </w:pPr>
      <w:r>
        <w:rPr>
          <w:spacing w:val="-10"/>
        </w:rPr>
        <w:t>值</w:t>
      </w:r>
    </w:p>
    <w:p w14:paraId="2D4CCE73">
      <w:pPr>
        <w:pStyle w:val="12"/>
        <w:numPr>
          <w:ilvl w:val="1"/>
          <w:numId w:val="2"/>
        </w:numPr>
        <w:tabs>
          <w:tab w:val="left" w:pos="1149"/>
        </w:tabs>
        <w:spacing w:before="186"/>
        <w:ind w:left="1149" w:hanging="349"/>
        <w:rPr>
          <w:sz w:val="28"/>
        </w:rPr>
      </w:pPr>
      <w:r>
        <w:rPr>
          <w:spacing w:val="-4"/>
          <w:sz w:val="28"/>
        </w:rPr>
        <w:t>融资参数</w:t>
      </w:r>
    </w:p>
    <w:p w14:paraId="6705F42A">
      <w:pPr>
        <w:pStyle w:val="4"/>
        <w:spacing w:before="186"/>
        <w:ind w:left="800" w:firstLine="0"/>
      </w:pPr>
      <w:r>
        <w:rPr>
          <w:spacing w:val="-1"/>
        </w:rPr>
        <w:t>融资包含短期贷款与长期贷款两种模式。短期贷款包括：</w:t>
      </w:r>
      <w:r>
        <w:rPr>
          <w:spacing w:val="-4"/>
        </w:rPr>
        <w:t>（</w:t>
      </w:r>
      <w:r>
        <w:rPr>
          <w:rFonts w:ascii="Times New Roman" w:eastAsia="Times New Roman"/>
          <w:spacing w:val="-4"/>
        </w:rPr>
        <w:t>1</w:t>
      </w:r>
      <w:r>
        <w:rPr>
          <w:spacing w:val="-4"/>
        </w:rPr>
        <w:t>）</w:t>
      </w:r>
    </w:p>
    <w:p w14:paraId="5219681E">
      <w:pPr>
        <w:pStyle w:val="4"/>
        <w:spacing w:before="186" w:line="364" w:lineRule="auto"/>
        <w:ind w:right="96" w:firstLine="0"/>
      </w:pPr>
      <w:r>
        <w:t>直接贷款，通常周期短，利息高；（</w:t>
      </w:r>
      <w:r>
        <w:rPr>
          <w:rFonts w:ascii="Times New Roman" w:hAnsi="Times New Roman" w:eastAsia="Times New Roman"/>
        </w:rPr>
        <w:t>2</w:t>
      </w:r>
      <w:r>
        <w:t>）</w:t>
      </w:r>
      <w:r>
        <w:rPr>
          <w:spacing w:val="-3"/>
        </w:rPr>
        <w:t>短期银行借款，最长</w:t>
      </w:r>
      <w:r>
        <w:rPr>
          <w:rFonts w:ascii="Times New Roman" w:hAnsi="Times New Roman" w:eastAsia="Times New Roman"/>
        </w:rPr>
        <w:t>4</w:t>
      </w:r>
      <w:r>
        <w:t>个季</w:t>
      </w:r>
      <w:r>
        <w:rPr>
          <w:spacing w:val="-2"/>
        </w:rPr>
        <w:t>度。两种短期贷款均是本息在还本时一次性付清。长期贷款时间最长</w:t>
      </w:r>
      <w:r>
        <w:rPr>
          <w:spacing w:val="-36"/>
        </w:rPr>
        <w:t>为</w:t>
      </w:r>
      <w:r>
        <w:rPr>
          <w:rFonts w:ascii="Times New Roman" w:hAnsi="Times New Roman" w:eastAsia="Times New Roman"/>
        </w:rPr>
        <w:t>2</w:t>
      </w:r>
      <w:r>
        <w:rPr>
          <w:spacing w:val="-17"/>
        </w:rPr>
        <w:t>年，需每季度归还利息。规则文件中，利率是</w:t>
      </w:r>
      <w:r>
        <w:rPr>
          <w:rFonts w:ascii="Times New Roman" w:hAnsi="Times New Roman" w:eastAsia="Times New Roman"/>
        </w:rPr>
        <w:t>“</w:t>
      </w:r>
      <w:r>
        <w:t>单次还息</w:t>
      </w:r>
      <w:r>
        <w:rPr>
          <w:rFonts w:ascii="Times New Roman" w:hAnsi="Times New Roman" w:eastAsia="Times New Roman"/>
        </w:rPr>
        <w:t>”</w:t>
      </w:r>
      <w:r>
        <w:t>的利率，</w:t>
      </w:r>
      <w:r>
        <w:rPr>
          <w:spacing w:val="-2"/>
        </w:rPr>
        <w:t>即短期贷款则为总利率，而长期贷款则为每季度利率。</w:t>
      </w:r>
    </w:p>
    <w:p w14:paraId="36BEC05B">
      <w:pPr>
        <w:pStyle w:val="12"/>
        <w:numPr>
          <w:ilvl w:val="1"/>
          <w:numId w:val="2"/>
        </w:numPr>
        <w:tabs>
          <w:tab w:val="left" w:pos="1149"/>
        </w:tabs>
        <w:spacing w:before="154"/>
        <w:ind w:left="1149" w:hanging="349"/>
        <w:rPr>
          <w:sz w:val="28"/>
        </w:rPr>
      </w:pPr>
      <w:r>
        <w:rPr>
          <w:spacing w:val="-4"/>
          <w:sz w:val="28"/>
        </w:rPr>
        <w:t>收付款参数</w:t>
      </w:r>
    </w:p>
    <w:p w14:paraId="72918290">
      <w:pPr>
        <w:pStyle w:val="4"/>
        <w:spacing w:before="184" w:line="364" w:lineRule="auto"/>
        <w:ind w:right="96"/>
      </w:pPr>
      <w:r>
        <w:rPr>
          <w:spacing w:val="-7"/>
        </w:rPr>
        <w:t>系统中企业购买材料收货后会生成应付款，企业销售产品后会生</w:t>
      </w:r>
      <w:r>
        <w:rPr>
          <w:spacing w:val="-2"/>
        </w:rPr>
        <w:t>成应收款，其账期均由系统规则中的对应参数确定。应收账款不可提</w:t>
      </w:r>
      <w:r>
        <w:rPr>
          <w:spacing w:val="-13"/>
        </w:rPr>
        <w:t>前收款，如确有需要可选择</w:t>
      </w:r>
      <w:r>
        <w:rPr>
          <w:rFonts w:ascii="Times New Roman" w:hAnsi="Times New Roman" w:eastAsia="Times New Roman"/>
          <w:spacing w:val="-2"/>
        </w:rPr>
        <w:t>“</w:t>
      </w:r>
      <w:r>
        <w:rPr>
          <w:spacing w:val="-2"/>
        </w:rPr>
        <w:t>贴现</w:t>
      </w:r>
      <w:r>
        <w:rPr>
          <w:rFonts w:ascii="Times New Roman" w:hAnsi="Times New Roman" w:eastAsia="Times New Roman"/>
          <w:spacing w:val="-2"/>
        </w:rPr>
        <w:t>”</w:t>
      </w:r>
      <w:r>
        <w:rPr>
          <w:spacing w:val="-13"/>
        </w:rPr>
        <w:t>的方式，支付一定贴息以获得钱款；</w:t>
      </w:r>
      <w:r>
        <w:rPr>
          <w:spacing w:val="-2"/>
        </w:rPr>
        <w:t>应付款可以提前支付，但不可延后，若未按期付款，则每笔款项扣减一点商誉值。</w:t>
      </w:r>
    </w:p>
    <w:p w14:paraId="459B1A64">
      <w:pPr>
        <w:pStyle w:val="12"/>
        <w:numPr>
          <w:ilvl w:val="1"/>
          <w:numId w:val="2"/>
        </w:numPr>
        <w:tabs>
          <w:tab w:val="left" w:pos="1149"/>
        </w:tabs>
        <w:spacing w:before="153"/>
        <w:ind w:left="1149" w:hanging="349"/>
        <w:rPr>
          <w:sz w:val="28"/>
        </w:rPr>
      </w:pPr>
      <w:r>
        <w:rPr>
          <w:spacing w:val="-4"/>
          <w:sz w:val="28"/>
        </w:rPr>
        <w:t>管理费用参数</w:t>
      </w:r>
    </w:p>
    <w:p w14:paraId="7BA0526E">
      <w:pPr>
        <w:pStyle w:val="4"/>
        <w:spacing w:before="186" w:line="364" w:lineRule="auto"/>
        <w:ind w:right="144"/>
      </w:pPr>
      <w:r>
        <w:rPr>
          <w:spacing w:val="-2"/>
        </w:rPr>
        <w:t>管理费用是企业每个月都要缴纳的日常费用，每季度缴纳一次，一次缴纳三个月。管理费用必须主动缴纳，若未主动缴纳，系统则会</w:t>
      </w:r>
    </w:p>
    <w:p w14:paraId="3CE1AF65">
      <w:pPr>
        <w:pStyle w:val="4"/>
        <w:spacing w:before="44"/>
        <w:ind w:firstLine="0"/>
      </w:pPr>
      <w:r>
        <w:rPr>
          <w:spacing w:val="-3"/>
        </w:rPr>
        <w:t>自动扣除，并扣除企业的商誉值。</w:t>
      </w:r>
    </w:p>
    <w:p w14:paraId="485DD09B">
      <w:pPr>
        <w:pStyle w:val="12"/>
        <w:numPr>
          <w:ilvl w:val="1"/>
          <w:numId w:val="2"/>
        </w:numPr>
        <w:tabs>
          <w:tab w:val="left" w:pos="1149"/>
        </w:tabs>
        <w:spacing w:before="186"/>
        <w:ind w:left="1149" w:hanging="349"/>
        <w:rPr>
          <w:sz w:val="28"/>
        </w:rPr>
      </w:pPr>
      <w:r>
        <w:rPr>
          <w:spacing w:val="-4"/>
          <w:sz w:val="28"/>
        </w:rPr>
        <w:t>双碳参数</w:t>
      </w:r>
    </w:p>
    <w:p w14:paraId="663776BB">
      <w:pPr>
        <w:pStyle w:val="4"/>
        <w:spacing w:before="186" w:line="364" w:lineRule="auto"/>
        <w:ind w:right="236"/>
        <w:jc w:val="both"/>
      </w:pPr>
      <w:r>
        <w:rPr>
          <w:spacing w:val="-4"/>
        </w:rPr>
        <w:t>所有的企业在生产时，都会排放出相应的碳排放量。前两年排放的总碳量作为第三年的峰值，第三年的排放量作为第四年的峰值，依次类推，即本年内所有组的排放量不允许超过上年的值。从第三年开始，每年年初系统会根据上一年的排放表现，为各个队伍分配碳排放</w:t>
      </w:r>
      <w:r>
        <w:rPr>
          <w:spacing w:val="28"/>
        </w:rPr>
        <w:t>额度</w:t>
      </w:r>
      <w:r>
        <w:rPr>
          <w:rFonts w:ascii="Times New Roman" w:eastAsia="Times New Roman"/>
        </w:rPr>
        <w:t>X1-Xn</w:t>
      </w:r>
      <w:r>
        <w:rPr>
          <w:spacing w:val="-11"/>
        </w:rPr>
        <w:t>。则各个队伍的排放量均不允许超过其企业被分配的碳排</w:t>
      </w:r>
      <w:r>
        <w:rPr>
          <w:spacing w:val="-2"/>
        </w:rPr>
        <w:t>放，一旦企业将本年的排量额度全部用完，则企业将无法生产。</w:t>
      </w:r>
    </w:p>
    <w:p w14:paraId="7781F42A">
      <w:pPr>
        <w:pStyle w:val="4"/>
        <w:spacing w:line="364" w:lineRule="auto"/>
        <w:ind w:right="144"/>
        <w:jc w:val="both"/>
      </w:pPr>
      <w:r>
        <w:rPr>
          <w:spacing w:val="-2"/>
        </w:rPr>
        <w:t>企业排放的碳有义务自己中和掉，系统提供了植树造林的方式，企业可以花费现金，进行碳中和。碳中和是排放型企业的基本义务，</w:t>
      </w:r>
      <w:r>
        <w:rPr>
          <w:spacing w:val="-6"/>
        </w:rPr>
        <w:t>碳中和率若不足</w:t>
      </w:r>
      <w:r>
        <w:rPr>
          <w:rFonts w:ascii="Times New Roman" w:eastAsia="Times New Roman"/>
        </w:rPr>
        <w:t>100%</w:t>
      </w:r>
      <w:r>
        <w:t>，将扣减大量总分。</w:t>
      </w:r>
    </w:p>
    <w:p w14:paraId="3B071D15">
      <w:pPr>
        <w:pStyle w:val="12"/>
        <w:numPr>
          <w:ilvl w:val="1"/>
          <w:numId w:val="2"/>
        </w:numPr>
        <w:tabs>
          <w:tab w:val="left" w:pos="1149"/>
        </w:tabs>
        <w:spacing w:line="355" w:lineRule="exact"/>
        <w:ind w:left="1149" w:hanging="349"/>
        <w:rPr>
          <w:sz w:val="28"/>
        </w:rPr>
      </w:pPr>
      <w:r>
        <w:rPr>
          <w:spacing w:val="-4"/>
          <w:sz w:val="28"/>
        </w:rPr>
        <w:t>企业初始参数</w:t>
      </w:r>
    </w:p>
    <w:p w14:paraId="02EB3B56">
      <w:pPr>
        <w:pStyle w:val="4"/>
        <w:spacing w:before="184" w:line="364" w:lineRule="auto"/>
        <w:ind w:right="237"/>
      </w:pPr>
      <w:r>
        <w:rPr>
          <w:spacing w:val="-4"/>
        </w:rPr>
        <w:t>企业初始可以定义初始资金、初始市场资质、初始产品资质、初</w:t>
      </w:r>
      <w:r>
        <w:rPr>
          <w:spacing w:val="-2"/>
        </w:rPr>
        <w:t>始原料库存，初始产品库存等内容。</w:t>
      </w:r>
    </w:p>
    <w:p w14:paraId="7487A875">
      <w:pPr>
        <w:pStyle w:val="4"/>
        <w:spacing w:line="358" w:lineRule="exact"/>
        <w:ind w:left="800" w:firstLine="0"/>
      </w:pPr>
      <w:r>
        <w:rPr>
          <w:spacing w:val="-3"/>
        </w:rPr>
        <w:t>特别提醒：本次比赛为竞单模式，第一年即开启竞单。</w:t>
      </w:r>
    </w:p>
    <w:p w14:paraId="7865CCB6">
      <w:pPr>
        <w:pStyle w:val="4"/>
        <w:spacing w:before="87"/>
        <w:ind w:left="0" w:firstLine="0"/>
      </w:pPr>
    </w:p>
    <w:p w14:paraId="01A534EB">
      <w:pPr>
        <w:pStyle w:val="2"/>
        <w:keepNext w:val="0"/>
        <w:keepLines w:val="0"/>
        <w:pageBreakBefore w:val="0"/>
        <w:widowControl w:val="0"/>
        <w:numPr>
          <w:numId w:val="0"/>
        </w:numPr>
        <w:tabs>
          <w:tab w:val="left" w:pos="1521"/>
        </w:tabs>
        <w:kinsoku/>
        <w:wordWrap/>
        <w:overflowPunct/>
        <w:topLinePunct w:val="0"/>
        <w:autoSpaceDE w:val="0"/>
        <w:autoSpaceDN w:val="0"/>
        <w:bidi w:val="0"/>
        <w:adjustRightInd/>
        <w:snapToGrid/>
        <w:spacing w:before="260" w:line="560" w:lineRule="exact"/>
        <w:ind w:firstLine="616" w:firstLineChars="200"/>
        <w:textAlignment w:val="auto"/>
        <w:rPr>
          <w:rFonts w:ascii="黑体" w:hAnsi="黑体" w:eastAsia="黑体"/>
          <w:spacing w:val="-6"/>
        </w:rPr>
      </w:pPr>
      <w:bookmarkStart w:id="18" w:name="十、成绩评定"/>
      <w:bookmarkEnd w:id="18"/>
      <w:r>
        <w:rPr>
          <w:rFonts w:hint="eastAsia" w:ascii="黑体" w:hAnsi="黑体" w:eastAsia="黑体"/>
          <w:spacing w:val="-6"/>
          <w:lang w:val="en-US" w:eastAsia="zh-CN"/>
        </w:rPr>
        <w:t>十、</w:t>
      </w:r>
      <w:r>
        <w:rPr>
          <w:rFonts w:hint="eastAsia" w:ascii="黑体" w:hAnsi="黑体" w:eastAsia="黑体"/>
          <w:spacing w:val="-6"/>
        </w:rPr>
        <w:t>成绩评定</w:t>
      </w:r>
    </w:p>
    <w:p w14:paraId="21728DAD">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评分细则</w:t>
      </w:r>
    </w:p>
    <w:p w14:paraId="298B6B19">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企业模拟经营过程需要持续经营4年，从经营风尚、管理工具应用、数字化平台建设、持续经营和经营成果五个方面进行综合评判，以全面考察学生企业经营管理核心技能和规则意识、创新意识、数字思维、系统思维等职业素养。具体评分细则如表11-1所示。</w:t>
      </w:r>
    </w:p>
    <w:tbl>
      <w:tblPr>
        <w:tblStyle w:val="9"/>
        <w:tblpPr w:leftFromText="180" w:rightFromText="180" w:vertAnchor="text" w:horzAnchor="page" w:tblpX="1534" w:tblpY="393"/>
        <w:tblOverlap w:val="never"/>
        <w:tblW w:w="88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2"/>
        <w:gridCol w:w="624"/>
        <w:gridCol w:w="5580"/>
        <w:gridCol w:w="1380"/>
      </w:tblGrid>
      <w:tr w14:paraId="6E8BC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1272" w:type="dxa"/>
          </w:tcPr>
          <w:p w14:paraId="2493A7AD">
            <w:pPr>
              <w:pStyle w:val="13"/>
              <w:spacing w:line="302" w:lineRule="exact"/>
              <w:ind w:left="9" w:right="2"/>
              <w:rPr>
                <w:rFonts w:hint="eastAsia" w:ascii="Microsoft JhengHei" w:eastAsia="宋体"/>
                <w:b/>
                <w:sz w:val="24"/>
                <w:lang w:val="en-US" w:eastAsia="zh-CN"/>
              </w:rPr>
            </w:pPr>
            <w:r>
              <w:rPr>
                <w:rFonts w:ascii="Microsoft JhengHei" w:eastAsia="Microsoft JhengHei"/>
                <w:b/>
                <w:spacing w:val="-4"/>
                <w:sz w:val="24"/>
              </w:rPr>
              <w:t>评分</w:t>
            </w:r>
            <w:r>
              <w:rPr>
                <w:rFonts w:hint="eastAsia" w:ascii="Microsoft JhengHei"/>
                <w:b/>
                <w:spacing w:val="-4"/>
                <w:sz w:val="24"/>
                <w:lang w:val="en-US" w:eastAsia="zh-CN"/>
              </w:rPr>
              <w:t>项目</w:t>
            </w:r>
          </w:p>
        </w:tc>
        <w:tc>
          <w:tcPr>
            <w:tcW w:w="624" w:type="dxa"/>
          </w:tcPr>
          <w:p w14:paraId="1E83CE10">
            <w:pPr>
              <w:pStyle w:val="13"/>
              <w:spacing w:before="78"/>
              <w:ind w:left="134"/>
              <w:jc w:val="left"/>
              <w:rPr>
                <w:rFonts w:hint="eastAsia" w:ascii="Microsoft JhengHei" w:eastAsia="宋体"/>
                <w:b/>
                <w:sz w:val="24"/>
                <w:lang w:eastAsia="zh-CN"/>
              </w:rPr>
            </w:pPr>
            <w:r>
              <w:rPr>
                <w:rFonts w:hint="eastAsia" w:ascii="Microsoft JhengHei"/>
                <w:b/>
                <w:spacing w:val="-5"/>
                <w:sz w:val="24"/>
                <w:lang w:val="en-US" w:eastAsia="zh-CN"/>
              </w:rPr>
              <w:t>分值</w:t>
            </w:r>
          </w:p>
        </w:tc>
        <w:tc>
          <w:tcPr>
            <w:tcW w:w="5580" w:type="dxa"/>
          </w:tcPr>
          <w:p w14:paraId="1E514CD7">
            <w:pPr>
              <w:pStyle w:val="13"/>
              <w:spacing w:line="299" w:lineRule="exact"/>
              <w:ind w:left="11"/>
              <w:rPr>
                <w:rFonts w:ascii="Microsoft JhengHei" w:eastAsia="Microsoft JhengHei"/>
                <w:b/>
                <w:sz w:val="24"/>
              </w:rPr>
            </w:pPr>
            <w:r>
              <w:rPr>
                <w:rFonts w:ascii="Microsoft JhengHei" w:eastAsia="Microsoft JhengHei"/>
                <w:b/>
                <w:spacing w:val="-3"/>
                <w:sz w:val="24"/>
              </w:rPr>
              <w:t>考察目标</w:t>
            </w:r>
          </w:p>
          <w:p w14:paraId="62C556C3">
            <w:pPr>
              <w:pStyle w:val="13"/>
              <w:spacing w:line="302" w:lineRule="exact"/>
              <w:ind w:left="11"/>
              <w:rPr>
                <w:rFonts w:ascii="Microsoft JhengHei" w:eastAsia="Microsoft JhengHei"/>
                <w:b/>
                <w:sz w:val="24"/>
              </w:rPr>
            </w:pPr>
            <w:r>
              <w:rPr>
                <w:rFonts w:ascii="Microsoft JhengHei" w:eastAsia="Microsoft JhengHei"/>
                <w:b/>
                <w:spacing w:val="-3"/>
                <w:sz w:val="24"/>
              </w:rPr>
              <w:t>计算办法</w:t>
            </w:r>
          </w:p>
        </w:tc>
        <w:tc>
          <w:tcPr>
            <w:tcW w:w="1380" w:type="dxa"/>
          </w:tcPr>
          <w:p w14:paraId="3C0FFBA8">
            <w:pPr>
              <w:pStyle w:val="13"/>
              <w:spacing w:before="78"/>
              <w:ind w:left="420"/>
              <w:jc w:val="left"/>
              <w:rPr>
                <w:rFonts w:ascii="Microsoft JhengHei" w:eastAsia="Microsoft JhengHei"/>
                <w:b/>
                <w:sz w:val="24"/>
              </w:rPr>
            </w:pPr>
            <w:r>
              <w:rPr>
                <w:rFonts w:ascii="Microsoft JhengHei" w:eastAsia="Microsoft JhengHei"/>
                <w:b/>
                <w:spacing w:val="-5"/>
                <w:sz w:val="24"/>
              </w:rPr>
              <w:t>备注</w:t>
            </w:r>
          </w:p>
        </w:tc>
      </w:tr>
    </w:tbl>
    <w:p w14:paraId="32F53B9C">
      <w:pPr>
        <w:spacing w:line="359" w:lineRule="exact"/>
        <w:ind w:left="7" w:right="2"/>
        <w:jc w:val="center"/>
        <w:rPr>
          <w:rFonts w:ascii="Microsoft JhengHei" w:eastAsia="Microsoft JhengHei"/>
          <w:b/>
          <w:sz w:val="24"/>
        </w:rPr>
      </w:pPr>
      <w:r>
        <w:rPr>
          <w:rFonts w:ascii="Microsoft JhengHei" w:eastAsia="Microsoft JhengHei"/>
          <w:b/>
          <w:spacing w:val="-2"/>
          <w:sz w:val="24"/>
        </w:rPr>
        <w:t>表11-1</w:t>
      </w:r>
      <w:r>
        <w:rPr>
          <w:rFonts w:hint="eastAsia" w:ascii="Microsoft JhengHei" w:eastAsia="宋体"/>
          <w:b/>
          <w:spacing w:val="-2"/>
          <w:sz w:val="24"/>
          <w:lang w:val="en-US" w:eastAsia="zh-CN"/>
        </w:rPr>
        <w:t xml:space="preserve">  </w:t>
      </w:r>
      <w:r>
        <w:rPr>
          <w:rFonts w:ascii="Microsoft JhengHei" w:eastAsia="Microsoft JhengHei"/>
          <w:b/>
          <w:spacing w:val="1"/>
          <w:sz w:val="24"/>
        </w:rPr>
        <w:t>评分细则</w:t>
      </w:r>
    </w:p>
    <w:tbl>
      <w:tblPr>
        <w:tblStyle w:val="9"/>
        <w:tblW w:w="504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70"/>
        <w:gridCol w:w="632"/>
        <w:gridCol w:w="5579"/>
        <w:gridCol w:w="1397"/>
      </w:tblGrid>
      <w:tr w14:paraId="0EEC5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jc w:val="center"/>
        </w:trPr>
        <w:tc>
          <w:tcPr>
            <w:tcW w:w="715" w:type="pct"/>
          </w:tcPr>
          <w:p w14:paraId="5289BE03">
            <w:pPr>
              <w:pStyle w:val="13"/>
              <w:spacing w:before="155" w:line="242" w:lineRule="auto"/>
              <w:ind w:left="172" w:right="165" w:firstLine="7"/>
              <w:jc w:val="both"/>
              <w:rPr>
                <w:rFonts w:ascii="Times New Roman" w:eastAsia="Times New Roman"/>
                <w:sz w:val="24"/>
              </w:rPr>
            </w:pPr>
            <w:r>
              <w:rPr>
                <w:spacing w:val="-4"/>
                <w:sz w:val="24"/>
              </w:rPr>
              <w:t>经营风尚F1</w:t>
            </w:r>
          </w:p>
        </w:tc>
        <w:tc>
          <w:tcPr>
            <w:tcW w:w="355" w:type="pct"/>
          </w:tcPr>
          <w:p w14:paraId="10F0239F">
            <w:pPr>
              <w:pStyle w:val="13"/>
              <w:spacing w:before="27"/>
              <w:jc w:val="center"/>
              <w:rPr>
                <w:rFonts w:ascii="Microsoft JhengHei"/>
                <w:b/>
                <w:sz w:val="24"/>
              </w:rPr>
            </w:pPr>
          </w:p>
          <w:p w14:paraId="4B0112BD">
            <w:pPr>
              <w:pStyle w:val="13"/>
              <w:ind w:left="9"/>
              <w:jc w:val="center"/>
              <w:rPr>
                <w:sz w:val="24"/>
              </w:rPr>
            </w:pPr>
            <w:r>
              <w:rPr>
                <w:rFonts w:ascii="Times New Roman" w:eastAsia="Times New Roman"/>
                <w:sz w:val="24"/>
              </w:rPr>
              <w:t>10</w:t>
            </w:r>
            <w:r>
              <w:rPr>
                <w:spacing w:val="-10"/>
                <w:sz w:val="24"/>
              </w:rPr>
              <w:t>分</w:t>
            </w:r>
          </w:p>
        </w:tc>
        <w:tc>
          <w:tcPr>
            <w:tcW w:w="3142" w:type="pct"/>
          </w:tcPr>
          <w:p w14:paraId="3CC76B8D">
            <w:pPr>
              <w:pStyle w:val="13"/>
              <w:spacing w:before="3" w:line="242" w:lineRule="auto"/>
              <w:ind w:left="106" w:right="138"/>
              <w:jc w:val="both"/>
              <w:rPr>
                <w:sz w:val="24"/>
              </w:rPr>
            </w:pPr>
            <w:r>
              <w:rPr>
                <w:spacing w:val="-2"/>
                <w:sz w:val="24"/>
              </w:rPr>
              <w:t>不存在违反经营风尚行为的企业得分为</w:t>
            </w:r>
            <w:r>
              <w:rPr>
                <w:rFonts w:ascii="Times New Roman" w:eastAsia="Times New Roman"/>
                <w:spacing w:val="-2"/>
                <w:sz w:val="24"/>
              </w:rPr>
              <w:t>10</w:t>
            </w:r>
            <w:r>
              <w:rPr>
                <w:spacing w:val="-2"/>
                <w:sz w:val="24"/>
              </w:rPr>
              <w:t>分。如参赛团队存在故意的负面行为，经</w:t>
            </w:r>
            <w:r>
              <w:rPr>
                <w:rFonts w:ascii="Times New Roman" w:eastAsia="Times New Roman"/>
                <w:spacing w:val="-2"/>
                <w:sz w:val="24"/>
              </w:rPr>
              <w:t>2/3</w:t>
            </w:r>
            <w:r>
              <w:rPr>
                <w:spacing w:val="-2"/>
                <w:sz w:val="24"/>
              </w:rPr>
              <w:t>以上裁判认定且裁判长同意确定扣分，根据情节严重性扣分</w:t>
            </w:r>
          </w:p>
          <w:p w14:paraId="402C7F3B">
            <w:pPr>
              <w:pStyle w:val="13"/>
              <w:spacing w:line="290" w:lineRule="exact"/>
              <w:ind w:left="106"/>
              <w:jc w:val="both"/>
              <w:rPr>
                <w:sz w:val="24"/>
              </w:rPr>
            </w:pPr>
            <w:r>
              <w:rPr>
                <w:sz w:val="24"/>
              </w:rPr>
              <w:t>不超过</w:t>
            </w:r>
            <w:r>
              <w:rPr>
                <w:rFonts w:ascii="Times New Roman" w:eastAsia="Times New Roman"/>
                <w:sz w:val="24"/>
              </w:rPr>
              <w:t>10</w:t>
            </w:r>
            <w:r>
              <w:rPr>
                <w:spacing w:val="-10"/>
                <w:sz w:val="24"/>
              </w:rPr>
              <w:t>分</w:t>
            </w:r>
          </w:p>
        </w:tc>
        <w:tc>
          <w:tcPr>
            <w:tcW w:w="785" w:type="pct"/>
          </w:tcPr>
          <w:p w14:paraId="045E4467">
            <w:pPr>
              <w:pStyle w:val="13"/>
              <w:jc w:val="both"/>
              <w:rPr>
                <w:rFonts w:ascii="Times New Roman"/>
                <w:sz w:val="24"/>
              </w:rPr>
            </w:pPr>
          </w:p>
        </w:tc>
      </w:tr>
      <w:tr w14:paraId="7E053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715" w:type="pct"/>
          </w:tcPr>
          <w:p w14:paraId="792BE358">
            <w:pPr>
              <w:pStyle w:val="13"/>
              <w:spacing w:before="155" w:line="240" w:lineRule="auto"/>
              <w:ind w:left="172" w:right="165" w:firstLine="7"/>
              <w:jc w:val="both"/>
              <w:rPr>
                <w:rFonts w:ascii="Times New Roman"/>
                <w:sz w:val="24"/>
              </w:rPr>
            </w:pPr>
            <w:r>
              <w:rPr>
                <w:spacing w:val="-4"/>
                <w:sz w:val="24"/>
              </w:rPr>
              <w:t>管理工具应用F2</w:t>
            </w:r>
          </w:p>
        </w:tc>
        <w:tc>
          <w:tcPr>
            <w:tcW w:w="355" w:type="pct"/>
          </w:tcPr>
          <w:p w14:paraId="69360E53">
            <w:pPr>
              <w:pStyle w:val="13"/>
              <w:spacing w:before="313"/>
              <w:ind w:left="9"/>
              <w:jc w:val="center"/>
              <w:rPr>
                <w:sz w:val="24"/>
              </w:rPr>
            </w:pPr>
            <w:r>
              <w:rPr>
                <w:rFonts w:ascii="Times New Roman" w:eastAsia="Times New Roman"/>
                <w:sz w:val="24"/>
              </w:rPr>
              <w:t>10</w:t>
            </w:r>
            <w:r>
              <w:rPr>
                <w:spacing w:val="-10"/>
                <w:sz w:val="24"/>
              </w:rPr>
              <w:t>分</w:t>
            </w:r>
          </w:p>
        </w:tc>
        <w:tc>
          <w:tcPr>
            <w:tcW w:w="3142" w:type="pct"/>
          </w:tcPr>
          <w:p w14:paraId="02E6E0C3">
            <w:pPr>
              <w:pStyle w:val="13"/>
              <w:spacing w:before="1" w:line="242" w:lineRule="auto"/>
              <w:ind w:left="106" w:right="174"/>
              <w:jc w:val="both"/>
              <w:rPr>
                <w:sz w:val="24"/>
              </w:rPr>
            </w:pPr>
            <w:r>
              <w:rPr>
                <w:spacing w:val="-2"/>
                <w:sz w:val="24"/>
              </w:rPr>
              <w:t>在第一、二年年末提交报表后，系统自动计算出</w:t>
            </w:r>
            <w:r>
              <w:rPr>
                <w:sz w:val="24"/>
              </w:rPr>
              <w:t>的战略计划完成率。得分</w:t>
            </w:r>
            <w:r>
              <w:rPr>
                <w:rFonts w:ascii="Times New Roman" w:eastAsia="Times New Roman"/>
                <w:sz w:val="24"/>
              </w:rPr>
              <w:t>=5*</w:t>
            </w:r>
            <w:r>
              <w:rPr>
                <w:sz w:val="24"/>
              </w:rPr>
              <w:t>第一年完成率</w:t>
            </w:r>
            <w:r>
              <w:rPr>
                <w:rFonts w:ascii="Times New Roman" w:eastAsia="Times New Roman"/>
                <w:sz w:val="24"/>
              </w:rPr>
              <w:t>+5*</w:t>
            </w:r>
            <w:r>
              <w:rPr>
                <w:spacing w:val="-10"/>
                <w:sz w:val="24"/>
              </w:rPr>
              <w:t>第</w:t>
            </w:r>
          </w:p>
          <w:p w14:paraId="13A5A83F">
            <w:pPr>
              <w:pStyle w:val="13"/>
              <w:spacing w:before="3" w:line="289" w:lineRule="exact"/>
              <w:ind w:left="106"/>
              <w:jc w:val="both"/>
              <w:rPr>
                <w:sz w:val="24"/>
              </w:rPr>
            </w:pPr>
            <w:r>
              <w:rPr>
                <w:spacing w:val="-2"/>
                <w:sz w:val="24"/>
              </w:rPr>
              <w:t>二年完成率</w:t>
            </w:r>
          </w:p>
        </w:tc>
        <w:tc>
          <w:tcPr>
            <w:tcW w:w="785" w:type="pct"/>
          </w:tcPr>
          <w:p w14:paraId="28B092B2">
            <w:pPr>
              <w:pStyle w:val="13"/>
              <w:spacing w:before="157" w:line="242" w:lineRule="auto"/>
              <w:ind w:left="420" w:right="1" w:hanging="312"/>
              <w:jc w:val="both"/>
              <w:rPr>
                <w:sz w:val="24"/>
              </w:rPr>
            </w:pPr>
            <w:r>
              <w:rPr>
                <w:spacing w:val="-2"/>
                <w:sz w:val="24"/>
              </w:rPr>
              <w:t>计算第一、</w:t>
            </w:r>
            <w:r>
              <w:rPr>
                <w:spacing w:val="-6"/>
                <w:sz w:val="24"/>
              </w:rPr>
              <w:t>二年</w:t>
            </w:r>
          </w:p>
        </w:tc>
      </w:tr>
      <w:tr w14:paraId="4D76D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jc w:val="center"/>
        </w:trPr>
        <w:tc>
          <w:tcPr>
            <w:tcW w:w="715" w:type="pct"/>
          </w:tcPr>
          <w:p w14:paraId="3383415F">
            <w:pPr>
              <w:pStyle w:val="13"/>
              <w:ind w:left="179"/>
              <w:jc w:val="both"/>
              <w:rPr>
                <w:rFonts w:ascii="Times New Roman" w:eastAsia="Times New Roman"/>
                <w:sz w:val="24"/>
              </w:rPr>
            </w:pPr>
            <w:r>
              <w:rPr>
                <w:spacing w:val="-4"/>
                <w:sz w:val="24"/>
              </w:rPr>
              <w:t>数字化平台建设</w:t>
            </w:r>
            <w:r>
              <w:rPr>
                <w:rFonts w:ascii="Times New Roman" w:eastAsia="Times New Roman"/>
                <w:spacing w:val="-4"/>
                <w:sz w:val="24"/>
              </w:rPr>
              <w:t>F3</w:t>
            </w:r>
          </w:p>
        </w:tc>
        <w:tc>
          <w:tcPr>
            <w:tcW w:w="355" w:type="pct"/>
          </w:tcPr>
          <w:p w14:paraId="358C1983">
            <w:pPr>
              <w:pStyle w:val="13"/>
              <w:spacing w:before="312"/>
              <w:ind w:left="9"/>
              <w:jc w:val="center"/>
              <w:rPr>
                <w:sz w:val="24"/>
              </w:rPr>
            </w:pPr>
            <w:r>
              <w:rPr>
                <w:rFonts w:ascii="Times New Roman" w:eastAsia="Times New Roman"/>
                <w:sz w:val="24"/>
              </w:rPr>
              <w:t>10</w:t>
            </w:r>
            <w:r>
              <w:rPr>
                <w:spacing w:val="-10"/>
                <w:sz w:val="24"/>
              </w:rPr>
              <w:t>分</w:t>
            </w:r>
          </w:p>
        </w:tc>
        <w:tc>
          <w:tcPr>
            <w:tcW w:w="3142" w:type="pct"/>
          </w:tcPr>
          <w:p w14:paraId="25429ED6">
            <w:pPr>
              <w:pStyle w:val="13"/>
              <w:ind w:left="106"/>
              <w:jc w:val="both"/>
              <w:rPr>
                <w:sz w:val="24"/>
              </w:rPr>
            </w:pPr>
            <w:r>
              <w:rPr>
                <w:spacing w:val="-6"/>
                <w:sz w:val="24"/>
              </w:rPr>
              <w:t>第三，四年完成财务</w:t>
            </w:r>
            <w:r>
              <w:rPr>
                <w:rFonts w:ascii="Times New Roman" w:eastAsia="Times New Roman"/>
                <w:spacing w:val="-6"/>
                <w:sz w:val="24"/>
              </w:rPr>
              <w:t>RPA</w:t>
            </w:r>
            <w:r>
              <w:rPr>
                <w:spacing w:val="-7"/>
                <w:sz w:val="24"/>
              </w:rPr>
              <w:t>、智能生产算法、智能人</w:t>
            </w:r>
          </w:p>
          <w:p w14:paraId="2915CDBF">
            <w:pPr>
              <w:pStyle w:val="13"/>
              <w:spacing w:line="310" w:lineRule="atLeast"/>
              <w:ind w:left="106" w:right="206"/>
              <w:jc w:val="both"/>
              <w:rPr>
                <w:sz w:val="24"/>
              </w:rPr>
            </w:pPr>
            <w:r>
              <w:rPr>
                <w:spacing w:val="-2"/>
                <w:sz w:val="24"/>
              </w:rPr>
              <w:t>力算法、数据可视化分析四个管理技术。每项技术完成后保存不报错每年可得</w:t>
            </w:r>
            <w:r>
              <w:rPr>
                <w:rFonts w:ascii="Times New Roman" w:eastAsia="Times New Roman"/>
                <w:spacing w:val="-2"/>
                <w:sz w:val="24"/>
              </w:rPr>
              <w:t>1.25</w:t>
            </w:r>
            <w:r>
              <w:rPr>
                <w:spacing w:val="-2"/>
                <w:sz w:val="24"/>
              </w:rPr>
              <w:t>分</w:t>
            </w:r>
          </w:p>
        </w:tc>
        <w:tc>
          <w:tcPr>
            <w:tcW w:w="785" w:type="pct"/>
          </w:tcPr>
          <w:p w14:paraId="0442AD10">
            <w:pPr>
              <w:pStyle w:val="13"/>
              <w:spacing w:before="156" w:line="242" w:lineRule="auto"/>
              <w:ind w:left="420" w:right="1" w:hanging="312"/>
              <w:jc w:val="both"/>
              <w:rPr>
                <w:sz w:val="24"/>
              </w:rPr>
            </w:pPr>
            <w:r>
              <w:rPr>
                <w:spacing w:val="-2"/>
                <w:sz w:val="24"/>
              </w:rPr>
              <w:t>计算第三、</w:t>
            </w:r>
            <w:r>
              <w:rPr>
                <w:spacing w:val="-6"/>
                <w:sz w:val="24"/>
              </w:rPr>
              <w:t>四年</w:t>
            </w:r>
          </w:p>
        </w:tc>
      </w:tr>
      <w:tr w14:paraId="02591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715" w:type="pct"/>
          </w:tcPr>
          <w:p w14:paraId="3309BCA3">
            <w:pPr>
              <w:pStyle w:val="13"/>
              <w:spacing w:before="155" w:line="242" w:lineRule="auto"/>
              <w:ind w:left="172" w:right="165" w:firstLine="7"/>
              <w:jc w:val="both"/>
              <w:rPr>
                <w:rFonts w:ascii="Times New Roman" w:eastAsia="Times New Roman"/>
                <w:sz w:val="24"/>
              </w:rPr>
            </w:pPr>
            <w:r>
              <w:rPr>
                <w:spacing w:val="-4"/>
                <w:sz w:val="24"/>
              </w:rPr>
              <w:t>持续经</w:t>
            </w:r>
            <w:r>
              <w:rPr>
                <w:sz w:val="24"/>
              </w:rPr>
              <w:t>营分</w:t>
            </w:r>
            <w:r>
              <w:rPr>
                <w:rFonts w:ascii="Times New Roman" w:eastAsia="Times New Roman"/>
                <w:spacing w:val="-5"/>
                <w:sz w:val="24"/>
              </w:rPr>
              <w:t>F4</w:t>
            </w:r>
          </w:p>
        </w:tc>
        <w:tc>
          <w:tcPr>
            <w:tcW w:w="355" w:type="pct"/>
          </w:tcPr>
          <w:p w14:paraId="6369A775">
            <w:pPr>
              <w:pStyle w:val="13"/>
              <w:spacing w:before="311"/>
              <w:ind w:left="9"/>
              <w:jc w:val="center"/>
              <w:rPr>
                <w:sz w:val="24"/>
              </w:rPr>
            </w:pPr>
            <w:r>
              <w:rPr>
                <w:rFonts w:ascii="Times New Roman" w:eastAsia="Times New Roman"/>
                <w:sz w:val="24"/>
              </w:rPr>
              <w:t>20</w:t>
            </w:r>
            <w:r>
              <w:rPr>
                <w:spacing w:val="-10"/>
                <w:sz w:val="24"/>
              </w:rPr>
              <w:t>分</w:t>
            </w:r>
          </w:p>
        </w:tc>
        <w:tc>
          <w:tcPr>
            <w:tcW w:w="3142" w:type="pct"/>
          </w:tcPr>
          <w:p w14:paraId="344B7385">
            <w:pPr>
              <w:pStyle w:val="13"/>
              <w:spacing w:before="2" w:line="242" w:lineRule="auto"/>
              <w:ind w:left="106" w:right="95"/>
              <w:jc w:val="both"/>
              <w:rPr>
                <w:sz w:val="24"/>
              </w:rPr>
            </w:pPr>
            <w:r>
              <w:rPr>
                <w:spacing w:val="-2"/>
                <w:sz w:val="24"/>
              </w:rPr>
              <w:t>完成每年经营得</w:t>
            </w:r>
            <w:r>
              <w:rPr>
                <w:rFonts w:ascii="Times New Roman" w:eastAsia="Times New Roman"/>
                <w:spacing w:val="-2"/>
                <w:sz w:val="24"/>
              </w:rPr>
              <w:t>5</w:t>
            </w:r>
            <w:r>
              <w:rPr>
                <w:spacing w:val="-2"/>
                <w:sz w:val="24"/>
              </w:rPr>
              <w:t>分。破产企业按照实际完成经营并提交报表的年数计算得分。最终未破产企业得</w:t>
            </w:r>
          </w:p>
          <w:p w14:paraId="069B3A46">
            <w:pPr>
              <w:pStyle w:val="13"/>
              <w:spacing w:line="290" w:lineRule="exact"/>
              <w:ind w:left="106"/>
              <w:jc w:val="both"/>
              <w:rPr>
                <w:sz w:val="24"/>
              </w:rPr>
            </w:pPr>
            <w:r>
              <w:rPr>
                <w:rFonts w:ascii="Times New Roman" w:eastAsia="Times New Roman"/>
                <w:sz w:val="24"/>
              </w:rPr>
              <w:t>20</w:t>
            </w:r>
            <w:r>
              <w:rPr>
                <w:spacing w:val="-10"/>
                <w:sz w:val="24"/>
              </w:rPr>
              <w:t>分</w:t>
            </w:r>
          </w:p>
        </w:tc>
        <w:tc>
          <w:tcPr>
            <w:tcW w:w="785" w:type="pct"/>
          </w:tcPr>
          <w:p w14:paraId="6AEC82D0">
            <w:pPr>
              <w:pStyle w:val="13"/>
              <w:jc w:val="both"/>
              <w:rPr>
                <w:rFonts w:ascii="Times New Roman"/>
                <w:sz w:val="24"/>
              </w:rPr>
            </w:pPr>
          </w:p>
        </w:tc>
      </w:tr>
      <w:tr w14:paraId="0413C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5" w:hRule="atLeast"/>
          <w:jc w:val="center"/>
        </w:trPr>
        <w:tc>
          <w:tcPr>
            <w:tcW w:w="715" w:type="pct"/>
          </w:tcPr>
          <w:p w14:paraId="26E56BFB">
            <w:pPr>
              <w:pStyle w:val="13"/>
              <w:jc w:val="both"/>
              <w:rPr>
                <w:rFonts w:ascii="Microsoft JhengHei"/>
                <w:b/>
                <w:sz w:val="24"/>
              </w:rPr>
            </w:pPr>
          </w:p>
          <w:p w14:paraId="01815D49">
            <w:pPr>
              <w:pStyle w:val="13"/>
              <w:spacing w:before="55"/>
              <w:jc w:val="both"/>
              <w:rPr>
                <w:rFonts w:ascii="Microsoft JhengHei"/>
                <w:b/>
                <w:sz w:val="24"/>
              </w:rPr>
            </w:pPr>
          </w:p>
          <w:p w14:paraId="27289E66">
            <w:pPr>
              <w:pStyle w:val="13"/>
              <w:spacing w:line="242" w:lineRule="auto"/>
              <w:ind w:left="292" w:right="170" w:hanging="113"/>
              <w:jc w:val="both"/>
              <w:rPr>
                <w:rFonts w:ascii="Times New Roman" w:eastAsia="Times New Roman"/>
                <w:sz w:val="24"/>
              </w:rPr>
            </w:pPr>
            <w:r>
              <w:rPr>
                <w:spacing w:val="-4"/>
                <w:sz w:val="24"/>
              </w:rPr>
              <w:t>经营成果</w:t>
            </w:r>
            <w:r>
              <w:rPr>
                <w:rFonts w:ascii="Times New Roman" w:eastAsia="Times New Roman"/>
                <w:spacing w:val="-4"/>
                <w:sz w:val="24"/>
              </w:rPr>
              <w:t>F5</w:t>
            </w:r>
          </w:p>
        </w:tc>
        <w:tc>
          <w:tcPr>
            <w:tcW w:w="355" w:type="pct"/>
          </w:tcPr>
          <w:p w14:paraId="4FD55110">
            <w:pPr>
              <w:pStyle w:val="13"/>
              <w:jc w:val="center"/>
              <w:rPr>
                <w:rFonts w:ascii="Microsoft JhengHei"/>
                <w:b/>
                <w:sz w:val="24"/>
              </w:rPr>
            </w:pPr>
          </w:p>
          <w:p w14:paraId="457CE386">
            <w:pPr>
              <w:pStyle w:val="13"/>
              <w:spacing w:before="211"/>
              <w:jc w:val="center"/>
              <w:rPr>
                <w:rFonts w:ascii="Microsoft JhengHei"/>
                <w:b/>
                <w:sz w:val="24"/>
              </w:rPr>
            </w:pPr>
          </w:p>
          <w:p w14:paraId="2CA819AC">
            <w:pPr>
              <w:pStyle w:val="13"/>
              <w:ind w:left="9"/>
              <w:jc w:val="center"/>
              <w:rPr>
                <w:sz w:val="24"/>
              </w:rPr>
            </w:pPr>
            <w:r>
              <w:rPr>
                <w:rFonts w:ascii="Times New Roman" w:eastAsia="Times New Roman"/>
                <w:sz w:val="24"/>
              </w:rPr>
              <w:t>50</w:t>
            </w:r>
            <w:r>
              <w:rPr>
                <w:spacing w:val="-10"/>
                <w:sz w:val="24"/>
              </w:rPr>
              <w:t>分</w:t>
            </w:r>
          </w:p>
        </w:tc>
        <w:tc>
          <w:tcPr>
            <w:tcW w:w="3142" w:type="pct"/>
          </w:tcPr>
          <w:p w14:paraId="7894FFD9">
            <w:pPr>
              <w:pStyle w:val="13"/>
              <w:spacing w:before="2" w:line="242" w:lineRule="auto"/>
              <w:ind w:left="106" w:right="64"/>
              <w:jc w:val="both"/>
              <w:rPr>
                <w:sz w:val="24"/>
              </w:rPr>
            </w:pPr>
            <w:r>
              <w:rPr>
                <w:spacing w:val="-3"/>
                <w:sz w:val="24"/>
              </w:rPr>
              <w:t>未经营和破产企业的</w:t>
            </w:r>
            <w:r>
              <w:rPr>
                <w:rFonts w:ascii="Times New Roman" w:hAnsi="Times New Roman" w:eastAsia="Times New Roman"/>
                <w:sz w:val="24"/>
              </w:rPr>
              <w:t>F5=0</w:t>
            </w:r>
            <w:r>
              <w:rPr>
                <w:sz w:val="24"/>
              </w:rPr>
              <w:t>，当企业的现金断流时</w:t>
            </w:r>
            <w:r>
              <w:rPr>
                <w:rFonts w:ascii="Times New Roman" w:hAnsi="Times New Roman" w:eastAsia="Times New Roman"/>
                <w:spacing w:val="-2"/>
                <w:sz w:val="24"/>
              </w:rPr>
              <w:t>(</w:t>
            </w:r>
            <w:r>
              <w:rPr>
                <w:spacing w:val="-2"/>
                <w:sz w:val="24"/>
              </w:rPr>
              <w:t>现金出现负值</w:t>
            </w:r>
            <w:r>
              <w:rPr>
                <w:rFonts w:ascii="Times New Roman" w:hAnsi="Times New Roman" w:eastAsia="Times New Roman"/>
                <w:spacing w:val="-2"/>
                <w:sz w:val="24"/>
              </w:rPr>
              <w:t>)</w:t>
            </w:r>
            <w:r>
              <w:rPr>
                <w:spacing w:val="-9"/>
                <w:sz w:val="24"/>
              </w:rPr>
              <w:t>界定为企业破产，则完成正常经营</w:t>
            </w:r>
            <w:r>
              <w:rPr>
                <w:spacing w:val="-4"/>
                <w:sz w:val="24"/>
              </w:rPr>
              <w:t>的企业以第四年企业经营发展指数计算排名</w:t>
            </w:r>
            <w:r>
              <w:rPr>
                <w:rFonts w:ascii="Times New Roman" w:hAnsi="Times New Roman" w:eastAsia="Times New Roman"/>
                <w:spacing w:val="-2"/>
                <w:sz w:val="24"/>
              </w:rPr>
              <w:t>St1</w:t>
            </w:r>
            <w:r>
              <w:rPr>
                <w:spacing w:val="-2"/>
                <w:sz w:val="24"/>
              </w:rPr>
              <w:t>，企业经营发展指数</w:t>
            </w:r>
            <w:r>
              <w:rPr>
                <w:rFonts w:ascii="Times New Roman" w:hAnsi="Times New Roman" w:eastAsia="Times New Roman"/>
                <w:spacing w:val="-2"/>
                <w:sz w:val="24"/>
              </w:rPr>
              <w:t>=</w:t>
            </w:r>
            <w:r>
              <w:rPr>
                <w:spacing w:val="-2"/>
                <w:sz w:val="24"/>
              </w:rPr>
              <w:t>第四年企业商誉值</w:t>
            </w:r>
            <w:r>
              <w:rPr>
                <w:rFonts w:ascii="Times New Roman" w:hAnsi="Times New Roman" w:eastAsia="Times New Roman"/>
                <w:spacing w:val="-2"/>
                <w:sz w:val="24"/>
              </w:rPr>
              <w:t>×</w:t>
            </w:r>
            <w:r>
              <w:rPr>
                <w:spacing w:val="-2"/>
                <w:sz w:val="24"/>
              </w:rPr>
              <w:t>（第四年</w:t>
            </w:r>
            <w:r>
              <w:rPr>
                <w:spacing w:val="-4"/>
                <w:sz w:val="24"/>
              </w:rPr>
              <w:t>企业权益</w:t>
            </w:r>
            <w:r>
              <w:rPr>
                <w:rFonts w:ascii="Times New Roman" w:hAnsi="Times New Roman" w:eastAsia="Times New Roman"/>
                <w:spacing w:val="-4"/>
                <w:sz w:val="24"/>
              </w:rPr>
              <w:t>-</w:t>
            </w:r>
            <w:r>
              <w:rPr>
                <w:spacing w:val="-4"/>
                <w:sz w:val="24"/>
              </w:rPr>
              <w:t>系统扣分）。则</w:t>
            </w:r>
            <w:r>
              <w:rPr>
                <w:spacing w:val="-3"/>
                <w:sz w:val="24"/>
              </w:rPr>
              <w:t>未破产企业的</w:t>
            </w:r>
            <w:r>
              <w:rPr>
                <w:rFonts w:ascii="Times New Roman" w:hAnsi="Times New Roman" w:eastAsia="Times New Roman"/>
                <w:sz w:val="24"/>
              </w:rPr>
              <w:t>F5</w:t>
            </w:r>
            <w:r>
              <w:rPr>
                <w:sz w:val="24"/>
              </w:rPr>
              <w:t>计算如下：</w:t>
            </w:r>
          </w:p>
          <w:p w14:paraId="4F34232C">
            <w:pPr>
              <w:pStyle w:val="13"/>
              <w:tabs>
                <w:tab w:val="left" w:pos="4182"/>
              </w:tabs>
              <w:spacing w:before="8"/>
              <w:ind w:left="1302"/>
              <w:jc w:val="both"/>
              <w:rPr>
                <w:sz w:val="24"/>
              </w:rPr>
            </w:pPr>
            <w:r>
              <w:rPr>
                <w:sz w:val="24"/>
              </w:rPr>
              <w:t>分距</w:t>
            </w:r>
            <w:r>
              <w:rPr>
                <w:rFonts w:ascii="Times New Roman" w:eastAsia="Times New Roman"/>
                <w:spacing w:val="-2"/>
                <w:sz w:val="24"/>
              </w:rPr>
              <w:t>d=50/N</w:t>
            </w:r>
            <w:r>
              <w:rPr>
                <w:rFonts w:ascii="Times New Roman" w:eastAsia="Times New Roman"/>
                <w:sz w:val="24"/>
              </w:rPr>
              <w:tab/>
            </w:r>
            <w:r>
              <w:rPr>
                <w:spacing w:val="-5"/>
                <w:sz w:val="24"/>
              </w:rPr>
              <w:t>（</w:t>
            </w:r>
            <w:r>
              <w:rPr>
                <w:rFonts w:ascii="Times New Roman" w:eastAsia="Times New Roman"/>
                <w:spacing w:val="-5"/>
                <w:sz w:val="24"/>
              </w:rPr>
              <w:t>1</w:t>
            </w:r>
            <w:r>
              <w:rPr>
                <w:spacing w:val="-5"/>
                <w:sz w:val="24"/>
              </w:rPr>
              <w:t>）</w:t>
            </w:r>
          </w:p>
          <w:p w14:paraId="64D355A2">
            <w:pPr>
              <w:pStyle w:val="13"/>
              <w:tabs>
                <w:tab w:val="left" w:pos="4095"/>
              </w:tabs>
              <w:spacing w:before="5" w:line="290" w:lineRule="exact"/>
              <w:ind w:left="1306"/>
              <w:jc w:val="both"/>
              <w:rPr>
                <w:sz w:val="24"/>
              </w:rPr>
            </w:pPr>
            <w:r>
              <w:rPr>
                <w:rFonts w:ascii="Times New Roman" w:eastAsia="Times New Roman"/>
                <w:spacing w:val="-2"/>
                <w:sz w:val="24"/>
              </w:rPr>
              <w:t>F5=50-</w:t>
            </w:r>
            <w:r>
              <w:rPr>
                <w:spacing w:val="-2"/>
                <w:sz w:val="24"/>
              </w:rPr>
              <w:t>（</w:t>
            </w:r>
            <w:r>
              <w:rPr>
                <w:rFonts w:ascii="Times New Roman" w:eastAsia="Times New Roman"/>
                <w:spacing w:val="-2"/>
                <w:sz w:val="24"/>
              </w:rPr>
              <w:t>St1-</w:t>
            </w:r>
            <w:r>
              <w:rPr>
                <w:rFonts w:ascii="Times New Roman" w:eastAsia="Times New Roman"/>
                <w:spacing w:val="-4"/>
                <w:sz w:val="24"/>
              </w:rPr>
              <w:t>1</w:t>
            </w:r>
            <w:r>
              <w:rPr>
                <w:spacing w:val="-4"/>
                <w:sz w:val="24"/>
              </w:rPr>
              <w:t>）</w:t>
            </w:r>
            <w:r>
              <w:rPr>
                <w:rFonts w:ascii="Times New Roman" w:eastAsia="Times New Roman"/>
                <w:spacing w:val="-4"/>
                <w:sz w:val="24"/>
              </w:rPr>
              <w:t>*d</w:t>
            </w:r>
            <w:r>
              <w:rPr>
                <w:rFonts w:ascii="Times New Roman" w:eastAsia="Times New Roman"/>
                <w:sz w:val="24"/>
              </w:rPr>
              <w:tab/>
            </w:r>
            <w:r>
              <w:rPr>
                <w:spacing w:val="-5"/>
                <w:sz w:val="24"/>
              </w:rPr>
              <w:t>（</w:t>
            </w:r>
            <w:r>
              <w:rPr>
                <w:rFonts w:ascii="Times New Roman" w:eastAsia="Times New Roman"/>
                <w:spacing w:val="-5"/>
                <w:sz w:val="24"/>
              </w:rPr>
              <w:t>2</w:t>
            </w:r>
            <w:r>
              <w:rPr>
                <w:spacing w:val="-5"/>
                <w:sz w:val="24"/>
              </w:rPr>
              <w:t>）</w:t>
            </w:r>
          </w:p>
        </w:tc>
        <w:tc>
          <w:tcPr>
            <w:tcW w:w="785" w:type="pct"/>
          </w:tcPr>
          <w:p w14:paraId="454F8B84">
            <w:pPr>
              <w:pStyle w:val="13"/>
              <w:spacing w:before="184"/>
              <w:jc w:val="both"/>
              <w:rPr>
                <w:rFonts w:ascii="Microsoft JhengHei"/>
                <w:b/>
                <w:sz w:val="24"/>
              </w:rPr>
            </w:pPr>
          </w:p>
          <w:p w14:paraId="0CD45D22">
            <w:pPr>
              <w:pStyle w:val="13"/>
              <w:spacing w:line="242" w:lineRule="auto"/>
              <w:ind w:left="180" w:right="169" w:firstLine="33"/>
              <w:jc w:val="both"/>
              <w:rPr>
                <w:sz w:val="24"/>
              </w:rPr>
            </w:pPr>
            <w:r>
              <w:rPr>
                <w:rFonts w:ascii="Times New Roman" w:eastAsia="Times New Roman"/>
                <w:spacing w:val="-4"/>
                <w:sz w:val="24"/>
              </w:rPr>
              <w:t>N</w:t>
            </w:r>
            <w:r>
              <w:rPr>
                <w:spacing w:val="-4"/>
                <w:sz w:val="24"/>
              </w:rPr>
              <w:t>取参赛队伍数最多赛区的</w:t>
            </w:r>
            <w:r>
              <w:rPr>
                <w:spacing w:val="-3"/>
                <w:sz w:val="24"/>
              </w:rPr>
              <w:t>队伍个数</w:t>
            </w:r>
          </w:p>
        </w:tc>
      </w:tr>
      <w:tr w14:paraId="25411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1071" w:type="pct"/>
            <w:gridSpan w:val="2"/>
            <w:vAlign w:val="center"/>
          </w:tcPr>
          <w:p w14:paraId="1128F619">
            <w:pPr>
              <w:pStyle w:val="13"/>
              <w:spacing w:before="1" w:line="290" w:lineRule="exact"/>
              <w:ind w:left="316"/>
              <w:jc w:val="both"/>
              <w:rPr>
                <w:sz w:val="24"/>
              </w:rPr>
            </w:pPr>
            <w:r>
              <w:rPr>
                <w:sz w:val="24"/>
              </w:rPr>
              <w:t>经营得分</w:t>
            </w:r>
            <w:r>
              <w:rPr>
                <w:rFonts w:ascii="Times New Roman" w:eastAsia="Times New Roman"/>
                <w:spacing w:val="-5"/>
                <w:sz w:val="24"/>
              </w:rPr>
              <w:t>Fz</w:t>
            </w:r>
          </w:p>
        </w:tc>
        <w:tc>
          <w:tcPr>
            <w:tcW w:w="3142" w:type="pct"/>
            <w:vAlign w:val="center"/>
          </w:tcPr>
          <w:p w14:paraId="42F30CD1">
            <w:pPr>
              <w:pStyle w:val="13"/>
              <w:spacing w:before="2" w:line="242" w:lineRule="auto"/>
              <w:ind w:left="106" w:right="64"/>
              <w:rPr>
                <w:spacing w:val="-3"/>
                <w:sz w:val="24"/>
              </w:rPr>
            </w:pPr>
            <w:r>
              <w:rPr>
                <w:rFonts w:ascii="Times New Roman" w:eastAsia="Times New Roman"/>
                <w:spacing w:val="-2"/>
                <w:sz w:val="24"/>
              </w:rPr>
              <w:t>Fz=F1+F2+F3+F4+F5</w:t>
            </w:r>
            <w:r>
              <w:rPr>
                <w:rFonts w:ascii="Times New Roman" w:eastAsia="Times New Roman"/>
                <w:sz w:val="24"/>
              </w:rPr>
              <w:tab/>
            </w:r>
            <w:r>
              <w:rPr>
                <w:spacing w:val="-5"/>
                <w:sz w:val="24"/>
              </w:rPr>
              <w:t>（</w:t>
            </w:r>
            <w:r>
              <w:rPr>
                <w:rFonts w:ascii="Times New Roman" w:eastAsia="Times New Roman"/>
                <w:spacing w:val="-5"/>
                <w:sz w:val="24"/>
              </w:rPr>
              <w:t>3</w:t>
            </w:r>
            <w:r>
              <w:rPr>
                <w:spacing w:val="-5"/>
                <w:sz w:val="24"/>
              </w:rPr>
              <w:t>）</w:t>
            </w:r>
          </w:p>
        </w:tc>
        <w:tc>
          <w:tcPr>
            <w:tcW w:w="785" w:type="pct"/>
          </w:tcPr>
          <w:p w14:paraId="200963A4">
            <w:pPr>
              <w:pStyle w:val="13"/>
              <w:spacing w:before="2" w:line="242" w:lineRule="auto"/>
              <w:ind w:left="106" w:right="64"/>
              <w:jc w:val="both"/>
              <w:rPr>
                <w:spacing w:val="-3"/>
                <w:sz w:val="24"/>
              </w:rPr>
            </w:pPr>
          </w:p>
        </w:tc>
      </w:tr>
      <w:tr w14:paraId="1D2AA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jc w:val="center"/>
        </w:trPr>
        <w:tc>
          <w:tcPr>
            <w:tcW w:w="5000" w:type="pct"/>
            <w:gridSpan w:val="4"/>
          </w:tcPr>
          <w:p w14:paraId="7E0B70C1">
            <w:pPr>
              <w:pStyle w:val="13"/>
              <w:ind w:left="107"/>
              <w:jc w:val="both"/>
              <w:rPr>
                <w:sz w:val="24"/>
              </w:rPr>
            </w:pPr>
            <w:r>
              <w:rPr>
                <w:spacing w:val="-5"/>
                <w:sz w:val="24"/>
              </w:rPr>
              <w:t>注：在上述计算排名过程中，对于得分相同的队伍，则依次按照第四年企业经营</w:t>
            </w:r>
          </w:p>
          <w:p w14:paraId="62E87D8D">
            <w:pPr>
              <w:pStyle w:val="13"/>
              <w:spacing w:before="5" w:line="289" w:lineRule="exact"/>
              <w:ind w:left="107"/>
              <w:jc w:val="both"/>
              <w:rPr>
                <w:sz w:val="24"/>
              </w:rPr>
            </w:pPr>
            <w:r>
              <w:rPr>
                <w:spacing w:val="-1"/>
                <w:sz w:val="24"/>
              </w:rPr>
              <w:t>发展指数、企业权益、企业商誉值从高到低进行排名</w:t>
            </w:r>
          </w:p>
        </w:tc>
      </w:tr>
    </w:tbl>
    <w:p w14:paraId="5E33743F">
      <w:pPr>
        <w:pStyle w:val="4"/>
        <w:spacing w:before="122" w:line="364" w:lineRule="auto"/>
        <w:ind w:left="0" w:right="144" w:firstLine="0"/>
        <w:rPr>
          <w:rFonts w:hint="eastAsia" w:ascii="楷体" w:hAnsi="楷体" w:eastAsia="楷体" w:cs="楷体"/>
        </w:rPr>
      </w:pPr>
    </w:p>
    <w:p w14:paraId="65A42BCE">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楷体" w:hAnsi="楷体" w:eastAsia="楷体" w:cs="楷体"/>
          <w:sz w:val="32"/>
          <w:szCs w:val="32"/>
        </w:rPr>
      </w:pPr>
      <w:bookmarkStart w:id="19" w:name="（二）违反经营风尚行为与处理"/>
      <w:bookmarkEnd w:id="19"/>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二</w:t>
      </w:r>
      <w:r>
        <w:rPr>
          <w:rFonts w:hint="eastAsia" w:ascii="楷体" w:hAnsi="楷体" w:eastAsia="楷体" w:cs="楷体"/>
          <w:sz w:val="32"/>
          <w:szCs w:val="32"/>
          <w:lang w:eastAsia="zh-CN"/>
        </w:rPr>
        <w:t>）</w:t>
      </w:r>
      <w:r>
        <w:rPr>
          <w:rFonts w:hint="eastAsia" w:ascii="楷体" w:hAnsi="楷体" w:eastAsia="楷体" w:cs="楷体"/>
          <w:sz w:val="32"/>
          <w:szCs w:val="32"/>
        </w:rPr>
        <w:t>违反经营风尚行为与处理</w:t>
      </w:r>
    </w:p>
    <w:p w14:paraId="0B0923A7">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故意扰乱市场行为：操作经营中，经2/3以上裁判判定企业存在故意扰乱市场秩序并对其他对手产生影响，则该企业最终成绩为0分。故意扰乱市场行为包括恶意控制订单和恶意影响原料市场平衡，恶意控制订单指竞赛选手有意将某市场订单全部选取或全数选取或选取量超过实际产能1倍，且当年年末超过50%的订单发生违约或取消情况；恶意影响原料市场平衡指即一次性订购原材料数量超过自身当年产能所需原材料2倍以上，且当年最少有2个企业原材料购买受到显著影响。</w:t>
      </w:r>
    </w:p>
    <w:p w14:paraId="2CDC79B9">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舞弊行为：整个备赛和比赛过程，出现投机或舞弊行为，经2/3以上裁判认定且裁判长同意，可判罚为本模块0分或总成绩0分。</w:t>
      </w:r>
    </w:p>
    <w:p w14:paraId="050BB20B">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不文明行为：比赛过程中，出现参赛团队学生顶撞裁判，或队伍间争吵、不听从裁判指令、未规范填写企业信息等行为，经2/3以上裁判认定且裁判长同意，可判罚为扣除企业经营风尚分1-10分，情节严重的可以取消总评比赛成绩。</w:t>
      </w:r>
    </w:p>
    <w:p w14:paraId="367F6A94">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楷体" w:hAnsi="楷体" w:eastAsia="楷体" w:cs="楷体"/>
          <w:sz w:val="32"/>
          <w:szCs w:val="32"/>
          <w:lang w:val="en-US" w:eastAsia="zh-CN"/>
        </w:rPr>
      </w:pPr>
      <w:bookmarkStart w:id="20" w:name="（三）评分方式"/>
      <w:bookmarkEnd w:id="20"/>
      <w:r>
        <w:rPr>
          <w:rFonts w:hint="eastAsia" w:ascii="楷体" w:hAnsi="楷体" w:eastAsia="楷体" w:cs="楷体"/>
          <w:sz w:val="32"/>
          <w:szCs w:val="32"/>
          <w:lang w:val="en-US" w:eastAsia="zh-CN"/>
        </w:rPr>
        <w:t>（三）评分方式</w:t>
      </w:r>
    </w:p>
    <w:p w14:paraId="39F0388E">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保障成绩评判的准确性，监督仲裁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14:paraId="49E078A1">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楷体" w:hAnsi="楷体" w:eastAsia="楷体" w:cs="楷体"/>
          <w:sz w:val="32"/>
          <w:szCs w:val="32"/>
          <w:lang w:val="en-US" w:eastAsia="zh-CN"/>
        </w:rPr>
      </w:pPr>
      <w:bookmarkStart w:id="21" w:name="（四）成绩公示"/>
      <w:bookmarkEnd w:id="21"/>
      <w:r>
        <w:rPr>
          <w:rFonts w:hint="eastAsia" w:ascii="楷体" w:hAnsi="楷体" w:eastAsia="楷体" w:cs="楷体"/>
          <w:sz w:val="32"/>
          <w:szCs w:val="32"/>
          <w:lang w:val="en-US" w:eastAsia="zh-CN"/>
        </w:rPr>
        <w:t>（四）成绩公示</w:t>
      </w:r>
    </w:p>
    <w:p w14:paraId="554A6014">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竞赛成绩复核无误后，经裁判长、监督仲裁组签字后进行现场公布。</w:t>
      </w:r>
    </w:p>
    <w:p w14:paraId="05301822">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十一、</w:t>
      </w:r>
      <w:r>
        <w:rPr>
          <w:rFonts w:hint="eastAsia" w:ascii="黑体" w:hAnsi="黑体" w:eastAsia="黑体" w:cs="黑体"/>
          <w:sz w:val="32"/>
          <w:szCs w:val="32"/>
        </w:rPr>
        <w:t>赛场预案</w:t>
      </w:r>
    </w:p>
    <w:p w14:paraId="07958C2B">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为保障学生成绩不受意外影响，制定如下措施：</w:t>
      </w:r>
    </w:p>
    <w:p w14:paraId="317BDF8E">
      <w:pPr>
        <w:keepNext w:val="0"/>
        <w:keepLines w:val="0"/>
        <w:pageBreakBefore w:val="0"/>
        <w:widowControl w:val="0"/>
        <w:kinsoku/>
        <w:wordWrap/>
        <w:overflowPunct/>
        <w:topLinePunct w:val="0"/>
        <w:autoSpaceDE w:val="0"/>
        <w:autoSpaceDN w:val="0"/>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按正式比赛所需的计算机和网线进行准备，并预备一定数量的备用计算机和长网线。承办院校赛项执委会、大赛专家组、技术支持单位将在赛前进行赛场仿真模拟压力测试，以确保比赛设备的安全高效。</w:t>
      </w:r>
    </w:p>
    <w:p w14:paraId="7516E7EA">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赛事服务器采用双机热备方案，主服务器与备用服务器进行备份数据实时同传，主服务器无法启动的情况下可启用备用服务器，恢复同传数据比赛。</w:t>
      </w:r>
    </w:p>
    <w:p w14:paraId="3AA96C27">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如选手计算机出现临时卡顿等故障，可举手示意，裁判有权暂停比赛计时，待故障排除后，恢复竞赛。如无法排除机器故障，可启用备用计算机。当计算机故障影响比赛成绩（如数据超时等问题），依照现场机器录屏为依据进行裁决，裁定后，技术人员在裁判的监督下进行比赛数据恢复。</w:t>
      </w:r>
    </w:p>
    <w:p w14:paraId="0D694899">
      <w:pPr>
        <w:keepNext w:val="0"/>
        <w:keepLines w:val="0"/>
        <w:pageBreakBefore w:val="0"/>
        <w:widowControl w:val="0"/>
        <w:kinsoku/>
        <w:wordWrap/>
        <w:overflowPunct/>
        <w:topLinePunct w:val="0"/>
        <w:autoSpaceDE w:val="0"/>
        <w:autoSpaceDN w:val="0"/>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比赛期间发生意外事故，发现者应第一时间报告赛项执委会，同时采取措施避免事态扩大。赛项执委会应立即启动预案予以解决并报告组委会。赛项出现重大安全问题可以停赛，是否停赛由赛项执委会决定。事后，赛项执委会应向组委会报告详细情况。</w:t>
      </w:r>
    </w:p>
    <w:p w14:paraId="321A882A">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黑体" w:hAnsi="黑体" w:eastAsia="黑体" w:cs="黑体"/>
          <w:sz w:val="32"/>
          <w:szCs w:val="32"/>
        </w:rPr>
      </w:pPr>
      <w:bookmarkStart w:id="22" w:name="十二、赛项安全"/>
      <w:bookmarkEnd w:id="22"/>
      <w:r>
        <w:rPr>
          <w:rFonts w:hint="eastAsia" w:ascii="黑体" w:hAnsi="黑体" w:eastAsia="黑体" w:cs="黑体"/>
          <w:sz w:val="32"/>
          <w:szCs w:val="32"/>
          <w:lang w:val="en-US" w:eastAsia="zh-CN"/>
        </w:rPr>
        <w:t>十二、</w:t>
      </w:r>
      <w:r>
        <w:rPr>
          <w:rFonts w:hint="eastAsia" w:ascii="黑体" w:hAnsi="黑体" w:eastAsia="黑体" w:cs="黑体"/>
          <w:sz w:val="32"/>
          <w:szCs w:val="32"/>
        </w:rPr>
        <w:t>赛项安全</w:t>
      </w:r>
    </w:p>
    <w:p w14:paraId="1C94D431">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楷体" w:hAnsi="楷体" w:eastAsia="楷体" w:cs="楷体"/>
          <w:sz w:val="32"/>
          <w:szCs w:val="32"/>
          <w:lang w:val="en-US" w:eastAsia="zh-CN"/>
        </w:rPr>
      </w:pPr>
      <w:bookmarkStart w:id="23" w:name="（一）比赛环境"/>
      <w:bookmarkEnd w:id="23"/>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一</w:t>
      </w:r>
      <w:r>
        <w:rPr>
          <w:rFonts w:hint="eastAsia" w:ascii="楷体" w:hAnsi="楷体" w:eastAsia="楷体" w:cs="楷体"/>
          <w:sz w:val="32"/>
          <w:szCs w:val="32"/>
          <w:lang w:eastAsia="zh-CN"/>
        </w:rPr>
        <w:t>）</w:t>
      </w:r>
      <w:r>
        <w:rPr>
          <w:rFonts w:hint="eastAsia" w:ascii="楷体" w:hAnsi="楷体" w:eastAsia="楷体" w:cs="楷体"/>
          <w:sz w:val="32"/>
          <w:szCs w:val="32"/>
        </w:rPr>
        <w:t>比赛环境</w:t>
      </w:r>
    </w:p>
    <w:p w14:paraId="50449EF0">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赛项执委会在赛前组织专人对比赛现场进行考察，落实安全工作。</w:t>
      </w:r>
    </w:p>
    <w:p w14:paraId="1835785D">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赛场周围配备急救人员与设施。</w:t>
      </w:r>
    </w:p>
    <w:p w14:paraId="0E9DAD7B">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参赛选手及工作人员入场后，严禁携带违禁品、危险品入场。竞赛结束后，严禁参赛选手携带任何与竞赛相关的物品离场。</w:t>
      </w:r>
    </w:p>
    <w:p w14:paraId="2DBDC5E5">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楷体" w:hAnsi="楷体" w:eastAsia="楷体" w:cs="楷体"/>
          <w:sz w:val="32"/>
          <w:szCs w:val="32"/>
          <w:lang w:eastAsia="zh-CN"/>
        </w:rPr>
      </w:pPr>
      <w:bookmarkStart w:id="24" w:name="（二）应急处理"/>
      <w:bookmarkEnd w:id="24"/>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二</w:t>
      </w:r>
      <w:r>
        <w:rPr>
          <w:rFonts w:hint="eastAsia" w:ascii="楷体" w:hAnsi="楷体" w:eastAsia="楷体" w:cs="楷体"/>
          <w:sz w:val="32"/>
          <w:szCs w:val="32"/>
          <w:lang w:eastAsia="zh-CN"/>
        </w:rPr>
        <w:t>）应急处理</w:t>
      </w:r>
    </w:p>
    <w:p w14:paraId="765822C4">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比赛期间发生意外事故，发现者应第一时间报告赛项执委会，同时采取措施避免事态扩大。赛项执委会启动预案予以解决并报告组委会。赛项出现重大安全问题可以停赛，是否停赛由赛项执委会决定。事后，赛项执委会向组委会报告详细情况。</w:t>
      </w:r>
    </w:p>
    <w:p w14:paraId="405EC8A0">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黑体" w:hAnsi="黑体" w:eastAsia="黑体" w:cs="黑体"/>
          <w:sz w:val="32"/>
          <w:szCs w:val="32"/>
        </w:rPr>
      </w:pPr>
      <w:bookmarkStart w:id="25" w:name="十三、竞赛须知"/>
      <w:bookmarkEnd w:id="25"/>
      <w:r>
        <w:rPr>
          <w:rFonts w:hint="eastAsia" w:ascii="黑体" w:hAnsi="黑体" w:eastAsia="黑体" w:cs="黑体"/>
          <w:sz w:val="32"/>
          <w:szCs w:val="32"/>
          <w:lang w:val="en-US" w:eastAsia="zh-CN"/>
        </w:rPr>
        <w:t>十三、</w:t>
      </w:r>
      <w:r>
        <w:rPr>
          <w:rFonts w:hint="eastAsia" w:ascii="黑体" w:hAnsi="黑体" w:eastAsia="黑体" w:cs="黑体"/>
          <w:sz w:val="32"/>
          <w:szCs w:val="32"/>
        </w:rPr>
        <w:t>竞赛须知</w:t>
      </w:r>
    </w:p>
    <w:p w14:paraId="3C47D000">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楷体" w:hAnsi="楷体" w:eastAsia="楷体" w:cs="楷体"/>
          <w:sz w:val="32"/>
          <w:szCs w:val="32"/>
          <w:lang w:eastAsia="zh-CN"/>
        </w:rPr>
      </w:pPr>
      <w:bookmarkStart w:id="26" w:name="（一）参赛队须知"/>
      <w:bookmarkEnd w:id="26"/>
      <w:r>
        <w:rPr>
          <w:rFonts w:hint="eastAsia" w:ascii="楷体" w:hAnsi="楷体" w:eastAsia="楷体" w:cs="楷体"/>
          <w:sz w:val="32"/>
          <w:szCs w:val="32"/>
          <w:lang w:val="en-US" w:eastAsia="zh-CN"/>
        </w:rPr>
        <w:t>（一）</w:t>
      </w:r>
      <w:r>
        <w:rPr>
          <w:rFonts w:hint="eastAsia" w:ascii="楷体" w:hAnsi="楷体" w:eastAsia="楷体" w:cs="楷体"/>
          <w:sz w:val="32"/>
          <w:szCs w:val="32"/>
          <w:lang w:eastAsia="zh-CN"/>
        </w:rPr>
        <w:t>参赛队须知</w:t>
      </w:r>
    </w:p>
    <w:p w14:paraId="6FF54DA6">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参赛队组成：参赛选手参赛资格信息须符合《202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年海南省职业院校</w:t>
      </w:r>
      <w:r>
        <w:rPr>
          <w:rFonts w:hint="eastAsia" w:ascii="仿宋_GB2312" w:hAnsi="仿宋_GB2312" w:eastAsia="仿宋_GB2312" w:cs="仿宋_GB2312"/>
          <w:sz w:val="32"/>
          <w:szCs w:val="32"/>
          <w:lang w:val="en-US" w:eastAsia="zh-CN"/>
        </w:rPr>
        <w:t>职业</w:t>
      </w:r>
      <w:r>
        <w:rPr>
          <w:rFonts w:hint="eastAsia" w:ascii="仿宋_GB2312" w:hAnsi="仿宋_GB2312" w:eastAsia="仿宋_GB2312" w:cs="仿宋_GB2312"/>
          <w:sz w:val="32"/>
          <w:szCs w:val="32"/>
        </w:rPr>
        <w:t>技能大赛</w:t>
      </w:r>
      <w:r>
        <w:rPr>
          <w:rFonts w:hint="eastAsia" w:ascii="仿宋_GB2312" w:hAnsi="仿宋_GB2312" w:eastAsia="仿宋_GB2312" w:cs="仿宋_GB2312"/>
          <w:sz w:val="32"/>
          <w:szCs w:val="32"/>
          <w:lang w:val="en-US" w:eastAsia="zh-CN"/>
        </w:rPr>
        <w:t>学生技能竞赛</w:t>
      </w:r>
      <w:r>
        <w:rPr>
          <w:rFonts w:hint="eastAsia" w:ascii="仿宋_GB2312" w:hAnsi="仿宋_GB2312" w:eastAsia="仿宋_GB2312" w:cs="仿宋_GB2312"/>
          <w:sz w:val="32"/>
          <w:szCs w:val="32"/>
        </w:rPr>
        <w:t>方案》（琼教</w:t>
      </w:r>
      <w:r>
        <w:rPr>
          <w:rFonts w:hint="eastAsia" w:ascii="仿宋_GB2312" w:hAnsi="仿宋_GB2312" w:eastAsia="仿宋_GB2312" w:cs="仿宋_GB2312"/>
          <w:sz w:val="32"/>
          <w:szCs w:val="32"/>
          <w:lang w:val="en-US" w:eastAsia="zh-CN"/>
        </w:rPr>
        <w:t>职成</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42</w:t>
      </w:r>
      <w:r>
        <w:rPr>
          <w:rFonts w:hint="eastAsia" w:ascii="仿宋_GB2312" w:hAnsi="仿宋_GB2312" w:eastAsia="仿宋_GB2312" w:cs="仿宋_GB2312"/>
          <w:sz w:val="32"/>
          <w:szCs w:val="32"/>
        </w:rPr>
        <w:t>号）文件规定。不接受跨校组队，不分性别、不分年级，每队4名选手。</w:t>
      </w:r>
    </w:p>
    <w:p w14:paraId="1F76B136">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每个参赛队安排1名领队、不超过2名指导老师，负责本校参赛队的参赛组织和与大赛组织机构的联络。</w:t>
      </w:r>
    </w:p>
    <w:p w14:paraId="7445C0B8">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参赛队员在报名获得审核确认后，原则上不再更换，如赛前队员因故不能参赛需要更换人员的，所在院校需在省教育主管部门规定期限内向省教育主管部门出具书面说明并按相关参赛选手资格补充人员并接受审核，审核通过后参赛院校需及时告知承办院校赛项执委会更换事项；竞赛开始后，参赛队不得更换参赛队员，允许队员缺席比赛。</w:t>
      </w:r>
    </w:p>
    <w:p w14:paraId="5E2C4B3E">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参赛队按照大赛赛程安排，凭赛项执委会颁发的参赛证、有效身份证件、着大赛服装参加比赛及相关活动，参赛选手注意仪容仪表。</w:t>
      </w:r>
    </w:p>
    <w:p w14:paraId="0CF9F368">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不得携带任何具有存储功能的设备，否则取消参赛资格。</w:t>
      </w:r>
    </w:p>
    <w:p w14:paraId="062D1BF6">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各参赛队只允许用赛项执委会提供4台电脑进行比赛，电脑上已安装录屏软件、常用输入法（搜狗、五笔、智能ABC）和office。</w:t>
      </w:r>
    </w:p>
    <w:p w14:paraId="2CA53438">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连接到服务器的电脑需要按规定录屏，没有连接到服务器的电脑不需要录屏。</w:t>
      </w:r>
    </w:p>
    <w:p w14:paraId="20ACE83B">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现场提供有纸质的运行记录表、综合费用表、利润表、资产负债表、笔（水笔）、稿纸和计算器（4台）等与竞赛相关的物品。</w:t>
      </w:r>
    </w:p>
    <w:p w14:paraId="509C8E1D">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比赛期间计时的时间以本赛区所用服务器上时间为准，赛前选手可以按照服务器时间调整自己电脑上的时间。</w:t>
      </w:r>
    </w:p>
    <w:p w14:paraId="5E00F583">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企业运营流程建议按照运营流程表中列示的流程执行，比赛期间不能还原。</w:t>
      </w:r>
    </w:p>
    <w:p w14:paraId="1B6FD9D0">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每年经营结束后，各参赛队不需要提交纸质报表，只需要在系统里填写《综合费用表》、《利润表》和《资产负债表》。</w:t>
      </w:r>
    </w:p>
    <w:p w14:paraId="10EC5397">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参赛院校需为参赛选手购买大赛期间的人身意外伤害保险。</w:t>
      </w:r>
    </w:p>
    <w:p w14:paraId="15547993">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楷体" w:hAnsi="楷体" w:eastAsia="楷体" w:cs="楷体"/>
          <w:sz w:val="32"/>
          <w:szCs w:val="32"/>
          <w:lang w:eastAsia="zh-CN"/>
        </w:rPr>
      </w:pPr>
      <w:bookmarkStart w:id="27" w:name="（二）指导教师须知"/>
      <w:bookmarkEnd w:id="27"/>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二</w:t>
      </w:r>
      <w:r>
        <w:rPr>
          <w:rFonts w:hint="eastAsia" w:ascii="楷体" w:hAnsi="楷体" w:eastAsia="楷体" w:cs="楷体"/>
          <w:sz w:val="32"/>
          <w:szCs w:val="32"/>
          <w:lang w:eastAsia="zh-CN"/>
        </w:rPr>
        <w:t>）指导教师须知</w:t>
      </w:r>
    </w:p>
    <w:p w14:paraId="1E6948BB">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各参赛代表队要发扬良好道德风尚，听从指挥，服从裁判，不弄虚作假。如发现弄虚作假者，取消参赛资格，名次无效。</w:t>
      </w:r>
    </w:p>
    <w:p w14:paraId="6963767E">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各代表队领队要坚决执行竞赛的各项规定，加强对参赛人员的管理，做好赛前准备工作，督促选手带好证件等竞赛相关材料。</w:t>
      </w:r>
    </w:p>
    <w:p w14:paraId="02328CEC">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竞赛过程中，除参加当场次竞赛的选手、执行裁判员、现场工作人员和经批准的人员外，领队、指导教师及其他人员一律不得进入竞赛现场。</w:t>
      </w:r>
    </w:p>
    <w:p w14:paraId="5A46A04E">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参赛代表队若对竞赛过程有异议，在规定的时间内由领队向赛项监督仲裁组提出书面报告。</w:t>
      </w:r>
    </w:p>
    <w:p w14:paraId="18422BC1">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对申诉的仲裁结果，领队要带头服从和执行，并做好选手工作。参赛选手不得因申诉或对处理意见不服而停止竞赛，否则以弃权处理。</w:t>
      </w:r>
    </w:p>
    <w:p w14:paraId="316CE8FB">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指导老师应及时查看大赛专用网页有关赛项的通知和内容，认真研究和掌握本赛项竞赛的规程、技术规范和赛场要求，指导选手做好赛前的一切技术准备和竞赛准备。</w:t>
      </w:r>
    </w:p>
    <w:p w14:paraId="37365642">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楷体" w:hAnsi="楷体" w:eastAsia="楷体" w:cs="楷体"/>
          <w:sz w:val="32"/>
          <w:szCs w:val="32"/>
          <w:lang w:val="en-US" w:eastAsia="zh-CN"/>
        </w:rPr>
      </w:pPr>
      <w:bookmarkStart w:id="28" w:name="（三）参赛选手须知"/>
      <w:bookmarkEnd w:id="28"/>
      <w:r>
        <w:rPr>
          <w:rFonts w:hint="eastAsia" w:ascii="楷体" w:hAnsi="楷体" w:eastAsia="楷体" w:cs="楷体"/>
          <w:sz w:val="32"/>
          <w:szCs w:val="32"/>
          <w:lang w:val="en-US" w:eastAsia="zh-CN"/>
        </w:rPr>
        <w:t>（三）参赛选手须知</w:t>
      </w:r>
    </w:p>
    <w:p w14:paraId="2A3CB0A5">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参赛选手应按有关要求如实填报个人信息，竞赛开始后不得体现个人、团队、学校等相关信息，竞赛时按要求规范填写企业信息。</w:t>
      </w:r>
    </w:p>
    <w:p w14:paraId="053E9A13">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参赛选手需凭报名表、参赛证、学生证、有效身份证件参加竞赛。竞赛报到时还需提供保险单。</w:t>
      </w:r>
    </w:p>
    <w:p w14:paraId="0E440824">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参赛选手应认真学习领会本次竞赛相关文件，自觉遵守大赛纪律，服从指挥，听从安排，文明参赛。</w:t>
      </w:r>
    </w:p>
    <w:p w14:paraId="779EF8F0">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严禁参赛选手携带任何通讯设备、存储设备及其他与竞赛相关的资料与用品入场。</w:t>
      </w:r>
    </w:p>
    <w:p w14:paraId="167192CC">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参赛选手应提前15分钟抵达赛场，凭参赛证、学生证、身份证件检录，按要求入场，不得迟到早退。</w:t>
      </w:r>
    </w:p>
    <w:p w14:paraId="36E8C87B">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参赛选手应按抽签结果在指定位置就坐。</w:t>
      </w:r>
    </w:p>
    <w:p w14:paraId="3B8CDC73">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参赛选手须在确认竞赛内容和现场设备等无误后开始竞赛。在竞赛过程中，如有疑问，参赛选手应举手示意，裁判长应按照有关要求及时予以答疑；如遇设备或软件等故障，参赛选手应举手示意，裁判长、技术人员等应及时予以解决。确因计算机软件或硬件故障，致使操作无法继续的，经裁判长确认，予以启用备用计算机</w:t>
      </w:r>
      <w:r>
        <w:rPr>
          <w:rFonts w:hint="eastAsia" w:ascii="仿宋_GB2312" w:hAnsi="仿宋_GB2312" w:eastAsia="仿宋_GB2312" w:cs="仿宋_GB2312"/>
          <w:sz w:val="32"/>
          <w:szCs w:val="32"/>
          <w:lang w:eastAsia="zh-CN"/>
        </w:rPr>
        <w:t>。</w:t>
      </w:r>
    </w:p>
    <w:p w14:paraId="3015B0F5">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各参赛选手必须按规范要求操作竞赛设备。一旦出现较严重的安全事故，经裁判长批准后将立即取消其参赛资格。</w:t>
      </w:r>
    </w:p>
    <w:p w14:paraId="69F6E38B">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竞赛时间终了，选手应全体起立，结束操作。签字确认成绩后方可离开赛场。</w:t>
      </w:r>
    </w:p>
    <w:p w14:paraId="15C8C146">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在竞赛期间，未经赛项执委会的批准，参赛选手不得接受其他单位和个人进行的与竞赛内容相关的采访。参赛选手不得将竞赛的相关信息私自公布。</w:t>
      </w:r>
    </w:p>
    <w:p w14:paraId="17EDD028">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楷体" w:hAnsi="楷体" w:eastAsia="楷体" w:cs="楷体"/>
          <w:sz w:val="32"/>
          <w:szCs w:val="32"/>
          <w:lang w:val="en-US" w:eastAsia="zh-CN"/>
        </w:rPr>
      </w:pPr>
      <w:bookmarkStart w:id="29" w:name="（四）工作人员须知"/>
      <w:bookmarkEnd w:id="29"/>
      <w:r>
        <w:rPr>
          <w:rFonts w:hint="eastAsia" w:ascii="楷体" w:hAnsi="楷体" w:eastAsia="楷体" w:cs="楷体"/>
          <w:sz w:val="32"/>
          <w:szCs w:val="32"/>
          <w:lang w:val="en-US" w:eastAsia="zh-CN"/>
        </w:rPr>
        <w:t>（四）工作人员须知</w:t>
      </w:r>
    </w:p>
    <w:p w14:paraId="6C462B68">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工作人员必须统一佩戴由赛项执委会签发的相应证件。</w:t>
      </w:r>
    </w:p>
    <w:p w14:paraId="78ABBF03">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工作人员不得影响参赛选手比赛，不允许有影响比赛公平的行为。</w:t>
      </w:r>
    </w:p>
    <w:p w14:paraId="700CC16A">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服从领导，听从指挥，以高度负责的精神、严肃认真的态度做好各项工作。</w:t>
      </w:r>
    </w:p>
    <w:p w14:paraId="5964274E">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熟悉比赛规程，认真遵守各项比赛规则和工作要求。</w:t>
      </w:r>
    </w:p>
    <w:p w14:paraId="28B66CC4">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坚守岗位，如有急事需要离开岗位时，应经领导同意，并做好工作衔接。</w:t>
      </w:r>
    </w:p>
    <w:p w14:paraId="2FF0BDA4">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严格遵守比赛纪律，如发现其他人员有违反比赛纪律的行为，应予以制止。情节严重的，应向竞赛组委会反映。</w:t>
      </w:r>
    </w:p>
    <w:p w14:paraId="3788BF70">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发扬无私奉献和团结协作的精神，提供热情、优质服务。</w:t>
      </w:r>
    </w:p>
    <w:sectPr>
      <w:footerReference r:id="rId3" w:type="default"/>
      <w:pgSz w:w="11910" w:h="16840"/>
      <w:pgMar w:top="1380" w:right="1559" w:bottom="1380" w:left="1559" w:header="0" w:footer="1158"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A41A0">
    <w:pPr>
      <w:pStyle w:val="4"/>
      <w:spacing w:line="200" w:lineRule="exact"/>
      <w:ind w:left="0" w:firstLine="0"/>
      <w:rPr>
        <w:sz w:val="20"/>
      </w:rPr>
    </w:pPr>
    <w:r>
      <w:rPr>
        <w:sz w:val="20"/>
      </w:rPr>
      <mc:AlternateContent>
        <mc:Choice Requires="wps">
          <w:drawing>
            <wp:anchor distT="0" distB="0" distL="0" distR="0" simplePos="0" relativeHeight="251660288" behindDoc="1" locked="0" layoutInCell="1" allowOverlap="1">
              <wp:simplePos x="0" y="0"/>
              <wp:positionH relativeFrom="page">
                <wp:posOffset>3706495</wp:posOffset>
              </wp:positionH>
              <wp:positionV relativeFrom="page">
                <wp:posOffset>9791065</wp:posOffset>
              </wp:positionV>
              <wp:extent cx="266700" cy="194310"/>
              <wp:effectExtent l="0" t="0" r="0" b="0"/>
              <wp:wrapNone/>
              <wp:docPr id="1" name="Textbox 1"/>
              <wp:cNvGraphicFramePr/>
              <a:graphic xmlns:a="http://schemas.openxmlformats.org/drawingml/2006/main">
                <a:graphicData uri="http://schemas.microsoft.com/office/word/2010/wordprocessingShape">
                  <wps:wsp>
                    <wps:cNvSpPr txBox="1"/>
                    <wps:spPr>
                      <a:xfrm>
                        <a:off x="0" y="0"/>
                        <a:ext cx="266700" cy="194310"/>
                      </a:xfrm>
                      <a:prstGeom prst="rect">
                        <a:avLst/>
                      </a:prstGeom>
                    </wps:spPr>
                    <wps:txbx>
                      <w:txbxContent>
                        <w:p w14:paraId="1022DCDC">
                          <w:pPr>
                            <w:spacing w:before="10"/>
                            <w:ind w:left="4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Pr>
                              <w:rFonts w:ascii="Times New Roman"/>
                              <w:spacing w:val="-5"/>
                              <w:sz w:val="24"/>
                            </w:rPr>
                            <w:t>10</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id="Textbox 1" o:spid="_x0000_s1026" o:spt="202" type="#_x0000_t202" style="position:absolute;left:0pt;margin-left:291.85pt;margin-top:770.95pt;height:15.3pt;width:21pt;mso-position-horizontal-relative:page;mso-position-vertical-relative:page;z-index:-251656192;mso-width-relative:page;mso-height-relative:page;" filled="f" stroked="f" coordsize="21600,21600" o:gfxdata="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bVyVrNoAAAANAQAADwAAAAAAAAABACAAAAAiAAAAZHJzL2Rvd25yZXYueG1sUEsBAhQAFAAAAAgA&#10;h07iQFF/IsCxAQAAcwMAAA4AAAAAAAAAAQAgAAAAKQEAAGRycy9lMm9Eb2MueG1sUEsFBgAAAAAG&#10;AAYAWQEAAEwFAAAAAA==&#10;">
              <v:fill on="f" focussize="0,0"/>
              <v:stroke on="f"/>
              <v:imagedata o:title=""/>
              <o:lock v:ext="edit" aspectratio="f"/>
              <v:textbox inset="0mm,0mm,0mm,0mm">
                <w:txbxContent>
                  <w:p w14:paraId="1022DCDC">
                    <w:pPr>
                      <w:spacing w:before="10"/>
                      <w:ind w:left="4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Pr>
                        <w:rFonts w:ascii="Times New Roman"/>
                        <w:spacing w:val="-5"/>
                        <w:sz w:val="24"/>
                      </w:rPr>
                      <w:t>10</w:t>
                    </w:r>
                    <w:r>
                      <w:rPr>
                        <w:rFonts w:ascii="Times New Roman"/>
                        <w:spacing w:val="-5"/>
                        <w:sz w:val="24"/>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chineseCountingThousand"/>
      <w:lvlText w:val="（%1）"/>
      <w:lvlJc w:val="left"/>
      <w:pPr>
        <w:ind w:left="241" w:hanging="844"/>
      </w:pPr>
      <w:rPr>
        <w:rFonts w:hint="default" w:ascii="宋体" w:hAnsi="宋体" w:eastAsia="宋体" w:cs="宋体"/>
        <w:b w:val="0"/>
        <w:bCs w:val="0"/>
        <w:i w:val="0"/>
        <w:iCs w:val="0"/>
        <w:spacing w:val="-49"/>
        <w:w w:val="100"/>
        <w:sz w:val="26"/>
        <w:szCs w:val="26"/>
        <w:lang w:val="en-US" w:eastAsia="zh-CN" w:bidi="ar-SA"/>
      </w:rPr>
    </w:lvl>
    <w:lvl w:ilvl="1" w:tentative="0">
      <w:start w:val="1"/>
      <w:numFmt w:val="decimal"/>
      <w:lvlText w:val="%2."/>
      <w:lvlJc w:val="left"/>
      <w:pPr>
        <w:ind w:left="1013" w:hanging="213"/>
      </w:pPr>
      <w:rPr>
        <w:rFonts w:hint="default" w:ascii="Times New Roman" w:hAnsi="Times New Roman" w:eastAsia="Times New Roman" w:cs="Times New Roman"/>
        <w:b w:val="0"/>
        <w:bCs w:val="0"/>
        <w:i w:val="0"/>
        <w:iCs w:val="0"/>
        <w:spacing w:val="-1"/>
        <w:w w:val="98"/>
        <w:sz w:val="26"/>
        <w:szCs w:val="26"/>
        <w:lang w:val="en-US" w:eastAsia="zh-CN" w:bidi="ar-SA"/>
      </w:rPr>
    </w:lvl>
    <w:lvl w:ilvl="2" w:tentative="0">
      <w:start w:val="0"/>
      <w:numFmt w:val="bullet"/>
      <w:lvlText w:val="•"/>
      <w:lvlJc w:val="left"/>
      <w:pPr>
        <w:ind w:left="1883" w:hanging="213"/>
      </w:pPr>
      <w:rPr>
        <w:rFonts w:hint="default"/>
        <w:lang w:val="en-US" w:eastAsia="zh-CN" w:bidi="ar-SA"/>
      </w:rPr>
    </w:lvl>
    <w:lvl w:ilvl="3" w:tentative="0">
      <w:start w:val="0"/>
      <w:numFmt w:val="bullet"/>
      <w:lvlText w:val="•"/>
      <w:lvlJc w:val="left"/>
      <w:pPr>
        <w:ind w:left="2746" w:hanging="213"/>
      </w:pPr>
      <w:rPr>
        <w:rFonts w:hint="default"/>
        <w:lang w:val="en-US" w:eastAsia="zh-CN" w:bidi="ar-SA"/>
      </w:rPr>
    </w:lvl>
    <w:lvl w:ilvl="4" w:tentative="0">
      <w:start w:val="0"/>
      <w:numFmt w:val="bullet"/>
      <w:lvlText w:val="•"/>
      <w:lvlJc w:val="left"/>
      <w:pPr>
        <w:ind w:left="3609" w:hanging="213"/>
      </w:pPr>
      <w:rPr>
        <w:rFonts w:hint="default"/>
        <w:lang w:val="en-US" w:eastAsia="zh-CN" w:bidi="ar-SA"/>
      </w:rPr>
    </w:lvl>
    <w:lvl w:ilvl="5" w:tentative="0">
      <w:start w:val="0"/>
      <w:numFmt w:val="bullet"/>
      <w:lvlText w:val="•"/>
      <w:lvlJc w:val="left"/>
      <w:pPr>
        <w:ind w:left="4472" w:hanging="213"/>
      </w:pPr>
      <w:rPr>
        <w:rFonts w:hint="default"/>
        <w:lang w:val="en-US" w:eastAsia="zh-CN" w:bidi="ar-SA"/>
      </w:rPr>
    </w:lvl>
    <w:lvl w:ilvl="6" w:tentative="0">
      <w:start w:val="0"/>
      <w:numFmt w:val="bullet"/>
      <w:lvlText w:val="•"/>
      <w:lvlJc w:val="left"/>
      <w:pPr>
        <w:ind w:left="5335" w:hanging="213"/>
      </w:pPr>
      <w:rPr>
        <w:rFonts w:hint="default"/>
        <w:lang w:val="en-US" w:eastAsia="zh-CN" w:bidi="ar-SA"/>
      </w:rPr>
    </w:lvl>
    <w:lvl w:ilvl="7" w:tentative="0">
      <w:start w:val="0"/>
      <w:numFmt w:val="bullet"/>
      <w:lvlText w:val="•"/>
      <w:lvlJc w:val="left"/>
      <w:pPr>
        <w:ind w:left="6198" w:hanging="213"/>
      </w:pPr>
      <w:rPr>
        <w:rFonts w:hint="default"/>
        <w:lang w:val="en-US" w:eastAsia="zh-CN" w:bidi="ar-SA"/>
      </w:rPr>
    </w:lvl>
    <w:lvl w:ilvl="8" w:tentative="0">
      <w:start w:val="0"/>
      <w:numFmt w:val="bullet"/>
      <w:lvlText w:val="•"/>
      <w:lvlJc w:val="left"/>
      <w:pPr>
        <w:ind w:left="7061" w:hanging="213"/>
      </w:pPr>
      <w:rPr>
        <w:rFonts w:hint="default"/>
        <w:lang w:val="en-US" w:eastAsia="zh-CN" w:bidi="ar-SA"/>
      </w:rPr>
    </w:lvl>
  </w:abstractNum>
  <w:abstractNum w:abstractNumId="1">
    <w:nsid w:val="25B654F3"/>
    <w:multiLevelType w:val="multilevel"/>
    <w:tmpl w:val="25B654F3"/>
    <w:lvl w:ilvl="0" w:tentative="0">
      <w:start w:val="1"/>
      <w:numFmt w:val="chineseCountingThousand"/>
      <w:lvlText w:val="（%1）"/>
      <w:lvlJc w:val="left"/>
      <w:pPr>
        <w:ind w:left="1643" w:hanging="844"/>
      </w:pPr>
      <w:rPr>
        <w:rFonts w:hint="default" w:cs="Microsoft JhengHei" w:asciiTheme="majorEastAsia" w:hAnsiTheme="majorEastAsia" w:eastAsiaTheme="majorEastAsia"/>
        <w:b/>
        <w:bCs/>
        <w:i w:val="0"/>
        <w:iCs w:val="0"/>
        <w:spacing w:val="-1"/>
        <w:w w:val="100"/>
        <w:sz w:val="26"/>
        <w:szCs w:val="26"/>
        <w:lang w:val="en-US" w:eastAsia="zh-CN" w:bidi="ar-SA"/>
      </w:rPr>
    </w:lvl>
    <w:lvl w:ilvl="1" w:tentative="0">
      <w:start w:val="1"/>
      <w:numFmt w:val="decimal"/>
      <w:lvlText w:val="%2."/>
      <w:lvlJc w:val="left"/>
      <w:pPr>
        <w:ind w:left="1013" w:hanging="213"/>
      </w:pPr>
      <w:rPr>
        <w:rFonts w:hint="default" w:ascii="Times New Roman" w:hAnsi="Times New Roman" w:eastAsia="Times New Roman" w:cs="Times New Roman"/>
        <w:b w:val="0"/>
        <w:bCs w:val="0"/>
        <w:i w:val="0"/>
        <w:iCs w:val="0"/>
        <w:spacing w:val="-1"/>
        <w:w w:val="98"/>
        <w:sz w:val="26"/>
        <w:szCs w:val="26"/>
        <w:lang w:val="en-US" w:eastAsia="zh-CN" w:bidi="ar-SA"/>
      </w:rPr>
    </w:lvl>
    <w:lvl w:ilvl="2" w:tentative="0">
      <w:start w:val="0"/>
      <w:numFmt w:val="bullet"/>
      <w:lvlText w:val="•"/>
      <w:lvlJc w:val="left"/>
      <w:pPr>
        <w:ind w:left="2434" w:hanging="213"/>
      </w:pPr>
      <w:rPr>
        <w:rFonts w:hint="default"/>
        <w:lang w:val="en-US" w:eastAsia="zh-CN" w:bidi="ar-SA"/>
      </w:rPr>
    </w:lvl>
    <w:lvl w:ilvl="3" w:tentative="0">
      <w:start w:val="0"/>
      <w:numFmt w:val="bullet"/>
      <w:lvlText w:val="•"/>
      <w:lvlJc w:val="left"/>
      <w:pPr>
        <w:ind w:left="3228" w:hanging="213"/>
      </w:pPr>
      <w:rPr>
        <w:rFonts w:hint="default"/>
        <w:lang w:val="en-US" w:eastAsia="zh-CN" w:bidi="ar-SA"/>
      </w:rPr>
    </w:lvl>
    <w:lvl w:ilvl="4" w:tentative="0">
      <w:start w:val="0"/>
      <w:numFmt w:val="bullet"/>
      <w:lvlText w:val="•"/>
      <w:lvlJc w:val="left"/>
      <w:pPr>
        <w:ind w:left="4022" w:hanging="213"/>
      </w:pPr>
      <w:rPr>
        <w:rFonts w:hint="default"/>
        <w:lang w:val="en-US" w:eastAsia="zh-CN" w:bidi="ar-SA"/>
      </w:rPr>
    </w:lvl>
    <w:lvl w:ilvl="5" w:tentative="0">
      <w:start w:val="0"/>
      <w:numFmt w:val="bullet"/>
      <w:lvlText w:val="•"/>
      <w:lvlJc w:val="left"/>
      <w:pPr>
        <w:ind w:left="4816" w:hanging="213"/>
      </w:pPr>
      <w:rPr>
        <w:rFonts w:hint="default"/>
        <w:lang w:val="en-US" w:eastAsia="zh-CN" w:bidi="ar-SA"/>
      </w:rPr>
    </w:lvl>
    <w:lvl w:ilvl="6" w:tentative="0">
      <w:start w:val="0"/>
      <w:numFmt w:val="bullet"/>
      <w:lvlText w:val="•"/>
      <w:lvlJc w:val="left"/>
      <w:pPr>
        <w:ind w:left="5611" w:hanging="213"/>
      </w:pPr>
      <w:rPr>
        <w:rFonts w:hint="default"/>
        <w:lang w:val="en-US" w:eastAsia="zh-CN" w:bidi="ar-SA"/>
      </w:rPr>
    </w:lvl>
    <w:lvl w:ilvl="7" w:tentative="0">
      <w:start w:val="0"/>
      <w:numFmt w:val="bullet"/>
      <w:lvlText w:val="•"/>
      <w:lvlJc w:val="left"/>
      <w:pPr>
        <w:ind w:left="6405" w:hanging="213"/>
      </w:pPr>
      <w:rPr>
        <w:rFonts w:hint="default"/>
        <w:lang w:val="en-US" w:eastAsia="zh-CN" w:bidi="ar-SA"/>
      </w:rPr>
    </w:lvl>
    <w:lvl w:ilvl="8" w:tentative="0">
      <w:start w:val="0"/>
      <w:numFmt w:val="bullet"/>
      <w:lvlText w:val="•"/>
      <w:lvlJc w:val="left"/>
      <w:pPr>
        <w:ind w:left="7199" w:hanging="213"/>
      </w:pPr>
      <w:rPr>
        <w:rFonts w:hint="default"/>
        <w:lang w:val="en-US" w:eastAsia="zh-CN"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4"/>
  </w:compat>
  <w:rsids>
    <w:rsidRoot w:val="00BA3876"/>
    <w:rsid w:val="0050263F"/>
    <w:rsid w:val="00953282"/>
    <w:rsid w:val="00BA3876"/>
    <w:rsid w:val="00F835A2"/>
    <w:rsid w:val="09176515"/>
    <w:rsid w:val="0FED7E9C"/>
    <w:rsid w:val="10D0748A"/>
    <w:rsid w:val="12CA5CCC"/>
    <w:rsid w:val="20AC43BE"/>
    <w:rsid w:val="23356FED"/>
    <w:rsid w:val="26B3214D"/>
    <w:rsid w:val="288A7DDB"/>
    <w:rsid w:val="2ACF474A"/>
    <w:rsid w:val="36DC7D8D"/>
    <w:rsid w:val="3AE901B5"/>
    <w:rsid w:val="3FD80FD4"/>
    <w:rsid w:val="457C1B45"/>
    <w:rsid w:val="4809706D"/>
    <w:rsid w:val="515B0FAE"/>
    <w:rsid w:val="5B2630E4"/>
    <w:rsid w:val="64055F8C"/>
    <w:rsid w:val="70FC5F68"/>
    <w:rsid w:val="728D7940"/>
    <w:rsid w:val="740A195F"/>
    <w:rsid w:val="755723C0"/>
    <w:rsid w:val="77071BC4"/>
    <w:rsid w:val="779E42D6"/>
    <w:rsid w:val="77D814CC"/>
    <w:rsid w:val="7DAC6C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zh-CN" w:bidi="ar-SA"/>
    </w:rPr>
  </w:style>
  <w:style w:type="paragraph" w:styleId="2">
    <w:name w:val="heading 1"/>
    <w:basedOn w:val="1"/>
    <w:next w:val="1"/>
    <w:qFormat/>
    <w:uiPriority w:val="1"/>
    <w:pPr>
      <w:ind w:left="1521" w:hanging="640"/>
      <w:outlineLvl w:val="0"/>
    </w:pPr>
    <w:rPr>
      <w:sz w:val="32"/>
      <w:szCs w:val="32"/>
    </w:rPr>
  </w:style>
  <w:style w:type="paragraph" w:styleId="3">
    <w:name w:val="heading 2"/>
    <w:basedOn w:val="1"/>
    <w:next w:val="1"/>
    <w:qFormat/>
    <w:uiPriority w:val="1"/>
    <w:pPr>
      <w:spacing w:before="35"/>
      <w:ind w:left="1640" w:hanging="840"/>
      <w:outlineLvl w:val="1"/>
    </w:pPr>
    <w:rPr>
      <w:rFonts w:ascii="Microsoft JhengHei" w:hAnsi="Microsoft JhengHei" w:eastAsia="Microsoft JhengHei" w:cs="Microsoft JhengHei"/>
      <w:b/>
      <w:bCs/>
      <w:sz w:val="28"/>
      <w:szCs w:val="28"/>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1"/>
    <w:pPr>
      <w:ind w:left="240" w:firstLine="559"/>
    </w:pPr>
    <w:rPr>
      <w:sz w:val="28"/>
      <w:szCs w:val="28"/>
    </w:rPr>
  </w:style>
  <w:style w:type="paragraph" w:styleId="5">
    <w:name w:val="footer"/>
    <w:basedOn w:val="1"/>
    <w:link w:val="15"/>
    <w:qFormat/>
    <w:uiPriority w:val="0"/>
    <w:pPr>
      <w:tabs>
        <w:tab w:val="center" w:pos="4153"/>
        <w:tab w:val="right" w:pos="8306"/>
      </w:tabs>
      <w:snapToGrid w:val="0"/>
    </w:pPr>
    <w:rPr>
      <w:sz w:val="18"/>
      <w:szCs w:val="18"/>
    </w:rPr>
  </w:style>
  <w:style w:type="paragraph" w:styleId="6">
    <w:name w:val="header"/>
    <w:basedOn w:val="1"/>
    <w:link w:val="14"/>
    <w:qFormat/>
    <w:uiPriority w:val="0"/>
    <w:pPr>
      <w:tabs>
        <w:tab w:val="center" w:pos="4153"/>
        <w:tab w:val="right" w:pos="8306"/>
      </w:tabs>
      <w:snapToGrid w:val="0"/>
      <w:jc w:val="center"/>
    </w:pPr>
    <w:rPr>
      <w:sz w:val="18"/>
      <w:szCs w:val="18"/>
    </w:rPr>
  </w:style>
  <w:style w:type="paragraph" w:styleId="7">
    <w:name w:val="Normal (Web)"/>
    <w:basedOn w:val="1"/>
    <w:qFormat/>
    <w:uiPriority w:val="0"/>
    <w:rPr>
      <w:sz w:val="24"/>
    </w:rPr>
  </w:style>
  <w:style w:type="paragraph" w:styleId="8">
    <w:name w:val="Title"/>
    <w:basedOn w:val="1"/>
    <w:qFormat/>
    <w:uiPriority w:val="1"/>
    <w:pPr>
      <w:spacing w:before="151"/>
      <w:ind w:left="1092" w:right="742" w:hanging="351"/>
    </w:pPr>
    <w:rPr>
      <w:rFonts w:ascii="微软雅黑" w:hAnsi="微软雅黑" w:eastAsia="微软雅黑" w:cs="微软雅黑"/>
      <w:sz w:val="44"/>
      <w:szCs w:val="44"/>
    </w:rPr>
  </w:style>
  <w:style w:type="table" w:customStyle="1" w:styleId="11">
    <w:name w:val="Table Normal"/>
    <w:semiHidden/>
    <w:unhideWhenUsed/>
    <w:qFormat/>
    <w:uiPriority w:val="2"/>
    <w:tblPr>
      <w:tblCellMar>
        <w:top w:w="0" w:type="dxa"/>
        <w:left w:w="0" w:type="dxa"/>
        <w:bottom w:w="0" w:type="dxa"/>
        <w:right w:w="0" w:type="dxa"/>
      </w:tblCellMar>
    </w:tblPr>
  </w:style>
  <w:style w:type="paragraph" w:styleId="12">
    <w:name w:val="List Paragraph"/>
    <w:basedOn w:val="1"/>
    <w:qFormat/>
    <w:uiPriority w:val="1"/>
    <w:pPr>
      <w:ind w:left="240" w:firstLine="559"/>
    </w:pPr>
  </w:style>
  <w:style w:type="paragraph" w:customStyle="1" w:styleId="13">
    <w:name w:val="Table Paragraph"/>
    <w:basedOn w:val="1"/>
    <w:qFormat/>
    <w:uiPriority w:val="1"/>
    <w:pPr>
      <w:jc w:val="center"/>
    </w:pPr>
  </w:style>
  <w:style w:type="character" w:customStyle="1" w:styleId="14">
    <w:name w:val="页眉 字符"/>
    <w:basedOn w:val="10"/>
    <w:link w:val="6"/>
    <w:qFormat/>
    <w:uiPriority w:val="0"/>
    <w:rPr>
      <w:rFonts w:ascii="宋体" w:hAnsi="宋体" w:cs="宋体"/>
      <w:sz w:val="18"/>
      <w:szCs w:val="18"/>
    </w:rPr>
  </w:style>
  <w:style w:type="character" w:customStyle="1" w:styleId="15">
    <w:name w:val="页脚 字符"/>
    <w:basedOn w:val="10"/>
    <w:link w:val="5"/>
    <w:qFormat/>
    <w:uiPriority w:val="0"/>
    <w:rPr>
      <w:rFonts w:ascii="宋体" w:hAnsi="宋体" w:cs="宋体"/>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620987-C5AA-4752-BF37-754DE10363B5}">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10091</Words>
  <Characters>10934</Characters>
  <Lines>440</Lines>
  <Paragraphs>437</Paragraphs>
  <TotalTime>7</TotalTime>
  <ScaleCrop>false</ScaleCrop>
  <LinksUpToDate>false</LinksUpToDate>
  <CharactersWithSpaces>11155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2026-10-19T07:35:00Z</dcterms:created>
  <dc:creator>HP</dc:creator>
  <cp:lastModifiedBy>李恬 </cp:lastModifiedBy>
  <dcterms:modified xsi:type="dcterms:W3CDTF">2026-10-21T12:51:49Z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2026-10-12T00:00:00Z</vt:filetime>
  </property>
  <property fmtid="{D5CDD505-2E9C-101B-9397-08002B2CF9AE}" pid="4" name="Creator">
    <vt:lpwstr>WPS Office</vt:lpwstr>
  </property>
  <property fmtid="{D5CDD505-2E9C-101B-9397-08002B2CF9AE}" pid="5" name="LastSaved">
    <vt:filetime>2026-10-19T00:00:00Z</vt:filetime>
  </property>
  <property fmtid="{D5CDD505-2E9C-101B-9397-08002B2CF9AE}" pid="6" name="SourceModified">
    <vt:lpwstr>D:20261012131244+05'12'</vt:lpwstr>
  </property>
  <property fmtid="{D5CDD505-2E9C-101B-9397-08002B2CF9AE}" pid="7" name="KSOTemplateDocerSaveRecord">
    <vt:lpwstr>eyJoZGlkIjoiMjY3MjgxNTc2NTBmZGEyZDc3ODk5MmE0MDY2OTY4YWMiLCJ1c2VySWQiOiI1Mjk4NDU0OTcifQ==</vt:lpwstr>
  </property>
  <property fmtid="{D5CDD505-2E9C-101B-9397-08002B2CF9AE}" pid="8" name="KSOProductBuildVer">
    <vt:lpwstr>2052-12.1.0.28505</vt:lpwstr>
  </property>
  <property fmtid="{D5CDD505-2E9C-101B-9397-08002B2CF9AE}" pid="9" name="ICV">
    <vt:lpwstr>3740053D99084430A00A4892D32A3329_13</vt:lpwstr>
  </property>
</Properties>
</file>